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F451" w14:textId="77777777" w:rsidR="00684ADB" w:rsidRDefault="00684ADB" w:rsidP="00684ADB">
      <w:pPr>
        <w:jc w:val="center"/>
        <w:rPr>
          <w:b/>
        </w:rPr>
      </w:pPr>
      <w:r w:rsidRPr="00063A01">
        <w:rPr>
          <w:b/>
        </w:rPr>
        <w:t xml:space="preserve">INFORMATĪVAIS ZIŅOJUMS PAR </w:t>
      </w:r>
      <w:r>
        <w:rPr>
          <w:b/>
        </w:rPr>
        <w:t>EIROPAS SAVIEN</w:t>
      </w:r>
      <w:bookmarkStart w:id="0" w:name="_GoBack"/>
      <w:bookmarkEnd w:id="0"/>
      <w:r>
        <w:rPr>
          <w:b/>
        </w:rPr>
        <w:t xml:space="preserve">ĪBAS </w:t>
      </w:r>
      <w:r w:rsidRPr="00BE36BA">
        <w:rPr>
          <w:b/>
        </w:rPr>
        <w:t>STRUKTŪRFONDU UN KOHĒZIJAS FONDA</w:t>
      </w:r>
      <w:r w:rsidRPr="00B27FD3">
        <w:rPr>
          <w:b/>
          <w:caps/>
        </w:rPr>
        <w:t xml:space="preserve"> </w:t>
      </w:r>
      <w:r w:rsidRPr="00063A01">
        <w:rPr>
          <w:b/>
        </w:rPr>
        <w:t xml:space="preserve">INVESTĪCIJU </w:t>
      </w:r>
      <w:r>
        <w:rPr>
          <w:b/>
        </w:rPr>
        <w:t>IEVIEŠANAS STATUSU</w:t>
      </w:r>
      <w:r>
        <w:rPr>
          <w:rStyle w:val="FootnoteReference"/>
          <w:b/>
        </w:rPr>
        <w:footnoteReference w:id="1"/>
      </w:r>
      <w:r>
        <w:rPr>
          <w:b/>
        </w:rPr>
        <w:t xml:space="preserve"> </w:t>
      </w:r>
    </w:p>
    <w:p w14:paraId="063DA8FC" w14:textId="77777777" w:rsidR="00684ADB" w:rsidRDefault="00684ADB" w:rsidP="00684ADB"/>
    <w:p w14:paraId="0431B234" w14:textId="0D721BBE" w:rsidR="00405972" w:rsidRPr="003B05E1" w:rsidRDefault="00684ADB" w:rsidP="00405972">
      <w:pPr>
        <w:pStyle w:val="BodyText"/>
        <w:numPr>
          <w:ilvl w:val="0"/>
          <w:numId w:val="1"/>
        </w:numPr>
        <w:spacing w:before="0" w:after="0" w:line="240" w:lineRule="auto"/>
        <w:ind w:left="0" w:firstLine="0"/>
        <w:jc w:val="both"/>
        <w:rPr>
          <w:rFonts w:eastAsia="Calibri"/>
          <w:b w:val="0"/>
          <w:lang w:val="lv-LV" w:eastAsia="ar-SA"/>
        </w:rPr>
      </w:pPr>
      <w:r w:rsidRPr="00405972">
        <w:rPr>
          <w:rFonts w:eastAsia="Calibri"/>
          <w:b w:val="0"/>
          <w:lang w:val="lv-LV" w:eastAsia="ar-SA"/>
        </w:rPr>
        <w:t>Atbilstoši Ministru kabineta (turpmāk – MK) 2015.gada 10.marta sēdes protokola Nr.14 27.§ 11.punktam Finanšu ministrijai (turpmāk - FM) ir uzdots, sākot ar 2015.gada maiju</w:t>
      </w:r>
      <w:r w:rsidR="00832912">
        <w:rPr>
          <w:rFonts w:eastAsia="Calibri"/>
          <w:b w:val="0"/>
          <w:lang w:val="lv-LV" w:eastAsia="ar-SA"/>
        </w:rPr>
        <w:t>,</w:t>
      </w:r>
      <w:r w:rsidRPr="00405972">
        <w:rPr>
          <w:rFonts w:eastAsia="Calibri"/>
          <w:b w:val="0"/>
          <w:lang w:val="lv-LV" w:eastAsia="ar-SA"/>
        </w:rPr>
        <w:t xml:space="preserve"> reizi mēnesī (līdz nākamā mēneša beigām) </w:t>
      </w:r>
      <w:r w:rsidRPr="00405972">
        <w:rPr>
          <w:rFonts w:eastAsia="Calibri"/>
          <w:b w:val="0"/>
          <w:u w:val="single"/>
          <w:lang w:val="lv-LV" w:eastAsia="ar-SA"/>
        </w:rPr>
        <w:t>iesniegt MK bez saskaņošanas ar citām iestādēm operatīvo informāciju</w:t>
      </w:r>
      <w:r w:rsidRPr="00405972">
        <w:rPr>
          <w:rFonts w:eastAsia="Calibri"/>
          <w:b w:val="0"/>
          <w:lang w:val="lv-LV" w:eastAsia="ar-SA"/>
        </w:rPr>
        <w:t xml:space="preserve"> par Eiropas Savienības struktūrfondu un Kohēzijas fondu (turpmāk – ES fondi) ieviešanas plānu izpildi (turpmāk – </w:t>
      </w:r>
      <w:r w:rsidRPr="00405972">
        <w:rPr>
          <w:rFonts w:eastAsia="Calibri"/>
          <w:b w:val="0"/>
          <w:lang w:val="lv-LV"/>
        </w:rPr>
        <w:t xml:space="preserve">ikmēneša ziņojums </w:t>
      </w:r>
      <w:r w:rsidRPr="00405972">
        <w:rPr>
          <w:rFonts w:eastAsia="Calibri"/>
          <w:b w:val="0"/>
          <w:lang w:val="lv-LV" w:eastAsia="ar-SA"/>
        </w:rPr>
        <w:t xml:space="preserve">MK), tai skaitā informāciju atbildīgo iestāžu dalījumā par noteiktiem finanšu mērķiem un citiem priekšnosacījumiem un uzdevumiem. </w:t>
      </w:r>
    </w:p>
    <w:p w14:paraId="4CC3CBB2" w14:textId="77777777" w:rsidR="00405972" w:rsidRPr="003B05E1" w:rsidRDefault="00405972" w:rsidP="00B4703B">
      <w:pPr>
        <w:pStyle w:val="BodyText"/>
        <w:spacing w:before="0" w:after="0" w:line="240" w:lineRule="auto"/>
        <w:jc w:val="both"/>
        <w:rPr>
          <w:rFonts w:eastAsia="Calibri"/>
          <w:lang w:val="lv-LV" w:eastAsia="ar-SA"/>
        </w:rPr>
      </w:pPr>
      <w:r w:rsidRPr="003B05E1">
        <w:rPr>
          <w:rFonts w:eastAsia="Calibri"/>
          <w:b w:val="0"/>
          <w:lang w:val="lv-LV" w:eastAsia="ar-SA"/>
        </w:rPr>
        <w:t xml:space="preserve">Attiecīgi FM sniedz operatīvo informāciju par ES fondu </w:t>
      </w:r>
      <w:r w:rsidRPr="003B05E1">
        <w:rPr>
          <w:rFonts w:eastAsia="Calibri"/>
          <w:b w:val="0"/>
          <w:u w:val="single"/>
          <w:lang w:val="lv-LV" w:eastAsia="ar-SA"/>
        </w:rPr>
        <w:t>20</w:t>
      </w:r>
      <w:r>
        <w:rPr>
          <w:rFonts w:eastAsia="Calibri"/>
          <w:b w:val="0"/>
          <w:u w:val="single"/>
          <w:lang w:val="lv-LV" w:eastAsia="ar-SA"/>
        </w:rPr>
        <w:t>14</w:t>
      </w:r>
      <w:r w:rsidRPr="003B05E1">
        <w:rPr>
          <w:rFonts w:eastAsia="Calibri"/>
          <w:b w:val="0"/>
          <w:u w:val="single"/>
          <w:lang w:val="lv-LV" w:eastAsia="ar-SA"/>
        </w:rPr>
        <w:t>.–20</w:t>
      </w:r>
      <w:r>
        <w:rPr>
          <w:rFonts w:eastAsia="Calibri"/>
          <w:b w:val="0"/>
          <w:u w:val="single"/>
          <w:lang w:val="lv-LV" w:eastAsia="ar-SA"/>
        </w:rPr>
        <w:t>20</w:t>
      </w:r>
      <w:r w:rsidRPr="003B05E1">
        <w:rPr>
          <w:rFonts w:eastAsia="Calibri"/>
          <w:b w:val="0"/>
          <w:u w:val="single"/>
          <w:lang w:val="lv-LV" w:eastAsia="ar-SA"/>
        </w:rPr>
        <w:t>.gada plānošanas periodu</w:t>
      </w:r>
      <w:r>
        <w:rPr>
          <w:rStyle w:val="FootnoteReference"/>
          <w:rFonts w:eastAsia="Calibri"/>
          <w:b w:val="0"/>
          <w:u w:val="single"/>
          <w:lang w:val="lv-LV" w:eastAsia="ar-SA"/>
        </w:rPr>
        <w:footnoteReference w:id="2"/>
      </w:r>
      <w:r>
        <w:rPr>
          <w:rFonts w:eastAsia="Calibri"/>
          <w:b w:val="0"/>
          <w:u w:val="single"/>
          <w:lang w:val="lv-LV" w:eastAsia="ar-SA"/>
        </w:rPr>
        <w:t xml:space="preserve">. </w:t>
      </w:r>
      <w:r w:rsidRPr="003B05E1">
        <w:rPr>
          <w:rFonts w:eastAsia="Calibri"/>
          <w:b w:val="0"/>
          <w:u w:val="single"/>
          <w:lang w:val="lv-LV" w:eastAsia="ar-SA"/>
        </w:rPr>
        <w:t xml:space="preserve"> </w:t>
      </w:r>
    </w:p>
    <w:p w14:paraId="439D6ABB" w14:textId="26AB5D18" w:rsidR="00684ADB" w:rsidRPr="00B067FC" w:rsidRDefault="00684ADB" w:rsidP="00FD3316">
      <w:pPr>
        <w:pStyle w:val="ListParagraph"/>
        <w:numPr>
          <w:ilvl w:val="0"/>
          <w:numId w:val="14"/>
        </w:numPr>
        <w:suppressAutoHyphens/>
        <w:spacing w:before="120" w:after="120" w:line="276" w:lineRule="auto"/>
        <w:ind w:left="0" w:firstLine="0"/>
        <w:contextualSpacing w:val="0"/>
        <w:jc w:val="both"/>
        <w:rPr>
          <w:rFonts w:eastAsia="Calibri" w:cs="Times New Roman"/>
          <w:b/>
          <w:szCs w:val="24"/>
          <w:u w:val="single"/>
          <w:lang w:eastAsia="ar-SA"/>
        </w:rPr>
      </w:pPr>
      <w:r w:rsidRPr="00B067FC">
        <w:rPr>
          <w:rFonts w:eastAsia="Calibri" w:cs="Times New Roman"/>
          <w:b/>
          <w:szCs w:val="24"/>
          <w:u w:val="single"/>
          <w:lang w:eastAsia="ar-SA"/>
        </w:rPr>
        <w:t>2014.–2020.gada plānošanas periods:</w:t>
      </w:r>
    </w:p>
    <w:p w14:paraId="4872985C" w14:textId="1581C387" w:rsidR="00F35F3C" w:rsidRDefault="00A35118" w:rsidP="00F35F3C">
      <w:pPr>
        <w:pStyle w:val="ListParagraph"/>
        <w:suppressAutoHyphens/>
        <w:spacing w:before="120" w:after="120"/>
        <w:ind w:left="0"/>
        <w:contextualSpacing w:val="0"/>
        <w:jc w:val="both"/>
        <w:rPr>
          <w:rStyle w:val="Hyperlink"/>
          <w:rFonts w:cs="Times New Roman"/>
          <w:color w:val="000000" w:themeColor="text1"/>
          <w:szCs w:val="24"/>
          <w:u w:val="none"/>
        </w:rPr>
      </w:pPr>
      <w:r w:rsidRPr="00F35F3C">
        <w:rPr>
          <w:szCs w:val="28"/>
          <w:lang w:eastAsia="ar-SA"/>
        </w:rPr>
        <w:t xml:space="preserve">Par </w:t>
      </w:r>
      <w:r w:rsidRPr="00773E87">
        <w:rPr>
          <w:szCs w:val="28"/>
          <w:lang w:eastAsia="ar-SA"/>
        </w:rPr>
        <w:t xml:space="preserve">Latvijas salīdzinoši labām investīciju uzsākšanas sekmēm liecina ES dalībvalstu dati </w:t>
      </w:r>
      <w:r w:rsidR="00773E87" w:rsidRPr="00773E87">
        <w:rPr>
          <w:szCs w:val="28"/>
          <w:lang w:eastAsia="ar-SA"/>
        </w:rPr>
        <w:t>–</w:t>
      </w:r>
      <w:r w:rsidRPr="00773E87">
        <w:rPr>
          <w:szCs w:val="28"/>
          <w:lang w:eastAsia="ar-SA"/>
        </w:rPr>
        <w:t xml:space="preserve"> </w:t>
      </w:r>
      <w:r w:rsidRPr="00E4395E">
        <w:rPr>
          <w:bCs/>
          <w:szCs w:val="28"/>
          <w:lang w:eastAsia="ar-SA"/>
        </w:rPr>
        <w:t>Latvija</w:t>
      </w:r>
      <w:r w:rsidR="00773E87" w:rsidRPr="00E4395E">
        <w:rPr>
          <w:bCs/>
          <w:szCs w:val="28"/>
          <w:lang w:eastAsia="ar-SA"/>
        </w:rPr>
        <w:t>i joprojām sniegums</w:t>
      </w:r>
      <w:r w:rsidR="00773E87">
        <w:rPr>
          <w:b/>
          <w:bCs/>
          <w:szCs w:val="28"/>
          <w:lang w:eastAsia="ar-SA"/>
        </w:rPr>
        <w:t xml:space="preserve"> </w:t>
      </w:r>
      <w:r w:rsidR="00773E87" w:rsidRPr="00E4395E">
        <w:rPr>
          <w:bCs/>
          <w:szCs w:val="28"/>
          <w:lang w:eastAsia="ar-SA"/>
        </w:rPr>
        <w:t xml:space="preserve">ir virs vidējā ES,  </w:t>
      </w:r>
      <w:r w:rsidR="008F4226" w:rsidRPr="00E4395E">
        <w:rPr>
          <w:bCs/>
          <w:szCs w:val="28"/>
          <w:u w:val="single"/>
          <w:lang w:eastAsia="ar-SA"/>
        </w:rPr>
        <w:t>5</w:t>
      </w:r>
      <w:r w:rsidRPr="00E4395E">
        <w:rPr>
          <w:bCs/>
          <w:szCs w:val="28"/>
          <w:u w:val="single"/>
          <w:lang w:eastAsia="ar-SA"/>
        </w:rPr>
        <w:t>.vieta</w:t>
      </w:r>
      <w:r w:rsidR="00BA56E3">
        <w:rPr>
          <w:bCs/>
          <w:szCs w:val="28"/>
          <w:u w:val="single"/>
          <w:lang w:eastAsia="ar-SA"/>
        </w:rPr>
        <w:t xml:space="preserve"> uz 2016. gada 12. oktobri</w:t>
      </w:r>
      <w:r w:rsidRPr="00E4395E">
        <w:rPr>
          <w:bCs/>
          <w:szCs w:val="28"/>
          <w:lang w:eastAsia="ar-SA"/>
        </w:rPr>
        <w:t>,</w:t>
      </w:r>
      <w:r w:rsidR="00773E87" w:rsidRPr="00E4395E">
        <w:rPr>
          <w:bCs/>
          <w:szCs w:val="28"/>
          <w:lang w:eastAsia="ar-SA"/>
        </w:rPr>
        <w:t xml:space="preserve"> lai gan iepriekšējā mēnesī bija 4.vieta</w:t>
      </w:r>
      <w:r w:rsidR="00773E87">
        <w:rPr>
          <w:bCs/>
          <w:szCs w:val="28"/>
          <w:lang w:eastAsia="ar-SA"/>
        </w:rPr>
        <w:t>.</w:t>
      </w:r>
      <w:r w:rsidR="0014261F">
        <w:rPr>
          <w:bCs/>
          <w:szCs w:val="28"/>
          <w:lang w:eastAsia="ar-SA"/>
        </w:rPr>
        <w:t xml:space="preserve"> </w:t>
      </w:r>
      <w:r w:rsidRPr="00F35F3C">
        <w:rPr>
          <w:color w:val="000000" w:themeColor="text1"/>
          <w:szCs w:val="24"/>
        </w:rPr>
        <w:t xml:space="preserve">Detalizētu informāciju skatīt </w:t>
      </w:r>
      <w:hyperlink r:id="rId8" w:history="1">
        <w:r w:rsidRPr="00F35F3C">
          <w:rPr>
            <w:rStyle w:val="Hyperlink"/>
            <w:rFonts w:cs="Times New Roman"/>
            <w:color w:val="000000" w:themeColor="text1"/>
            <w:szCs w:val="24"/>
          </w:rPr>
          <w:t>ES fondu tīmekļa vietnē</w:t>
        </w:r>
      </w:hyperlink>
      <w:r w:rsidRPr="00F35F3C">
        <w:rPr>
          <w:rStyle w:val="FootnoteReference"/>
          <w:color w:val="000000" w:themeColor="text1"/>
          <w:szCs w:val="24"/>
        </w:rPr>
        <w:footnoteReference w:id="3"/>
      </w:r>
      <w:r w:rsidRPr="00F35F3C">
        <w:rPr>
          <w:rStyle w:val="Hyperlink"/>
          <w:rFonts w:cs="Times New Roman"/>
          <w:color w:val="000000" w:themeColor="text1"/>
          <w:szCs w:val="24"/>
          <w:u w:val="none"/>
        </w:rPr>
        <w:t xml:space="preserve"> un zemāk esošajā grafikā.</w:t>
      </w:r>
    </w:p>
    <w:p w14:paraId="6C9ECA1E" w14:textId="6D8541B0" w:rsidR="00684ADB" w:rsidRDefault="00684ADB" w:rsidP="00F35F3C">
      <w:pPr>
        <w:pStyle w:val="ListParagraph"/>
        <w:suppressAutoHyphens/>
        <w:spacing w:before="120" w:after="120"/>
        <w:ind w:left="0"/>
        <w:contextualSpacing w:val="0"/>
        <w:jc w:val="both"/>
        <w:rPr>
          <w:rFonts w:eastAsia="Times New Roman" w:cs="Times New Roman"/>
          <w:bCs/>
          <w:i/>
          <w:color w:val="000000"/>
          <w:sz w:val="22"/>
          <w:szCs w:val="24"/>
        </w:rPr>
      </w:pPr>
      <w:r w:rsidRPr="00F35F3C">
        <w:rPr>
          <w:rFonts w:eastAsia="Times New Roman" w:cs="Times New Roman"/>
          <w:b/>
          <w:i/>
          <w:color w:val="000000"/>
          <w:sz w:val="22"/>
          <w:szCs w:val="24"/>
        </w:rPr>
        <w:t>Grafiks Nr.1</w:t>
      </w:r>
      <w:r w:rsidRPr="00F35F3C">
        <w:rPr>
          <w:rFonts w:eastAsia="Times New Roman" w:cs="Times New Roman"/>
          <w:i/>
          <w:color w:val="000000"/>
          <w:sz w:val="22"/>
          <w:szCs w:val="24"/>
        </w:rPr>
        <w:t xml:space="preserve"> </w:t>
      </w:r>
      <w:r w:rsidRPr="002F41D0">
        <w:rPr>
          <w:rFonts w:eastAsia="Times New Roman" w:cs="Times New Roman"/>
          <w:i/>
          <w:color w:val="000000"/>
          <w:sz w:val="22"/>
          <w:szCs w:val="24"/>
        </w:rPr>
        <w:t>“</w:t>
      </w:r>
      <w:r w:rsidRPr="002F41D0">
        <w:rPr>
          <w:rFonts w:eastAsia="Times New Roman" w:cs="Times New Roman"/>
          <w:bCs/>
          <w:i/>
          <w:color w:val="000000"/>
          <w:sz w:val="22"/>
          <w:szCs w:val="24"/>
        </w:rPr>
        <w:t xml:space="preserve">ES fondu kopējie EK veiktie sākotnējie, ikgadējie avansi un starpposma maksājumi dalībvalstīm, % no pieejamā ES fondu </w:t>
      </w:r>
      <w:r w:rsidR="00AE524D" w:rsidRPr="002F41D0">
        <w:rPr>
          <w:rFonts w:eastAsia="Times New Roman" w:cs="Times New Roman"/>
          <w:bCs/>
          <w:i/>
          <w:color w:val="000000"/>
          <w:sz w:val="22"/>
          <w:szCs w:val="24"/>
        </w:rPr>
        <w:t>finansējuma, dati uz 2016.gada 12.</w:t>
      </w:r>
      <w:r w:rsidR="00BB493C" w:rsidRPr="002F41D0">
        <w:rPr>
          <w:rFonts w:eastAsia="Times New Roman" w:cs="Times New Roman"/>
          <w:bCs/>
          <w:i/>
          <w:color w:val="000000"/>
          <w:sz w:val="22"/>
          <w:szCs w:val="24"/>
        </w:rPr>
        <w:t>oktobri</w:t>
      </w:r>
      <w:r w:rsidR="0014261F" w:rsidRPr="00E4395E">
        <w:rPr>
          <w:rFonts w:eastAsia="Times New Roman" w:cs="Times New Roman"/>
          <w:bCs/>
          <w:i/>
          <w:color w:val="000000"/>
          <w:sz w:val="22"/>
          <w:szCs w:val="24"/>
        </w:rPr>
        <w:t xml:space="preserve">, progress pret </w:t>
      </w:r>
      <w:r w:rsidR="002D79F5" w:rsidRPr="00E4395E">
        <w:rPr>
          <w:rFonts w:eastAsia="Times New Roman" w:cs="Times New Roman"/>
          <w:bCs/>
          <w:i/>
          <w:color w:val="000000"/>
          <w:sz w:val="22"/>
          <w:szCs w:val="24"/>
        </w:rPr>
        <w:t xml:space="preserve">ES fondu kopējiem EK veiktajiem sākotnējiem, ikgadējiem avansiem un starpposma maksājumiem, </w:t>
      </w:r>
      <w:r w:rsidR="0014261F" w:rsidRPr="00E4395E">
        <w:rPr>
          <w:rFonts w:eastAsia="Times New Roman" w:cs="Times New Roman"/>
          <w:bCs/>
          <w:i/>
          <w:color w:val="000000"/>
          <w:sz w:val="22"/>
          <w:szCs w:val="24"/>
        </w:rPr>
        <w:t xml:space="preserve">dati </w:t>
      </w:r>
      <w:r w:rsidR="002D79F5" w:rsidRPr="00E4395E">
        <w:rPr>
          <w:rFonts w:eastAsia="Times New Roman" w:cs="Times New Roman"/>
          <w:bCs/>
          <w:i/>
          <w:color w:val="000000"/>
          <w:sz w:val="22"/>
          <w:szCs w:val="24"/>
        </w:rPr>
        <w:t xml:space="preserve">uz </w:t>
      </w:r>
      <w:r w:rsidR="0014261F" w:rsidRPr="00E4395E">
        <w:rPr>
          <w:rFonts w:eastAsia="Times New Roman" w:cs="Times New Roman"/>
          <w:bCs/>
          <w:i/>
          <w:color w:val="000000"/>
          <w:sz w:val="22"/>
          <w:szCs w:val="24"/>
        </w:rPr>
        <w:t>2016. gada  12. septembri.</w:t>
      </w:r>
      <w:r w:rsidRPr="00E4395E">
        <w:rPr>
          <w:rFonts w:eastAsia="Times New Roman" w:cs="Times New Roman"/>
          <w:bCs/>
          <w:i/>
          <w:color w:val="000000"/>
          <w:sz w:val="22"/>
          <w:szCs w:val="24"/>
        </w:rPr>
        <w:t>”</w:t>
      </w:r>
    </w:p>
    <w:p w14:paraId="22C58E71" w14:textId="0FF643EB" w:rsidR="00D22DA1" w:rsidRDefault="00D22DA1" w:rsidP="00F35F3C">
      <w:pPr>
        <w:pStyle w:val="ListParagraph"/>
        <w:suppressAutoHyphens/>
        <w:spacing w:before="120" w:after="120"/>
        <w:ind w:left="0"/>
        <w:contextualSpacing w:val="0"/>
        <w:jc w:val="both"/>
        <w:rPr>
          <w:rFonts w:eastAsia="Times New Roman" w:cs="Times New Roman"/>
          <w:bCs/>
          <w:i/>
          <w:color w:val="000000"/>
          <w:sz w:val="22"/>
          <w:szCs w:val="24"/>
        </w:rPr>
      </w:pPr>
      <w:r>
        <w:rPr>
          <w:noProof/>
          <w:lang w:eastAsia="lv-LV"/>
        </w:rPr>
        <w:drawing>
          <wp:inline distT="0" distB="0" distL="0" distR="0" wp14:anchorId="7598510E" wp14:editId="280BF151">
            <wp:extent cx="5939790" cy="4658845"/>
            <wp:effectExtent l="0" t="0" r="381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623C36" w14:textId="6B2067A0" w:rsidR="00684ADB" w:rsidRPr="00535857" w:rsidRDefault="00684ADB" w:rsidP="005E414D">
      <w:pPr>
        <w:pStyle w:val="ListParagraph"/>
        <w:numPr>
          <w:ilvl w:val="1"/>
          <w:numId w:val="14"/>
        </w:numPr>
        <w:suppressAutoHyphens/>
        <w:spacing w:before="120" w:after="120"/>
        <w:ind w:left="0" w:firstLine="0"/>
        <w:contextualSpacing w:val="0"/>
        <w:jc w:val="both"/>
        <w:rPr>
          <w:color w:val="000000" w:themeColor="text1"/>
        </w:rPr>
      </w:pPr>
      <w:r w:rsidRPr="00535857">
        <w:lastRenderedPageBreak/>
        <w:t>Informācija par investīciju ieviešanas laika grafika</w:t>
      </w:r>
      <w:r w:rsidRPr="00535857">
        <w:rPr>
          <w:rStyle w:val="FootnoteReference"/>
        </w:rPr>
        <w:footnoteReference w:id="4"/>
      </w:r>
      <w:r w:rsidRPr="00535857">
        <w:t xml:space="preserve"> un finanšu progresa izpildes statusu uz 2016.gada 1.</w:t>
      </w:r>
      <w:r w:rsidR="00011FF7" w:rsidRPr="00535857">
        <w:t>oktobri</w:t>
      </w:r>
      <w:r w:rsidRPr="00535857">
        <w:t xml:space="preserve"> liecina, ka </w:t>
      </w:r>
      <w:r w:rsidRPr="00535857">
        <w:rPr>
          <w:u w:val="single"/>
        </w:rPr>
        <w:t xml:space="preserve">ir </w:t>
      </w:r>
      <w:r w:rsidRPr="00535857">
        <w:rPr>
          <w:szCs w:val="24"/>
          <w:u w:val="single"/>
        </w:rPr>
        <w:t>stabils progress investīciju uzsākšanas gatavībai, kas atspoguļots grafikā Nr.2, vienlaikus ir arī atsevišķi kavējumi</w:t>
      </w:r>
      <w:r w:rsidRPr="00535857">
        <w:rPr>
          <w:szCs w:val="24"/>
        </w:rPr>
        <w:t xml:space="preserve">. Detalizēta informācija ir </w:t>
      </w:r>
      <w:r w:rsidRPr="00535857">
        <w:t>pieejama šī ziņojuma 1.pielikumā</w:t>
      </w:r>
      <w:r w:rsidRPr="00535857">
        <w:rPr>
          <w:szCs w:val="24"/>
        </w:rPr>
        <w:t xml:space="preserve">, kurā informācija </w:t>
      </w:r>
      <w:r w:rsidRPr="00535857">
        <w:t>sakārtota loģiskā secībā</w:t>
      </w:r>
      <w:r w:rsidRPr="00535857">
        <w:rPr>
          <w:szCs w:val="24"/>
        </w:rPr>
        <w:t xml:space="preserve">, sākot ar 2016.gada </w:t>
      </w:r>
      <w:r w:rsidR="00011FF7" w:rsidRPr="00535857">
        <w:rPr>
          <w:szCs w:val="24"/>
        </w:rPr>
        <w:t>septembrī</w:t>
      </w:r>
      <w:r w:rsidRPr="00535857">
        <w:rPr>
          <w:rStyle w:val="FootnoteReference"/>
          <w:szCs w:val="24"/>
        </w:rPr>
        <w:footnoteReference w:id="5"/>
      </w:r>
      <w:r w:rsidRPr="00535857">
        <w:rPr>
          <w:szCs w:val="24"/>
        </w:rPr>
        <w:t xml:space="preserve"> apstiprinātajiem MK noteikumiem un turpinot ar kavējumiem (MK noteikumu apstiprināšanai, MK noteikumu izsludināšanai Valsts sekretāru sanāksmē (turpmāk – VSS), kā arī projektu iesniegumu atlases kritēriju iesniegšanai apakškomitejā) un noslēdzot ar specifiskajiem atbalsta mērķiem</w:t>
      </w:r>
      <w:r w:rsidR="00465983">
        <w:rPr>
          <w:szCs w:val="24"/>
        </w:rPr>
        <w:t xml:space="preserve"> (turpmāk – SAM)</w:t>
      </w:r>
      <w:r w:rsidRPr="00535857">
        <w:rPr>
          <w:szCs w:val="24"/>
        </w:rPr>
        <w:t xml:space="preserve"> /pasākumiem, kuriem MK noteikumu apstiprināšanas termiņš vēl nav iestājies. Plašāka kopsavilkuma informācija par aps</w:t>
      </w:r>
      <w:r w:rsidRPr="00535857">
        <w:rPr>
          <w:rFonts w:eastAsia="Calibri" w:cs="Times New Roman"/>
          <w:szCs w:val="24"/>
          <w:lang w:eastAsia="ar-SA"/>
        </w:rPr>
        <w:t>tiprinātajiem projektiem un noslēgtajiem līgumiem, kā arī veiktajiem maksājumiem pieejama ES fondu tīmekļa vietnē</w:t>
      </w:r>
      <w:r w:rsidRPr="00535857">
        <w:rPr>
          <w:rStyle w:val="FootnoteReference"/>
          <w:rFonts w:eastAsia="Calibri" w:cs="Times New Roman"/>
          <w:szCs w:val="24"/>
          <w:lang w:eastAsia="ar-SA"/>
        </w:rPr>
        <w:footnoteReference w:id="6"/>
      </w:r>
      <w:r w:rsidRPr="00535857">
        <w:rPr>
          <w:rFonts w:eastAsia="Calibri" w:cs="Times New Roman"/>
          <w:szCs w:val="24"/>
          <w:lang w:eastAsia="ar-SA"/>
        </w:rPr>
        <w:t xml:space="preserve">. </w:t>
      </w:r>
    </w:p>
    <w:p w14:paraId="4DACB6F0" w14:textId="52582ACC" w:rsidR="00684ADB" w:rsidRDefault="00684ADB" w:rsidP="00684ADB">
      <w:pPr>
        <w:pStyle w:val="ListParagraph"/>
        <w:suppressAutoHyphens/>
        <w:spacing w:before="120" w:after="120" w:line="276" w:lineRule="auto"/>
        <w:ind w:left="0"/>
        <w:contextualSpacing w:val="0"/>
        <w:jc w:val="both"/>
        <w:rPr>
          <w:rFonts w:eastAsia="Times New Roman" w:cs="Times New Roman"/>
          <w:bCs/>
          <w:i/>
          <w:color w:val="000000"/>
          <w:sz w:val="22"/>
          <w:szCs w:val="24"/>
        </w:rPr>
      </w:pPr>
      <w:r w:rsidRPr="00430F99">
        <w:rPr>
          <w:rFonts w:eastAsia="Times New Roman" w:cs="Times New Roman"/>
          <w:b/>
          <w:i/>
          <w:color w:val="000000"/>
          <w:sz w:val="22"/>
          <w:szCs w:val="24"/>
        </w:rPr>
        <w:t>Grafiks Nr</w:t>
      </w:r>
      <w:r w:rsidRPr="00F35F3C">
        <w:rPr>
          <w:rFonts w:eastAsia="Times New Roman" w:cs="Times New Roman"/>
          <w:b/>
          <w:i/>
          <w:color w:val="000000"/>
          <w:sz w:val="22"/>
          <w:szCs w:val="24"/>
        </w:rPr>
        <w:t>.</w:t>
      </w:r>
      <w:r w:rsidRPr="002F41D0">
        <w:rPr>
          <w:rFonts w:eastAsia="Times New Roman" w:cs="Times New Roman"/>
          <w:b/>
          <w:i/>
          <w:color w:val="000000"/>
          <w:sz w:val="22"/>
          <w:szCs w:val="24"/>
        </w:rPr>
        <w:t>2</w:t>
      </w:r>
      <w:r w:rsidRPr="002F41D0">
        <w:rPr>
          <w:rFonts w:eastAsia="Times New Roman" w:cs="Times New Roman"/>
          <w:i/>
          <w:color w:val="000000"/>
          <w:sz w:val="22"/>
          <w:szCs w:val="24"/>
        </w:rPr>
        <w:t xml:space="preserve"> “</w:t>
      </w:r>
      <w:r w:rsidRPr="002F41D0">
        <w:rPr>
          <w:rFonts w:eastAsia="Times New Roman" w:cs="Times New Roman"/>
          <w:bCs/>
          <w:i/>
          <w:color w:val="000000"/>
          <w:sz w:val="22"/>
          <w:szCs w:val="24"/>
        </w:rPr>
        <w:t>ES fondu investīciju uzsākšanas un ieviešanas statuss līdz 2016.gada 1.</w:t>
      </w:r>
      <w:r w:rsidR="00DE24F3" w:rsidRPr="002F41D0">
        <w:rPr>
          <w:rFonts w:eastAsia="Times New Roman" w:cs="Times New Roman"/>
          <w:bCs/>
          <w:i/>
          <w:color w:val="000000"/>
          <w:sz w:val="22"/>
          <w:szCs w:val="24"/>
        </w:rPr>
        <w:t>oktobrim</w:t>
      </w:r>
      <w:r w:rsidR="001F303D" w:rsidRPr="002F41D0">
        <w:rPr>
          <w:rFonts w:eastAsia="Times New Roman" w:cs="Times New Roman"/>
          <w:bCs/>
          <w:i/>
          <w:color w:val="000000"/>
          <w:sz w:val="22"/>
          <w:szCs w:val="24"/>
        </w:rPr>
        <w:t xml:space="preserve"> </w:t>
      </w:r>
      <w:r w:rsidRPr="002F41D0">
        <w:rPr>
          <w:rFonts w:eastAsia="Times New Roman" w:cs="Times New Roman"/>
          <w:bCs/>
          <w:i/>
          <w:color w:val="000000"/>
          <w:sz w:val="22"/>
          <w:szCs w:val="24"/>
        </w:rPr>
        <w:t xml:space="preserve">milj. </w:t>
      </w:r>
      <w:proofErr w:type="spellStart"/>
      <w:r w:rsidRPr="002F41D0">
        <w:rPr>
          <w:rFonts w:eastAsia="Times New Roman" w:cs="Times New Roman"/>
          <w:bCs/>
          <w:i/>
          <w:color w:val="000000"/>
          <w:sz w:val="22"/>
          <w:szCs w:val="24"/>
        </w:rPr>
        <w:t>euro</w:t>
      </w:r>
      <w:proofErr w:type="spellEnd"/>
      <w:r w:rsidRPr="002F41D0">
        <w:rPr>
          <w:rFonts w:eastAsia="Times New Roman" w:cs="Times New Roman"/>
          <w:bCs/>
          <w:i/>
          <w:color w:val="000000"/>
          <w:sz w:val="22"/>
          <w:szCs w:val="24"/>
        </w:rPr>
        <w:t>, % no ES fondu finansējuma, progress pret datiem līdz 2016.gada 1.</w:t>
      </w:r>
      <w:r w:rsidR="00347D1B" w:rsidRPr="002F41D0">
        <w:rPr>
          <w:rFonts w:eastAsia="Times New Roman" w:cs="Times New Roman"/>
          <w:bCs/>
          <w:i/>
          <w:color w:val="000000"/>
          <w:sz w:val="22"/>
          <w:szCs w:val="24"/>
        </w:rPr>
        <w:t>septembrim</w:t>
      </w:r>
      <w:r w:rsidRPr="002F41D0">
        <w:rPr>
          <w:rFonts w:eastAsia="Times New Roman" w:cs="Times New Roman"/>
          <w:bCs/>
          <w:i/>
          <w:color w:val="000000"/>
          <w:sz w:val="22"/>
          <w:szCs w:val="24"/>
        </w:rPr>
        <w:t>”</w:t>
      </w:r>
    </w:p>
    <w:p w14:paraId="75F2EE6D" w14:textId="4D10EEA8" w:rsidR="00684ADB" w:rsidRPr="00475785" w:rsidRDefault="00D22DA1" w:rsidP="00475785">
      <w:pPr>
        <w:pStyle w:val="ListParagraph"/>
        <w:suppressAutoHyphens/>
        <w:spacing w:before="120" w:after="120" w:line="276" w:lineRule="auto"/>
        <w:ind w:left="0"/>
        <w:contextualSpacing w:val="0"/>
        <w:jc w:val="both"/>
        <w:rPr>
          <w:rFonts w:eastAsia="Times New Roman" w:cs="Times New Roman"/>
          <w:bCs/>
          <w:i/>
          <w:color w:val="000000"/>
          <w:sz w:val="22"/>
          <w:szCs w:val="24"/>
        </w:rPr>
      </w:pPr>
      <w:r>
        <w:rPr>
          <w:noProof/>
          <w:lang w:eastAsia="lv-LV"/>
        </w:rPr>
        <w:drawing>
          <wp:inline distT="0" distB="0" distL="0" distR="0" wp14:anchorId="1DA072FB" wp14:editId="26FE7DBA">
            <wp:extent cx="5939790" cy="3634105"/>
            <wp:effectExtent l="0" t="0" r="3810" b="44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79C600" w14:textId="74B69E93" w:rsidR="00465983" w:rsidRDefault="00011FF7" w:rsidP="005E414D">
      <w:pPr>
        <w:pStyle w:val="ListParagraph"/>
        <w:numPr>
          <w:ilvl w:val="1"/>
          <w:numId w:val="14"/>
        </w:numPr>
        <w:suppressAutoHyphens/>
        <w:spacing w:before="120" w:after="120"/>
        <w:ind w:left="0" w:firstLine="0"/>
        <w:contextualSpacing w:val="0"/>
        <w:jc w:val="both"/>
        <w:rPr>
          <w:color w:val="000000" w:themeColor="text1"/>
        </w:rPr>
      </w:pPr>
      <w:r w:rsidRPr="00535857">
        <w:rPr>
          <w:color w:val="000000" w:themeColor="text1"/>
        </w:rPr>
        <w:t>Līdz 2016.gada 1.oktobrim kopumā ir palielinājies gan</w:t>
      </w:r>
      <w:r w:rsidR="004B76CE" w:rsidRPr="00535857">
        <w:rPr>
          <w:color w:val="000000" w:themeColor="text1"/>
        </w:rPr>
        <w:t xml:space="preserve"> MK</w:t>
      </w:r>
      <w:r w:rsidRPr="00535857">
        <w:rPr>
          <w:color w:val="000000" w:themeColor="text1"/>
        </w:rPr>
        <w:t xml:space="preserve"> noteikumu skaits</w:t>
      </w:r>
      <w:r w:rsidR="004B76CE" w:rsidRPr="00535857">
        <w:rPr>
          <w:color w:val="000000" w:themeColor="text1"/>
        </w:rPr>
        <w:t>, kuriem kavējas apstiprināšana valdībā</w:t>
      </w:r>
      <w:r w:rsidRPr="00535857">
        <w:rPr>
          <w:color w:val="000000" w:themeColor="text1"/>
        </w:rPr>
        <w:t>, gan arī to finanšu ietekme</w:t>
      </w:r>
      <w:r w:rsidR="004B76CE" w:rsidRPr="00535857">
        <w:rPr>
          <w:color w:val="000000" w:themeColor="text1"/>
        </w:rPr>
        <w:t xml:space="preserve">. No 11 MK noteikumiem, kuru apstiprināšana kavējas, tikai vienā gadījumā sagaidāms, ka MK noteikumi tiks apstiprināti jau tuvākajā laikā. Jāatzīmē, ka </w:t>
      </w:r>
      <w:r w:rsidR="004B76CE" w:rsidRPr="00D22DA1">
        <w:rPr>
          <w:color w:val="000000" w:themeColor="text1"/>
          <w:u w:val="single"/>
        </w:rPr>
        <w:t>gandrīz pus</w:t>
      </w:r>
      <w:r w:rsidR="00465983" w:rsidRPr="00D22DA1">
        <w:rPr>
          <w:color w:val="000000" w:themeColor="text1"/>
          <w:u w:val="single"/>
        </w:rPr>
        <w:t>e</w:t>
      </w:r>
      <w:r w:rsidR="004B76CE" w:rsidRPr="00D22DA1">
        <w:rPr>
          <w:color w:val="000000" w:themeColor="text1"/>
          <w:u w:val="single"/>
        </w:rPr>
        <w:t xml:space="preserve"> no 366,</w:t>
      </w:r>
      <w:r w:rsidR="00475785" w:rsidRPr="00D22DA1">
        <w:rPr>
          <w:color w:val="000000" w:themeColor="text1"/>
          <w:u w:val="single"/>
        </w:rPr>
        <w:t>9</w:t>
      </w:r>
      <w:r w:rsidR="004B76CE" w:rsidRPr="00D22DA1">
        <w:rPr>
          <w:color w:val="000000" w:themeColor="text1"/>
          <w:u w:val="single"/>
        </w:rPr>
        <w:t xml:space="preserve"> milj. </w:t>
      </w:r>
      <w:proofErr w:type="spellStart"/>
      <w:r w:rsidR="004B76CE" w:rsidRPr="00D22DA1">
        <w:rPr>
          <w:i/>
          <w:color w:val="000000" w:themeColor="text1"/>
          <w:u w:val="single"/>
        </w:rPr>
        <w:t>euro</w:t>
      </w:r>
      <w:proofErr w:type="spellEnd"/>
      <w:r w:rsidR="004B76CE" w:rsidRPr="00D22DA1">
        <w:rPr>
          <w:i/>
          <w:color w:val="000000" w:themeColor="text1"/>
          <w:u w:val="single"/>
        </w:rPr>
        <w:t xml:space="preserve"> </w:t>
      </w:r>
      <w:r w:rsidR="004B76CE" w:rsidRPr="00D22DA1">
        <w:rPr>
          <w:color w:val="000000" w:themeColor="text1"/>
          <w:u w:val="single"/>
        </w:rPr>
        <w:t xml:space="preserve">kavēto MK noteikumu finanšu apmēra </w:t>
      </w:r>
      <w:r w:rsidR="00465983" w:rsidRPr="00D22DA1">
        <w:rPr>
          <w:color w:val="000000" w:themeColor="text1"/>
          <w:u w:val="single"/>
        </w:rPr>
        <w:t xml:space="preserve">ir </w:t>
      </w:r>
      <w:r w:rsidR="004B76CE" w:rsidRPr="00D22DA1">
        <w:rPr>
          <w:color w:val="000000" w:themeColor="text1"/>
          <w:u w:val="single"/>
        </w:rPr>
        <w:t>veselības infrastruktūras</w:t>
      </w:r>
      <w:r w:rsidR="00465983" w:rsidRPr="00D22DA1">
        <w:rPr>
          <w:color w:val="000000" w:themeColor="text1"/>
          <w:u w:val="single"/>
        </w:rPr>
        <w:t xml:space="preserve"> jomā</w:t>
      </w:r>
      <w:r w:rsidR="00DA775F" w:rsidRPr="00535857">
        <w:rPr>
          <w:color w:val="000000" w:themeColor="text1"/>
        </w:rPr>
        <w:t>. (</w:t>
      </w:r>
      <w:r w:rsidR="00465983">
        <w:rPr>
          <w:color w:val="000000" w:themeColor="text1"/>
        </w:rPr>
        <w:t>skat.</w:t>
      </w:r>
      <w:r w:rsidR="00DA775F" w:rsidRPr="00535857">
        <w:rPr>
          <w:color w:val="000000" w:themeColor="text1"/>
        </w:rPr>
        <w:t xml:space="preserve"> šī ziņojuma 2.pielikumā). </w:t>
      </w:r>
    </w:p>
    <w:p w14:paraId="7FC0A8BD" w14:textId="471A4932" w:rsidR="00773E87" w:rsidRPr="00E4395E" w:rsidRDefault="00773E87" w:rsidP="005E414D">
      <w:pPr>
        <w:pStyle w:val="ListParagraph"/>
        <w:numPr>
          <w:ilvl w:val="1"/>
          <w:numId w:val="14"/>
        </w:numPr>
        <w:suppressAutoHyphens/>
        <w:spacing w:before="120" w:after="120"/>
        <w:ind w:left="0" w:firstLine="0"/>
        <w:contextualSpacing w:val="0"/>
        <w:jc w:val="both"/>
        <w:rPr>
          <w:color w:val="000000" w:themeColor="text1"/>
        </w:rPr>
      </w:pPr>
      <w:r w:rsidRPr="00535857">
        <w:rPr>
          <w:rFonts w:cs="Times New Roman"/>
          <w:szCs w:val="24"/>
        </w:rPr>
        <w:t>2016.gada oktobrī tika plānots apstiprināt finansiāli apjomīgus MK noteikumu</w:t>
      </w:r>
      <w:r>
        <w:rPr>
          <w:rFonts w:cs="Times New Roman"/>
          <w:szCs w:val="24"/>
        </w:rPr>
        <w:t>s</w:t>
      </w:r>
      <w:r w:rsidRPr="00535857">
        <w:rPr>
          <w:rFonts w:cs="Times New Roman"/>
          <w:szCs w:val="24"/>
        </w:rPr>
        <w:t xml:space="preserve"> – 6.2.1.1.pasākumam “</w:t>
      </w:r>
      <w:r w:rsidRPr="00D43243">
        <w:rPr>
          <w:rFonts w:cs="Times New Roman"/>
          <w:szCs w:val="24"/>
        </w:rPr>
        <w:t>Latvijas dzelzceļa tīkla elektrifikācija</w:t>
      </w:r>
      <w:r w:rsidRPr="00EF2395">
        <w:rPr>
          <w:rFonts w:cs="Times New Roman"/>
          <w:szCs w:val="24"/>
        </w:rPr>
        <w:t>”</w:t>
      </w:r>
      <w:r w:rsidRPr="008B1F93">
        <w:rPr>
          <w:rFonts w:cs="Times New Roman"/>
          <w:szCs w:val="24"/>
        </w:rPr>
        <w:t xml:space="preserve"> (346,6 milj. </w:t>
      </w:r>
      <w:proofErr w:type="spellStart"/>
      <w:r w:rsidRPr="008B1F93">
        <w:rPr>
          <w:rFonts w:cs="Times New Roman"/>
          <w:i/>
          <w:szCs w:val="24"/>
        </w:rPr>
        <w:t>euro</w:t>
      </w:r>
      <w:proofErr w:type="spellEnd"/>
      <w:r w:rsidRPr="008B1F93">
        <w:rPr>
          <w:rFonts w:cs="Times New Roman"/>
          <w:szCs w:val="24"/>
        </w:rPr>
        <w:t>)</w:t>
      </w:r>
      <w:r w:rsidR="00614193">
        <w:rPr>
          <w:rFonts w:cs="Times New Roman"/>
          <w:szCs w:val="24"/>
        </w:rPr>
        <w:t xml:space="preserve">,  aktuālais </w:t>
      </w:r>
      <w:r w:rsidRPr="008B1F93">
        <w:rPr>
          <w:rFonts w:cs="Times New Roman"/>
          <w:szCs w:val="24"/>
        </w:rPr>
        <w:t>plāns</w:t>
      </w:r>
      <w:r w:rsidR="00614193">
        <w:rPr>
          <w:rFonts w:cs="Times New Roman"/>
          <w:szCs w:val="24"/>
        </w:rPr>
        <w:t xml:space="preserve"> apstiprināšanai </w:t>
      </w:r>
      <w:r w:rsidRPr="008B1F93">
        <w:rPr>
          <w:rFonts w:cs="Times New Roman"/>
          <w:szCs w:val="24"/>
        </w:rPr>
        <w:t xml:space="preserve"> 2016.gada novemb</w:t>
      </w:r>
      <w:r w:rsidR="00F66A9C">
        <w:rPr>
          <w:rFonts w:cs="Times New Roman"/>
          <w:szCs w:val="24"/>
        </w:rPr>
        <w:t>rī</w:t>
      </w:r>
      <w:r>
        <w:rPr>
          <w:rFonts w:cs="Times New Roman"/>
          <w:szCs w:val="24"/>
        </w:rPr>
        <w:t xml:space="preserve"> (</w:t>
      </w:r>
      <w:r w:rsidR="00465983">
        <w:rPr>
          <w:rFonts w:cs="Times New Roman"/>
          <w:szCs w:val="24"/>
        </w:rPr>
        <w:t>skat.</w:t>
      </w:r>
      <w:r>
        <w:rPr>
          <w:rFonts w:cs="Times New Roman"/>
          <w:szCs w:val="24"/>
        </w:rPr>
        <w:t xml:space="preserve"> šī ziņojuma 3.pielikumā)</w:t>
      </w:r>
      <w:r w:rsidRPr="008B1F93">
        <w:rPr>
          <w:rFonts w:cs="Times New Roman"/>
          <w:szCs w:val="24"/>
        </w:rPr>
        <w:t>.</w:t>
      </w:r>
      <w:r w:rsidR="00614193">
        <w:rPr>
          <w:rFonts w:cs="Times New Roman"/>
          <w:szCs w:val="24"/>
        </w:rPr>
        <w:t xml:space="preserve"> Attiecīgi 2016.gada oktobrī nav paredzams ievērojams apstiprināto MK noteikumu progress, tā kā par finansiāli apjomīgāko investīciju nosacījum</w:t>
      </w:r>
      <w:r w:rsidR="00073BE5">
        <w:rPr>
          <w:rFonts w:cs="Times New Roman"/>
          <w:szCs w:val="24"/>
        </w:rPr>
        <w:t>ie</w:t>
      </w:r>
      <w:r w:rsidR="00614193">
        <w:rPr>
          <w:rFonts w:cs="Times New Roman"/>
          <w:szCs w:val="24"/>
        </w:rPr>
        <w:t xml:space="preserve">m lēmumi plānoti gada pēdējos mēnešos. </w:t>
      </w:r>
    </w:p>
    <w:p w14:paraId="386CCF99" w14:textId="5676DA3B" w:rsidR="0003345C" w:rsidRPr="00F66A9C" w:rsidRDefault="0003345C" w:rsidP="0003345C">
      <w:pPr>
        <w:pStyle w:val="ListParagraph"/>
        <w:numPr>
          <w:ilvl w:val="1"/>
          <w:numId w:val="14"/>
        </w:numPr>
        <w:suppressAutoHyphens/>
        <w:spacing w:before="120" w:after="120"/>
        <w:ind w:left="0" w:firstLine="0"/>
        <w:contextualSpacing w:val="0"/>
        <w:jc w:val="both"/>
        <w:rPr>
          <w:color w:val="000000" w:themeColor="text1"/>
          <w:u w:val="single"/>
        </w:rPr>
      </w:pPr>
      <w:r w:rsidRPr="00F66A9C">
        <w:rPr>
          <w:rFonts w:cs="Times New Roman"/>
          <w:szCs w:val="24"/>
        </w:rPr>
        <w:t xml:space="preserve">Informācija par MK noteikumiem, kuriem tiek kavēta izsludināšana VSS, ir pieejama šī ziņojuma 3.pielikumā. </w:t>
      </w:r>
      <w:r w:rsidR="00614193" w:rsidRPr="00F66A9C">
        <w:rPr>
          <w:rFonts w:cs="Times New Roman"/>
          <w:szCs w:val="24"/>
          <w:u w:val="single"/>
        </w:rPr>
        <w:t xml:space="preserve">Atzīmējams, ka palielinās </w:t>
      </w:r>
      <w:r w:rsidR="00C800C7" w:rsidRPr="00F66A9C">
        <w:rPr>
          <w:rFonts w:cs="Times New Roman"/>
          <w:szCs w:val="24"/>
          <w:u w:val="single"/>
        </w:rPr>
        <w:t xml:space="preserve">riski </w:t>
      </w:r>
      <w:r w:rsidRPr="00F66A9C">
        <w:rPr>
          <w:rFonts w:cs="Times New Roman"/>
          <w:szCs w:val="24"/>
          <w:u w:val="single"/>
        </w:rPr>
        <w:t xml:space="preserve"> 3.1.1.3.pasākum</w:t>
      </w:r>
      <w:r w:rsidR="00C800C7" w:rsidRPr="00F66A9C">
        <w:rPr>
          <w:rFonts w:cs="Times New Roman"/>
          <w:szCs w:val="24"/>
          <w:u w:val="single"/>
        </w:rPr>
        <w:t>a</w:t>
      </w:r>
      <w:r w:rsidRPr="00F66A9C">
        <w:rPr>
          <w:rFonts w:cs="Times New Roman"/>
          <w:szCs w:val="24"/>
          <w:u w:val="single"/>
        </w:rPr>
        <w:t xml:space="preserve"> “Biznesa eņģeļu ko-</w:t>
      </w:r>
      <w:r w:rsidRPr="00F66A9C">
        <w:rPr>
          <w:rFonts w:cs="Times New Roman"/>
          <w:szCs w:val="24"/>
          <w:u w:val="single"/>
        </w:rPr>
        <w:lastRenderedPageBreak/>
        <w:t>investīciju fonds”</w:t>
      </w:r>
      <w:r w:rsidR="00C800C7" w:rsidRPr="00F66A9C">
        <w:rPr>
          <w:rFonts w:cs="Times New Roman"/>
          <w:szCs w:val="24"/>
          <w:u w:val="single"/>
        </w:rPr>
        <w:t xml:space="preserve"> sekmīgā uzsākšanā, jo </w:t>
      </w:r>
      <w:r w:rsidR="00614193" w:rsidRPr="00F66A9C">
        <w:rPr>
          <w:rFonts w:cs="Times New Roman"/>
          <w:szCs w:val="24"/>
          <w:u w:val="single"/>
        </w:rPr>
        <w:t>arvien tiek pārplānoti termiņi, nobīdot uz vēlāku laiku,</w:t>
      </w:r>
      <w:r w:rsidR="00614193" w:rsidRPr="00F66A9C">
        <w:rPr>
          <w:rFonts w:cs="Times New Roman"/>
          <w:szCs w:val="24"/>
        </w:rPr>
        <w:t xml:space="preserve"> t.i., sākotnēji plānotais izsludināšanas termiņš VSS kopumā ir atlikts par gandrīz gadu – no 2016.gada februāra uz 2017.gada janvāri. S</w:t>
      </w:r>
      <w:r w:rsidR="00C800C7" w:rsidRPr="00F66A9C">
        <w:rPr>
          <w:rFonts w:cs="Times New Roman"/>
          <w:szCs w:val="24"/>
        </w:rPr>
        <w:t>askaņā ar Ekonomikas ministrijas</w:t>
      </w:r>
      <w:r w:rsidR="003B01E1">
        <w:rPr>
          <w:rFonts w:cs="Times New Roman"/>
          <w:szCs w:val="24"/>
        </w:rPr>
        <w:t xml:space="preserve"> (turpmāk – EM)</w:t>
      </w:r>
      <w:r w:rsidR="00C800C7" w:rsidRPr="00F66A9C">
        <w:rPr>
          <w:rFonts w:cs="Times New Roman"/>
          <w:szCs w:val="24"/>
        </w:rPr>
        <w:t xml:space="preserve"> informāciju  š</w:t>
      </w:r>
      <w:r w:rsidRPr="00F66A9C">
        <w:rPr>
          <w:rFonts w:cs="Times New Roman"/>
          <w:szCs w:val="24"/>
        </w:rPr>
        <w:t>o noteikumu savlaicīg</w:t>
      </w:r>
      <w:r w:rsidR="00614193" w:rsidRPr="00F66A9C">
        <w:rPr>
          <w:rFonts w:cs="Times New Roman"/>
          <w:szCs w:val="24"/>
        </w:rPr>
        <w:t>a</w:t>
      </w:r>
      <w:r w:rsidRPr="00F66A9C">
        <w:rPr>
          <w:rFonts w:cs="Times New Roman"/>
          <w:szCs w:val="24"/>
        </w:rPr>
        <w:t xml:space="preserve"> izstrāde</w:t>
      </w:r>
      <w:r w:rsidR="00614193" w:rsidRPr="00F66A9C">
        <w:rPr>
          <w:rFonts w:cs="Times New Roman"/>
          <w:szCs w:val="24"/>
        </w:rPr>
        <w:t xml:space="preserve"> arvien</w:t>
      </w:r>
      <w:r w:rsidRPr="00F66A9C">
        <w:rPr>
          <w:rFonts w:cs="Times New Roman"/>
          <w:szCs w:val="24"/>
        </w:rPr>
        <w:t xml:space="preserve"> kavējas</w:t>
      </w:r>
      <w:r w:rsidR="00614193" w:rsidRPr="00F66A9C">
        <w:rPr>
          <w:rFonts w:cs="Times New Roman"/>
          <w:szCs w:val="24"/>
        </w:rPr>
        <w:t>,</w:t>
      </w:r>
      <w:r w:rsidR="00C800C7" w:rsidRPr="00F66A9C">
        <w:rPr>
          <w:rFonts w:cs="Times New Roman"/>
          <w:szCs w:val="24"/>
        </w:rPr>
        <w:t xml:space="preserve"> </w:t>
      </w:r>
      <w:r w:rsidRPr="00F66A9C">
        <w:rPr>
          <w:rFonts w:cs="Times New Roman"/>
          <w:szCs w:val="24"/>
        </w:rPr>
        <w:t>galvenokārt</w:t>
      </w:r>
      <w:r w:rsidR="00614193" w:rsidRPr="00F66A9C">
        <w:rPr>
          <w:rFonts w:cs="Times New Roman"/>
          <w:szCs w:val="24"/>
        </w:rPr>
        <w:t>,</w:t>
      </w:r>
      <w:r w:rsidRPr="00F66A9C">
        <w:rPr>
          <w:rFonts w:cs="Times New Roman"/>
          <w:szCs w:val="24"/>
        </w:rPr>
        <w:t xml:space="preserve"> </w:t>
      </w:r>
      <w:r w:rsidR="00614193" w:rsidRPr="00F66A9C">
        <w:rPr>
          <w:rFonts w:cs="Times New Roman"/>
          <w:szCs w:val="24"/>
        </w:rPr>
        <w:t xml:space="preserve">jo </w:t>
      </w:r>
      <w:r w:rsidRPr="00F66A9C">
        <w:rPr>
          <w:rFonts w:cs="Times New Roman"/>
          <w:szCs w:val="24"/>
        </w:rPr>
        <w:t xml:space="preserve">saskaņošana ar nozari un Eiropas Investīciju </w:t>
      </w:r>
      <w:r w:rsidR="00F66A9C" w:rsidRPr="00F66A9C">
        <w:rPr>
          <w:rFonts w:cs="Times New Roman"/>
          <w:szCs w:val="24"/>
        </w:rPr>
        <w:t>banku</w:t>
      </w:r>
      <w:r w:rsidR="006F32E9" w:rsidRPr="00F66A9C">
        <w:rPr>
          <w:rFonts w:cs="Times New Roman"/>
          <w:szCs w:val="24"/>
        </w:rPr>
        <w:t xml:space="preserve"> </w:t>
      </w:r>
      <w:r w:rsidRPr="00F66A9C">
        <w:rPr>
          <w:rFonts w:cs="Times New Roman"/>
          <w:szCs w:val="24"/>
        </w:rPr>
        <w:t>kā fonda (finanšu instrumenta) potenciālo ieviesēju</w:t>
      </w:r>
      <w:r w:rsidR="00614193" w:rsidRPr="00F66A9C">
        <w:rPr>
          <w:rFonts w:cs="Times New Roman"/>
          <w:szCs w:val="24"/>
        </w:rPr>
        <w:t xml:space="preserve"> prasa ievērojami lielāku laiku nekā sākotnēji plānots</w:t>
      </w:r>
      <w:r w:rsidRPr="00F66A9C">
        <w:rPr>
          <w:rFonts w:cs="Times New Roman"/>
          <w:szCs w:val="24"/>
        </w:rPr>
        <w:t xml:space="preserve">. </w:t>
      </w:r>
      <w:r w:rsidR="00614193" w:rsidRPr="00F66A9C">
        <w:rPr>
          <w:rFonts w:cs="Times New Roman"/>
          <w:szCs w:val="24"/>
        </w:rPr>
        <w:t xml:space="preserve"> </w:t>
      </w:r>
      <w:r w:rsidR="00614193" w:rsidRPr="00F66A9C">
        <w:rPr>
          <w:rFonts w:cs="Times New Roman"/>
          <w:szCs w:val="24"/>
          <w:u w:val="single"/>
        </w:rPr>
        <w:t>Šim jautājumam</w:t>
      </w:r>
      <w:r w:rsidR="00F66A9C" w:rsidRPr="00F66A9C">
        <w:rPr>
          <w:rFonts w:cs="Times New Roman"/>
          <w:szCs w:val="24"/>
          <w:u w:val="single"/>
        </w:rPr>
        <w:t xml:space="preserve"> turpmāk</w:t>
      </w:r>
      <w:r w:rsidR="00614193" w:rsidRPr="00F66A9C">
        <w:rPr>
          <w:rFonts w:cs="Times New Roman"/>
          <w:szCs w:val="24"/>
          <w:u w:val="single"/>
        </w:rPr>
        <w:t xml:space="preserve"> tiks pievērsta pastiprināta uzmanība</w:t>
      </w:r>
      <w:r w:rsidR="00662016" w:rsidRPr="00F66A9C">
        <w:rPr>
          <w:rFonts w:cs="Times New Roman"/>
          <w:szCs w:val="24"/>
          <w:u w:val="single"/>
        </w:rPr>
        <w:t>.</w:t>
      </w:r>
      <w:r w:rsidR="00614193" w:rsidRPr="00F66A9C">
        <w:rPr>
          <w:rFonts w:cs="Times New Roman"/>
          <w:szCs w:val="24"/>
          <w:u w:val="single"/>
        </w:rPr>
        <w:t xml:space="preserve"> </w:t>
      </w:r>
    </w:p>
    <w:p w14:paraId="3ABC77B3" w14:textId="624E3F16" w:rsidR="00360804" w:rsidRPr="007B7485" w:rsidRDefault="006528A8" w:rsidP="005E414D">
      <w:pPr>
        <w:pStyle w:val="ListParagraph"/>
        <w:numPr>
          <w:ilvl w:val="1"/>
          <w:numId w:val="14"/>
        </w:numPr>
        <w:suppressAutoHyphens/>
        <w:spacing w:before="120" w:after="120"/>
        <w:ind w:left="0" w:firstLine="0"/>
        <w:contextualSpacing w:val="0"/>
        <w:jc w:val="both"/>
        <w:rPr>
          <w:color w:val="000000" w:themeColor="text1"/>
        </w:rPr>
      </w:pPr>
      <w:r w:rsidRPr="00D22DA1">
        <w:rPr>
          <w:color w:val="000000" w:themeColor="text1"/>
        </w:rPr>
        <w:t>Neskatoties uz atsevišķām uzdevumu izpildes termiņu nobīdēm</w:t>
      </w:r>
      <w:r w:rsidR="00DA775F" w:rsidRPr="00D22DA1">
        <w:rPr>
          <w:color w:val="000000" w:themeColor="text1"/>
        </w:rPr>
        <w:t>,</w:t>
      </w:r>
      <w:r w:rsidR="00DA775F" w:rsidRPr="00E4395E">
        <w:rPr>
          <w:b/>
          <w:color w:val="000000" w:themeColor="text1"/>
        </w:rPr>
        <w:t xml:space="preserve"> joprojām iespējams sasniegt</w:t>
      </w:r>
      <w:r w:rsidR="00DA775F" w:rsidRPr="00E4395E">
        <w:rPr>
          <w:b/>
          <w:bCs/>
          <w:szCs w:val="28"/>
        </w:rPr>
        <w:t xml:space="preserve"> valdības mērķi līdz 2016 g</w:t>
      </w:r>
      <w:r w:rsidR="00475785" w:rsidRPr="00E4395E">
        <w:rPr>
          <w:b/>
          <w:bCs/>
          <w:szCs w:val="28"/>
        </w:rPr>
        <w:t>ada</w:t>
      </w:r>
      <w:r w:rsidR="00DA775F" w:rsidRPr="00E4395E">
        <w:rPr>
          <w:b/>
          <w:bCs/>
          <w:szCs w:val="28"/>
        </w:rPr>
        <w:t xml:space="preserve"> beigām </w:t>
      </w:r>
      <w:r w:rsidR="00DA775F" w:rsidRPr="00E4395E">
        <w:rPr>
          <w:b/>
          <w:szCs w:val="28"/>
        </w:rPr>
        <w:t>apstiprināt MK noteikumus</w:t>
      </w:r>
      <w:r w:rsidR="00DA775F" w:rsidRPr="00E4395E">
        <w:rPr>
          <w:b/>
          <w:bCs/>
          <w:szCs w:val="28"/>
        </w:rPr>
        <w:t xml:space="preserve"> par vismaz 4 </w:t>
      </w:r>
      <w:proofErr w:type="spellStart"/>
      <w:r w:rsidR="007550A5">
        <w:rPr>
          <w:b/>
          <w:bCs/>
          <w:szCs w:val="28"/>
        </w:rPr>
        <w:t>mld</w:t>
      </w:r>
      <w:proofErr w:type="spellEnd"/>
      <w:r w:rsidR="00DA775F" w:rsidRPr="00E4395E">
        <w:rPr>
          <w:b/>
          <w:bCs/>
          <w:szCs w:val="28"/>
        </w:rPr>
        <w:t xml:space="preserve">. </w:t>
      </w:r>
      <w:proofErr w:type="spellStart"/>
      <w:r w:rsidR="00DA775F" w:rsidRPr="00E4395E">
        <w:rPr>
          <w:b/>
          <w:bCs/>
          <w:i/>
          <w:szCs w:val="28"/>
        </w:rPr>
        <w:t>euro</w:t>
      </w:r>
      <w:proofErr w:type="spellEnd"/>
      <w:r w:rsidR="00DA775F" w:rsidRPr="00E4395E">
        <w:rPr>
          <w:b/>
          <w:bCs/>
          <w:szCs w:val="28"/>
        </w:rPr>
        <w:t xml:space="preserve"> ES fondu investīcijām</w:t>
      </w:r>
      <w:r w:rsidR="004B76CE" w:rsidRPr="00E4395E">
        <w:rPr>
          <w:b/>
          <w:color w:val="000000" w:themeColor="text1"/>
          <w:sz w:val="22"/>
        </w:rPr>
        <w:t xml:space="preserve"> </w:t>
      </w:r>
      <w:r w:rsidR="00DA775F" w:rsidRPr="007550A5">
        <w:rPr>
          <w:b/>
          <w:color w:val="000000" w:themeColor="text1"/>
        </w:rPr>
        <w:t>(90% no kopējā pieejamā ES fondu finansējuma)</w:t>
      </w:r>
      <w:r w:rsidR="007B7485" w:rsidRPr="007550A5">
        <w:rPr>
          <w:color w:val="000000" w:themeColor="text1"/>
        </w:rPr>
        <w:t>,</w:t>
      </w:r>
      <w:r w:rsidR="007B7485" w:rsidRPr="00EF20AA">
        <w:rPr>
          <w:rStyle w:val="Strong"/>
        </w:rPr>
        <w:t xml:space="preserve"> </w:t>
      </w:r>
      <w:r w:rsidR="007B7485" w:rsidRPr="007550A5">
        <w:rPr>
          <w:rStyle w:val="Strong"/>
        </w:rPr>
        <w:t>ja izdosies līdz gada beigām pieņemt atlikušos stratēģiski nozīmīgos lēmumus ar ES finan</w:t>
      </w:r>
      <w:r w:rsidR="00452781">
        <w:rPr>
          <w:rStyle w:val="Strong"/>
        </w:rPr>
        <w:t>šu atbalstu kopā pat 500 milj.</w:t>
      </w:r>
      <w:r w:rsidR="007B7485" w:rsidRPr="007550A5">
        <w:rPr>
          <w:rStyle w:val="Strong"/>
        </w:rPr>
        <w:t xml:space="preserve"> </w:t>
      </w:r>
      <w:proofErr w:type="spellStart"/>
      <w:r w:rsidR="007B7485" w:rsidRPr="007550A5">
        <w:rPr>
          <w:rStyle w:val="Strong"/>
          <w:i/>
        </w:rPr>
        <w:t>euro</w:t>
      </w:r>
      <w:proofErr w:type="spellEnd"/>
      <w:r w:rsidR="007B7485" w:rsidRPr="007550A5">
        <w:rPr>
          <w:rStyle w:val="Strong"/>
        </w:rPr>
        <w:t xml:space="preserve"> par investīcijām veselības infrastruktūrā un dzelzceļa elektrifikācijā.</w:t>
      </w:r>
    </w:p>
    <w:p w14:paraId="0A00BD6F" w14:textId="16230E61" w:rsidR="00684ADB" w:rsidRPr="00DC058E" w:rsidRDefault="00684ADB" w:rsidP="007550A5">
      <w:pPr>
        <w:pStyle w:val="ListParagraph"/>
        <w:numPr>
          <w:ilvl w:val="1"/>
          <w:numId w:val="14"/>
        </w:numPr>
        <w:suppressAutoHyphens/>
        <w:spacing w:before="120" w:after="120"/>
        <w:ind w:left="0" w:firstLine="0"/>
        <w:contextualSpacing w:val="0"/>
        <w:jc w:val="both"/>
        <w:rPr>
          <w:color w:val="000000" w:themeColor="text1"/>
        </w:rPr>
      </w:pPr>
      <w:r w:rsidRPr="00DC058E">
        <w:rPr>
          <w:rFonts w:cs="Times New Roman"/>
          <w:szCs w:val="24"/>
        </w:rPr>
        <w:t>Detalizētāk MK noteikumu ikmēneša izpildi skatīt grafikā Nr.3.</w:t>
      </w:r>
    </w:p>
    <w:p w14:paraId="5970107B" w14:textId="1C827D25" w:rsidR="00684ADB" w:rsidRPr="009D277D" w:rsidRDefault="00684ADB" w:rsidP="00684ADB">
      <w:pPr>
        <w:rPr>
          <w:rFonts w:cs="Times New Roman"/>
          <w:b/>
          <w:i/>
          <w:sz w:val="22"/>
        </w:rPr>
      </w:pPr>
      <w:r w:rsidRPr="008D32FA">
        <w:rPr>
          <w:rFonts w:cs="Times New Roman"/>
          <w:b/>
          <w:i/>
          <w:sz w:val="22"/>
        </w:rPr>
        <w:t xml:space="preserve">Grafiks </w:t>
      </w:r>
      <w:r w:rsidRPr="00F35F3C">
        <w:rPr>
          <w:rFonts w:cs="Times New Roman"/>
          <w:b/>
          <w:i/>
          <w:sz w:val="22"/>
        </w:rPr>
        <w:t>Nr.</w:t>
      </w:r>
      <w:r w:rsidRPr="002F41D0">
        <w:rPr>
          <w:rFonts w:cs="Times New Roman"/>
          <w:b/>
          <w:i/>
          <w:sz w:val="22"/>
        </w:rPr>
        <w:t>3</w:t>
      </w:r>
      <w:r w:rsidRPr="002F41D0">
        <w:rPr>
          <w:rFonts w:cs="Times New Roman"/>
          <w:i/>
          <w:sz w:val="22"/>
        </w:rPr>
        <w:t xml:space="preserve"> “</w:t>
      </w:r>
      <w:r w:rsidRPr="002F41D0">
        <w:rPr>
          <w:rFonts w:eastAsia="Times New Roman" w:cs="Times New Roman"/>
          <w:bCs/>
          <w:i/>
          <w:color w:val="000000"/>
          <w:sz w:val="22"/>
        </w:rPr>
        <w:t xml:space="preserve">ES fondu investīciju uzsākšanas gatavība – MK noteikumi 2016.gads.(faktiskie dati līdz 2016.gada </w:t>
      </w:r>
      <w:r w:rsidR="00DA775F" w:rsidRPr="002F41D0">
        <w:rPr>
          <w:rFonts w:eastAsia="Times New Roman" w:cs="Times New Roman"/>
          <w:bCs/>
          <w:i/>
          <w:color w:val="000000"/>
          <w:sz w:val="22"/>
        </w:rPr>
        <w:t>1</w:t>
      </w:r>
      <w:r w:rsidR="00035523" w:rsidRPr="002F41D0">
        <w:rPr>
          <w:rFonts w:eastAsia="Times New Roman" w:cs="Times New Roman"/>
          <w:bCs/>
          <w:i/>
          <w:color w:val="000000"/>
          <w:sz w:val="22"/>
        </w:rPr>
        <w:t>.</w:t>
      </w:r>
      <w:r w:rsidR="00DA775F" w:rsidRPr="002F41D0">
        <w:rPr>
          <w:rFonts w:eastAsia="Times New Roman" w:cs="Times New Roman"/>
          <w:bCs/>
          <w:i/>
          <w:color w:val="000000"/>
          <w:sz w:val="22"/>
        </w:rPr>
        <w:t>oktobrim</w:t>
      </w:r>
      <w:r w:rsidRPr="002F41D0">
        <w:rPr>
          <w:rFonts w:eastAsia="Times New Roman" w:cs="Times New Roman"/>
          <w:bCs/>
          <w:i/>
          <w:color w:val="000000"/>
          <w:sz w:val="22"/>
        </w:rPr>
        <w:t>.</w:t>
      </w:r>
      <w:r w:rsidR="00452781">
        <w:rPr>
          <w:rFonts w:eastAsia="Times New Roman" w:cs="Times New Roman"/>
          <w:bCs/>
          <w:i/>
          <w:color w:val="000000"/>
          <w:sz w:val="22"/>
        </w:rPr>
        <w:t xml:space="preserve"> (nav izmaiņu uz 2016. gada 21. oktobri) </w:t>
      </w:r>
      <w:r w:rsidRPr="002F41D0">
        <w:rPr>
          <w:rFonts w:eastAsia="Times New Roman" w:cs="Times New Roman"/>
          <w:bCs/>
          <w:i/>
          <w:color w:val="000000"/>
          <w:sz w:val="22"/>
        </w:rPr>
        <w:t xml:space="preserve">milj. </w:t>
      </w:r>
      <w:proofErr w:type="spellStart"/>
      <w:r w:rsidRPr="002F41D0">
        <w:rPr>
          <w:rFonts w:eastAsia="Times New Roman" w:cs="Times New Roman"/>
          <w:bCs/>
          <w:i/>
          <w:color w:val="000000"/>
          <w:sz w:val="22"/>
        </w:rPr>
        <w:t>euro</w:t>
      </w:r>
      <w:proofErr w:type="spellEnd"/>
      <w:r w:rsidRPr="002F41D0">
        <w:rPr>
          <w:rFonts w:eastAsia="Times New Roman" w:cs="Times New Roman"/>
          <w:bCs/>
          <w:i/>
          <w:color w:val="000000"/>
          <w:sz w:val="22"/>
        </w:rPr>
        <w:t>)”</w:t>
      </w:r>
      <w:r w:rsidRPr="007B786E">
        <w:rPr>
          <w:rStyle w:val="FootnoteReference"/>
          <w:rFonts w:eastAsia="Times New Roman" w:cs="Times New Roman"/>
          <w:bCs/>
          <w:i/>
          <w:color w:val="000000"/>
          <w:sz w:val="22"/>
        </w:rPr>
        <w:t xml:space="preserve"> </w:t>
      </w:r>
    </w:p>
    <w:p w14:paraId="3B3531A0" w14:textId="56F517EC" w:rsidR="00684ADB" w:rsidRDefault="00DA775F" w:rsidP="00684ADB">
      <w:pPr>
        <w:suppressAutoHyphens/>
        <w:spacing w:before="120" w:after="120" w:line="276" w:lineRule="auto"/>
        <w:jc w:val="both"/>
        <w:rPr>
          <w:rFonts w:eastAsia="Times New Roman" w:cs="Times New Roman"/>
          <w:b/>
          <w:bCs/>
          <w:i/>
          <w:color w:val="000000"/>
          <w:szCs w:val="24"/>
          <w:highlight w:val="yellow"/>
        </w:rPr>
      </w:pPr>
      <w:r>
        <w:rPr>
          <w:noProof/>
          <w:lang w:eastAsia="lv-LV"/>
        </w:rPr>
        <w:drawing>
          <wp:inline distT="0" distB="0" distL="0" distR="0" wp14:anchorId="13A38B02" wp14:editId="485B364A">
            <wp:extent cx="5939790" cy="3081655"/>
            <wp:effectExtent l="0" t="0" r="381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C473B0" w14:textId="289EE5D2" w:rsidR="00E72DA3" w:rsidRPr="00D22DA1" w:rsidRDefault="00684ADB" w:rsidP="00E72DA3">
      <w:pPr>
        <w:pStyle w:val="ListParagraph"/>
        <w:numPr>
          <w:ilvl w:val="1"/>
          <w:numId w:val="14"/>
        </w:numPr>
        <w:suppressAutoHyphens/>
        <w:spacing w:before="120" w:after="120"/>
        <w:ind w:left="0" w:firstLine="0"/>
        <w:contextualSpacing w:val="0"/>
        <w:jc w:val="both"/>
        <w:rPr>
          <w:color w:val="000000" w:themeColor="text1"/>
          <w:u w:val="single"/>
        </w:rPr>
      </w:pPr>
      <w:r w:rsidRPr="00E72DA3">
        <w:rPr>
          <w:rFonts w:cs="Times New Roman"/>
          <w:szCs w:val="24"/>
        </w:rPr>
        <w:t xml:space="preserve">Projektu iesniegumu </w:t>
      </w:r>
      <w:r w:rsidRPr="00E72DA3">
        <w:rPr>
          <w:rFonts w:cs="Times New Roman"/>
          <w:b/>
          <w:szCs w:val="24"/>
        </w:rPr>
        <w:t xml:space="preserve">atlašu izsludināšanas progress kopumā vērtējams </w:t>
      </w:r>
      <w:r w:rsidR="00265C0B" w:rsidRPr="00E72DA3">
        <w:rPr>
          <w:rFonts w:cs="Times New Roman"/>
          <w:b/>
          <w:szCs w:val="24"/>
        </w:rPr>
        <w:t xml:space="preserve">ļoti </w:t>
      </w:r>
      <w:r w:rsidRPr="00E72DA3">
        <w:rPr>
          <w:rFonts w:cs="Times New Roman"/>
          <w:b/>
          <w:szCs w:val="24"/>
        </w:rPr>
        <w:t>labi</w:t>
      </w:r>
      <w:r w:rsidR="00253006" w:rsidRPr="00E72DA3">
        <w:rPr>
          <w:rFonts w:cs="Times New Roman"/>
          <w:szCs w:val="24"/>
        </w:rPr>
        <w:t>. A</w:t>
      </w:r>
      <w:r w:rsidRPr="00E72DA3">
        <w:rPr>
          <w:rFonts w:cs="Times New Roman"/>
          <w:szCs w:val="24"/>
        </w:rPr>
        <w:t xml:space="preserve">tsevišķos gadījumos </w:t>
      </w:r>
      <w:r w:rsidR="00253006" w:rsidRPr="00E72DA3">
        <w:rPr>
          <w:rFonts w:cs="Times New Roman"/>
          <w:szCs w:val="24"/>
        </w:rPr>
        <w:t>projektu konkursu (atlašu) uzsākšana</w:t>
      </w:r>
      <w:r w:rsidR="00C2310D" w:rsidRPr="00E72DA3">
        <w:rPr>
          <w:rFonts w:cs="Times New Roman"/>
          <w:szCs w:val="24"/>
        </w:rPr>
        <w:t xml:space="preserve">s termiņi </w:t>
      </w:r>
      <w:r w:rsidR="006528A8" w:rsidRPr="00E72DA3">
        <w:rPr>
          <w:rFonts w:cs="Times New Roman"/>
          <w:szCs w:val="24"/>
        </w:rPr>
        <w:t xml:space="preserve">vai projektu apstiprināšana </w:t>
      </w:r>
      <w:r w:rsidR="00253006" w:rsidRPr="004F42B6">
        <w:rPr>
          <w:rFonts w:cs="Times New Roman"/>
          <w:szCs w:val="24"/>
        </w:rPr>
        <w:t>ir atkarīg</w:t>
      </w:r>
      <w:r w:rsidR="00C2310D" w:rsidRPr="004F42B6">
        <w:rPr>
          <w:rFonts w:cs="Times New Roman"/>
          <w:szCs w:val="24"/>
        </w:rPr>
        <w:t>i</w:t>
      </w:r>
      <w:r w:rsidR="00253006" w:rsidRPr="004F42B6">
        <w:rPr>
          <w:rFonts w:cs="Times New Roman"/>
          <w:szCs w:val="24"/>
        </w:rPr>
        <w:t xml:space="preserve"> no </w:t>
      </w:r>
      <w:r w:rsidRPr="004F42B6">
        <w:rPr>
          <w:rFonts w:cs="Times New Roman"/>
          <w:szCs w:val="24"/>
        </w:rPr>
        <w:t>specifisk</w:t>
      </w:r>
      <w:r w:rsidR="00C2310D" w:rsidRPr="004F42B6">
        <w:rPr>
          <w:rFonts w:cs="Times New Roman"/>
          <w:szCs w:val="24"/>
        </w:rPr>
        <w:t>u</w:t>
      </w:r>
      <w:r w:rsidRPr="00660235">
        <w:rPr>
          <w:rFonts w:cs="Times New Roman"/>
          <w:szCs w:val="24"/>
        </w:rPr>
        <w:t xml:space="preserve"> priekšnosacījumu izpild</w:t>
      </w:r>
      <w:r w:rsidR="00253006" w:rsidRPr="00660235">
        <w:rPr>
          <w:rFonts w:cs="Times New Roman"/>
          <w:szCs w:val="24"/>
        </w:rPr>
        <w:t>es</w:t>
      </w:r>
      <w:r w:rsidRPr="00660235">
        <w:rPr>
          <w:rFonts w:cs="Times New Roman"/>
          <w:szCs w:val="24"/>
        </w:rPr>
        <w:t xml:space="preserve"> (piemēram, projektu ideju </w:t>
      </w:r>
      <w:proofErr w:type="spellStart"/>
      <w:r w:rsidRPr="00660235">
        <w:rPr>
          <w:rFonts w:cs="Times New Roman"/>
          <w:szCs w:val="24"/>
        </w:rPr>
        <w:t>priekšatlase</w:t>
      </w:r>
      <w:r w:rsidR="006528A8" w:rsidRPr="00660235">
        <w:rPr>
          <w:rFonts w:cs="Times New Roman"/>
          <w:szCs w:val="24"/>
        </w:rPr>
        <w:t>s</w:t>
      </w:r>
      <w:proofErr w:type="spellEnd"/>
      <w:r w:rsidR="006528A8" w:rsidRPr="00660235">
        <w:rPr>
          <w:rFonts w:cs="Times New Roman"/>
          <w:szCs w:val="24"/>
        </w:rPr>
        <w:t>, Eiropas Komisijas</w:t>
      </w:r>
      <w:r w:rsidR="00452781">
        <w:rPr>
          <w:rFonts w:cs="Times New Roman"/>
          <w:szCs w:val="24"/>
        </w:rPr>
        <w:t xml:space="preserve"> (turpmāk – EK)</w:t>
      </w:r>
      <w:r w:rsidR="006528A8" w:rsidRPr="00660235">
        <w:rPr>
          <w:rFonts w:cs="Times New Roman"/>
          <w:szCs w:val="24"/>
        </w:rPr>
        <w:t xml:space="preserve"> </w:t>
      </w:r>
      <w:r w:rsidR="006528A8" w:rsidRPr="00034E6C">
        <w:rPr>
          <w:rFonts w:cs="Times New Roman"/>
          <w:szCs w:val="24"/>
        </w:rPr>
        <w:t xml:space="preserve">dienestu </w:t>
      </w:r>
      <w:r w:rsidR="00E72DA3">
        <w:rPr>
          <w:rFonts w:cs="Times New Roman"/>
          <w:szCs w:val="24"/>
        </w:rPr>
        <w:t>at</w:t>
      </w:r>
      <w:r w:rsidR="006528A8" w:rsidRPr="00E72DA3">
        <w:rPr>
          <w:rFonts w:cs="Times New Roman"/>
          <w:szCs w:val="24"/>
        </w:rPr>
        <w:t>bild</w:t>
      </w:r>
      <w:r w:rsidR="00E72DA3">
        <w:rPr>
          <w:rFonts w:cs="Times New Roman"/>
          <w:szCs w:val="24"/>
        </w:rPr>
        <w:t>es</w:t>
      </w:r>
      <w:r w:rsidR="006528A8" w:rsidRPr="00E72DA3">
        <w:rPr>
          <w:rFonts w:cs="Times New Roman"/>
          <w:szCs w:val="24"/>
        </w:rPr>
        <w:t xml:space="preserve"> u.c.</w:t>
      </w:r>
      <w:r w:rsidRPr="00E72DA3">
        <w:rPr>
          <w:rFonts w:cs="Times New Roman"/>
          <w:szCs w:val="24"/>
        </w:rPr>
        <w:t>)</w:t>
      </w:r>
      <w:r w:rsidRPr="00535857">
        <w:rPr>
          <w:rStyle w:val="FootnoteReference"/>
          <w:rFonts w:cs="Times New Roman"/>
          <w:szCs w:val="24"/>
        </w:rPr>
        <w:footnoteReference w:id="7"/>
      </w:r>
      <w:r w:rsidRPr="00E72DA3">
        <w:rPr>
          <w:rFonts w:cs="Times New Roman"/>
          <w:szCs w:val="24"/>
        </w:rPr>
        <w:t>.</w:t>
      </w:r>
      <w:r w:rsidR="00AA07C3" w:rsidRPr="00E72DA3">
        <w:rPr>
          <w:rFonts w:eastAsia="Calibri" w:cs="Times New Roman"/>
          <w:szCs w:val="24"/>
          <w:lang w:eastAsia="ar-SA"/>
        </w:rPr>
        <w:t xml:space="preserve"> </w:t>
      </w:r>
      <w:r w:rsidR="006306A5" w:rsidRPr="00E72DA3">
        <w:rPr>
          <w:rFonts w:eastAsia="Calibri" w:cs="Times New Roman"/>
          <w:szCs w:val="24"/>
          <w:lang w:eastAsia="ar-SA"/>
        </w:rPr>
        <w:t xml:space="preserve">Projektu ideju </w:t>
      </w:r>
      <w:proofErr w:type="spellStart"/>
      <w:r w:rsidR="006306A5" w:rsidRPr="00E72DA3">
        <w:rPr>
          <w:rFonts w:eastAsia="Calibri" w:cs="Times New Roman"/>
          <w:szCs w:val="24"/>
          <w:lang w:eastAsia="ar-SA"/>
        </w:rPr>
        <w:t>priekšatlase</w:t>
      </w:r>
      <w:r w:rsidR="006528A8" w:rsidRPr="00E72DA3">
        <w:rPr>
          <w:rFonts w:eastAsia="Calibri" w:cs="Times New Roman"/>
          <w:szCs w:val="24"/>
          <w:lang w:eastAsia="ar-SA"/>
        </w:rPr>
        <w:t>s</w:t>
      </w:r>
      <w:proofErr w:type="spellEnd"/>
      <w:r w:rsidR="006306A5" w:rsidRPr="00E72DA3">
        <w:rPr>
          <w:rFonts w:eastAsia="Calibri" w:cs="Times New Roman"/>
          <w:szCs w:val="24"/>
          <w:lang w:eastAsia="ar-SA"/>
        </w:rPr>
        <w:t xml:space="preserve"> </w:t>
      </w:r>
      <w:r w:rsidR="006528A8" w:rsidRPr="00E72DA3">
        <w:rPr>
          <w:rFonts w:eastAsia="Calibri" w:cs="Times New Roman"/>
          <w:szCs w:val="24"/>
          <w:lang w:eastAsia="ar-SA"/>
        </w:rPr>
        <w:t xml:space="preserve">mērķis ir </w:t>
      </w:r>
      <w:r w:rsidR="006306A5" w:rsidRPr="00E72DA3">
        <w:rPr>
          <w:rFonts w:eastAsia="Calibri" w:cs="Times New Roman"/>
          <w:szCs w:val="24"/>
          <w:lang w:eastAsia="ar-SA"/>
        </w:rPr>
        <w:t>nodrošinā</w:t>
      </w:r>
      <w:r w:rsidR="006528A8" w:rsidRPr="00E72DA3">
        <w:rPr>
          <w:rFonts w:eastAsia="Calibri" w:cs="Times New Roman"/>
          <w:szCs w:val="24"/>
          <w:lang w:eastAsia="ar-SA"/>
        </w:rPr>
        <w:t>t</w:t>
      </w:r>
      <w:r w:rsidR="006306A5" w:rsidRPr="00E72DA3">
        <w:rPr>
          <w:rFonts w:eastAsia="Calibri" w:cs="Times New Roman"/>
          <w:szCs w:val="24"/>
          <w:lang w:eastAsia="ar-SA"/>
        </w:rPr>
        <w:t xml:space="preserve"> kvalitatīvāku, mērķtiecīgāku un koordinētu projektu īstenošanu</w:t>
      </w:r>
      <w:r w:rsidR="00E72DA3">
        <w:rPr>
          <w:rFonts w:eastAsia="Calibri" w:cs="Times New Roman"/>
          <w:szCs w:val="24"/>
          <w:lang w:eastAsia="ar-SA"/>
        </w:rPr>
        <w:t xml:space="preserve">. </w:t>
      </w:r>
      <w:r w:rsidR="00E72DA3" w:rsidRPr="00D22DA1">
        <w:rPr>
          <w:rFonts w:eastAsia="Calibri" w:cs="Times New Roman"/>
          <w:szCs w:val="24"/>
          <w:u w:val="single"/>
          <w:lang w:eastAsia="ar-SA"/>
        </w:rPr>
        <w:t xml:space="preserve">Tādēļ gadījumos, kad </w:t>
      </w:r>
      <w:r w:rsidR="00624251">
        <w:rPr>
          <w:rFonts w:eastAsia="Calibri" w:cs="Times New Roman"/>
          <w:szCs w:val="24"/>
          <w:u w:val="single"/>
          <w:lang w:eastAsia="ar-SA"/>
        </w:rPr>
        <w:t>ieilgst</w:t>
      </w:r>
      <w:r w:rsidR="00624251" w:rsidRPr="00D22DA1">
        <w:rPr>
          <w:rFonts w:eastAsia="Calibri" w:cs="Times New Roman"/>
          <w:szCs w:val="24"/>
          <w:u w:val="single"/>
          <w:lang w:eastAsia="ar-SA"/>
        </w:rPr>
        <w:t xml:space="preserve"> </w:t>
      </w:r>
      <w:r w:rsidR="00E72DA3" w:rsidRPr="00D22DA1">
        <w:rPr>
          <w:rFonts w:eastAsia="Calibri" w:cs="Times New Roman"/>
          <w:szCs w:val="24"/>
          <w:u w:val="single"/>
          <w:lang w:eastAsia="ar-SA"/>
        </w:rPr>
        <w:t>šo priekšnosacījumu izpilde, tiek kavēts turpmākais process</w:t>
      </w:r>
      <w:r w:rsidR="00E72DA3">
        <w:rPr>
          <w:rFonts w:eastAsia="Calibri" w:cs="Times New Roman"/>
          <w:szCs w:val="24"/>
          <w:u w:val="single"/>
          <w:lang w:eastAsia="ar-SA"/>
        </w:rPr>
        <w:t xml:space="preserve"> un reālo investīciju veikšana</w:t>
      </w:r>
      <w:r w:rsidR="00E72DA3" w:rsidRPr="00D22DA1">
        <w:rPr>
          <w:rFonts w:eastAsia="Calibri" w:cs="Times New Roman"/>
          <w:szCs w:val="24"/>
          <w:u w:val="single"/>
          <w:lang w:eastAsia="ar-SA"/>
        </w:rPr>
        <w:t>. Konstatētie būtiskākie priekšnosacījumu izpildes gadījumi, kam turpmāk tiks pievērsta pastiprināta uzmanība, ir šādi:</w:t>
      </w:r>
    </w:p>
    <w:p w14:paraId="27115564" w14:textId="7ED5EC25" w:rsidR="00E72DA3" w:rsidRPr="000844FA" w:rsidRDefault="000844FA" w:rsidP="00FD3316">
      <w:pPr>
        <w:pStyle w:val="ListParagraph"/>
        <w:numPr>
          <w:ilvl w:val="1"/>
          <w:numId w:val="18"/>
        </w:numPr>
        <w:suppressAutoHyphens/>
        <w:spacing w:before="120" w:after="120"/>
        <w:jc w:val="both"/>
        <w:rPr>
          <w:rFonts w:eastAsia="Calibri" w:cs="Times New Roman"/>
          <w:szCs w:val="24"/>
          <w:lang w:eastAsia="ar-SA"/>
        </w:rPr>
      </w:pPr>
      <w:r>
        <w:rPr>
          <w:rFonts w:eastAsia="Calibri" w:cs="Times New Roman"/>
          <w:szCs w:val="24"/>
          <w:lang w:eastAsia="ar-SA"/>
        </w:rPr>
        <w:t>l</w:t>
      </w:r>
      <w:r w:rsidRPr="000844FA">
        <w:rPr>
          <w:rFonts w:eastAsia="Calibri" w:cs="Times New Roman"/>
          <w:szCs w:val="24"/>
          <w:lang w:eastAsia="ar-SA"/>
        </w:rPr>
        <w:t xml:space="preserve">ai arī projektu iesniegumu atlase </w:t>
      </w:r>
      <w:r w:rsidR="00624251">
        <w:rPr>
          <w:rFonts w:eastAsia="Calibri" w:cs="Times New Roman"/>
          <w:szCs w:val="24"/>
          <w:lang w:eastAsia="ar-SA"/>
        </w:rPr>
        <w:t>informācijas un komunikācijas tehnoloģiju</w:t>
      </w:r>
      <w:r w:rsidR="005C667D">
        <w:rPr>
          <w:rFonts w:eastAsia="Calibri" w:cs="Times New Roman"/>
          <w:szCs w:val="24"/>
          <w:lang w:eastAsia="ar-SA"/>
        </w:rPr>
        <w:t xml:space="preserve"> (turpmāk – IKT)</w:t>
      </w:r>
      <w:r w:rsidR="00624251">
        <w:rPr>
          <w:rFonts w:eastAsia="Calibri" w:cs="Times New Roman"/>
          <w:szCs w:val="24"/>
          <w:lang w:eastAsia="ar-SA"/>
        </w:rPr>
        <w:t xml:space="preserve"> infrastruktūras attīstībai</w:t>
      </w:r>
      <w:r w:rsidR="00624251">
        <w:rPr>
          <w:rStyle w:val="FootnoteReference"/>
          <w:rFonts w:eastAsia="Calibri" w:cs="Times New Roman"/>
          <w:szCs w:val="24"/>
          <w:lang w:eastAsia="ar-SA"/>
        </w:rPr>
        <w:footnoteReference w:id="8"/>
      </w:r>
      <w:r w:rsidR="00624251">
        <w:rPr>
          <w:rFonts w:eastAsia="Calibri" w:cs="Times New Roman"/>
          <w:szCs w:val="24"/>
          <w:lang w:eastAsia="ar-SA"/>
        </w:rPr>
        <w:t xml:space="preserve"> </w:t>
      </w:r>
      <w:r w:rsidRPr="000844FA">
        <w:rPr>
          <w:rFonts w:eastAsia="Calibri" w:cs="Times New Roman"/>
          <w:szCs w:val="24"/>
          <w:lang w:eastAsia="ar-SA"/>
        </w:rPr>
        <w:t>ir uzsākta</w:t>
      </w:r>
      <w:r w:rsidR="00624251">
        <w:rPr>
          <w:rFonts w:eastAsia="Calibri" w:cs="Times New Roman"/>
          <w:szCs w:val="24"/>
          <w:lang w:eastAsia="ar-SA"/>
        </w:rPr>
        <w:t xml:space="preserve"> </w:t>
      </w:r>
      <w:r w:rsidR="005C667D">
        <w:rPr>
          <w:rFonts w:eastAsia="Calibri" w:cs="Times New Roman"/>
          <w:szCs w:val="24"/>
          <w:lang w:eastAsia="ar-SA"/>
        </w:rPr>
        <w:t xml:space="preserve">jau </w:t>
      </w:r>
      <w:r w:rsidR="00624251">
        <w:rPr>
          <w:rFonts w:eastAsia="Calibri" w:cs="Times New Roman"/>
          <w:szCs w:val="24"/>
          <w:lang w:eastAsia="ar-SA"/>
        </w:rPr>
        <w:t>2016.gada</w:t>
      </w:r>
      <w:r w:rsidR="005C667D">
        <w:rPr>
          <w:rFonts w:eastAsia="Calibri" w:cs="Times New Roman"/>
          <w:szCs w:val="24"/>
          <w:lang w:eastAsia="ar-SA"/>
        </w:rPr>
        <w:t xml:space="preserve"> aprīlī</w:t>
      </w:r>
      <w:r w:rsidRPr="000844FA">
        <w:rPr>
          <w:rFonts w:eastAsia="Calibri" w:cs="Times New Roman"/>
          <w:szCs w:val="24"/>
          <w:lang w:eastAsia="ar-SA"/>
        </w:rPr>
        <w:t xml:space="preserve">, </w:t>
      </w:r>
      <w:r w:rsidR="000D545F">
        <w:rPr>
          <w:rFonts w:eastAsia="Calibri" w:cs="Times New Roman"/>
          <w:szCs w:val="24"/>
          <w:lang w:eastAsia="ar-SA"/>
        </w:rPr>
        <w:t>kopumā</w:t>
      </w:r>
      <w:r w:rsidRPr="000844FA">
        <w:rPr>
          <w:rFonts w:eastAsia="Calibri" w:cs="Times New Roman"/>
          <w:szCs w:val="24"/>
          <w:lang w:eastAsia="ar-SA"/>
        </w:rPr>
        <w:t xml:space="preserve"> vērojams </w:t>
      </w:r>
      <w:r w:rsidR="005C667D">
        <w:rPr>
          <w:rFonts w:eastAsia="Calibri" w:cs="Times New Roman"/>
          <w:szCs w:val="24"/>
          <w:lang w:eastAsia="ar-SA"/>
        </w:rPr>
        <w:t>lēns progress</w:t>
      </w:r>
      <w:r w:rsidRPr="000844FA">
        <w:rPr>
          <w:rFonts w:eastAsia="Calibri" w:cs="Times New Roman"/>
          <w:szCs w:val="24"/>
          <w:lang w:eastAsia="ar-SA"/>
        </w:rPr>
        <w:t xml:space="preserve"> </w:t>
      </w:r>
      <w:r w:rsidR="00DA33AB">
        <w:rPr>
          <w:rFonts w:eastAsia="Calibri" w:cs="Times New Roman"/>
          <w:szCs w:val="24"/>
          <w:lang w:eastAsia="ar-SA"/>
        </w:rPr>
        <w:t xml:space="preserve">detalizētu </w:t>
      </w:r>
      <w:r w:rsidRPr="000844FA">
        <w:rPr>
          <w:rFonts w:eastAsia="Calibri" w:cs="Times New Roman"/>
          <w:szCs w:val="24"/>
          <w:lang w:eastAsia="ar-SA"/>
        </w:rPr>
        <w:t xml:space="preserve">projektu aprakstu </w:t>
      </w:r>
      <w:r w:rsidR="00DA33AB">
        <w:rPr>
          <w:rFonts w:eastAsia="Calibri" w:cs="Times New Roman"/>
          <w:szCs w:val="24"/>
          <w:lang w:eastAsia="ar-SA"/>
        </w:rPr>
        <w:t xml:space="preserve">sagatavošanai un </w:t>
      </w:r>
      <w:r w:rsidRPr="000844FA">
        <w:rPr>
          <w:rFonts w:eastAsia="Calibri" w:cs="Times New Roman"/>
          <w:szCs w:val="24"/>
          <w:lang w:eastAsia="ar-SA"/>
        </w:rPr>
        <w:t>izstrād</w:t>
      </w:r>
      <w:r w:rsidR="005C667D">
        <w:rPr>
          <w:rFonts w:eastAsia="Calibri" w:cs="Times New Roman"/>
          <w:szCs w:val="24"/>
          <w:lang w:eastAsia="ar-SA"/>
        </w:rPr>
        <w:t>e</w:t>
      </w:r>
      <w:r w:rsidRPr="000844FA">
        <w:rPr>
          <w:rFonts w:eastAsia="Calibri" w:cs="Times New Roman"/>
          <w:szCs w:val="24"/>
          <w:lang w:eastAsia="ar-SA"/>
        </w:rPr>
        <w:t>i</w:t>
      </w:r>
      <w:r w:rsidR="00310428">
        <w:rPr>
          <w:rFonts w:eastAsia="Calibri" w:cs="Times New Roman"/>
          <w:szCs w:val="24"/>
          <w:lang w:eastAsia="ar-SA"/>
        </w:rPr>
        <w:t>,</w:t>
      </w:r>
      <w:r w:rsidR="00DA33AB">
        <w:rPr>
          <w:rFonts w:eastAsia="Calibri" w:cs="Times New Roman"/>
          <w:szCs w:val="24"/>
          <w:lang w:eastAsia="ar-SA"/>
        </w:rPr>
        <w:t xml:space="preserve"> un iekļaušanai</w:t>
      </w:r>
      <w:r w:rsidR="00DA33AB" w:rsidRPr="00DA33AB">
        <w:t xml:space="preserve"> </w:t>
      </w:r>
      <w:r w:rsidR="00DA33AB">
        <w:t xml:space="preserve">valsts vienotajā IKT </w:t>
      </w:r>
      <w:proofErr w:type="spellStart"/>
      <w:r w:rsidR="00DA33AB">
        <w:t>mērķarhitektūrā</w:t>
      </w:r>
      <w:proofErr w:type="spellEnd"/>
      <w:r w:rsidR="00DA33AB">
        <w:t>, kas ir priekšnoteikums</w:t>
      </w:r>
      <w:r w:rsidR="000D545F">
        <w:t xml:space="preserve"> projektu</w:t>
      </w:r>
      <w:r w:rsidR="00DA33AB">
        <w:t xml:space="preserve"> </w:t>
      </w:r>
      <w:r w:rsidR="00DA33AB">
        <w:lastRenderedPageBreak/>
        <w:t>iesniegšanai</w:t>
      </w:r>
      <w:r w:rsidR="00310428">
        <w:t xml:space="preserve"> </w:t>
      </w:r>
      <w:r w:rsidR="00310428" w:rsidRPr="00310428">
        <w:t>Cent</w:t>
      </w:r>
      <w:r w:rsidR="00310428">
        <w:t xml:space="preserve">rālajā finanšu un līgumu aģentūrā (turpmāk – </w:t>
      </w:r>
      <w:r w:rsidR="000D545F">
        <w:t>CFLA</w:t>
      </w:r>
      <w:r w:rsidR="00310428">
        <w:t>)</w:t>
      </w:r>
      <w:r w:rsidR="00DA33AB">
        <w:t>.</w:t>
      </w:r>
      <w:r w:rsidRPr="000844FA">
        <w:rPr>
          <w:rFonts w:eastAsia="Calibri" w:cs="Times New Roman"/>
          <w:szCs w:val="24"/>
          <w:lang w:eastAsia="ar-SA"/>
        </w:rPr>
        <w:t xml:space="preserve"> </w:t>
      </w:r>
      <w:r w:rsidR="00DA33AB">
        <w:rPr>
          <w:rFonts w:eastAsia="Calibri" w:cs="Times New Roman"/>
          <w:szCs w:val="24"/>
          <w:lang w:eastAsia="ar-SA"/>
        </w:rPr>
        <w:t>No plānotajiem</w:t>
      </w:r>
      <w:r w:rsidR="007E6376">
        <w:rPr>
          <w:rFonts w:eastAsia="Calibri" w:cs="Times New Roman"/>
          <w:szCs w:val="24"/>
          <w:lang w:eastAsia="ar-SA"/>
        </w:rPr>
        <w:t xml:space="preserve"> līdz šī gada beigām</w:t>
      </w:r>
      <w:r w:rsidR="00DA33AB">
        <w:rPr>
          <w:rFonts w:eastAsia="Calibri" w:cs="Times New Roman"/>
          <w:szCs w:val="24"/>
          <w:lang w:eastAsia="ar-SA"/>
        </w:rPr>
        <w:t xml:space="preserve"> 38</w:t>
      </w:r>
      <w:r w:rsidR="007E6376">
        <w:rPr>
          <w:rStyle w:val="FootnoteReference"/>
          <w:rFonts w:eastAsia="Calibri" w:cs="Times New Roman"/>
          <w:szCs w:val="24"/>
          <w:lang w:eastAsia="ar-SA"/>
        </w:rPr>
        <w:footnoteReference w:id="9"/>
      </w:r>
      <w:r w:rsidR="007E6376">
        <w:rPr>
          <w:rFonts w:eastAsia="Calibri" w:cs="Times New Roman"/>
          <w:szCs w:val="24"/>
          <w:lang w:eastAsia="ar-SA"/>
        </w:rPr>
        <w:t xml:space="preserve"> projektu aprakstiem, MK</w:t>
      </w:r>
      <w:r w:rsidR="00DA33AB">
        <w:rPr>
          <w:rFonts w:eastAsia="Calibri" w:cs="Times New Roman"/>
          <w:szCs w:val="24"/>
          <w:lang w:eastAsia="ar-SA"/>
        </w:rPr>
        <w:t xml:space="preserve"> </w:t>
      </w:r>
      <w:r w:rsidRPr="000844FA">
        <w:rPr>
          <w:rFonts w:eastAsia="Calibri" w:cs="Times New Roman"/>
          <w:szCs w:val="24"/>
          <w:lang w:eastAsia="ar-SA"/>
        </w:rPr>
        <w:t xml:space="preserve">ir </w:t>
      </w:r>
      <w:r w:rsidR="008300C7">
        <w:rPr>
          <w:rFonts w:eastAsia="Calibri" w:cs="Times New Roman"/>
          <w:szCs w:val="24"/>
          <w:lang w:eastAsia="ar-SA"/>
        </w:rPr>
        <w:t>pieņemti lēmumi</w:t>
      </w:r>
      <w:r w:rsidRPr="000844FA">
        <w:rPr>
          <w:rFonts w:eastAsia="Calibri" w:cs="Times New Roman"/>
          <w:szCs w:val="24"/>
          <w:lang w:eastAsia="ar-SA"/>
        </w:rPr>
        <w:t xml:space="preserve"> tikai</w:t>
      </w:r>
      <w:r w:rsidR="008300C7">
        <w:rPr>
          <w:rFonts w:eastAsia="Calibri" w:cs="Times New Roman"/>
          <w:szCs w:val="24"/>
          <w:lang w:eastAsia="ar-SA"/>
        </w:rPr>
        <w:t xml:space="preserve"> par</w:t>
      </w:r>
      <w:r w:rsidRPr="000844FA">
        <w:rPr>
          <w:rFonts w:eastAsia="Calibri" w:cs="Times New Roman"/>
          <w:szCs w:val="24"/>
          <w:lang w:eastAsia="ar-SA"/>
        </w:rPr>
        <w:t xml:space="preserve"> 5</w:t>
      </w:r>
      <w:r w:rsidR="007E6376">
        <w:rPr>
          <w:rFonts w:eastAsia="Calibri" w:cs="Times New Roman"/>
          <w:szCs w:val="24"/>
          <w:lang w:eastAsia="ar-SA"/>
        </w:rPr>
        <w:t xml:space="preserve"> </w:t>
      </w:r>
      <w:r w:rsidR="007E6376" w:rsidRPr="000844FA">
        <w:rPr>
          <w:rFonts w:eastAsia="Calibri" w:cs="Times New Roman"/>
          <w:szCs w:val="24"/>
          <w:lang w:eastAsia="ar-SA"/>
        </w:rPr>
        <w:t xml:space="preserve">(13%) </w:t>
      </w:r>
      <w:r w:rsidRPr="000844FA">
        <w:rPr>
          <w:rFonts w:eastAsia="Calibri" w:cs="Times New Roman"/>
          <w:szCs w:val="24"/>
          <w:lang w:eastAsia="ar-SA"/>
        </w:rPr>
        <w:t>projektu aprakst</w:t>
      </w:r>
      <w:r w:rsidR="008300C7">
        <w:rPr>
          <w:rFonts w:eastAsia="Calibri" w:cs="Times New Roman"/>
          <w:szCs w:val="24"/>
          <w:lang w:eastAsia="ar-SA"/>
        </w:rPr>
        <w:t xml:space="preserve">u </w:t>
      </w:r>
      <w:r w:rsidR="008300C7">
        <w:t xml:space="preserve">iekļaušanu valsts vienotajā IKT </w:t>
      </w:r>
      <w:proofErr w:type="spellStart"/>
      <w:r w:rsidR="008300C7">
        <w:t>mērķarhitektūrā</w:t>
      </w:r>
      <w:proofErr w:type="spellEnd"/>
      <w:r w:rsidR="00ED4A44">
        <w:t>,</w:t>
      </w:r>
      <w:r w:rsidR="00506D7D">
        <w:t xml:space="preserve"> attiecīgi arvien kritiskāk pieaug investīciju apgūšanas risks IKT jomā</w:t>
      </w:r>
      <w:r w:rsidRPr="000844FA">
        <w:rPr>
          <w:rFonts w:eastAsia="Calibri" w:cs="Times New Roman"/>
          <w:szCs w:val="24"/>
          <w:lang w:eastAsia="ar-SA"/>
        </w:rPr>
        <w:t>.</w:t>
      </w:r>
      <w:r>
        <w:rPr>
          <w:rFonts w:eastAsia="Calibri" w:cs="Times New Roman"/>
          <w:szCs w:val="24"/>
          <w:lang w:eastAsia="ar-SA"/>
        </w:rPr>
        <w:t xml:space="preserve"> </w:t>
      </w:r>
      <w:r w:rsidR="00060B70">
        <w:rPr>
          <w:rFonts w:eastAsia="Calibri" w:cs="Times New Roman"/>
          <w:szCs w:val="24"/>
          <w:lang w:eastAsia="ar-SA"/>
        </w:rPr>
        <w:t xml:space="preserve">Jākāpina tempi arī </w:t>
      </w:r>
      <w:proofErr w:type="spellStart"/>
      <w:r w:rsidR="00624251">
        <w:rPr>
          <w:rFonts w:eastAsia="Calibri" w:cs="Times New Roman"/>
          <w:szCs w:val="24"/>
          <w:lang w:eastAsia="ar-SA"/>
        </w:rPr>
        <w:t>d</w:t>
      </w:r>
      <w:r w:rsidR="00624251" w:rsidRPr="00E72DA3">
        <w:rPr>
          <w:rFonts w:eastAsia="Calibri" w:cs="Times New Roman"/>
          <w:szCs w:val="24"/>
          <w:lang w:eastAsia="ar-SA"/>
        </w:rPr>
        <w:t>igitalizācijas</w:t>
      </w:r>
      <w:proofErr w:type="spellEnd"/>
      <w:r w:rsidR="00624251">
        <w:rPr>
          <w:rStyle w:val="FootnoteReference"/>
          <w:rFonts w:eastAsia="Calibri" w:cs="Times New Roman"/>
          <w:szCs w:val="24"/>
          <w:lang w:eastAsia="ar-SA"/>
        </w:rPr>
        <w:footnoteReference w:id="10"/>
      </w:r>
      <w:r w:rsidR="009B707F">
        <w:rPr>
          <w:rFonts w:eastAsia="Calibri" w:cs="Times New Roman"/>
          <w:szCs w:val="24"/>
          <w:lang w:eastAsia="ar-SA"/>
        </w:rPr>
        <w:t xml:space="preserve"> </w:t>
      </w:r>
      <w:r w:rsidR="00060B70" w:rsidRPr="00E72DA3">
        <w:rPr>
          <w:rFonts w:eastAsia="Calibri" w:cs="Times New Roman"/>
          <w:szCs w:val="24"/>
          <w:lang w:eastAsia="ar-SA"/>
        </w:rPr>
        <w:t>projektu</w:t>
      </w:r>
      <w:r w:rsidR="00060B70">
        <w:rPr>
          <w:rFonts w:eastAsia="Calibri" w:cs="Times New Roman"/>
          <w:szCs w:val="24"/>
          <w:lang w:eastAsia="ar-SA"/>
        </w:rPr>
        <w:t xml:space="preserve"> </w:t>
      </w:r>
      <w:r w:rsidR="00060B70" w:rsidRPr="00E72DA3">
        <w:rPr>
          <w:rFonts w:eastAsia="Calibri" w:cs="Times New Roman"/>
          <w:szCs w:val="24"/>
          <w:lang w:eastAsia="ar-SA"/>
        </w:rPr>
        <w:t>aprakstu</w:t>
      </w:r>
      <w:r w:rsidR="00060B70">
        <w:rPr>
          <w:rFonts w:eastAsia="Calibri" w:cs="Times New Roman"/>
          <w:szCs w:val="24"/>
          <w:lang w:eastAsia="ar-SA"/>
        </w:rPr>
        <w:t xml:space="preserve"> izstrādei un</w:t>
      </w:r>
      <w:r w:rsidR="00060B70" w:rsidRPr="00E72DA3">
        <w:rPr>
          <w:rFonts w:eastAsia="Calibri" w:cs="Times New Roman"/>
          <w:szCs w:val="24"/>
          <w:lang w:eastAsia="ar-SA"/>
        </w:rPr>
        <w:t xml:space="preserve"> iekļaušana</w:t>
      </w:r>
      <w:r w:rsidR="00060B70">
        <w:rPr>
          <w:rFonts w:eastAsia="Calibri" w:cs="Times New Roman"/>
          <w:szCs w:val="24"/>
          <w:lang w:eastAsia="ar-SA"/>
        </w:rPr>
        <w:t>i vienotajā</w:t>
      </w:r>
      <w:r w:rsidR="00060B70" w:rsidRPr="00E72DA3">
        <w:rPr>
          <w:rFonts w:eastAsia="Calibri" w:cs="Times New Roman"/>
          <w:szCs w:val="24"/>
          <w:lang w:eastAsia="ar-SA"/>
        </w:rPr>
        <w:t xml:space="preserve"> IKT </w:t>
      </w:r>
      <w:proofErr w:type="spellStart"/>
      <w:r w:rsidR="00060B70" w:rsidRPr="00E72DA3">
        <w:rPr>
          <w:rFonts w:eastAsia="Calibri" w:cs="Times New Roman"/>
          <w:szCs w:val="24"/>
          <w:lang w:eastAsia="ar-SA"/>
        </w:rPr>
        <w:t>mērķarhitektūrā</w:t>
      </w:r>
      <w:proofErr w:type="spellEnd"/>
      <w:r w:rsidR="009B707F">
        <w:rPr>
          <w:rFonts w:eastAsia="Calibri" w:cs="Times New Roman"/>
          <w:szCs w:val="24"/>
          <w:lang w:eastAsia="ar-SA"/>
        </w:rPr>
        <w:t>.</w:t>
      </w:r>
      <w:r w:rsidR="00060B70">
        <w:rPr>
          <w:rFonts w:eastAsia="Calibri" w:cs="Times New Roman"/>
          <w:szCs w:val="24"/>
          <w:lang w:eastAsia="ar-SA"/>
        </w:rPr>
        <w:t xml:space="preserve"> </w:t>
      </w:r>
      <w:r w:rsidR="00EC34DC">
        <w:rPr>
          <w:rFonts w:eastAsia="Calibri" w:cs="Times New Roman"/>
          <w:szCs w:val="24"/>
          <w:lang w:eastAsia="ar-SA"/>
        </w:rPr>
        <w:t>N</w:t>
      </w:r>
      <w:r w:rsidR="00ED4A44" w:rsidRPr="000844FA">
        <w:rPr>
          <w:rFonts w:eastAsia="Calibri" w:cs="Times New Roman"/>
          <w:szCs w:val="24"/>
          <w:lang w:eastAsia="ar-SA"/>
        </w:rPr>
        <w:t>ozaru minis</w:t>
      </w:r>
      <w:r w:rsidRPr="000844FA">
        <w:rPr>
          <w:rFonts w:eastAsia="Calibri" w:cs="Times New Roman"/>
          <w:szCs w:val="24"/>
          <w:lang w:eastAsia="ar-SA"/>
        </w:rPr>
        <w:t>trij</w:t>
      </w:r>
      <w:r w:rsidR="00EC34DC">
        <w:rPr>
          <w:rFonts w:eastAsia="Calibri" w:cs="Times New Roman"/>
          <w:szCs w:val="24"/>
          <w:lang w:eastAsia="ar-SA"/>
        </w:rPr>
        <w:t>ām</w:t>
      </w:r>
      <w:r w:rsidR="00486F24">
        <w:rPr>
          <w:rFonts w:eastAsia="Calibri" w:cs="Times New Roman"/>
          <w:szCs w:val="24"/>
          <w:lang w:eastAsia="ar-SA"/>
        </w:rPr>
        <w:t xml:space="preserve"> daudz</w:t>
      </w:r>
      <w:r w:rsidRPr="000844FA">
        <w:rPr>
          <w:rFonts w:eastAsia="Calibri" w:cs="Times New Roman"/>
          <w:szCs w:val="24"/>
          <w:lang w:eastAsia="ar-SA"/>
        </w:rPr>
        <w:t xml:space="preserve"> intensīv</w:t>
      </w:r>
      <w:r w:rsidR="00EC34DC">
        <w:rPr>
          <w:rFonts w:eastAsia="Calibri" w:cs="Times New Roman"/>
          <w:szCs w:val="24"/>
          <w:lang w:eastAsia="ar-SA"/>
        </w:rPr>
        <w:t>āk jāveic izvirzītais</w:t>
      </w:r>
      <w:r w:rsidRPr="000844FA">
        <w:rPr>
          <w:rFonts w:eastAsia="Calibri" w:cs="Times New Roman"/>
          <w:szCs w:val="24"/>
          <w:lang w:eastAsia="ar-SA"/>
        </w:rPr>
        <w:t xml:space="preserve"> </w:t>
      </w:r>
      <w:r w:rsidR="00EC34DC">
        <w:rPr>
          <w:rFonts w:eastAsia="Calibri" w:cs="Times New Roman"/>
          <w:szCs w:val="24"/>
          <w:lang w:eastAsia="ar-SA"/>
        </w:rPr>
        <w:t>priekš</w:t>
      </w:r>
      <w:r w:rsidRPr="000844FA">
        <w:rPr>
          <w:rFonts w:eastAsia="Calibri" w:cs="Times New Roman"/>
          <w:szCs w:val="24"/>
          <w:lang w:eastAsia="ar-SA"/>
        </w:rPr>
        <w:t>darb</w:t>
      </w:r>
      <w:r w:rsidR="00EC34DC">
        <w:rPr>
          <w:rFonts w:eastAsia="Calibri" w:cs="Times New Roman"/>
          <w:szCs w:val="24"/>
          <w:lang w:eastAsia="ar-SA"/>
        </w:rPr>
        <w:t>s</w:t>
      </w:r>
      <w:r w:rsidRPr="000844FA">
        <w:rPr>
          <w:rFonts w:eastAsia="Calibri" w:cs="Times New Roman"/>
          <w:szCs w:val="24"/>
          <w:lang w:eastAsia="ar-SA"/>
        </w:rPr>
        <w:t xml:space="preserve"> pie plānoto IKT projektu aprakstu sagatavošanas</w:t>
      </w:r>
      <w:r w:rsidR="00EC34DC">
        <w:rPr>
          <w:rFonts w:eastAsia="Calibri" w:cs="Times New Roman"/>
          <w:szCs w:val="24"/>
          <w:lang w:eastAsia="ar-SA"/>
        </w:rPr>
        <w:t xml:space="preserve"> un saskaņošanas, iekļaušanai</w:t>
      </w:r>
      <w:r w:rsidR="00EC34DC" w:rsidRPr="00DA33AB">
        <w:t xml:space="preserve"> </w:t>
      </w:r>
      <w:r w:rsidR="00EC34DC">
        <w:t xml:space="preserve">valsts vienotajā IKT </w:t>
      </w:r>
      <w:proofErr w:type="spellStart"/>
      <w:r w:rsidR="00EC34DC">
        <w:t>mērķarhitektūrā</w:t>
      </w:r>
      <w:proofErr w:type="spellEnd"/>
      <w:r w:rsidR="00E01228" w:rsidRPr="000844FA">
        <w:rPr>
          <w:rFonts w:eastAsia="Calibri" w:cs="Times New Roman"/>
          <w:szCs w:val="24"/>
          <w:lang w:eastAsia="ar-SA"/>
        </w:rPr>
        <w:t>;</w:t>
      </w:r>
    </w:p>
    <w:p w14:paraId="0BA2ECDD" w14:textId="3F2C1674" w:rsidR="00814FD3" w:rsidRDefault="000D545F" w:rsidP="000844FA">
      <w:pPr>
        <w:pStyle w:val="ListParagraph"/>
        <w:numPr>
          <w:ilvl w:val="1"/>
          <w:numId w:val="18"/>
        </w:numPr>
        <w:suppressAutoHyphens/>
        <w:spacing w:before="120" w:after="120"/>
        <w:jc w:val="both"/>
        <w:rPr>
          <w:rFonts w:eastAsia="Calibri" w:cs="Times New Roman"/>
          <w:szCs w:val="24"/>
          <w:lang w:eastAsia="ar-SA"/>
        </w:rPr>
      </w:pPr>
      <w:r>
        <w:rPr>
          <w:rFonts w:eastAsia="Calibri" w:cs="Times New Roman"/>
          <w:szCs w:val="24"/>
          <w:lang w:eastAsia="ar-SA"/>
        </w:rPr>
        <w:t xml:space="preserve">integrētu teritoriālo investīciju </w:t>
      </w:r>
      <w:r w:rsidR="00814FD3">
        <w:rPr>
          <w:rFonts w:eastAsia="Calibri" w:cs="Times New Roman"/>
          <w:szCs w:val="24"/>
          <w:lang w:eastAsia="ar-SA"/>
        </w:rPr>
        <w:t>pašvaldību degradēto teritoriju</w:t>
      </w:r>
      <w:r w:rsidR="00CD5291">
        <w:rPr>
          <w:rFonts w:eastAsia="Calibri" w:cs="Times New Roman"/>
          <w:szCs w:val="24"/>
          <w:lang w:eastAsia="ar-SA"/>
        </w:rPr>
        <w:t xml:space="preserve"> infrastruktūras</w:t>
      </w:r>
      <w:r w:rsidR="00814FD3">
        <w:rPr>
          <w:rFonts w:eastAsia="Calibri" w:cs="Times New Roman"/>
          <w:szCs w:val="24"/>
          <w:lang w:eastAsia="ar-SA"/>
        </w:rPr>
        <w:t xml:space="preserve"> attīstībai</w:t>
      </w:r>
      <w:r w:rsidR="00CD5291">
        <w:rPr>
          <w:rStyle w:val="FootnoteReference"/>
          <w:rFonts w:eastAsia="Calibri" w:cs="Times New Roman"/>
          <w:szCs w:val="24"/>
          <w:lang w:eastAsia="ar-SA"/>
        </w:rPr>
        <w:footnoteReference w:id="11"/>
      </w:r>
      <w:r w:rsidR="006111EF">
        <w:rPr>
          <w:rFonts w:eastAsia="Calibri" w:cs="Times New Roman"/>
          <w:szCs w:val="24"/>
          <w:lang w:eastAsia="ar-SA"/>
        </w:rPr>
        <w:t xml:space="preserve"> ir veikti visi nepieciešamie priekšdarbi atlašu uzsākšanai, attiecīgi</w:t>
      </w:r>
      <w:r w:rsidR="00AA4A7A">
        <w:rPr>
          <w:rFonts w:eastAsia="Calibri" w:cs="Times New Roman"/>
          <w:szCs w:val="24"/>
          <w:lang w:eastAsia="ar-SA"/>
        </w:rPr>
        <w:t xml:space="preserve"> </w:t>
      </w:r>
      <w:r>
        <w:rPr>
          <w:rFonts w:eastAsia="Calibri" w:cs="Times New Roman"/>
          <w:szCs w:val="24"/>
          <w:lang w:eastAsia="ar-SA"/>
        </w:rPr>
        <w:t>nacionālas nozīmes pašvaldībām intensīvāk jākāpina tempi</w:t>
      </w:r>
      <w:r w:rsidR="00AA4A7A">
        <w:rPr>
          <w:rFonts w:eastAsia="Calibri" w:cs="Times New Roman"/>
          <w:szCs w:val="24"/>
          <w:lang w:eastAsia="ar-SA"/>
        </w:rPr>
        <w:t xml:space="preserve"> </w:t>
      </w:r>
      <w:r>
        <w:rPr>
          <w:rFonts w:eastAsia="Calibri" w:cs="Times New Roman"/>
          <w:szCs w:val="24"/>
          <w:lang w:eastAsia="ar-SA"/>
        </w:rPr>
        <w:t xml:space="preserve">projektu atlases procesa uzsākšanai un </w:t>
      </w:r>
      <w:r w:rsidR="00AA4A7A">
        <w:rPr>
          <w:rFonts w:eastAsia="Calibri" w:cs="Times New Roman"/>
          <w:szCs w:val="24"/>
          <w:lang w:eastAsia="ar-SA"/>
        </w:rPr>
        <w:t xml:space="preserve">investīciju </w:t>
      </w:r>
      <w:r>
        <w:rPr>
          <w:rFonts w:eastAsia="Calibri" w:cs="Times New Roman"/>
          <w:szCs w:val="24"/>
          <w:lang w:eastAsia="ar-SA"/>
        </w:rPr>
        <w:t>apgūšanai</w:t>
      </w:r>
      <w:r w:rsidR="00A363C7">
        <w:rPr>
          <w:rFonts w:eastAsia="Calibri" w:cs="Times New Roman"/>
          <w:szCs w:val="24"/>
          <w:lang w:eastAsia="ar-SA"/>
        </w:rPr>
        <w:t>, veicinot</w:t>
      </w:r>
      <w:r w:rsidR="00AA4A7A">
        <w:rPr>
          <w:rFonts w:eastAsia="Calibri" w:cs="Times New Roman"/>
          <w:szCs w:val="24"/>
          <w:lang w:eastAsia="ar-SA"/>
        </w:rPr>
        <w:t xml:space="preserve"> </w:t>
      </w:r>
      <w:r w:rsidR="00A363C7">
        <w:rPr>
          <w:rFonts w:eastAsia="Calibri" w:cs="Times New Roman"/>
          <w:szCs w:val="24"/>
          <w:lang w:eastAsia="ar-SA"/>
        </w:rPr>
        <w:t>izvirzīto mērķu sasniegšanu</w:t>
      </w:r>
      <w:r w:rsidR="00AA4A7A">
        <w:rPr>
          <w:rFonts w:eastAsia="Calibri" w:cs="Times New Roman"/>
          <w:szCs w:val="24"/>
          <w:lang w:eastAsia="ar-SA"/>
        </w:rPr>
        <w:t>.</w:t>
      </w:r>
      <w:r w:rsidR="006111EF">
        <w:rPr>
          <w:rFonts w:eastAsia="Calibri" w:cs="Times New Roman"/>
          <w:szCs w:val="24"/>
          <w:lang w:eastAsia="ar-SA"/>
        </w:rPr>
        <w:t xml:space="preserve"> </w:t>
      </w:r>
      <w:r w:rsidR="007716FC">
        <w:rPr>
          <w:rFonts w:eastAsia="Calibri" w:cs="Times New Roman"/>
          <w:szCs w:val="24"/>
          <w:lang w:eastAsia="ar-SA"/>
        </w:rPr>
        <w:t>Aktīvu konsultatīvo atbalstu pašvaldībām projektu atlases procesa uzsākšanai turpina sniegt gan FM, gan CFLA</w:t>
      </w:r>
      <w:r w:rsidR="00182514">
        <w:rPr>
          <w:rFonts w:eastAsia="Calibri" w:cs="Times New Roman"/>
          <w:szCs w:val="24"/>
          <w:lang w:eastAsia="ar-SA"/>
        </w:rPr>
        <w:t>;</w:t>
      </w:r>
      <w:r>
        <w:rPr>
          <w:rFonts w:eastAsia="Calibri" w:cs="Times New Roman"/>
          <w:szCs w:val="24"/>
          <w:lang w:eastAsia="ar-SA"/>
        </w:rPr>
        <w:t xml:space="preserve"> </w:t>
      </w:r>
    </w:p>
    <w:p w14:paraId="42D64CC9" w14:textId="5B29B6F5" w:rsidR="00E72DA3" w:rsidRPr="000844FA" w:rsidRDefault="007844C1" w:rsidP="000844FA">
      <w:pPr>
        <w:pStyle w:val="ListParagraph"/>
        <w:numPr>
          <w:ilvl w:val="1"/>
          <w:numId w:val="18"/>
        </w:numPr>
        <w:suppressAutoHyphens/>
        <w:spacing w:before="120" w:after="120"/>
        <w:jc w:val="both"/>
        <w:rPr>
          <w:rFonts w:eastAsia="Calibri" w:cs="Times New Roman"/>
          <w:szCs w:val="24"/>
          <w:lang w:eastAsia="ar-SA"/>
        </w:rPr>
      </w:pPr>
      <w:r w:rsidRPr="000844FA">
        <w:rPr>
          <w:rFonts w:eastAsia="Calibri" w:cs="Times New Roman"/>
          <w:szCs w:val="24"/>
          <w:lang w:eastAsia="ar-SA"/>
        </w:rPr>
        <w:t xml:space="preserve">projektu ideju un pašvaldību plānu attiecībā uz </w:t>
      </w:r>
      <w:r w:rsidR="00A646B3" w:rsidRPr="00E72DA3">
        <w:rPr>
          <w:rFonts w:eastAsia="Calibri" w:cs="Times New Roman"/>
          <w:szCs w:val="24"/>
          <w:lang w:eastAsia="ar-SA"/>
        </w:rPr>
        <w:t xml:space="preserve">vispārējās izglītības </w:t>
      </w:r>
      <w:r w:rsidR="00A646B3" w:rsidRPr="000844FA">
        <w:rPr>
          <w:rFonts w:eastAsia="Calibri" w:cs="Times New Roman"/>
          <w:szCs w:val="24"/>
          <w:lang w:eastAsia="ar-SA"/>
        </w:rPr>
        <w:t>iestāžu</w:t>
      </w:r>
      <w:r w:rsidR="005138CB">
        <w:rPr>
          <w:rFonts w:eastAsia="Calibri" w:cs="Times New Roman"/>
          <w:szCs w:val="24"/>
          <w:lang w:eastAsia="ar-SA"/>
        </w:rPr>
        <w:t xml:space="preserve"> </w:t>
      </w:r>
      <w:r w:rsidR="00A646B3">
        <w:rPr>
          <w:rFonts w:eastAsia="Calibri" w:cs="Times New Roman"/>
          <w:szCs w:val="24"/>
          <w:lang w:eastAsia="ar-SA"/>
        </w:rPr>
        <w:t xml:space="preserve">tīkla </w:t>
      </w:r>
      <w:r w:rsidR="00402106">
        <w:rPr>
          <w:rFonts w:eastAsia="Calibri" w:cs="Times New Roman"/>
          <w:szCs w:val="24"/>
          <w:lang w:eastAsia="ar-SA"/>
        </w:rPr>
        <w:t>optimiz</w:t>
      </w:r>
      <w:r>
        <w:rPr>
          <w:rFonts w:eastAsia="Calibri" w:cs="Times New Roman"/>
          <w:szCs w:val="24"/>
          <w:lang w:eastAsia="ar-SA"/>
        </w:rPr>
        <w:t>āciju</w:t>
      </w:r>
      <w:r w:rsidR="00402106">
        <w:rPr>
          <w:rFonts w:eastAsia="Calibri" w:cs="Times New Roman"/>
          <w:szCs w:val="24"/>
          <w:lang w:eastAsia="ar-SA"/>
        </w:rPr>
        <w:t>/reformu saskaņošana ar nozares ministriju</w:t>
      </w:r>
      <w:r w:rsidR="00422750">
        <w:rPr>
          <w:rFonts w:eastAsia="Calibri" w:cs="Times New Roman"/>
          <w:szCs w:val="24"/>
          <w:lang w:eastAsia="ar-SA"/>
        </w:rPr>
        <w:t xml:space="preserve"> un kopumā</w:t>
      </w:r>
      <w:r w:rsidR="00A646B3">
        <w:rPr>
          <w:rFonts w:eastAsia="Calibri" w:cs="Times New Roman"/>
          <w:szCs w:val="24"/>
          <w:lang w:eastAsia="ar-SA"/>
        </w:rPr>
        <w:t xml:space="preserve"> stratēģiskais </w:t>
      </w:r>
      <w:proofErr w:type="spellStart"/>
      <w:r w:rsidR="00A646B3">
        <w:rPr>
          <w:rFonts w:eastAsia="Calibri" w:cs="Times New Roman"/>
          <w:szCs w:val="24"/>
          <w:lang w:eastAsia="ar-SA"/>
        </w:rPr>
        <w:t>priekšatlases</w:t>
      </w:r>
      <w:proofErr w:type="spellEnd"/>
      <w:r w:rsidR="00A646B3">
        <w:rPr>
          <w:rFonts w:eastAsia="Calibri" w:cs="Times New Roman"/>
          <w:szCs w:val="24"/>
          <w:lang w:eastAsia="ar-SA"/>
        </w:rPr>
        <w:t xml:space="preserve"> process</w:t>
      </w:r>
      <w:r w:rsidR="005138CB">
        <w:rPr>
          <w:rFonts w:eastAsia="Calibri" w:cs="Times New Roman"/>
          <w:szCs w:val="24"/>
          <w:lang w:eastAsia="ar-SA"/>
        </w:rPr>
        <w:t xml:space="preserve"> izglītības infrastruktūras attīstībai</w:t>
      </w:r>
      <w:r w:rsidR="005138CB">
        <w:rPr>
          <w:rStyle w:val="FootnoteReference"/>
          <w:rFonts w:eastAsia="Calibri" w:cs="Times New Roman"/>
          <w:szCs w:val="24"/>
          <w:lang w:eastAsia="ar-SA"/>
        </w:rPr>
        <w:footnoteReference w:id="12"/>
      </w:r>
      <w:r w:rsidR="00402106">
        <w:rPr>
          <w:rFonts w:eastAsia="Calibri" w:cs="Times New Roman"/>
          <w:szCs w:val="24"/>
          <w:lang w:eastAsia="ar-SA"/>
        </w:rPr>
        <w:t xml:space="preserve"> iekav</w:t>
      </w:r>
      <w:r w:rsidR="005138CB">
        <w:rPr>
          <w:rFonts w:eastAsia="Calibri" w:cs="Times New Roman"/>
          <w:szCs w:val="24"/>
          <w:lang w:eastAsia="ar-SA"/>
        </w:rPr>
        <w:t>ēj</w:t>
      </w:r>
      <w:r w:rsidR="00402106">
        <w:rPr>
          <w:rFonts w:eastAsia="Calibri" w:cs="Times New Roman"/>
          <w:szCs w:val="24"/>
          <w:lang w:eastAsia="ar-SA"/>
        </w:rPr>
        <w:t>i</w:t>
      </w:r>
      <w:r w:rsidR="005138CB">
        <w:rPr>
          <w:rFonts w:eastAsia="Calibri" w:cs="Times New Roman"/>
          <w:szCs w:val="24"/>
          <w:lang w:eastAsia="ar-SA"/>
        </w:rPr>
        <w:t>s</w:t>
      </w:r>
      <w:r w:rsidR="00402106">
        <w:rPr>
          <w:rFonts w:eastAsia="Calibri" w:cs="Times New Roman"/>
          <w:szCs w:val="24"/>
          <w:lang w:eastAsia="ar-SA"/>
        </w:rPr>
        <w:t xml:space="preserve"> </w:t>
      </w:r>
      <w:r w:rsidR="000844FA">
        <w:rPr>
          <w:rFonts w:eastAsia="Calibri" w:cs="Times New Roman"/>
          <w:szCs w:val="24"/>
          <w:lang w:eastAsia="ar-SA"/>
        </w:rPr>
        <w:t>p</w:t>
      </w:r>
      <w:r w:rsidR="000844FA" w:rsidRPr="000844FA">
        <w:rPr>
          <w:rFonts w:eastAsia="Calibri" w:cs="Times New Roman"/>
          <w:szCs w:val="24"/>
          <w:lang w:eastAsia="ar-SA"/>
        </w:rPr>
        <w:t>rojektu iesniegumu atlases uzsākšan</w:t>
      </w:r>
      <w:r w:rsidR="00402106">
        <w:rPr>
          <w:rFonts w:eastAsia="Calibri" w:cs="Times New Roman"/>
          <w:szCs w:val="24"/>
          <w:lang w:eastAsia="ar-SA"/>
        </w:rPr>
        <w:t>u</w:t>
      </w:r>
      <w:r w:rsidR="000844FA" w:rsidRPr="000844FA">
        <w:rPr>
          <w:rFonts w:eastAsia="Calibri" w:cs="Times New Roman"/>
          <w:szCs w:val="24"/>
          <w:lang w:eastAsia="ar-SA"/>
        </w:rPr>
        <w:t xml:space="preserve">, </w:t>
      </w:r>
      <w:r>
        <w:rPr>
          <w:rFonts w:eastAsia="Calibri" w:cs="Times New Roman"/>
          <w:szCs w:val="24"/>
          <w:lang w:eastAsia="ar-SA"/>
        </w:rPr>
        <w:t>būtiski iezīmē</w:t>
      </w:r>
      <w:r w:rsidR="00A646B3">
        <w:rPr>
          <w:rFonts w:eastAsia="Calibri" w:cs="Times New Roman"/>
          <w:szCs w:val="24"/>
          <w:lang w:eastAsia="ar-SA"/>
        </w:rPr>
        <w:t>jot</w:t>
      </w:r>
      <w:r w:rsidR="000844FA" w:rsidRPr="000844FA">
        <w:rPr>
          <w:rFonts w:eastAsia="Calibri" w:cs="Times New Roman"/>
          <w:szCs w:val="24"/>
          <w:lang w:eastAsia="ar-SA"/>
        </w:rPr>
        <w:t xml:space="preserve"> risk</w:t>
      </w:r>
      <w:r>
        <w:rPr>
          <w:rFonts w:eastAsia="Calibri" w:cs="Times New Roman"/>
          <w:szCs w:val="24"/>
          <w:lang w:eastAsia="ar-SA"/>
        </w:rPr>
        <w:t>us</w:t>
      </w:r>
      <w:r w:rsidR="000844FA" w:rsidRPr="000844FA">
        <w:rPr>
          <w:rFonts w:eastAsia="Calibri" w:cs="Times New Roman"/>
          <w:szCs w:val="24"/>
          <w:lang w:eastAsia="ar-SA"/>
        </w:rPr>
        <w:t xml:space="preserve"> </w:t>
      </w:r>
      <w:r w:rsidR="008E002E">
        <w:rPr>
          <w:rFonts w:eastAsia="Calibri" w:cs="Times New Roman"/>
          <w:szCs w:val="24"/>
          <w:lang w:eastAsia="ar-SA"/>
        </w:rPr>
        <w:t xml:space="preserve">izglītības infrastruktūras </w:t>
      </w:r>
      <w:r w:rsidR="000844FA" w:rsidRPr="000844FA">
        <w:rPr>
          <w:rFonts w:eastAsia="Calibri" w:cs="Times New Roman"/>
          <w:szCs w:val="24"/>
          <w:lang w:eastAsia="ar-SA"/>
        </w:rPr>
        <w:t>snieguma mērķu</w:t>
      </w:r>
      <w:r w:rsidR="008E002E">
        <w:rPr>
          <w:rFonts w:eastAsia="Calibri" w:cs="Times New Roman"/>
          <w:szCs w:val="24"/>
          <w:lang w:eastAsia="ar-SA"/>
        </w:rPr>
        <w:t xml:space="preserve"> neizpildei un </w:t>
      </w:r>
      <w:r w:rsidR="000844FA" w:rsidRPr="000844FA">
        <w:rPr>
          <w:rFonts w:eastAsia="Calibri" w:cs="Times New Roman"/>
          <w:szCs w:val="24"/>
          <w:lang w:eastAsia="ar-SA"/>
        </w:rPr>
        <w:t xml:space="preserve"> </w:t>
      </w:r>
      <w:r w:rsidR="008E002E">
        <w:rPr>
          <w:rFonts w:eastAsia="Calibri" w:cs="Times New Roman"/>
          <w:szCs w:val="24"/>
          <w:lang w:eastAsia="ar-SA"/>
        </w:rPr>
        <w:t>nākamās</w:t>
      </w:r>
      <w:r w:rsidR="000844FA" w:rsidRPr="000844FA">
        <w:rPr>
          <w:rFonts w:eastAsia="Calibri" w:cs="Times New Roman"/>
          <w:szCs w:val="24"/>
          <w:lang w:eastAsia="ar-SA"/>
        </w:rPr>
        <w:t xml:space="preserve"> būvniecības sezon</w:t>
      </w:r>
      <w:r w:rsidR="008E002E">
        <w:rPr>
          <w:rFonts w:eastAsia="Calibri" w:cs="Times New Roman"/>
          <w:szCs w:val="24"/>
          <w:lang w:eastAsia="ar-SA"/>
        </w:rPr>
        <w:t>as zaudēšanu</w:t>
      </w:r>
      <w:r w:rsidR="000844FA">
        <w:rPr>
          <w:rFonts w:eastAsia="Calibri" w:cs="Times New Roman"/>
          <w:szCs w:val="24"/>
          <w:lang w:eastAsia="ar-SA"/>
        </w:rPr>
        <w:t>;</w:t>
      </w:r>
    </w:p>
    <w:p w14:paraId="767BDCEA" w14:textId="23297983" w:rsidR="00310428" w:rsidRDefault="00933BDD" w:rsidP="00FD3316">
      <w:pPr>
        <w:pStyle w:val="ListParagraph"/>
        <w:numPr>
          <w:ilvl w:val="1"/>
          <w:numId w:val="18"/>
        </w:numPr>
        <w:suppressAutoHyphens/>
        <w:spacing w:before="120" w:after="120"/>
        <w:ind w:left="1434" w:hanging="357"/>
        <w:jc w:val="both"/>
        <w:rPr>
          <w:rFonts w:eastAsia="Calibri" w:cs="Times New Roman"/>
          <w:szCs w:val="24"/>
          <w:lang w:eastAsia="ar-SA"/>
        </w:rPr>
      </w:pPr>
      <w:r>
        <w:rPr>
          <w:rFonts w:eastAsia="Calibri" w:cs="Times New Roman"/>
          <w:szCs w:val="24"/>
          <w:lang w:eastAsia="ar-SA"/>
        </w:rPr>
        <w:t>iekavējot Rīgas pilsētas teritoriju</w:t>
      </w:r>
      <w:r w:rsidRPr="002D5302">
        <w:rPr>
          <w:rFonts w:eastAsia="Calibri" w:cs="Times New Roman"/>
          <w:szCs w:val="24"/>
          <w:lang w:eastAsia="ar-SA"/>
        </w:rPr>
        <w:t xml:space="preserve"> </w:t>
      </w:r>
      <w:proofErr w:type="spellStart"/>
      <w:r w:rsidRPr="002D5302">
        <w:rPr>
          <w:rFonts w:eastAsia="Calibri" w:cs="Times New Roman"/>
          <w:szCs w:val="24"/>
          <w:lang w:eastAsia="ar-SA"/>
        </w:rPr>
        <w:t>revitalizācijas</w:t>
      </w:r>
      <w:proofErr w:type="spellEnd"/>
      <w:r w:rsidRPr="002D5302">
        <w:rPr>
          <w:rFonts w:eastAsia="Calibri" w:cs="Times New Roman"/>
          <w:szCs w:val="24"/>
          <w:lang w:eastAsia="ar-SA"/>
        </w:rPr>
        <w:t xml:space="preserve"> stratēģiju</w:t>
      </w:r>
      <w:r>
        <w:rPr>
          <w:rFonts w:eastAsia="Calibri" w:cs="Times New Roman"/>
          <w:szCs w:val="24"/>
          <w:lang w:eastAsia="ar-SA"/>
        </w:rPr>
        <w:t xml:space="preserve"> izstrādi un saskaņošanu, kas kā priekšdarbs bija jāizpilda līdz 2016.gada </w:t>
      </w:r>
      <w:r w:rsidR="007D3567">
        <w:rPr>
          <w:rFonts w:eastAsia="Calibri" w:cs="Times New Roman"/>
          <w:szCs w:val="24"/>
          <w:lang w:eastAsia="ar-SA"/>
        </w:rPr>
        <w:t>augusta</w:t>
      </w:r>
      <w:r>
        <w:rPr>
          <w:rFonts w:eastAsia="Calibri" w:cs="Times New Roman"/>
          <w:szCs w:val="24"/>
          <w:lang w:eastAsia="ar-SA"/>
        </w:rPr>
        <w:t xml:space="preserve"> beigām, ir būtiski aiz</w:t>
      </w:r>
      <w:r w:rsidR="006306A5" w:rsidRPr="00E72DA3">
        <w:rPr>
          <w:rFonts w:eastAsia="Calibri" w:cs="Times New Roman"/>
          <w:szCs w:val="24"/>
          <w:lang w:eastAsia="ar-SA"/>
        </w:rPr>
        <w:t>kavēj</w:t>
      </w:r>
      <w:r>
        <w:rPr>
          <w:rFonts w:eastAsia="Calibri" w:cs="Times New Roman"/>
          <w:szCs w:val="24"/>
          <w:lang w:eastAsia="ar-SA"/>
        </w:rPr>
        <w:t>usies</w:t>
      </w:r>
      <w:r w:rsidR="008E4B6B">
        <w:rPr>
          <w:rFonts w:eastAsia="Calibri" w:cs="Times New Roman"/>
          <w:szCs w:val="24"/>
          <w:lang w:eastAsia="ar-SA"/>
        </w:rPr>
        <w:t xml:space="preserve"> projektu</w:t>
      </w:r>
      <w:r w:rsidR="006306A5" w:rsidRPr="00E72DA3">
        <w:rPr>
          <w:rFonts w:eastAsia="Calibri" w:cs="Times New Roman"/>
          <w:szCs w:val="24"/>
          <w:lang w:eastAsia="ar-SA"/>
        </w:rPr>
        <w:t xml:space="preserve"> atlase</w:t>
      </w:r>
      <w:r w:rsidR="008E4B6B">
        <w:rPr>
          <w:rFonts w:eastAsia="Calibri" w:cs="Times New Roman"/>
          <w:szCs w:val="24"/>
          <w:lang w:eastAsia="ar-SA"/>
        </w:rPr>
        <w:t>s uzsākšana</w:t>
      </w:r>
      <w:r w:rsidR="006306A5" w:rsidRPr="00E72DA3">
        <w:rPr>
          <w:rFonts w:eastAsia="Calibri" w:cs="Times New Roman"/>
          <w:szCs w:val="24"/>
          <w:lang w:eastAsia="ar-SA"/>
        </w:rPr>
        <w:t xml:space="preserve"> Rīgas </w:t>
      </w:r>
      <w:proofErr w:type="spellStart"/>
      <w:r w:rsidR="006306A5" w:rsidRPr="00E72DA3">
        <w:rPr>
          <w:rFonts w:eastAsia="Calibri" w:cs="Times New Roman"/>
          <w:szCs w:val="24"/>
          <w:lang w:eastAsia="ar-SA"/>
        </w:rPr>
        <w:t>revitalizācijas</w:t>
      </w:r>
      <w:proofErr w:type="spellEnd"/>
      <w:r w:rsidR="006306A5" w:rsidRPr="00E72DA3">
        <w:rPr>
          <w:rFonts w:eastAsia="Calibri" w:cs="Times New Roman"/>
          <w:szCs w:val="24"/>
          <w:lang w:eastAsia="ar-SA"/>
        </w:rPr>
        <w:t xml:space="preserve"> investīcijām</w:t>
      </w:r>
      <w:r w:rsidR="00C2310D">
        <w:rPr>
          <w:rStyle w:val="FootnoteReference"/>
          <w:rFonts w:eastAsia="Calibri" w:cs="Times New Roman"/>
          <w:szCs w:val="24"/>
          <w:lang w:eastAsia="ar-SA"/>
        </w:rPr>
        <w:footnoteReference w:id="13"/>
      </w:r>
      <w:r>
        <w:rPr>
          <w:rFonts w:eastAsia="Calibri" w:cs="Times New Roman"/>
          <w:szCs w:val="24"/>
          <w:lang w:eastAsia="ar-SA"/>
        </w:rPr>
        <w:t xml:space="preserve">. </w:t>
      </w:r>
      <w:r w:rsidR="0005214B">
        <w:rPr>
          <w:rFonts w:eastAsia="Calibri" w:cs="Times New Roman"/>
          <w:szCs w:val="24"/>
          <w:lang w:eastAsia="ar-SA"/>
        </w:rPr>
        <w:t>Līdz šim a</w:t>
      </w:r>
      <w:r>
        <w:rPr>
          <w:rFonts w:eastAsia="Calibri" w:cs="Times New Roman"/>
          <w:szCs w:val="24"/>
          <w:lang w:eastAsia="ar-SA"/>
        </w:rPr>
        <w:t xml:space="preserve">pstiprināto </w:t>
      </w:r>
      <w:r w:rsidR="00007B61">
        <w:rPr>
          <w:rFonts w:eastAsia="Calibri" w:cs="Times New Roman"/>
          <w:szCs w:val="24"/>
          <w:lang w:eastAsia="ar-SA"/>
        </w:rPr>
        <w:t xml:space="preserve"> </w:t>
      </w:r>
      <w:r>
        <w:rPr>
          <w:rFonts w:eastAsia="Calibri" w:cs="Times New Roman"/>
          <w:szCs w:val="24"/>
          <w:lang w:eastAsia="ar-SA"/>
        </w:rPr>
        <w:t>teritoriju</w:t>
      </w:r>
      <w:r w:rsidRPr="002D5302">
        <w:rPr>
          <w:rFonts w:eastAsia="Calibri" w:cs="Times New Roman"/>
          <w:szCs w:val="24"/>
          <w:lang w:eastAsia="ar-SA"/>
        </w:rPr>
        <w:t xml:space="preserve"> </w:t>
      </w:r>
      <w:proofErr w:type="spellStart"/>
      <w:r w:rsidRPr="002D5302">
        <w:rPr>
          <w:rFonts w:eastAsia="Calibri" w:cs="Times New Roman"/>
          <w:szCs w:val="24"/>
          <w:lang w:eastAsia="ar-SA"/>
        </w:rPr>
        <w:t>revitalizācijas</w:t>
      </w:r>
      <w:proofErr w:type="spellEnd"/>
      <w:r w:rsidRPr="002D5302">
        <w:rPr>
          <w:rFonts w:eastAsia="Calibri" w:cs="Times New Roman"/>
          <w:szCs w:val="24"/>
          <w:lang w:eastAsia="ar-SA"/>
        </w:rPr>
        <w:t xml:space="preserve"> stratēģiju</w:t>
      </w:r>
      <w:r>
        <w:rPr>
          <w:rFonts w:eastAsia="Calibri" w:cs="Times New Roman"/>
          <w:szCs w:val="24"/>
          <w:lang w:eastAsia="ar-SA"/>
        </w:rPr>
        <w:t xml:space="preserve"> sarakstu </w:t>
      </w:r>
      <w:r w:rsidR="00007B61">
        <w:rPr>
          <w:rFonts w:eastAsia="Calibri" w:cs="Times New Roman"/>
          <w:szCs w:val="24"/>
          <w:lang w:eastAsia="ar-SA"/>
        </w:rPr>
        <w:t>2016.gada 11.oktobrī</w:t>
      </w:r>
      <w:r>
        <w:rPr>
          <w:rFonts w:eastAsia="Calibri" w:cs="Times New Roman"/>
          <w:szCs w:val="24"/>
          <w:lang w:eastAsia="ar-SA"/>
        </w:rPr>
        <w:t xml:space="preserve"> papildināja</w:t>
      </w:r>
      <w:r w:rsidR="00007B61">
        <w:rPr>
          <w:rFonts w:eastAsia="Calibri" w:cs="Times New Roman"/>
          <w:szCs w:val="24"/>
          <w:lang w:eastAsia="ar-SA"/>
        </w:rPr>
        <w:t xml:space="preserve"> valdībā apstiprin</w:t>
      </w:r>
      <w:r w:rsidR="00C26E12">
        <w:rPr>
          <w:rFonts w:eastAsia="Calibri" w:cs="Times New Roman"/>
          <w:szCs w:val="24"/>
          <w:lang w:eastAsia="ar-SA"/>
        </w:rPr>
        <w:t>āt</w:t>
      </w:r>
      <w:r>
        <w:rPr>
          <w:rFonts w:eastAsia="Calibri" w:cs="Times New Roman"/>
          <w:szCs w:val="24"/>
          <w:lang w:eastAsia="ar-SA"/>
        </w:rPr>
        <w:t>ā</w:t>
      </w:r>
      <w:r w:rsidR="00007B61">
        <w:rPr>
          <w:rFonts w:eastAsia="Calibri" w:cs="Times New Roman"/>
          <w:szCs w:val="24"/>
          <w:lang w:eastAsia="ar-SA"/>
        </w:rPr>
        <w:t xml:space="preserve"> </w:t>
      </w:r>
      <w:r w:rsidR="00007B61" w:rsidRPr="004A68EE">
        <w:rPr>
          <w:rFonts w:cs="Times New Roman"/>
          <w:szCs w:val="24"/>
        </w:rPr>
        <w:t xml:space="preserve">Brasas apkaimes un Centra apkaimes perifērijas </w:t>
      </w:r>
      <w:proofErr w:type="spellStart"/>
      <w:r w:rsidR="00007B61" w:rsidRPr="004A68EE">
        <w:rPr>
          <w:rFonts w:cs="Times New Roman"/>
          <w:szCs w:val="24"/>
        </w:rPr>
        <w:t>revitalizācijas</w:t>
      </w:r>
      <w:proofErr w:type="spellEnd"/>
      <w:r w:rsidR="00007B61" w:rsidRPr="004A68EE">
        <w:rPr>
          <w:rFonts w:cs="Times New Roman"/>
          <w:szCs w:val="24"/>
        </w:rPr>
        <w:t xml:space="preserve"> stratēģija un Šķirotavas apkaimes teritorijas </w:t>
      </w:r>
      <w:proofErr w:type="spellStart"/>
      <w:r w:rsidR="00007B61" w:rsidRPr="004A68EE">
        <w:rPr>
          <w:rFonts w:cs="Times New Roman"/>
          <w:szCs w:val="24"/>
        </w:rPr>
        <w:t>revitalizācijas</w:t>
      </w:r>
      <w:proofErr w:type="spellEnd"/>
      <w:r w:rsidR="00007B61" w:rsidRPr="004A68EE">
        <w:rPr>
          <w:rFonts w:cs="Times New Roman"/>
          <w:szCs w:val="24"/>
        </w:rPr>
        <w:t xml:space="preserve"> stratēģija</w:t>
      </w:r>
      <w:r w:rsidR="00557883">
        <w:rPr>
          <w:rFonts w:cs="Times New Roman"/>
          <w:szCs w:val="24"/>
        </w:rPr>
        <w:t xml:space="preserve">, attiecīgi </w:t>
      </w:r>
      <w:r w:rsidR="0048532E">
        <w:rPr>
          <w:rFonts w:cs="Times New Roman"/>
          <w:szCs w:val="24"/>
        </w:rPr>
        <w:t xml:space="preserve">par apstiprināto teritoriju </w:t>
      </w:r>
      <w:proofErr w:type="spellStart"/>
      <w:r w:rsidR="0048532E">
        <w:rPr>
          <w:rFonts w:cs="Times New Roman"/>
          <w:szCs w:val="24"/>
        </w:rPr>
        <w:t>revitalizācijas</w:t>
      </w:r>
      <w:proofErr w:type="spellEnd"/>
      <w:r w:rsidR="0048532E">
        <w:rPr>
          <w:rFonts w:cs="Times New Roman"/>
          <w:szCs w:val="24"/>
        </w:rPr>
        <w:t xml:space="preserve"> stratēģijām </w:t>
      </w:r>
      <w:r w:rsidR="00BC7C8C">
        <w:rPr>
          <w:rFonts w:eastAsia="Calibri" w:cs="Times New Roman"/>
          <w:szCs w:val="24"/>
          <w:lang w:eastAsia="ar-SA"/>
        </w:rPr>
        <w:t>uzsāk</w:t>
      </w:r>
      <w:r>
        <w:rPr>
          <w:rFonts w:eastAsia="Calibri" w:cs="Times New Roman"/>
          <w:szCs w:val="24"/>
          <w:lang w:eastAsia="ar-SA"/>
        </w:rPr>
        <w:t>ams projektu</w:t>
      </w:r>
      <w:r w:rsidR="002D5302" w:rsidRPr="002D5302">
        <w:rPr>
          <w:rFonts w:eastAsia="Calibri" w:cs="Times New Roman"/>
          <w:szCs w:val="24"/>
          <w:lang w:eastAsia="ar-SA"/>
        </w:rPr>
        <w:t xml:space="preserve"> atlases </w:t>
      </w:r>
      <w:r>
        <w:rPr>
          <w:rFonts w:eastAsia="Calibri" w:cs="Times New Roman"/>
          <w:szCs w:val="24"/>
          <w:lang w:eastAsia="ar-SA"/>
        </w:rPr>
        <w:t>process</w:t>
      </w:r>
      <w:r w:rsidR="0048532E">
        <w:rPr>
          <w:rFonts w:eastAsia="Calibri" w:cs="Times New Roman"/>
          <w:szCs w:val="24"/>
          <w:lang w:eastAsia="ar-SA"/>
        </w:rPr>
        <w:t xml:space="preserve">, vienlaikus jāturpina intensīvs darbs pie pārējo </w:t>
      </w:r>
      <w:r w:rsidR="0048532E">
        <w:rPr>
          <w:rFonts w:cs="Times New Roman"/>
          <w:szCs w:val="24"/>
        </w:rPr>
        <w:t>teritoriju</w:t>
      </w:r>
      <w:r w:rsidR="0048532E" w:rsidRPr="004A68EE">
        <w:rPr>
          <w:rFonts w:cs="Times New Roman"/>
          <w:szCs w:val="24"/>
        </w:rPr>
        <w:t xml:space="preserve"> </w:t>
      </w:r>
      <w:proofErr w:type="spellStart"/>
      <w:r w:rsidR="0048532E" w:rsidRPr="004A68EE">
        <w:rPr>
          <w:rFonts w:cs="Times New Roman"/>
          <w:szCs w:val="24"/>
        </w:rPr>
        <w:t>revitalizācijas</w:t>
      </w:r>
      <w:proofErr w:type="spellEnd"/>
      <w:r w:rsidR="0048532E" w:rsidRPr="004A68EE">
        <w:rPr>
          <w:rFonts w:cs="Times New Roman"/>
          <w:szCs w:val="24"/>
        </w:rPr>
        <w:t xml:space="preserve"> stratēģij</w:t>
      </w:r>
      <w:r w:rsidR="0048532E">
        <w:rPr>
          <w:rFonts w:cs="Times New Roman"/>
          <w:szCs w:val="24"/>
        </w:rPr>
        <w:t>u izstrādes un saskaņošanas, ņemot vērā arvien pieaugošos riskus investīciju apguvei un mērķu sasniegšanai</w:t>
      </w:r>
      <w:r w:rsidR="002D5302">
        <w:rPr>
          <w:rFonts w:eastAsia="Calibri" w:cs="Times New Roman"/>
          <w:szCs w:val="24"/>
          <w:lang w:eastAsia="ar-SA"/>
        </w:rPr>
        <w:t>;</w:t>
      </w:r>
    </w:p>
    <w:p w14:paraId="1B059C15" w14:textId="134D01B5" w:rsidR="002D5302" w:rsidRPr="00FD3316" w:rsidRDefault="00457CE3" w:rsidP="00FD3316">
      <w:pPr>
        <w:pStyle w:val="ListParagraph"/>
        <w:numPr>
          <w:ilvl w:val="1"/>
          <w:numId w:val="18"/>
        </w:numPr>
        <w:suppressAutoHyphens/>
        <w:spacing w:before="120" w:after="120"/>
        <w:ind w:left="1434" w:hanging="357"/>
        <w:jc w:val="both"/>
        <w:rPr>
          <w:rFonts w:eastAsia="Calibri" w:cs="Times New Roman"/>
          <w:szCs w:val="24"/>
          <w:lang w:eastAsia="ar-SA"/>
        </w:rPr>
      </w:pPr>
      <w:r w:rsidRPr="00FD3316">
        <w:rPr>
          <w:rFonts w:eastAsia="Calibri" w:cs="Times New Roman"/>
          <w:szCs w:val="24"/>
          <w:lang w:eastAsia="ar-SA"/>
        </w:rPr>
        <w:t xml:space="preserve">iekavēta </w:t>
      </w:r>
      <w:r w:rsidR="00AE7827" w:rsidRPr="00FD3316">
        <w:rPr>
          <w:rFonts w:eastAsia="Calibri" w:cs="Times New Roman"/>
          <w:szCs w:val="24"/>
          <w:lang w:eastAsia="ar-SA"/>
        </w:rPr>
        <w:t xml:space="preserve">projektu </w:t>
      </w:r>
      <w:r w:rsidR="002D5302" w:rsidRPr="00FD3316">
        <w:rPr>
          <w:rFonts w:eastAsia="Calibri" w:cs="Times New Roman"/>
          <w:szCs w:val="24"/>
          <w:lang w:eastAsia="ar-SA"/>
        </w:rPr>
        <w:t>atlase</w:t>
      </w:r>
      <w:r w:rsidRPr="00FD3316">
        <w:rPr>
          <w:rFonts w:eastAsia="Calibri" w:cs="Times New Roman"/>
          <w:szCs w:val="24"/>
          <w:lang w:eastAsia="ar-SA"/>
        </w:rPr>
        <w:t>s uzsākšana</w:t>
      </w:r>
      <w:r w:rsidR="002D5302" w:rsidRPr="00FD3316">
        <w:rPr>
          <w:rFonts w:eastAsia="Calibri" w:cs="Times New Roman"/>
          <w:szCs w:val="24"/>
          <w:lang w:eastAsia="ar-SA"/>
        </w:rPr>
        <w:t xml:space="preserve"> investīcijām nozīmīga kultūras un dabas mantojuma attīstīšanai un aizsardzībai</w:t>
      </w:r>
      <w:r w:rsidR="002D5302">
        <w:rPr>
          <w:rStyle w:val="FootnoteReference"/>
          <w:rFonts w:eastAsia="Calibri" w:cs="Times New Roman"/>
          <w:szCs w:val="24"/>
          <w:lang w:eastAsia="ar-SA"/>
        </w:rPr>
        <w:footnoteReference w:id="14"/>
      </w:r>
      <w:r w:rsidR="002D5302" w:rsidRPr="00FD3316">
        <w:rPr>
          <w:rFonts w:eastAsia="Calibri" w:cs="Times New Roman"/>
          <w:szCs w:val="24"/>
          <w:lang w:eastAsia="ar-SA"/>
        </w:rPr>
        <w:t xml:space="preserve">, </w:t>
      </w:r>
      <w:r w:rsidRPr="00FD3316">
        <w:rPr>
          <w:rFonts w:eastAsia="Calibri" w:cs="Times New Roman"/>
          <w:szCs w:val="24"/>
          <w:lang w:eastAsia="ar-SA"/>
        </w:rPr>
        <w:t>ņemot vērā ieilgušo</w:t>
      </w:r>
      <w:r w:rsidR="002D5302" w:rsidRPr="00FD3316">
        <w:rPr>
          <w:rFonts w:eastAsia="Calibri" w:cs="Times New Roman"/>
          <w:szCs w:val="24"/>
          <w:lang w:eastAsia="ar-SA"/>
        </w:rPr>
        <w:t xml:space="preserve"> </w:t>
      </w:r>
      <w:r w:rsidR="00872DB7" w:rsidRPr="00FD3316">
        <w:rPr>
          <w:rFonts w:eastAsia="Calibri" w:cs="Times New Roman"/>
          <w:szCs w:val="24"/>
          <w:lang w:eastAsia="ar-SA"/>
        </w:rPr>
        <w:t>un joprojām ne</w:t>
      </w:r>
      <w:r w:rsidR="002D5302" w:rsidRPr="00FD3316">
        <w:rPr>
          <w:rFonts w:eastAsia="Calibri" w:cs="Times New Roman"/>
          <w:szCs w:val="24"/>
          <w:lang w:eastAsia="ar-SA"/>
        </w:rPr>
        <w:t>noslēgu</w:t>
      </w:r>
      <w:r w:rsidR="00872DB7" w:rsidRPr="00FD3316">
        <w:rPr>
          <w:rFonts w:eastAsia="Calibri" w:cs="Times New Roman"/>
          <w:szCs w:val="24"/>
          <w:lang w:eastAsia="ar-SA"/>
        </w:rPr>
        <w:t>šos</w:t>
      </w:r>
      <w:r w:rsidR="002D5302" w:rsidRPr="00FD3316">
        <w:rPr>
          <w:rFonts w:eastAsia="Calibri" w:cs="Times New Roman"/>
          <w:szCs w:val="24"/>
          <w:lang w:eastAsia="ar-SA"/>
        </w:rPr>
        <w:t xml:space="preserve"> pašvaldību investīciju plānu </w:t>
      </w:r>
      <w:proofErr w:type="spellStart"/>
      <w:r w:rsidR="002D5302" w:rsidRPr="00FD3316">
        <w:rPr>
          <w:rFonts w:eastAsia="Calibri" w:cs="Times New Roman"/>
          <w:szCs w:val="24"/>
          <w:lang w:eastAsia="ar-SA"/>
        </w:rPr>
        <w:t>priekšatlas</w:t>
      </w:r>
      <w:r w:rsidR="00872DB7" w:rsidRPr="00FD3316">
        <w:rPr>
          <w:rFonts w:eastAsia="Calibri" w:cs="Times New Roman"/>
          <w:szCs w:val="24"/>
          <w:lang w:eastAsia="ar-SA"/>
        </w:rPr>
        <w:t>i</w:t>
      </w:r>
      <w:proofErr w:type="spellEnd"/>
      <w:r w:rsidR="002D5302" w:rsidRPr="00FD3316">
        <w:rPr>
          <w:rFonts w:eastAsia="Calibri" w:cs="Times New Roman"/>
          <w:szCs w:val="24"/>
          <w:lang w:eastAsia="ar-SA"/>
        </w:rPr>
        <w:t>,</w:t>
      </w:r>
      <w:r w:rsidR="00AE7827" w:rsidRPr="00FD3316">
        <w:rPr>
          <w:rFonts w:eastAsia="Calibri" w:cs="Times New Roman"/>
          <w:szCs w:val="24"/>
          <w:lang w:eastAsia="ar-SA"/>
        </w:rPr>
        <w:t xml:space="preserve"> kuras rezultāti ilgstoši tiek gaidīti</w:t>
      </w:r>
      <w:r w:rsidR="00872DB7" w:rsidRPr="00FD3316">
        <w:rPr>
          <w:rFonts w:eastAsia="Calibri" w:cs="Times New Roman"/>
          <w:szCs w:val="24"/>
          <w:lang w:eastAsia="ar-SA"/>
        </w:rPr>
        <w:t xml:space="preserve"> un</w:t>
      </w:r>
      <w:r w:rsidR="00AE7827" w:rsidRPr="00FD3316">
        <w:rPr>
          <w:rFonts w:eastAsia="Calibri" w:cs="Times New Roman"/>
          <w:szCs w:val="24"/>
          <w:lang w:eastAsia="ar-SA"/>
        </w:rPr>
        <w:t xml:space="preserve"> joprojām</w:t>
      </w:r>
      <w:r w:rsidR="002D5302" w:rsidRPr="00FD3316">
        <w:rPr>
          <w:rFonts w:eastAsia="Calibri" w:cs="Times New Roman"/>
          <w:szCs w:val="24"/>
          <w:lang w:eastAsia="ar-SA"/>
        </w:rPr>
        <w:t xml:space="preserve"> </w:t>
      </w:r>
      <w:r w:rsidR="00AE7827" w:rsidRPr="00FD3316">
        <w:rPr>
          <w:rFonts w:eastAsia="Calibri" w:cs="Times New Roman"/>
          <w:szCs w:val="24"/>
          <w:lang w:eastAsia="ar-SA"/>
        </w:rPr>
        <w:t xml:space="preserve"> nav pieejami</w:t>
      </w:r>
      <w:r w:rsidR="00F84BFB" w:rsidRPr="00FD3316">
        <w:rPr>
          <w:rFonts w:eastAsia="Calibri" w:cs="Times New Roman"/>
          <w:szCs w:val="24"/>
          <w:lang w:eastAsia="ar-SA"/>
        </w:rPr>
        <w:t>.</w:t>
      </w:r>
    </w:p>
    <w:p w14:paraId="3DBE4D75" w14:textId="2DE78290" w:rsidR="00684ADB" w:rsidRPr="00E72DA3" w:rsidRDefault="00E72DA3" w:rsidP="00F66A9C">
      <w:pPr>
        <w:pStyle w:val="ListParagraph"/>
        <w:numPr>
          <w:ilvl w:val="0"/>
          <w:numId w:val="18"/>
        </w:numPr>
        <w:suppressAutoHyphens/>
        <w:spacing w:before="120" w:after="120"/>
        <w:ind w:hanging="720"/>
        <w:jc w:val="both"/>
        <w:rPr>
          <w:color w:val="000000" w:themeColor="text1"/>
        </w:rPr>
      </w:pPr>
      <w:r>
        <w:rPr>
          <w:rFonts w:eastAsia="Calibri" w:cs="Times New Roman"/>
          <w:szCs w:val="24"/>
          <w:lang w:eastAsia="ar-SA"/>
        </w:rPr>
        <w:t>Vienlaikus p</w:t>
      </w:r>
      <w:r w:rsidR="00F66A9C">
        <w:rPr>
          <w:rFonts w:eastAsia="Calibri" w:cs="Times New Roman"/>
          <w:szCs w:val="24"/>
          <w:lang w:eastAsia="ar-SA"/>
        </w:rPr>
        <w:t xml:space="preserve">ozitīvi (ņemot vērā iepriekšējo pieredzi) </w:t>
      </w:r>
      <w:r w:rsidR="00657060" w:rsidRPr="00D22DA1">
        <w:rPr>
          <w:rFonts w:eastAsia="Calibri" w:cs="Times New Roman"/>
          <w:szCs w:val="24"/>
          <w:lang w:eastAsia="ar-SA"/>
        </w:rPr>
        <w:t>-</w:t>
      </w:r>
      <w:r w:rsidR="006306A5" w:rsidRPr="00D22DA1">
        <w:rPr>
          <w:rFonts w:eastAsia="Calibri" w:cs="Times New Roman"/>
          <w:szCs w:val="24"/>
          <w:lang w:eastAsia="ar-SA"/>
        </w:rPr>
        <w:t xml:space="preserve"> atlases </w:t>
      </w:r>
      <w:r w:rsidR="002D3C02" w:rsidRPr="00D22DA1">
        <w:rPr>
          <w:rFonts w:eastAsia="Calibri" w:cs="Times New Roman"/>
          <w:szCs w:val="24"/>
          <w:lang w:eastAsia="ar-SA"/>
        </w:rPr>
        <w:t xml:space="preserve">un investīciju </w:t>
      </w:r>
      <w:r w:rsidR="006306A5" w:rsidRPr="00D22DA1">
        <w:rPr>
          <w:rFonts w:eastAsia="Calibri" w:cs="Times New Roman"/>
          <w:szCs w:val="24"/>
          <w:lang w:eastAsia="ar-SA"/>
        </w:rPr>
        <w:t xml:space="preserve">uzsākšana pēc </w:t>
      </w:r>
      <w:r w:rsidR="00C2310D" w:rsidRPr="00D22DA1">
        <w:rPr>
          <w:rFonts w:eastAsia="Calibri" w:cs="Times New Roman"/>
          <w:szCs w:val="24"/>
          <w:lang w:eastAsia="ar-SA"/>
        </w:rPr>
        <w:t xml:space="preserve">nepieciešamo </w:t>
      </w:r>
      <w:r w:rsidR="006306A5" w:rsidRPr="00E72DA3">
        <w:rPr>
          <w:rFonts w:eastAsia="Calibri" w:cs="Times New Roman"/>
          <w:szCs w:val="24"/>
          <w:lang w:eastAsia="ar-SA"/>
        </w:rPr>
        <w:t xml:space="preserve">priekšdarbu veikšanas </w:t>
      </w:r>
      <w:r w:rsidRPr="00D22DA1">
        <w:rPr>
          <w:rFonts w:eastAsia="Calibri" w:cs="Times New Roman"/>
          <w:szCs w:val="24"/>
          <w:lang w:eastAsia="ar-SA"/>
        </w:rPr>
        <w:t>notiek</w:t>
      </w:r>
      <w:r w:rsidR="006306A5" w:rsidRPr="00D22DA1">
        <w:rPr>
          <w:rFonts w:eastAsia="Calibri" w:cs="Times New Roman"/>
          <w:szCs w:val="24"/>
          <w:lang w:eastAsia="ar-SA"/>
        </w:rPr>
        <w:t xml:space="preserve"> operatīvi</w:t>
      </w:r>
      <w:r w:rsidR="00C2310D" w:rsidRPr="00D22DA1">
        <w:rPr>
          <w:rFonts w:eastAsia="Calibri" w:cs="Times New Roman"/>
          <w:szCs w:val="24"/>
          <w:lang w:eastAsia="ar-SA"/>
        </w:rPr>
        <w:t>, ņemot vērā salīdzinoši augsto gatavības pakāpi</w:t>
      </w:r>
      <w:r w:rsidR="002D3C02" w:rsidRPr="00D22DA1">
        <w:rPr>
          <w:rFonts w:eastAsia="Calibri" w:cs="Times New Roman"/>
          <w:szCs w:val="24"/>
          <w:lang w:eastAsia="ar-SA"/>
        </w:rPr>
        <w:t xml:space="preserve"> gan </w:t>
      </w:r>
      <w:r w:rsidR="002A41D5">
        <w:rPr>
          <w:rFonts w:eastAsia="Calibri" w:cs="Times New Roman"/>
          <w:szCs w:val="24"/>
          <w:lang w:eastAsia="ar-SA"/>
        </w:rPr>
        <w:t xml:space="preserve">ar </w:t>
      </w:r>
      <w:r w:rsidR="002D3C02" w:rsidRPr="00D22DA1">
        <w:rPr>
          <w:rFonts w:eastAsia="Calibri" w:cs="Times New Roman"/>
          <w:szCs w:val="24"/>
          <w:lang w:eastAsia="ar-SA"/>
        </w:rPr>
        <w:t>atlases</w:t>
      </w:r>
      <w:r w:rsidR="002A41D5">
        <w:rPr>
          <w:rFonts w:eastAsia="Calibri" w:cs="Times New Roman"/>
          <w:szCs w:val="24"/>
          <w:lang w:eastAsia="ar-SA"/>
        </w:rPr>
        <w:t xml:space="preserve"> procesu saistīto darbību</w:t>
      </w:r>
      <w:r w:rsidR="002D3C02" w:rsidRPr="00D22DA1">
        <w:rPr>
          <w:rFonts w:eastAsia="Calibri" w:cs="Times New Roman"/>
          <w:szCs w:val="24"/>
          <w:lang w:eastAsia="ar-SA"/>
        </w:rPr>
        <w:t xml:space="preserve"> veikšanai, gan projektu sagatavošanai</w:t>
      </w:r>
      <w:r w:rsidR="006306A5" w:rsidRPr="00D22DA1">
        <w:rPr>
          <w:rFonts w:eastAsia="Calibri" w:cs="Times New Roman"/>
          <w:szCs w:val="24"/>
          <w:lang w:eastAsia="ar-SA"/>
        </w:rPr>
        <w:t xml:space="preserve">. </w:t>
      </w:r>
      <w:r w:rsidR="00E32E32" w:rsidRPr="00D22DA1">
        <w:rPr>
          <w:rFonts w:eastAsia="Calibri" w:cs="Times New Roman"/>
          <w:szCs w:val="24"/>
          <w:lang w:eastAsia="ar-SA"/>
        </w:rPr>
        <w:t>Ar</w:t>
      </w:r>
      <w:r w:rsidR="00AA07C3" w:rsidRPr="00D22DA1">
        <w:rPr>
          <w:rFonts w:eastAsia="Times New Roman" w:cs="Times New Roman"/>
          <w:color w:val="000000"/>
          <w:szCs w:val="24"/>
        </w:rPr>
        <w:t xml:space="preserve"> </w:t>
      </w:r>
      <w:r w:rsidR="00101539" w:rsidRPr="00D22DA1">
        <w:rPr>
          <w:rFonts w:eastAsia="Times New Roman" w:cs="Times New Roman"/>
          <w:color w:val="000000"/>
          <w:szCs w:val="24"/>
        </w:rPr>
        <w:t xml:space="preserve">visām </w:t>
      </w:r>
      <w:r w:rsidR="00AA07C3" w:rsidRPr="00D22DA1">
        <w:rPr>
          <w:rFonts w:eastAsia="Times New Roman" w:cs="Times New Roman"/>
          <w:color w:val="000000"/>
          <w:szCs w:val="24"/>
        </w:rPr>
        <w:t xml:space="preserve">līdz šim uzsāktajām projektu iesniegumu atlasēm var iepazīties </w:t>
      </w:r>
      <w:r w:rsidR="00310428">
        <w:rPr>
          <w:rFonts w:eastAsia="Times New Roman" w:cs="Times New Roman"/>
          <w:color w:val="000000"/>
          <w:szCs w:val="24"/>
        </w:rPr>
        <w:t>CFLA</w:t>
      </w:r>
      <w:r w:rsidR="00AA07C3" w:rsidRPr="00D22DA1">
        <w:rPr>
          <w:rFonts w:eastAsia="Times New Roman" w:cs="Times New Roman"/>
          <w:color w:val="000000"/>
          <w:szCs w:val="24"/>
        </w:rPr>
        <w:t xml:space="preserve"> tīmekļa vietnē</w:t>
      </w:r>
      <w:r w:rsidR="00AA07C3" w:rsidRPr="002F41D0">
        <w:rPr>
          <w:rStyle w:val="FootnoteReference"/>
          <w:rFonts w:eastAsia="Times New Roman" w:cs="Times New Roman"/>
          <w:color w:val="000000"/>
          <w:szCs w:val="24"/>
        </w:rPr>
        <w:footnoteReference w:id="15"/>
      </w:r>
      <w:r w:rsidR="00AA07C3" w:rsidRPr="00E72DA3">
        <w:rPr>
          <w:rFonts w:eastAsia="Times New Roman" w:cs="Times New Roman"/>
          <w:color w:val="000000"/>
          <w:szCs w:val="24"/>
        </w:rPr>
        <w:t>.</w:t>
      </w:r>
    </w:p>
    <w:p w14:paraId="663A4A43" w14:textId="7CC98232" w:rsidR="00C2310D" w:rsidRPr="00D22DA1" w:rsidRDefault="000C2AA0" w:rsidP="006306A5">
      <w:pPr>
        <w:pStyle w:val="ListParagraph"/>
        <w:numPr>
          <w:ilvl w:val="1"/>
          <w:numId w:val="14"/>
        </w:numPr>
        <w:suppressAutoHyphens/>
        <w:spacing w:before="120" w:after="120"/>
        <w:ind w:left="0" w:firstLine="0"/>
        <w:contextualSpacing w:val="0"/>
        <w:jc w:val="both"/>
        <w:rPr>
          <w:color w:val="000000" w:themeColor="text1"/>
        </w:rPr>
      </w:pPr>
      <w:r w:rsidRPr="002F41D0">
        <w:rPr>
          <w:rFonts w:cs="Times New Roman"/>
          <w:b/>
          <w:szCs w:val="24"/>
        </w:rPr>
        <w:t xml:space="preserve">Būtiskākie aktuālie </w:t>
      </w:r>
      <w:r w:rsidR="00684ADB" w:rsidRPr="002F41D0">
        <w:rPr>
          <w:rFonts w:cs="Times New Roman"/>
          <w:b/>
          <w:szCs w:val="24"/>
        </w:rPr>
        <w:t>riski</w:t>
      </w:r>
      <w:r w:rsidRPr="002F41D0">
        <w:rPr>
          <w:rFonts w:cs="Times New Roman"/>
          <w:b/>
          <w:szCs w:val="24"/>
        </w:rPr>
        <w:t xml:space="preserve"> </w:t>
      </w:r>
      <w:r w:rsidRPr="00D22DA1">
        <w:rPr>
          <w:rFonts w:cs="Times New Roman"/>
          <w:szCs w:val="24"/>
        </w:rPr>
        <w:t>ar lielāko finanšu ietekmi</w:t>
      </w:r>
      <w:r w:rsidR="00265C0B" w:rsidRPr="00D22DA1">
        <w:rPr>
          <w:rFonts w:cs="Times New Roman"/>
          <w:szCs w:val="24"/>
        </w:rPr>
        <w:t xml:space="preserve"> saglabājas jau iepriekš ziņotie</w:t>
      </w:r>
      <w:r w:rsidR="00B4703B" w:rsidRPr="00D22DA1">
        <w:rPr>
          <w:rStyle w:val="FootnoteReference"/>
          <w:rFonts w:cs="Times New Roman"/>
          <w:szCs w:val="24"/>
        </w:rPr>
        <w:footnoteReference w:id="16"/>
      </w:r>
      <w:r w:rsidR="00265C0B" w:rsidRPr="00D22DA1">
        <w:rPr>
          <w:rFonts w:cs="Times New Roman"/>
          <w:szCs w:val="24"/>
        </w:rPr>
        <w:t>, t.i.</w:t>
      </w:r>
      <w:r w:rsidR="00DC058E" w:rsidRPr="00D22DA1">
        <w:rPr>
          <w:rFonts w:cs="Times New Roman"/>
          <w:szCs w:val="24"/>
        </w:rPr>
        <w:t>,</w:t>
      </w:r>
      <w:r w:rsidR="00265C0B" w:rsidRPr="00D22DA1">
        <w:rPr>
          <w:rFonts w:cs="Times New Roman"/>
          <w:szCs w:val="24"/>
        </w:rPr>
        <w:t xml:space="preserve">  saistībā ar lēmumiem par finansējuma izlietojumu</w:t>
      </w:r>
      <w:r w:rsidR="00F66A9C">
        <w:rPr>
          <w:rFonts w:cs="Times New Roman"/>
          <w:szCs w:val="24"/>
        </w:rPr>
        <w:t>:</w:t>
      </w:r>
    </w:p>
    <w:p w14:paraId="2AD89A1D" w14:textId="4FED4BBC" w:rsidR="00C2310D" w:rsidRPr="00D22DA1" w:rsidRDefault="00684ADB" w:rsidP="00D22DA1">
      <w:pPr>
        <w:pStyle w:val="ListParagraph"/>
        <w:numPr>
          <w:ilvl w:val="2"/>
          <w:numId w:val="20"/>
        </w:numPr>
        <w:suppressAutoHyphens/>
        <w:spacing w:before="120" w:after="120"/>
        <w:contextualSpacing w:val="0"/>
        <w:jc w:val="both"/>
        <w:rPr>
          <w:rFonts w:cs="Times New Roman"/>
          <w:b/>
          <w:szCs w:val="24"/>
        </w:rPr>
      </w:pPr>
      <w:r w:rsidRPr="007550A5">
        <w:rPr>
          <w:rFonts w:cs="Times New Roman"/>
          <w:b/>
          <w:bCs/>
          <w:szCs w:val="24"/>
        </w:rPr>
        <w:lastRenderedPageBreak/>
        <w:t>Veselības infrastruktūra</w:t>
      </w:r>
      <w:r w:rsidR="00265C0B" w:rsidRPr="007550A5">
        <w:rPr>
          <w:rFonts w:cs="Times New Roman"/>
          <w:b/>
          <w:bCs/>
          <w:szCs w:val="24"/>
        </w:rPr>
        <w:t>i</w:t>
      </w:r>
      <w:r w:rsidRPr="007550A5">
        <w:rPr>
          <w:rFonts w:cs="Times New Roman"/>
          <w:b/>
          <w:bCs/>
          <w:szCs w:val="24"/>
        </w:rPr>
        <w:t xml:space="preserve"> </w:t>
      </w:r>
      <w:r w:rsidRPr="00D22DA1">
        <w:rPr>
          <w:rFonts w:cs="Times New Roman"/>
          <w:b/>
          <w:szCs w:val="24"/>
        </w:rPr>
        <w:t>(</w:t>
      </w:r>
      <w:r w:rsidRPr="004F42B6">
        <w:rPr>
          <w:rFonts w:cs="Times New Roman"/>
          <w:b/>
          <w:szCs w:val="24"/>
        </w:rPr>
        <w:t xml:space="preserve">152 milj. </w:t>
      </w:r>
      <w:proofErr w:type="spellStart"/>
      <w:r w:rsidRPr="004F42B6">
        <w:rPr>
          <w:rFonts w:cs="Times New Roman"/>
          <w:b/>
          <w:i/>
          <w:iCs/>
          <w:szCs w:val="24"/>
        </w:rPr>
        <w:t>euro</w:t>
      </w:r>
      <w:proofErr w:type="spellEnd"/>
      <w:r w:rsidRPr="00D22DA1">
        <w:rPr>
          <w:rFonts w:cs="Times New Roman"/>
          <w:b/>
          <w:szCs w:val="24"/>
        </w:rPr>
        <w:t>,</w:t>
      </w:r>
      <w:r w:rsidRPr="004F42B6">
        <w:rPr>
          <w:rFonts w:eastAsia="Times New Roman"/>
          <w:b/>
          <w:i/>
          <w:szCs w:val="24"/>
          <w:lang w:eastAsia="lv-LV"/>
        </w:rPr>
        <w:t xml:space="preserve"> </w:t>
      </w:r>
      <w:r w:rsidRPr="004F42B6">
        <w:rPr>
          <w:rFonts w:eastAsia="Times New Roman"/>
          <w:b/>
          <w:szCs w:val="24"/>
          <w:lang w:eastAsia="lv-LV"/>
        </w:rPr>
        <w:t>Eiropas Reģionālās attīstības fonds (turpmāk – ERAF</w:t>
      </w:r>
      <w:r w:rsidRPr="004F42B6">
        <w:rPr>
          <w:rFonts w:cs="Times New Roman"/>
          <w:b/>
          <w:szCs w:val="24"/>
        </w:rPr>
        <w:t>)</w:t>
      </w:r>
      <w:r w:rsidR="00265C0B" w:rsidRPr="004F42B6">
        <w:rPr>
          <w:rFonts w:cs="Times New Roman"/>
          <w:b/>
          <w:szCs w:val="24"/>
        </w:rPr>
        <w:t xml:space="preserve">; </w:t>
      </w:r>
    </w:p>
    <w:p w14:paraId="210DE7D2" w14:textId="5D7F54CB" w:rsidR="00C2310D" w:rsidRPr="004F42B6" w:rsidRDefault="00F465A3" w:rsidP="00D22DA1">
      <w:pPr>
        <w:pStyle w:val="ListParagraph"/>
        <w:numPr>
          <w:ilvl w:val="2"/>
          <w:numId w:val="20"/>
        </w:numPr>
        <w:suppressAutoHyphens/>
        <w:spacing w:before="120" w:after="120"/>
        <w:contextualSpacing w:val="0"/>
        <w:jc w:val="both"/>
        <w:rPr>
          <w:rFonts w:eastAsia="Times New Roman"/>
          <w:szCs w:val="28"/>
          <w:lang w:eastAsia="lv-LV"/>
        </w:rPr>
      </w:pPr>
      <w:r w:rsidRPr="007550A5">
        <w:rPr>
          <w:rFonts w:eastAsia="Times New Roman"/>
          <w:b/>
          <w:bCs/>
          <w:szCs w:val="28"/>
          <w:lang w:eastAsia="lv-LV"/>
        </w:rPr>
        <w:t>Dzelzceļa elektrifikācijas projekt</w:t>
      </w:r>
      <w:r w:rsidR="00265C0B" w:rsidRPr="007550A5">
        <w:rPr>
          <w:rFonts w:eastAsia="Times New Roman"/>
          <w:b/>
          <w:bCs/>
          <w:szCs w:val="28"/>
          <w:lang w:eastAsia="lv-LV"/>
        </w:rPr>
        <w:t>am</w:t>
      </w:r>
      <w:r w:rsidRPr="007550A5">
        <w:rPr>
          <w:rFonts w:eastAsia="Times New Roman"/>
          <w:b/>
          <w:bCs/>
          <w:szCs w:val="28"/>
          <w:lang w:eastAsia="lv-LV"/>
        </w:rPr>
        <w:t xml:space="preserve"> </w:t>
      </w:r>
      <w:r w:rsidRPr="00D22DA1">
        <w:rPr>
          <w:rFonts w:eastAsia="Times New Roman"/>
          <w:bCs/>
          <w:szCs w:val="28"/>
          <w:lang w:eastAsia="lv-LV"/>
        </w:rPr>
        <w:t xml:space="preserve">(346,6 milj. </w:t>
      </w:r>
      <w:proofErr w:type="spellStart"/>
      <w:r w:rsidRPr="00D22DA1">
        <w:rPr>
          <w:rFonts w:eastAsia="Times New Roman"/>
          <w:bCs/>
          <w:i/>
          <w:iCs/>
          <w:szCs w:val="28"/>
          <w:lang w:eastAsia="lv-LV"/>
        </w:rPr>
        <w:t>euro</w:t>
      </w:r>
      <w:proofErr w:type="spellEnd"/>
      <w:r w:rsidRPr="00D22DA1">
        <w:rPr>
          <w:rFonts w:eastAsia="Times New Roman"/>
          <w:bCs/>
          <w:szCs w:val="28"/>
          <w:lang w:eastAsia="lv-LV"/>
        </w:rPr>
        <w:t>, K</w:t>
      </w:r>
      <w:r w:rsidR="0027168C" w:rsidRPr="00D22DA1">
        <w:rPr>
          <w:rFonts w:eastAsia="Times New Roman"/>
          <w:bCs/>
          <w:szCs w:val="28"/>
          <w:lang w:eastAsia="lv-LV"/>
        </w:rPr>
        <w:t>ohēzijas fonds</w:t>
      </w:r>
      <w:r w:rsidRPr="00D22DA1">
        <w:rPr>
          <w:rFonts w:eastAsia="Times New Roman"/>
          <w:bCs/>
          <w:szCs w:val="28"/>
          <w:lang w:eastAsia="lv-LV"/>
        </w:rPr>
        <w:t>)</w:t>
      </w:r>
      <w:r w:rsidR="00265C0B" w:rsidRPr="00D22DA1">
        <w:rPr>
          <w:rFonts w:eastAsia="Times New Roman"/>
          <w:bCs/>
          <w:szCs w:val="28"/>
          <w:lang w:eastAsia="lv-LV"/>
        </w:rPr>
        <w:t xml:space="preserve">; </w:t>
      </w:r>
    </w:p>
    <w:p w14:paraId="5F6A4E0B" w14:textId="78E4E65B" w:rsidR="00C2310D" w:rsidRPr="004F42B6" w:rsidRDefault="00684ADB" w:rsidP="00D22DA1">
      <w:pPr>
        <w:pStyle w:val="ListParagraph"/>
        <w:numPr>
          <w:ilvl w:val="2"/>
          <w:numId w:val="20"/>
        </w:numPr>
        <w:suppressAutoHyphens/>
        <w:spacing w:before="120" w:after="120"/>
        <w:contextualSpacing w:val="0"/>
        <w:jc w:val="both"/>
        <w:rPr>
          <w:rFonts w:eastAsia="Times New Roman"/>
          <w:szCs w:val="28"/>
          <w:lang w:eastAsia="lv-LV"/>
        </w:rPr>
      </w:pPr>
      <w:r w:rsidRPr="007550A5">
        <w:rPr>
          <w:rFonts w:cs="Times New Roman"/>
          <w:b/>
          <w:bCs/>
          <w:szCs w:val="24"/>
        </w:rPr>
        <w:t xml:space="preserve">Inčukalna gudrona dīķu </w:t>
      </w:r>
      <w:r w:rsidRPr="00D22DA1">
        <w:rPr>
          <w:rFonts w:cs="Times New Roman"/>
          <w:bCs/>
          <w:szCs w:val="24"/>
        </w:rPr>
        <w:t xml:space="preserve">attīrīšanas </w:t>
      </w:r>
      <w:r w:rsidRPr="00D22DA1">
        <w:rPr>
          <w:rFonts w:cs="Times New Roman"/>
          <w:szCs w:val="24"/>
        </w:rPr>
        <w:t>(sanācijas) projekta pabeigšana</w:t>
      </w:r>
      <w:r w:rsidR="00265C0B" w:rsidRPr="00D22DA1">
        <w:rPr>
          <w:rFonts w:cs="Times New Roman"/>
          <w:szCs w:val="24"/>
        </w:rPr>
        <w:t>i</w:t>
      </w:r>
      <w:r w:rsidRPr="004F42B6">
        <w:rPr>
          <w:rFonts w:cs="Times New Roman"/>
          <w:szCs w:val="24"/>
        </w:rPr>
        <w:t xml:space="preserve"> </w:t>
      </w:r>
      <w:r w:rsidR="00D32CD5" w:rsidRPr="004F42B6">
        <w:rPr>
          <w:rFonts w:eastAsia="Times New Roman"/>
          <w:szCs w:val="28"/>
          <w:lang w:eastAsia="lv-LV"/>
        </w:rPr>
        <w:t xml:space="preserve">(kopā </w:t>
      </w:r>
      <w:r w:rsidR="003E6E22" w:rsidRPr="004F42B6">
        <w:rPr>
          <w:rFonts w:eastAsia="Times New Roman"/>
          <w:szCs w:val="28"/>
          <w:lang w:eastAsia="lv-LV"/>
        </w:rPr>
        <w:t>indikatīvi</w:t>
      </w:r>
      <w:r w:rsidR="00D32CD5" w:rsidRPr="004F42B6">
        <w:rPr>
          <w:rFonts w:eastAsia="Times New Roman"/>
          <w:szCs w:val="28"/>
          <w:lang w:eastAsia="lv-LV"/>
        </w:rPr>
        <w:t xml:space="preserve"> 53 milj. </w:t>
      </w:r>
      <w:proofErr w:type="spellStart"/>
      <w:r w:rsidR="00D32CD5" w:rsidRPr="004F42B6">
        <w:rPr>
          <w:rFonts w:eastAsia="Times New Roman"/>
          <w:i/>
          <w:szCs w:val="28"/>
          <w:lang w:eastAsia="lv-LV"/>
        </w:rPr>
        <w:t>euro</w:t>
      </w:r>
      <w:proofErr w:type="spellEnd"/>
      <w:r w:rsidR="00D32CD5" w:rsidRPr="004F42B6">
        <w:rPr>
          <w:rFonts w:eastAsia="Times New Roman"/>
          <w:szCs w:val="28"/>
          <w:lang w:eastAsia="lv-LV"/>
        </w:rPr>
        <w:t xml:space="preserve">, 2.posmam </w:t>
      </w:r>
      <w:r w:rsidR="003E6E22" w:rsidRPr="004F42B6">
        <w:rPr>
          <w:rFonts w:eastAsia="Times New Roman"/>
          <w:szCs w:val="28"/>
          <w:lang w:eastAsia="lv-LV"/>
        </w:rPr>
        <w:t>indikatīvi</w:t>
      </w:r>
      <w:r w:rsidR="00D32CD5" w:rsidRPr="004F42B6">
        <w:rPr>
          <w:rFonts w:eastAsia="Times New Roman"/>
          <w:szCs w:val="28"/>
          <w:lang w:eastAsia="lv-LV"/>
        </w:rPr>
        <w:t xml:space="preserve"> 25 milj. </w:t>
      </w:r>
      <w:proofErr w:type="spellStart"/>
      <w:r w:rsidR="00D32CD5" w:rsidRPr="004F42B6">
        <w:rPr>
          <w:rFonts w:eastAsia="Times New Roman"/>
          <w:i/>
          <w:szCs w:val="28"/>
          <w:lang w:eastAsia="lv-LV"/>
        </w:rPr>
        <w:t>euro</w:t>
      </w:r>
      <w:proofErr w:type="spellEnd"/>
      <w:r w:rsidR="00D32CD5" w:rsidRPr="004F42B6">
        <w:rPr>
          <w:rFonts w:eastAsia="Times New Roman"/>
          <w:szCs w:val="28"/>
          <w:lang w:eastAsia="lv-LV"/>
        </w:rPr>
        <w:t>)</w:t>
      </w:r>
      <w:r w:rsidR="00DC058E" w:rsidRPr="004F42B6">
        <w:rPr>
          <w:rFonts w:eastAsia="Times New Roman"/>
          <w:szCs w:val="28"/>
          <w:lang w:eastAsia="lv-LV"/>
        </w:rPr>
        <w:t>;</w:t>
      </w:r>
    </w:p>
    <w:p w14:paraId="53B51703" w14:textId="04CA8750" w:rsidR="00C2310D" w:rsidRPr="00C2310D" w:rsidRDefault="00357ED9" w:rsidP="00D22DA1">
      <w:pPr>
        <w:pStyle w:val="ListParagraph"/>
        <w:numPr>
          <w:ilvl w:val="2"/>
          <w:numId w:val="20"/>
        </w:numPr>
        <w:suppressAutoHyphens/>
        <w:spacing w:before="120" w:after="120"/>
        <w:contextualSpacing w:val="0"/>
        <w:jc w:val="both"/>
        <w:rPr>
          <w:rFonts w:eastAsia="Times New Roman"/>
          <w:szCs w:val="24"/>
          <w:lang w:eastAsia="lv-LV"/>
        </w:rPr>
      </w:pPr>
      <w:r w:rsidRPr="007550A5">
        <w:rPr>
          <w:rFonts w:eastAsia="Times New Roman"/>
          <w:b/>
          <w:szCs w:val="24"/>
          <w:lang w:eastAsia="lv-LV"/>
        </w:rPr>
        <w:t>Horizontāls risks par turpmāko gadu investīciju</w:t>
      </w:r>
      <w:r w:rsidR="004F42B6">
        <w:rPr>
          <w:rFonts w:eastAsia="Times New Roman"/>
          <w:b/>
          <w:szCs w:val="24"/>
          <w:lang w:eastAsia="lv-LV"/>
        </w:rPr>
        <w:t xml:space="preserve"> optimālu plūsmu - </w:t>
      </w:r>
      <w:r w:rsidRPr="007550A5">
        <w:rPr>
          <w:rFonts w:eastAsia="Times New Roman"/>
          <w:b/>
          <w:szCs w:val="24"/>
          <w:lang w:eastAsia="lv-LV"/>
        </w:rPr>
        <w:t xml:space="preserve"> </w:t>
      </w:r>
      <w:r w:rsidRPr="00D22DA1">
        <w:rPr>
          <w:rFonts w:eastAsia="Times New Roman"/>
          <w:szCs w:val="24"/>
          <w:lang w:eastAsia="lv-LV"/>
        </w:rPr>
        <w:t xml:space="preserve">piedāvājumu un kapacitātes </w:t>
      </w:r>
      <w:proofErr w:type="spellStart"/>
      <w:r w:rsidRPr="00D22DA1">
        <w:rPr>
          <w:rFonts w:eastAsia="Times New Roman"/>
          <w:szCs w:val="24"/>
          <w:lang w:eastAsia="lv-LV"/>
        </w:rPr>
        <w:t>disbalansu</w:t>
      </w:r>
      <w:proofErr w:type="spellEnd"/>
      <w:r w:rsidRPr="00D22DA1">
        <w:rPr>
          <w:rFonts w:eastAsia="Times New Roman"/>
          <w:szCs w:val="24"/>
          <w:lang w:eastAsia="lv-LV"/>
        </w:rPr>
        <w:t xml:space="preserve">, jo īpaši būvniecības jomā: </w:t>
      </w:r>
      <w:r w:rsidRPr="00D22DA1">
        <w:rPr>
          <w:rStyle w:val="Strong"/>
          <w:b w:val="0"/>
          <w:szCs w:val="24"/>
        </w:rPr>
        <w:t xml:space="preserve">MK 2016.gada 22.septembra sēdē, izskatot jautājumu par aktuālo ES fondu ieviešanas progresu, </w:t>
      </w:r>
      <w:r w:rsidR="003B01E1">
        <w:rPr>
          <w:rStyle w:val="Strong"/>
          <w:b w:val="0"/>
          <w:szCs w:val="24"/>
        </w:rPr>
        <w:t>EM</w:t>
      </w:r>
      <w:r w:rsidRPr="00D22DA1">
        <w:rPr>
          <w:rStyle w:val="Strong"/>
          <w:b w:val="0"/>
          <w:szCs w:val="24"/>
        </w:rPr>
        <w:t xml:space="preserve"> apņēmās</w:t>
      </w:r>
      <w:r w:rsidRPr="004F42B6">
        <w:rPr>
          <w:rStyle w:val="Strong"/>
          <w:szCs w:val="24"/>
        </w:rPr>
        <w:t xml:space="preserve"> </w:t>
      </w:r>
      <w:r w:rsidRPr="004F42B6">
        <w:rPr>
          <w:szCs w:val="24"/>
        </w:rPr>
        <w:t>sadarbībā ar iesaistītām</w:t>
      </w:r>
      <w:r w:rsidRPr="00166EC6">
        <w:rPr>
          <w:szCs w:val="24"/>
        </w:rPr>
        <w:t xml:space="preserve"> nozaru ministrijām un nozaru speciālistiem </w:t>
      </w:r>
      <w:r w:rsidRPr="00166EC6">
        <w:rPr>
          <w:bCs/>
          <w:szCs w:val="24"/>
        </w:rPr>
        <w:t xml:space="preserve">veikt analīzi </w:t>
      </w:r>
      <w:r w:rsidRPr="00166EC6">
        <w:rPr>
          <w:szCs w:val="24"/>
        </w:rPr>
        <w:t>par kopumā valstī sagaidāmām publiskām un privātām investīcijām un nepieciešamo resursu pieejamību un ietekmi uz tirgus cenu un kvalitāti, analizējot ekonomikas pārkaršanas r</w:t>
      </w:r>
      <w:r w:rsidRPr="004678F2">
        <w:rPr>
          <w:szCs w:val="24"/>
        </w:rPr>
        <w:t>iskus. L</w:t>
      </w:r>
      <w:r w:rsidRPr="007550A5">
        <w:rPr>
          <w:rFonts w:eastAsia="Times New Roman"/>
          <w:szCs w:val="24"/>
          <w:lang w:eastAsia="lv-LV"/>
        </w:rPr>
        <w:t xml:space="preserve">ai arī plānoto ES fondu </w:t>
      </w:r>
      <w:r w:rsidRPr="007550A5">
        <w:rPr>
          <w:szCs w:val="24"/>
        </w:rPr>
        <w:t>2014.–2020.gada plānošanas perioda</w:t>
      </w:r>
      <w:r w:rsidRPr="007550A5">
        <w:rPr>
          <w:rFonts w:eastAsia="Times New Roman"/>
          <w:szCs w:val="24"/>
          <w:lang w:eastAsia="lv-LV"/>
        </w:rPr>
        <w:t xml:space="preserve"> investīciju apjoms būvniecībā ir ievērojams, </w:t>
      </w:r>
      <w:r w:rsidRPr="007550A5">
        <w:rPr>
          <w:szCs w:val="24"/>
        </w:rPr>
        <w:t xml:space="preserve">būtiski </w:t>
      </w:r>
      <w:r w:rsidR="00657060">
        <w:rPr>
          <w:szCs w:val="24"/>
        </w:rPr>
        <w:t xml:space="preserve">ir </w:t>
      </w:r>
      <w:r w:rsidRPr="00657060">
        <w:rPr>
          <w:szCs w:val="24"/>
        </w:rPr>
        <w:t>analizēt un modelēt nozares attīstību kopumā, ņemot vērā ne tikai potenciālos ES fondu ieguldījumus, bet arī pašvaldību, kapitālsabiedrību, privātās un cit</w:t>
      </w:r>
      <w:r w:rsidRPr="007550A5">
        <w:rPr>
          <w:szCs w:val="24"/>
        </w:rPr>
        <w:t xml:space="preserve">as investīcijas, kas var ietekmēt situāciju nozarē. </w:t>
      </w:r>
      <w:r w:rsidR="003B01E1">
        <w:rPr>
          <w:bCs/>
          <w:szCs w:val="24"/>
        </w:rPr>
        <w:t>EM</w:t>
      </w:r>
      <w:r w:rsidRPr="007550A5">
        <w:rPr>
          <w:bCs/>
          <w:szCs w:val="24"/>
        </w:rPr>
        <w:t xml:space="preserve"> tika uzdots, balstoties uz veikto analīzi, līdz 2016.gada 31.decembrim iesniegt informatīvo ziņojumu MK par secinājumiem un konkrētiem priekšlikumiem nepieciešamai rīcībai, </w:t>
      </w:r>
      <w:r w:rsidRPr="007550A5">
        <w:rPr>
          <w:szCs w:val="24"/>
        </w:rPr>
        <w:t xml:space="preserve">lai novērstu vai mazinātu ekonomikas pārkaršanas riskus, tai skaitā sabalansētu ES fondu 2014.–2020.gada plānošanas perioda optimālu investīciju plūsmu. Tāpat Saeimas </w:t>
      </w:r>
      <w:r w:rsidRPr="007550A5">
        <w:rPr>
          <w:rFonts w:eastAsia="Times New Roman"/>
          <w:szCs w:val="24"/>
          <w:lang w:eastAsia="lv-LV"/>
        </w:rPr>
        <w:t xml:space="preserve">Eiropas lietu komisija 2016.gada 19.septembra sēdē, uzklausot atbildīgo iestāžu ziņojumus par ES fondu investīciju gaitu un prognozēm turpmākiem gadiem, aicināja atbildīgās iestādes risināt šo jautājumu un iesniegt </w:t>
      </w:r>
      <w:r w:rsidR="00EC6753">
        <w:rPr>
          <w:rFonts w:eastAsia="Times New Roman"/>
          <w:szCs w:val="24"/>
          <w:lang w:eastAsia="lv-LV"/>
        </w:rPr>
        <w:t xml:space="preserve">minētajai </w:t>
      </w:r>
      <w:r w:rsidRPr="007550A5">
        <w:rPr>
          <w:rFonts w:eastAsia="Times New Roman"/>
          <w:szCs w:val="24"/>
          <w:lang w:eastAsia="lv-LV"/>
        </w:rPr>
        <w:t>komisijai konkrētus priekšlikumus</w:t>
      </w:r>
      <w:r w:rsidRPr="001D2DAF">
        <w:rPr>
          <w:rStyle w:val="FootnoteReference"/>
          <w:szCs w:val="24"/>
        </w:rPr>
        <w:footnoteReference w:id="17"/>
      </w:r>
      <w:r w:rsidRPr="00C2310D">
        <w:rPr>
          <w:rFonts w:eastAsia="Times New Roman"/>
          <w:szCs w:val="24"/>
          <w:lang w:eastAsia="lv-LV"/>
        </w:rPr>
        <w:t xml:space="preserve">.  </w:t>
      </w:r>
    </w:p>
    <w:p w14:paraId="00F556A9" w14:textId="68B5B4A5" w:rsidR="00C40FF3" w:rsidRPr="00660235" w:rsidRDefault="004F42B6" w:rsidP="00F66A9C">
      <w:pPr>
        <w:pStyle w:val="ListParagraph"/>
        <w:numPr>
          <w:ilvl w:val="0"/>
          <w:numId w:val="21"/>
        </w:numPr>
        <w:spacing w:before="120" w:after="120" w:line="280" w:lineRule="atLeast"/>
        <w:ind w:left="720" w:hanging="720"/>
        <w:jc w:val="both"/>
        <w:rPr>
          <w:rFonts w:eastAsia="Times New Roman"/>
          <w:szCs w:val="24"/>
          <w:lang w:eastAsia="lv-LV"/>
        </w:rPr>
      </w:pPr>
      <w:r w:rsidRPr="00D22DA1">
        <w:rPr>
          <w:rFonts w:cs="Times New Roman"/>
          <w:b/>
          <w:bCs/>
          <w:szCs w:val="24"/>
        </w:rPr>
        <w:t xml:space="preserve">Jauns risks saistīts ar sabiedrības daļas negatīvo viedokli publiskajā telpā par </w:t>
      </w:r>
      <w:r w:rsidR="004E1BDE" w:rsidRPr="00D22DA1">
        <w:rPr>
          <w:rFonts w:cs="Times New Roman"/>
          <w:b/>
          <w:bCs/>
          <w:szCs w:val="24"/>
        </w:rPr>
        <w:t>Rīgas tramvaju infrastruktūras attīstība</w:t>
      </w:r>
      <w:r w:rsidRPr="00D22DA1">
        <w:rPr>
          <w:rFonts w:cs="Times New Roman"/>
          <w:b/>
          <w:bCs/>
          <w:szCs w:val="24"/>
        </w:rPr>
        <w:t>s projek</w:t>
      </w:r>
      <w:r w:rsidRPr="004F42B6">
        <w:rPr>
          <w:rFonts w:cs="Times New Roman"/>
          <w:b/>
          <w:bCs/>
          <w:szCs w:val="24"/>
        </w:rPr>
        <w:t>t</w:t>
      </w:r>
      <w:r w:rsidR="00660235" w:rsidRPr="00EF6E3D">
        <w:rPr>
          <w:rFonts w:cs="Times New Roman"/>
          <w:b/>
          <w:bCs/>
          <w:szCs w:val="24"/>
        </w:rPr>
        <w:t>a ieceri</w:t>
      </w:r>
      <w:r w:rsidR="004E1BDE" w:rsidRPr="00D22DA1">
        <w:rPr>
          <w:rFonts w:cs="Times New Roman"/>
          <w:b/>
          <w:bCs/>
          <w:szCs w:val="24"/>
        </w:rPr>
        <w:t xml:space="preserve"> (</w:t>
      </w:r>
      <w:r w:rsidR="00C40FF3" w:rsidRPr="00D22DA1">
        <w:rPr>
          <w:rFonts w:cs="Times New Roman"/>
          <w:b/>
          <w:bCs/>
          <w:szCs w:val="24"/>
        </w:rPr>
        <w:t xml:space="preserve">70 </w:t>
      </w:r>
      <w:proofErr w:type="spellStart"/>
      <w:r w:rsidR="00C40FF3" w:rsidRPr="00D22DA1">
        <w:rPr>
          <w:rFonts w:cs="Times New Roman"/>
          <w:b/>
          <w:bCs/>
          <w:szCs w:val="24"/>
        </w:rPr>
        <w:t>milj.</w:t>
      </w:r>
      <w:r w:rsidR="00C40FF3" w:rsidRPr="00D22DA1">
        <w:rPr>
          <w:rFonts w:cs="Times New Roman"/>
          <w:b/>
          <w:bCs/>
          <w:i/>
          <w:szCs w:val="24"/>
        </w:rPr>
        <w:t>euro</w:t>
      </w:r>
      <w:proofErr w:type="spellEnd"/>
      <w:r w:rsidR="00C40FF3" w:rsidRPr="00D22DA1">
        <w:rPr>
          <w:rFonts w:cs="Times New Roman"/>
          <w:b/>
          <w:bCs/>
          <w:szCs w:val="24"/>
        </w:rPr>
        <w:t xml:space="preserve">, </w:t>
      </w:r>
      <w:r w:rsidR="002314A2">
        <w:rPr>
          <w:rFonts w:cs="Times New Roman"/>
          <w:b/>
          <w:bCs/>
          <w:szCs w:val="24"/>
        </w:rPr>
        <w:t>KF</w:t>
      </w:r>
      <w:r w:rsidRPr="00EF6E3D">
        <w:rPr>
          <w:rFonts w:cs="Times New Roman"/>
          <w:b/>
          <w:bCs/>
          <w:szCs w:val="24"/>
        </w:rPr>
        <w:t>)</w:t>
      </w:r>
      <w:r w:rsidRPr="004F42B6">
        <w:rPr>
          <w:rFonts w:cs="Times New Roman"/>
          <w:b/>
          <w:bCs/>
          <w:szCs w:val="24"/>
        </w:rPr>
        <w:t>-</w:t>
      </w:r>
      <w:r>
        <w:rPr>
          <w:rFonts w:cs="Times New Roman"/>
          <w:b/>
          <w:bCs/>
          <w:szCs w:val="24"/>
        </w:rPr>
        <w:t xml:space="preserve">, </w:t>
      </w:r>
      <w:r w:rsidRPr="00D22DA1">
        <w:rPr>
          <w:rFonts w:cs="Times New Roman"/>
          <w:bCs/>
          <w:szCs w:val="24"/>
        </w:rPr>
        <w:t>ko</w:t>
      </w:r>
      <w:r>
        <w:rPr>
          <w:rFonts w:cs="Times New Roman"/>
          <w:b/>
          <w:bCs/>
          <w:szCs w:val="24"/>
        </w:rPr>
        <w:t xml:space="preserve"> </w:t>
      </w:r>
      <w:r w:rsidRPr="00D22DA1">
        <w:rPr>
          <w:szCs w:val="24"/>
        </w:rPr>
        <w:t xml:space="preserve"> Rīgas pašvaldības  SIA “Rīgas satiksme”</w:t>
      </w:r>
      <w:r>
        <w:rPr>
          <w:szCs w:val="24"/>
        </w:rPr>
        <w:t xml:space="preserve"> plāno realizēt</w:t>
      </w:r>
      <w:r w:rsidR="005C676B">
        <w:rPr>
          <w:szCs w:val="24"/>
        </w:rPr>
        <w:t xml:space="preserve"> ES fondu</w:t>
      </w:r>
      <w:r w:rsidRPr="00D22DA1">
        <w:rPr>
          <w:szCs w:val="24"/>
        </w:rPr>
        <w:t xml:space="preserve"> 2014. – 2020.gada plānošanas perioda 4.5.1.1.pasākuma “Attīstīt videi draudzīgu sabiedriskā transporta infrastruktūru (sliežu transporta)” </w:t>
      </w:r>
      <w:r>
        <w:rPr>
          <w:szCs w:val="24"/>
        </w:rPr>
        <w:t>ietvaros</w:t>
      </w:r>
      <w:r w:rsidR="00660235">
        <w:rPr>
          <w:szCs w:val="24"/>
        </w:rPr>
        <w:t>. Notiek projekta iesnieguma vērtēšana atbilstoši noteikta</w:t>
      </w:r>
      <w:r w:rsidR="0048442F">
        <w:rPr>
          <w:szCs w:val="24"/>
        </w:rPr>
        <w:t>ja</w:t>
      </w:r>
      <w:r w:rsidR="00660235">
        <w:rPr>
          <w:szCs w:val="24"/>
        </w:rPr>
        <w:t>i kārtībai</w:t>
      </w:r>
      <w:r w:rsidR="00660235">
        <w:rPr>
          <w:rStyle w:val="FootnoteReference"/>
          <w:szCs w:val="24"/>
        </w:rPr>
        <w:footnoteReference w:id="18"/>
      </w:r>
      <w:r w:rsidR="00660235">
        <w:rPr>
          <w:szCs w:val="24"/>
        </w:rPr>
        <w:t xml:space="preserve">. </w:t>
      </w:r>
      <w:r w:rsidR="00660235">
        <w:rPr>
          <w:sz w:val="20"/>
          <w:szCs w:val="20"/>
        </w:rPr>
        <w:t> </w:t>
      </w:r>
      <w:r w:rsidR="00660235">
        <w:rPr>
          <w:szCs w:val="24"/>
        </w:rPr>
        <w:t xml:space="preserve"> </w:t>
      </w:r>
      <w:r w:rsidR="00660235">
        <w:rPr>
          <w:rFonts w:cs="Times New Roman"/>
          <w:bCs/>
          <w:szCs w:val="24"/>
        </w:rPr>
        <w:t xml:space="preserve"> </w:t>
      </w:r>
      <w:r w:rsidR="00660235" w:rsidRPr="00D22DA1">
        <w:rPr>
          <w:rFonts w:cs="Times New Roman"/>
          <w:bCs/>
          <w:szCs w:val="24"/>
        </w:rPr>
        <w:t>Turpmāka šī riska</w:t>
      </w:r>
      <w:r w:rsidR="00660235">
        <w:rPr>
          <w:rFonts w:cs="Times New Roman"/>
          <w:bCs/>
          <w:szCs w:val="24"/>
        </w:rPr>
        <w:t xml:space="preserve"> pārvaldība (problēmu identificēšana, novēršana, sabiedrības informēšana u.c.) </w:t>
      </w:r>
      <w:r w:rsidR="00660235" w:rsidRPr="00D22DA1">
        <w:rPr>
          <w:rFonts w:cs="Times New Roman"/>
          <w:bCs/>
          <w:szCs w:val="24"/>
        </w:rPr>
        <w:t xml:space="preserve"> </w:t>
      </w:r>
      <w:r w:rsidR="00660235">
        <w:rPr>
          <w:rFonts w:cs="Times New Roman"/>
          <w:bCs/>
          <w:szCs w:val="24"/>
        </w:rPr>
        <w:t xml:space="preserve">tiek gaidīta </w:t>
      </w:r>
      <w:r w:rsidR="00660235" w:rsidRPr="00D22DA1">
        <w:rPr>
          <w:rFonts w:cs="Times New Roman"/>
          <w:bCs/>
          <w:szCs w:val="24"/>
        </w:rPr>
        <w:t xml:space="preserve"> no projekta ieceres virzītāja puse</w:t>
      </w:r>
      <w:r w:rsidR="00660235" w:rsidRPr="00660235">
        <w:rPr>
          <w:rFonts w:cs="Times New Roman"/>
          <w:bCs/>
          <w:szCs w:val="24"/>
        </w:rPr>
        <w:t xml:space="preserve">s. </w:t>
      </w:r>
    </w:p>
    <w:p w14:paraId="4569E63E" w14:textId="46B464CB" w:rsidR="008D09BA" w:rsidRPr="007550A5" w:rsidRDefault="007E7D8C" w:rsidP="007550A5">
      <w:pPr>
        <w:pStyle w:val="ListParagraph"/>
        <w:numPr>
          <w:ilvl w:val="1"/>
          <w:numId w:val="14"/>
        </w:numPr>
        <w:spacing w:before="120" w:after="120"/>
        <w:ind w:left="0" w:firstLine="0"/>
        <w:contextualSpacing w:val="0"/>
        <w:jc w:val="both"/>
        <w:rPr>
          <w:rFonts w:eastAsia="Calibri" w:cs="Times New Roman"/>
          <w:szCs w:val="24"/>
          <w:lang w:eastAsia="ar-SA"/>
        </w:rPr>
      </w:pPr>
      <w:r>
        <w:rPr>
          <w:rFonts w:eastAsia="Calibri" w:cs="Times New Roman"/>
          <w:szCs w:val="24"/>
          <w:lang w:eastAsia="ar-SA"/>
        </w:rPr>
        <w:t xml:space="preserve">Apstiprināšanai </w:t>
      </w:r>
      <w:r w:rsidR="00452781">
        <w:rPr>
          <w:rFonts w:eastAsia="Calibri" w:cs="Times New Roman"/>
          <w:szCs w:val="24"/>
          <w:lang w:eastAsia="ar-SA"/>
        </w:rPr>
        <w:t>EK</w:t>
      </w:r>
      <w:r w:rsidR="00C91159">
        <w:rPr>
          <w:rFonts w:eastAsia="Calibri" w:cs="Times New Roman"/>
          <w:szCs w:val="24"/>
          <w:lang w:eastAsia="ar-SA"/>
        </w:rPr>
        <w:t xml:space="preserve"> ir iesniegti darbības programmas</w:t>
      </w:r>
      <w:r>
        <w:rPr>
          <w:rFonts w:eastAsia="Calibri" w:cs="Times New Roman"/>
          <w:szCs w:val="24"/>
          <w:lang w:eastAsia="ar-SA"/>
        </w:rPr>
        <w:t xml:space="preserve"> “I</w:t>
      </w:r>
      <w:r w:rsidR="008D09BA">
        <w:rPr>
          <w:rFonts w:eastAsia="Calibri" w:cs="Times New Roman"/>
          <w:szCs w:val="24"/>
          <w:lang w:eastAsia="ar-SA"/>
        </w:rPr>
        <w:t>zaugsme un nodarbinātība”</w:t>
      </w:r>
      <w:r>
        <w:rPr>
          <w:rFonts w:eastAsia="Calibri" w:cs="Times New Roman"/>
          <w:szCs w:val="24"/>
          <w:lang w:eastAsia="ar-SA"/>
        </w:rPr>
        <w:t xml:space="preserve"> (turpmāk – DP)</w:t>
      </w:r>
      <w:r w:rsidR="00C91159">
        <w:rPr>
          <w:rFonts w:eastAsia="Calibri" w:cs="Times New Roman"/>
          <w:szCs w:val="24"/>
          <w:lang w:eastAsia="ar-SA"/>
        </w:rPr>
        <w:t xml:space="preserve"> grozījumi</w:t>
      </w:r>
      <w:r w:rsidR="00C91159">
        <w:rPr>
          <w:rStyle w:val="FootnoteReference"/>
          <w:rFonts w:eastAsia="Calibri" w:cs="Times New Roman"/>
          <w:szCs w:val="24"/>
          <w:lang w:eastAsia="ar-SA"/>
        </w:rPr>
        <w:footnoteReference w:id="19"/>
      </w:r>
      <w:r w:rsidR="00C91159">
        <w:rPr>
          <w:rFonts w:eastAsia="Calibri" w:cs="Times New Roman"/>
          <w:szCs w:val="24"/>
          <w:lang w:eastAsia="ar-SA"/>
        </w:rPr>
        <w:t xml:space="preserve">. </w:t>
      </w:r>
      <w:r w:rsidR="009F0C5F">
        <w:rPr>
          <w:rFonts w:eastAsia="Calibri" w:cs="Times New Roman"/>
          <w:szCs w:val="24"/>
          <w:lang w:eastAsia="ar-SA"/>
        </w:rPr>
        <w:t>EK uzstāj</w:t>
      </w:r>
      <w:r w:rsidR="00C91159">
        <w:rPr>
          <w:rFonts w:eastAsia="Calibri" w:cs="Times New Roman"/>
          <w:szCs w:val="24"/>
          <w:lang w:eastAsia="ar-SA"/>
        </w:rPr>
        <w:t xml:space="preserve">, ka </w:t>
      </w:r>
      <w:r>
        <w:rPr>
          <w:rFonts w:eastAsia="Calibri" w:cs="Times New Roman"/>
          <w:szCs w:val="24"/>
          <w:lang w:eastAsia="ar-SA"/>
        </w:rPr>
        <w:t xml:space="preserve">minēto </w:t>
      </w:r>
      <w:r w:rsidR="00C91159">
        <w:rPr>
          <w:rFonts w:eastAsia="Calibri" w:cs="Times New Roman"/>
          <w:szCs w:val="24"/>
          <w:lang w:eastAsia="ar-SA"/>
        </w:rPr>
        <w:t xml:space="preserve">grozījumu apstiprināšanai nepieciešams pārskatīt </w:t>
      </w:r>
      <w:r w:rsidR="008D09BA">
        <w:rPr>
          <w:rFonts w:eastAsia="Calibri" w:cs="Times New Roman"/>
          <w:szCs w:val="24"/>
          <w:lang w:eastAsia="ar-SA"/>
        </w:rPr>
        <w:t xml:space="preserve">un iesniegt </w:t>
      </w:r>
      <w:r w:rsidR="00C91159">
        <w:rPr>
          <w:rFonts w:eastAsia="Calibri" w:cs="Times New Roman"/>
          <w:szCs w:val="24"/>
          <w:lang w:eastAsia="ar-SA"/>
        </w:rPr>
        <w:t>arī</w:t>
      </w:r>
      <w:r w:rsidR="008D09BA">
        <w:rPr>
          <w:rFonts w:eastAsia="Calibri" w:cs="Times New Roman"/>
          <w:szCs w:val="24"/>
          <w:lang w:eastAsia="ar-SA"/>
        </w:rPr>
        <w:t xml:space="preserve"> precizētu</w:t>
      </w:r>
      <w:r w:rsidR="00C91159">
        <w:rPr>
          <w:rFonts w:eastAsia="Calibri" w:cs="Times New Roman"/>
          <w:szCs w:val="24"/>
          <w:lang w:eastAsia="ar-SA"/>
        </w:rPr>
        <w:t xml:space="preserve"> </w:t>
      </w:r>
      <w:r>
        <w:rPr>
          <w:rFonts w:eastAsia="Calibri" w:cs="Times New Roman"/>
          <w:szCs w:val="24"/>
          <w:lang w:eastAsia="ar-SA"/>
        </w:rPr>
        <w:t xml:space="preserve">Partnerības līgumu </w:t>
      </w:r>
      <w:r w:rsidRPr="007550A5">
        <w:rPr>
          <w:rFonts w:eastAsia="Calibri" w:cs="Times New Roman"/>
          <w:szCs w:val="24"/>
          <w:lang w:eastAsia="ar-SA"/>
        </w:rPr>
        <w:t>Eiropas Savienības investīciju fondu 2014.–2020.gada</w:t>
      </w:r>
      <w:r>
        <w:rPr>
          <w:rFonts w:eastAsia="Calibri" w:cs="Times New Roman"/>
          <w:szCs w:val="24"/>
          <w:lang w:eastAsia="ar-SA"/>
        </w:rPr>
        <w:t xml:space="preserve"> </w:t>
      </w:r>
      <w:r w:rsidRPr="007550A5">
        <w:rPr>
          <w:rFonts w:eastAsia="Calibri" w:cs="Times New Roman"/>
          <w:szCs w:val="24"/>
          <w:lang w:eastAsia="ar-SA"/>
        </w:rPr>
        <w:t>plānošanas periodam</w:t>
      </w:r>
      <w:r>
        <w:rPr>
          <w:rFonts w:eastAsia="Calibri" w:cs="Times New Roman"/>
          <w:szCs w:val="24"/>
          <w:lang w:eastAsia="ar-SA"/>
        </w:rPr>
        <w:t xml:space="preserve"> (turpmāk – PL)</w:t>
      </w:r>
      <w:r w:rsidR="009F0C5F">
        <w:rPr>
          <w:rFonts w:eastAsia="Calibri" w:cs="Times New Roman"/>
          <w:szCs w:val="24"/>
          <w:lang w:eastAsia="ar-SA"/>
        </w:rPr>
        <w:t>, ņemot vērā saistītās finansējuma pārdales, kas ir veiktas DP. Lai paātrinātu procesu, atbilstoši EK piedāvājumam</w:t>
      </w:r>
      <w:r w:rsidR="00166EC6">
        <w:rPr>
          <w:rFonts w:eastAsia="Calibri" w:cs="Times New Roman"/>
          <w:szCs w:val="24"/>
          <w:lang w:eastAsia="ar-SA"/>
        </w:rPr>
        <w:t>,</w:t>
      </w:r>
      <w:r w:rsidR="00C91159" w:rsidRPr="007550A5">
        <w:rPr>
          <w:rFonts w:eastAsia="Calibri" w:cs="Times New Roman"/>
          <w:szCs w:val="24"/>
          <w:lang w:eastAsia="ar-SA"/>
        </w:rPr>
        <w:t xml:space="preserve"> </w:t>
      </w:r>
      <w:r w:rsidR="008D09BA" w:rsidRPr="007550A5">
        <w:rPr>
          <w:rFonts w:eastAsia="Calibri" w:cs="Times New Roman"/>
          <w:szCs w:val="24"/>
          <w:lang w:eastAsia="ar-SA"/>
        </w:rPr>
        <w:t>tiek plānots veikt attiecīgus precizējumus</w:t>
      </w:r>
      <w:r w:rsidR="00C22B46">
        <w:rPr>
          <w:rFonts w:eastAsia="Calibri" w:cs="Times New Roman"/>
          <w:szCs w:val="24"/>
          <w:lang w:eastAsia="ar-SA"/>
        </w:rPr>
        <w:t xml:space="preserve"> tikai</w:t>
      </w:r>
      <w:r w:rsidR="008D09BA" w:rsidRPr="007550A5">
        <w:rPr>
          <w:rFonts w:eastAsia="Calibri" w:cs="Times New Roman"/>
          <w:szCs w:val="24"/>
          <w:lang w:eastAsia="ar-SA"/>
        </w:rPr>
        <w:t xml:space="preserve"> </w:t>
      </w:r>
      <w:r w:rsidR="009F0C5F">
        <w:rPr>
          <w:rFonts w:eastAsia="Calibri" w:cs="Times New Roman"/>
          <w:szCs w:val="24"/>
          <w:lang w:eastAsia="ar-SA"/>
        </w:rPr>
        <w:t xml:space="preserve">konkrētajā </w:t>
      </w:r>
      <w:r>
        <w:rPr>
          <w:rFonts w:eastAsia="Calibri" w:cs="Times New Roman"/>
          <w:szCs w:val="24"/>
          <w:lang w:eastAsia="ar-SA"/>
        </w:rPr>
        <w:t>PL sadaļā</w:t>
      </w:r>
      <w:r w:rsidR="008D09BA" w:rsidRPr="007550A5">
        <w:rPr>
          <w:rFonts w:eastAsia="Calibri" w:cs="Times New Roman"/>
          <w:szCs w:val="24"/>
          <w:lang w:eastAsia="ar-SA"/>
        </w:rPr>
        <w:t xml:space="preserve"> SFC 2014 sistēmā</w:t>
      </w:r>
      <w:r w:rsidR="008D09BA">
        <w:rPr>
          <w:rStyle w:val="FootnoteReference"/>
          <w:rFonts w:eastAsia="Calibri" w:cs="Times New Roman"/>
          <w:szCs w:val="24"/>
          <w:lang w:eastAsia="ar-SA"/>
        </w:rPr>
        <w:footnoteReference w:id="20"/>
      </w:r>
      <w:r w:rsidR="008D09BA" w:rsidRPr="007550A5">
        <w:rPr>
          <w:rFonts w:eastAsia="Calibri" w:cs="Times New Roman"/>
          <w:szCs w:val="24"/>
          <w:lang w:eastAsia="ar-SA"/>
        </w:rPr>
        <w:t xml:space="preserve">. </w:t>
      </w:r>
      <w:r w:rsidR="004678F2" w:rsidRPr="00942164">
        <w:rPr>
          <w:rFonts w:eastAsia="Calibri" w:cs="Times New Roman"/>
          <w:szCs w:val="24"/>
          <w:lang w:eastAsia="ar-SA"/>
        </w:rPr>
        <w:t xml:space="preserve">Veicamie precizējumi </w:t>
      </w:r>
      <w:r w:rsidR="004678F2">
        <w:rPr>
          <w:rFonts w:eastAsia="Calibri" w:cs="Times New Roman"/>
          <w:szCs w:val="24"/>
          <w:lang w:eastAsia="ar-SA"/>
        </w:rPr>
        <w:t xml:space="preserve">PL </w:t>
      </w:r>
      <w:r w:rsidR="004678F2" w:rsidRPr="00942164">
        <w:rPr>
          <w:rFonts w:eastAsia="Calibri" w:cs="Times New Roman"/>
          <w:szCs w:val="24"/>
          <w:lang w:eastAsia="ar-SA"/>
        </w:rPr>
        <w:t>ir tehniski</w:t>
      </w:r>
      <w:r w:rsidR="009F0C5F">
        <w:rPr>
          <w:rFonts w:eastAsia="Calibri" w:cs="Times New Roman"/>
          <w:szCs w:val="24"/>
          <w:lang w:eastAsia="ar-SA"/>
        </w:rPr>
        <w:t xml:space="preserve"> un nav interpretējami,</w:t>
      </w:r>
      <w:r w:rsidR="004678F2" w:rsidRPr="00942164">
        <w:rPr>
          <w:rFonts w:eastAsia="Calibri" w:cs="Times New Roman"/>
          <w:szCs w:val="24"/>
          <w:lang w:eastAsia="ar-SA"/>
        </w:rPr>
        <w:t xml:space="preserve"> </w:t>
      </w:r>
      <w:r w:rsidR="009F0C5F">
        <w:rPr>
          <w:rFonts w:eastAsia="Calibri" w:cs="Times New Roman"/>
          <w:szCs w:val="24"/>
          <w:lang w:eastAsia="ar-SA"/>
        </w:rPr>
        <w:t>paredzot</w:t>
      </w:r>
      <w:r w:rsidR="004678F2" w:rsidRPr="00942164">
        <w:rPr>
          <w:rFonts w:eastAsia="Calibri" w:cs="Times New Roman"/>
          <w:szCs w:val="24"/>
          <w:lang w:eastAsia="ar-SA"/>
        </w:rPr>
        <w:t xml:space="preserve"> salāgot</w:t>
      </w:r>
      <w:r w:rsidR="009F0C5F">
        <w:rPr>
          <w:rFonts w:eastAsia="Calibri" w:cs="Times New Roman"/>
          <w:szCs w:val="24"/>
          <w:lang w:eastAsia="ar-SA"/>
        </w:rPr>
        <w:t xml:space="preserve"> konkrētu</w:t>
      </w:r>
      <w:r w:rsidR="004678F2" w:rsidRPr="00942164">
        <w:rPr>
          <w:rFonts w:eastAsia="Calibri" w:cs="Times New Roman"/>
          <w:szCs w:val="24"/>
          <w:lang w:eastAsia="ar-SA"/>
        </w:rPr>
        <w:t xml:space="preserve"> </w:t>
      </w:r>
      <w:r w:rsidR="004678F2">
        <w:rPr>
          <w:rFonts w:eastAsia="Calibri" w:cs="Times New Roman"/>
          <w:szCs w:val="24"/>
          <w:lang w:eastAsia="ar-SA"/>
        </w:rPr>
        <w:t>PL</w:t>
      </w:r>
      <w:r w:rsidR="009F0C5F">
        <w:rPr>
          <w:rFonts w:eastAsia="Calibri" w:cs="Times New Roman"/>
          <w:szCs w:val="24"/>
          <w:lang w:eastAsia="ar-SA"/>
        </w:rPr>
        <w:t xml:space="preserve"> finansējuma tabulu</w:t>
      </w:r>
      <w:r w:rsidR="004678F2" w:rsidRPr="00942164">
        <w:rPr>
          <w:rFonts w:eastAsia="Calibri" w:cs="Times New Roman"/>
          <w:szCs w:val="24"/>
          <w:lang w:eastAsia="ar-SA"/>
        </w:rPr>
        <w:t xml:space="preserve"> ar </w:t>
      </w:r>
      <w:r w:rsidR="009F0C5F">
        <w:rPr>
          <w:rFonts w:eastAsia="Calibri" w:cs="Times New Roman"/>
          <w:szCs w:val="24"/>
          <w:lang w:eastAsia="ar-SA"/>
        </w:rPr>
        <w:t xml:space="preserve">attiecīgo </w:t>
      </w:r>
      <w:r w:rsidR="004678F2" w:rsidRPr="00942164">
        <w:rPr>
          <w:rFonts w:eastAsia="Calibri" w:cs="Times New Roman"/>
          <w:szCs w:val="24"/>
          <w:lang w:eastAsia="ar-SA"/>
        </w:rPr>
        <w:t>DP finansējuma sadalījumu</w:t>
      </w:r>
      <w:r w:rsidR="004678F2">
        <w:rPr>
          <w:rFonts w:eastAsia="Calibri" w:cs="Times New Roman"/>
          <w:szCs w:val="24"/>
          <w:lang w:eastAsia="ar-SA"/>
        </w:rPr>
        <w:t xml:space="preserve">, par ko pēc būtības </w:t>
      </w:r>
      <w:r w:rsidR="009F0C5F">
        <w:rPr>
          <w:rFonts w:eastAsia="Calibri" w:cs="Times New Roman"/>
          <w:szCs w:val="24"/>
          <w:lang w:eastAsia="ar-SA"/>
        </w:rPr>
        <w:t xml:space="preserve">jau ir </w:t>
      </w:r>
      <w:r w:rsidR="004678F2">
        <w:rPr>
          <w:rFonts w:eastAsia="Calibri" w:cs="Times New Roman"/>
          <w:szCs w:val="24"/>
          <w:lang w:eastAsia="ar-SA"/>
        </w:rPr>
        <w:t>pieņemts lēmums MK</w:t>
      </w:r>
      <w:r w:rsidR="004678F2" w:rsidRPr="00942164">
        <w:rPr>
          <w:rFonts w:eastAsia="Calibri" w:cs="Times New Roman"/>
          <w:szCs w:val="24"/>
          <w:lang w:eastAsia="ar-SA"/>
        </w:rPr>
        <w:t xml:space="preserve">. </w:t>
      </w:r>
      <w:r w:rsidR="004678F2">
        <w:rPr>
          <w:rFonts w:eastAsia="Calibri" w:cs="Times New Roman"/>
          <w:szCs w:val="24"/>
          <w:lang w:eastAsia="ar-SA"/>
        </w:rPr>
        <w:t>Tāpat šādi</w:t>
      </w:r>
      <w:r w:rsidR="004678F2" w:rsidRPr="004678F2">
        <w:rPr>
          <w:rFonts w:eastAsia="Calibri" w:cs="Times New Roman"/>
          <w:szCs w:val="24"/>
          <w:lang w:eastAsia="ar-SA"/>
        </w:rPr>
        <w:t xml:space="preserve"> precizējumi pamatoja</w:t>
      </w:r>
      <w:r w:rsidRPr="007550A5">
        <w:rPr>
          <w:rFonts w:eastAsia="Calibri" w:cs="Times New Roman"/>
          <w:szCs w:val="24"/>
          <w:lang w:eastAsia="ar-SA"/>
        </w:rPr>
        <w:t xml:space="preserve">mi ar </w:t>
      </w:r>
      <w:r w:rsidR="008D09BA" w:rsidRPr="007550A5">
        <w:rPr>
          <w:rFonts w:eastAsia="Calibri" w:cs="Times New Roman"/>
          <w:szCs w:val="24"/>
          <w:lang w:eastAsia="ar-SA"/>
        </w:rPr>
        <w:t xml:space="preserve">Regulas </w:t>
      </w:r>
      <w:r w:rsidR="0019650B">
        <w:rPr>
          <w:rFonts w:eastAsia="Calibri" w:cs="Times New Roman"/>
          <w:szCs w:val="24"/>
          <w:lang w:eastAsia="ar-SA"/>
        </w:rPr>
        <w:t>Nr.</w:t>
      </w:r>
      <w:r w:rsidR="008D09BA" w:rsidRPr="007550A5">
        <w:rPr>
          <w:rFonts w:eastAsia="Calibri" w:cs="Times New Roman"/>
          <w:szCs w:val="24"/>
          <w:lang w:eastAsia="ar-SA"/>
        </w:rPr>
        <w:t>1303/2013</w:t>
      </w:r>
      <w:r>
        <w:rPr>
          <w:rStyle w:val="FootnoteReference"/>
          <w:rFonts w:eastAsia="Calibri" w:cs="Times New Roman"/>
          <w:szCs w:val="24"/>
          <w:lang w:eastAsia="ar-SA"/>
        </w:rPr>
        <w:footnoteReference w:id="21"/>
      </w:r>
      <w:r w:rsidR="008D09BA" w:rsidRPr="007550A5">
        <w:rPr>
          <w:rFonts w:eastAsia="Calibri" w:cs="Times New Roman"/>
          <w:szCs w:val="24"/>
          <w:lang w:eastAsia="ar-SA"/>
        </w:rPr>
        <w:t xml:space="preserve"> 30.panta 2.punktu, </w:t>
      </w:r>
      <w:r w:rsidRPr="007550A5">
        <w:rPr>
          <w:rFonts w:eastAsia="Calibri" w:cs="Times New Roman"/>
          <w:szCs w:val="24"/>
          <w:lang w:eastAsia="ar-SA"/>
        </w:rPr>
        <w:t xml:space="preserve">kas paredz, ka </w:t>
      </w:r>
      <w:r w:rsidR="009F0C5F">
        <w:rPr>
          <w:rFonts w:eastAsia="Calibri" w:cs="Times New Roman"/>
          <w:szCs w:val="24"/>
          <w:lang w:eastAsia="ar-SA"/>
        </w:rPr>
        <w:t xml:space="preserve">arī </w:t>
      </w:r>
      <w:r w:rsidR="008D09BA" w:rsidRPr="007550A5">
        <w:rPr>
          <w:rFonts w:eastAsia="Calibri" w:cs="Times New Roman"/>
          <w:szCs w:val="24"/>
          <w:lang w:eastAsia="ar-SA"/>
        </w:rPr>
        <w:t xml:space="preserve">EK lēmums par </w:t>
      </w:r>
      <w:r w:rsidR="004678F2" w:rsidRPr="007E7D8C">
        <w:rPr>
          <w:rFonts w:eastAsia="Calibri" w:cs="Times New Roman"/>
          <w:szCs w:val="24"/>
          <w:lang w:eastAsia="ar-SA"/>
        </w:rPr>
        <w:t>atsevišķām</w:t>
      </w:r>
      <w:r w:rsidR="008D09BA" w:rsidRPr="007550A5">
        <w:rPr>
          <w:rFonts w:eastAsia="Calibri" w:cs="Times New Roman"/>
          <w:szCs w:val="24"/>
          <w:lang w:eastAsia="ar-SA"/>
        </w:rPr>
        <w:t xml:space="preserve"> DP grozījumu sadaļām nozīmē automātisku apstiprinājumu arī </w:t>
      </w:r>
      <w:r>
        <w:rPr>
          <w:rFonts w:eastAsia="Calibri" w:cs="Times New Roman"/>
          <w:szCs w:val="24"/>
          <w:lang w:eastAsia="ar-SA"/>
        </w:rPr>
        <w:t>PL</w:t>
      </w:r>
      <w:r w:rsidR="009F0C5F">
        <w:rPr>
          <w:rFonts w:eastAsia="Calibri" w:cs="Times New Roman"/>
          <w:szCs w:val="24"/>
          <w:lang w:eastAsia="ar-SA"/>
        </w:rPr>
        <w:t xml:space="preserve"> izmaiņām</w:t>
      </w:r>
      <w:r w:rsidRPr="007550A5">
        <w:rPr>
          <w:rFonts w:eastAsia="Calibri" w:cs="Times New Roman"/>
          <w:szCs w:val="24"/>
          <w:lang w:eastAsia="ar-SA"/>
        </w:rPr>
        <w:t xml:space="preserve">, tādējādi </w:t>
      </w:r>
      <w:r w:rsidR="004678F2">
        <w:rPr>
          <w:rFonts w:eastAsia="Calibri" w:cs="Times New Roman"/>
          <w:szCs w:val="24"/>
          <w:lang w:eastAsia="ar-SA"/>
        </w:rPr>
        <w:t>paredzot atvieglot saskaņošanas</w:t>
      </w:r>
      <w:r w:rsidRPr="007550A5">
        <w:rPr>
          <w:rFonts w:eastAsia="Calibri" w:cs="Times New Roman"/>
          <w:szCs w:val="24"/>
          <w:lang w:eastAsia="ar-SA"/>
        </w:rPr>
        <w:t xml:space="preserve"> procedūru, lai salāgotu abus plānošanas dokumentus</w:t>
      </w:r>
      <w:r w:rsidR="008D09BA" w:rsidRPr="007550A5">
        <w:rPr>
          <w:rFonts w:eastAsia="Calibri" w:cs="Times New Roman"/>
          <w:szCs w:val="24"/>
          <w:lang w:eastAsia="ar-SA"/>
        </w:rPr>
        <w:t xml:space="preserve">. </w:t>
      </w:r>
      <w:r w:rsidR="004678F2">
        <w:rPr>
          <w:rFonts w:eastAsia="Calibri" w:cs="Times New Roman"/>
          <w:szCs w:val="24"/>
          <w:lang w:eastAsia="ar-SA"/>
        </w:rPr>
        <w:t>Turklāt</w:t>
      </w:r>
      <w:r w:rsidR="0019650B">
        <w:rPr>
          <w:rFonts w:eastAsia="Calibri" w:cs="Times New Roman"/>
          <w:szCs w:val="24"/>
          <w:lang w:eastAsia="ar-SA"/>
        </w:rPr>
        <w:t>,</w:t>
      </w:r>
      <w:r w:rsidR="004678F2">
        <w:rPr>
          <w:rFonts w:eastAsia="Calibri" w:cs="Times New Roman"/>
          <w:szCs w:val="24"/>
          <w:lang w:eastAsia="ar-SA"/>
        </w:rPr>
        <w:t xml:space="preserve"> </w:t>
      </w:r>
      <w:r w:rsidRPr="007550A5">
        <w:rPr>
          <w:rFonts w:eastAsia="Calibri" w:cs="Times New Roman"/>
          <w:szCs w:val="24"/>
          <w:lang w:eastAsia="ar-SA"/>
        </w:rPr>
        <w:t xml:space="preserve">ņemot </w:t>
      </w:r>
      <w:r w:rsidRPr="007E7D8C">
        <w:rPr>
          <w:rFonts w:eastAsia="Calibri" w:cs="Times New Roman"/>
          <w:szCs w:val="24"/>
          <w:lang w:eastAsia="ar-SA"/>
        </w:rPr>
        <w:t>vērā</w:t>
      </w:r>
      <w:r w:rsidRPr="007550A5">
        <w:rPr>
          <w:rFonts w:eastAsia="Calibri" w:cs="Times New Roman"/>
          <w:szCs w:val="24"/>
          <w:lang w:eastAsia="ar-SA"/>
        </w:rPr>
        <w:t>, ka izstrādes stadijā ir jauni DP grozījuma priekšlikumi, kas arī paredz izmaiņas, kas ietekm</w:t>
      </w:r>
      <w:r>
        <w:rPr>
          <w:rFonts w:eastAsia="Calibri" w:cs="Times New Roman"/>
          <w:szCs w:val="24"/>
          <w:lang w:eastAsia="ar-SA"/>
        </w:rPr>
        <w:t>ēs</w:t>
      </w:r>
      <w:r w:rsidRPr="007550A5">
        <w:rPr>
          <w:rFonts w:eastAsia="Calibri" w:cs="Times New Roman"/>
          <w:szCs w:val="24"/>
          <w:lang w:eastAsia="ar-SA"/>
        </w:rPr>
        <w:t xml:space="preserve"> </w:t>
      </w:r>
      <w:r>
        <w:rPr>
          <w:rFonts w:eastAsia="Calibri" w:cs="Times New Roman"/>
          <w:szCs w:val="24"/>
          <w:lang w:eastAsia="ar-SA"/>
        </w:rPr>
        <w:t>PL</w:t>
      </w:r>
      <w:r w:rsidRPr="007550A5">
        <w:rPr>
          <w:rFonts w:eastAsia="Calibri" w:cs="Times New Roman"/>
          <w:szCs w:val="24"/>
          <w:lang w:eastAsia="ar-SA"/>
        </w:rPr>
        <w:t xml:space="preserve">, līdz ar jaunajiem DP </w:t>
      </w:r>
      <w:r w:rsidRPr="007E7D8C">
        <w:rPr>
          <w:rFonts w:eastAsia="Calibri" w:cs="Times New Roman"/>
          <w:szCs w:val="24"/>
          <w:lang w:eastAsia="ar-SA"/>
        </w:rPr>
        <w:t>grozījumiem</w:t>
      </w:r>
      <w:r w:rsidRPr="007550A5">
        <w:rPr>
          <w:rFonts w:eastAsia="Calibri" w:cs="Times New Roman"/>
          <w:szCs w:val="24"/>
          <w:lang w:eastAsia="ar-SA"/>
        </w:rPr>
        <w:t xml:space="preserve"> tiks virzīt</w:t>
      </w:r>
      <w:r w:rsidR="00657060">
        <w:rPr>
          <w:rFonts w:eastAsia="Calibri" w:cs="Times New Roman"/>
          <w:szCs w:val="24"/>
          <w:lang w:eastAsia="ar-SA"/>
        </w:rPr>
        <w:t>a</w:t>
      </w:r>
      <w:r w:rsidRPr="007550A5">
        <w:rPr>
          <w:rFonts w:eastAsia="Calibri" w:cs="Times New Roman"/>
          <w:szCs w:val="24"/>
          <w:lang w:eastAsia="ar-SA"/>
        </w:rPr>
        <w:t xml:space="preserve"> arī </w:t>
      </w:r>
      <w:r w:rsidR="009F0C5F">
        <w:rPr>
          <w:rFonts w:eastAsia="Calibri" w:cs="Times New Roman"/>
          <w:szCs w:val="24"/>
          <w:lang w:eastAsia="ar-SA"/>
        </w:rPr>
        <w:t xml:space="preserve">pilna </w:t>
      </w:r>
      <w:r w:rsidRPr="007550A5">
        <w:rPr>
          <w:rFonts w:eastAsia="Calibri" w:cs="Times New Roman"/>
          <w:szCs w:val="24"/>
          <w:lang w:eastAsia="ar-SA"/>
        </w:rPr>
        <w:t>pārskatīt</w:t>
      </w:r>
      <w:r w:rsidR="009F0C5F">
        <w:rPr>
          <w:rFonts w:eastAsia="Calibri" w:cs="Times New Roman"/>
          <w:szCs w:val="24"/>
          <w:lang w:eastAsia="ar-SA"/>
        </w:rPr>
        <w:t>ā</w:t>
      </w:r>
      <w:r w:rsidRPr="007550A5">
        <w:rPr>
          <w:rFonts w:eastAsia="Calibri" w:cs="Times New Roman"/>
          <w:szCs w:val="24"/>
          <w:lang w:eastAsia="ar-SA"/>
        </w:rPr>
        <w:t xml:space="preserve"> </w:t>
      </w:r>
      <w:r>
        <w:rPr>
          <w:rFonts w:eastAsia="Calibri" w:cs="Times New Roman"/>
          <w:szCs w:val="24"/>
          <w:lang w:eastAsia="ar-SA"/>
        </w:rPr>
        <w:t>PL</w:t>
      </w:r>
      <w:r w:rsidR="009F0C5F">
        <w:rPr>
          <w:rFonts w:eastAsia="Calibri" w:cs="Times New Roman"/>
          <w:szCs w:val="24"/>
          <w:lang w:eastAsia="ar-SA"/>
        </w:rPr>
        <w:t xml:space="preserve"> versija</w:t>
      </w:r>
      <w:r>
        <w:rPr>
          <w:rFonts w:eastAsia="Calibri" w:cs="Times New Roman"/>
          <w:szCs w:val="24"/>
          <w:lang w:eastAsia="ar-SA"/>
        </w:rPr>
        <w:t>.</w:t>
      </w:r>
    </w:p>
    <w:p w14:paraId="6A0AEAC5" w14:textId="0BBCD264" w:rsidR="005D5F6C" w:rsidRPr="00266973" w:rsidRDefault="0098250D" w:rsidP="007550A5">
      <w:pPr>
        <w:pStyle w:val="ListParagraph"/>
        <w:numPr>
          <w:ilvl w:val="1"/>
          <w:numId w:val="14"/>
        </w:numPr>
        <w:spacing w:before="120" w:after="120"/>
        <w:ind w:left="0" w:firstLine="0"/>
        <w:contextualSpacing w:val="0"/>
        <w:jc w:val="both"/>
        <w:rPr>
          <w:color w:val="000000" w:themeColor="text1"/>
        </w:rPr>
      </w:pPr>
      <w:r w:rsidRPr="00443E64">
        <w:rPr>
          <w:rFonts w:eastAsia="Calibri" w:cs="Times New Roman"/>
          <w:szCs w:val="24"/>
          <w:lang w:eastAsia="ar-SA"/>
        </w:rPr>
        <w:lastRenderedPageBreak/>
        <w:t xml:space="preserve">Attiecībā uz 2016.gada </w:t>
      </w:r>
      <w:r w:rsidRPr="00443E64">
        <w:rPr>
          <w:rFonts w:eastAsia="Calibri" w:cs="Times New Roman"/>
          <w:szCs w:val="24"/>
          <w:u w:val="single"/>
          <w:lang w:eastAsia="ar-SA"/>
        </w:rPr>
        <w:t>finanšu plāna</w:t>
      </w:r>
      <w:r w:rsidRPr="00443E64">
        <w:rPr>
          <w:rFonts w:eastAsia="Calibri" w:cs="Times New Roman"/>
          <w:szCs w:val="24"/>
          <w:lang w:eastAsia="ar-SA"/>
        </w:rPr>
        <w:t xml:space="preserve"> </w:t>
      </w:r>
      <w:r w:rsidR="00F5184A" w:rsidRPr="00443E64">
        <w:rPr>
          <w:rFonts w:eastAsia="Calibri" w:cs="Times New Roman"/>
          <w:szCs w:val="24"/>
          <w:lang w:eastAsia="ar-SA"/>
        </w:rPr>
        <w:t xml:space="preserve">izpildi </w:t>
      </w:r>
      <w:r w:rsidRPr="00443E64">
        <w:rPr>
          <w:rFonts w:eastAsia="Calibri" w:cs="Times New Roman"/>
          <w:szCs w:val="24"/>
          <w:lang w:eastAsia="ar-SA"/>
        </w:rPr>
        <w:t>–</w:t>
      </w:r>
      <w:r w:rsidR="000A734C" w:rsidRPr="00443E64">
        <w:rPr>
          <w:rFonts w:eastAsia="Calibri" w:cs="Times New Roman"/>
          <w:szCs w:val="24"/>
          <w:lang w:eastAsia="ar-SA"/>
        </w:rPr>
        <w:t xml:space="preserve"> </w:t>
      </w:r>
      <w:r w:rsidR="00443E64" w:rsidRPr="00443E64">
        <w:rPr>
          <w:rFonts w:eastAsia="Calibri" w:cs="Times New Roman"/>
          <w:szCs w:val="24"/>
          <w:lang w:eastAsia="ar-SA"/>
        </w:rPr>
        <w:t xml:space="preserve">atbalsta maksājumiem projektu īstenotājiem – secināms, ka pārskata periodā kopumā ir </w:t>
      </w:r>
      <w:r w:rsidR="00265C0B">
        <w:rPr>
          <w:rFonts w:eastAsia="Calibri" w:cs="Times New Roman"/>
          <w:szCs w:val="24"/>
          <w:lang w:eastAsia="ar-SA"/>
        </w:rPr>
        <w:t>minimāls</w:t>
      </w:r>
      <w:r w:rsidR="00265C0B" w:rsidRPr="00443E64">
        <w:rPr>
          <w:rFonts w:eastAsia="Calibri" w:cs="Times New Roman"/>
          <w:szCs w:val="24"/>
          <w:lang w:eastAsia="ar-SA"/>
        </w:rPr>
        <w:t xml:space="preserve"> </w:t>
      </w:r>
      <w:r w:rsidR="00443E64" w:rsidRPr="00443E64">
        <w:rPr>
          <w:rFonts w:eastAsia="Calibri" w:cs="Times New Roman"/>
          <w:szCs w:val="24"/>
          <w:lang w:eastAsia="ar-SA"/>
        </w:rPr>
        <w:t xml:space="preserve">ES fondu maksājumu </w:t>
      </w:r>
      <w:r w:rsidR="00265C0B">
        <w:rPr>
          <w:rFonts w:eastAsia="Calibri" w:cs="Times New Roman"/>
          <w:szCs w:val="24"/>
          <w:lang w:eastAsia="ar-SA"/>
        </w:rPr>
        <w:t>progress</w:t>
      </w:r>
      <w:r w:rsidR="00443E64" w:rsidRPr="00443E64">
        <w:rPr>
          <w:rFonts w:eastAsia="Calibri" w:cs="Times New Roman"/>
          <w:szCs w:val="24"/>
          <w:lang w:eastAsia="ar-SA"/>
        </w:rPr>
        <w:t>.</w:t>
      </w:r>
      <w:r w:rsidR="0048442F">
        <w:rPr>
          <w:rFonts w:eastAsia="Calibri" w:cs="Times New Roman"/>
          <w:szCs w:val="24"/>
          <w:lang w:eastAsia="ar-SA"/>
        </w:rPr>
        <w:t xml:space="preserve"> </w:t>
      </w:r>
      <w:r w:rsidR="0048442F" w:rsidRPr="00266973">
        <w:rPr>
          <w:rFonts w:eastAsia="Times New Roman" w:cs="Times New Roman"/>
          <w:color w:val="000000"/>
          <w:szCs w:val="24"/>
          <w:lang w:eastAsia="lv-LV"/>
        </w:rPr>
        <w:t>Skatīt šī ziņojuma tabulu Nr.1.</w:t>
      </w:r>
    </w:p>
    <w:p w14:paraId="27E527ED" w14:textId="0179595F" w:rsidR="00684ADB" w:rsidRPr="009D277D" w:rsidRDefault="00537632" w:rsidP="009D277D">
      <w:pPr>
        <w:rPr>
          <w:rFonts w:eastAsia="Calibri" w:cs="Times New Roman"/>
          <w:b/>
          <w:i/>
          <w:sz w:val="22"/>
          <w:lang w:eastAsia="ar-SA"/>
        </w:rPr>
      </w:pPr>
      <w:r w:rsidRPr="00443E64">
        <w:rPr>
          <w:rFonts w:eastAsia="Calibri" w:cs="Times New Roman"/>
          <w:b/>
          <w:i/>
          <w:sz w:val="22"/>
          <w:lang w:eastAsia="ar-SA"/>
        </w:rPr>
        <w:t>Tabula Nr.</w:t>
      </w:r>
      <w:r w:rsidR="005D5F6C">
        <w:rPr>
          <w:rFonts w:eastAsia="Calibri" w:cs="Times New Roman"/>
          <w:b/>
          <w:i/>
          <w:sz w:val="22"/>
          <w:lang w:eastAsia="ar-SA"/>
        </w:rPr>
        <w:t>1</w:t>
      </w:r>
      <w:r w:rsidR="00684ADB" w:rsidRPr="00443E64">
        <w:rPr>
          <w:rFonts w:eastAsia="Calibri" w:cs="Times New Roman"/>
          <w:i/>
          <w:sz w:val="22"/>
          <w:lang w:eastAsia="ar-SA"/>
        </w:rPr>
        <w:t xml:space="preserve"> “2014.-2020.gad</w:t>
      </w:r>
      <w:r w:rsidR="00967F42">
        <w:rPr>
          <w:rFonts w:eastAsia="Calibri" w:cs="Times New Roman"/>
          <w:i/>
          <w:sz w:val="22"/>
          <w:lang w:eastAsia="ar-SA"/>
        </w:rPr>
        <w:t>a</w:t>
      </w:r>
      <w:r w:rsidR="00684ADB" w:rsidRPr="00443E64">
        <w:rPr>
          <w:rFonts w:eastAsia="Calibri" w:cs="Times New Roman"/>
          <w:i/>
          <w:sz w:val="22"/>
          <w:lang w:eastAsia="ar-SA"/>
        </w:rPr>
        <w:t xml:space="preserve"> plānošanas periods: ES fondu līdzfinansējuma maksājumu plāna izpilde līdz 2016.gada 1.</w:t>
      </w:r>
      <w:r w:rsidR="00443E64" w:rsidRPr="00443E64">
        <w:rPr>
          <w:rFonts w:eastAsia="Calibri" w:cs="Times New Roman"/>
          <w:i/>
          <w:sz w:val="22"/>
          <w:lang w:eastAsia="ar-SA"/>
        </w:rPr>
        <w:t>oktobrim</w:t>
      </w:r>
      <w:r w:rsidR="00684ADB" w:rsidRPr="00443E64">
        <w:rPr>
          <w:rFonts w:eastAsia="Calibri" w:cs="Times New Roman"/>
          <w:i/>
          <w:sz w:val="22"/>
          <w:lang w:eastAsia="ar-SA"/>
        </w:rPr>
        <w:t xml:space="preserve">, </w:t>
      </w:r>
      <w:proofErr w:type="spellStart"/>
      <w:r w:rsidR="00684ADB" w:rsidRPr="00443E64">
        <w:rPr>
          <w:rFonts w:eastAsia="Calibri" w:cs="Times New Roman"/>
          <w:i/>
          <w:sz w:val="22"/>
          <w:lang w:eastAsia="ar-SA"/>
        </w:rPr>
        <w:t>euro</w:t>
      </w:r>
      <w:proofErr w:type="spellEnd"/>
      <w:r w:rsidR="00684ADB" w:rsidRPr="00443E64">
        <w:rPr>
          <w:rFonts w:eastAsia="Calibri" w:cs="Times New Roman"/>
          <w:i/>
          <w:sz w:val="22"/>
          <w:lang w:eastAsia="ar-SA"/>
        </w:rPr>
        <w:t>.”</w:t>
      </w:r>
    </w:p>
    <w:tbl>
      <w:tblPr>
        <w:tblW w:w="9964" w:type="dxa"/>
        <w:tblInd w:w="-294" w:type="dxa"/>
        <w:tblLayout w:type="fixed"/>
        <w:tblLook w:val="04A0" w:firstRow="1" w:lastRow="0" w:firstColumn="1" w:lastColumn="0" w:noHBand="0" w:noVBand="1"/>
      </w:tblPr>
      <w:tblGrid>
        <w:gridCol w:w="1852"/>
        <w:gridCol w:w="1280"/>
        <w:gridCol w:w="1281"/>
        <w:gridCol w:w="1281"/>
        <w:gridCol w:w="853"/>
        <w:gridCol w:w="1282"/>
        <w:gridCol w:w="854"/>
        <w:gridCol w:w="1281"/>
      </w:tblGrid>
      <w:tr w:rsidR="00443E64" w:rsidRPr="00EF55CA" w14:paraId="467A76B6" w14:textId="77777777" w:rsidTr="002F41D0">
        <w:trPr>
          <w:trHeight w:val="435"/>
        </w:trPr>
        <w:tc>
          <w:tcPr>
            <w:tcW w:w="1852"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49830AE" w14:textId="77777777" w:rsidR="00443E64" w:rsidRPr="00EF55CA" w:rsidRDefault="00443E64" w:rsidP="00947BBB">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Prioritārais virziens</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D906DFB" w14:textId="77777777" w:rsidR="00443E64" w:rsidRPr="00EF55CA" w:rsidRDefault="00443E64" w:rsidP="00947BBB">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Plāns 2016.gadam kopā</w:t>
            </w:r>
          </w:p>
        </w:tc>
        <w:tc>
          <w:tcPr>
            <w:tcW w:w="128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8D8302A" w14:textId="39F5BA48" w:rsidR="00443E64" w:rsidRPr="00EF55CA" w:rsidRDefault="00443E64" w:rsidP="00947BBB">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Plāns 01.01.2016. - 01.10</w:t>
            </w:r>
            <w:r w:rsidRPr="00EF55CA">
              <w:rPr>
                <w:rFonts w:eastAsia="Times New Roman" w:cs="Times New Roman"/>
                <w:b/>
                <w:bCs/>
                <w:color w:val="000000"/>
                <w:sz w:val="20"/>
                <w:szCs w:val="20"/>
                <w:lang w:eastAsia="lv-LV"/>
              </w:rPr>
              <w:t>.2016.</w:t>
            </w:r>
          </w:p>
        </w:tc>
        <w:tc>
          <w:tcPr>
            <w:tcW w:w="128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8BCB05E" w14:textId="77777777" w:rsidR="00443E64" w:rsidRPr="00EF55CA" w:rsidRDefault="00443E64" w:rsidP="00947BBB">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Faktiskā izpilde 01.01.2016. - 01.10.2016.</w:t>
            </w:r>
          </w:p>
        </w:tc>
        <w:tc>
          <w:tcPr>
            <w:tcW w:w="2135" w:type="dxa"/>
            <w:gridSpan w:val="2"/>
            <w:tcBorders>
              <w:top w:val="single" w:sz="8" w:space="0" w:color="auto"/>
              <w:left w:val="nil"/>
              <w:bottom w:val="single" w:sz="8" w:space="0" w:color="auto"/>
              <w:right w:val="single" w:sz="8" w:space="0" w:color="000000"/>
            </w:tcBorders>
            <w:shd w:val="clear" w:color="000000" w:fill="D9D9D9"/>
            <w:vAlign w:val="center"/>
            <w:hideMark/>
          </w:tcPr>
          <w:p w14:paraId="79C702AD" w14:textId="77777777" w:rsidR="00443E64" w:rsidRPr="00EF55CA" w:rsidRDefault="00443E64" w:rsidP="00947BBB">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Līdz 01.10.2016.</w:t>
            </w:r>
          </w:p>
        </w:tc>
        <w:tc>
          <w:tcPr>
            <w:tcW w:w="2135" w:type="dxa"/>
            <w:gridSpan w:val="2"/>
            <w:tcBorders>
              <w:top w:val="single" w:sz="8" w:space="0" w:color="auto"/>
              <w:left w:val="nil"/>
              <w:bottom w:val="single" w:sz="8" w:space="0" w:color="auto"/>
              <w:right w:val="single" w:sz="8" w:space="0" w:color="000000"/>
            </w:tcBorders>
            <w:shd w:val="clear" w:color="000000" w:fill="D9D9D9"/>
            <w:vAlign w:val="center"/>
            <w:hideMark/>
          </w:tcPr>
          <w:p w14:paraId="62BEA2DA" w14:textId="77777777" w:rsidR="00443E64" w:rsidRPr="00EF55CA" w:rsidRDefault="00443E64" w:rsidP="00947BBB">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Iepriekšējā mēnesī</w:t>
            </w:r>
          </w:p>
        </w:tc>
      </w:tr>
      <w:tr w:rsidR="00443E64" w:rsidRPr="00EF55CA" w14:paraId="60BF7A4D" w14:textId="77777777" w:rsidTr="002F41D0">
        <w:trPr>
          <w:trHeight w:val="510"/>
        </w:trPr>
        <w:tc>
          <w:tcPr>
            <w:tcW w:w="1852" w:type="dxa"/>
            <w:vMerge/>
            <w:tcBorders>
              <w:top w:val="single" w:sz="8" w:space="0" w:color="auto"/>
              <w:left w:val="single" w:sz="8" w:space="0" w:color="auto"/>
              <w:bottom w:val="single" w:sz="8" w:space="0" w:color="000000"/>
              <w:right w:val="single" w:sz="8" w:space="0" w:color="auto"/>
            </w:tcBorders>
            <w:vAlign w:val="center"/>
            <w:hideMark/>
          </w:tcPr>
          <w:p w14:paraId="63290513" w14:textId="77777777" w:rsidR="00443E64" w:rsidRPr="00EF55CA" w:rsidRDefault="00443E64" w:rsidP="00947BBB">
            <w:pPr>
              <w:rPr>
                <w:rFonts w:eastAsia="Times New Roman" w:cs="Times New Roman"/>
                <w:b/>
                <w:bCs/>
                <w:color w:val="000000"/>
                <w:sz w:val="20"/>
                <w:szCs w:val="20"/>
                <w:lang w:eastAsia="lv-LV"/>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37B48564" w14:textId="77777777" w:rsidR="00443E64" w:rsidRPr="00EF55CA" w:rsidRDefault="00443E64" w:rsidP="00947BBB">
            <w:pPr>
              <w:rPr>
                <w:rFonts w:eastAsia="Times New Roman" w:cs="Times New Roman"/>
                <w:b/>
                <w:bCs/>
                <w:color w:val="000000"/>
                <w:sz w:val="20"/>
                <w:szCs w:val="20"/>
                <w:lang w:eastAsia="lv-LV"/>
              </w:rPr>
            </w:pPr>
          </w:p>
        </w:tc>
        <w:tc>
          <w:tcPr>
            <w:tcW w:w="1281" w:type="dxa"/>
            <w:vMerge/>
            <w:tcBorders>
              <w:top w:val="single" w:sz="8" w:space="0" w:color="auto"/>
              <w:left w:val="single" w:sz="8" w:space="0" w:color="auto"/>
              <w:bottom w:val="single" w:sz="8" w:space="0" w:color="000000"/>
              <w:right w:val="single" w:sz="8" w:space="0" w:color="auto"/>
            </w:tcBorders>
            <w:vAlign w:val="center"/>
            <w:hideMark/>
          </w:tcPr>
          <w:p w14:paraId="236E1EDA" w14:textId="77777777" w:rsidR="00443E64" w:rsidRPr="00EF55CA" w:rsidRDefault="00443E64" w:rsidP="00947BBB">
            <w:pPr>
              <w:rPr>
                <w:rFonts w:eastAsia="Times New Roman" w:cs="Times New Roman"/>
                <w:b/>
                <w:bCs/>
                <w:color w:val="000000"/>
                <w:sz w:val="20"/>
                <w:szCs w:val="20"/>
                <w:lang w:eastAsia="lv-LV"/>
              </w:rPr>
            </w:pPr>
          </w:p>
        </w:tc>
        <w:tc>
          <w:tcPr>
            <w:tcW w:w="1281" w:type="dxa"/>
            <w:vMerge/>
            <w:tcBorders>
              <w:top w:val="single" w:sz="8" w:space="0" w:color="auto"/>
              <w:left w:val="single" w:sz="8" w:space="0" w:color="auto"/>
              <w:bottom w:val="single" w:sz="8" w:space="0" w:color="000000"/>
              <w:right w:val="single" w:sz="8" w:space="0" w:color="auto"/>
            </w:tcBorders>
            <w:vAlign w:val="center"/>
            <w:hideMark/>
          </w:tcPr>
          <w:p w14:paraId="52A25CA6" w14:textId="77777777" w:rsidR="00443E64" w:rsidRPr="00EF55CA" w:rsidRDefault="00443E64" w:rsidP="00947BBB">
            <w:pPr>
              <w:rPr>
                <w:rFonts w:eastAsia="Times New Roman" w:cs="Times New Roman"/>
                <w:b/>
                <w:bCs/>
                <w:color w:val="000000"/>
                <w:sz w:val="20"/>
                <w:szCs w:val="20"/>
                <w:lang w:eastAsia="lv-LV"/>
              </w:rPr>
            </w:pPr>
          </w:p>
        </w:tc>
        <w:tc>
          <w:tcPr>
            <w:tcW w:w="85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9C922C6" w14:textId="77777777" w:rsidR="00443E64" w:rsidRPr="00EF55CA" w:rsidRDefault="00443E64" w:rsidP="00947BBB">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Izpilde,%</w:t>
            </w:r>
          </w:p>
        </w:tc>
        <w:tc>
          <w:tcPr>
            <w:tcW w:w="1281" w:type="dxa"/>
            <w:tcBorders>
              <w:top w:val="nil"/>
              <w:left w:val="nil"/>
              <w:bottom w:val="nil"/>
              <w:right w:val="single" w:sz="8" w:space="0" w:color="auto"/>
            </w:tcBorders>
            <w:shd w:val="clear" w:color="000000" w:fill="D9D9D9"/>
            <w:vAlign w:val="center"/>
            <w:hideMark/>
          </w:tcPr>
          <w:p w14:paraId="7447D0EE" w14:textId="77777777" w:rsidR="00443E64" w:rsidRPr="00EF55CA" w:rsidRDefault="00443E64" w:rsidP="00947BBB">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Neizpilde (-)</w:t>
            </w:r>
          </w:p>
        </w:tc>
        <w:tc>
          <w:tcPr>
            <w:tcW w:w="85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22733D9" w14:textId="77777777" w:rsidR="00443E64" w:rsidRPr="00EF55CA" w:rsidRDefault="00443E64" w:rsidP="00947BBB">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Izpilde,%</w:t>
            </w:r>
          </w:p>
        </w:tc>
        <w:tc>
          <w:tcPr>
            <w:tcW w:w="1280" w:type="dxa"/>
            <w:tcBorders>
              <w:top w:val="nil"/>
              <w:left w:val="nil"/>
              <w:bottom w:val="nil"/>
              <w:right w:val="single" w:sz="8" w:space="0" w:color="auto"/>
            </w:tcBorders>
            <w:shd w:val="clear" w:color="000000" w:fill="D9D9D9"/>
            <w:vAlign w:val="center"/>
            <w:hideMark/>
          </w:tcPr>
          <w:p w14:paraId="34FCC933" w14:textId="77777777" w:rsidR="00443E64" w:rsidRPr="00EF55CA" w:rsidRDefault="00443E64" w:rsidP="00947BBB">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Neizpilde (-)</w:t>
            </w:r>
          </w:p>
        </w:tc>
      </w:tr>
      <w:tr w:rsidR="00443E64" w:rsidRPr="00EF55CA" w14:paraId="7EC227AF" w14:textId="77777777" w:rsidTr="002F41D0">
        <w:trPr>
          <w:trHeight w:val="330"/>
        </w:trPr>
        <w:tc>
          <w:tcPr>
            <w:tcW w:w="1852" w:type="dxa"/>
            <w:vMerge/>
            <w:tcBorders>
              <w:top w:val="single" w:sz="8" w:space="0" w:color="auto"/>
              <w:left w:val="single" w:sz="8" w:space="0" w:color="auto"/>
              <w:bottom w:val="single" w:sz="8" w:space="0" w:color="000000"/>
              <w:right w:val="single" w:sz="8" w:space="0" w:color="auto"/>
            </w:tcBorders>
            <w:vAlign w:val="center"/>
            <w:hideMark/>
          </w:tcPr>
          <w:p w14:paraId="2CC3C579" w14:textId="77777777" w:rsidR="00443E64" w:rsidRPr="00EF55CA" w:rsidRDefault="00443E64" w:rsidP="00947BBB">
            <w:pPr>
              <w:rPr>
                <w:rFonts w:eastAsia="Times New Roman" w:cs="Times New Roman"/>
                <w:b/>
                <w:bCs/>
                <w:color w:val="000000"/>
                <w:sz w:val="20"/>
                <w:szCs w:val="20"/>
                <w:lang w:eastAsia="lv-LV"/>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6D7B8334" w14:textId="77777777" w:rsidR="00443E64" w:rsidRPr="00EF55CA" w:rsidRDefault="00443E64" w:rsidP="00947BBB">
            <w:pPr>
              <w:rPr>
                <w:rFonts w:eastAsia="Times New Roman" w:cs="Times New Roman"/>
                <w:b/>
                <w:bCs/>
                <w:color w:val="000000"/>
                <w:sz w:val="20"/>
                <w:szCs w:val="20"/>
                <w:lang w:eastAsia="lv-LV"/>
              </w:rPr>
            </w:pPr>
          </w:p>
        </w:tc>
        <w:tc>
          <w:tcPr>
            <w:tcW w:w="1281" w:type="dxa"/>
            <w:vMerge/>
            <w:tcBorders>
              <w:top w:val="single" w:sz="8" w:space="0" w:color="auto"/>
              <w:left w:val="single" w:sz="8" w:space="0" w:color="auto"/>
              <w:bottom w:val="single" w:sz="8" w:space="0" w:color="000000"/>
              <w:right w:val="single" w:sz="8" w:space="0" w:color="auto"/>
            </w:tcBorders>
            <w:vAlign w:val="center"/>
            <w:hideMark/>
          </w:tcPr>
          <w:p w14:paraId="36655056" w14:textId="77777777" w:rsidR="00443E64" w:rsidRPr="00EF55CA" w:rsidRDefault="00443E64" w:rsidP="00947BBB">
            <w:pPr>
              <w:rPr>
                <w:rFonts w:eastAsia="Times New Roman" w:cs="Times New Roman"/>
                <w:b/>
                <w:bCs/>
                <w:color w:val="000000"/>
                <w:sz w:val="20"/>
                <w:szCs w:val="20"/>
                <w:lang w:eastAsia="lv-LV"/>
              </w:rPr>
            </w:pPr>
          </w:p>
        </w:tc>
        <w:tc>
          <w:tcPr>
            <w:tcW w:w="1281" w:type="dxa"/>
            <w:vMerge/>
            <w:tcBorders>
              <w:top w:val="single" w:sz="8" w:space="0" w:color="auto"/>
              <w:left w:val="single" w:sz="8" w:space="0" w:color="auto"/>
              <w:bottom w:val="single" w:sz="8" w:space="0" w:color="000000"/>
              <w:right w:val="single" w:sz="8" w:space="0" w:color="auto"/>
            </w:tcBorders>
            <w:vAlign w:val="center"/>
            <w:hideMark/>
          </w:tcPr>
          <w:p w14:paraId="67C7C330" w14:textId="77777777" w:rsidR="00443E64" w:rsidRPr="00EF55CA" w:rsidRDefault="00443E64" w:rsidP="00947BBB">
            <w:pPr>
              <w:rPr>
                <w:rFonts w:eastAsia="Times New Roman" w:cs="Times New Roman"/>
                <w:b/>
                <w:bCs/>
                <w:color w:val="000000"/>
                <w:sz w:val="20"/>
                <w:szCs w:val="20"/>
                <w:lang w:eastAsia="lv-LV"/>
              </w:rPr>
            </w:pPr>
          </w:p>
        </w:tc>
        <w:tc>
          <w:tcPr>
            <w:tcW w:w="853" w:type="dxa"/>
            <w:vMerge/>
            <w:tcBorders>
              <w:top w:val="nil"/>
              <w:left w:val="single" w:sz="8" w:space="0" w:color="auto"/>
              <w:bottom w:val="single" w:sz="8" w:space="0" w:color="000000"/>
              <w:right w:val="single" w:sz="8" w:space="0" w:color="auto"/>
            </w:tcBorders>
            <w:vAlign w:val="center"/>
            <w:hideMark/>
          </w:tcPr>
          <w:p w14:paraId="7598015E" w14:textId="77777777" w:rsidR="00443E64" w:rsidRPr="00EF55CA" w:rsidRDefault="00443E64" w:rsidP="00947BBB">
            <w:pPr>
              <w:rPr>
                <w:rFonts w:eastAsia="Times New Roman" w:cs="Times New Roman"/>
                <w:b/>
                <w:bCs/>
                <w:color w:val="000000"/>
                <w:sz w:val="20"/>
                <w:szCs w:val="20"/>
                <w:lang w:eastAsia="lv-LV"/>
              </w:rPr>
            </w:pPr>
          </w:p>
        </w:tc>
        <w:tc>
          <w:tcPr>
            <w:tcW w:w="1281" w:type="dxa"/>
            <w:tcBorders>
              <w:top w:val="nil"/>
              <w:left w:val="nil"/>
              <w:bottom w:val="single" w:sz="8" w:space="0" w:color="auto"/>
              <w:right w:val="single" w:sz="8" w:space="0" w:color="auto"/>
            </w:tcBorders>
            <w:shd w:val="clear" w:color="000000" w:fill="D9D9D9"/>
            <w:vAlign w:val="center"/>
            <w:hideMark/>
          </w:tcPr>
          <w:p w14:paraId="637979CB" w14:textId="77777777" w:rsidR="00443E64" w:rsidRPr="00EF55CA" w:rsidRDefault="00443E64" w:rsidP="00947BBB">
            <w:pP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w:t>
            </w:r>
            <w:proofErr w:type="spellStart"/>
            <w:r w:rsidRPr="00EF55CA">
              <w:rPr>
                <w:rFonts w:eastAsia="Times New Roman" w:cs="Times New Roman"/>
                <w:b/>
                <w:bCs/>
                <w:color w:val="000000"/>
                <w:sz w:val="20"/>
                <w:szCs w:val="20"/>
                <w:lang w:eastAsia="lv-LV"/>
              </w:rPr>
              <w:t>pārpilde</w:t>
            </w:r>
            <w:proofErr w:type="spellEnd"/>
            <w:r w:rsidRPr="00EF55CA">
              <w:rPr>
                <w:rFonts w:eastAsia="Times New Roman" w:cs="Times New Roman"/>
                <w:b/>
                <w:bCs/>
                <w:color w:val="000000"/>
                <w:sz w:val="20"/>
                <w:szCs w:val="20"/>
                <w:lang w:eastAsia="lv-LV"/>
              </w:rPr>
              <w:t>(+)</w:t>
            </w:r>
          </w:p>
        </w:tc>
        <w:tc>
          <w:tcPr>
            <w:tcW w:w="854" w:type="dxa"/>
            <w:vMerge/>
            <w:tcBorders>
              <w:top w:val="nil"/>
              <w:left w:val="single" w:sz="8" w:space="0" w:color="auto"/>
              <w:bottom w:val="single" w:sz="8" w:space="0" w:color="000000"/>
              <w:right w:val="single" w:sz="8" w:space="0" w:color="auto"/>
            </w:tcBorders>
            <w:vAlign w:val="center"/>
            <w:hideMark/>
          </w:tcPr>
          <w:p w14:paraId="46424A52" w14:textId="77777777" w:rsidR="00443E64" w:rsidRPr="00EF55CA" w:rsidRDefault="00443E64" w:rsidP="00947BBB">
            <w:pPr>
              <w:rPr>
                <w:rFonts w:eastAsia="Times New Roman" w:cs="Times New Roman"/>
                <w:b/>
                <w:bCs/>
                <w:color w:val="000000"/>
                <w:sz w:val="20"/>
                <w:szCs w:val="20"/>
                <w:lang w:eastAsia="lv-LV"/>
              </w:rPr>
            </w:pPr>
          </w:p>
        </w:tc>
        <w:tc>
          <w:tcPr>
            <w:tcW w:w="1280" w:type="dxa"/>
            <w:tcBorders>
              <w:top w:val="nil"/>
              <w:left w:val="nil"/>
              <w:bottom w:val="single" w:sz="8" w:space="0" w:color="auto"/>
              <w:right w:val="single" w:sz="8" w:space="0" w:color="auto"/>
            </w:tcBorders>
            <w:shd w:val="clear" w:color="000000" w:fill="D9D9D9"/>
            <w:vAlign w:val="center"/>
            <w:hideMark/>
          </w:tcPr>
          <w:p w14:paraId="782A0301" w14:textId="77777777" w:rsidR="00443E64" w:rsidRPr="00EF55CA" w:rsidRDefault="00443E64" w:rsidP="00947BBB">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w:t>
            </w:r>
            <w:proofErr w:type="spellStart"/>
            <w:r w:rsidRPr="00EF55CA">
              <w:rPr>
                <w:rFonts w:eastAsia="Times New Roman" w:cs="Times New Roman"/>
                <w:b/>
                <w:bCs/>
                <w:color w:val="000000"/>
                <w:sz w:val="20"/>
                <w:szCs w:val="20"/>
                <w:lang w:eastAsia="lv-LV"/>
              </w:rPr>
              <w:t>pārpilde</w:t>
            </w:r>
            <w:proofErr w:type="spellEnd"/>
            <w:r w:rsidRPr="00EF55CA">
              <w:rPr>
                <w:rFonts w:eastAsia="Times New Roman" w:cs="Times New Roman"/>
                <w:b/>
                <w:bCs/>
                <w:color w:val="000000"/>
                <w:sz w:val="20"/>
                <w:szCs w:val="20"/>
                <w:lang w:eastAsia="lv-LV"/>
              </w:rPr>
              <w:t>(+)</w:t>
            </w:r>
          </w:p>
        </w:tc>
      </w:tr>
      <w:tr w:rsidR="00443E64" w:rsidRPr="00EF55CA" w14:paraId="7A4B9487" w14:textId="77777777" w:rsidTr="002F41D0">
        <w:trPr>
          <w:trHeight w:val="330"/>
        </w:trPr>
        <w:tc>
          <w:tcPr>
            <w:tcW w:w="1852" w:type="dxa"/>
            <w:tcBorders>
              <w:top w:val="nil"/>
              <w:left w:val="single" w:sz="8" w:space="0" w:color="auto"/>
              <w:bottom w:val="single" w:sz="8" w:space="0" w:color="auto"/>
              <w:right w:val="single" w:sz="8" w:space="0" w:color="auto"/>
            </w:tcBorders>
            <w:shd w:val="clear" w:color="auto" w:fill="auto"/>
            <w:noWrap/>
            <w:vAlign w:val="center"/>
            <w:hideMark/>
          </w:tcPr>
          <w:p w14:paraId="79795B2F" w14:textId="77777777" w:rsidR="00443E64" w:rsidRPr="00EF55CA" w:rsidRDefault="00443E64" w:rsidP="00947BBB">
            <w:pPr>
              <w:rPr>
                <w:rFonts w:eastAsia="Times New Roman" w:cs="Times New Roman"/>
                <w:color w:val="000000"/>
                <w:sz w:val="20"/>
                <w:szCs w:val="20"/>
                <w:lang w:eastAsia="lv-LV"/>
              </w:rPr>
            </w:pPr>
            <w:r w:rsidRPr="00EF55CA">
              <w:rPr>
                <w:rFonts w:eastAsia="Times New Roman" w:cs="Times New Roman"/>
                <w:color w:val="000000"/>
                <w:sz w:val="20"/>
                <w:szCs w:val="20"/>
                <w:lang w:eastAsia="lv-LV"/>
              </w:rPr>
              <w:t>1.Pētniecība tehnoloģiju attīstība un inovācijas</w:t>
            </w:r>
          </w:p>
        </w:tc>
        <w:tc>
          <w:tcPr>
            <w:tcW w:w="1280" w:type="dxa"/>
            <w:tcBorders>
              <w:top w:val="nil"/>
              <w:left w:val="nil"/>
              <w:bottom w:val="single" w:sz="8" w:space="0" w:color="auto"/>
              <w:right w:val="single" w:sz="8" w:space="0" w:color="auto"/>
            </w:tcBorders>
            <w:shd w:val="clear" w:color="auto" w:fill="auto"/>
            <w:noWrap/>
            <w:vAlign w:val="center"/>
            <w:hideMark/>
          </w:tcPr>
          <w:p w14:paraId="3FAC0898"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11 137 430</w:t>
            </w:r>
          </w:p>
        </w:tc>
        <w:tc>
          <w:tcPr>
            <w:tcW w:w="1281" w:type="dxa"/>
            <w:tcBorders>
              <w:top w:val="nil"/>
              <w:left w:val="nil"/>
              <w:bottom w:val="single" w:sz="8" w:space="0" w:color="auto"/>
              <w:right w:val="single" w:sz="8" w:space="0" w:color="auto"/>
            </w:tcBorders>
            <w:shd w:val="clear" w:color="auto" w:fill="auto"/>
            <w:vAlign w:val="center"/>
            <w:hideMark/>
          </w:tcPr>
          <w:p w14:paraId="45D28610"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4 995 826</w:t>
            </w:r>
          </w:p>
        </w:tc>
        <w:tc>
          <w:tcPr>
            <w:tcW w:w="1281" w:type="dxa"/>
            <w:tcBorders>
              <w:top w:val="nil"/>
              <w:left w:val="nil"/>
              <w:bottom w:val="single" w:sz="8" w:space="0" w:color="auto"/>
              <w:right w:val="single" w:sz="8" w:space="0" w:color="auto"/>
            </w:tcBorders>
            <w:shd w:val="clear" w:color="auto" w:fill="auto"/>
            <w:vAlign w:val="center"/>
            <w:hideMark/>
          </w:tcPr>
          <w:p w14:paraId="386DDB4B"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720 771</w:t>
            </w:r>
          </w:p>
        </w:tc>
        <w:tc>
          <w:tcPr>
            <w:tcW w:w="853" w:type="dxa"/>
            <w:tcBorders>
              <w:top w:val="nil"/>
              <w:left w:val="nil"/>
              <w:bottom w:val="single" w:sz="8" w:space="0" w:color="auto"/>
              <w:right w:val="single" w:sz="8" w:space="0" w:color="auto"/>
            </w:tcBorders>
            <w:shd w:val="clear" w:color="auto" w:fill="auto"/>
            <w:noWrap/>
            <w:vAlign w:val="center"/>
            <w:hideMark/>
          </w:tcPr>
          <w:p w14:paraId="6982B106" w14:textId="77777777" w:rsidR="00443E64" w:rsidRPr="00EF55CA" w:rsidRDefault="00443E64" w:rsidP="00947BBB">
            <w:pPr>
              <w:rPr>
                <w:rFonts w:eastAsia="Times New Roman" w:cs="Times New Roman"/>
                <w:color w:val="000000"/>
                <w:sz w:val="20"/>
                <w:szCs w:val="20"/>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59264" behindDoc="0" locked="0" layoutInCell="1" allowOverlap="1" wp14:anchorId="3BD90D7E" wp14:editId="10E770B8">
                      <wp:simplePos x="0" y="0"/>
                      <wp:positionH relativeFrom="column">
                        <wp:posOffset>335280</wp:posOffset>
                      </wp:positionH>
                      <wp:positionV relativeFrom="paragraph">
                        <wp:posOffset>10160</wp:posOffset>
                      </wp:positionV>
                      <wp:extent cx="111125" cy="150495"/>
                      <wp:effectExtent l="19050" t="0" r="41275" b="40005"/>
                      <wp:wrapNone/>
                      <wp:docPr id="3" name="Down Arrow 3"/>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7A265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6.4pt;margin-top:.8pt;width:8.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" adj="13625" fillcolor="#ed7d31" strokecolor="#ae5a21" strokeweight="1pt"/>
                  </w:pict>
                </mc:Fallback>
              </mc:AlternateContent>
            </w:r>
            <w:r>
              <w:rPr>
                <w:rFonts w:eastAsia="Times New Roman" w:cs="Times New Roman"/>
                <w:color w:val="000000"/>
                <w:sz w:val="20"/>
                <w:szCs w:val="20"/>
                <w:lang w:eastAsia="lv-LV"/>
              </w:rPr>
              <w:t>14,4</w:t>
            </w:r>
          </w:p>
        </w:tc>
        <w:tc>
          <w:tcPr>
            <w:tcW w:w="1281" w:type="dxa"/>
            <w:tcBorders>
              <w:top w:val="nil"/>
              <w:left w:val="nil"/>
              <w:bottom w:val="single" w:sz="8" w:space="0" w:color="auto"/>
              <w:right w:val="single" w:sz="8" w:space="0" w:color="auto"/>
            </w:tcBorders>
            <w:shd w:val="clear" w:color="auto" w:fill="auto"/>
            <w:vAlign w:val="center"/>
            <w:hideMark/>
          </w:tcPr>
          <w:p w14:paraId="55CE18C8"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-4 275 055</w:t>
            </w:r>
          </w:p>
        </w:tc>
        <w:tc>
          <w:tcPr>
            <w:tcW w:w="854" w:type="dxa"/>
            <w:tcBorders>
              <w:top w:val="nil"/>
              <w:left w:val="nil"/>
              <w:bottom w:val="single" w:sz="8" w:space="0" w:color="auto"/>
              <w:right w:val="single" w:sz="8" w:space="0" w:color="auto"/>
            </w:tcBorders>
            <w:shd w:val="clear" w:color="auto" w:fill="auto"/>
            <w:vAlign w:val="center"/>
            <w:hideMark/>
          </w:tcPr>
          <w:p w14:paraId="5E99962F" w14:textId="77777777" w:rsidR="00443E64" w:rsidRPr="00EF55CA" w:rsidRDefault="00443E64" w:rsidP="00535857">
            <w:pPr>
              <w:jc w:val="center"/>
              <w:rPr>
                <w:rFonts w:eastAsia="Times New Roman" w:cs="Times New Roman"/>
                <w:color w:val="000000"/>
                <w:sz w:val="20"/>
                <w:szCs w:val="20"/>
                <w:lang w:eastAsia="lv-LV"/>
              </w:rPr>
            </w:pPr>
            <w:r>
              <w:rPr>
                <w:rFonts w:eastAsia="Times New Roman" w:cs="Times New Roman"/>
                <w:color w:val="000000"/>
                <w:sz w:val="20"/>
                <w:szCs w:val="20"/>
                <w:lang w:eastAsia="lv-LV"/>
              </w:rPr>
              <w:t>52,3</w:t>
            </w:r>
          </w:p>
        </w:tc>
        <w:tc>
          <w:tcPr>
            <w:tcW w:w="1280" w:type="dxa"/>
            <w:tcBorders>
              <w:top w:val="nil"/>
              <w:left w:val="nil"/>
              <w:bottom w:val="single" w:sz="8" w:space="0" w:color="auto"/>
              <w:right w:val="single" w:sz="8" w:space="0" w:color="auto"/>
            </w:tcBorders>
            <w:shd w:val="clear" w:color="auto" w:fill="auto"/>
            <w:vAlign w:val="center"/>
            <w:hideMark/>
          </w:tcPr>
          <w:p w14:paraId="452367A2"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-540 297</w:t>
            </w:r>
          </w:p>
        </w:tc>
      </w:tr>
      <w:tr w:rsidR="00443E64" w:rsidRPr="00EF55CA" w14:paraId="759DE246" w14:textId="77777777" w:rsidTr="002F41D0">
        <w:trPr>
          <w:trHeight w:val="330"/>
        </w:trPr>
        <w:tc>
          <w:tcPr>
            <w:tcW w:w="1852" w:type="dxa"/>
            <w:tcBorders>
              <w:top w:val="nil"/>
              <w:left w:val="single" w:sz="8" w:space="0" w:color="auto"/>
              <w:bottom w:val="single" w:sz="8" w:space="0" w:color="auto"/>
              <w:right w:val="single" w:sz="8" w:space="0" w:color="auto"/>
            </w:tcBorders>
            <w:shd w:val="clear" w:color="auto" w:fill="auto"/>
            <w:noWrap/>
            <w:vAlign w:val="center"/>
            <w:hideMark/>
          </w:tcPr>
          <w:p w14:paraId="408E07B6" w14:textId="77777777" w:rsidR="00443E64" w:rsidRPr="00EF55CA" w:rsidRDefault="00443E64" w:rsidP="00947BBB">
            <w:pPr>
              <w:rPr>
                <w:rFonts w:eastAsia="Times New Roman" w:cs="Times New Roman"/>
                <w:color w:val="000000"/>
                <w:sz w:val="20"/>
                <w:szCs w:val="20"/>
                <w:lang w:eastAsia="lv-LV"/>
              </w:rPr>
            </w:pPr>
            <w:r w:rsidRPr="00EF55CA">
              <w:rPr>
                <w:rFonts w:eastAsia="Times New Roman" w:cs="Times New Roman"/>
                <w:color w:val="000000"/>
                <w:sz w:val="20"/>
                <w:szCs w:val="20"/>
                <w:lang w:eastAsia="lv-LV"/>
              </w:rPr>
              <w:t>2.IKT pieejamība, e-pārvalde un pakalpojumi</w:t>
            </w:r>
          </w:p>
        </w:tc>
        <w:tc>
          <w:tcPr>
            <w:tcW w:w="1280" w:type="dxa"/>
            <w:tcBorders>
              <w:top w:val="nil"/>
              <w:left w:val="nil"/>
              <w:bottom w:val="single" w:sz="8" w:space="0" w:color="auto"/>
              <w:right w:val="single" w:sz="8" w:space="0" w:color="auto"/>
            </w:tcBorders>
            <w:shd w:val="clear" w:color="auto" w:fill="auto"/>
            <w:noWrap/>
            <w:vAlign w:val="center"/>
            <w:hideMark/>
          </w:tcPr>
          <w:p w14:paraId="23CAB6F2"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9 340 843</w:t>
            </w:r>
          </w:p>
        </w:tc>
        <w:tc>
          <w:tcPr>
            <w:tcW w:w="1281" w:type="dxa"/>
            <w:tcBorders>
              <w:top w:val="nil"/>
              <w:left w:val="nil"/>
              <w:bottom w:val="single" w:sz="8" w:space="0" w:color="auto"/>
              <w:right w:val="single" w:sz="8" w:space="0" w:color="auto"/>
            </w:tcBorders>
            <w:shd w:val="clear" w:color="auto" w:fill="auto"/>
            <w:vAlign w:val="center"/>
            <w:hideMark/>
          </w:tcPr>
          <w:p w14:paraId="32D935FC"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w:t>
            </w:r>
          </w:p>
        </w:tc>
        <w:tc>
          <w:tcPr>
            <w:tcW w:w="1281" w:type="dxa"/>
            <w:tcBorders>
              <w:top w:val="nil"/>
              <w:left w:val="nil"/>
              <w:bottom w:val="single" w:sz="8" w:space="0" w:color="auto"/>
              <w:right w:val="single" w:sz="8" w:space="0" w:color="auto"/>
            </w:tcBorders>
            <w:shd w:val="clear" w:color="auto" w:fill="auto"/>
            <w:vAlign w:val="center"/>
            <w:hideMark/>
          </w:tcPr>
          <w:p w14:paraId="51F8D6BE"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w:t>
            </w:r>
          </w:p>
        </w:tc>
        <w:tc>
          <w:tcPr>
            <w:tcW w:w="853" w:type="dxa"/>
            <w:tcBorders>
              <w:top w:val="nil"/>
              <w:left w:val="nil"/>
              <w:bottom w:val="single" w:sz="8" w:space="0" w:color="auto"/>
              <w:right w:val="single" w:sz="8" w:space="0" w:color="auto"/>
            </w:tcBorders>
            <w:shd w:val="clear" w:color="auto" w:fill="auto"/>
            <w:noWrap/>
            <w:vAlign w:val="center"/>
            <w:hideMark/>
          </w:tcPr>
          <w:p w14:paraId="52531AD4" w14:textId="77777777" w:rsidR="00443E64" w:rsidRPr="00EF55CA" w:rsidRDefault="00443E64" w:rsidP="00947BBB">
            <w:pPr>
              <w:rPr>
                <w:rFonts w:eastAsia="Times New Roman" w:cs="Times New Roman"/>
                <w:color w:val="000000"/>
                <w:sz w:val="20"/>
                <w:szCs w:val="20"/>
                <w:lang w:eastAsia="lv-LV"/>
              </w:rPr>
            </w:pPr>
            <w:r w:rsidRPr="00EF55CA">
              <w:rPr>
                <w:rFonts w:eastAsia="Times New Roman" w:cs="Times New Roman"/>
                <w:color w:val="000000"/>
                <w:sz w:val="20"/>
                <w:szCs w:val="20"/>
                <w:lang w:eastAsia="lv-LV"/>
              </w:rPr>
              <w:t>-</w:t>
            </w:r>
          </w:p>
        </w:tc>
        <w:tc>
          <w:tcPr>
            <w:tcW w:w="1281" w:type="dxa"/>
            <w:tcBorders>
              <w:top w:val="nil"/>
              <w:left w:val="nil"/>
              <w:bottom w:val="single" w:sz="8" w:space="0" w:color="auto"/>
              <w:right w:val="single" w:sz="8" w:space="0" w:color="auto"/>
            </w:tcBorders>
            <w:shd w:val="clear" w:color="auto" w:fill="auto"/>
            <w:vAlign w:val="center"/>
            <w:hideMark/>
          </w:tcPr>
          <w:p w14:paraId="59390EC1"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w:t>
            </w:r>
          </w:p>
        </w:tc>
        <w:tc>
          <w:tcPr>
            <w:tcW w:w="854" w:type="dxa"/>
            <w:tcBorders>
              <w:top w:val="nil"/>
              <w:left w:val="nil"/>
              <w:bottom w:val="single" w:sz="8" w:space="0" w:color="auto"/>
              <w:right w:val="single" w:sz="8" w:space="0" w:color="auto"/>
            </w:tcBorders>
            <w:shd w:val="clear" w:color="auto" w:fill="auto"/>
            <w:vAlign w:val="center"/>
            <w:hideMark/>
          </w:tcPr>
          <w:p w14:paraId="7CF7F6D9"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w:t>
            </w:r>
          </w:p>
        </w:tc>
        <w:tc>
          <w:tcPr>
            <w:tcW w:w="1280" w:type="dxa"/>
            <w:tcBorders>
              <w:top w:val="nil"/>
              <w:left w:val="nil"/>
              <w:bottom w:val="single" w:sz="8" w:space="0" w:color="auto"/>
              <w:right w:val="single" w:sz="8" w:space="0" w:color="auto"/>
            </w:tcBorders>
            <w:shd w:val="clear" w:color="auto" w:fill="auto"/>
            <w:vAlign w:val="center"/>
            <w:hideMark/>
          </w:tcPr>
          <w:p w14:paraId="4FC5E2E2"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w:t>
            </w:r>
          </w:p>
        </w:tc>
      </w:tr>
      <w:tr w:rsidR="00443E64" w:rsidRPr="00EF55CA" w14:paraId="0DE894CF" w14:textId="77777777" w:rsidTr="002F41D0">
        <w:trPr>
          <w:trHeight w:val="330"/>
        </w:trPr>
        <w:tc>
          <w:tcPr>
            <w:tcW w:w="1852" w:type="dxa"/>
            <w:tcBorders>
              <w:top w:val="nil"/>
              <w:left w:val="single" w:sz="8" w:space="0" w:color="auto"/>
              <w:bottom w:val="single" w:sz="8" w:space="0" w:color="auto"/>
              <w:right w:val="single" w:sz="8" w:space="0" w:color="auto"/>
            </w:tcBorders>
            <w:shd w:val="clear" w:color="auto" w:fill="auto"/>
            <w:noWrap/>
            <w:vAlign w:val="center"/>
            <w:hideMark/>
          </w:tcPr>
          <w:p w14:paraId="44FE8008" w14:textId="77777777" w:rsidR="00443E64" w:rsidRPr="00EF55CA" w:rsidRDefault="00443E64" w:rsidP="00947BBB">
            <w:pPr>
              <w:rPr>
                <w:rFonts w:eastAsia="Times New Roman" w:cs="Times New Roman"/>
                <w:color w:val="000000"/>
                <w:sz w:val="20"/>
                <w:szCs w:val="20"/>
                <w:lang w:eastAsia="lv-LV"/>
              </w:rPr>
            </w:pPr>
            <w:r w:rsidRPr="00EF55CA">
              <w:rPr>
                <w:rFonts w:eastAsia="Times New Roman" w:cs="Times New Roman"/>
                <w:color w:val="000000"/>
                <w:sz w:val="20"/>
                <w:szCs w:val="20"/>
                <w:lang w:eastAsia="lv-LV"/>
              </w:rPr>
              <w:t>3.Mazo un vidējo komersantu konkurētspēja</w:t>
            </w:r>
          </w:p>
        </w:tc>
        <w:tc>
          <w:tcPr>
            <w:tcW w:w="1280" w:type="dxa"/>
            <w:tcBorders>
              <w:top w:val="nil"/>
              <w:left w:val="nil"/>
              <w:bottom w:val="single" w:sz="8" w:space="0" w:color="auto"/>
              <w:right w:val="single" w:sz="8" w:space="0" w:color="auto"/>
            </w:tcBorders>
            <w:shd w:val="clear" w:color="auto" w:fill="auto"/>
            <w:noWrap/>
            <w:vAlign w:val="center"/>
            <w:hideMark/>
          </w:tcPr>
          <w:p w14:paraId="72827C42"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30 075 247</w:t>
            </w:r>
          </w:p>
        </w:tc>
        <w:tc>
          <w:tcPr>
            <w:tcW w:w="1281" w:type="dxa"/>
            <w:tcBorders>
              <w:top w:val="nil"/>
              <w:left w:val="nil"/>
              <w:bottom w:val="single" w:sz="8" w:space="0" w:color="auto"/>
              <w:right w:val="single" w:sz="8" w:space="0" w:color="auto"/>
            </w:tcBorders>
            <w:shd w:val="clear" w:color="auto" w:fill="auto"/>
            <w:vAlign w:val="center"/>
            <w:hideMark/>
          </w:tcPr>
          <w:p w14:paraId="12E5E983"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13 663 272</w:t>
            </w:r>
          </w:p>
        </w:tc>
        <w:tc>
          <w:tcPr>
            <w:tcW w:w="1281" w:type="dxa"/>
            <w:tcBorders>
              <w:top w:val="nil"/>
              <w:left w:val="nil"/>
              <w:bottom w:val="single" w:sz="8" w:space="0" w:color="auto"/>
              <w:right w:val="single" w:sz="8" w:space="0" w:color="auto"/>
            </w:tcBorders>
            <w:shd w:val="clear" w:color="auto" w:fill="auto"/>
            <w:vAlign w:val="center"/>
            <w:hideMark/>
          </w:tcPr>
          <w:p w14:paraId="193C120C"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30 122 932</w:t>
            </w:r>
          </w:p>
        </w:tc>
        <w:tc>
          <w:tcPr>
            <w:tcW w:w="853" w:type="dxa"/>
            <w:tcBorders>
              <w:top w:val="nil"/>
              <w:left w:val="nil"/>
              <w:bottom w:val="single" w:sz="8" w:space="0" w:color="auto"/>
              <w:right w:val="single" w:sz="8" w:space="0" w:color="auto"/>
            </w:tcBorders>
            <w:shd w:val="clear" w:color="auto" w:fill="auto"/>
            <w:noWrap/>
            <w:vAlign w:val="center"/>
            <w:hideMark/>
          </w:tcPr>
          <w:p w14:paraId="308D0677" w14:textId="77777777" w:rsidR="00443E64" w:rsidRPr="00EF55CA" w:rsidRDefault="00443E64" w:rsidP="00947BBB">
            <w:pPr>
              <w:rPr>
                <w:rFonts w:eastAsia="Times New Roman" w:cs="Times New Roman"/>
                <w:color w:val="000000"/>
                <w:sz w:val="20"/>
                <w:szCs w:val="20"/>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60288" behindDoc="0" locked="0" layoutInCell="1" allowOverlap="1" wp14:anchorId="19DC036F" wp14:editId="287C82D5">
                      <wp:simplePos x="0" y="0"/>
                      <wp:positionH relativeFrom="column">
                        <wp:posOffset>325755</wp:posOffset>
                      </wp:positionH>
                      <wp:positionV relativeFrom="paragraph">
                        <wp:posOffset>635</wp:posOffset>
                      </wp:positionV>
                      <wp:extent cx="111125" cy="150495"/>
                      <wp:effectExtent l="19050" t="0" r="41275" b="40005"/>
                      <wp:wrapNone/>
                      <wp:docPr id="4" name="Down Arrow 4"/>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D51953F" id="Down Arrow 4" o:spid="_x0000_s1026" type="#_x0000_t67" style="position:absolute;margin-left:25.65pt;margin-top:.05pt;width:8.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" adj="13625" fillcolor="#ed7d31" strokecolor="#ae5a21" strokeweight="1pt"/>
                  </w:pict>
                </mc:Fallback>
              </mc:AlternateContent>
            </w:r>
            <w:r w:rsidRPr="00EF55CA">
              <w:rPr>
                <w:rFonts w:eastAsia="Times New Roman" w:cs="Times New Roman"/>
                <w:color w:val="000000"/>
                <w:sz w:val="20"/>
                <w:szCs w:val="20"/>
                <w:lang w:eastAsia="lv-LV"/>
              </w:rPr>
              <w:t>220,5</w:t>
            </w:r>
          </w:p>
        </w:tc>
        <w:tc>
          <w:tcPr>
            <w:tcW w:w="1281" w:type="dxa"/>
            <w:tcBorders>
              <w:top w:val="nil"/>
              <w:left w:val="nil"/>
              <w:bottom w:val="single" w:sz="8" w:space="0" w:color="auto"/>
              <w:right w:val="single" w:sz="8" w:space="0" w:color="auto"/>
            </w:tcBorders>
            <w:shd w:val="clear" w:color="auto" w:fill="auto"/>
            <w:vAlign w:val="center"/>
            <w:hideMark/>
          </w:tcPr>
          <w:p w14:paraId="2D3DCE3C" w14:textId="3B1A36AF"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16</w:t>
            </w:r>
            <w:r w:rsidR="008365C2">
              <w:rPr>
                <w:rFonts w:eastAsia="Times New Roman" w:cs="Times New Roman"/>
                <w:color w:val="000000"/>
                <w:sz w:val="20"/>
                <w:szCs w:val="20"/>
                <w:lang w:eastAsia="lv-LV"/>
              </w:rPr>
              <w:t> </w:t>
            </w:r>
            <w:r w:rsidRPr="00EF55CA">
              <w:rPr>
                <w:rFonts w:eastAsia="Times New Roman" w:cs="Times New Roman"/>
                <w:color w:val="000000"/>
                <w:sz w:val="20"/>
                <w:szCs w:val="20"/>
                <w:lang w:eastAsia="lv-LV"/>
              </w:rPr>
              <w:t>459 660</w:t>
            </w:r>
          </w:p>
        </w:tc>
        <w:tc>
          <w:tcPr>
            <w:tcW w:w="854" w:type="dxa"/>
            <w:tcBorders>
              <w:top w:val="nil"/>
              <w:left w:val="nil"/>
              <w:bottom w:val="single" w:sz="8" w:space="0" w:color="auto"/>
              <w:right w:val="single" w:sz="8" w:space="0" w:color="auto"/>
            </w:tcBorders>
            <w:shd w:val="clear" w:color="auto" w:fill="auto"/>
            <w:vAlign w:val="center"/>
            <w:hideMark/>
          </w:tcPr>
          <w:p w14:paraId="371DA6D1" w14:textId="77777777" w:rsidR="00443E64" w:rsidRPr="00EF55CA" w:rsidRDefault="00443E64" w:rsidP="00535857">
            <w:pPr>
              <w:jc w:val="center"/>
              <w:rPr>
                <w:rFonts w:eastAsia="Times New Roman" w:cs="Times New Roman"/>
                <w:color w:val="000000"/>
                <w:sz w:val="20"/>
                <w:szCs w:val="20"/>
                <w:lang w:eastAsia="lv-LV"/>
              </w:rPr>
            </w:pPr>
            <w:r>
              <w:rPr>
                <w:rFonts w:eastAsia="Times New Roman" w:cs="Times New Roman"/>
                <w:color w:val="000000"/>
                <w:sz w:val="20"/>
                <w:szCs w:val="20"/>
                <w:lang w:eastAsia="lv-LV"/>
              </w:rPr>
              <w:t>340,4</w:t>
            </w:r>
          </w:p>
        </w:tc>
        <w:tc>
          <w:tcPr>
            <w:tcW w:w="1280" w:type="dxa"/>
            <w:tcBorders>
              <w:top w:val="nil"/>
              <w:left w:val="nil"/>
              <w:bottom w:val="single" w:sz="8" w:space="0" w:color="auto"/>
              <w:right w:val="single" w:sz="8" w:space="0" w:color="auto"/>
            </w:tcBorders>
            <w:shd w:val="clear" w:color="auto" w:fill="auto"/>
            <w:vAlign w:val="center"/>
            <w:hideMark/>
          </w:tcPr>
          <w:p w14:paraId="079583A9"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21 272 626</w:t>
            </w:r>
          </w:p>
        </w:tc>
      </w:tr>
      <w:tr w:rsidR="00443E64" w:rsidRPr="00EF55CA" w14:paraId="6D437351" w14:textId="77777777" w:rsidTr="002F41D0">
        <w:trPr>
          <w:trHeight w:val="330"/>
        </w:trPr>
        <w:tc>
          <w:tcPr>
            <w:tcW w:w="1852" w:type="dxa"/>
            <w:tcBorders>
              <w:top w:val="nil"/>
              <w:left w:val="single" w:sz="8" w:space="0" w:color="auto"/>
              <w:bottom w:val="single" w:sz="8" w:space="0" w:color="auto"/>
              <w:right w:val="single" w:sz="8" w:space="0" w:color="auto"/>
            </w:tcBorders>
            <w:shd w:val="clear" w:color="auto" w:fill="auto"/>
            <w:noWrap/>
            <w:vAlign w:val="center"/>
            <w:hideMark/>
          </w:tcPr>
          <w:p w14:paraId="2EA17555" w14:textId="77777777" w:rsidR="00443E64" w:rsidRPr="00EF55CA" w:rsidRDefault="00443E64" w:rsidP="00947BBB">
            <w:pPr>
              <w:rPr>
                <w:rFonts w:eastAsia="Times New Roman" w:cs="Times New Roman"/>
                <w:color w:val="000000"/>
                <w:sz w:val="20"/>
                <w:szCs w:val="20"/>
                <w:lang w:eastAsia="lv-LV"/>
              </w:rPr>
            </w:pPr>
            <w:r w:rsidRPr="00EF55CA">
              <w:rPr>
                <w:rFonts w:eastAsia="Times New Roman" w:cs="Times New Roman"/>
                <w:color w:val="000000"/>
                <w:sz w:val="20"/>
                <w:szCs w:val="20"/>
                <w:lang w:eastAsia="lv-LV"/>
              </w:rPr>
              <w:t>4.</w:t>
            </w:r>
            <w:r w:rsidRPr="00EF55CA">
              <w:rPr>
                <w:rFonts w:eastAsia="Times New Roman" w:cs="Times New Roman"/>
                <w:color w:val="000000"/>
                <w:szCs w:val="24"/>
                <w:lang w:eastAsia="lv-LV"/>
              </w:rPr>
              <w:t xml:space="preserve"> </w:t>
            </w:r>
            <w:r w:rsidRPr="00EF55CA">
              <w:rPr>
                <w:rFonts w:eastAsia="Times New Roman" w:cs="Times New Roman"/>
                <w:color w:val="000000"/>
                <w:sz w:val="20"/>
                <w:szCs w:val="20"/>
                <w:lang w:eastAsia="lv-LV"/>
              </w:rPr>
              <w:t>Pāreja uz ekonomiku ar zemu oglekļa emisijas līmeni visās nozarēs</w:t>
            </w:r>
          </w:p>
        </w:tc>
        <w:tc>
          <w:tcPr>
            <w:tcW w:w="1280" w:type="dxa"/>
            <w:tcBorders>
              <w:top w:val="nil"/>
              <w:left w:val="nil"/>
              <w:bottom w:val="single" w:sz="8" w:space="0" w:color="auto"/>
              <w:right w:val="single" w:sz="8" w:space="0" w:color="auto"/>
            </w:tcBorders>
            <w:shd w:val="clear" w:color="auto" w:fill="auto"/>
            <w:noWrap/>
            <w:vAlign w:val="center"/>
            <w:hideMark/>
          </w:tcPr>
          <w:p w14:paraId="031F1733"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19 368 881</w:t>
            </w:r>
          </w:p>
        </w:tc>
        <w:tc>
          <w:tcPr>
            <w:tcW w:w="1281" w:type="dxa"/>
            <w:tcBorders>
              <w:top w:val="nil"/>
              <w:left w:val="nil"/>
              <w:bottom w:val="single" w:sz="8" w:space="0" w:color="auto"/>
              <w:right w:val="single" w:sz="8" w:space="0" w:color="auto"/>
            </w:tcBorders>
            <w:shd w:val="clear" w:color="auto" w:fill="auto"/>
            <w:vAlign w:val="center"/>
            <w:hideMark/>
          </w:tcPr>
          <w:p w14:paraId="5AC9A06B"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7 033 699</w:t>
            </w:r>
          </w:p>
        </w:tc>
        <w:tc>
          <w:tcPr>
            <w:tcW w:w="1281" w:type="dxa"/>
            <w:tcBorders>
              <w:top w:val="nil"/>
              <w:left w:val="nil"/>
              <w:bottom w:val="single" w:sz="8" w:space="0" w:color="auto"/>
              <w:right w:val="single" w:sz="8" w:space="0" w:color="auto"/>
            </w:tcBorders>
            <w:shd w:val="clear" w:color="auto" w:fill="auto"/>
            <w:vAlign w:val="center"/>
            <w:hideMark/>
          </w:tcPr>
          <w:p w14:paraId="041C1F1D"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17 790</w:t>
            </w:r>
          </w:p>
        </w:tc>
        <w:tc>
          <w:tcPr>
            <w:tcW w:w="853" w:type="dxa"/>
            <w:tcBorders>
              <w:top w:val="nil"/>
              <w:left w:val="nil"/>
              <w:bottom w:val="single" w:sz="8" w:space="0" w:color="auto"/>
              <w:right w:val="single" w:sz="8" w:space="0" w:color="auto"/>
            </w:tcBorders>
            <w:shd w:val="clear" w:color="auto" w:fill="auto"/>
            <w:noWrap/>
            <w:vAlign w:val="center"/>
            <w:hideMark/>
          </w:tcPr>
          <w:p w14:paraId="45E257C7" w14:textId="77777777" w:rsidR="00443E64" w:rsidRPr="00EF55CA" w:rsidRDefault="00443E64" w:rsidP="00947BBB">
            <w:pPr>
              <w:rPr>
                <w:rFonts w:eastAsia="Times New Roman" w:cs="Times New Roman"/>
                <w:color w:val="000000"/>
                <w:sz w:val="20"/>
                <w:szCs w:val="20"/>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67456" behindDoc="0" locked="0" layoutInCell="1" allowOverlap="1" wp14:anchorId="4BB3E01F" wp14:editId="4EA9EEAF">
                      <wp:simplePos x="0" y="0"/>
                      <wp:positionH relativeFrom="column">
                        <wp:posOffset>322580</wp:posOffset>
                      </wp:positionH>
                      <wp:positionV relativeFrom="paragraph">
                        <wp:posOffset>-5715</wp:posOffset>
                      </wp:positionV>
                      <wp:extent cx="111125" cy="150495"/>
                      <wp:effectExtent l="19050" t="0" r="41275" b="40005"/>
                      <wp:wrapNone/>
                      <wp:docPr id="15" name="Down Arrow 15"/>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7BBE3AB" id="Down Arrow 15" o:spid="_x0000_s1026" type="#_x0000_t67" style="position:absolute;margin-left:25.4pt;margin-top:-.45pt;width:8.7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" adj="13625" fillcolor="#ed7d31" strokecolor="#ae5a21" strokeweight="1pt"/>
                  </w:pict>
                </mc:Fallback>
              </mc:AlternateContent>
            </w:r>
            <w:r>
              <w:rPr>
                <w:rFonts w:eastAsia="Times New Roman" w:cs="Times New Roman"/>
                <w:color w:val="000000"/>
                <w:sz w:val="20"/>
                <w:szCs w:val="20"/>
                <w:lang w:eastAsia="lv-LV"/>
              </w:rPr>
              <w:t>0,3</w:t>
            </w:r>
          </w:p>
        </w:tc>
        <w:tc>
          <w:tcPr>
            <w:tcW w:w="1281" w:type="dxa"/>
            <w:tcBorders>
              <w:top w:val="nil"/>
              <w:left w:val="nil"/>
              <w:bottom w:val="single" w:sz="8" w:space="0" w:color="auto"/>
              <w:right w:val="single" w:sz="8" w:space="0" w:color="auto"/>
            </w:tcBorders>
            <w:shd w:val="clear" w:color="auto" w:fill="auto"/>
            <w:vAlign w:val="center"/>
            <w:hideMark/>
          </w:tcPr>
          <w:p w14:paraId="174E48A2"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-7 015 909</w:t>
            </w:r>
          </w:p>
        </w:tc>
        <w:tc>
          <w:tcPr>
            <w:tcW w:w="854" w:type="dxa"/>
            <w:tcBorders>
              <w:top w:val="nil"/>
              <w:left w:val="nil"/>
              <w:bottom w:val="single" w:sz="8" w:space="0" w:color="auto"/>
              <w:right w:val="single" w:sz="8" w:space="0" w:color="auto"/>
            </w:tcBorders>
            <w:shd w:val="clear" w:color="auto" w:fill="auto"/>
            <w:noWrap/>
            <w:vAlign w:val="center"/>
            <w:hideMark/>
          </w:tcPr>
          <w:p w14:paraId="31453270" w14:textId="77777777" w:rsidR="00443E64" w:rsidRPr="00EF55CA" w:rsidRDefault="00443E64" w:rsidP="00535857">
            <w:pPr>
              <w:jc w:val="center"/>
              <w:rPr>
                <w:rFonts w:eastAsia="Times New Roman" w:cs="Times New Roman"/>
                <w:color w:val="000000"/>
                <w:sz w:val="20"/>
                <w:szCs w:val="20"/>
                <w:lang w:eastAsia="lv-LV"/>
              </w:rPr>
            </w:pPr>
            <w:r>
              <w:rPr>
                <w:rFonts w:eastAsia="Times New Roman" w:cs="Times New Roman"/>
                <w:color w:val="000000"/>
                <w:sz w:val="20"/>
                <w:szCs w:val="20"/>
                <w:lang w:eastAsia="lv-LV"/>
              </w:rPr>
              <w:t>0,3</w:t>
            </w:r>
          </w:p>
        </w:tc>
        <w:tc>
          <w:tcPr>
            <w:tcW w:w="1280" w:type="dxa"/>
            <w:tcBorders>
              <w:top w:val="nil"/>
              <w:left w:val="nil"/>
              <w:bottom w:val="single" w:sz="8" w:space="0" w:color="auto"/>
              <w:right w:val="single" w:sz="8" w:space="0" w:color="auto"/>
            </w:tcBorders>
            <w:shd w:val="clear" w:color="auto" w:fill="auto"/>
            <w:vAlign w:val="center"/>
            <w:hideMark/>
          </w:tcPr>
          <w:p w14:paraId="46ACC662"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-5 365 910</w:t>
            </w:r>
          </w:p>
        </w:tc>
      </w:tr>
      <w:tr w:rsidR="00443E64" w:rsidRPr="00EF55CA" w14:paraId="0D6C7DA1" w14:textId="77777777" w:rsidTr="002F41D0">
        <w:trPr>
          <w:trHeight w:val="330"/>
        </w:trPr>
        <w:tc>
          <w:tcPr>
            <w:tcW w:w="1852" w:type="dxa"/>
            <w:tcBorders>
              <w:top w:val="nil"/>
              <w:left w:val="single" w:sz="8" w:space="0" w:color="auto"/>
              <w:bottom w:val="single" w:sz="8" w:space="0" w:color="auto"/>
              <w:right w:val="single" w:sz="8" w:space="0" w:color="auto"/>
            </w:tcBorders>
            <w:shd w:val="clear" w:color="auto" w:fill="auto"/>
            <w:noWrap/>
            <w:vAlign w:val="center"/>
            <w:hideMark/>
          </w:tcPr>
          <w:p w14:paraId="4FABE2D6" w14:textId="77777777" w:rsidR="00443E64" w:rsidRPr="00EF55CA" w:rsidRDefault="00443E64" w:rsidP="00947BBB">
            <w:pPr>
              <w:rPr>
                <w:rFonts w:eastAsia="Times New Roman" w:cs="Times New Roman"/>
                <w:color w:val="000000"/>
                <w:sz w:val="20"/>
                <w:szCs w:val="20"/>
                <w:lang w:eastAsia="lv-LV"/>
              </w:rPr>
            </w:pPr>
            <w:r w:rsidRPr="00EF55CA">
              <w:rPr>
                <w:rFonts w:eastAsia="Times New Roman" w:cs="Times New Roman"/>
                <w:color w:val="000000"/>
                <w:sz w:val="20"/>
                <w:szCs w:val="20"/>
                <w:lang w:eastAsia="lv-LV"/>
              </w:rPr>
              <w:t>5.Vides aizsardzība un resursu izmantošanas efektivitāte</w:t>
            </w:r>
          </w:p>
        </w:tc>
        <w:tc>
          <w:tcPr>
            <w:tcW w:w="1280" w:type="dxa"/>
            <w:tcBorders>
              <w:top w:val="nil"/>
              <w:left w:val="nil"/>
              <w:bottom w:val="single" w:sz="8" w:space="0" w:color="auto"/>
              <w:right w:val="single" w:sz="8" w:space="0" w:color="auto"/>
            </w:tcBorders>
            <w:shd w:val="clear" w:color="auto" w:fill="auto"/>
            <w:noWrap/>
            <w:vAlign w:val="center"/>
            <w:hideMark/>
          </w:tcPr>
          <w:p w14:paraId="102A01B0"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27 324 058</w:t>
            </w:r>
          </w:p>
        </w:tc>
        <w:tc>
          <w:tcPr>
            <w:tcW w:w="1281" w:type="dxa"/>
            <w:tcBorders>
              <w:top w:val="nil"/>
              <w:left w:val="nil"/>
              <w:bottom w:val="single" w:sz="8" w:space="0" w:color="auto"/>
              <w:right w:val="single" w:sz="8" w:space="0" w:color="auto"/>
            </w:tcBorders>
            <w:shd w:val="clear" w:color="auto" w:fill="auto"/>
            <w:vAlign w:val="center"/>
            <w:hideMark/>
          </w:tcPr>
          <w:p w14:paraId="368F7D87"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11 598 519</w:t>
            </w:r>
          </w:p>
        </w:tc>
        <w:tc>
          <w:tcPr>
            <w:tcW w:w="1281" w:type="dxa"/>
            <w:tcBorders>
              <w:top w:val="nil"/>
              <w:left w:val="nil"/>
              <w:bottom w:val="single" w:sz="8" w:space="0" w:color="auto"/>
              <w:right w:val="single" w:sz="8" w:space="0" w:color="auto"/>
            </w:tcBorders>
            <w:shd w:val="clear" w:color="auto" w:fill="auto"/>
            <w:vAlign w:val="center"/>
            <w:hideMark/>
          </w:tcPr>
          <w:p w14:paraId="39CF6D8C"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826</w:t>
            </w:r>
            <w:r>
              <w:rPr>
                <w:rFonts w:eastAsia="Times New Roman" w:cs="Times New Roman"/>
                <w:color w:val="000000"/>
                <w:sz w:val="20"/>
                <w:szCs w:val="20"/>
                <w:lang w:eastAsia="lv-LV"/>
              </w:rPr>
              <w:t> </w:t>
            </w:r>
            <w:r w:rsidRPr="00EF55CA">
              <w:rPr>
                <w:rFonts w:eastAsia="Times New Roman" w:cs="Times New Roman"/>
                <w:color w:val="000000"/>
                <w:sz w:val="20"/>
                <w:szCs w:val="20"/>
                <w:lang w:eastAsia="lv-LV"/>
              </w:rPr>
              <w:t>135</w:t>
            </w:r>
          </w:p>
        </w:tc>
        <w:tc>
          <w:tcPr>
            <w:tcW w:w="853" w:type="dxa"/>
            <w:tcBorders>
              <w:top w:val="nil"/>
              <w:left w:val="nil"/>
              <w:bottom w:val="single" w:sz="8" w:space="0" w:color="auto"/>
              <w:right w:val="single" w:sz="8" w:space="0" w:color="auto"/>
            </w:tcBorders>
            <w:shd w:val="clear" w:color="auto" w:fill="auto"/>
            <w:noWrap/>
            <w:vAlign w:val="center"/>
            <w:hideMark/>
          </w:tcPr>
          <w:p w14:paraId="65AA74F7" w14:textId="77777777" w:rsidR="00443E64" w:rsidRPr="00EF55CA" w:rsidRDefault="00443E64" w:rsidP="00947BBB">
            <w:pPr>
              <w:rPr>
                <w:rFonts w:eastAsia="Times New Roman" w:cs="Times New Roman"/>
                <w:color w:val="000000"/>
                <w:sz w:val="20"/>
                <w:szCs w:val="20"/>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62336" behindDoc="0" locked="0" layoutInCell="1" allowOverlap="1" wp14:anchorId="68369F37" wp14:editId="1286F38D">
                      <wp:simplePos x="0" y="0"/>
                      <wp:positionH relativeFrom="column">
                        <wp:posOffset>321310</wp:posOffset>
                      </wp:positionH>
                      <wp:positionV relativeFrom="paragraph">
                        <wp:posOffset>-15240</wp:posOffset>
                      </wp:positionV>
                      <wp:extent cx="111125" cy="150495"/>
                      <wp:effectExtent l="19050" t="0" r="41275" b="40005"/>
                      <wp:wrapNone/>
                      <wp:docPr id="8" name="Down Arrow 8"/>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C846B88" id="Down Arrow 8" o:spid="_x0000_s1026" type="#_x0000_t67" style="position:absolute;margin-left:25.3pt;margin-top:-1.2pt;width:8.7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" adj="13625" fillcolor="#ed7d31" strokecolor="#ae5a21" strokeweight="1pt"/>
                  </w:pict>
                </mc:Fallback>
              </mc:AlternateContent>
            </w:r>
            <w:r>
              <w:rPr>
                <w:rFonts w:eastAsia="Times New Roman" w:cs="Times New Roman"/>
                <w:color w:val="000000"/>
                <w:sz w:val="20"/>
                <w:szCs w:val="20"/>
                <w:lang w:eastAsia="lv-LV"/>
              </w:rPr>
              <w:t>7,1</w:t>
            </w:r>
          </w:p>
        </w:tc>
        <w:tc>
          <w:tcPr>
            <w:tcW w:w="1281" w:type="dxa"/>
            <w:tcBorders>
              <w:top w:val="nil"/>
              <w:left w:val="nil"/>
              <w:bottom w:val="single" w:sz="8" w:space="0" w:color="auto"/>
              <w:right w:val="single" w:sz="8" w:space="0" w:color="auto"/>
            </w:tcBorders>
            <w:shd w:val="clear" w:color="auto" w:fill="auto"/>
            <w:vAlign w:val="center"/>
            <w:hideMark/>
          </w:tcPr>
          <w:p w14:paraId="57561127"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-10 772 383</w:t>
            </w:r>
          </w:p>
        </w:tc>
        <w:tc>
          <w:tcPr>
            <w:tcW w:w="854" w:type="dxa"/>
            <w:tcBorders>
              <w:top w:val="nil"/>
              <w:left w:val="nil"/>
              <w:bottom w:val="single" w:sz="8" w:space="0" w:color="auto"/>
              <w:right w:val="single" w:sz="8" w:space="0" w:color="auto"/>
            </w:tcBorders>
            <w:shd w:val="clear" w:color="auto" w:fill="auto"/>
            <w:noWrap/>
            <w:vAlign w:val="center"/>
            <w:hideMark/>
          </w:tcPr>
          <w:p w14:paraId="1BDCF4D0" w14:textId="77777777" w:rsidR="00443E64" w:rsidRPr="00EF55CA" w:rsidRDefault="00443E64" w:rsidP="00535857">
            <w:pPr>
              <w:jc w:val="center"/>
              <w:rPr>
                <w:rFonts w:eastAsia="Times New Roman" w:cs="Times New Roman"/>
                <w:color w:val="000000"/>
                <w:sz w:val="20"/>
                <w:szCs w:val="20"/>
                <w:lang w:eastAsia="lv-LV"/>
              </w:rPr>
            </w:pPr>
            <w:r>
              <w:rPr>
                <w:rFonts w:eastAsia="Times New Roman" w:cs="Times New Roman"/>
                <w:color w:val="000000"/>
                <w:sz w:val="20"/>
                <w:szCs w:val="20"/>
                <w:lang w:eastAsia="lv-LV"/>
              </w:rPr>
              <w:t>14,6</w:t>
            </w:r>
          </w:p>
        </w:tc>
        <w:tc>
          <w:tcPr>
            <w:tcW w:w="1280" w:type="dxa"/>
            <w:tcBorders>
              <w:top w:val="nil"/>
              <w:left w:val="nil"/>
              <w:bottom w:val="single" w:sz="8" w:space="0" w:color="auto"/>
              <w:right w:val="single" w:sz="8" w:space="0" w:color="auto"/>
            </w:tcBorders>
            <w:shd w:val="clear" w:color="auto" w:fill="auto"/>
            <w:vAlign w:val="center"/>
            <w:hideMark/>
          </w:tcPr>
          <w:p w14:paraId="06A89BC5"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-4 608 276</w:t>
            </w:r>
          </w:p>
        </w:tc>
      </w:tr>
      <w:tr w:rsidR="00443E64" w:rsidRPr="00EF55CA" w14:paraId="64D117E5" w14:textId="77777777" w:rsidTr="002F41D0">
        <w:trPr>
          <w:trHeight w:val="330"/>
        </w:trPr>
        <w:tc>
          <w:tcPr>
            <w:tcW w:w="1852" w:type="dxa"/>
            <w:tcBorders>
              <w:top w:val="nil"/>
              <w:left w:val="single" w:sz="8" w:space="0" w:color="auto"/>
              <w:bottom w:val="single" w:sz="8" w:space="0" w:color="auto"/>
              <w:right w:val="single" w:sz="8" w:space="0" w:color="auto"/>
            </w:tcBorders>
            <w:shd w:val="clear" w:color="auto" w:fill="auto"/>
            <w:noWrap/>
            <w:vAlign w:val="center"/>
            <w:hideMark/>
          </w:tcPr>
          <w:p w14:paraId="161C51A6" w14:textId="77777777" w:rsidR="00443E64" w:rsidRPr="00EF55CA" w:rsidRDefault="00443E64" w:rsidP="00947BBB">
            <w:pPr>
              <w:rPr>
                <w:rFonts w:eastAsia="Times New Roman" w:cs="Times New Roman"/>
                <w:color w:val="000000"/>
                <w:sz w:val="20"/>
                <w:szCs w:val="20"/>
                <w:lang w:eastAsia="lv-LV"/>
              </w:rPr>
            </w:pPr>
            <w:r w:rsidRPr="00EF55CA">
              <w:rPr>
                <w:rFonts w:eastAsia="Times New Roman" w:cs="Times New Roman"/>
                <w:color w:val="000000"/>
                <w:sz w:val="20"/>
                <w:szCs w:val="20"/>
                <w:lang w:eastAsia="lv-LV"/>
              </w:rPr>
              <w:t>6.Ilgtspējīga transporta sistēma</w:t>
            </w:r>
          </w:p>
        </w:tc>
        <w:tc>
          <w:tcPr>
            <w:tcW w:w="1280" w:type="dxa"/>
            <w:tcBorders>
              <w:top w:val="nil"/>
              <w:left w:val="nil"/>
              <w:bottom w:val="single" w:sz="8" w:space="0" w:color="auto"/>
              <w:right w:val="single" w:sz="8" w:space="0" w:color="auto"/>
            </w:tcBorders>
            <w:shd w:val="clear" w:color="auto" w:fill="auto"/>
            <w:noWrap/>
            <w:vAlign w:val="center"/>
            <w:hideMark/>
          </w:tcPr>
          <w:p w14:paraId="5774FDB5"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152 749 691</w:t>
            </w:r>
          </w:p>
        </w:tc>
        <w:tc>
          <w:tcPr>
            <w:tcW w:w="1281" w:type="dxa"/>
            <w:tcBorders>
              <w:top w:val="nil"/>
              <w:left w:val="nil"/>
              <w:bottom w:val="single" w:sz="8" w:space="0" w:color="auto"/>
              <w:right w:val="single" w:sz="8" w:space="0" w:color="auto"/>
            </w:tcBorders>
            <w:shd w:val="clear" w:color="auto" w:fill="auto"/>
            <w:vAlign w:val="center"/>
            <w:hideMark/>
          </w:tcPr>
          <w:p w14:paraId="3E35EFA2"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98 296 823</w:t>
            </w:r>
          </w:p>
        </w:tc>
        <w:tc>
          <w:tcPr>
            <w:tcW w:w="1281" w:type="dxa"/>
            <w:tcBorders>
              <w:top w:val="nil"/>
              <w:left w:val="nil"/>
              <w:bottom w:val="single" w:sz="8" w:space="0" w:color="auto"/>
              <w:right w:val="single" w:sz="8" w:space="0" w:color="auto"/>
            </w:tcBorders>
            <w:shd w:val="clear" w:color="auto" w:fill="auto"/>
            <w:vAlign w:val="center"/>
            <w:hideMark/>
          </w:tcPr>
          <w:p w14:paraId="3636DC64"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67 442 754</w:t>
            </w:r>
          </w:p>
        </w:tc>
        <w:tc>
          <w:tcPr>
            <w:tcW w:w="853" w:type="dxa"/>
            <w:tcBorders>
              <w:top w:val="nil"/>
              <w:left w:val="nil"/>
              <w:bottom w:val="single" w:sz="8" w:space="0" w:color="auto"/>
              <w:right w:val="single" w:sz="8" w:space="0" w:color="auto"/>
            </w:tcBorders>
            <w:shd w:val="clear" w:color="auto" w:fill="auto"/>
            <w:noWrap/>
            <w:vAlign w:val="center"/>
            <w:hideMark/>
          </w:tcPr>
          <w:p w14:paraId="71B1A731" w14:textId="77777777" w:rsidR="00443E64" w:rsidRPr="00EF55CA" w:rsidRDefault="00443E64" w:rsidP="00947BBB">
            <w:pPr>
              <w:rPr>
                <w:rFonts w:eastAsia="Times New Roman" w:cs="Times New Roman"/>
                <w:color w:val="000000"/>
                <w:sz w:val="20"/>
                <w:szCs w:val="20"/>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61312" behindDoc="0" locked="0" layoutInCell="1" allowOverlap="1" wp14:anchorId="5E3A1148" wp14:editId="74B5E5AC">
                      <wp:simplePos x="0" y="0"/>
                      <wp:positionH relativeFrom="column">
                        <wp:posOffset>303530</wp:posOffset>
                      </wp:positionH>
                      <wp:positionV relativeFrom="paragraph">
                        <wp:posOffset>-26670</wp:posOffset>
                      </wp:positionV>
                      <wp:extent cx="111125" cy="150495"/>
                      <wp:effectExtent l="19050" t="0" r="41275" b="40005"/>
                      <wp:wrapNone/>
                      <wp:docPr id="6" name="Down Arrow 6"/>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C447CCC" id="Down Arrow 6" o:spid="_x0000_s1026" type="#_x0000_t67" style="position:absolute;margin-left:23.9pt;margin-top:-2.1pt;width:8.7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" adj="13625" fillcolor="#ed7d31" strokecolor="#ae5a21" strokeweight="1pt"/>
                  </w:pict>
                </mc:Fallback>
              </mc:AlternateContent>
            </w:r>
            <w:r>
              <w:rPr>
                <w:rFonts w:eastAsia="Times New Roman" w:cs="Times New Roman"/>
                <w:color w:val="000000"/>
                <w:sz w:val="20"/>
                <w:szCs w:val="20"/>
                <w:lang w:eastAsia="lv-LV"/>
              </w:rPr>
              <w:t>68,6</w:t>
            </w:r>
          </w:p>
        </w:tc>
        <w:tc>
          <w:tcPr>
            <w:tcW w:w="1281" w:type="dxa"/>
            <w:tcBorders>
              <w:top w:val="nil"/>
              <w:left w:val="nil"/>
              <w:bottom w:val="single" w:sz="8" w:space="0" w:color="auto"/>
              <w:right w:val="single" w:sz="8" w:space="0" w:color="auto"/>
            </w:tcBorders>
            <w:shd w:val="clear" w:color="auto" w:fill="auto"/>
            <w:vAlign w:val="center"/>
            <w:hideMark/>
          </w:tcPr>
          <w:p w14:paraId="4767EBDA"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-30 854 069</w:t>
            </w:r>
          </w:p>
        </w:tc>
        <w:tc>
          <w:tcPr>
            <w:tcW w:w="854" w:type="dxa"/>
            <w:tcBorders>
              <w:top w:val="nil"/>
              <w:left w:val="nil"/>
              <w:bottom w:val="single" w:sz="8" w:space="0" w:color="auto"/>
              <w:right w:val="single" w:sz="8" w:space="0" w:color="auto"/>
            </w:tcBorders>
            <w:shd w:val="clear" w:color="auto" w:fill="auto"/>
            <w:noWrap/>
            <w:vAlign w:val="center"/>
            <w:hideMark/>
          </w:tcPr>
          <w:p w14:paraId="78CFD725" w14:textId="77777777" w:rsidR="00443E64" w:rsidRPr="00EF55CA" w:rsidRDefault="00443E64" w:rsidP="00535857">
            <w:pPr>
              <w:jc w:val="center"/>
              <w:rPr>
                <w:rFonts w:eastAsia="Times New Roman" w:cs="Times New Roman"/>
                <w:color w:val="000000"/>
                <w:sz w:val="20"/>
                <w:szCs w:val="20"/>
                <w:lang w:eastAsia="lv-LV"/>
              </w:rPr>
            </w:pPr>
            <w:r>
              <w:rPr>
                <w:rFonts w:eastAsia="Times New Roman" w:cs="Times New Roman"/>
                <w:color w:val="000000"/>
                <w:sz w:val="20"/>
                <w:szCs w:val="20"/>
                <w:lang w:eastAsia="lv-LV"/>
              </w:rPr>
              <w:t>80,9</w:t>
            </w:r>
          </w:p>
        </w:tc>
        <w:tc>
          <w:tcPr>
            <w:tcW w:w="1280" w:type="dxa"/>
            <w:tcBorders>
              <w:top w:val="nil"/>
              <w:left w:val="nil"/>
              <w:bottom w:val="single" w:sz="8" w:space="0" w:color="auto"/>
              <w:right w:val="single" w:sz="8" w:space="0" w:color="auto"/>
            </w:tcBorders>
            <w:shd w:val="clear" w:color="auto" w:fill="auto"/>
            <w:vAlign w:val="center"/>
            <w:hideMark/>
          </w:tcPr>
          <w:p w14:paraId="587D952F"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-15 950 111</w:t>
            </w:r>
          </w:p>
        </w:tc>
      </w:tr>
      <w:tr w:rsidR="00443E64" w:rsidRPr="00EF55CA" w14:paraId="6FC1527A" w14:textId="77777777" w:rsidTr="002F41D0">
        <w:trPr>
          <w:trHeight w:val="330"/>
        </w:trPr>
        <w:tc>
          <w:tcPr>
            <w:tcW w:w="1852" w:type="dxa"/>
            <w:tcBorders>
              <w:top w:val="nil"/>
              <w:left w:val="single" w:sz="8" w:space="0" w:color="auto"/>
              <w:bottom w:val="single" w:sz="8" w:space="0" w:color="auto"/>
              <w:right w:val="single" w:sz="8" w:space="0" w:color="auto"/>
            </w:tcBorders>
            <w:shd w:val="clear" w:color="auto" w:fill="auto"/>
            <w:noWrap/>
            <w:vAlign w:val="center"/>
            <w:hideMark/>
          </w:tcPr>
          <w:p w14:paraId="448E94A4" w14:textId="77777777" w:rsidR="00443E64" w:rsidRPr="00EF55CA" w:rsidRDefault="00443E64" w:rsidP="00947BBB">
            <w:pPr>
              <w:rPr>
                <w:rFonts w:eastAsia="Times New Roman" w:cs="Times New Roman"/>
                <w:color w:val="000000"/>
                <w:sz w:val="20"/>
                <w:szCs w:val="20"/>
                <w:lang w:eastAsia="lv-LV"/>
              </w:rPr>
            </w:pPr>
            <w:r w:rsidRPr="00EF55CA">
              <w:rPr>
                <w:rFonts w:eastAsia="Times New Roman" w:cs="Times New Roman"/>
                <w:color w:val="000000"/>
                <w:sz w:val="20"/>
                <w:szCs w:val="20"/>
                <w:lang w:eastAsia="lv-LV"/>
              </w:rPr>
              <w:t>7.Nodarbinātība un darbaspēka mobilitāte</w:t>
            </w:r>
          </w:p>
        </w:tc>
        <w:tc>
          <w:tcPr>
            <w:tcW w:w="1280" w:type="dxa"/>
            <w:tcBorders>
              <w:top w:val="nil"/>
              <w:left w:val="nil"/>
              <w:bottom w:val="single" w:sz="8" w:space="0" w:color="auto"/>
              <w:right w:val="single" w:sz="8" w:space="0" w:color="auto"/>
            </w:tcBorders>
            <w:shd w:val="clear" w:color="auto" w:fill="auto"/>
            <w:noWrap/>
            <w:vAlign w:val="center"/>
            <w:hideMark/>
          </w:tcPr>
          <w:p w14:paraId="2CE9395C"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31 395 139</w:t>
            </w:r>
          </w:p>
        </w:tc>
        <w:tc>
          <w:tcPr>
            <w:tcW w:w="1281" w:type="dxa"/>
            <w:tcBorders>
              <w:top w:val="nil"/>
              <w:left w:val="nil"/>
              <w:bottom w:val="single" w:sz="8" w:space="0" w:color="auto"/>
              <w:right w:val="single" w:sz="8" w:space="0" w:color="auto"/>
            </w:tcBorders>
            <w:shd w:val="clear" w:color="auto" w:fill="auto"/>
            <w:vAlign w:val="center"/>
            <w:hideMark/>
          </w:tcPr>
          <w:p w14:paraId="0A4A59D7"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27 786 533</w:t>
            </w:r>
          </w:p>
        </w:tc>
        <w:tc>
          <w:tcPr>
            <w:tcW w:w="1281" w:type="dxa"/>
            <w:tcBorders>
              <w:top w:val="nil"/>
              <w:left w:val="nil"/>
              <w:bottom w:val="single" w:sz="8" w:space="0" w:color="auto"/>
              <w:right w:val="single" w:sz="8" w:space="0" w:color="auto"/>
            </w:tcBorders>
            <w:shd w:val="clear" w:color="auto" w:fill="auto"/>
            <w:vAlign w:val="center"/>
            <w:hideMark/>
          </w:tcPr>
          <w:p w14:paraId="6165314B"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31 834 467</w:t>
            </w:r>
          </w:p>
        </w:tc>
        <w:tc>
          <w:tcPr>
            <w:tcW w:w="853" w:type="dxa"/>
            <w:tcBorders>
              <w:top w:val="nil"/>
              <w:left w:val="nil"/>
              <w:bottom w:val="single" w:sz="8" w:space="0" w:color="auto"/>
              <w:right w:val="single" w:sz="8" w:space="0" w:color="auto"/>
            </w:tcBorders>
            <w:shd w:val="clear" w:color="auto" w:fill="auto"/>
            <w:noWrap/>
            <w:vAlign w:val="center"/>
            <w:hideMark/>
          </w:tcPr>
          <w:p w14:paraId="02210030" w14:textId="77777777" w:rsidR="00443E64" w:rsidRPr="00EF55CA" w:rsidRDefault="00443E64" w:rsidP="00947BBB">
            <w:pPr>
              <w:rPr>
                <w:rFonts w:eastAsia="Times New Roman" w:cs="Times New Roman"/>
                <w:color w:val="000000"/>
                <w:sz w:val="20"/>
                <w:szCs w:val="20"/>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63360" behindDoc="0" locked="0" layoutInCell="1" allowOverlap="1" wp14:anchorId="0138F49E" wp14:editId="010D1211">
                      <wp:simplePos x="0" y="0"/>
                      <wp:positionH relativeFrom="column">
                        <wp:posOffset>313055</wp:posOffset>
                      </wp:positionH>
                      <wp:positionV relativeFrom="paragraph">
                        <wp:posOffset>-34925</wp:posOffset>
                      </wp:positionV>
                      <wp:extent cx="102870" cy="158750"/>
                      <wp:effectExtent l="19050" t="19050" r="30480" b="12700"/>
                      <wp:wrapNone/>
                      <wp:docPr id="9" name="Up Arrow 9"/>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1C0712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24.65pt;margin-top:-2.75pt;width:8.1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" adj="7020" fillcolor="#70ad47" strokecolor="#507e32" strokeweight="1pt"/>
                  </w:pict>
                </mc:Fallback>
              </mc:AlternateContent>
            </w:r>
            <w:r>
              <w:rPr>
                <w:rFonts w:eastAsia="Times New Roman" w:cs="Times New Roman"/>
                <w:color w:val="000000"/>
                <w:sz w:val="20"/>
                <w:szCs w:val="20"/>
                <w:lang w:eastAsia="lv-LV"/>
              </w:rPr>
              <w:t>114,6</w:t>
            </w:r>
          </w:p>
        </w:tc>
        <w:tc>
          <w:tcPr>
            <w:tcW w:w="1281" w:type="dxa"/>
            <w:tcBorders>
              <w:top w:val="nil"/>
              <w:left w:val="nil"/>
              <w:bottom w:val="single" w:sz="8" w:space="0" w:color="auto"/>
              <w:right w:val="single" w:sz="8" w:space="0" w:color="auto"/>
            </w:tcBorders>
            <w:shd w:val="clear" w:color="auto" w:fill="auto"/>
            <w:vAlign w:val="center"/>
            <w:hideMark/>
          </w:tcPr>
          <w:p w14:paraId="4710E12B"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4 047 934</w:t>
            </w:r>
          </w:p>
        </w:tc>
        <w:tc>
          <w:tcPr>
            <w:tcW w:w="854" w:type="dxa"/>
            <w:tcBorders>
              <w:top w:val="nil"/>
              <w:left w:val="nil"/>
              <w:bottom w:val="single" w:sz="8" w:space="0" w:color="auto"/>
              <w:right w:val="single" w:sz="8" w:space="0" w:color="auto"/>
            </w:tcBorders>
            <w:shd w:val="clear" w:color="auto" w:fill="auto"/>
            <w:noWrap/>
            <w:vAlign w:val="center"/>
            <w:hideMark/>
          </w:tcPr>
          <w:p w14:paraId="6D9AFD25" w14:textId="77777777" w:rsidR="00443E64" w:rsidRPr="00EF55CA" w:rsidRDefault="00443E64" w:rsidP="00535857">
            <w:pPr>
              <w:jc w:val="center"/>
              <w:rPr>
                <w:rFonts w:eastAsia="Times New Roman" w:cs="Times New Roman"/>
                <w:color w:val="000000"/>
                <w:sz w:val="20"/>
                <w:szCs w:val="20"/>
                <w:lang w:eastAsia="lv-LV"/>
              </w:rPr>
            </w:pPr>
            <w:r>
              <w:rPr>
                <w:rFonts w:eastAsia="Times New Roman" w:cs="Times New Roman"/>
                <w:color w:val="000000"/>
                <w:sz w:val="20"/>
                <w:szCs w:val="20"/>
                <w:lang w:eastAsia="lv-LV"/>
              </w:rPr>
              <w:t>113,1</w:t>
            </w:r>
          </w:p>
        </w:tc>
        <w:tc>
          <w:tcPr>
            <w:tcW w:w="1280" w:type="dxa"/>
            <w:tcBorders>
              <w:top w:val="nil"/>
              <w:left w:val="nil"/>
              <w:bottom w:val="single" w:sz="8" w:space="0" w:color="auto"/>
              <w:right w:val="single" w:sz="8" w:space="0" w:color="auto"/>
            </w:tcBorders>
            <w:shd w:val="clear" w:color="auto" w:fill="auto"/>
            <w:vAlign w:val="center"/>
            <w:hideMark/>
          </w:tcPr>
          <w:p w14:paraId="6DEE7311"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3 142 177</w:t>
            </w:r>
          </w:p>
        </w:tc>
      </w:tr>
      <w:tr w:rsidR="00443E64" w:rsidRPr="00EF55CA" w14:paraId="750FA00D" w14:textId="77777777" w:rsidTr="002F41D0">
        <w:trPr>
          <w:trHeight w:val="330"/>
        </w:trPr>
        <w:tc>
          <w:tcPr>
            <w:tcW w:w="1852" w:type="dxa"/>
            <w:tcBorders>
              <w:top w:val="nil"/>
              <w:left w:val="single" w:sz="8" w:space="0" w:color="auto"/>
              <w:bottom w:val="single" w:sz="8" w:space="0" w:color="auto"/>
              <w:right w:val="single" w:sz="8" w:space="0" w:color="auto"/>
            </w:tcBorders>
            <w:shd w:val="clear" w:color="auto" w:fill="auto"/>
            <w:noWrap/>
            <w:vAlign w:val="center"/>
            <w:hideMark/>
          </w:tcPr>
          <w:p w14:paraId="66860389" w14:textId="77777777" w:rsidR="00443E64" w:rsidRPr="00EF55CA" w:rsidRDefault="00443E64" w:rsidP="00947BBB">
            <w:pPr>
              <w:rPr>
                <w:rFonts w:eastAsia="Times New Roman" w:cs="Times New Roman"/>
                <w:color w:val="000000"/>
                <w:sz w:val="20"/>
                <w:szCs w:val="20"/>
                <w:lang w:eastAsia="lv-LV"/>
              </w:rPr>
            </w:pPr>
            <w:r w:rsidRPr="00EF55CA">
              <w:rPr>
                <w:rFonts w:eastAsia="Times New Roman" w:cs="Times New Roman"/>
                <w:color w:val="000000"/>
                <w:sz w:val="20"/>
                <w:szCs w:val="20"/>
                <w:lang w:eastAsia="lv-LV"/>
              </w:rPr>
              <w:t>8.Izglītība, prasmes un mūžizglītība</w:t>
            </w:r>
          </w:p>
        </w:tc>
        <w:tc>
          <w:tcPr>
            <w:tcW w:w="1280" w:type="dxa"/>
            <w:tcBorders>
              <w:top w:val="nil"/>
              <w:left w:val="nil"/>
              <w:bottom w:val="single" w:sz="8" w:space="0" w:color="auto"/>
              <w:right w:val="single" w:sz="8" w:space="0" w:color="auto"/>
            </w:tcBorders>
            <w:shd w:val="clear" w:color="auto" w:fill="auto"/>
            <w:noWrap/>
            <w:vAlign w:val="center"/>
            <w:hideMark/>
          </w:tcPr>
          <w:p w14:paraId="3E428A4B"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5 048 340</w:t>
            </w:r>
          </w:p>
        </w:tc>
        <w:tc>
          <w:tcPr>
            <w:tcW w:w="1281" w:type="dxa"/>
            <w:tcBorders>
              <w:top w:val="nil"/>
              <w:left w:val="nil"/>
              <w:bottom w:val="single" w:sz="8" w:space="0" w:color="auto"/>
              <w:right w:val="single" w:sz="8" w:space="0" w:color="auto"/>
            </w:tcBorders>
            <w:shd w:val="clear" w:color="auto" w:fill="auto"/>
            <w:vAlign w:val="center"/>
            <w:hideMark/>
          </w:tcPr>
          <w:p w14:paraId="19C02BD3"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872 342</w:t>
            </w:r>
          </w:p>
        </w:tc>
        <w:tc>
          <w:tcPr>
            <w:tcW w:w="1281" w:type="dxa"/>
            <w:tcBorders>
              <w:top w:val="nil"/>
              <w:left w:val="nil"/>
              <w:bottom w:val="single" w:sz="8" w:space="0" w:color="auto"/>
              <w:right w:val="single" w:sz="8" w:space="0" w:color="auto"/>
            </w:tcBorders>
            <w:shd w:val="clear" w:color="auto" w:fill="auto"/>
            <w:vAlign w:val="center"/>
            <w:hideMark/>
          </w:tcPr>
          <w:p w14:paraId="7C5E098D"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262 841</w:t>
            </w:r>
          </w:p>
        </w:tc>
        <w:tc>
          <w:tcPr>
            <w:tcW w:w="853" w:type="dxa"/>
            <w:tcBorders>
              <w:top w:val="nil"/>
              <w:left w:val="nil"/>
              <w:bottom w:val="single" w:sz="8" w:space="0" w:color="auto"/>
              <w:right w:val="single" w:sz="8" w:space="0" w:color="auto"/>
            </w:tcBorders>
            <w:shd w:val="clear" w:color="auto" w:fill="auto"/>
            <w:noWrap/>
            <w:vAlign w:val="center"/>
            <w:hideMark/>
          </w:tcPr>
          <w:p w14:paraId="3EA16680" w14:textId="77777777" w:rsidR="00443E64" w:rsidRPr="00EF55CA" w:rsidRDefault="00443E64" w:rsidP="00947BBB">
            <w:pPr>
              <w:rPr>
                <w:rFonts w:eastAsia="Times New Roman" w:cs="Times New Roman"/>
                <w:color w:val="000000"/>
                <w:sz w:val="20"/>
                <w:szCs w:val="20"/>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64384" behindDoc="0" locked="0" layoutInCell="1" allowOverlap="1" wp14:anchorId="6D7AC049" wp14:editId="192F9902">
                      <wp:simplePos x="0" y="0"/>
                      <wp:positionH relativeFrom="column">
                        <wp:posOffset>311150</wp:posOffset>
                      </wp:positionH>
                      <wp:positionV relativeFrom="paragraph">
                        <wp:posOffset>-26670</wp:posOffset>
                      </wp:positionV>
                      <wp:extent cx="111125" cy="150495"/>
                      <wp:effectExtent l="19050" t="0" r="41275" b="40005"/>
                      <wp:wrapNone/>
                      <wp:docPr id="10" name="Down Arrow 10"/>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1F2962C" id="Down Arrow 10" o:spid="_x0000_s1026" type="#_x0000_t67" style="position:absolute;margin-left:24.5pt;margin-top:-2.1pt;width:8.7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" adj="13625" fillcolor="#ed7d31" strokecolor="#ae5a21" strokeweight="1pt"/>
                  </w:pict>
                </mc:Fallback>
              </mc:AlternateContent>
            </w:r>
            <w:r>
              <w:rPr>
                <w:rFonts w:eastAsia="Times New Roman" w:cs="Times New Roman"/>
                <w:color w:val="000000"/>
                <w:sz w:val="20"/>
                <w:szCs w:val="20"/>
                <w:lang w:eastAsia="lv-LV"/>
              </w:rPr>
              <w:t>30,1</w:t>
            </w:r>
          </w:p>
        </w:tc>
        <w:tc>
          <w:tcPr>
            <w:tcW w:w="1281" w:type="dxa"/>
            <w:tcBorders>
              <w:top w:val="nil"/>
              <w:left w:val="nil"/>
              <w:bottom w:val="single" w:sz="8" w:space="0" w:color="auto"/>
              <w:right w:val="single" w:sz="8" w:space="0" w:color="auto"/>
            </w:tcBorders>
            <w:shd w:val="clear" w:color="auto" w:fill="auto"/>
            <w:vAlign w:val="center"/>
            <w:hideMark/>
          </w:tcPr>
          <w:p w14:paraId="50E61524"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-609 501</w:t>
            </w:r>
          </w:p>
        </w:tc>
        <w:tc>
          <w:tcPr>
            <w:tcW w:w="854" w:type="dxa"/>
            <w:tcBorders>
              <w:top w:val="nil"/>
              <w:left w:val="nil"/>
              <w:bottom w:val="single" w:sz="8" w:space="0" w:color="auto"/>
              <w:right w:val="single" w:sz="8" w:space="0" w:color="auto"/>
            </w:tcBorders>
            <w:shd w:val="clear" w:color="auto" w:fill="auto"/>
            <w:noWrap/>
            <w:vAlign w:val="center"/>
            <w:hideMark/>
          </w:tcPr>
          <w:p w14:paraId="25C5DB59" w14:textId="77777777" w:rsidR="00443E64" w:rsidRPr="00EF55CA" w:rsidRDefault="00443E64" w:rsidP="00535857">
            <w:pPr>
              <w:jc w:val="center"/>
              <w:rPr>
                <w:rFonts w:eastAsia="Times New Roman" w:cs="Times New Roman"/>
                <w:color w:val="000000"/>
                <w:sz w:val="20"/>
                <w:szCs w:val="20"/>
                <w:lang w:eastAsia="lv-LV"/>
              </w:rPr>
            </w:pPr>
            <w:r>
              <w:rPr>
                <w:rFonts w:eastAsia="Times New Roman" w:cs="Times New Roman"/>
                <w:color w:val="000000"/>
                <w:sz w:val="20"/>
                <w:szCs w:val="20"/>
                <w:lang w:eastAsia="lv-LV"/>
              </w:rPr>
              <w:t>56,1</w:t>
            </w:r>
          </w:p>
        </w:tc>
        <w:tc>
          <w:tcPr>
            <w:tcW w:w="1280" w:type="dxa"/>
            <w:tcBorders>
              <w:top w:val="nil"/>
              <w:left w:val="nil"/>
              <w:bottom w:val="single" w:sz="8" w:space="0" w:color="auto"/>
              <w:right w:val="single" w:sz="8" w:space="0" w:color="auto"/>
            </w:tcBorders>
            <w:shd w:val="clear" w:color="auto" w:fill="auto"/>
            <w:vAlign w:val="center"/>
            <w:hideMark/>
          </w:tcPr>
          <w:p w14:paraId="327CB3EF"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-178 627</w:t>
            </w:r>
          </w:p>
        </w:tc>
      </w:tr>
      <w:tr w:rsidR="00443E64" w:rsidRPr="00EF55CA" w14:paraId="07D900F3" w14:textId="77777777" w:rsidTr="002F41D0">
        <w:trPr>
          <w:trHeight w:val="330"/>
        </w:trPr>
        <w:tc>
          <w:tcPr>
            <w:tcW w:w="1852" w:type="dxa"/>
            <w:tcBorders>
              <w:top w:val="nil"/>
              <w:left w:val="single" w:sz="8" w:space="0" w:color="auto"/>
              <w:bottom w:val="single" w:sz="8" w:space="0" w:color="auto"/>
              <w:right w:val="single" w:sz="8" w:space="0" w:color="auto"/>
            </w:tcBorders>
            <w:shd w:val="clear" w:color="auto" w:fill="auto"/>
            <w:noWrap/>
            <w:vAlign w:val="center"/>
            <w:hideMark/>
          </w:tcPr>
          <w:p w14:paraId="737C16D2" w14:textId="77777777" w:rsidR="00443E64" w:rsidRPr="00EF55CA" w:rsidRDefault="00443E64" w:rsidP="00947BBB">
            <w:pPr>
              <w:rPr>
                <w:rFonts w:eastAsia="Times New Roman" w:cs="Times New Roman"/>
                <w:color w:val="000000"/>
                <w:sz w:val="20"/>
                <w:szCs w:val="20"/>
                <w:lang w:eastAsia="lv-LV"/>
              </w:rPr>
            </w:pPr>
            <w:r w:rsidRPr="00EF55CA">
              <w:rPr>
                <w:rFonts w:eastAsia="Times New Roman" w:cs="Times New Roman"/>
                <w:color w:val="000000"/>
                <w:sz w:val="20"/>
                <w:szCs w:val="20"/>
                <w:lang w:eastAsia="lv-LV"/>
              </w:rPr>
              <w:t>9.Sociālā iekļaušana un nabadzības apkarošana</w:t>
            </w:r>
          </w:p>
        </w:tc>
        <w:tc>
          <w:tcPr>
            <w:tcW w:w="1280" w:type="dxa"/>
            <w:tcBorders>
              <w:top w:val="nil"/>
              <w:left w:val="nil"/>
              <w:bottom w:val="single" w:sz="8" w:space="0" w:color="auto"/>
              <w:right w:val="single" w:sz="8" w:space="0" w:color="auto"/>
            </w:tcBorders>
            <w:shd w:val="clear" w:color="auto" w:fill="auto"/>
            <w:noWrap/>
            <w:vAlign w:val="center"/>
            <w:hideMark/>
          </w:tcPr>
          <w:p w14:paraId="7A84591E"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16 054 669</w:t>
            </w:r>
          </w:p>
        </w:tc>
        <w:tc>
          <w:tcPr>
            <w:tcW w:w="1281" w:type="dxa"/>
            <w:tcBorders>
              <w:top w:val="nil"/>
              <w:left w:val="nil"/>
              <w:bottom w:val="single" w:sz="8" w:space="0" w:color="auto"/>
              <w:right w:val="single" w:sz="8" w:space="0" w:color="auto"/>
            </w:tcBorders>
            <w:shd w:val="clear" w:color="auto" w:fill="auto"/>
            <w:vAlign w:val="center"/>
            <w:hideMark/>
          </w:tcPr>
          <w:p w14:paraId="425BC437"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9 030 537</w:t>
            </w:r>
          </w:p>
        </w:tc>
        <w:tc>
          <w:tcPr>
            <w:tcW w:w="1281" w:type="dxa"/>
            <w:tcBorders>
              <w:top w:val="nil"/>
              <w:left w:val="nil"/>
              <w:bottom w:val="single" w:sz="8" w:space="0" w:color="auto"/>
              <w:right w:val="single" w:sz="8" w:space="0" w:color="auto"/>
            </w:tcBorders>
            <w:shd w:val="clear" w:color="auto" w:fill="auto"/>
            <w:vAlign w:val="center"/>
            <w:hideMark/>
          </w:tcPr>
          <w:p w14:paraId="5583569C"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3 691 813</w:t>
            </w:r>
          </w:p>
        </w:tc>
        <w:tc>
          <w:tcPr>
            <w:tcW w:w="853" w:type="dxa"/>
            <w:tcBorders>
              <w:top w:val="nil"/>
              <w:left w:val="nil"/>
              <w:bottom w:val="single" w:sz="8" w:space="0" w:color="auto"/>
              <w:right w:val="single" w:sz="8" w:space="0" w:color="auto"/>
            </w:tcBorders>
            <w:shd w:val="clear" w:color="auto" w:fill="auto"/>
            <w:noWrap/>
            <w:vAlign w:val="center"/>
            <w:hideMark/>
          </w:tcPr>
          <w:p w14:paraId="2A9E7657" w14:textId="77777777" w:rsidR="00443E64" w:rsidRPr="00EF55CA" w:rsidRDefault="00443E64" w:rsidP="00947BBB">
            <w:pPr>
              <w:rPr>
                <w:rFonts w:eastAsia="Times New Roman" w:cs="Times New Roman"/>
                <w:color w:val="000000"/>
                <w:sz w:val="20"/>
                <w:szCs w:val="20"/>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65408" behindDoc="0" locked="0" layoutInCell="1" allowOverlap="1" wp14:anchorId="520D9CD8" wp14:editId="6F46F05E">
                      <wp:simplePos x="0" y="0"/>
                      <wp:positionH relativeFrom="column">
                        <wp:posOffset>319405</wp:posOffset>
                      </wp:positionH>
                      <wp:positionV relativeFrom="paragraph">
                        <wp:posOffset>-31750</wp:posOffset>
                      </wp:positionV>
                      <wp:extent cx="102870" cy="158750"/>
                      <wp:effectExtent l="19050" t="19050" r="30480" b="12700"/>
                      <wp:wrapNone/>
                      <wp:docPr id="12" name="Up Arrow 12"/>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E731877" id="Up Arrow 12" o:spid="_x0000_s1026" type="#_x0000_t68" style="position:absolute;margin-left:25.15pt;margin-top:-2.5pt;width:8.1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" adj="7020" fillcolor="#70ad47" strokecolor="#507e32" strokeweight="1pt"/>
                  </w:pict>
                </mc:Fallback>
              </mc:AlternateContent>
            </w:r>
            <w:r>
              <w:rPr>
                <w:rFonts w:eastAsia="Times New Roman" w:cs="Times New Roman"/>
                <w:color w:val="000000"/>
                <w:sz w:val="20"/>
                <w:szCs w:val="20"/>
                <w:lang w:eastAsia="lv-LV"/>
              </w:rPr>
              <w:t>40,9</w:t>
            </w:r>
          </w:p>
        </w:tc>
        <w:tc>
          <w:tcPr>
            <w:tcW w:w="1281" w:type="dxa"/>
            <w:tcBorders>
              <w:top w:val="nil"/>
              <w:left w:val="nil"/>
              <w:bottom w:val="single" w:sz="8" w:space="0" w:color="auto"/>
              <w:right w:val="single" w:sz="8" w:space="0" w:color="auto"/>
            </w:tcBorders>
            <w:shd w:val="clear" w:color="auto" w:fill="auto"/>
            <w:vAlign w:val="center"/>
            <w:hideMark/>
          </w:tcPr>
          <w:p w14:paraId="1C2EAF04"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-5 338 724</w:t>
            </w:r>
          </w:p>
        </w:tc>
        <w:tc>
          <w:tcPr>
            <w:tcW w:w="854" w:type="dxa"/>
            <w:tcBorders>
              <w:top w:val="nil"/>
              <w:left w:val="nil"/>
              <w:bottom w:val="single" w:sz="8" w:space="0" w:color="auto"/>
              <w:right w:val="single" w:sz="8" w:space="0" w:color="auto"/>
            </w:tcBorders>
            <w:shd w:val="clear" w:color="auto" w:fill="auto"/>
            <w:noWrap/>
            <w:vAlign w:val="center"/>
            <w:hideMark/>
          </w:tcPr>
          <w:p w14:paraId="45FCE3E6" w14:textId="77777777" w:rsidR="00443E64" w:rsidRPr="00EF55CA" w:rsidRDefault="00443E64" w:rsidP="00535857">
            <w:pPr>
              <w:jc w:val="center"/>
              <w:rPr>
                <w:rFonts w:eastAsia="Times New Roman" w:cs="Times New Roman"/>
                <w:color w:val="000000"/>
                <w:sz w:val="20"/>
                <w:szCs w:val="20"/>
                <w:lang w:eastAsia="lv-LV"/>
              </w:rPr>
            </w:pPr>
            <w:r>
              <w:rPr>
                <w:rFonts w:eastAsia="Times New Roman" w:cs="Times New Roman"/>
                <w:color w:val="000000"/>
                <w:sz w:val="20"/>
                <w:szCs w:val="20"/>
                <w:lang w:eastAsia="lv-LV"/>
              </w:rPr>
              <w:t>29,9</w:t>
            </w:r>
          </w:p>
        </w:tc>
        <w:tc>
          <w:tcPr>
            <w:tcW w:w="1280" w:type="dxa"/>
            <w:tcBorders>
              <w:top w:val="nil"/>
              <w:left w:val="nil"/>
              <w:bottom w:val="single" w:sz="8" w:space="0" w:color="auto"/>
              <w:right w:val="single" w:sz="8" w:space="0" w:color="auto"/>
            </w:tcBorders>
            <w:shd w:val="clear" w:color="auto" w:fill="auto"/>
            <w:vAlign w:val="center"/>
            <w:hideMark/>
          </w:tcPr>
          <w:p w14:paraId="11BFD848"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-5 442 331</w:t>
            </w:r>
          </w:p>
        </w:tc>
      </w:tr>
      <w:tr w:rsidR="00443E64" w:rsidRPr="00EF55CA" w14:paraId="65900F81" w14:textId="77777777" w:rsidTr="002F41D0">
        <w:trPr>
          <w:trHeight w:val="330"/>
        </w:trPr>
        <w:tc>
          <w:tcPr>
            <w:tcW w:w="1852" w:type="dxa"/>
            <w:tcBorders>
              <w:top w:val="nil"/>
              <w:left w:val="single" w:sz="8" w:space="0" w:color="auto"/>
              <w:bottom w:val="single" w:sz="8" w:space="0" w:color="auto"/>
              <w:right w:val="single" w:sz="8" w:space="0" w:color="auto"/>
            </w:tcBorders>
            <w:shd w:val="clear" w:color="auto" w:fill="auto"/>
            <w:noWrap/>
            <w:vAlign w:val="center"/>
            <w:hideMark/>
          </w:tcPr>
          <w:p w14:paraId="2B0625FF" w14:textId="77777777" w:rsidR="00443E64" w:rsidRPr="00EF55CA" w:rsidRDefault="00443E64" w:rsidP="00947BBB">
            <w:pPr>
              <w:rPr>
                <w:rFonts w:eastAsia="Times New Roman" w:cs="Times New Roman"/>
                <w:color w:val="000000"/>
                <w:sz w:val="20"/>
                <w:szCs w:val="20"/>
                <w:lang w:eastAsia="lv-LV"/>
              </w:rPr>
            </w:pPr>
            <w:r w:rsidRPr="00EF55CA">
              <w:rPr>
                <w:rFonts w:eastAsia="Times New Roman" w:cs="Times New Roman"/>
                <w:color w:val="000000"/>
                <w:sz w:val="20"/>
                <w:szCs w:val="20"/>
                <w:lang w:eastAsia="lv-LV"/>
              </w:rPr>
              <w:t>10.; 11.; 12. Tehniskā palīdzība</w:t>
            </w:r>
          </w:p>
        </w:tc>
        <w:tc>
          <w:tcPr>
            <w:tcW w:w="1280" w:type="dxa"/>
            <w:tcBorders>
              <w:top w:val="nil"/>
              <w:left w:val="nil"/>
              <w:bottom w:val="single" w:sz="8" w:space="0" w:color="auto"/>
              <w:right w:val="single" w:sz="8" w:space="0" w:color="auto"/>
            </w:tcBorders>
            <w:shd w:val="clear" w:color="auto" w:fill="auto"/>
            <w:noWrap/>
            <w:vAlign w:val="center"/>
            <w:hideMark/>
          </w:tcPr>
          <w:p w14:paraId="25EC7890"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12 463 361</w:t>
            </w:r>
          </w:p>
        </w:tc>
        <w:tc>
          <w:tcPr>
            <w:tcW w:w="1281" w:type="dxa"/>
            <w:tcBorders>
              <w:top w:val="nil"/>
              <w:left w:val="nil"/>
              <w:bottom w:val="single" w:sz="8" w:space="0" w:color="auto"/>
              <w:right w:val="single" w:sz="8" w:space="0" w:color="auto"/>
            </w:tcBorders>
            <w:shd w:val="clear" w:color="auto" w:fill="auto"/>
            <w:vAlign w:val="center"/>
            <w:hideMark/>
          </w:tcPr>
          <w:p w14:paraId="7BD9E661"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8 308 908</w:t>
            </w:r>
          </w:p>
        </w:tc>
        <w:tc>
          <w:tcPr>
            <w:tcW w:w="1281" w:type="dxa"/>
            <w:tcBorders>
              <w:top w:val="nil"/>
              <w:left w:val="nil"/>
              <w:bottom w:val="single" w:sz="8" w:space="0" w:color="auto"/>
              <w:right w:val="single" w:sz="8" w:space="0" w:color="auto"/>
            </w:tcBorders>
            <w:shd w:val="clear" w:color="auto" w:fill="auto"/>
            <w:vAlign w:val="center"/>
            <w:hideMark/>
          </w:tcPr>
          <w:p w14:paraId="71680EAC"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5 515 709</w:t>
            </w:r>
          </w:p>
        </w:tc>
        <w:tc>
          <w:tcPr>
            <w:tcW w:w="853" w:type="dxa"/>
            <w:tcBorders>
              <w:top w:val="nil"/>
              <w:left w:val="nil"/>
              <w:bottom w:val="single" w:sz="8" w:space="0" w:color="auto"/>
              <w:right w:val="single" w:sz="8" w:space="0" w:color="auto"/>
            </w:tcBorders>
            <w:shd w:val="clear" w:color="auto" w:fill="auto"/>
            <w:noWrap/>
            <w:vAlign w:val="center"/>
            <w:hideMark/>
          </w:tcPr>
          <w:p w14:paraId="4007CB01" w14:textId="08FC1B8C" w:rsidR="00443E64" w:rsidRPr="00EF55CA" w:rsidRDefault="00443E64" w:rsidP="00947BBB">
            <w:pPr>
              <w:rPr>
                <w:rFonts w:eastAsia="Times New Roman" w:cs="Times New Roman"/>
                <w:color w:val="000000"/>
                <w:sz w:val="20"/>
                <w:szCs w:val="20"/>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66432" behindDoc="0" locked="0" layoutInCell="1" allowOverlap="1" wp14:anchorId="0F80478E" wp14:editId="470D54CE">
                      <wp:simplePos x="0" y="0"/>
                      <wp:positionH relativeFrom="column">
                        <wp:posOffset>320675</wp:posOffset>
                      </wp:positionH>
                      <wp:positionV relativeFrom="paragraph">
                        <wp:posOffset>-14605</wp:posOffset>
                      </wp:positionV>
                      <wp:extent cx="102870" cy="158750"/>
                      <wp:effectExtent l="19050" t="19050" r="30480" b="12700"/>
                      <wp:wrapNone/>
                      <wp:docPr id="13" name="Up Arrow 13"/>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6A8183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25.25pt;margin-top:-1.15pt;width:8.1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" adj="7020" fillcolor="#70ad47" strokecolor="#507e32" strokeweight="1pt"/>
                  </w:pict>
                </mc:Fallback>
              </mc:AlternateContent>
            </w:r>
            <w:r>
              <w:rPr>
                <w:rFonts w:eastAsia="Times New Roman" w:cs="Times New Roman"/>
                <w:color w:val="000000"/>
                <w:sz w:val="20"/>
                <w:szCs w:val="20"/>
                <w:lang w:eastAsia="lv-LV"/>
              </w:rPr>
              <w:t>66,4</w:t>
            </w:r>
          </w:p>
        </w:tc>
        <w:tc>
          <w:tcPr>
            <w:tcW w:w="1281" w:type="dxa"/>
            <w:tcBorders>
              <w:top w:val="nil"/>
              <w:left w:val="nil"/>
              <w:bottom w:val="single" w:sz="8" w:space="0" w:color="auto"/>
              <w:right w:val="single" w:sz="8" w:space="0" w:color="auto"/>
            </w:tcBorders>
            <w:shd w:val="clear" w:color="auto" w:fill="auto"/>
            <w:vAlign w:val="center"/>
            <w:hideMark/>
          </w:tcPr>
          <w:p w14:paraId="0603BC36"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-2 793 199</w:t>
            </w:r>
          </w:p>
        </w:tc>
        <w:tc>
          <w:tcPr>
            <w:tcW w:w="854" w:type="dxa"/>
            <w:tcBorders>
              <w:top w:val="nil"/>
              <w:left w:val="nil"/>
              <w:bottom w:val="single" w:sz="8" w:space="0" w:color="auto"/>
              <w:right w:val="single" w:sz="8" w:space="0" w:color="auto"/>
            </w:tcBorders>
            <w:shd w:val="clear" w:color="auto" w:fill="auto"/>
            <w:noWrap/>
            <w:vAlign w:val="center"/>
            <w:hideMark/>
          </w:tcPr>
          <w:p w14:paraId="585804BC" w14:textId="77777777" w:rsidR="00443E64" w:rsidRPr="00EF55CA" w:rsidRDefault="00443E64" w:rsidP="00535857">
            <w:pPr>
              <w:jc w:val="center"/>
              <w:rPr>
                <w:rFonts w:eastAsia="Times New Roman" w:cs="Times New Roman"/>
                <w:color w:val="000000"/>
                <w:sz w:val="20"/>
                <w:szCs w:val="20"/>
                <w:lang w:eastAsia="lv-LV"/>
              </w:rPr>
            </w:pPr>
            <w:r>
              <w:rPr>
                <w:rFonts w:eastAsia="Times New Roman" w:cs="Times New Roman"/>
                <w:color w:val="000000"/>
                <w:sz w:val="20"/>
                <w:szCs w:val="20"/>
                <w:lang w:eastAsia="lv-LV"/>
              </w:rPr>
              <w:t>54,8</w:t>
            </w:r>
          </w:p>
        </w:tc>
        <w:tc>
          <w:tcPr>
            <w:tcW w:w="1280" w:type="dxa"/>
            <w:tcBorders>
              <w:top w:val="nil"/>
              <w:left w:val="nil"/>
              <w:bottom w:val="single" w:sz="8" w:space="0" w:color="auto"/>
              <w:right w:val="single" w:sz="8" w:space="0" w:color="auto"/>
            </w:tcBorders>
            <w:shd w:val="clear" w:color="auto" w:fill="auto"/>
            <w:vAlign w:val="center"/>
            <w:hideMark/>
          </w:tcPr>
          <w:p w14:paraId="43BA8513"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-2 403 849</w:t>
            </w:r>
          </w:p>
        </w:tc>
      </w:tr>
      <w:tr w:rsidR="00443E64" w:rsidRPr="00EF55CA" w14:paraId="0B223F0A" w14:textId="77777777" w:rsidTr="002F41D0">
        <w:trPr>
          <w:trHeight w:val="330"/>
        </w:trPr>
        <w:tc>
          <w:tcPr>
            <w:tcW w:w="1852" w:type="dxa"/>
            <w:tcBorders>
              <w:top w:val="nil"/>
              <w:left w:val="single" w:sz="8" w:space="0" w:color="auto"/>
              <w:bottom w:val="single" w:sz="8" w:space="0" w:color="auto"/>
              <w:right w:val="single" w:sz="8" w:space="0" w:color="auto"/>
            </w:tcBorders>
            <w:shd w:val="clear" w:color="auto" w:fill="auto"/>
            <w:noWrap/>
            <w:vAlign w:val="center"/>
            <w:hideMark/>
          </w:tcPr>
          <w:p w14:paraId="62AFAD64" w14:textId="3A7233D6" w:rsidR="00443E64" w:rsidRPr="00EF55CA" w:rsidRDefault="007550A5" w:rsidP="00947BBB">
            <w:pPr>
              <w:rPr>
                <w:rFonts w:eastAsia="Times New Roman" w:cs="Times New Roman"/>
                <w:b/>
                <w:bCs/>
                <w:color w:val="000000"/>
                <w:sz w:val="20"/>
                <w:szCs w:val="20"/>
                <w:lang w:eastAsia="lv-LV"/>
              </w:rPr>
            </w:pPr>
            <w:r>
              <w:rPr>
                <w:rFonts w:eastAsia="Times New Roman" w:cs="Times New Roman"/>
                <w:b/>
                <w:bCs/>
                <w:color w:val="000000"/>
                <w:sz w:val="20"/>
                <w:szCs w:val="20"/>
                <w:lang w:eastAsia="lv-LV"/>
              </w:rPr>
              <w:t>KOPĀ</w:t>
            </w:r>
          </w:p>
        </w:tc>
        <w:tc>
          <w:tcPr>
            <w:tcW w:w="1280" w:type="dxa"/>
            <w:tcBorders>
              <w:top w:val="nil"/>
              <w:left w:val="nil"/>
              <w:bottom w:val="single" w:sz="8" w:space="0" w:color="auto"/>
              <w:right w:val="single" w:sz="8" w:space="0" w:color="auto"/>
            </w:tcBorders>
            <w:shd w:val="clear" w:color="auto" w:fill="auto"/>
            <w:noWrap/>
            <w:vAlign w:val="center"/>
            <w:hideMark/>
          </w:tcPr>
          <w:p w14:paraId="089BB3E4" w14:textId="77777777" w:rsidR="00443E64" w:rsidRPr="00EF55CA" w:rsidRDefault="00443E64" w:rsidP="00535857">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314 957 659</w:t>
            </w:r>
          </w:p>
        </w:tc>
        <w:tc>
          <w:tcPr>
            <w:tcW w:w="1281" w:type="dxa"/>
            <w:tcBorders>
              <w:top w:val="nil"/>
              <w:left w:val="nil"/>
              <w:bottom w:val="single" w:sz="8" w:space="0" w:color="auto"/>
              <w:right w:val="single" w:sz="8" w:space="0" w:color="auto"/>
            </w:tcBorders>
            <w:shd w:val="clear" w:color="auto" w:fill="auto"/>
            <w:vAlign w:val="center"/>
            <w:hideMark/>
          </w:tcPr>
          <w:p w14:paraId="5850EE25" w14:textId="77777777" w:rsidR="00443E64" w:rsidRPr="00EF55CA" w:rsidRDefault="00443E64" w:rsidP="00535857">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181 586 458</w:t>
            </w:r>
          </w:p>
        </w:tc>
        <w:tc>
          <w:tcPr>
            <w:tcW w:w="1281" w:type="dxa"/>
            <w:tcBorders>
              <w:top w:val="nil"/>
              <w:left w:val="nil"/>
              <w:bottom w:val="single" w:sz="8" w:space="0" w:color="auto"/>
              <w:right w:val="single" w:sz="8" w:space="0" w:color="auto"/>
            </w:tcBorders>
            <w:shd w:val="clear" w:color="auto" w:fill="auto"/>
            <w:vAlign w:val="center"/>
            <w:hideMark/>
          </w:tcPr>
          <w:p w14:paraId="33CCE3C0" w14:textId="77777777" w:rsidR="00443E64" w:rsidRPr="00EF55CA" w:rsidRDefault="00443E64" w:rsidP="00535857">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140 435 212</w:t>
            </w:r>
          </w:p>
        </w:tc>
        <w:tc>
          <w:tcPr>
            <w:tcW w:w="853" w:type="dxa"/>
            <w:tcBorders>
              <w:top w:val="nil"/>
              <w:left w:val="nil"/>
              <w:bottom w:val="single" w:sz="8" w:space="0" w:color="auto"/>
              <w:right w:val="single" w:sz="8" w:space="0" w:color="auto"/>
            </w:tcBorders>
            <w:shd w:val="clear" w:color="auto" w:fill="auto"/>
            <w:noWrap/>
            <w:vAlign w:val="center"/>
            <w:hideMark/>
          </w:tcPr>
          <w:p w14:paraId="5649FC37" w14:textId="4AB97013" w:rsidR="00443E64" w:rsidRPr="00EF55CA" w:rsidRDefault="008365C2" w:rsidP="00947BBB">
            <w:pPr>
              <w:rPr>
                <w:rFonts w:eastAsia="Times New Roman" w:cs="Times New Roman"/>
                <w:b/>
                <w:bCs/>
                <w:color w:val="000000"/>
                <w:sz w:val="20"/>
                <w:szCs w:val="20"/>
                <w:lang w:eastAsia="lv-LV"/>
              </w:rPr>
            </w:pPr>
            <w:r w:rsidRPr="00687CBC">
              <w:rPr>
                <w:rFonts w:eastAsia="Times New Roman" w:cs="Times New Roman"/>
                <w:noProof/>
                <w:color w:val="000000"/>
                <w:sz w:val="20"/>
                <w:szCs w:val="20"/>
                <w:highlight w:val="yellow"/>
                <w:lang w:eastAsia="lv-LV"/>
              </w:rPr>
              <mc:AlternateContent>
                <mc:Choice Requires="wps">
                  <w:drawing>
                    <wp:anchor distT="0" distB="0" distL="114300" distR="114300" simplePos="0" relativeHeight="251669504" behindDoc="0" locked="0" layoutInCell="1" allowOverlap="1" wp14:anchorId="5D45AC88" wp14:editId="131E454C">
                      <wp:simplePos x="0" y="0"/>
                      <wp:positionH relativeFrom="column">
                        <wp:posOffset>307975</wp:posOffset>
                      </wp:positionH>
                      <wp:positionV relativeFrom="paragraph">
                        <wp:posOffset>8255</wp:posOffset>
                      </wp:positionV>
                      <wp:extent cx="111125" cy="150495"/>
                      <wp:effectExtent l="19050" t="0" r="41275" b="40005"/>
                      <wp:wrapNone/>
                      <wp:docPr id="5" name="Down Arrow 5"/>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6E2A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4.25pt;margin-top:.65pt;width:8.7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" adj="13625" fillcolor="#ed7d31" strokecolor="#ae5a21" strokeweight="1pt"/>
                  </w:pict>
                </mc:Fallback>
              </mc:AlternateContent>
            </w:r>
            <w:r w:rsidR="00443E64">
              <w:rPr>
                <w:rFonts w:eastAsia="Times New Roman" w:cs="Times New Roman"/>
                <w:b/>
                <w:bCs/>
                <w:color w:val="000000"/>
                <w:sz w:val="20"/>
                <w:szCs w:val="20"/>
                <w:lang w:eastAsia="lv-LV"/>
              </w:rPr>
              <w:t>77,3</w:t>
            </w:r>
          </w:p>
        </w:tc>
        <w:tc>
          <w:tcPr>
            <w:tcW w:w="1281" w:type="dxa"/>
            <w:tcBorders>
              <w:top w:val="nil"/>
              <w:left w:val="nil"/>
              <w:bottom w:val="single" w:sz="8" w:space="0" w:color="auto"/>
              <w:right w:val="single" w:sz="8" w:space="0" w:color="auto"/>
            </w:tcBorders>
            <w:shd w:val="clear" w:color="auto" w:fill="auto"/>
            <w:vAlign w:val="center"/>
            <w:hideMark/>
          </w:tcPr>
          <w:p w14:paraId="6F5D9E0C" w14:textId="77777777" w:rsidR="00443E64" w:rsidRPr="00EF55CA" w:rsidRDefault="00443E64" w:rsidP="00535857">
            <w:pPr>
              <w:jc w:val="center"/>
              <w:rPr>
                <w:rFonts w:eastAsia="Times New Roman" w:cs="Times New Roman"/>
                <w:color w:val="000000"/>
                <w:sz w:val="20"/>
                <w:szCs w:val="20"/>
                <w:lang w:eastAsia="lv-LV"/>
              </w:rPr>
            </w:pPr>
            <w:r w:rsidRPr="00EF55CA">
              <w:rPr>
                <w:rFonts w:eastAsia="Times New Roman" w:cs="Times New Roman"/>
                <w:color w:val="000000"/>
                <w:sz w:val="20"/>
                <w:szCs w:val="20"/>
                <w:lang w:eastAsia="lv-LV"/>
              </w:rPr>
              <w:t>-41 151 247</w:t>
            </w:r>
          </w:p>
        </w:tc>
        <w:tc>
          <w:tcPr>
            <w:tcW w:w="854" w:type="dxa"/>
            <w:tcBorders>
              <w:top w:val="nil"/>
              <w:left w:val="nil"/>
              <w:bottom w:val="single" w:sz="8" w:space="0" w:color="auto"/>
              <w:right w:val="single" w:sz="8" w:space="0" w:color="auto"/>
            </w:tcBorders>
            <w:shd w:val="clear" w:color="auto" w:fill="auto"/>
            <w:noWrap/>
            <w:vAlign w:val="center"/>
            <w:hideMark/>
          </w:tcPr>
          <w:p w14:paraId="75852AEB" w14:textId="77777777" w:rsidR="00443E64" w:rsidRPr="00EF55CA" w:rsidRDefault="00443E64" w:rsidP="00535857">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92,9</w:t>
            </w:r>
          </w:p>
        </w:tc>
        <w:tc>
          <w:tcPr>
            <w:tcW w:w="1280" w:type="dxa"/>
            <w:tcBorders>
              <w:top w:val="nil"/>
              <w:left w:val="nil"/>
              <w:bottom w:val="single" w:sz="8" w:space="0" w:color="auto"/>
              <w:right w:val="single" w:sz="8" w:space="0" w:color="auto"/>
            </w:tcBorders>
            <w:shd w:val="clear" w:color="auto" w:fill="auto"/>
            <w:vAlign w:val="center"/>
            <w:hideMark/>
          </w:tcPr>
          <w:p w14:paraId="10CC5D41" w14:textId="77777777" w:rsidR="00443E64" w:rsidRPr="00EF55CA" w:rsidRDefault="00443E64" w:rsidP="00535857">
            <w:pPr>
              <w:jc w:val="center"/>
              <w:rPr>
                <w:rFonts w:eastAsia="Times New Roman" w:cs="Times New Roman"/>
                <w:b/>
                <w:bCs/>
                <w:color w:val="000000"/>
                <w:sz w:val="20"/>
                <w:szCs w:val="20"/>
                <w:lang w:eastAsia="lv-LV"/>
              </w:rPr>
            </w:pPr>
            <w:r w:rsidRPr="00EF55CA">
              <w:rPr>
                <w:rFonts w:eastAsia="Times New Roman" w:cs="Times New Roman"/>
                <w:b/>
                <w:bCs/>
                <w:color w:val="000000"/>
                <w:sz w:val="20"/>
                <w:szCs w:val="20"/>
                <w:lang w:eastAsia="lv-LV"/>
              </w:rPr>
              <w:t>-10 074 597</w:t>
            </w:r>
          </w:p>
        </w:tc>
      </w:tr>
    </w:tbl>
    <w:p w14:paraId="5CDE81DF" w14:textId="77777777" w:rsidR="002D6160" w:rsidRDefault="002D6160" w:rsidP="002F41D0">
      <w:pPr>
        <w:rPr>
          <w:rFonts w:eastAsia="Calibri" w:cs="Times New Roman"/>
          <w:szCs w:val="24"/>
          <w:lang w:eastAsia="ar-SA"/>
        </w:rPr>
      </w:pPr>
    </w:p>
    <w:p w14:paraId="5F293063" w14:textId="2D322BF7" w:rsidR="002D6160" w:rsidRDefault="0048442F" w:rsidP="00FD3316">
      <w:pPr>
        <w:ind w:firstLine="720"/>
        <w:jc w:val="both"/>
        <w:rPr>
          <w:rFonts w:eastAsia="Calibri" w:cs="Times New Roman"/>
          <w:szCs w:val="24"/>
          <w:lang w:eastAsia="ar-SA"/>
        </w:rPr>
      </w:pPr>
      <w:r w:rsidRPr="00266973">
        <w:rPr>
          <w:rFonts w:cs="Times New Roman"/>
          <w:szCs w:val="24"/>
        </w:rPr>
        <w:t xml:space="preserve">Maksājumu plāna </w:t>
      </w:r>
      <w:r w:rsidRPr="00266973">
        <w:rPr>
          <w:szCs w:val="24"/>
        </w:rPr>
        <w:t xml:space="preserve">novirze </w:t>
      </w:r>
      <w:r w:rsidRPr="00266973">
        <w:rPr>
          <w:rFonts w:cs="Times New Roman"/>
          <w:szCs w:val="24"/>
        </w:rPr>
        <w:t>l</w:t>
      </w:r>
      <w:r w:rsidRPr="00266973">
        <w:rPr>
          <w:szCs w:val="24"/>
        </w:rPr>
        <w:t xml:space="preserve">īdz 2016.gada 30.septembrim ceturkšņa laikā no 18,1 milj. </w:t>
      </w:r>
      <w:proofErr w:type="spellStart"/>
      <w:r w:rsidRPr="00266973">
        <w:rPr>
          <w:i/>
          <w:szCs w:val="24"/>
        </w:rPr>
        <w:t>euro</w:t>
      </w:r>
      <w:proofErr w:type="spellEnd"/>
      <w:r w:rsidRPr="00266973">
        <w:rPr>
          <w:szCs w:val="24"/>
        </w:rPr>
        <w:t xml:space="preserve"> palielinājusies līdz </w:t>
      </w:r>
      <w:r w:rsidRPr="00266973">
        <w:rPr>
          <w:rFonts w:cs="Times New Roman"/>
          <w:szCs w:val="24"/>
        </w:rPr>
        <w:t xml:space="preserve">41,2 milj. </w:t>
      </w:r>
      <w:proofErr w:type="spellStart"/>
      <w:r w:rsidRPr="00266973">
        <w:rPr>
          <w:i/>
          <w:szCs w:val="24"/>
        </w:rPr>
        <w:t>euro</w:t>
      </w:r>
      <w:proofErr w:type="spellEnd"/>
      <w:r w:rsidRPr="00266973">
        <w:rPr>
          <w:szCs w:val="24"/>
        </w:rPr>
        <w:t xml:space="preserve">. </w:t>
      </w:r>
      <w:r w:rsidRPr="00266973">
        <w:rPr>
          <w:rFonts w:eastAsia="Calibri" w:cs="Times New Roman"/>
          <w:szCs w:val="24"/>
          <w:lang w:eastAsia="ar-SA"/>
        </w:rPr>
        <w:t xml:space="preserve">Kumulatīvā plāna izpilde līdz 2016.gada 30.septembrim ir 77,3% (181,6 milj. </w:t>
      </w:r>
      <w:proofErr w:type="spellStart"/>
      <w:r w:rsidRPr="00266973">
        <w:rPr>
          <w:rFonts w:eastAsia="Calibri" w:cs="Times New Roman"/>
          <w:i/>
          <w:szCs w:val="24"/>
          <w:lang w:eastAsia="ar-SA"/>
        </w:rPr>
        <w:t>euro</w:t>
      </w:r>
      <w:proofErr w:type="spellEnd"/>
      <w:r w:rsidRPr="00266973">
        <w:rPr>
          <w:rFonts w:eastAsia="Calibri" w:cs="Times New Roman"/>
          <w:szCs w:val="24"/>
          <w:lang w:eastAsia="ar-SA"/>
        </w:rPr>
        <w:t>)</w:t>
      </w:r>
      <w:r w:rsidRPr="00A0250D">
        <w:rPr>
          <w:rStyle w:val="FootnoteReference"/>
          <w:rFonts w:eastAsia="Calibri" w:cs="Times New Roman"/>
          <w:szCs w:val="24"/>
          <w:lang w:eastAsia="ar-SA"/>
        </w:rPr>
        <w:footnoteReference w:id="22"/>
      </w:r>
      <w:r w:rsidRPr="00266973">
        <w:rPr>
          <w:rFonts w:eastAsia="Calibri" w:cs="Times New Roman"/>
          <w:szCs w:val="24"/>
          <w:lang w:eastAsia="ar-SA"/>
        </w:rPr>
        <w:t xml:space="preserve">, bet gada plāns (314,9 milj. </w:t>
      </w:r>
      <w:proofErr w:type="spellStart"/>
      <w:r w:rsidRPr="00266973">
        <w:rPr>
          <w:rFonts w:eastAsia="Calibri" w:cs="Times New Roman"/>
          <w:i/>
          <w:szCs w:val="24"/>
          <w:lang w:eastAsia="ar-SA"/>
        </w:rPr>
        <w:t>euro</w:t>
      </w:r>
      <w:proofErr w:type="spellEnd"/>
      <w:r w:rsidRPr="00266973">
        <w:rPr>
          <w:rFonts w:eastAsia="Calibri" w:cs="Times New Roman"/>
          <w:szCs w:val="24"/>
          <w:lang w:eastAsia="ar-SA"/>
        </w:rPr>
        <w:t>) izpildīts tikai 44,6% apmērā.</w:t>
      </w:r>
      <w:r w:rsidRPr="00266973">
        <w:rPr>
          <w:i/>
          <w:szCs w:val="24"/>
        </w:rPr>
        <w:t xml:space="preserve"> </w:t>
      </w:r>
      <w:r w:rsidRPr="00266973">
        <w:rPr>
          <w:szCs w:val="24"/>
        </w:rPr>
        <w:t>Neizpildes, galvenokārt (1) ceļu rekonstrukcijas jomā (vēlāk iesniegti projektu iesniegumi, iepirkumu sarežģījumi)</w:t>
      </w:r>
      <w:r w:rsidRPr="00266973">
        <w:rPr>
          <w:rFonts w:eastAsia="Times New Roman" w:cs="Times New Roman"/>
          <w:color w:val="000000"/>
          <w:szCs w:val="24"/>
          <w:lang w:eastAsia="lv-LV"/>
        </w:rPr>
        <w:t xml:space="preserve">; (2) integrēti teritoriālajās investīcijās, jo īpaši ieguldījumos uzņēmējdarbībai nozīmīgā infrastruktūrā nacionālas nozīmes attīstības centru pašvaldībās (tā kā integrēti teritoriālās investīcijas saskaņā ar ES </w:t>
      </w:r>
      <w:r>
        <w:rPr>
          <w:rFonts w:eastAsia="Times New Roman" w:cs="Times New Roman"/>
          <w:color w:val="000000"/>
          <w:szCs w:val="24"/>
          <w:lang w:eastAsia="lv-LV"/>
        </w:rPr>
        <w:t xml:space="preserve">fondus regulējošiem </w:t>
      </w:r>
      <w:r w:rsidRPr="00266973">
        <w:rPr>
          <w:rFonts w:eastAsia="Times New Roman" w:cs="Times New Roman"/>
          <w:color w:val="000000"/>
          <w:szCs w:val="24"/>
          <w:lang w:eastAsia="lv-LV"/>
        </w:rPr>
        <w:t xml:space="preserve">normatīvajiem aktiem ir jaunievedums šajā plānošanas periodā, sākotnējais plāns uzsākt projektu atlases un veikt investīcijas bijis pārāk optimistisks; šobrīd secināms, ka progress sagaidāms 2017.gadā). Tāpat gadījumos, kad vēlāk nekā plānots tiek apstiprināti MK noteikumi un secīgi uzsāktas projektu atlases, šīm nobīdēm ir tieša negatīva ietekme uz  naudas plūsmas prognožu izpildi. </w:t>
      </w:r>
      <w:r w:rsidRPr="00266973">
        <w:rPr>
          <w:color w:val="000000" w:themeColor="text1"/>
        </w:rPr>
        <w:t xml:space="preserve"> </w:t>
      </w:r>
      <w:r w:rsidRPr="00266973">
        <w:rPr>
          <w:rFonts w:eastAsia="Times New Roman" w:cs="Times New Roman"/>
          <w:color w:val="000000"/>
          <w:szCs w:val="24"/>
          <w:lang w:eastAsia="lv-LV"/>
        </w:rPr>
        <w:t xml:space="preserve">Ņemot vērā </w:t>
      </w:r>
      <w:r w:rsidRPr="00266973">
        <w:rPr>
          <w:rFonts w:eastAsia="Times New Roman" w:cs="Times New Roman"/>
          <w:color w:val="000000"/>
          <w:szCs w:val="24"/>
          <w:lang w:eastAsia="lv-LV"/>
        </w:rPr>
        <w:lastRenderedPageBreak/>
        <w:t>atlikušo maksājumu apjomu, kas plānots līdz gada beigām, un aktualizētās operatīvās vadošās iestādes prognozes, jau šobrīd var paredzēt, ka līdz gada beigām noteiktais plāns netiks izpildīts jomās, kas vērstas uz ceļu infrastruktūras, IKT sistēmu, izglītības, veselības aprūpes un vides aizsardzības attīstību (indikatīvi 30% no 2016.gadā kopējiem plānotajiem maksājumiem faktiski īstenosies 2017.gadā).</w:t>
      </w:r>
      <w:r>
        <w:rPr>
          <w:rFonts w:eastAsia="Times New Roman" w:cs="Times New Roman"/>
          <w:color w:val="000000"/>
          <w:szCs w:val="24"/>
          <w:lang w:eastAsia="lv-LV"/>
        </w:rPr>
        <w:t xml:space="preserve"> </w:t>
      </w:r>
    </w:p>
    <w:p w14:paraId="4A3220C7" w14:textId="77777777" w:rsidR="002D6160" w:rsidRDefault="002D6160" w:rsidP="002F41D0">
      <w:pPr>
        <w:rPr>
          <w:rFonts w:eastAsia="Calibri" w:cs="Times New Roman"/>
          <w:szCs w:val="24"/>
          <w:lang w:eastAsia="ar-SA"/>
        </w:rPr>
      </w:pPr>
    </w:p>
    <w:p w14:paraId="7BAADD42" w14:textId="77777777" w:rsidR="002D6160" w:rsidRDefault="002D6160" w:rsidP="002F41D0">
      <w:pPr>
        <w:rPr>
          <w:rFonts w:eastAsia="Calibri" w:cs="Times New Roman"/>
          <w:szCs w:val="24"/>
          <w:lang w:eastAsia="ar-SA"/>
        </w:rPr>
      </w:pPr>
    </w:p>
    <w:p w14:paraId="6A027281" w14:textId="77777777" w:rsidR="0048442F" w:rsidRDefault="0048442F" w:rsidP="002F41D0">
      <w:pPr>
        <w:rPr>
          <w:rFonts w:eastAsia="Calibri" w:cs="Times New Roman"/>
          <w:szCs w:val="24"/>
          <w:lang w:eastAsia="ar-SA"/>
        </w:rPr>
      </w:pPr>
    </w:p>
    <w:p w14:paraId="7AEFBB77" w14:textId="77777777" w:rsidR="0048442F" w:rsidRDefault="0048442F" w:rsidP="002F41D0">
      <w:pPr>
        <w:rPr>
          <w:rFonts w:eastAsia="Calibri" w:cs="Times New Roman"/>
          <w:szCs w:val="24"/>
          <w:lang w:eastAsia="ar-SA"/>
        </w:rPr>
      </w:pPr>
    </w:p>
    <w:p w14:paraId="09DABDE5" w14:textId="77777777" w:rsidR="00FD3316" w:rsidRDefault="00FD3316" w:rsidP="002F41D0">
      <w:pPr>
        <w:rPr>
          <w:rFonts w:eastAsia="Calibri" w:cs="Times New Roman"/>
          <w:szCs w:val="24"/>
          <w:lang w:eastAsia="ar-SA"/>
        </w:rPr>
      </w:pPr>
    </w:p>
    <w:p w14:paraId="27B3B77C" w14:textId="77777777" w:rsidR="00FD3316" w:rsidRDefault="00FD3316" w:rsidP="002F41D0">
      <w:pPr>
        <w:rPr>
          <w:rFonts w:eastAsia="Calibri" w:cs="Times New Roman"/>
          <w:szCs w:val="24"/>
          <w:lang w:eastAsia="ar-SA"/>
        </w:rPr>
      </w:pPr>
    </w:p>
    <w:p w14:paraId="3492D9DA" w14:textId="77777777" w:rsidR="00FD3316" w:rsidRDefault="00FD3316" w:rsidP="002F41D0">
      <w:pPr>
        <w:rPr>
          <w:rFonts w:eastAsia="Calibri" w:cs="Times New Roman"/>
          <w:szCs w:val="24"/>
          <w:lang w:eastAsia="ar-SA"/>
        </w:rPr>
      </w:pPr>
    </w:p>
    <w:p w14:paraId="00BC56D1" w14:textId="77777777" w:rsidR="00FD3316" w:rsidRDefault="00FD3316" w:rsidP="002F41D0">
      <w:pPr>
        <w:rPr>
          <w:rFonts w:eastAsia="Calibri" w:cs="Times New Roman"/>
          <w:szCs w:val="24"/>
          <w:lang w:eastAsia="ar-SA"/>
        </w:rPr>
      </w:pPr>
    </w:p>
    <w:p w14:paraId="35BBFA24" w14:textId="78CD7F90" w:rsidR="002D6160" w:rsidRDefault="002D6160">
      <w:pPr>
        <w:rPr>
          <w:rFonts w:eastAsia="Calibri" w:cs="Times New Roman"/>
          <w:szCs w:val="24"/>
          <w:lang w:eastAsia="ar-SA"/>
        </w:rPr>
      </w:pPr>
    </w:p>
    <w:p w14:paraId="565F5815" w14:textId="787EDB9C" w:rsidR="00684ADB" w:rsidRPr="00C648FF" w:rsidRDefault="00684ADB" w:rsidP="002F41D0">
      <w:pPr>
        <w:rPr>
          <w:rFonts w:eastAsia="Calibri" w:cs="Times New Roman"/>
          <w:szCs w:val="24"/>
          <w:lang w:eastAsia="ar-SA"/>
        </w:rPr>
      </w:pPr>
      <w:r w:rsidRPr="00C648FF">
        <w:rPr>
          <w:rFonts w:eastAsia="Calibri" w:cs="Times New Roman"/>
          <w:szCs w:val="24"/>
          <w:lang w:eastAsia="ar-SA"/>
        </w:rPr>
        <w:t xml:space="preserve">Pielikumā: </w:t>
      </w:r>
    </w:p>
    <w:p w14:paraId="22C30A34" w14:textId="5A8C3306" w:rsidR="00684ADB" w:rsidRPr="00C648FF" w:rsidRDefault="00684ADB" w:rsidP="00684ADB">
      <w:pPr>
        <w:pStyle w:val="ListParagraph"/>
        <w:numPr>
          <w:ilvl w:val="0"/>
          <w:numId w:val="4"/>
        </w:numPr>
        <w:suppressAutoHyphens/>
        <w:spacing w:before="120" w:after="120"/>
        <w:ind w:left="425" w:hanging="357"/>
        <w:contextualSpacing w:val="0"/>
        <w:jc w:val="both"/>
        <w:rPr>
          <w:rFonts w:eastAsia="Calibri" w:cs="Times New Roman"/>
          <w:szCs w:val="24"/>
          <w:lang w:eastAsia="ar-SA"/>
        </w:rPr>
      </w:pPr>
      <w:r w:rsidRPr="00C648FF">
        <w:rPr>
          <w:rFonts w:eastAsia="Times New Roman" w:cs="Times New Roman"/>
          <w:color w:val="000000"/>
          <w:szCs w:val="24"/>
        </w:rPr>
        <w:t>Eiropas Savienības struktūrfondu un Kohēzijas fonda 2014.-2020.gada plānošanas perioda specifisko atbalsta mērķu ieviešana</w:t>
      </w:r>
      <w:r w:rsidR="00A5453E" w:rsidRPr="00C648FF">
        <w:rPr>
          <w:rFonts w:eastAsia="Times New Roman" w:cs="Times New Roman"/>
          <w:color w:val="000000"/>
          <w:szCs w:val="24"/>
        </w:rPr>
        <w:t>s laika grafika statuss uz 01.10</w:t>
      </w:r>
      <w:r w:rsidRPr="00C648FF">
        <w:rPr>
          <w:rFonts w:eastAsia="Times New Roman" w:cs="Times New Roman"/>
          <w:color w:val="000000"/>
          <w:szCs w:val="24"/>
        </w:rPr>
        <w:t xml:space="preserve">.2016. uz </w:t>
      </w:r>
      <w:r w:rsidR="00501A39">
        <w:rPr>
          <w:rFonts w:eastAsia="Times New Roman" w:cs="Times New Roman"/>
          <w:color w:val="000000"/>
          <w:szCs w:val="24"/>
        </w:rPr>
        <w:t>7</w:t>
      </w:r>
      <w:r w:rsidRPr="00C648FF">
        <w:rPr>
          <w:rFonts w:eastAsia="Times New Roman" w:cs="Times New Roman"/>
          <w:color w:val="000000"/>
          <w:szCs w:val="24"/>
        </w:rPr>
        <w:t xml:space="preserve"> </w:t>
      </w:r>
      <w:proofErr w:type="spellStart"/>
      <w:r w:rsidRPr="00C648FF">
        <w:rPr>
          <w:rFonts w:eastAsia="Times New Roman" w:cs="Times New Roman"/>
          <w:color w:val="000000"/>
          <w:szCs w:val="24"/>
        </w:rPr>
        <w:t>lp</w:t>
      </w:r>
      <w:proofErr w:type="spellEnd"/>
      <w:r w:rsidRPr="00C648FF">
        <w:rPr>
          <w:rFonts w:eastAsia="Times New Roman" w:cs="Times New Roman"/>
          <w:color w:val="000000"/>
          <w:szCs w:val="24"/>
        </w:rPr>
        <w:t>.</w:t>
      </w:r>
    </w:p>
    <w:p w14:paraId="2F6B27EF" w14:textId="13A91549" w:rsidR="00684ADB" w:rsidRPr="00C648FF" w:rsidRDefault="00684ADB" w:rsidP="00684ADB">
      <w:pPr>
        <w:pStyle w:val="ListParagraph"/>
        <w:numPr>
          <w:ilvl w:val="0"/>
          <w:numId w:val="4"/>
        </w:numPr>
        <w:suppressAutoHyphens/>
        <w:spacing w:before="120" w:after="120"/>
        <w:ind w:left="425" w:hanging="357"/>
        <w:contextualSpacing w:val="0"/>
        <w:jc w:val="both"/>
        <w:rPr>
          <w:rFonts w:eastAsia="Times New Roman" w:cs="Times New Roman"/>
          <w:color w:val="000000"/>
          <w:szCs w:val="24"/>
        </w:rPr>
      </w:pPr>
      <w:r w:rsidRPr="00C648FF">
        <w:rPr>
          <w:rFonts w:eastAsia="Times New Roman" w:cs="Times New Roman"/>
          <w:color w:val="000000"/>
          <w:szCs w:val="24"/>
        </w:rPr>
        <w:t>Kavētie Ministru kabineta noteikumi specifisko atbalsta mērķu/pasākumu laika grafikā, statuss uz 1</w:t>
      </w:r>
      <w:r w:rsidR="00A5453E" w:rsidRPr="00C648FF">
        <w:rPr>
          <w:rFonts w:eastAsia="Times New Roman" w:cs="Times New Roman"/>
          <w:color w:val="000000"/>
          <w:szCs w:val="24"/>
        </w:rPr>
        <w:t>1.10</w:t>
      </w:r>
      <w:r w:rsidRPr="00C648FF">
        <w:rPr>
          <w:rFonts w:eastAsia="Times New Roman" w:cs="Times New Roman"/>
          <w:color w:val="000000"/>
          <w:szCs w:val="24"/>
        </w:rPr>
        <w:t xml:space="preserve">.2016 uz 1 </w:t>
      </w:r>
      <w:proofErr w:type="spellStart"/>
      <w:r w:rsidRPr="00C648FF">
        <w:rPr>
          <w:rFonts w:eastAsia="Times New Roman" w:cs="Times New Roman"/>
          <w:color w:val="000000"/>
          <w:szCs w:val="24"/>
        </w:rPr>
        <w:t>lp</w:t>
      </w:r>
      <w:proofErr w:type="spellEnd"/>
      <w:r w:rsidRPr="00C648FF">
        <w:rPr>
          <w:rFonts w:eastAsia="Times New Roman" w:cs="Times New Roman"/>
          <w:color w:val="000000"/>
          <w:szCs w:val="24"/>
        </w:rPr>
        <w:t>.</w:t>
      </w:r>
    </w:p>
    <w:p w14:paraId="164DF04A" w14:textId="34922D01" w:rsidR="00DB203A" w:rsidRPr="00C648FF" w:rsidRDefault="00DB203A" w:rsidP="00DB203A">
      <w:pPr>
        <w:pStyle w:val="ListParagraph"/>
        <w:numPr>
          <w:ilvl w:val="0"/>
          <w:numId w:val="4"/>
        </w:numPr>
        <w:suppressAutoHyphens/>
        <w:spacing w:before="120" w:after="120"/>
        <w:ind w:left="425" w:hanging="357"/>
        <w:contextualSpacing w:val="0"/>
        <w:jc w:val="both"/>
        <w:rPr>
          <w:rFonts w:eastAsia="Times New Roman" w:cs="Times New Roman"/>
          <w:color w:val="000000"/>
          <w:szCs w:val="24"/>
        </w:rPr>
      </w:pPr>
      <w:r w:rsidRPr="00C648FF">
        <w:rPr>
          <w:rFonts w:eastAsia="Times New Roman" w:cs="Times New Roman"/>
          <w:color w:val="000000"/>
          <w:szCs w:val="24"/>
        </w:rPr>
        <w:t>Kavēta Ministru kabineta noteikumu izsludināšana valsts sekretāru sanāksmē uz 1</w:t>
      </w:r>
      <w:r w:rsidR="00A5453E" w:rsidRPr="00C648FF">
        <w:rPr>
          <w:rFonts w:eastAsia="Times New Roman" w:cs="Times New Roman"/>
          <w:color w:val="000000"/>
          <w:szCs w:val="24"/>
        </w:rPr>
        <w:t>1.10</w:t>
      </w:r>
      <w:r w:rsidRPr="00C648FF">
        <w:rPr>
          <w:rFonts w:eastAsia="Times New Roman" w:cs="Times New Roman"/>
          <w:color w:val="000000"/>
          <w:szCs w:val="24"/>
        </w:rPr>
        <w:t xml:space="preserve">.2016 uz 1 </w:t>
      </w:r>
      <w:proofErr w:type="spellStart"/>
      <w:r w:rsidRPr="00C648FF">
        <w:rPr>
          <w:rFonts w:eastAsia="Times New Roman" w:cs="Times New Roman"/>
          <w:color w:val="000000"/>
          <w:szCs w:val="24"/>
        </w:rPr>
        <w:t>lp</w:t>
      </w:r>
      <w:proofErr w:type="spellEnd"/>
      <w:r w:rsidRPr="00C648FF">
        <w:rPr>
          <w:rFonts w:eastAsia="Times New Roman" w:cs="Times New Roman"/>
          <w:color w:val="000000"/>
          <w:szCs w:val="24"/>
        </w:rPr>
        <w:t>.</w:t>
      </w:r>
    </w:p>
    <w:p w14:paraId="5723F1EA" w14:textId="77777777" w:rsidR="00684ADB" w:rsidRPr="00D407D7" w:rsidRDefault="00684ADB" w:rsidP="00684ADB">
      <w:pPr>
        <w:tabs>
          <w:tab w:val="right" w:pos="9072"/>
        </w:tabs>
        <w:suppressAutoHyphens/>
        <w:rPr>
          <w:rFonts w:eastAsia="Calibri" w:cs="Times New Roman"/>
          <w:szCs w:val="24"/>
          <w:lang w:eastAsia="ar-SA"/>
        </w:rPr>
      </w:pPr>
    </w:p>
    <w:p w14:paraId="190485B6" w14:textId="77777777" w:rsidR="00684ADB" w:rsidRDefault="00684ADB" w:rsidP="00684ADB">
      <w:pPr>
        <w:tabs>
          <w:tab w:val="right" w:pos="9072"/>
        </w:tabs>
        <w:suppressAutoHyphens/>
        <w:rPr>
          <w:rFonts w:eastAsia="Calibri" w:cs="Times New Roman"/>
          <w:szCs w:val="24"/>
          <w:lang w:eastAsia="ar-SA"/>
        </w:rPr>
      </w:pPr>
    </w:p>
    <w:p w14:paraId="7C2BEB2F" w14:textId="77777777" w:rsidR="00DB203A" w:rsidRDefault="00DB203A" w:rsidP="00684ADB">
      <w:pPr>
        <w:tabs>
          <w:tab w:val="right" w:pos="9072"/>
        </w:tabs>
        <w:suppressAutoHyphens/>
        <w:rPr>
          <w:rFonts w:eastAsia="Calibri" w:cs="Times New Roman"/>
          <w:szCs w:val="24"/>
          <w:lang w:eastAsia="ar-SA"/>
        </w:rPr>
      </w:pPr>
    </w:p>
    <w:p w14:paraId="3BEA5A64" w14:textId="77777777" w:rsidR="00DB203A" w:rsidRDefault="00DB203A" w:rsidP="00684ADB">
      <w:pPr>
        <w:tabs>
          <w:tab w:val="right" w:pos="9072"/>
        </w:tabs>
        <w:suppressAutoHyphens/>
        <w:rPr>
          <w:rFonts w:eastAsia="Calibri" w:cs="Times New Roman"/>
          <w:szCs w:val="24"/>
          <w:lang w:eastAsia="ar-SA"/>
        </w:rPr>
      </w:pPr>
    </w:p>
    <w:p w14:paraId="5D8A5994" w14:textId="77777777" w:rsidR="00684ADB" w:rsidRDefault="00684ADB" w:rsidP="00684ADB">
      <w:pPr>
        <w:tabs>
          <w:tab w:val="right" w:pos="9072"/>
        </w:tabs>
        <w:suppressAutoHyphens/>
        <w:rPr>
          <w:rFonts w:eastAsia="Calibri" w:cs="Times New Roman"/>
          <w:szCs w:val="24"/>
          <w:lang w:eastAsia="ar-SA"/>
        </w:rPr>
      </w:pPr>
      <w:r w:rsidRPr="00D407D7">
        <w:rPr>
          <w:rFonts w:eastAsia="Calibri" w:cs="Times New Roman"/>
          <w:szCs w:val="24"/>
          <w:lang w:eastAsia="ar-SA"/>
        </w:rPr>
        <w:t xml:space="preserve">Finanšu ministre                                                                                            </w:t>
      </w:r>
      <w:proofErr w:type="spellStart"/>
      <w:r w:rsidRPr="00D407D7">
        <w:rPr>
          <w:rFonts w:eastAsia="Calibri" w:cs="Times New Roman"/>
          <w:szCs w:val="24"/>
          <w:lang w:eastAsia="ar-SA"/>
        </w:rPr>
        <w:t>D.Reizniece</w:t>
      </w:r>
      <w:proofErr w:type="spellEnd"/>
      <w:r w:rsidRPr="00D407D7">
        <w:rPr>
          <w:rFonts w:eastAsia="Calibri" w:cs="Times New Roman"/>
          <w:szCs w:val="24"/>
          <w:lang w:eastAsia="ar-SA"/>
        </w:rPr>
        <w:t>-Ozola </w:t>
      </w:r>
    </w:p>
    <w:p w14:paraId="1F9B6107" w14:textId="77777777" w:rsidR="00684ADB" w:rsidRPr="00D407D7" w:rsidRDefault="00684ADB" w:rsidP="00684ADB">
      <w:pPr>
        <w:tabs>
          <w:tab w:val="right" w:pos="9072"/>
        </w:tabs>
        <w:suppressAutoHyphens/>
        <w:rPr>
          <w:rFonts w:eastAsia="Calibri" w:cs="Times New Roman"/>
          <w:szCs w:val="24"/>
          <w:lang w:eastAsia="ar-SA"/>
        </w:rPr>
      </w:pPr>
    </w:p>
    <w:p w14:paraId="26E6105A" w14:textId="56C49C29" w:rsidR="00684ADB" w:rsidRDefault="0027168C" w:rsidP="0027168C">
      <w:pPr>
        <w:tabs>
          <w:tab w:val="left" w:pos="8145"/>
        </w:tabs>
        <w:rPr>
          <w:color w:val="000000" w:themeColor="text1"/>
          <w:sz w:val="18"/>
        </w:rPr>
      </w:pPr>
      <w:r>
        <w:rPr>
          <w:color w:val="000000" w:themeColor="text1"/>
          <w:sz w:val="18"/>
        </w:rPr>
        <w:tab/>
      </w:r>
    </w:p>
    <w:p w14:paraId="630E191F" w14:textId="77777777" w:rsidR="00684ADB" w:rsidRDefault="00684ADB" w:rsidP="00684ADB">
      <w:pPr>
        <w:tabs>
          <w:tab w:val="left" w:pos="1725"/>
        </w:tabs>
        <w:rPr>
          <w:color w:val="000000" w:themeColor="text1"/>
          <w:sz w:val="18"/>
        </w:rPr>
      </w:pPr>
    </w:p>
    <w:p w14:paraId="422FC927" w14:textId="77777777" w:rsidR="002E28C2" w:rsidRDefault="002E28C2" w:rsidP="00684ADB">
      <w:pPr>
        <w:tabs>
          <w:tab w:val="left" w:pos="1725"/>
        </w:tabs>
        <w:rPr>
          <w:color w:val="000000" w:themeColor="text1"/>
          <w:sz w:val="18"/>
        </w:rPr>
      </w:pPr>
    </w:p>
    <w:p w14:paraId="3E44A82C" w14:textId="77777777" w:rsidR="002E28C2" w:rsidRPr="005A3F87" w:rsidRDefault="002E28C2" w:rsidP="00684ADB">
      <w:pPr>
        <w:tabs>
          <w:tab w:val="left" w:pos="1725"/>
        </w:tabs>
        <w:rPr>
          <w:color w:val="000000" w:themeColor="text1"/>
          <w:sz w:val="18"/>
        </w:rPr>
      </w:pPr>
    </w:p>
    <w:p w14:paraId="2EE69E98" w14:textId="77777777" w:rsidR="00684ADB" w:rsidRDefault="00684ADB" w:rsidP="00684ADB">
      <w:pPr>
        <w:tabs>
          <w:tab w:val="left" w:pos="1725"/>
        </w:tabs>
        <w:rPr>
          <w:color w:val="000000" w:themeColor="text1"/>
          <w:sz w:val="18"/>
        </w:rPr>
      </w:pPr>
    </w:p>
    <w:p w14:paraId="605EE903" w14:textId="07D2CEF6" w:rsidR="00684ADB" w:rsidRPr="00562B26" w:rsidRDefault="00562B26" w:rsidP="00684ADB">
      <w:pPr>
        <w:tabs>
          <w:tab w:val="left" w:pos="1725"/>
        </w:tabs>
        <w:rPr>
          <w:color w:val="000000" w:themeColor="text1"/>
          <w:sz w:val="18"/>
        </w:rPr>
      </w:pPr>
      <w:r w:rsidRPr="00562B26">
        <w:rPr>
          <w:color w:val="000000" w:themeColor="text1"/>
          <w:sz w:val="18"/>
        </w:rPr>
        <w:t>26.10</w:t>
      </w:r>
      <w:r w:rsidR="00684ADB" w:rsidRPr="00562B26">
        <w:rPr>
          <w:color w:val="000000" w:themeColor="text1"/>
          <w:sz w:val="18"/>
        </w:rPr>
        <w:t>.2016 09:36</w:t>
      </w:r>
    </w:p>
    <w:p w14:paraId="341DEFFB" w14:textId="6A11B148" w:rsidR="00684ADB" w:rsidRPr="00562B26" w:rsidRDefault="00D03BBC" w:rsidP="00684ADB">
      <w:pPr>
        <w:tabs>
          <w:tab w:val="left" w:pos="1725"/>
        </w:tabs>
        <w:rPr>
          <w:color w:val="000000" w:themeColor="text1"/>
          <w:sz w:val="18"/>
        </w:rPr>
      </w:pPr>
      <w:r w:rsidRPr="00FD3316">
        <w:rPr>
          <w:color w:val="000000" w:themeColor="text1"/>
          <w:sz w:val="18"/>
        </w:rPr>
        <w:t>2</w:t>
      </w:r>
      <w:r w:rsidR="00DA14F3" w:rsidRPr="00FD3316">
        <w:rPr>
          <w:color w:val="000000" w:themeColor="text1"/>
          <w:sz w:val="18"/>
        </w:rPr>
        <w:t>553</w:t>
      </w:r>
    </w:p>
    <w:p w14:paraId="4B0D916F" w14:textId="77777777" w:rsidR="006D55C0" w:rsidRPr="00986BB7" w:rsidRDefault="006D55C0" w:rsidP="006D55C0">
      <w:pPr>
        <w:tabs>
          <w:tab w:val="center" w:pos="4153"/>
          <w:tab w:val="right" w:pos="8306"/>
        </w:tabs>
        <w:rPr>
          <w:color w:val="000000"/>
          <w:sz w:val="20"/>
        </w:rPr>
      </w:pPr>
      <w:r w:rsidRPr="00986BB7">
        <w:rPr>
          <w:color w:val="000000"/>
          <w:sz w:val="20"/>
        </w:rPr>
        <w:t>Inta Dimzule</w:t>
      </w:r>
    </w:p>
    <w:p w14:paraId="629139DF" w14:textId="77777777" w:rsidR="006D55C0" w:rsidRPr="00986BB7" w:rsidRDefault="006D55C0" w:rsidP="006D55C0">
      <w:pPr>
        <w:tabs>
          <w:tab w:val="center" w:pos="4153"/>
          <w:tab w:val="right" w:pos="8306"/>
        </w:tabs>
        <w:rPr>
          <w:color w:val="000000"/>
          <w:sz w:val="20"/>
        </w:rPr>
      </w:pPr>
      <w:r w:rsidRPr="00986BB7">
        <w:rPr>
          <w:color w:val="000000"/>
          <w:sz w:val="20"/>
        </w:rPr>
        <w:t>Finanšu ministrijas Eiropas Savienības fondu uzraudzības departamenta</w:t>
      </w:r>
    </w:p>
    <w:p w14:paraId="78660516" w14:textId="77777777" w:rsidR="006D55C0" w:rsidRPr="00986BB7" w:rsidRDefault="006D55C0" w:rsidP="006D55C0">
      <w:pPr>
        <w:tabs>
          <w:tab w:val="center" w:pos="4153"/>
          <w:tab w:val="right" w:pos="8306"/>
        </w:tabs>
        <w:rPr>
          <w:color w:val="000000"/>
          <w:sz w:val="20"/>
        </w:rPr>
      </w:pPr>
      <w:r w:rsidRPr="00986BB7">
        <w:rPr>
          <w:color w:val="000000"/>
          <w:sz w:val="20"/>
        </w:rPr>
        <w:t>Uzņēmējdarbības un inovāciju uzraudzības nodaļas vecākā referente</w:t>
      </w:r>
    </w:p>
    <w:p w14:paraId="7CDE1E77" w14:textId="77777777" w:rsidR="006D55C0" w:rsidRPr="00986BB7" w:rsidRDefault="006D55C0" w:rsidP="006D55C0">
      <w:pPr>
        <w:tabs>
          <w:tab w:val="center" w:pos="4153"/>
          <w:tab w:val="right" w:pos="8306"/>
        </w:tabs>
        <w:rPr>
          <w:color w:val="000000"/>
          <w:sz w:val="20"/>
        </w:rPr>
      </w:pPr>
      <w:r w:rsidRPr="00986BB7">
        <w:rPr>
          <w:color w:val="000000"/>
          <w:sz w:val="20"/>
        </w:rPr>
        <w:t>Tālr. 67083873</w:t>
      </w:r>
    </w:p>
    <w:p w14:paraId="7043B6A2" w14:textId="77777777" w:rsidR="006D55C0" w:rsidRPr="001B55F7" w:rsidRDefault="002F546F" w:rsidP="006D55C0">
      <w:pPr>
        <w:pStyle w:val="Header"/>
        <w:rPr>
          <w:sz w:val="20"/>
        </w:rPr>
      </w:pPr>
      <w:hyperlink r:id="rId12" w:history="1">
        <w:r w:rsidR="006D55C0" w:rsidRPr="00986BB7">
          <w:rPr>
            <w:rStyle w:val="Hyperlink"/>
            <w:sz w:val="20"/>
          </w:rPr>
          <w:t>Inta.Dimzule@fm.gov.lv</w:t>
        </w:r>
      </w:hyperlink>
    </w:p>
    <w:p w14:paraId="732D946A" w14:textId="77777777" w:rsidR="00942AB5" w:rsidRDefault="00942AB5"/>
    <w:sectPr w:rsidR="00942AB5" w:rsidSect="00473293">
      <w:headerReference w:type="default" r:id="rId13"/>
      <w:footerReference w:type="defaul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04811" w14:textId="77777777" w:rsidR="002F546F" w:rsidRDefault="002F546F" w:rsidP="00684ADB">
      <w:r>
        <w:separator/>
      </w:r>
    </w:p>
  </w:endnote>
  <w:endnote w:type="continuationSeparator" w:id="0">
    <w:p w14:paraId="7525DBE0" w14:textId="77777777" w:rsidR="002F546F" w:rsidRDefault="002F546F" w:rsidP="006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9D6B" w14:textId="3E88BB42" w:rsidR="004F42B6" w:rsidRPr="0038735F" w:rsidRDefault="004F42B6" w:rsidP="00947BBB">
    <w:pPr>
      <w:pStyle w:val="Footer"/>
      <w:jc w:val="both"/>
      <w:rPr>
        <w:sz w:val="20"/>
      </w:rPr>
    </w:pPr>
    <w:r>
      <w:rPr>
        <w:sz w:val="20"/>
      </w:rPr>
      <w:t>FMzino_261016</w:t>
    </w:r>
    <w:r w:rsidRPr="002E1DBF">
      <w:rPr>
        <w:sz w:val="20"/>
      </w:rPr>
      <w:t>_ES_fondi;</w:t>
    </w:r>
    <w:r w:rsidRPr="003A479C">
      <w:rPr>
        <w:sz w:val="20"/>
      </w:rPr>
      <w:t xml:space="preserve"> Informatīvais ziņojums par E</w:t>
    </w:r>
    <w:r>
      <w:rPr>
        <w:sz w:val="20"/>
      </w:rPr>
      <w:t xml:space="preserve">iropas </w:t>
    </w:r>
    <w:r w:rsidRPr="003A479C">
      <w:rPr>
        <w:sz w:val="20"/>
      </w:rPr>
      <w:t>S</w:t>
    </w:r>
    <w:r>
      <w:rPr>
        <w:sz w:val="20"/>
      </w:rPr>
      <w:t>avienības</w:t>
    </w:r>
    <w:r w:rsidRPr="003A479C">
      <w:rPr>
        <w:sz w:val="20"/>
      </w:rPr>
      <w:t xml:space="preserve"> st</w:t>
    </w:r>
    <w:r>
      <w:rPr>
        <w:sz w:val="20"/>
      </w:rPr>
      <w:t>ruktūrfondu un Kohēzijas fonda investīciju ieviešanas statusu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BE59" w14:textId="1E84B835" w:rsidR="004F42B6" w:rsidRPr="0038735F" w:rsidRDefault="004F42B6" w:rsidP="00947BBB">
    <w:pPr>
      <w:pStyle w:val="Footer"/>
      <w:jc w:val="both"/>
      <w:rPr>
        <w:sz w:val="20"/>
      </w:rPr>
    </w:pPr>
    <w:r>
      <w:rPr>
        <w:sz w:val="20"/>
      </w:rPr>
      <w:t>FMzino_</w:t>
    </w:r>
    <w:r w:rsidRPr="006A6888">
      <w:rPr>
        <w:sz w:val="20"/>
      </w:rPr>
      <w:t>261016</w:t>
    </w:r>
    <w:r w:rsidRPr="002E1DBF">
      <w:rPr>
        <w:sz w:val="20"/>
      </w:rPr>
      <w:t>_ES_fondi;</w:t>
    </w:r>
    <w:r w:rsidRPr="003A479C">
      <w:rPr>
        <w:sz w:val="20"/>
      </w:rPr>
      <w:t xml:space="preserve"> Informatīvais ziņojums par E</w:t>
    </w:r>
    <w:r>
      <w:rPr>
        <w:sz w:val="20"/>
      </w:rPr>
      <w:t xml:space="preserve">iropas </w:t>
    </w:r>
    <w:r w:rsidRPr="003A479C">
      <w:rPr>
        <w:sz w:val="20"/>
      </w:rPr>
      <w:t>S</w:t>
    </w:r>
    <w:r>
      <w:rPr>
        <w:sz w:val="20"/>
      </w:rPr>
      <w:t>avienības</w:t>
    </w:r>
    <w:r w:rsidRPr="003A479C">
      <w:rPr>
        <w:sz w:val="20"/>
      </w:rPr>
      <w:t xml:space="preserve"> st</w:t>
    </w:r>
    <w:r>
      <w:rPr>
        <w:sz w:val="20"/>
      </w:rPr>
      <w:t>ruktūrfondu un Kohēzijas fonda investīciju ieviešanas statusu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A6434" w14:textId="77777777" w:rsidR="002F546F" w:rsidRDefault="002F546F" w:rsidP="00684ADB">
      <w:r>
        <w:separator/>
      </w:r>
    </w:p>
  </w:footnote>
  <w:footnote w:type="continuationSeparator" w:id="0">
    <w:p w14:paraId="6E85026F" w14:textId="77777777" w:rsidR="002F546F" w:rsidRDefault="002F546F" w:rsidP="00684ADB">
      <w:r>
        <w:continuationSeparator/>
      </w:r>
    </w:p>
  </w:footnote>
  <w:footnote w:id="1">
    <w:p w14:paraId="49CAF906" w14:textId="14608053" w:rsidR="004F42B6" w:rsidRPr="00D22DA1" w:rsidRDefault="004F42B6" w:rsidP="00684ADB">
      <w:pPr>
        <w:pStyle w:val="FootnoteText"/>
        <w:jc w:val="both"/>
        <w:rPr>
          <w:sz w:val="16"/>
          <w:szCs w:val="16"/>
        </w:rPr>
      </w:pPr>
      <w:r w:rsidRPr="00D22DA1">
        <w:rPr>
          <w:rStyle w:val="FootnoteReference"/>
          <w:sz w:val="16"/>
          <w:szCs w:val="16"/>
        </w:rPr>
        <w:footnoteRef/>
      </w:r>
      <w:r w:rsidRPr="00D22DA1">
        <w:rPr>
          <w:sz w:val="16"/>
          <w:szCs w:val="16"/>
        </w:rPr>
        <w:t xml:space="preserve"> Ziņojumā tiek sniegta informācija par datu un informācijas apkopojumiem uz dažādiem atskaites datumiem ar mērķi sniegt aktuālo informāciju.</w:t>
      </w:r>
    </w:p>
  </w:footnote>
  <w:footnote w:id="2">
    <w:p w14:paraId="210CD41A" w14:textId="192D929E" w:rsidR="004F42B6" w:rsidRPr="00D22DA1" w:rsidRDefault="004F42B6" w:rsidP="00D217BA">
      <w:pPr>
        <w:pStyle w:val="FootnoteText"/>
        <w:jc w:val="both"/>
        <w:rPr>
          <w:sz w:val="16"/>
          <w:szCs w:val="16"/>
        </w:rPr>
      </w:pPr>
      <w:r w:rsidRPr="00D22DA1">
        <w:rPr>
          <w:rStyle w:val="FootnoteReference"/>
          <w:sz w:val="16"/>
          <w:szCs w:val="16"/>
        </w:rPr>
        <w:footnoteRef/>
      </w:r>
      <w:r w:rsidRPr="00D22DA1">
        <w:rPr>
          <w:sz w:val="16"/>
          <w:szCs w:val="16"/>
        </w:rPr>
        <w:t xml:space="preserve"> Netiek iekļauta informācija par </w:t>
      </w:r>
      <w:r w:rsidRPr="00D22DA1">
        <w:rPr>
          <w:color w:val="000000" w:themeColor="text1"/>
          <w:sz w:val="16"/>
          <w:szCs w:val="16"/>
        </w:rPr>
        <w:t>ES fondu 2007.-2013.gada plānošanas periodu, jo kopumā ieviešanas posms sekmīgi noslēdzies, notiek slēguma dokumentu izstrāde un pārbaudes, kā arī f</w:t>
      </w:r>
      <w:r w:rsidRPr="00D22DA1">
        <w:rPr>
          <w:rFonts w:eastAsia="Calibri" w:cs="Times New Roman"/>
          <w:sz w:val="16"/>
          <w:szCs w:val="16"/>
          <w:lang w:eastAsia="ar-SA"/>
        </w:rPr>
        <w:t xml:space="preserve">inanšu instrumentu riska kapitāla instrumentos no 2016.septembra līdz oktobra beigām vēl pieejams 8,7 milj. </w:t>
      </w:r>
      <w:proofErr w:type="spellStart"/>
      <w:r w:rsidRPr="00D22DA1">
        <w:rPr>
          <w:rFonts w:eastAsia="Calibri" w:cs="Times New Roman"/>
          <w:i/>
          <w:sz w:val="16"/>
          <w:szCs w:val="16"/>
          <w:lang w:eastAsia="ar-SA"/>
        </w:rPr>
        <w:t>euro</w:t>
      </w:r>
      <w:proofErr w:type="spellEnd"/>
      <w:r w:rsidRPr="00D22DA1">
        <w:rPr>
          <w:color w:val="000000" w:themeColor="text1"/>
          <w:sz w:val="16"/>
          <w:szCs w:val="16"/>
        </w:rPr>
        <w:t xml:space="preserve"> </w:t>
      </w:r>
      <w:r w:rsidRPr="00D22DA1">
        <w:rPr>
          <w:rFonts w:eastAsia="Calibri" w:cs="Times New Roman"/>
          <w:sz w:val="16"/>
          <w:szCs w:val="16"/>
          <w:lang w:eastAsia="ar-SA"/>
        </w:rPr>
        <w:t>ES fondu finansējums, t.sk. ieņēmumi no brīvo publisko līdzekļu noguldījumiem. Plašāka inform</w:t>
      </w:r>
      <w:r w:rsidR="00F66A9C">
        <w:rPr>
          <w:rFonts w:eastAsia="Calibri" w:cs="Times New Roman"/>
          <w:sz w:val="16"/>
          <w:szCs w:val="16"/>
          <w:lang w:eastAsia="ar-SA"/>
        </w:rPr>
        <w:t>ācija par finanšu instrumentiem</w:t>
      </w:r>
      <w:r w:rsidRPr="00D22DA1">
        <w:rPr>
          <w:rFonts w:eastAsia="Calibri" w:cs="Times New Roman"/>
          <w:sz w:val="16"/>
          <w:szCs w:val="16"/>
          <w:lang w:eastAsia="ar-SA"/>
        </w:rPr>
        <w:t xml:space="preserve"> pieejama ES fondu tīmekļa vietnē:  </w:t>
      </w:r>
      <w:hyperlink r:id="rId1" w:history="1">
        <w:r w:rsidRPr="00D22DA1">
          <w:rPr>
            <w:rStyle w:val="Hyperlink"/>
            <w:sz w:val="16"/>
            <w:szCs w:val="16"/>
          </w:rPr>
          <w:t>http://www.esfondi.lv/finansu-instrumentu-ieviesanas-statuss</w:t>
        </w:r>
      </w:hyperlink>
      <w:r w:rsidRPr="00F66A9C">
        <w:rPr>
          <w:rStyle w:val="Hyperlink"/>
          <w:sz w:val="16"/>
          <w:szCs w:val="16"/>
          <w:u w:val="none"/>
        </w:rPr>
        <w:t>;</w:t>
      </w:r>
      <w:r w:rsidR="00F66A9C" w:rsidRPr="00F66A9C">
        <w:rPr>
          <w:rStyle w:val="Hyperlink"/>
          <w:sz w:val="16"/>
          <w:szCs w:val="16"/>
          <w:u w:val="none"/>
        </w:rPr>
        <w:t xml:space="preserve"> </w:t>
      </w:r>
      <w:r w:rsidRPr="00D22DA1">
        <w:rPr>
          <w:rStyle w:val="Hyperlink"/>
          <w:sz w:val="16"/>
          <w:szCs w:val="16"/>
        </w:rPr>
        <w:t xml:space="preserve"> </w:t>
      </w:r>
      <w:hyperlink r:id="rId2" w:history="1">
        <w:r w:rsidRPr="00D22DA1">
          <w:rPr>
            <w:rStyle w:val="Hyperlink"/>
            <w:sz w:val="16"/>
            <w:szCs w:val="16"/>
          </w:rPr>
          <w:t>http://www.altum.lv/lv</w:t>
        </w:r>
      </w:hyperlink>
    </w:p>
  </w:footnote>
  <w:footnote w:id="3">
    <w:p w14:paraId="483EADD9" w14:textId="77777777" w:rsidR="004F42B6" w:rsidRPr="00D22DA1" w:rsidRDefault="004F42B6" w:rsidP="00A35118">
      <w:pPr>
        <w:pStyle w:val="FootnoteText"/>
        <w:jc w:val="both"/>
        <w:rPr>
          <w:color w:val="000000" w:themeColor="text1"/>
          <w:sz w:val="16"/>
          <w:szCs w:val="16"/>
        </w:rPr>
      </w:pPr>
      <w:r w:rsidRPr="00D22DA1">
        <w:rPr>
          <w:rStyle w:val="FootnoteReference"/>
          <w:color w:val="000000" w:themeColor="text1"/>
          <w:sz w:val="16"/>
          <w:szCs w:val="16"/>
        </w:rPr>
        <w:footnoteRef/>
      </w:r>
      <w:r w:rsidRPr="00D22DA1">
        <w:rPr>
          <w:color w:val="000000" w:themeColor="text1"/>
          <w:sz w:val="16"/>
          <w:szCs w:val="16"/>
        </w:rPr>
        <w:t xml:space="preserve"> ES fondu tīmekļa vietnes sadaļā par </w:t>
      </w:r>
      <w:r w:rsidRPr="00D22DA1">
        <w:rPr>
          <w:sz w:val="16"/>
          <w:szCs w:val="16"/>
        </w:rPr>
        <w:t>ES fondu un Kohēzijas fonda kopējiem EK veiktiem maksājumiem dalībvalstīm:</w:t>
      </w:r>
      <w:r w:rsidRPr="00D22DA1">
        <w:rPr>
          <w:color w:val="000000" w:themeColor="text1"/>
          <w:sz w:val="16"/>
          <w:szCs w:val="16"/>
        </w:rPr>
        <w:t xml:space="preserve"> </w:t>
      </w:r>
      <w:hyperlink r:id="rId3" w:history="1">
        <w:r w:rsidRPr="00D22DA1">
          <w:rPr>
            <w:rStyle w:val="Hyperlink"/>
            <w:sz w:val="16"/>
            <w:szCs w:val="16"/>
          </w:rPr>
          <w:t>http://www.esfondi.lv/kopejie-ek-veiktie-maksajumi-dalibvalstim</w:t>
        </w:r>
      </w:hyperlink>
    </w:p>
  </w:footnote>
  <w:footnote w:id="4">
    <w:p w14:paraId="703181B8" w14:textId="77777777" w:rsidR="004F42B6" w:rsidRPr="00D22DA1" w:rsidRDefault="004F42B6" w:rsidP="0079264C">
      <w:pPr>
        <w:pStyle w:val="FootnoteText"/>
        <w:jc w:val="both"/>
        <w:rPr>
          <w:sz w:val="16"/>
          <w:szCs w:val="16"/>
        </w:rPr>
      </w:pPr>
      <w:r w:rsidRPr="00D22DA1">
        <w:rPr>
          <w:rStyle w:val="FootnoteReference"/>
          <w:sz w:val="16"/>
          <w:szCs w:val="16"/>
        </w:rPr>
        <w:footnoteRef/>
      </w:r>
      <w:r w:rsidRPr="00D22DA1">
        <w:rPr>
          <w:sz w:val="16"/>
          <w:szCs w:val="16"/>
        </w:rP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6.pielikumu: </w:t>
      </w:r>
      <w:hyperlink r:id="rId4" w:history="1">
        <w:r w:rsidRPr="00D22DA1">
          <w:rPr>
            <w:rStyle w:val="Hyperlink"/>
            <w:rFonts w:eastAsia="Calibri" w:cs="Times New Roman"/>
            <w:sz w:val="16"/>
            <w:szCs w:val="16"/>
            <w:lang w:eastAsia="ar-SA"/>
          </w:rPr>
          <w:t>http://www.esfondi.lv/zinojumi-Ministru-kabinetam</w:t>
        </w:r>
      </w:hyperlink>
    </w:p>
  </w:footnote>
  <w:footnote w:id="5">
    <w:p w14:paraId="364A761E" w14:textId="649B8BF0" w:rsidR="004F42B6" w:rsidRPr="00D22DA1" w:rsidRDefault="004F42B6" w:rsidP="0079264C">
      <w:pPr>
        <w:pStyle w:val="FootnoteText"/>
        <w:jc w:val="both"/>
        <w:rPr>
          <w:sz w:val="16"/>
          <w:szCs w:val="16"/>
        </w:rPr>
      </w:pPr>
      <w:r w:rsidRPr="00D22DA1">
        <w:rPr>
          <w:rStyle w:val="FootnoteReference"/>
          <w:sz w:val="16"/>
          <w:szCs w:val="16"/>
        </w:rPr>
        <w:footnoteRef/>
      </w:r>
      <w:r w:rsidRPr="00D22DA1">
        <w:rPr>
          <w:sz w:val="16"/>
          <w:szCs w:val="16"/>
        </w:rPr>
        <w:t xml:space="preserve"> Pilna informācija par izpildes statusu uz 2016.gada 1.oktobri pieejama </w:t>
      </w:r>
      <w:hyperlink r:id="rId5" w:history="1">
        <w:r w:rsidRPr="00D22DA1">
          <w:rPr>
            <w:rStyle w:val="Hyperlink"/>
            <w:sz w:val="16"/>
            <w:szCs w:val="16"/>
          </w:rPr>
          <w:t>http://www.esfondi.lv/finansu-un-raditaju-plani-to-izpilde</w:t>
        </w:r>
      </w:hyperlink>
    </w:p>
  </w:footnote>
  <w:footnote w:id="6">
    <w:p w14:paraId="61A2238E" w14:textId="505D6462" w:rsidR="004F42B6" w:rsidRPr="00D22DA1" w:rsidRDefault="004F42B6" w:rsidP="0079264C">
      <w:pPr>
        <w:pStyle w:val="FootnoteText"/>
        <w:jc w:val="both"/>
        <w:rPr>
          <w:sz w:val="16"/>
          <w:szCs w:val="16"/>
        </w:rPr>
      </w:pPr>
      <w:r w:rsidRPr="00D22DA1">
        <w:rPr>
          <w:rStyle w:val="FootnoteReference"/>
          <w:sz w:val="16"/>
          <w:szCs w:val="16"/>
        </w:rPr>
        <w:footnoteRef/>
      </w:r>
      <w:r w:rsidRPr="00D22DA1">
        <w:rPr>
          <w:sz w:val="16"/>
          <w:szCs w:val="16"/>
        </w:rPr>
        <w:t xml:space="preserve"> Finanšu rādītāju plāni un to izpilde </w:t>
      </w:r>
      <w:hyperlink r:id="rId6" w:history="1">
        <w:r w:rsidRPr="00D22DA1">
          <w:rPr>
            <w:rStyle w:val="Hyperlink"/>
            <w:sz w:val="16"/>
            <w:szCs w:val="16"/>
          </w:rPr>
          <w:t>http://www.esfondi.lv/finansu-un-raditaju-plani-to-izpilde</w:t>
        </w:r>
      </w:hyperlink>
      <w:r w:rsidRPr="00D22DA1">
        <w:rPr>
          <w:sz w:val="16"/>
          <w:szCs w:val="16"/>
        </w:rPr>
        <w:t xml:space="preserve"> </w:t>
      </w:r>
    </w:p>
  </w:footnote>
  <w:footnote w:id="7">
    <w:p w14:paraId="2BEE9CEF" w14:textId="465A9A48" w:rsidR="004F42B6" w:rsidRPr="00D22DA1" w:rsidRDefault="004F42B6" w:rsidP="004A1F15">
      <w:pPr>
        <w:pStyle w:val="FootnoteText"/>
        <w:jc w:val="both"/>
        <w:rPr>
          <w:sz w:val="16"/>
          <w:szCs w:val="16"/>
        </w:rPr>
      </w:pPr>
      <w:r w:rsidRPr="00D22DA1">
        <w:rPr>
          <w:rStyle w:val="FootnoteReference"/>
          <w:sz w:val="16"/>
          <w:szCs w:val="16"/>
        </w:rPr>
        <w:footnoteRef/>
      </w:r>
      <w:r w:rsidRPr="00D22DA1">
        <w:rPr>
          <w:sz w:val="16"/>
          <w:szCs w:val="16"/>
        </w:rPr>
        <w:t xml:space="preserve"> </w:t>
      </w:r>
      <w:r w:rsidRPr="00D22DA1">
        <w:rPr>
          <w:sz w:val="16"/>
          <w:szCs w:val="16"/>
        </w:rPr>
        <w:t>Pilna informācija par izpildes statusu uz 2016.gada 1.septembri pieejama</w:t>
      </w:r>
      <w:hyperlink r:id="rId7" w:history="1"/>
      <w:r w:rsidRPr="00D22DA1">
        <w:rPr>
          <w:rStyle w:val="Hyperlink"/>
          <w:sz w:val="16"/>
          <w:szCs w:val="16"/>
        </w:rPr>
        <w:t xml:space="preserve"> </w:t>
      </w:r>
      <w:hyperlink r:id="rId8" w:history="1">
        <w:r w:rsidRPr="00D22DA1">
          <w:rPr>
            <w:rStyle w:val="Hyperlink"/>
            <w:sz w:val="16"/>
            <w:szCs w:val="16"/>
          </w:rPr>
          <w:t>http://www.esfondi.lv/finansu-un-raditaju-plani-to-izpilde</w:t>
        </w:r>
      </w:hyperlink>
      <w:r w:rsidRPr="00D22DA1">
        <w:rPr>
          <w:rStyle w:val="Hyperlink"/>
          <w:sz w:val="16"/>
          <w:szCs w:val="16"/>
        </w:rPr>
        <w:t xml:space="preserve">, </w:t>
      </w:r>
      <w:r w:rsidRPr="00D22DA1">
        <w:rPr>
          <w:rFonts w:eastAsia="Times New Roman" w:cs="Times New Roman"/>
          <w:color w:val="000000"/>
          <w:sz w:val="16"/>
          <w:szCs w:val="16"/>
        </w:rPr>
        <w:t xml:space="preserve">kā arī Centrālās finanšu un līgumu aģentūras tīmekļa vietnē pieejams atlašu izsludināšanas indikatīvais laika grafiks  </w:t>
      </w:r>
      <w:hyperlink r:id="rId9" w:history="1">
        <w:r w:rsidRPr="00D22DA1">
          <w:rPr>
            <w:rStyle w:val="Hyperlink"/>
            <w:sz w:val="16"/>
            <w:szCs w:val="16"/>
          </w:rPr>
          <w:t>http://www.cfla.gov.lv/lv/es-fondi-2014-2020/projektu-iesniegumu-atlase</w:t>
        </w:r>
      </w:hyperlink>
      <w:r w:rsidRPr="00D22DA1">
        <w:rPr>
          <w:rStyle w:val="Hyperlink"/>
          <w:sz w:val="16"/>
          <w:szCs w:val="16"/>
        </w:rPr>
        <w:t xml:space="preserve"> </w:t>
      </w:r>
    </w:p>
  </w:footnote>
  <w:footnote w:id="8">
    <w:p w14:paraId="3F25E6E9" w14:textId="77777777" w:rsidR="00624251" w:rsidRDefault="00624251" w:rsidP="00624251">
      <w:pPr>
        <w:pStyle w:val="FootnoteText"/>
      </w:pPr>
      <w:r>
        <w:rPr>
          <w:rStyle w:val="FootnoteReference"/>
        </w:rPr>
        <w:footnoteRef/>
      </w:r>
      <w:r>
        <w:t xml:space="preserve"> </w:t>
      </w:r>
      <w:r w:rsidRPr="000844FA">
        <w:rPr>
          <w:sz w:val="16"/>
        </w:rPr>
        <w:t>2.2.1.1. pasākums “Centralizētu publiskās pārvaldes IKT platformu izveide, publiskās pārvaldes procesu optimizēšana un attīstība”</w:t>
      </w:r>
    </w:p>
  </w:footnote>
  <w:footnote w:id="9">
    <w:p w14:paraId="23546DA6" w14:textId="4B05FDD0" w:rsidR="007E6376" w:rsidRPr="00FD3316" w:rsidRDefault="007E6376" w:rsidP="00FD3316">
      <w:pPr>
        <w:pStyle w:val="FootnoteText"/>
        <w:jc w:val="both"/>
        <w:rPr>
          <w:sz w:val="16"/>
          <w:szCs w:val="16"/>
        </w:rPr>
      </w:pPr>
      <w:r w:rsidRPr="00FD3316">
        <w:rPr>
          <w:rStyle w:val="FootnoteReference"/>
          <w:sz w:val="16"/>
          <w:szCs w:val="16"/>
        </w:rPr>
        <w:footnoteRef/>
      </w:r>
      <w:r w:rsidRPr="00FD3316">
        <w:rPr>
          <w:sz w:val="16"/>
          <w:szCs w:val="16"/>
        </w:rPr>
        <w:t xml:space="preserve"> </w:t>
      </w:r>
      <w:r>
        <w:rPr>
          <w:sz w:val="16"/>
          <w:szCs w:val="16"/>
        </w:rPr>
        <w:t>MK</w:t>
      </w:r>
      <w:r w:rsidRPr="00FD3316">
        <w:rPr>
          <w:sz w:val="16"/>
          <w:szCs w:val="16"/>
        </w:rPr>
        <w:t xml:space="preserve"> </w:t>
      </w:r>
      <w:r>
        <w:rPr>
          <w:sz w:val="16"/>
          <w:szCs w:val="16"/>
        </w:rPr>
        <w:t>2015.gada 17.</w:t>
      </w:r>
      <w:r w:rsidRPr="00FD3316">
        <w:rPr>
          <w:sz w:val="16"/>
          <w:szCs w:val="16"/>
        </w:rPr>
        <w:t>novembra noteikum</w:t>
      </w:r>
      <w:r>
        <w:rPr>
          <w:sz w:val="16"/>
          <w:szCs w:val="16"/>
        </w:rPr>
        <w:t>i Nr.653 “Darbības programmas “</w:t>
      </w:r>
      <w:r w:rsidRPr="00FD3316">
        <w:rPr>
          <w:sz w:val="16"/>
          <w:szCs w:val="16"/>
        </w:rPr>
        <w:t xml:space="preserve">Izaugsme un nodarbinātība” 2.2.1.specifiskā atbalsta mērķa </w:t>
      </w:r>
      <w:r>
        <w:rPr>
          <w:sz w:val="16"/>
          <w:szCs w:val="16"/>
        </w:rPr>
        <w:t>“</w:t>
      </w:r>
      <w:r w:rsidRPr="00FD3316">
        <w:rPr>
          <w:sz w:val="16"/>
          <w:szCs w:val="16"/>
        </w:rPr>
        <w:t>Nodrošināt publisko datu atkalizmantošanas pieaugumu un efektīvu publiskās pārvaldes un privātā sektora mijiedarbību”</w:t>
      </w:r>
      <w:r>
        <w:rPr>
          <w:sz w:val="16"/>
          <w:szCs w:val="16"/>
        </w:rPr>
        <w:t xml:space="preserve"> 2.2.1.1.pasākuma “</w:t>
      </w:r>
      <w:r w:rsidRPr="00FD3316">
        <w:rPr>
          <w:sz w:val="16"/>
          <w:szCs w:val="16"/>
        </w:rPr>
        <w:t>Centralizētu publiskās pārvaldes IKT platformu izveide, publiskās pārvaldes procesu optimizēšana un attīstība” īstenošanas noteikumi</w:t>
      </w:r>
    </w:p>
  </w:footnote>
  <w:footnote w:id="10">
    <w:p w14:paraId="2894F333" w14:textId="77777777" w:rsidR="00624251" w:rsidRPr="00D22DA1" w:rsidRDefault="00624251" w:rsidP="00624251">
      <w:pPr>
        <w:pStyle w:val="FootnoteText"/>
        <w:rPr>
          <w:sz w:val="16"/>
          <w:szCs w:val="16"/>
        </w:rPr>
      </w:pPr>
      <w:r w:rsidRPr="00D22DA1">
        <w:rPr>
          <w:rStyle w:val="FootnoteReference"/>
          <w:sz w:val="16"/>
          <w:szCs w:val="16"/>
        </w:rPr>
        <w:footnoteRef/>
      </w:r>
      <w:r w:rsidRPr="00D22DA1">
        <w:rPr>
          <w:sz w:val="16"/>
          <w:szCs w:val="16"/>
        </w:rPr>
        <w:t xml:space="preserve"> 2.2.1.2. pasākums “</w:t>
      </w:r>
      <w:proofErr w:type="spellStart"/>
      <w:r w:rsidRPr="00D22DA1">
        <w:rPr>
          <w:sz w:val="16"/>
          <w:szCs w:val="16"/>
        </w:rPr>
        <w:t>Digitalizācija</w:t>
      </w:r>
      <w:proofErr w:type="spellEnd"/>
      <w:r w:rsidRPr="00D22DA1">
        <w:rPr>
          <w:sz w:val="16"/>
          <w:szCs w:val="16"/>
        </w:rPr>
        <w:t>”</w:t>
      </w:r>
    </w:p>
  </w:footnote>
  <w:footnote w:id="11">
    <w:p w14:paraId="78228C3E" w14:textId="63047463" w:rsidR="00CD5291" w:rsidRPr="00FD3316" w:rsidRDefault="00CD5291" w:rsidP="00FD3316">
      <w:pPr>
        <w:pStyle w:val="FootnoteText"/>
        <w:jc w:val="both"/>
        <w:rPr>
          <w:sz w:val="16"/>
          <w:szCs w:val="16"/>
        </w:rPr>
      </w:pPr>
      <w:r w:rsidRPr="00FD3316">
        <w:rPr>
          <w:rStyle w:val="FootnoteReference"/>
          <w:sz w:val="16"/>
          <w:szCs w:val="16"/>
        </w:rPr>
        <w:footnoteRef/>
      </w:r>
      <w:r w:rsidRPr="00FD3316">
        <w:rPr>
          <w:sz w:val="16"/>
          <w:szCs w:val="16"/>
        </w:rPr>
        <w:t xml:space="preserve"> 3.3.1.SAM “</w:t>
      </w:r>
      <w:r w:rsidRPr="00CD5291">
        <w:rPr>
          <w:sz w:val="16"/>
          <w:szCs w:val="16"/>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FD3316">
        <w:rPr>
          <w:sz w:val="16"/>
          <w:szCs w:val="16"/>
        </w:rPr>
        <w:t>“ un 5.6.2.SAM “</w:t>
      </w:r>
      <w:r w:rsidRPr="00CD5291">
        <w:rPr>
          <w:sz w:val="16"/>
          <w:szCs w:val="16"/>
        </w:rPr>
        <w:t xml:space="preserve">Teritoriju </w:t>
      </w:r>
      <w:proofErr w:type="spellStart"/>
      <w:r w:rsidRPr="00CD5291">
        <w:rPr>
          <w:sz w:val="16"/>
          <w:szCs w:val="16"/>
        </w:rPr>
        <w:t>revitalizācija</w:t>
      </w:r>
      <w:proofErr w:type="spellEnd"/>
      <w:r w:rsidRPr="00CD5291">
        <w:rPr>
          <w:sz w:val="16"/>
          <w:szCs w:val="16"/>
        </w:rPr>
        <w:t>, reģenerējot degradētās teritorijas atbilstoši pašvaldību integrētajām attīstības programmām</w:t>
      </w:r>
      <w:r w:rsidRPr="00FD3316">
        <w:rPr>
          <w:sz w:val="16"/>
          <w:szCs w:val="16"/>
        </w:rPr>
        <w:t>“</w:t>
      </w:r>
    </w:p>
  </w:footnote>
  <w:footnote w:id="12">
    <w:p w14:paraId="6C151F5E" w14:textId="6A90710C" w:rsidR="005138CB" w:rsidRPr="00D22DA1" w:rsidRDefault="005138CB" w:rsidP="005138CB">
      <w:pPr>
        <w:pStyle w:val="FootnoteText"/>
        <w:jc w:val="both"/>
        <w:rPr>
          <w:sz w:val="16"/>
          <w:szCs w:val="16"/>
        </w:rPr>
      </w:pPr>
      <w:r w:rsidRPr="00D22DA1">
        <w:rPr>
          <w:rStyle w:val="FootnoteReference"/>
          <w:sz w:val="16"/>
          <w:szCs w:val="16"/>
        </w:rPr>
        <w:footnoteRef/>
      </w:r>
      <w:r w:rsidRPr="00D22DA1">
        <w:rPr>
          <w:sz w:val="16"/>
          <w:szCs w:val="16"/>
        </w:rPr>
        <w:t xml:space="preserve"> </w:t>
      </w:r>
      <w:r w:rsidR="007516E8">
        <w:rPr>
          <w:sz w:val="16"/>
          <w:szCs w:val="16"/>
        </w:rPr>
        <w:t xml:space="preserve">8.1.1.SAM “Palielināt modernizēto STEM, tajā skaitā medicīnas un radošās industrijas, studiju programmu skaitu“  un </w:t>
      </w:r>
      <w:r w:rsidRPr="00D22DA1">
        <w:rPr>
          <w:rFonts w:eastAsia="Calibri" w:cs="Times New Roman"/>
          <w:sz w:val="16"/>
          <w:szCs w:val="16"/>
          <w:lang w:eastAsia="ar-SA"/>
        </w:rPr>
        <w:t>8.1.2.SAM “Uzlabot vispārējās izglītības iestāžu mācību vidi”</w:t>
      </w:r>
      <w:r w:rsidR="00980605">
        <w:rPr>
          <w:rFonts w:eastAsia="Calibri" w:cs="Times New Roman"/>
          <w:sz w:val="16"/>
          <w:szCs w:val="16"/>
          <w:lang w:eastAsia="ar-SA"/>
        </w:rPr>
        <w:t xml:space="preserve"> </w:t>
      </w:r>
    </w:p>
  </w:footnote>
  <w:footnote w:id="13">
    <w:p w14:paraId="5D1ECAD9" w14:textId="24098C54" w:rsidR="004F42B6" w:rsidRPr="00D22DA1" w:rsidRDefault="004F42B6" w:rsidP="00F66A9C">
      <w:pPr>
        <w:pStyle w:val="FootnoteText"/>
        <w:jc w:val="both"/>
        <w:rPr>
          <w:sz w:val="16"/>
          <w:szCs w:val="16"/>
        </w:rPr>
      </w:pPr>
      <w:r w:rsidRPr="00D22DA1">
        <w:rPr>
          <w:rStyle w:val="FootnoteReference"/>
          <w:sz w:val="16"/>
          <w:szCs w:val="16"/>
        </w:rPr>
        <w:footnoteRef/>
      </w:r>
      <w:r w:rsidRPr="00D22DA1">
        <w:rPr>
          <w:sz w:val="16"/>
          <w:szCs w:val="16"/>
        </w:rPr>
        <w:t xml:space="preserve"> 5.6.1.SAM “Veicināt Rīgas pilsētas </w:t>
      </w:r>
      <w:proofErr w:type="spellStart"/>
      <w:r w:rsidRPr="00D22DA1">
        <w:rPr>
          <w:sz w:val="16"/>
          <w:szCs w:val="16"/>
        </w:rPr>
        <w:t>revitalizāciju</w:t>
      </w:r>
      <w:proofErr w:type="spellEnd"/>
      <w:r w:rsidRPr="00D22DA1">
        <w:rPr>
          <w:sz w:val="16"/>
          <w:szCs w:val="16"/>
        </w:rPr>
        <w:t>, nodrošinot teritorijas efektīvu sociālekonomisko izmantošanu”</w:t>
      </w:r>
    </w:p>
  </w:footnote>
  <w:footnote w:id="14">
    <w:p w14:paraId="0815E4A4" w14:textId="65C3B62E" w:rsidR="002D5302" w:rsidRPr="00D22DA1" w:rsidRDefault="002D5302" w:rsidP="00F66A9C">
      <w:pPr>
        <w:pStyle w:val="FootnoteText"/>
        <w:jc w:val="both"/>
        <w:rPr>
          <w:sz w:val="16"/>
          <w:szCs w:val="16"/>
        </w:rPr>
      </w:pPr>
      <w:r w:rsidRPr="00D22DA1">
        <w:rPr>
          <w:rStyle w:val="FootnoteReference"/>
          <w:sz w:val="16"/>
          <w:szCs w:val="16"/>
        </w:rPr>
        <w:footnoteRef/>
      </w:r>
      <w:r w:rsidRPr="00D22DA1">
        <w:rPr>
          <w:sz w:val="16"/>
          <w:szCs w:val="16"/>
        </w:rPr>
        <w:t xml:space="preserve"> 5.5.1. SAM “Saglabāt, aizsargāt un attīstīt nozīmīgu kultūras un dabas mantojumu, kā arī attīstīt ar to saistītos pakalpojumus”</w:t>
      </w:r>
    </w:p>
  </w:footnote>
  <w:footnote w:id="15">
    <w:p w14:paraId="32FF7283" w14:textId="77777777" w:rsidR="004F42B6" w:rsidRPr="00D22DA1" w:rsidRDefault="004F42B6" w:rsidP="00F66A9C">
      <w:pPr>
        <w:pStyle w:val="FootnoteText"/>
        <w:jc w:val="both"/>
        <w:rPr>
          <w:sz w:val="16"/>
          <w:szCs w:val="16"/>
        </w:rPr>
      </w:pPr>
      <w:r w:rsidRPr="00D22DA1">
        <w:rPr>
          <w:rStyle w:val="FootnoteReference"/>
          <w:sz w:val="16"/>
          <w:szCs w:val="16"/>
        </w:rPr>
        <w:footnoteRef/>
      </w:r>
      <w:r w:rsidRPr="00D22DA1">
        <w:rPr>
          <w:sz w:val="16"/>
          <w:szCs w:val="16"/>
        </w:rPr>
        <w:t xml:space="preserve"> </w:t>
      </w:r>
      <w:hyperlink r:id="rId10" w:history="1">
        <w:r w:rsidRPr="00D22DA1">
          <w:rPr>
            <w:rStyle w:val="Hyperlink"/>
            <w:rFonts w:eastAsia="Times New Roman" w:cs="Times New Roman"/>
            <w:sz w:val="16"/>
            <w:szCs w:val="16"/>
          </w:rPr>
          <w:t>http://www.cfla.gov.lv/lv/es-fondi-2014-2020/izsludinatas-atlases</w:t>
        </w:r>
      </w:hyperlink>
    </w:p>
  </w:footnote>
  <w:footnote w:id="16">
    <w:p w14:paraId="65E30F0A" w14:textId="5C62C2E4" w:rsidR="004F42B6" w:rsidRPr="00D22DA1" w:rsidRDefault="004F42B6" w:rsidP="00F66A9C">
      <w:pPr>
        <w:pStyle w:val="FootnoteText"/>
        <w:jc w:val="both"/>
        <w:rPr>
          <w:sz w:val="16"/>
          <w:szCs w:val="16"/>
        </w:rPr>
      </w:pPr>
      <w:r w:rsidRPr="00D22DA1">
        <w:rPr>
          <w:rStyle w:val="FootnoteReference"/>
          <w:sz w:val="16"/>
          <w:szCs w:val="16"/>
        </w:rPr>
        <w:footnoteRef/>
      </w:r>
      <w:r w:rsidRPr="00D22DA1">
        <w:rPr>
          <w:sz w:val="16"/>
          <w:szCs w:val="16"/>
        </w:rPr>
        <w:t xml:space="preserve"> 2016.gada septembra ziņojums pieejams </w:t>
      </w:r>
      <w:hyperlink r:id="rId11" w:history="1">
        <w:r w:rsidRPr="00D22DA1">
          <w:rPr>
            <w:rStyle w:val="Hyperlink"/>
            <w:sz w:val="16"/>
            <w:szCs w:val="16"/>
          </w:rPr>
          <w:t>http://www.esfondi.lv/zinojumi-Ministru-kabinetam</w:t>
        </w:r>
      </w:hyperlink>
      <w:r w:rsidRPr="00D22DA1">
        <w:rPr>
          <w:sz w:val="16"/>
          <w:szCs w:val="16"/>
        </w:rPr>
        <w:t xml:space="preserve"> </w:t>
      </w:r>
    </w:p>
  </w:footnote>
  <w:footnote w:id="17">
    <w:p w14:paraId="2820444F" w14:textId="66BFAD2C" w:rsidR="004F42B6" w:rsidRPr="00D22DA1" w:rsidRDefault="004F42B6" w:rsidP="0079264C">
      <w:pPr>
        <w:pStyle w:val="FootnoteText"/>
        <w:jc w:val="both"/>
        <w:rPr>
          <w:rFonts w:cs="Times New Roman"/>
          <w:sz w:val="16"/>
          <w:szCs w:val="16"/>
        </w:rPr>
      </w:pPr>
      <w:r w:rsidRPr="00D22DA1">
        <w:rPr>
          <w:rStyle w:val="FootnoteReference"/>
          <w:sz w:val="16"/>
          <w:szCs w:val="16"/>
        </w:rPr>
        <w:footnoteRef/>
      </w:r>
      <w:hyperlink r:id="rId12" w:history="1">
        <w:r w:rsidRPr="00D22DA1">
          <w:rPr>
            <w:rStyle w:val="Hyperlink"/>
            <w:rFonts w:cs="Times New Roman"/>
            <w:sz w:val="16"/>
            <w:szCs w:val="16"/>
          </w:rPr>
          <w:t>http://saeima.lv/lv/aktualitates/saeimas-zinas/25109-lolita-cigane-primarais-es-fondu-apguve-finansejuma-merktieciga-ieguldisana</w:t>
        </w:r>
      </w:hyperlink>
    </w:p>
  </w:footnote>
  <w:footnote w:id="18">
    <w:p w14:paraId="2C592A83" w14:textId="421301D8" w:rsidR="00660235" w:rsidRPr="00D22DA1" w:rsidRDefault="00660235">
      <w:pPr>
        <w:pStyle w:val="FootnoteText"/>
        <w:rPr>
          <w:sz w:val="16"/>
          <w:szCs w:val="16"/>
        </w:rPr>
      </w:pPr>
      <w:r w:rsidRPr="00D22DA1">
        <w:rPr>
          <w:rStyle w:val="FootnoteReference"/>
          <w:sz w:val="16"/>
          <w:szCs w:val="16"/>
        </w:rPr>
        <w:footnoteRef/>
      </w:r>
      <w:r w:rsidRPr="00D22DA1">
        <w:rPr>
          <w:sz w:val="16"/>
          <w:szCs w:val="16"/>
        </w:rPr>
        <w:t xml:space="preserve"> http://www.cfla.gov.lv/lv/es-fondi-2014-2020/izsludinatas-atlases/4-5-1-1</w:t>
      </w:r>
    </w:p>
  </w:footnote>
  <w:footnote w:id="19">
    <w:p w14:paraId="394E9599" w14:textId="5508A102" w:rsidR="004F42B6" w:rsidRPr="00D22DA1" w:rsidRDefault="004F42B6" w:rsidP="0079264C">
      <w:pPr>
        <w:pStyle w:val="FootnoteText"/>
        <w:jc w:val="both"/>
        <w:rPr>
          <w:rFonts w:cs="Times New Roman"/>
          <w:sz w:val="16"/>
          <w:szCs w:val="16"/>
        </w:rPr>
      </w:pPr>
      <w:r w:rsidRPr="00D22DA1">
        <w:rPr>
          <w:rStyle w:val="FootnoteReference"/>
          <w:rFonts w:cs="Times New Roman"/>
          <w:sz w:val="16"/>
          <w:szCs w:val="16"/>
        </w:rPr>
        <w:footnoteRef/>
      </w:r>
      <w:r w:rsidRPr="00D22DA1">
        <w:rPr>
          <w:rFonts w:cs="Times New Roman"/>
          <w:sz w:val="16"/>
          <w:szCs w:val="16"/>
        </w:rPr>
        <w:t xml:space="preserve"> Apstiprināti ar Ministra kabineta 2016.gada 3.maija rīkojumu Nr.274 “Grozījumi Eiropas Savienības struktūrfondu un Kohēzijas fonda 2014.–2020.gada plānošanas perioda darbības programmā “Izaugsme un nodarbinātība”” 2016.gada 25.augusta rīkojumu Nr.484 “Grozījumi Eiropas Savienības struktūrfondu un Kohēzijas fonda 2014.–2020.gada plānošanas perioda darbības programmā “Izaugsme un nodarbinātība””.</w:t>
      </w:r>
    </w:p>
  </w:footnote>
  <w:footnote w:id="20">
    <w:p w14:paraId="5F7D3115" w14:textId="58527C7E" w:rsidR="004F42B6" w:rsidRPr="00D22DA1" w:rsidRDefault="004F42B6" w:rsidP="0079264C">
      <w:pPr>
        <w:pStyle w:val="FootnoteText"/>
        <w:jc w:val="both"/>
        <w:rPr>
          <w:sz w:val="16"/>
          <w:szCs w:val="16"/>
        </w:rPr>
      </w:pPr>
      <w:r w:rsidRPr="00D22DA1">
        <w:rPr>
          <w:rStyle w:val="FootnoteReference"/>
          <w:sz w:val="16"/>
          <w:szCs w:val="16"/>
        </w:rPr>
        <w:footnoteRef/>
      </w:r>
      <w:r w:rsidRPr="00D22DA1">
        <w:rPr>
          <w:sz w:val="16"/>
          <w:szCs w:val="16"/>
        </w:rPr>
        <w:t xml:space="preserve"> Kopējā fondu vadības sistēma (</w:t>
      </w:r>
      <w:proofErr w:type="spellStart"/>
      <w:r w:rsidRPr="00FD3316">
        <w:rPr>
          <w:i/>
          <w:sz w:val="16"/>
          <w:szCs w:val="16"/>
        </w:rPr>
        <w:t>System</w:t>
      </w:r>
      <w:proofErr w:type="spellEnd"/>
      <w:r w:rsidRPr="00FD3316">
        <w:rPr>
          <w:i/>
          <w:sz w:val="16"/>
          <w:szCs w:val="16"/>
        </w:rPr>
        <w:t xml:space="preserve"> </w:t>
      </w:r>
      <w:proofErr w:type="spellStart"/>
      <w:r w:rsidRPr="00FD3316">
        <w:rPr>
          <w:i/>
          <w:sz w:val="16"/>
          <w:szCs w:val="16"/>
        </w:rPr>
        <w:t>for</w:t>
      </w:r>
      <w:proofErr w:type="spellEnd"/>
      <w:r w:rsidRPr="00FD3316">
        <w:rPr>
          <w:i/>
          <w:sz w:val="16"/>
          <w:szCs w:val="16"/>
        </w:rPr>
        <w:t xml:space="preserve"> </w:t>
      </w:r>
      <w:proofErr w:type="spellStart"/>
      <w:r w:rsidRPr="00FD3316">
        <w:rPr>
          <w:i/>
          <w:sz w:val="16"/>
          <w:szCs w:val="16"/>
        </w:rPr>
        <w:t>Fund</w:t>
      </w:r>
      <w:proofErr w:type="spellEnd"/>
      <w:r w:rsidRPr="00FD3316">
        <w:rPr>
          <w:i/>
          <w:sz w:val="16"/>
          <w:szCs w:val="16"/>
        </w:rPr>
        <w:t xml:space="preserve"> </w:t>
      </w:r>
      <w:proofErr w:type="spellStart"/>
      <w:r w:rsidRPr="00FD3316">
        <w:rPr>
          <w:i/>
          <w:sz w:val="16"/>
          <w:szCs w:val="16"/>
        </w:rPr>
        <w:t>management</w:t>
      </w:r>
      <w:proofErr w:type="spellEnd"/>
      <w:r w:rsidRPr="00FD3316">
        <w:rPr>
          <w:i/>
          <w:sz w:val="16"/>
          <w:szCs w:val="16"/>
        </w:rPr>
        <w:t xml:space="preserve"> </w:t>
      </w:r>
      <w:proofErr w:type="spellStart"/>
      <w:r w:rsidRPr="00FD3316">
        <w:rPr>
          <w:i/>
          <w:sz w:val="16"/>
          <w:szCs w:val="16"/>
        </w:rPr>
        <w:t>in</w:t>
      </w:r>
      <w:proofErr w:type="spellEnd"/>
      <w:r w:rsidRPr="00FD3316">
        <w:rPr>
          <w:i/>
          <w:sz w:val="16"/>
          <w:szCs w:val="16"/>
        </w:rPr>
        <w:t xml:space="preserve"> </w:t>
      </w:r>
      <w:proofErr w:type="spellStart"/>
      <w:r w:rsidRPr="00FD3316">
        <w:rPr>
          <w:i/>
          <w:sz w:val="16"/>
          <w:szCs w:val="16"/>
        </w:rPr>
        <w:t>the</w:t>
      </w:r>
      <w:proofErr w:type="spellEnd"/>
      <w:r w:rsidRPr="00FD3316">
        <w:rPr>
          <w:i/>
          <w:sz w:val="16"/>
          <w:szCs w:val="16"/>
        </w:rPr>
        <w:t xml:space="preserve"> </w:t>
      </w:r>
      <w:proofErr w:type="spellStart"/>
      <w:r w:rsidRPr="00FD3316">
        <w:rPr>
          <w:i/>
          <w:sz w:val="16"/>
          <w:szCs w:val="16"/>
        </w:rPr>
        <w:t>European</w:t>
      </w:r>
      <w:proofErr w:type="spellEnd"/>
      <w:r w:rsidRPr="00FD3316">
        <w:rPr>
          <w:i/>
          <w:sz w:val="16"/>
          <w:szCs w:val="16"/>
        </w:rPr>
        <w:t xml:space="preserve"> </w:t>
      </w:r>
      <w:proofErr w:type="spellStart"/>
      <w:r w:rsidRPr="00FD3316">
        <w:rPr>
          <w:i/>
          <w:sz w:val="16"/>
          <w:szCs w:val="16"/>
        </w:rPr>
        <w:t>Community</w:t>
      </w:r>
      <w:proofErr w:type="spellEnd"/>
      <w:r w:rsidRPr="00D22DA1">
        <w:rPr>
          <w:sz w:val="16"/>
          <w:szCs w:val="16"/>
        </w:rPr>
        <w:t xml:space="preserve"> 2014-2020) (turpmāk – SFC2014).</w:t>
      </w:r>
    </w:p>
  </w:footnote>
  <w:footnote w:id="21">
    <w:p w14:paraId="42F82DA4" w14:textId="3B03A584" w:rsidR="004F42B6" w:rsidRPr="00D22DA1" w:rsidRDefault="004F42B6" w:rsidP="0079264C">
      <w:pPr>
        <w:pStyle w:val="FootnoteText"/>
        <w:jc w:val="both"/>
        <w:rPr>
          <w:sz w:val="16"/>
          <w:szCs w:val="16"/>
        </w:rPr>
      </w:pPr>
      <w:r w:rsidRPr="00D22DA1">
        <w:rPr>
          <w:rStyle w:val="FootnoteReference"/>
          <w:sz w:val="16"/>
          <w:szCs w:val="16"/>
        </w:rPr>
        <w:footnoteRef/>
      </w:r>
      <w:r w:rsidRPr="00D22DA1">
        <w:rPr>
          <w:sz w:val="16"/>
          <w:szCs w:val="16"/>
        </w:rPr>
        <w:t xml:space="preserve">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atceļ padomes regulu (EK) Nr.1083/2006</w:t>
      </w:r>
    </w:p>
  </w:footnote>
  <w:footnote w:id="22">
    <w:p w14:paraId="20D8950C" w14:textId="77777777" w:rsidR="0048442F" w:rsidRPr="00D22DA1" w:rsidRDefault="0048442F" w:rsidP="0048442F">
      <w:pPr>
        <w:pStyle w:val="FootnoteText"/>
        <w:jc w:val="both"/>
        <w:rPr>
          <w:sz w:val="16"/>
          <w:szCs w:val="16"/>
        </w:rPr>
      </w:pPr>
      <w:r w:rsidRPr="00D22DA1">
        <w:rPr>
          <w:rStyle w:val="FootnoteReference"/>
          <w:sz w:val="16"/>
          <w:szCs w:val="16"/>
        </w:rPr>
        <w:footnoteRef/>
      </w:r>
      <w:r w:rsidRPr="00D22DA1">
        <w:rPr>
          <w:sz w:val="16"/>
          <w:szCs w:val="16"/>
        </w:rP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5.pielikumu: </w:t>
      </w:r>
      <w:hyperlink r:id="rId13" w:history="1">
        <w:r w:rsidRPr="00D22DA1">
          <w:rPr>
            <w:rStyle w:val="Hyperlink"/>
            <w:rFonts w:eastAsia="Calibri" w:cs="Times New Roman"/>
            <w:sz w:val="16"/>
            <w:szCs w:val="16"/>
            <w:lang w:eastAsia="ar-SA"/>
          </w:rPr>
          <w:t>http://www.esfondi.lv/zinojumi-Ministru-kabinetam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00518"/>
      <w:docPartObj>
        <w:docPartGallery w:val="Page Numbers (Top of Page)"/>
        <w:docPartUnique/>
      </w:docPartObj>
    </w:sdtPr>
    <w:sdtEndPr>
      <w:rPr>
        <w:noProof/>
      </w:rPr>
    </w:sdtEndPr>
    <w:sdtContent>
      <w:p w14:paraId="7885E5AC" w14:textId="25A026AB" w:rsidR="004F42B6" w:rsidRDefault="004F42B6">
        <w:pPr>
          <w:pStyle w:val="Header"/>
          <w:jc w:val="center"/>
        </w:pPr>
        <w:r>
          <w:fldChar w:fldCharType="begin"/>
        </w:r>
        <w:r>
          <w:instrText xml:space="preserve"> PAGE   \* MERGEFORMAT </w:instrText>
        </w:r>
        <w:r>
          <w:fldChar w:fldCharType="separate"/>
        </w:r>
        <w:r w:rsidR="00B85A10">
          <w:rPr>
            <w:noProof/>
          </w:rPr>
          <w:t>2</w:t>
        </w:r>
        <w:r>
          <w:rPr>
            <w:noProof/>
          </w:rPr>
          <w:fldChar w:fldCharType="end"/>
        </w:r>
      </w:p>
    </w:sdtContent>
  </w:sdt>
  <w:p w14:paraId="0C8E0C95" w14:textId="26BB3FA8" w:rsidR="004F42B6" w:rsidRDefault="004F42B6" w:rsidP="00947B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A50485"/>
    <w:multiLevelType w:val="hybridMultilevel"/>
    <w:tmpl w:val="AB38EE72"/>
    <w:lvl w:ilvl="0" w:tplc="3EEEA132">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29258C"/>
    <w:multiLevelType w:val="hybridMultilevel"/>
    <w:tmpl w:val="68D8B1A6"/>
    <w:lvl w:ilvl="0" w:tplc="D6AADBA2">
      <w:start w:val="1"/>
      <w:numFmt w:val="decimal"/>
      <w:lvlText w:val="%1)"/>
      <w:lvlJc w:val="left"/>
      <w:pPr>
        <w:tabs>
          <w:tab w:val="num" w:pos="720"/>
        </w:tabs>
        <w:ind w:left="720" w:hanging="360"/>
      </w:pPr>
    </w:lvl>
    <w:lvl w:ilvl="1" w:tplc="8B42E8CA" w:tentative="1">
      <w:start w:val="1"/>
      <w:numFmt w:val="decimal"/>
      <w:lvlText w:val="%2)"/>
      <w:lvlJc w:val="left"/>
      <w:pPr>
        <w:tabs>
          <w:tab w:val="num" w:pos="1440"/>
        </w:tabs>
        <w:ind w:left="1440" w:hanging="360"/>
      </w:pPr>
    </w:lvl>
    <w:lvl w:ilvl="2" w:tplc="34BC91F6" w:tentative="1">
      <w:start w:val="1"/>
      <w:numFmt w:val="decimal"/>
      <w:lvlText w:val="%3)"/>
      <w:lvlJc w:val="left"/>
      <w:pPr>
        <w:tabs>
          <w:tab w:val="num" w:pos="2160"/>
        </w:tabs>
        <w:ind w:left="2160" w:hanging="360"/>
      </w:pPr>
    </w:lvl>
    <w:lvl w:ilvl="3" w:tplc="FAC28BB8" w:tentative="1">
      <w:start w:val="1"/>
      <w:numFmt w:val="decimal"/>
      <w:lvlText w:val="%4)"/>
      <w:lvlJc w:val="left"/>
      <w:pPr>
        <w:tabs>
          <w:tab w:val="num" w:pos="2880"/>
        </w:tabs>
        <w:ind w:left="2880" w:hanging="360"/>
      </w:pPr>
    </w:lvl>
    <w:lvl w:ilvl="4" w:tplc="97DAF21A" w:tentative="1">
      <w:start w:val="1"/>
      <w:numFmt w:val="decimal"/>
      <w:lvlText w:val="%5)"/>
      <w:lvlJc w:val="left"/>
      <w:pPr>
        <w:tabs>
          <w:tab w:val="num" w:pos="3600"/>
        </w:tabs>
        <w:ind w:left="3600" w:hanging="360"/>
      </w:pPr>
    </w:lvl>
    <w:lvl w:ilvl="5" w:tplc="5F7C772E" w:tentative="1">
      <w:start w:val="1"/>
      <w:numFmt w:val="decimal"/>
      <w:lvlText w:val="%6)"/>
      <w:lvlJc w:val="left"/>
      <w:pPr>
        <w:tabs>
          <w:tab w:val="num" w:pos="4320"/>
        </w:tabs>
        <w:ind w:left="4320" w:hanging="360"/>
      </w:pPr>
    </w:lvl>
    <w:lvl w:ilvl="6" w:tplc="A4FAACAC" w:tentative="1">
      <w:start w:val="1"/>
      <w:numFmt w:val="decimal"/>
      <w:lvlText w:val="%7)"/>
      <w:lvlJc w:val="left"/>
      <w:pPr>
        <w:tabs>
          <w:tab w:val="num" w:pos="5040"/>
        </w:tabs>
        <w:ind w:left="5040" w:hanging="360"/>
      </w:pPr>
    </w:lvl>
    <w:lvl w:ilvl="7" w:tplc="B636E28E" w:tentative="1">
      <w:start w:val="1"/>
      <w:numFmt w:val="decimal"/>
      <w:lvlText w:val="%8)"/>
      <w:lvlJc w:val="left"/>
      <w:pPr>
        <w:tabs>
          <w:tab w:val="num" w:pos="5760"/>
        </w:tabs>
        <w:ind w:left="5760" w:hanging="360"/>
      </w:pPr>
    </w:lvl>
    <w:lvl w:ilvl="8" w:tplc="F0F0CF9E" w:tentative="1">
      <w:start w:val="1"/>
      <w:numFmt w:val="decimal"/>
      <w:lvlText w:val="%9)"/>
      <w:lvlJc w:val="left"/>
      <w:pPr>
        <w:tabs>
          <w:tab w:val="num" w:pos="6480"/>
        </w:tabs>
        <w:ind w:left="6480" w:hanging="360"/>
      </w:pPr>
    </w:lvl>
  </w:abstractNum>
  <w:abstractNum w:abstractNumId="3">
    <w:nsid w:val="287A10C0"/>
    <w:multiLevelType w:val="hybridMultilevel"/>
    <w:tmpl w:val="7D0840FC"/>
    <w:lvl w:ilvl="0" w:tplc="0426000B">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nsid w:val="300D0D16"/>
    <w:multiLevelType w:val="hybridMultilevel"/>
    <w:tmpl w:val="77F21DFC"/>
    <w:lvl w:ilvl="0" w:tplc="04260001">
      <w:start w:val="1"/>
      <w:numFmt w:val="bullet"/>
      <w:lvlText w:val=""/>
      <w:lvlJc w:val="left"/>
      <w:pPr>
        <w:ind w:left="780" w:hanging="360"/>
      </w:pPr>
      <w:rPr>
        <w:rFonts w:ascii="Symbol" w:hAnsi="Symbol" w:hint="default"/>
      </w:rPr>
    </w:lvl>
    <w:lvl w:ilvl="1" w:tplc="0824B9DE">
      <w:start w:val="1"/>
      <w:numFmt w:val="lowerLetter"/>
      <w:lvlText w:val="%2)"/>
      <w:lvlJc w:val="left"/>
      <w:pPr>
        <w:ind w:left="1500" w:hanging="360"/>
      </w:pPr>
      <w:rPr>
        <w:rFonts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32A47C2C"/>
    <w:multiLevelType w:val="multilevel"/>
    <w:tmpl w:val="E58CAB1E"/>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406B0A1B"/>
    <w:multiLevelType w:val="hybridMultilevel"/>
    <w:tmpl w:val="C5B0A606"/>
    <w:lvl w:ilvl="0" w:tplc="04260011">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6D41C4"/>
    <w:multiLevelType w:val="hybridMultilevel"/>
    <w:tmpl w:val="9F9C9CDA"/>
    <w:lvl w:ilvl="0" w:tplc="0824B9DE">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8">
    <w:nsid w:val="4876090C"/>
    <w:multiLevelType w:val="hybridMultilevel"/>
    <w:tmpl w:val="6A1A05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8546826"/>
    <w:multiLevelType w:val="multilevel"/>
    <w:tmpl w:val="81D091E4"/>
    <w:lvl w:ilvl="0">
      <w:start w:val="2"/>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5CE92AE4"/>
    <w:multiLevelType w:val="hybridMultilevel"/>
    <w:tmpl w:val="54C0A912"/>
    <w:lvl w:ilvl="0" w:tplc="600ABC6A">
      <w:start w:val="1"/>
      <w:numFmt w:val="decimal"/>
      <w:lvlText w:val="%1."/>
      <w:lvlJc w:val="left"/>
      <w:pPr>
        <w:ind w:left="360" w:hanging="360"/>
      </w:pPr>
      <w:rPr>
        <w:rFonts w:eastAsia="Calibr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5FBC6DB3"/>
    <w:multiLevelType w:val="multilevel"/>
    <w:tmpl w:val="DE4CAE16"/>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5FED4615"/>
    <w:multiLevelType w:val="hybridMultilevel"/>
    <w:tmpl w:val="C3F423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nsid w:val="648E5BCD"/>
    <w:multiLevelType w:val="hybridMultilevel"/>
    <w:tmpl w:val="399EB4F6"/>
    <w:lvl w:ilvl="0" w:tplc="EC2E4502">
      <w:start w:val="1"/>
      <w:numFmt w:val="lowerLetter"/>
      <w:lvlText w:val="%1)"/>
      <w:lvlJc w:val="left"/>
      <w:pPr>
        <w:tabs>
          <w:tab w:val="num" w:pos="720"/>
        </w:tabs>
        <w:ind w:left="720" w:hanging="360"/>
      </w:pPr>
    </w:lvl>
    <w:lvl w:ilvl="1" w:tplc="AFD28040" w:tentative="1">
      <w:start w:val="1"/>
      <w:numFmt w:val="lowerLetter"/>
      <w:lvlText w:val="%2)"/>
      <w:lvlJc w:val="left"/>
      <w:pPr>
        <w:tabs>
          <w:tab w:val="num" w:pos="1440"/>
        </w:tabs>
        <w:ind w:left="1440" w:hanging="360"/>
      </w:pPr>
    </w:lvl>
    <w:lvl w:ilvl="2" w:tplc="BD2A6CA8" w:tentative="1">
      <w:start w:val="1"/>
      <w:numFmt w:val="lowerLetter"/>
      <w:lvlText w:val="%3)"/>
      <w:lvlJc w:val="left"/>
      <w:pPr>
        <w:tabs>
          <w:tab w:val="num" w:pos="2160"/>
        </w:tabs>
        <w:ind w:left="2160" w:hanging="360"/>
      </w:pPr>
    </w:lvl>
    <w:lvl w:ilvl="3" w:tplc="E634E2D2" w:tentative="1">
      <w:start w:val="1"/>
      <w:numFmt w:val="lowerLetter"/>
      <w:lvlText w:val="%4)"/>
      <w:lvlJc w:val="left"/>
      <w:pPr>
        <w:tabs>
          <w:tab w:val="num" w:pos="2880"/>
        </w:tabs>
        <w:ind w:left="2880" w:hanging="360"/>
      </w:pPr>
    </w:lvl>
    <w:lvl w:ilvl="4" w:tplc="2FC64072" w:tentative="1">
      <w:start w:val="1"/>
      <w:numFmt w:val="lowerLetter"/>
      <w:lvlText w:val="%5)"/>
      <w:lvlJc w:val="left"/>
      <w:pPr>
        <w:tabs>
          <w:tab w:val="num" w:pos="3600"/>
        </w:tabs>
        <w:ind w:left="3600" w:hanging="360"/>
      </w:pPr>
    </w:lvl>
    <w:lvl w:ilvl="5" w:tplc="A41C4B0A" w:tentative="1">
      <w:start w:val="1"/>
      <w:numFmt w:val="lowerLetter"/>
      <w:lvlText w:val="%6)"/>
      <w:lvlJc w:val="left"/>
      <w:pPr>
        <w:tabs>
          <w:tab w:val="num" w:pos="4320"/>
        </w:tabs>
        <w:ind w:left="4320" w:hanging="360"/>
      </w:pPr>
    </w:lvl>
    <w:lvl w:ilvl="6" w:tplc="43F471D2" w:tentative="1">
      <w:start w:val="1"/>
      <w:numFmt w:val="lowerLetter"/>
      <w:lvlText w:val="%7)"/>
      <w:lvlJc w:val="left"/>
      <w:pPr>
        <w:tabs>
          <w:tab w:val="num" w:pos="5040"/>
        </w:tabs>
        <w:ind w:left="5040" w:hanging="360"/>
      </w:pPr>
    </w:lvl>
    <w:lvl w:ilvl="7" w:tplc="E20C6F70" w:tentative="1">
      <w:start w:val="1"/>
      <w:numFmt w:val="lowerLetter"/>
      <w:lvlText w:val="%8)"/>
      <w:lvlJc w:val="left"/>
      <w:pPr>
        <w:tabs>
          <w:tab w:val="num" w:pos="5760"/>
        </w:tabs>
        <w:ind w:left="5760" w:hanging="360"/>
      </w:pPr>
    </w:lvl>
    <w:lvl w:ilvl="8" w:tplc="836078F6" w:tentative="1">
      <w:start w:val="1"/>
      <w:numFmt w:val="lowerLetter"/>
      <w:lvlText w:val="%9)"/>
      <w:lvlJc w:val="left"/>
      <w:pPr>
        <w:tabs>
          <w:tab w:val="num" w:pos="6480"/>
        </w:tabs>
        <w:ind w:left="6480" w:hanging="360"/>
      </w:pPr>
    </w:lvl>
  </w:abstractNum>
  <w:abstractNum w:abstractNumId="14">
    <w:nsid w:val="67BF4F26"/>
    <w:multiLevelType w:val="hybridMultilevel"/>
    <w:tmpl w:val="AAF85BE6"/>
    <w:lvl w:ilvl="0" w:tplc="600ABC6A">
      <w:start w:val="1"/>
      <w:numFmt w:val="decimal"/>
      <w:lvlText w:val="%1."/>
      <w:lvlJc w:val="left"/>
      <w:pPr>
        <w:ind w:left="360" w:hanging="360"/>
      </w:pPr>
      <w:rPr>
        <w:rFonts w:eastAsia="Calibr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A2F60CD"/>
    <w:multiLevelType w:val="multilevel"/>
    <w:tmpl w:val="C076F66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502" w:hanging="360"/>
      </w:pPr>
      <w:rPr>
        <w:rFonts w:eastAsiaTheme="minorHAnsi" w:hint="default"/>
        <w:b w:val="0"/>
        <w:i w:val="0"/>
        <w:color w:val="auto"/>
        <w:sz w:val="24"/>
        <w:szCs w:val="24"/>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6">
    <w:nsid w:val="6CD44B46"/>
    <w:multiLevelType w:val="hybridMultilevel"/>
    <w:tmpl w:val="2688A0BA"/>
    <w:lvl w:ilvl="0" w:tplc="578CF352">
      <w:start w:val="593"/>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04018EB"/>
    <w:multiLevelType w:val="hybridMultilevel"/>
    <w:tmpl w:val="5AFA8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0622A47"/>
    <w:multiLevelType w:val="hybridMultilevel"/>
    <w:tmpl w:val="5D72649C"/>
    <w:lvl w:ilvl="0" w:tplc="436E2CF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333312D"/>
    <w:multiLevelType w:val="multilevel"/>
    <w:tmpl w:val="A510EEA2"/>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nsid w:val="7DED4A64"/>
    <w:multiLevelType w:val="hybridMultilevel"/>
    <w:tmpl w:val="43EAB9A4"/>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0"/>
  </w:num>
  <w:num w:numId="5">
    <w:abstractNumId w:val="4"/>
  </w:num>
  <w:num w:numId="6">
    <w:abstractNumId w:val="7"/>
  </w:num>
  <w:num w:numId="7">
    <w:abstractNumId w:val="1"/>
  </w:num>
  <w:num w:numId="8">
    <w:abstractNumId w:val="12"/>
  </w:num>
  <w:num w:numId="9">
    <w:abstractNumId w:val="18"/>
  </w:num>
  <w:num w:numId="10">
    <w:abstractNumId w:val="16"/>
  </w:num>
  <w:num w:numId="11">
    <w:abstractNumId w:val="6"/>
  </w:num>
  <w:num w:numId="12">
    <w:abstractNumId w:val="2"/>
  </w:num>
  <w:num w:numId="13">
    <w:abstractNumId w:val="13"/>
  </w:num>
  <w:num w:numId="14">
    <w:abstractNumId w:val="11"/>
  </w:num>
  <w:num w:numId="15">
    <w:abstractNumId w:val="17"/>
  </w:num>
  <w:num w:numId="16">
    <w:abstractNumId w:val="10"/>
  </w:num>
  <w:num w:numId="17">
    <w:abstractNumId w:val="8"/>
  </w:num>
  <w:num w:numId="18">
    <w:abstractNumId w:val="20"/>
  </w:num>
  <w:num w:numId="19">
    <w:abstractNumId w:val="5"/>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7B61"/>
    <w:rsid w:val="00011FF7"/>
    <w:rsid w:val="000177C8"/>
    <w:rsid w:val="00027639"/>
    <w:rsid w:val="0003345C"/>
    <w:rsid w:val="00034E6C"/>
    <w:rsid w:val="00035523"/>
    <w:rsid w:val="0004087E"/>
    <w:rsid w:val="000438BB"/>
    <w:rsid w:val="00051CE6"/>
    <w:rsid w:val="0005214B"/>
    <w:rsid w:val="00060B70"/>
    <w:rsid w:val="00073BE5"/>
    <w:rsid w:val="00080827"/>
    <w:rsid w:val="000844FA"/>
    <w:rsid w:val="00094601"/>
    <w:rsid w:val="000973A6"/>
    <w:rsid w:val="00097E4D"/>
    <w:rsid w:val="000A5C17"/>
    <w:rsid w:val="000A734C"/>
    <w:rsid w:val="000B68CF"/>
    <w:rsid w:val="000C2AA0"/>
    <w:rsid w:val="000C7125"/>
    <w:rsid w:val="000D545F"/>
    <w:rsid w:val="000F4DAE"/>
    <w:rsid w:val="00101539"/>
    <w:rsid w:val="00110071"/>
    <w:rsid w:val="0012795B"/>
    <w:rsid w:val="00141BF7"/>
    <w:rsid w:val="00142206"/>
    <w:rsid w:val="0014261F"/>
    <w:rsid w:val="0014737B"/>
    <w:rsid w:val="00150DAA"/>
    <w:rsid w:val="00154C56"/>
    <w:rsid w:val="00161E7B"/>
    <w:rsid w:val="00166EC6"/>
    <w:rsid w:val="00182514"/>
    <w:rsid w:val="0018493C"/>
    <w:rsid w:val="0019650B"/>
    <w:rsid w:val="001A4EB4"/>
    <w:rsid w:val="001B70A4"/>
    <w:rsid w:val="001D31EB"/>
    <w:rsid w:val="001D5725"/>
    <w:rsid w:val="001D5A6C"/>
    <w:rsid w:val="001D796F"/>
    <w:rsid w:val="001F2CE3"/>
    <w:rsid w:val="001F303D"/>
    <w:rsid w:val="001F5182"/>
    <w:rsid w:val="001F70F2"/>
    <w:rsid w:val="001F7824"/>
    <w:rsid w:val="002314A2"/>
    <w:rsid w:val="002314FA"/>
    <w:rsid w:val="00241FA6"/>
    <w:rsid w:val="0025053F"/>
    <w:rsid w:val="002505A2"/>
    <w:rsid w:val="00252B85"/>
    <w:rsid w:val="00253006"/>
    <w:rsid w:val="00265C0B"/>
    <w:rsid w:val="00266973"/>
    <w:rsid w:val="0027168C"/>
    <w:rsid w:val="00274C3D"/>
    <w:rsid w:val="0029527F"/>
    <w:rsid w:val="002A41D5"/>
    <w:rsid w:val="002A54AE"/>
    <w:rsid w:val="002B73DE"/>
    <w:rsid w:val="002C7B83"/>
    <w:rsid w:val="002D3C02"/>
    <w:rsid w:val="002D5302"/>
    <w:rsid w:val="002D6160"/>
    <w:rsid w:val="002D79F5"/>
    <w:rsid w:val="002E2841"/>
    <w:rsid w:val="002E28C2"/>
    <w:rsid w:val="002E70E7"/>
    <w:rsid w:val="002F3DF0"/>
    <w:rsid w:val="002F41D0"/>
    <w:rsid w:val="002F546F"/>
    <w:rsid w:val="002F7603"/>
    <w:rsid w:val="00310428"/>
    <w:rsid w:val="003232BA"/>
    <w:rsid w:val="00333CC6"/>
    <w:rsid w:val="00334E96"/>
    <w:rsid w:val="00340086"/>
    <w:rsid w:val="00345C5B"/>
    <w:rsid w:val="003465BA"/>
    <w:rsid w:val="00347166"/>
    <w:rsid w:val="00347D1B"/>
    <w:rsid w:val="00347FFA"/>
    <w:rsid w:val="003540F6"/>
    <w:rsid w:val="00357ED9"/>
    <w:rsid w:val="00360804"/>
    <w:rsid w:val="00361D88"/>
    <w:rsid w:val="003623F3"/>
    <w:rsid w:val="003633B4"/>
    <w:rsid w:val="00365B91"/>
    <w:rsid w:val="0036722E"/>
    <w:rsid w:val="00387644"/>
    <w:rsid w:val="003A048F"/>
    <w:rsid w:val="003B01E1"/>
    <w:rsid w:val="003B15D7"/>
    <w:rsid w:val="003C3903"/>
    <w:rsid w:val="003D3AC0"/>
    <w:rsid w:val="003E6E22"/>
    <w:rsid w:val="00402106"/>
    <w:rsid w:val="00405972"/>
    <w:rsid w:val="00422750"/>
    <w:rsid w:val="0042690E"/>
    <w:rsid w:val="00427EAD"/>
    <w:rsid w:val="00430F99"/>
    <w:rsid w:val="00432E55"/>
    <w:rsid w:val="00443E64"/>
    <w:rsid w:val="00444353"/>
    <w:rsid w:val="00446CEC"/>
    <w:rsid w:val="00452781"/>
    <w:rsid w:val="00454A38"/>
    <w:rsid w:val="00456F50"/>
    <w:rsid w:val="00457CE3"/>
    <w:rsid w:val="00462E61"/>
    <w:rsid w:val="00465983"/>
    <w:rsid w:val="004678F2"/>
    <w:rsid w:val="00473293"/>
    <w:rsid w:val="00475785"/>
    <w:rsid w:val="0048442F"/>
    <w:rsid w:val="0048532E"/>
    <w:rsid w:val="00486F24"/>
    <w:rsid w:val="00493C72"/>
    <w:rsid w:val="00495FE9"/>
    <w:rsid w:val="004A1F15"/>
    <w:rsid w:val="004A68EE"/>
    <w:rsid w:val="004B76CE"/>
    <w:rsid w:val="004D0E20"/>
    <w:rsid w:val="004D54FB"/>
    <w:rsid w:val="004E1BDE"/>
    <w:rsid w:val="004E2D4E"/>
    <w:rsid w:val="004E36CB"/>
    <w:rsid w:val="004F42B6"/>
    <w:rsid w:val="00500CC3"/>
    <w:rsid w:val="00501A39"/>
    <w:rsid w:val="00506D7D"/>
    <w:rsid w:val="0051077F"/>
    <w:rsid w:val="00512453"/>
    <w:rsid w:val="00512C0B"/>
    <w:rsid w:val="005138CB"/>
    <w:rsid w:val="00516573"/>
    <w:rsid w:val="00525AC5"/>
    <w:rsid w:val="00535857"/>
    <w:rsid w:val="00537632"/>
    <w:rsid w:val="00546DD5"/>
    <w:rsid w:val="00557883"/>
    <w:rsid w:val="00562930"/>
    <w:rsid w:val="00562B26"/>
    <w:rsid w:val="0057093A"/>
    <w:rsid w:val="0059206A"/>
    <w:rsid w:val="005B1DFF"/>
    <w:rsid w:val="005C3132"/>
    <w:rsid w:val="005C667D"/>
    <w:rsid w:val="005C676B"/>
    <w:rsid w:val="005D5F6C"/>
    <w:rsid w:val="005E414D"/>
    <w:rsid w:val="005E7B9C"/>
    <w:rsid w:val="00602A23"/>
    <w:rsid w:val="0061083B"/>
    <w:rsid w:val="006111EF"/>
    <w:rsid w:val="00614193"/>
    <w:rsid w:val="00615B7A"/>
    <w:rsid w:val="006175F0"/>
    <w:rsid w:val="006237BD"/>
    <w:rsid w:val="00624251"/>
    <w:rsid w:val="00625A9A"/>
    <w:rsid w:val="006306A5"/>
    <w:rsid w:val="00630757"/>
    <w:rsid w:val="00637DFE"/>
    <w:rsid w:val="00644FD8"/>
    <w:rsid w:val="006528A8"/>
    <w:rsid w:val="00657060"/>
    <w:rsid w:val="00660235"/>
    <w:rsid w:val="00662016"/>
    <w:rsid w:val="0066274D"/>
    <w:rsid w:val="00673178"/>
    <w:rsid w:val="006752E4"/>
    <w:rsid w:val="00684ADB"/>
    <w:rsid w:val="00693241"/>
    <w:rsid w:val="006A4607"/>
    <w:rsid w:val="006A6441"/>
    <w:rsid w:val="006A6888"/>
    <w:rsid w:val="006B098A"/>
    <w:rsid w:val="006B4AE0"/>
    <w:rsid w:val="006B7616"/>
    <w:rsid w:val="006C2DBF"/>
    <w:rsid w:val="006D4772"/>
    <w:rsid w:val="006D55C0"/>
    <w:rsid w:val="006F32E9"/>
    <w:rsid w:val="006F5D1E"/>
    <w:rsid w:val="00711452"/>
    <w:rsid w:val="00711CDB"/>
    <w:rsid w:val="00712C06"/>
    <w:rsid w:val="00716137"/>
    <w:rsid w:val="00716796"/>
    <w:rsid w:val="00724F17"/>
    <w:rsid w:val="00726E33"/>
    <w:rsid w:val="00743F75"/>
    <w:rsid w:val="007516E8"/>
    <w:rsid w:val="00752848"/>
    <w:rsid w:val="00753EEC"/>
    <w:rsid w:val="007540CF"/>
    <w:rsid w:val="007550A5"/>
    <w:rsid w:val="00770650"/>
    <w:rsid w:val="007716FC"/>
    <w:rsid w:val="00773E87"/>
    <w:rsid w:val="00777090"/>
    <w:rsid w:val="00781D8C"/>
    <w:rsid w:val="007844C1"/>
    <w:rsid w:val="0079264C"/>
    <w:rsid w:val="00792FBE"/>
    <w:rsid w:val="007972BD"/>
    <w:rsid w:val="007B43D5"/>
    <w:rsid w:val="007B7485"/>
    <w:rsid w:val="007D3567"/>
    <w:rsid w:val="007E6376"/>
    <w:rsid w:val="007E68A5"/>
    <w:rsid w:val="007E7D8C"/>
    <w:rsid w:val="00805DCC"/>
    <w:rsid w:val="00814FD3"/>
    <w:rsid w:val="008300C7"/>
    <w:rsid w:val="00831B8D"/>
    <w:rsid w:val="0083240E"/>
    <w:rsid w:val="00832912"/>
    <w:rsid w:val="008365C2"/>
    <w:rsid w:val="00836809"/>
    <w:rsid w:val="008567A1"/>
    <w:rsid w:val="0085714A"/>
    <w:rsid w:val="00872DB7"/>
    <w:rsid w:val="00883BD9"/>
    <w:rsid w:val="00886DD2"/>
    <w:rsid w:val="008900DF"/>
    <w:rsid w:val="008A2734"/>
    <w:rsid w:val="008B1F93"/>
    <w:rsid w:val="008C21E4"/>
    <w:rsid w:val="008C5E2A"/>
    <w:rsid w:val="008C6B48"/>
    <w:rsid w:val="008C7F9D"/>
    <w:rsid w:val="008D09BA"/>
    <w:rsid w:val="008D32FA"/>
    <w:rsid w:val="008E002E"/>
    <w:rsid w:val="008E30D9"/>
    <w:rsid w:val="008E4B6B"/>
    <w:rsid w:val="008F4226"/>
    <w:rsid w:val="00901698"/>
    <w:rsid w:val="00916EAB"/>
    <w:rsid w:val="009219B5"/>
    <w:rsid w:val="0092268E"/>
    <w:rsid w:val="00933BDD"/>
    <w:rsid w:val="00940E47"/>
    <w:rsid w:val="00942AB5"/>
    <w:rsid w:val="00947BBB"/>
    <w:rsid w:val="009667A7"/>
    <w:rsid w:val="00967F42"/>
    <w:rsid w:val="009737BF"/>
    <w:rsid w:val="00980605"/>
    <w:rsid w:val="0098250D"/>
    <w:rsid w:val="00985C95"/>
    <w:rsid w:val="00992717"/>
    <w:rsid w:val="009A0686"/>
    <w:rsid w:val="009A06B4"/>
    <w:rsid w:val="009A776F"/>
    <w:rsid w:val="009B58FD"/>
    <w:rsid w:val="009B707F"/>
    <w:rsid w:val="009C6B5C"/>
    <w:rsid w:val="009D277D"/>
    <w:rsid w:val="009D7E62"/>
    <w:rsid w:val="009E1C78"/>
    <w:rsid w:val="009F0C5F"/>
    <w:rsid w:val="00A029ED"/>
    <w:rsid w:val="00A11081"/>
    <w:rsid w:val="00A145B1"/>
    <w:rsid w:val="00A17716"/>
    <w:rsid w:val="00A17F80"/>
    <w:rsid w:val="00A237A5"/>
    <w:rsid w:val="00A33F26"/>
    <w:rsid w:val="00A35118"/>
    <w:rsid w:val="00A363C7"/>
    <w:rsid w:val="00A43CD1"/>
    <w:rsid w:val="00A5453E"/>
    <w:rsid w:val="00A63E93"/>
    <w:rsid w:val="00A646B3"/>
    <w:rsid w:val="00A65F34"/>
    <w:rsid w:val="00A66422"/>
    <w:rsid w:val="00A8379C"/>
    <w:rsid w:val="00A855AF"/>
    <w:rsid w:val="00A90223"/>
    <w:rsid w:val="00A93E70"/>
    <w:rsid w:val="00AA07C3"/>
    <w:rsid w:val="00AA4A7A"/>
    <w:rsid w:val="00AB1338"/>
    <w:rsid w:val="00AB7CC9"/>
    <w:rsid w:val="00AC0CCA"/>
    <w:rsid w:val="00AC6B28"/>
    <w:rsid w:val="00AC7758"/>
    <w:rsid w:val="00AE39EB"/>
    <w:rsid w:val="00AE4B29"/>
    <w:rsid w:val="00AE524D"/>
    <w:rsid w:val="00AE7827"/>
    <w:rsid w:val="00AF0314"/>
    <w:rsid w:val="00AF24A8"/>
    <w:rsid w:val="00AF43D1"/>
    <w:rsid w:val="00AF5C6A"/>
    <w:rsid w:val="00B05FDF"/>
    <w:rsid w:val="00B30A86"/>
    <w:rsid w:val="00B32310"/>
    <w:rsid w:val="00B34A8A"/>
    <w:rsid w:val="00B4703B"/>
    <w:rsid w:val="00B5136C"/>
    <w:rsid w:val="00B535B2"/>
    <w:rsid w:val="00B61459"/>
    <w:rsid w:val="00B63293"/>
    <w:rsid w:val="00B63A45"/>
    <w:rsid w:val="00B752B2"/>
    <w:rsid w:val="00B85A10"/>
    <w:rsid w:val="00B9639B"/>
    <w:rsid w:val="00B974C2"/>
    <w:rsid w:val="00BA22AA"/>
    <w:rsid w:val="00BA51AB"/>
    <w:rsid w:val="00BA56E3"/>
    <w:rsid w:val="00BB12BF"/>
    <w:rsid w:val="00BB493C"/>
    <w:rsid w:val="00BB6131"/>
    <w:rsid w:val="00BC7C8C"/>
    <w:rsid w:val="00BD2B4B"/>
    <w:rsid w:val="00C00259"/>
    <w:rsid w:val="00C15570"/>
    <w:rsid w:val="00C22B46"/>
    <w:rsid w:val="00C2310D"/>
    <w:rsid w:val="00C26E12"/>
    <w:rsid w:val="00C40FF3"/>
    <w:rsid w:val="00C4423E"/>
    <w:rsid w:val="00C5210A"/>
    <w:rsid w:val="00C6059D"/>
    <w:rsid w:val="00C648FF"/>
    <w:rsid w:val="00C800C7"/>
    <w:rsid w:val="00C84146"/>
    <w:rsid w:val="00C84F64"/>
    <w:rsid w:val="00C91159"/>
    <w:rsid w:val="00C94C54"/>
    <w:rsid w:val="00CC191D"/>
    <w:rsid w:val="00CC7A2A"/>
    <w:rsid w:val="00CD142E"/>
    <w:rsid w:val="00CD3C2B"/>
    <w:rsid w:val="00CD5291"/>
    <w:rsid w:val="00CF067B"/>
    <w:rsid w:val="00CF4A93"/>
    <w:rsid w:val="00D03BBC"/>
    <w:rsid w:val="00D10C40"/>
    <w:rsid w:val="00D217BA"/>
    <w:rsid w:val="00D22DA1"/>
    <w:rsid w:val="00D32CD5"/>
    <w:rsid w:val="00D43243"/>
    <w:rsid w:val="00D522DE"/>
    <w:rsid w:val="00D535F1"/>
    <w:rsid w:val="00D53A16"/>
    <w:rsid w:val="00D637B2"/>
    <w:rsid w:val="00D75364"/>
    <w:rsid w:val="00D833DD"/>
    <w:rsid w:val="00DA0896"/>
    <w:rsid w:val="00DA14F3"/>
    <w:rsid w:val="00DA33AB"/>
    <w:rsid w:val="00DA47D4"/>
    <w:rsid w:val="00DA775F"/>
    <w:rsid w:val="00DB203A"/>
    <w:rsid w:val="00DC058E"/>
    <w:rsid w:val="00DC32DE"/>
    <w:rsid w:val="00DC6BE5"/>
    <w:rsid w:val="00DC6C63"/>
    <w:rsid w:val="00DD00E7"/>
    <w:rsid w:val="00DD4D51"/>
    <w:rsid w:val="00DE24F3"/>
    <w:rsid w:val="00DE30E6"/>
    <w:rsid w:val="00DF074D"/>
    <w:rsid w:val="00DF0FAF"/>
    <w:rsid w:val="00E01228"/>
    <w:rsid w:val="00E06C5D"/>
    <w:rsid w:val="00E06F40"/>
    <w:rsid w:val="00E305B3"/>
    <w:rsid w:val="00E32E32"/>
    <w:rsid w:val="00E4395E"/>
    <w:rsid w:val="00E72DA3"/>
    <w:rsid w:val="00E7516F"/>
    <w:rsid w:val="00E76168"/>
    <w:rsid w:val="00E77AD6"/>
    <w:rsid w:val="00E8012A"/>
    <w:rsid w:val="00E84EBE"/>
    <w:rsid w:val="00EB1278"/>
    <w:rsid w:val="00EB276A"/>
    <w:rsid w:val="00EC34DC"/>
    <w:rsid w:val="00EC42BD"/>
    <w:rsid w:val="00EC6753"/>
    <w:rsid w:val="00ED37B4"/>
    <w:rsid w:val="00ED4A44"/>
    <w:rsid w:val="00EE18A8"/>
    <w:rsid w:val="00EE51B0"/>
    <w:rsid w:val="00EF20AA"/>
    <w:rsid w:val="00EF2395"/>
    <w:rsid w:val="00EF6E3D"/>
    <w:rsid w:val="00F30A40"/>
    <w:rsid w:val="00F31925"/>
    <w:rsid w:val="00F35F3C"/>
    <w:rsid w:val="00F36769"/>
    <w:rsid w:val="00F465A3"/>
    <w:rsid w:val="00F5184A"/>
    <w:rsid w:val="00F53BBA"/>
    <w:rsid w:val="00F65FED"/>
    <w:rsid w:val="00F66A9C"/>
    <w:rsid w:val="00F72D20"/>
    <w:rsid w:val="00F84BFB"/>
    <w:rsid w:val="00F93FDD"/>
    <w:rsid w:val="00FA2BD8"/>
    <w:rsid w:val="00FA7825"/>
    <w:rsid w:val="00FB2EBC"/>
    <w:rsid w:val="00FD33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nhideWhenUsed/>
    <w:rsid w:val="00684ADB"/>
    <w:pPr>
      <w:tabs>
        <w:tab w:val="center" w:pos="4153"/>
        <w:tab w:val="right" w:pos="8306"/>
      </w:tabs>
    </w:pPr>
  </w:style>
  <w:style w:type="character" w:customStyle="1" w:styleId="FooterChar">
    <w:name w:val="Footer Char"/>
    <w:basedOn w:val="DefaultParagraphFont"/>
    <w:link w:val="Footer"/>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684ADB"/>
    <w:rPr>
      <w:vertAlign w:val="superscript"/>
    </w:rPr>
  </w:style>
  <w:style w:type="character" w:customStyle="1" w:styleId="ListParagraphChar">
    <w:name w:val="List Paragraph Char"/>
    <w:aliases w:val="2 Char,Strip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page.php?id=106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Ziepniece@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sfondi.lv/finansu-un-raditaju-plani-to-izpilde" TargetMode="External"/><Relationship Id="rId13" Type="http://schemas.openxmlformats.org/officeDocument/2006/relationships/hyperlink" Target="http://www.esfondi.lv/zinojumi-Ministru-kabinetam" TargetMode="External"/><Relationship Id="rId3" Type="http://schemas.openxmlformats.org/officeDocument/2006/relationships/hyperlink" Target="http://www.esfondi.lv/kopejie-ek-veiktie-maksajumi-dalibvalstim" TargetMode="External"/><Relationship Id="rId7" Type="http://schemas.openxmlformats.org/officeDocument/2006/relationships/hyperlink" Target="http://www.esfondi.lv/planosanas-dokumenti" TargetMode="External"/><Relationship Id="rId12" Type="http://schemas.openxmlformats.org/officeDocument/2006/relationships/hyperlink" Target="http://saeima.lv/lv/aktualitates/saeimas-zinas/25109-lolita-cigane-primarais-es-fondu-apguve-finansejuma-merktieciga-ieguldisana" TargetMode="External"/><Relationship Id="rId2" Type="http://schemas.openxmlformats.org/officeDocument/2006/relationships/hyperlink" Target="http://www.altum.lv/lv" TargetMode="External"/><Relationship Id="rId1" Type="http://schemas.openxmlformats.org/officeDocument/2006/relationships/hyperlink" Target="http://www.esfondi.lv/finansu-instrumentu-ieviesanas-statuss" TargetMode="External"/><Relationship Id="rId6" Type="http://schemas.openxmlformats.org/officeDocument/2006/relationships/hyperlink" Target="http://www.esfondi.lv/finansu-un-raditaju-plani-to-izpilde" TargetMode="External"/><Relationship Id="rId11" Type="http://schemas.openxmlformats.org/officeDocument/2006/relationships/hyperlink" Target="http://www.esfondi.lv/zinojumi-Ministru-kabinetam" TargetMode="External"/><Relationship Id="rId5" Type="http://schemas.openxmlformats.org/officeDocument/2006/relationships/hyperlink" Target="http://www.esfondi.lv/finansu-un-raditaju-plani-to-izpilde" TargetMode="External"/><Relationship Id="rId10" Type="http://schemas.openxmlformats.org/officeDocument/2006/relationships/hyperlink" Target="http://www.cfla.gov.lv/lv/es-fondi-2014-2020/izsludinatas-atlases" TargetMode="External"/><Relationship Id="rId4" Type="http://schemas.openxmlformats.org/officeDocument/2006/relationships/hyperlink" Target="http://www.esfondi.lv/zinojumi-Ministru-kabinetam" TargetMode="External"/><Relationship Id="rId9" Type="http://schemas.openxmlformats.org/officeDocument/2006/relationships/hyperlink" Target="http://www.cfla.gov.lv/lv/es-fondi-2014-2020/projektu-iesniegumu-atlas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s\FUD\2014-2020\INFORMACIJA\NMS_grafiki_14_20\2016\2016.10.12_EK%20kop&#275;jie%20maks&#257;jumi_14_20%20vis&#257;m%20ES%20DV.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fsd-sklad\Desktop\MKprogress_ikm&#275;ne&#353;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91939679415068"/>
          <c:y val="3.3097638032194975E-2"/>
          <c:w val="0.76804819319460071"/>
          <c:h val="0.83217744314230924"/>
        </c:manualLayout>
      </c:layout>
      <c:barChart>
        <c:barDir val="bar"/>
        <c:grouping val="stacked"/>
        <c:varyColors val="0"/>
        <c:ser>
          <c:idx val="0"/>
          <c:order val="0"/>
          <c:tx>
            <c:strRef>
              <c:f>'Avansi un starpposms'!$D$5</c:f>
              <c:strCache>
                <c:ptCount val="1"/>
                <c:pt idx="0">
                  <c:v> Sākotnējais avanss </c:v>
                </c:pt>
              </c:strCache>
            </c:strRef>
          </c:tx>
          <c:spPr>
            <a:solidFill>
              <a:srgbClr val="8EB4E3"/>
            </a:solidFill>
            <a:ln w="25400">
              <a:noFill/>
            </a:ln>
          </c:spPr>
          <c:invertIfNegative val="0"/>
          <c:dLbls>
            <c:dLbl>
              <c:idx val="19"/>
              <c:layout>
                <c:manualLayout>
                  <c:x val="1.5625E-2"/>
                  <c:y val="6.0177523694899954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'Avansi un starpposms'!$C$6:$C$33</c:f>
              <c:strCache>
                <c:ptCount val="28"/>
                <c:pt idx="0">
                  <c:v>Luksembruga (4,7%)</c:v>
                </c:pt>
                <c:pt idx="1">
                  <c:v>Somija (4,7%)</c:v>
                </c:pt>
                <c:pt idx="2">
                  <c:v>Nīderlande (4,7%)</c:v>
                </c:pt>
                <c:pt idx="3">
                  <c:v>Austrija (4,7%)</c:v>
                </c:pt>
                <c:pt idx="4">
                  <c:v>Malta (4,7%)</c:v>
                </c:pt>
                <c:pt idx="5">
                  <c:v>Slovēnija (4,8%)</c:v>
                </c:pt>
                <c:pt idx="6">
                  <c:v>Ungārija (4,8%)</c:v>
                </c:pt>
                <c:pt idx="7">
                  <c:v>Vācija (4,8%)</c:v>
                </c:pt>
                <c:pt idx="8">
                  <c:v>Čehija (4,9%)</c:v>
                </c:pt>
                <c:pt idx="9">
                  <c:v>Horvātija (5,0%)</c:v>
                </c:pt>
                <c:pt idx="10">
                  <c:v>Dānija (5,3%)</c:v>
                </c:pt>
                <c:pt idx="11">
                  <c:v>Lielbritānija (5,3%)</c:v>
                </c:pt>
                <c:pt idx="12">
                  <c:v>Slovākija (5,5%)</c:v>
                </c:pt>
                <c:pt idx="13">
                  <c:v>Itālija (5,6%)</c:v>
                </c:pt>
                <c:pt idx="14">
                  <c:v>Polija (5,6%)</c:v>
                </c:pt>
                <c:pt idx="15">
                  <c:v>Francija (5,6%)</c:v>
                </c:pt>
                <c:pt idx="16">
                  <c:v>Beļģija (5,8%)</c:v>
                </c:pt>
                <c:pt idx="17">
                  <c:v>Rumānija (5,8%)</c:v>
                </c:pt>
                <c:pt idx="18">
                  <c:v>Bulgārija (5,8%)</c:v>
                </c:pt>
                <c:pt idx="19">
                  <c:v>Zviedrija (6,1%)</c:v>
                </c:pt>
                <c:pt idx="20">
                  <c:v>Latvija (6,7%)</c:v>
                </c:pt>
                <c:pt idx="21">
                  <c:v>Kipra (7,0%)</c:v>
                </c:pt>
                <c:pt idx="22">
                  <c:v>Īrija (7,2%)</c:v>
                </c:pt>
                <c:pt idx="23">
                  <c:v>Portugāle (7,8%)</c:v>
                </c:pt>
                <c:pt idx="24">
                  <c:v>Lietuva (8,1%)</c:v>
                </c:pt>
                <c:pt idx="25">
                  <c:v>Spānija (8,2%)</c:v>
                </c:pt>
                <c:pt idx="26">
                  <c:v>Igaunija (9,0%)</c:v>
                </c:pt>
                <c:pt idx="27">
                  <c:v>Grieķija (14,2%)</c:v>
                </c:pt>
              </c:strCache>
            </c:strRef>
          </c:cat>
          <c:val>
            <c:numRef>
              <c:f>'Avansi un starpposms'!$D$6:$D$33</c:f>
              <c:numCache>
                <c:formatCode>0.0%</c:formatCode>
                <c:ptCount val="28"/>
                <c:pt idx="0">
                  <c:v>2.8199999666318032E-2</c:v>
                </c:pt>
                <c:pt idx="1">
                  <c:v>2.8199999947104416E-2</c:v>
                </c:pt>
                <c:pt idx="2">
                  <c:v>2.819999998107697E-2</c:v>
                </c:pt>
                <c:pt idx="3">
                  <c:v>2.8199999997546889E-2</c:v>
                </c:pt>
                <c:pt idx="4">
                  <c:v>2.8200000010169642E-2</c:v>
                </c:pt>
                <c:pt idx="5">
                  <c:v>2.9097940559355294E-2</c:v>
                </c:pt>
                <c:pt idx="6">
                  <c:v>2.8878194951025799E-2</c:v>
                </c:pt>
                <c:pt idx="7">
                  <c:v>2.8199999996781511E-2</c:v>
                </c:pt>
                <c:pt idx="8">
                  <c:v>2.8384489903900533E-2</c:v>
                </c:pt>
                <c:pt idx="9">
                  <c:v>3.0495760624640249E-2</c:v>
                </c:pt>
                <c:pt idx="10">
                  <c:v>2.8200000066790621E-2</c:v>
                </c:pt>
                <c:pt idx="11">
                  <c:v>3.3713840604497336E-2</c:v>
                </c:pt>
                <c:pt idx="12">
                  <c:v>2.9745625054801363E-2</c:v>
                </c:pt>
                <c:pt idx="13">
                  <c:v>3.3458479110226098E-2</c:v>
                </c:pt>
                <c:pt idx="14">
                  <c:v>2.9164214341176175E-2</c:v>
                </c:pt>
                <c:pt idx="15">
                  <c:v>3.4375460789004025E-2</c:v>
                </c:pt>
                <c:pt idx="16">
                  <c:v>3.4365524629170557E-2</c:v>
                </c:pt>
                <c:pt idx="17">
                  <c:v>3.8962717071210837E-2</c:v>
                </c:pt>
                <c:pt idx="18">
                  <c:v>3.0382927540857488E-2</c:v>
                </c:pt>
                <c:pt idx="19">
                  <c:v>3.5552539151188063E-2</c:v>
                </c:pt>
                <c:pt idx="20">
                  <c:v>3.0127812123681166E-2</c:v>
                </c:pt>
                <c:pt idx="21">
                  <c:v>4.2381980534857942E-2</c:v>
                </c:pt>
                <c:pt idx="22">
                  <c:v>5.255935297070502E-2</c:v>
                </c:pt>
                <c:pt idx="23">
                  <c:v>3.5116192023120565E-2</c:v>
                </c:pt>
                <c:pt idx="24">
                  <c:v>2.9590792980947456E-2</c:v>
                </c:pt>
                <c:pt idx="25">
                  <c:v>4.2834046251325156E-2</c:v>
                </c:pt>
                <c:pt idx="26">
                  <c:v>2.8199999992361145E-2</c:v>
                </c:pt>
                <c:pt idx="27">
                  <c:v>0.10616434919455298</c:v>
                </c:pt>
              </c:numCache>
            </c:numRef>
          </c:val>
        </c:ser>
        <c:ser>
          <c:idx val="1"/>
          <c:order val="1"/>
          <c:tx>
            <c:strRef>
              <c:f>'Avansi un starpposms'!$E$5</c:f>
              <c:strCache>
                <c:ptCount val="1"/>
                <c:pt idx="0">
                  <c:v>Ikgadējais avanss</c:v>
                </c:pt>
              </c:strCache>
            </c:strRef>
          </c:tx>
          <c:spPr>
            <a:solidFill>
              <a:srgbClr val="FAC090"/>
            </a:solidFill>
            <a:ln w="25400">
              <a:noFill/>
            </a:ln>
          </c:spPr>
          <c:invertIfNegative val="0"/>
          <c:dLbls>
            <c:dLbl>
              <c:idx val="19"/>
              <c:layout>
                <c:manualLayout>
                  <c:x val="1.3392857142857142E-2"/>
                  <c:y val="6.0177523694899954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'Avansi un starpposms'!$C$6:$C$33</c:f>
              <c:strCache>
                <c:ptCount val="28"/>
                <c:pt idx="0">
                  <c:v>Luksembruga (4,7%)</c:v>
                </c:pt>
                <c:pt idx="1">
                  <c:v>Somija (4,7%)</c:v>
                </c:pt>
                <c:pt idx="2">
                  <c:v>Nīderlande (4,7%)</c:v>
                </c:pt>
                <c:pt idx="3">
                  <c:v>Austrija (4,7%)</c:v>
                </c:pt>
                <c:pt idx="4">
                  <c:v>Malta (4,7%)</c:v>
                </c:pt>
                <c:pt idx="5">
                  <c:v>Slovēnija (4,8%)</c:v>
                </c:pt>
                <c:pt idx="6">
                  <c:v>Ungārija (4,8%)</c:v>
                </c:pt>
                <c:pt idx="7">
                  <c:v>Vācija (4,8%)</c:v>
                </c:pt>
                <c:pt idx="8">
                  <c:v>Čehija (4,9%)</c:v>
                </c:pt>
                <c:pt idx="9">
                  <c:v>Horvātija (5,0%)</c:v>
                </c:pt>
                <c:pt idx="10">
                  <c:v>Dānija (5,3%)</c:v>
                </c:pt>
                <c:pt idx="11">
                  <c:v>Lielbritānija (5,3%)</c:v>
                </c:pt>
                <c:pt idx="12">
                  <c:v>Slovākija (5,5%)</c:v>
                </c:pt>
                <c:pt idx="13">
                  <c:v>Itālija (5,6%)</c:v>
                </c:pt>
                <c:pt idx="14">
                  <c:v>Polija (5,6%)</c:v>
                </c:pt>
                <c:pt idx="15">
                  <c:v>Francija (5,6%)</c:v>
                </c:pt>
                <c:pt idx="16">
                  <c:v>Beļģija (5,8%)</c:v>
                </c:pt>
                <c:pt idx="17">
                  <c:v>Rumānija (5,8%)</c:v>
                </c:pt>
                <c:pt idx="18">
                  <c:v>Bulgārija (5,8%)</c:v>
                </c:pt>
                <c:pt idx="19">
                  <c:v>Zviedrija (6,1%)</c:v>
                </c:pt>
                <c:pt idx="20">
                  <c:v>Latvija (6,7%)</c:v>
                </c:pt>
                <c:pt idx="21">
                  <c:v>Kipra (7,0%)</c:v>
                </c:pt>
                <c:pt idx="22">
                  <c:v>Īrija (7,2%)</c:v>
                </c:pt>
                <c:pt idx="23">
                  <c:v>Portugāle (7,8%)</c:v>
                </c:pt>
                <c:pt idx="24">
                  <c:v>Lietuva (8,1%)</c:v>
                </c:pt>
                <c:pt idx="25">
                  <c:v>Spānija (8,2%)</c:v>
                </c:pt>
                <c:pt idx="26">
                  <c:v>Igaunija (9,0%)</c:v>
                </c:pt>
                <c:pt idx="27">
                  <c:v>Grieķija (14,2%)</c:v>
                </c:pt>
              </c:strCache>
            </c:strRef>
          </c:cat>
          <c:val>
            <c:numRef>
              <c:f>'Avansi un starpposms'!$E$6:$E$33</c:f>
              <c:numCache>
                <c:formatCode>0.0%</c:formatCode>
                <c:ptCount val="28"/>
                <c:pt idx="0">
                  <c:v>1.8799999777545356E-2</c:v>
                </c:pt>
                <c:pt idx="1">
                  <c:v>1.8799999964736275E-2</c:v>
                </c:pt>
                <c:pt idx="2">
                  <c:v>1.8799999987384648E-2</c:v>
                </c:pt>
                <c:pt idx="3">
                  <c:v>1.879999999836459E-2</c:v>
                </c:pt>
                <c:pt idx="4">
                  <c:v>1.8800000006779762E-2</c:v>
                </c:pt>
                <c:pt idx="5">
                  <c:v>1.8807340111990076E-2</c:v>
                </c:pt>
                <c:pt idx="6">
                  <c:v>1.8805543831843727E-2</c:v>
                </c:pt>
                <c:pt idx="7">
                  <c:v>1.8799999997854346E-2</c:v>
                </c:pt>
                <c:pt idx="8">
                  <c:v>1.8801508092240845E-2</c:v>
                </c:pt>
                <c:pt idx="9">
                  <c:v>1.8818766426940609E-2</c:v>
                </c:pt>
                <c:pt idx="10">
                  <c:v>1.8800000044527081E-2</c:v>
                </c:pt>
                <c:pt idx="11">
                  <c:v>1.884507226536971E-2</c:v>
                </c:pt>
                <c:pt idx="12">
                  <c:v>1.8816938929797522E-2</c:v>
                </c:pt>
                <c:pt idx="13">
                  <c:v>1.8842989058925334E-2</c:v>
                </c:pt>
                <c:pt idx="14">
                  <c:v>1.8807881859706582E-2</c:v>
                </c:pt>
                <c:pt idx="15">
                  <c:v>1.8855209935916196E-2</c:v>
                </c:pt>
                <c:pt idx="16">
                  <c:v>1.8850398912882146E-2</c:v>
                </c:pt>
                <c:pt idx="17">
                  <c:v>1.8811285442216372E-2</c:v>
                </c:pt>
                <c:pt idx="18">
                  <c:v>1.8817844092263569E-2</c:v>
                </c:pt>
                <c:pt idx="19">
                  <c:v>1.8860101954114288E-2</c:v>
                </c:pt>
                <c:pt idx="20">
                  <c:v>1.8815758673982934E-2</c:v>
                </c:pt>
                <c:pt idx="21">
                  <c:v>1.883835514680918E-2</c:v>
                </c:pt>
                <c:pt idx="22">
                  <c:v>1.8960375400739096E-2</c:v>
                </c:pt>
                <c:pt idx="23">
                  <c:v>1.8818079067672595E-2</c:v>
                </c:pt>
                <c:pt idx="24">
                  <c:v>1.8811368879482156E-2</c:v>
                </c:pt>
                <c:pt idx="25">
                  <c:v>1.888103912570168E-2</c:v>
                </c:pt>
                <c:pt idx="26">
                  <c:v>1.8799999994907429E-2</c:v>
                </c:pt>
                <c:pt idx="27">
                  <c:v>1.8862815701533798E-2</c:v>
                </c:pt>
              </c:numCache>
            </c:numRef>
          </c:val>
        </c:ser>
        <c:ser>
          <c:idx val="2"/>
          <c:order val="2"/>
          <c:tx>
            <c:strRef>
              <c:f>'Avansi un starpposms'!$F$5</c:f>
              <c:strCache>
                <c:ptCount val="1"/>
                <c:pt idx="0">
                  <c:v>Starpposma maksājumi </c:v>
                </c:pt>
              </c:strCache>
            </c:strRef>
          </c:tx>
          <c:spPr>
            <a:solidFill>
              <a:srgbClr val="9BBB59"/>
            </a:solidFill>
            <a:ln w="25400">
              <a:noFill/>
            </a:ln>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6.4474532559638947E-2"/>
                  <c:y val="7.6567455140967565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6.4474479752530928E-2"/>
                  <c:y val="-1.1675387274350196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6.7053571428571351E-2"/>
                  <c:y val="9.2066872865504421E-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7.7716359673790772E-2"/>
                  <c:y val="2.7620061859652428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6.5168201631046113E-2"/>
                  <c:y val="-5.5162092816454909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5.5199135264341954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6.5861923509561229E-2"/>
                  <c:y val="-2.0882074560900086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5.4007487345331749E-2"/>
                  <c:y val="-2.0882074560899535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6"/>
              <c:layout>
                <c:manualLayout>
                  <c:x val="4.884947975253085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layout>
                <c:manualLayout>
                  <c:x val="5.3856334364454445E-2"/>
                  <c:y val="6.0177523694899954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9"/>
              <c:layout>
                <c:manualLayout>
                  <c:x val="6.1744410854893135E-2"/>
                  <c:y val="7.1852910969249046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0"/>
              <c:layout>
                <c:manualLayout>
                  <c:x val="9.2843326885879984E-2"/>
                  <c:y val="-3.8283727570483782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1"/>
              <c:layout>
                <c:manualLayout>
                  <c:x val="7.4790457769181168E-2"/>
                  <c:y val="-2.0882274451293958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layout>
                <c:manualLayout>
                  <c:x val="0.1031592520954223"/>
                  <c:y val="-2.0882274451293767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4"/>
              <c:layout>
                <c:manualLayout>
                  <c:x val="0.11863313990973566"/>
                  <c:y val="-6.2646823353880911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5"/>
              <c:layout>
                <c:manualLayout>
                  <c:x val="9.2843326885880081E-2"/>
                  <c:y val="-4.1764548902587248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6"/>
              <c:layout>
                <c:manualLayout>
                  <c:x val="0.14700193423597679"/>
                  <c:y val="-2.0882274451293672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7"/>
              <c:layout>
                <c:manualLayout>
                  <c:x val="7.1692547719460764E-2"/>
                  <c:y val="-4.9993750781152358E-6"/>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'Avansi un starpposms'!$C$6:$C$33</c:f>
              <c:strCache>
                <c:ptCount val="28"/>
                <c:pt idx="0">
                  <c:v>Luksembruga (4,7%)</c:v>
                </c:pt>
                <c:pt idx="1">
                  <c:v>Somija (4,7%)</c:v>
                </c:pt>
                <c:pt idx="2">
                  <c:v>Nīderlande (4,7%)</c:v>
                </c:pt>
                <c:pt idx="3">
                  <c:v>Austrija (4,7%)</c:v>
                </c:pt>
                <c:pt idx="4">
                  <c:v>Malta (4,7%)</c:v>
                </c:pt>
                <c:pt idx="5">
                  <c:v>Slovēnija (4,8%)</c:v>
                </c:pt>
                <c:pt idx="6">
                  <c:v>Ungārija (4,8%)</c:v>
                </c:pt>
                <c:pt idx="7">
                  <c:v>Vācija (4,8%)</c:v>
                </c:pt>
                <c:pt idx="8">
                  <c:v>Čehija (4,9%)</c:v>
                </c:pt>
                <c:pt idx="9">
                  <c:v>Horvātija (5,0%)</c:v>
                </c:pt>
                <c:pt idx="10">
                  <c:v>Dānija (5,3%)</c:v>
                </c:pt>
                <c:pt idx="11">
                  <c:v>Lielbritānija (5,3%)</c:v>
                </c:pt>
                <c:pt idx="12">
                  <c:v>Slovākija (5,5%)</c:v>
                </c:pt>
                <c:pt idx="13">
                  <c:v>Itālija (5,6%)</c:v>
                </c:pt>
                <c:pt idx="14">
                  <c:v>Polija (5,6%)</c:v>
                </c:pt>
                <c:pt idx="15">
                  <c:v>Francija (5,6%)</c:v>
                </c:pt>
                <c:pt idx="16">
                  <c:v>Beļģija (5,8%)</c:v>
                </c:pt>
                <c:pt idx="17">
                  <c:v>Rumānija (5,8%)</c:v>
                </c:pt>
                <c:pt idx="18">
                  <c:v>Bulgārija (5,8%)</c:v>
                </c:pt>
                <c:pt idx="19">
                  <c:v>Zviedrija (6,1%)</c:v>
                </c:pt>
                <c:pt idx="20">
                  <c:v>Latvija (6,7%)</c:v>
                </c:pt>
                <c:pt idx="21">
                  <c:v>Kipra (7,0%)</c:v>
                </c:pt>
                <c:pt idx="22">
                  <c:v>Īrija (7,2%)</c:v>
                </c:pt>
                <c:pt idx="23">
                  <c:v>Portugāle (7,8%)</c:v>
                </c:pt>
                <c:pt idx="24">
                  <c:v>Lietuva (8,1%)</c:v>
                </c:pt>
                <c:pt idx="25">
                  <c:v>Spānija (8,2%)</c:v>
                </c:pt>
                <c:pt idx="26">
                  <c:v>Igaunija (9,0%)</c:v>
                </c:pt>
                <c:pt idx="27">
                  <c:v>Grieķija (14,2%)</c:v>
                </c:pt>
              </c:strCache>
            </c:strRef>
          </c:cat>
          <c:val>
            <c:numRef>
              <c:f>'Avansi un starpposms'!$F$6:$F$33</c:f>
              <c:numCache>
                <c:formatCode>0.0%</c:formatCode>
                <c:ptCount val="28"/>
                <c:pt idx="0">
                  <c:v>0</c:v>
                </c:pt>
                <c:pt idx="1">
                  <c:v>0</c:v>
                </c:pt>
                <c:pt idx="2">
                  <c:v>0</c:v>
                </c:pt>
                <c:pt idx="3">
                  <c:v>0</c:v>
                </c:pt>
                <c:pt idx="4">
                  <c:v>0</c:v>
                </c:pt>
                <c:pt idx="5">
                  <c:v>0</c:v>
                </c:pt>
                <c:pt idx="6">
                  <c:v>3.7944977295888886E-4</c:v>
                </c:pt>
                <c:pt idx="7">
                  <c:v>1.4873473155770764E-3</c:v>
                </c:pt>
                <c:pt idx="8">
                  <c:v>1.3278035796947083E-3</c:v>
                </c:pt>
                <c:pt idx="9">
                  <c:v>1.0240168771191349E-3</c:v>
                </c:pt>
                <c:pt idx="10">
                  <c:v>5.5670423885843291E-3</c:v>
                </c:pt>
                <c:pt idx="11">
                  <c:v>6.8636898950032101E-5</c:v>
                </c:pt>
                <c:pt idx="12">
                  <c:v>6.6794737767468517E-3</c:v>
                </c:pt>
                <c:pt idx="13">
                  <c:v>3.3260743988256947E-3</c:v>
                </c:pt>
                <c:pt idx="14">
                  <c:v>7.9515815108271541E-3</c:v>
                </c:pt>
                <c:pt idx="15">
                  <c:v>2.8060695146652982E-3</c:v>
                </c:pt>
                <c:pt idx="16">
                  <c:v>4.5550319554461772E-3</c:v>
                </c:pt>
                <c:pt idx="17">
                  <c:v>0</c:v>
                </c:pt>
                <c:pt idx="18">
                  <c:v>9.2924280322586785E-3</c:v>
                </c:pt>
                <c:pt idx="19">
                  <c:v>6.0911950658793174E-3</c:v>
                </c:pt>
                <c:pt idx="20">
                  <c:v>1.8361709224161384E-2</c:v>
                </c:pt>
                <c:pt idx="21">
                  <c:v>8.4825175475078726E-3</c:v>
                </c:pt>
                <c:pt idx="22">
                  <c:v>0</c:v>
                </c:pt>
                <c:pt idx="23">
                  <c:v>2.3918737174302693E-2</c:v>
                </c:pt>
                <c:pt idx="24">
                  <c:v>3.2129609643424047E-2</c:v>
                </c:pt>
                <c:pt idx="25">
                  <c:v>2.0390871447804146E-2</c:v>
                </c:pt>
                <c:pt idx="26">
                  <c:v>4.347094076229626E-2</c:v>
                </c:pt>
                <c:pt idx="27">
                  <c:v>1.7400038067851172E-2</c:v>
                </c:pt>
              </c:numCache>
            </c:numRef>
          </c:val>
        </c:ser>
        <c:dLbls>
          <c:showLegendKey val="0"/>
          <c:showVal val="0"/>
          <c:showCatName val="0"/>
          <c:showSerName val="0"/>
          <c:showPercent val="0"/>
          <c:showBubbleSize val="0"/>
        </c:dLbls>
        <c:gapWidth val="150"/>
        <c:overlap val="100"/>
        <c:axId val="243311496"/>
        <c:axId val="243311888"/>
      </c:barChart>
      <c:catAx>
        <c:axId val="243311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43311888"/>
        <c:crosses val="autoZero"/>
        <c:auto val="1"/>
        <c:lblAlgn val="ctr"/>
        <c:lblOffset val="100"/>
        <c:noMultiLvlLbl val="0"/>
      </c:catAx>
      <c:valAx>
        <c:axId val="2433118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4331149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Kopā: 4 471,2 (101,2%)</a:t>
            </a:r>
          </a:p>
        </c:rich>
      </c:tx>
      <c:layout>
        <c:manualLayout>
          <c:xMode val="edge"/>
          <c:yMode val="edge"/>
          <c:x val="0.77682288359575336"/>
          <c:y val="4.647571661843402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stacked"/>
        <c:varyColors val="0"/>
        <c:ser>
          <c:idx val="0"/>
          <c:order val="0"/>
          <c:tx>
            <c:strRef>
              <c:f>Ikm.ziņ.pecCFLAkomentariem!$M$3</c:f>
              <c:strCache>
                <c:ptCount val="1"/>
                <c:pt idx="0">
                  <c:v>Pieejamais ES fondu finansējums</c:v>
                </c:pt>
              </c:strCache>
            </c:strRef>
          </c:tx>
          <c:spPr>
            <a:solidFill>
              <a:schemeClr val="accent1"/>
            </a:solidFill>
            <a:ln>
              <a:noFill/>
            </a:ln>
            <a:effectLst/>
          </c:spPr>
          <c:invertIfNegative val="0"/>
          <c:dLbls>
            <c:dLbl>
              <c:idx val="8"/>
              <c:tx>
                <c:rich>
                  <a:bodyPr/>
                  <a:lstStyle/>
                  <a:p>
                    <a:fld id="{21984038-6180-4717-99FC-777F7F5C6774}"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Ikm.ziņ.pecCFLAkomentariem!$D$3:$N$3</c:f>
              <c:strCache>
                <c:ptCount val="11"/>
                <c:pt idx="0">
                  <c:v>Veikti maksājumi projektos</c:v>
                </c:pt>
                <c:pt idx="1">
                  <c:v>Noslēgti līgumi, skaits - 124</c:v>
                </c:pt>
                <c:pt idx="2">
                  <c:v>Apstiprināti projekti, skaits - 134</c:v>
                </c:pt>
                <c:pt idx="3">
                  <c:v>Iesniegti projekti, skaits - 685</c:v>
                </c:pt>
                <c:pt idx="4">
                  <c:v>Uzsāktās projektu atlases, skaits - 80</c:v>
                </c:pt>
                <c:pt idx="5">
                  <c:v>Apstiprināti MKN, skaits - 92</c:v>
                </c:pt>
                <c:pt idx="6">
                  <c:v>MKN VSS, skaits - 97</c:v>
                </c:pt>
                <c:pt idx="7">
                  <c:v>Apstiprinātie kritēriji - 94</c:v>
                </c:pt>
                <c:pt idx="8">
                  <c:v>Iesniegti kritēriji, skaits - 102</c:v>
                </c:pt>
                <c:pt idx="9">
                  <c:v>Pieejamais ES fondu finansējums</c:v>
                </c:pt>
                <c:pt idx="10">
                  <c:v>Pieejamais ''virssaistību'' apjoms</c:v>
                </c:pt>
              </c:strCache>
            </c:strRef>
          </c:cat>
          <c:val>
            <c:numRef>
              <c:f>Ikm.ziņ.pecCFLAkomentariem!$D$4:$M$4</c:f>
              <c:numCache>
                <c:formatCode>General</c:formatCode>
                <c:ptCount val="10"/>
              </c:numCache>
            </c:numRef>
          </c:val>
        </c:ser>
        <c:ser>
          <c:idx val="1"/>
          <c:order val="1"/>
          <c:tx>
            <c:strRef>
              <c:f>Ikm.ziņ.pecCFLAkomentariem!$C$5:$C$9</c:f>
              <c:strCache>
                <c:ptCount val="1"/>
                <c:pt idx="0">
                  <c:v>Mil EUR Esošais mēnesis (30.09.)/ % Iepriekšējais mēn(31.08.)/ % Pieaugums</c:v>
                </c:pt>
              </c:strCache>
            </c:strRef>
          </c:tx>
          <c:spPr>
            <a:solidFill>
              <a:schemeClr val="accent2"/>
            </a:solidFill>
            <a:ln>
              <a:noFill/>
            </a:ln>
            <a:effectLst/>
          </c:spPr>
          <c:invertIfNegative val="0"/>
          <c:dPt>
            <c:idx val="0"/>
            <c:invertIfNegative val="0"/>
            <c:bubble3D val="0"/>
            <c:spPr>
              <a:solidFill>
                <a:srgbClr val="FFD966"/>
              </a:solidFill>
              <a:ln>
                <a:noFill/>
              </a:ln>
              <a:effectLst/>
            </c:spPr>
          </c:dPt>
          <c:dPt>
            <c:idx val="1"/>
            <c:invertIfNegative val="0"/>
            <c:bubble3D val="0"/>
            <c:spPr>
              <a:solidFill>
                <a:srgbClr val="C9C9C9"/>
              </a:solidFill>
              <a:ln>
                <a:noFill/>
              </a:ln>
              <a:effectLst/>
            </c:spPr>
          </c:dPt>
          <c:dPt>
            <c:idx val="2"/>
            <c:invertIfNegative val="0"/>
            <c:bubble3D val="0"/>
            <c:spPr>
              <a:solidFill>
                <a:schemeClr val="accent6">
                  <a:lumMod val="60000"/>
                  <a:lumOff val="40000"/>
                </a:schemeClr>
              </a:solidFill>
              <a:ln>
                <a:noFill/>
              </a:ln>
              <a:effectLst/>
            </c:spPr>
          </c:dPt>
          <c:dPt>
            <c:idx val="3"/>
            <c:invertIfNegative val="0"/>
            <c:bubble3D val="0"/>
            <c:spPr>
              <a:solidFill>
                <a:srgbClr val="A9D18E"/>
              </a:solidFill>
              <a:ln>
                <a:noFill/>
              </a:ln>
              <a:effectLst/>
            </c:spPr>
          </c:dPt>
          <c:dPt>
            <c:idx val="4"/>
            <c:invertIfNegative val="0"/>
            <c:bubble3D val="0"/>
            <c:spPr>
              <a:solidFill>
                <a:srgbClr val="FFC000"/>
              </a:solidFill>
              <a:ln>
                <a:noFill/>
              </a:ln>
              <a:effectLst/>
            </c:spPr>
          </c:dPt>
          <c:dPt>
            <c:idx val="5"/>
            <c:invertIfNegative val="0"/>
            <c:bubble3D val="0"/>
            <c:spPr>
              <a:solidFill>
                <a:srgbClr val="969696"/>
              </a:solidFill>
              <a:ln>
                <a:noFill/>
              </a:ln>
              <a:effectLst/>
            </c:spPr>
          </c:dPt>
          <c:dPt>
            <c:idx val="6"/>
            <c:invertIfNegative val="0"/>
            <c:bubble3D val="0"/>
            <c:spPr>
              <a:solidFill>
                <a:srgbClr val="F79646"/>
              </a:solidFill>
              <a:ln>
                <a:noFill/>
              </a:ln>
              <a:effectLst/>
            </c:spPr>
          </c:dPt>
          <c:dPt>
            <c:idx val="7"/>
            <c:invertIfNegative val="0"/>
            <c:bubble3D val="0"/>
            <c:spPr>
              <a:solidFill>
                <a:schemeClr val="accent4">
                  <a:lumMod val="60000"/>
                  <a:lumOff val="40000"/>
                </a:schemeClr>
              </a:solidFill>
              <a:ln>
                <a:noFill/>
              </a:ln>
              <a:effectLst/>
            </c:spPr>
          </c:dPt>
          <c:dPt>
            <c:idx val="8"/>
            <c:invertIfNegative val="0"/>
            <c:bubble3D val="0"/>
            <c:spPr>
              <a:solidFill>
                <a:srgbClr val="9BBB59"/>
              </a:solidFill>
              <a:ln>
                <a:noFill/>
              </a:ln>
              <a:effectLst/>
            </c:spPr>
          </c:dPt>
          <c:dPt>
            <c:idx val="9"/>
            <c:invertIfNegative val="0"/>
            <c:bubble3D val="0"/>
            <c:spPr>
              <a:solidFill>
                <a:schemeClr val="tx2">
                  <a:lumMod val="40000"/>
                  <a:lumOff val="60000"/>
                </a:schemeClr>
              </a:solidFill>
              <a:ln>
                <a:noFill/>
              </a:ln>
              <a:effectLst/>
            </c:spPr>
          </c:dPt>
          <c:dLbls>
            <c:dLbl>
              <c:idx val="0"/>
              <c:layout>
                <c:manualLayout>
                  <c:x val="0.11187214611872141"/>
                  <c:y val="0"/>
                </c:manualLayout>
              </c:layout>
              <c:tx>
                <c:rich>
                  <a:bodyPr/>
                  <a:lstStyle/>
                  <a:p>
                    <a:fld id="{489F327E-AEEF-46CE-B86F-88FCE2FAE9F5}" type="VALUE">
                      <a:rPr lang="en-US"/>
                      <a:pPr/>
                      <a:t>[VALUE]</a:t>
                    </a:fld>
                    <a:r>
                      <a:rPr lang="en-US"/>
                      <a:t> (4,0%)</a:t>
                    </a:r>
                    <a:r>
                      <a:rPr lang="en-US">
                        <a:latin typeface="Times New Roman" panose="02020603050405020304" pitchFamily="18" charset="0"/>
                        <a:cs typeface="Times New Roman" panose="02020603050405020304" pitchFamily="18" charset="0"/>
                      </a:rPr>
                      <a:t>↑0,2%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18529123083476015"/>
                  <c:y val="3.4948082127511451E-3"/>
                </c:manualLayout>
              </c:layout>
              <c:tx>
                <c:rich>
                  <a:bodyPr/>
                  <a:lstStyle/>
                  <a:p>
                    <a:fld id="{5FA50F4E-52FE-4052-AA61-C6665E5C0E21}" type="VALUE">
                      <a:rPr lang="en-US"/>
                      <a:pPr/>
                      <a:t>[VALUE]</a:t>
                    </a:fld>
                    <a:r>
                      <a:rPr lang="en-US"/>
                      <a:t> (24,1%)</a:t>
                    </a:r>
                    <a:r>
                      <a:rPr lang="en-US">
                        <a:latin typeface="Times New Roman" panose="02020603050405020304" pitchFamily="18" charset="0"/>
                        <a:cs typeface="Times New Roman" panose="02020603050405020304" pitchFamily="18" charset="0"/>
                      </a:rPr>
                      <a:t>↑3,7%</a:t>
                    </a:r>
                  </a:p>
                </c:rich>
              </c:tx>
              <c:showLegendKey val="0"/>
              <c:showVal val="1"/>
              <c:showCatName val="0"/>
              <c:showSerName val="0"/>
              <c:showPercent val="0"/>
              <c:showBubbleSize val="0"/>
              <c:extLst>
                <c:ext xmlns:c15="http://schemas.microsoft.com/office/drawing/2012/chart" uri="{CE6537A1-D6FC-4f65-9D91-7224C49458BB}">
                  <c15:layout>
                    <c:manualLayout>
                      <c:w val="0.26119307248236051"/>
                      <c:h val="7.0906867027782622E-2"/>
                    </c:manualLayout>
                  </c15:layout>
                  <c15:dlblFieldTable/>
                  <c15:showDataLabelsRange val="0"/>
                </c:ext>
              </c:extLst>
            </c:dLbl>
            <c:dLbl>
              <c:idx val="2"/>
              <c:layout>
                <c:manualLayout>
                  <c:x val="0.21435555802477865"/>
                  <c:y val="2.8796636310728503E-4"/>
                </c:manualLayout>
              </c:layout>
              <c:tx>
                <c:rich>
                  <a:bodyPr/>
                  <a:lstStyle/>
                  <a:p>
                    <a:fld id="{5C685BE9-56FF-4DE9-BE00-C617ED8DBE3A}" type="VALUE">
                      <a:rPr lang="en-US"/>
                      <a:pPr/>
                      <a:t>[VALUE]</a:t>
                    </a:fld>
                    <a:r>
                      <a:rPr lang="en-US" baseline="0"/>
                      <a:t> (26,0%)</a:t>
                    </a:r>
                    <a:r>
                      <a:rPr lang="en-US" baseline="0">
                        <a:latin typeface="Times New Roman" panose="02020603050405020304" pitchFamily="18" charset="0"/>
                        <a:cs typeface="Times New Roman" panose="02020603050405020304" pitchFamily="18" charset="0"/>
                      </a:rPr>
                      <a:t>↑5,5%</a:t>
                    </a:r>
                  </a:p>
                </c:rich>
              </c:tx>
              <c:showLegendKey val="0"/>
              <c:showVal val="1"/>
              <c:showCatName val="0"/>
              <c:showSerName val="0"/>
              <c:showPercent val="0"/>
              <c:showBubbleSize val="0"/>
              <c:extLst>
                <c:ext xmlns:c15="http://schemas.microsoft.com/office/drawing/2012/chart" uri="{CE6537A1-D6FC-4f65-9D91-7224C49458BB}">
                  <c15:layout>
                    <c:manualLayout>
                      <c:w val="0.32747487705794315"/>
                      <c:h val="6.7412196400489247E-2"/>
                    </c:manualLayout>
                  </c15:layout>
                  <c15:dlblFieldTable/>
                  <c15:showDataLabelsRange val="0"/>
                </c:ext>
              </c:extLst>
            </c:dLbl>
            <c:dLbl>
              <c:idx val="3"/>
              <c:layout>
                <c:manualLayout>
                  <c:x val="0.23164472144638101"/>
                  <c:y val="0"/>
                </c:manualLayout>
              </c:layout>
              <c:tx>
                <c:rich>
                  <a:bodyPr/>
                  <a:lstStyle/>
                  <a:p>
                    <a:fld id="{0C9B7711-314F-41F0-91B3-78DD8C02498D}" type="VALUE">
                      <a:rPr lang="en-US"/>
                      <a:pPr/>
                      <a:t>[VALUE]</a:t>
                    </a:fld>
                    <a:r>
                      <a:rPr lang="en-US"/>
                      <a:t> (35,0%)</a:t>
                    </a:r>
                    <a:r>
                      <a:rPr lang="en-US">
                        <a:latin typeface="Times New Roman" panose="02020603050405020304" pitchFamily="18" charset="0"/>
                        <a:cs typeface="Times New Roman" panose="02020603050405020304" pitchFamily="18" charset="0"/>
                      </a:rPr>
                      <a:t>↑3,4%</a:t>
                    </a:r>
                  </a:p>
                </c:rich>
              </c:tx>
              <c:showLegendKey val="0"/>
              <c:showVal val="1"/>
              <c:showCatName val="0"/>
              <c:showSerName val="0"/>
              <c:showPercent val="0"/>
              <c:showBubbleSize val="0"/>
              <c:extLst>
                <c:ext xmlns:c15="http://schemas.microsoft.com/office/drawing/2012/chart" uri="{CE6537A1-D6FC-4f65-9D91-7224C49458BB}">
                  <c15:layout>
                    <c:manualLayout>
                      <c:w val="0.31678426341672017"/>
                      <c:h val="7.7896208282369386E-2"/>
                    </c:manualLayout>
                  </c15:layout>
                  <c15:dlblFieldTable/>
                  <c15:showDataLabelsRange val="0"/>
                </c:ext>
              </c:extLst>
            </c:dLbl>
            <c:dLbl>
              <c:idx val="4"/>
              <c:layout>
                <c:manualLayout>
                  <c:x val="0.2643485712457847"/>
                  <c:y val="-6.9892036691290519E-3"/>
                </c:manualLayout>
              </c:layout>
              <c:tx>
                <c:rich>
                  <a:bodyPr/>
                  <a:lstStyle/>
                  <a:p>
                    <a:fld id="{3A7F3F90-B631-4989-9B3D-A825AC04F2D3}" type="VALUE">
                      <a:rPr lang="en-US"/>
                      <a:pPr/>
                      <a:t>[VALUE]</a:t>
                    </a:fld>
                    <a:r>
                      <a:rPr lang="en-US"/>
                      <a:t> (61,0%)</a:t>
                    </a:r>
                    <a:r>
                      <a:rPr lang="en-US">
                        <a:latin typeface="Times New Roman" panose="02020603050405020304" pitchFamily="18" charset="0"/>
                        <a:cs typeface="Times New Roman" panose="02020603050405020304" pitchFamily="18" charset="0"/>
                      </a:rPr>
                      <a:t>↑3,5%</a:t>
                    </a:r>
                  </a:p>
                </c:rich>
              </c:tx>
              <c:showLegendKey val="0"/>
              <c:showVal val="1"/>
              <c:showCatName val="0"/>
              <c:showSerName val="0"/>
              <c:showPercent val="0"/>
              <c:showBubbleSize val="0"/>
              <c:extLst>
                <c:ext xmlns:c15="http://schemas.microsoft.com/office/drawing/2012/chart" uri="{CE6537A1-D6FC-4f65-9D91-7224C49458BB}">
                  <c15:layout>
                    <c:manualLayout>
                      <c:w val="0.2975411588625187"/>
                      <c:h val="5.6928184518609114E-2"/>
                    </c:manualLayout>
                  </c15:layout>
                  <c15:dlblFieldTable/>
                  <c15:showDataLabelsRange val="0"/>
                </c:ext>
              </c:extLst>
            </c:dLbl>
            <c:dLbl>
              <c:idx val="5"/>
              <c:layout>
                <c:manualLayout>
                  <c:x val="0.29679534124943802"/>
                  <c:y val="-3.4948082127512093E-3"/>
                </c:manualLayout>
              </c:layout>
              <c:tx>
                <c:rich>
                  <a:bodyPr/>
                  <a:lstStyle/>
                  <a:p>
                    <a:fld id="{24243CAE-B4D2-401D-B9BA-E772618E40DC}" type="VALUE">
                      <a:rPr lang="en-US"/>
                      <a:pPr/>
                      <a:t>[VALUE]</a:t>
                    </a:fld>
                    <a:r>
                      <a:rPr lang="en-US"/>
                      <a:t> (79,5%)</a:t>
                    </a:r>
                    <a:r>
                      <a:rPr lang="en-US">
                        <a:latin typeface="Times New Roman" panose="02020603050405020304" pitchFamily="18" charset="0"/>
                        <a:cs typeface="Times New Roman" panose="02020603050405020304" pitchFamily="18" charset="0"/>
                      </a:rPr>
                      <a:t>↑0,8%</a:t>
                    </a:r>
                  </a:p>
                </c:rich>
              </c:tx>
              <c:showLegendKey val="0"/>
              <c:showVal val="1"/>
              <c:showCatName val="0"/>
              <c:showSerName val="0"/>
              <c:showPercent val="0"/>
              <c:showBubbleSize val="0"/>
              <c:extLst>
                <c:ext xmlns:c15="http://schemas.microsoft.com/office/drawing/2012/chart" uri="{CE6537A1-D6FC-4f65-9D91-7224C49458BB}">
                  <c15:layout>
                    <c:manualLayout>
                      <c:w val="0.26746602152601356"/>
                      <c:h val="5.6928184518609114E-2"/>
                    </c:manualLayout>
                  </c15:layout>
                  <c15:dlblFieldTable/>
                  <c15:showDataLabelsRange val="0"/>
                </c:ext>
              </c:extLst>
            </c:dLbl>
            <c:dLbl>
              <c:idx val="6"/>
              <c:layout>
                <c:manualLayout>
                  <c:x val="0.305437734330675"/>
                  <c:y val="-5.2420059409400673E-3"/>
                </c:manualLayout>
              </c:layout>
              <c:tx>
                <c:rich>
                  <a:bodyPr/>
                  <a:lstStyle/>
                  <a:p>
                    <a:fld id="{FB32D4EF-3BF3-4D25-8786-5FA103E5C866}" type="VALUE">
                      <a:rPr lang="en-US"/>
                      <a:pPr/>
                      <a:t>[VALUE]</a:t>
                    </a:fld>
                    <a:r>
                      <a:rPr lang="en-US"/>
                      <a:t> (83,1%)</a:t>
                    </a:r>
                    <a:r>
                      <a:rPr lang="en-US">
                        <a:latin typeface="Times New Roman" panose="02020603050405020304" pitchFamily="18" charset="0"/>
                        <a:cs typeface="Times New Roman" panose="02020603050405020304" pitchFamily="18" charset="0"/>
                      </a:rPr>
                      <a:t>↑1,5%</a:t>
                    </a:r>
                  </a:p>
                </c:rich>
              </c:tx>
              <c:showLegendKey val="0"/>
              <c:showVal val="1"/>
              <c:showCatName val="0"/>
              <c:showSerName val="0"/>
              <c:showPercent val="0"/>
              <c:showBubbleSize val="0"/>
              <c:extLst>
                <c:ext xmlns:c15="http://schemas.microsoft.com/office/drawing/2012/chart" uri="{CE6537A1-D6FC-4f65-9D91-7224C49458BB}">
                  <c15:layout>
                    <c:manualLayout>
                      <c:w val="0.26173938809284503"/>
                      <c:h val="4.6444172636728988E-2"/>
                    </c:manualLayout>
                  </c15:layout>
                  <c15:dlblFieldTable/>
                  <c15:showDataLabelsRange val="0"/>
                </c:ext>
              </c:extLst>
            </c:dLbl>
            <c:dLbl>
              <c:idx val="7"/>
              <c:layout>
                <c:manualLayout>
                  <c:x val="0.31366588717782951"/>
                  <c:y val="-9.5558603837809074E-3"/>
                </c:manualLayout>
              </c:layout>
              <c:tx>
                <c:rich>
                  <a:bodyPr/>
                  <a:lstStyle/>
                  <a:p>
                    <a:fld id="{B434583B-C039-486E-A272-E8B566240919}" type="VALUE">
                      <a:rPr lang="en-US"/>
                      <a:pPr/>
                      <a:t>[VALUE]</a:t>
                    </a:fld>
                    <a:r>
                      <a:rPr lang="en-US"/>
                      <a:t> (80,1%) </a:t>
                    </a:r>
                    <a:r>
                      <a:rPr lang="en-US">
                        <a:latin typeface="Times New Roman" panose="02020603050405020304" pitchFamily="18" charset="0"/>
                        <a:cs typeface="Times New Roman" panose="02020603050405020304" pitchFamily="18" charset="0"/>
                      </a:rPr>
                      <a:t>↑10,8%</a:t>
                    </a:r>
                  </a:p>
                </c:rich>
              </c:tx>
              <c:showLegendKey val="0"/>
              <c:showVal val="1"/>
              <c:showCatName val="0"/>
              <c:showSerName val="0"/>
              <c:showPercent val="0"/>
              <c:showBubbleSize val="0"/>
              <c:extLst>
                <c:ext xmlns:c15="http://schemas.microsoft.com/office/drawing/2012/chart" uri="{CE6537A1-D6FC-4f65-9D91-7224C49458BB}">
                  <c15:layout>
                    <c:manualLayout>
                      <c:w val="0.28268070083285768"/>
                      <c:h val="4.9938843264022363E-2"/>
                    </c:manualLayout>
                  </c15:layout>
                  <c15:dlblFieldTable/>
                  <c15:showDataLabelsRange val="0"/>
                </c:ext>
              </c:extLst>
            </c:dLbl>
            <c:dLbl>
              <c:idx val="8"/>
              <c:layout>
                <c:manualLayout>
                  <c:x val="0.3144363689625389"/>
                  <c:y val="-6.0613273419452655E-3"/>
                </c:manualLayout>
              </c:layout>
              <c:tx>
                <c:rich>
                  <a:bodyPr/>
                  <a:lstStyle/>
                  <a:p>
                    <a:fld id="{40ABC9B8-FF40-4B67-AF4E-81083BD3D975}" type="VALUE">
                      <a:rPr lang="en-US"/>
                      <a:pPr/>
                      <a:t>[VALUE]</a:t>
                    </a:fld>
                    <a:r>
                      <a:rPr lang="en-US"/>
                      <a:t> (92,3%)</a:t>
                    </a:r>
                    <a:r>
                      <a:rPr lang="en-US">
                        <a:latin typeface="Times New Roman" panose="02020603050405020304" pitchFamily="18" charset="0"/>
                        <a:cs typeface="Times New Roman" panose="02020603050405020304" pitchFamily="18" charset="0"/>
                      </a:rPr>
                      <a:t>↑0,5%</a:t>
                    </a:r>
                  </a:p>
                </c:rich>
              </c:tx>
              <c:showLegendKey val="0"/>
              <c:showVal val="1"/>
              <c:showCatName val="0"/>
              <c:showSerName val="0"/>
              <c:showPercent val="0"/>
              <c:showBubbleSize val="0"/>
              <c:extLst>
                <c:ext xmlns:c15="http://schemas.microsoft.com/office/drawing/2012/chart" uri="{CE6537A1-D6FC-4f65-9D91-7224C49458BB}">
                  <c15:layout>
                    <c:manualLayout>
                      <c:w val="0.23717437821875853"/>
                      <c:h val="5.6928184518609114E-2"/>
                    </c:manualLayout>
                  </c15:layout>
                  <c15:dlblFieldTable/>
                  <c15:showDataLabelsRange val="0"/>
                </c:ext>
              </c:extLst>
            </c:dLbl>
            <c:dLbl>
              <c:idx val="9"/>
              <c:layout>
                <c:manualLayout>
                  <c:x val="0"/>
                  <c:y val="-5.5914730036694039E-2"/>
                </c:manualLayout>
              </c:layout>
              <c:tx>
                <c:rich>
                  <a:bodyPr/>
                  <a:lstStyle/>
                  <a:p>
                    <a:fld id="{872381E1-255C-4F6E-92F7-7D7A216B19D9}"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Ikm.ziņ.pecCFLAkomentariem!$D$3:$N$3</c:f>
              <c:strCache>
                <c:ptCount val="11"/>
                <c:pt idx="0">
                  <c:v>Veikti maksājumi projektos</c:v>
                </c:pt>
                <c:pt idx="1">
                  <c:v>Noslēgti līgumi, skaits - 124</c:v>
                </c:pt>
                <c:pt idx="2">
                  <c:v>Apstiprināti projekti, skaits - 134</c:v>
                </c:pt>
                <c:pt idx="3">
                  <c:v>Iesniegti projekti, skaits - 685</c:v>
                </c:pt>
                <c:pt idx="4">
                  <c:v>Uzsāktās projektu atlases, skaits - 80</c:v>
                </c:pt>
                <c:pt idx="5">
                  <c:v>Apstiprināti MKN, skaits - 92</c:v>
                </c:pt>
                <c:pt idx="6">
                  <c:v>MKN VSS, skaits - 97</c:v>
                </c:pt>
                <c:pt idx="7">
                  <c:v>Apstiprinātie kritēriji - 94</c:v>
                </c:pt>
                <c:pt idx="8">
                  <c:v>Iesniegti kritēriji, skaits - 102</c:v>
                </c:pt>
                <c:pt idx="9">
                  <c:v>Pieejamais ES fondu finansējums</c:v>
                </c:pt>
                <c:pt idx="10">
                  <c:v>Pieejamais ''virssaistību'' apjoms</c:v>
                </c:pt>
              </c:strCache>
            </c:strRef>
          </c:cat>
          <c:val>
            <c:numRef>
              <c:f>Ikm.ziņ.pecCFLAkomentariem!$D$5:$M$5</c:f>
              <c:numCache>
                <c:formatCode>#,##0.0</c:formatCode>
                <c:ptCount val="10"/>
                <c:pt idx="0">
                  <c:v>177736329.30000001</c:v>
                </c:pt>
                <c:pt idx="1">
                  <c:v>1063176070.23</c:v>
                </c:pt>
                <c:pt idx="2">
                  <c:v>1150209026.54</c:v>
                </c:pt>
                <c:pt idx="3">
                  <c:v>1545626731.6099999</c:v>
                </c:pt>
                <c:pt idx="4" formatCode="#,##0">
                  <c:v>2694448925</c:v>
                </c:pt>
                <c:pt idx="5" formatCode="#,##0">
                  <c:v>3512481923</c:v>
                </c:pt>
                <c:pt idx="6" formatCode="#,##0">
                  <c:v>3669819923</c:v>
                </c:pt>
                <c:pt idx="7" formatCode="#,##0">
                  <c:v>3538804088</c:v>
                </c:pt>
                <c:pt idx="8" formatCode="#,##0">
                  <c:v>4077158701</c:v>
                </c:pt>
                <c:pt idx="9" formatCode="#,##0">
                  <c:v>4418233214</c:v>
                </c:pt>
              </c:numCache>
            </c:numRef>
          </c:val>
        </c:ser>
        <c:ser>
          <c:idx val="2"/>
          <c:order val="2"/>
          <c:tx>
            <c:strRef>
              <c:f>Ikm.ziņ.pecCFLAkomentariem!$N$3</c:f>
              <c:strCache>
                <c:ptCount val="1"/>
                <c:pt idx="0">
                  <c:v>Pieejamais ''virssaistību'' apjoms</c:v>
                </c:pt>
              </c:strCache>
            </c:strRef>
          </c:tx>
          <c:spPr>
            <a:solidFill>
              <a:srgbClr val="FF0000"/>
            </a:solidFill>
            <a:ln>
              <a:noFill/>
            </a:ln>
            <a:effectLst/>
          </c:spPr>
          <c:invertIfNegative val="0"/>
          <c:dLbls>
            <c:dLbl>
              <c:idx val="8"/>
              <c:layout>
                <c:manualLayout>
                  <c:x val="5.2511415525114152E-2"/>
                  <c:y val="0"/>
                </c:manualLayout>
              </c:layout>
              <c:tx>
                <c:rich>
                  <a:bodyPr/>
                  <a:lstStyle/>
                  <a:p>
                    <a:fld id="{B96E0241-0EDD-4867-9595-D7F9D488EC81}" type="VALUE">
                      <a:rPr lang="en-US">
                        <a:solidFill>
                          <a:schemeClr val="tx1">
                            <a:lumMod val="95000"/>
                            <a:lumOff val="5000"/>
                          </a:schemeClr>
                        </a:solidFill>
                        <a:latin typeface="Times New Roman" panose="02020603050405020304" pitchFamily="18" charset="0"/>
                        <a:cs typeface="Times New Roman" panose="02020603050405020304" pitchFamily="18" charset="0"/>
                      </a:rPr>
                      <a:pPr/>
                      <a:t>[VALUE]</a:t>
                    </a:fld>
                    <a:r>
                      <a:rPr lang="en-US">
                        <a:solidFill>
                          <a:schemeClr val="tx1">
                            <a:lumMod val="95000"/>
                            <a:lumOff val="5000"/>
                          </a:schemeClr>
                        </a:solidFill>
                        <a:latin typeface="Times New Roman" panose="02020603050405020304" pitchFamily="18" charset="0"/>
                        <a:cs typeface="Times New Roman" panose="02020603050405020304" pitchFamily="18" charset="0"/>
                      </a:rPr>
                      <a:t> (1,2%)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9"/>
              <c:layout>
                <c:manualLayout>
                  <c:x val="7.0765296416203272E-2"/>
                  <c:y val="-3.4946706272933775E-3"/>
                </c:manualLayout>
              </c:layout>
              <c:tx>
                <c:rich>
                  <a:bodyPr/>
                  <a:lstStyle/>
                  <a:p>
                    <a:fld id="{B060E773-9110-48CD-8C3E-82AF6EBFF400}" type="VALUE">
                      <a:rPr lang="en-US"/>
                      <a:pPr/>
                      <a:t>[VALUE]</a:t>
                    </a:fld>
                    <a:r>
                      <a:rPr lang="en-US"/>
                      <a:t> (1,2%)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Ikm.ziņ.pecCFLAkomentariem!$D$3:$N$3</c:f>
              <c:strCache>
                <c:ptCount val="11"/>
                <c:pt idx="0">
                  <c:v>Veikti maksājumi projektos</c:v>
                </c:pt>
                <c:pt idx="1">
                  <c:v>Noslēgti līgumi, skaits - 124</c:v>
                </c:pt>
                <c:pt idx="2">
                  <c:v>Apstiprināti projekti, skaits - 134</c:v>
                </c:pt>
                <c:pt idx="3">
                  <c:v>Iesniegti projekti, skaits - 685</c:v>
                </c:pt>
                <c:pt idx="4">
                  <c:v>Uzsāktās projektu atlases, skaits - 80</c:v>
                </c:pt>
                <c:pt idx="5">
                  <c:v>Apstiprināti MKN, skaits - 92</c:v>
                </c:pt>
                <c:pt idx="6">
                  <c:v>MKN VSS, skaits - 97</c:v>
                </c:pt>
                <c:pt idx="7">
                  <c:v>Apstiprinātie kritēriji - 94</c:v>
                </c:pt>
                <c:pt idx="8">
                  <c:v>Iesniegti kritēriji, skaits - 102</c:v>
                </c:pt>
                <c:pt idx="9">
                  <c:v>Pieejamais ES fondu finansējums</c:v>
                </c:pt>
                <c:pt idx="10">
                  <c:v>Pieejamais ''virssaistību'' apjoms</c:v>
                </c:pt>
              </c:strCache>
            </c:strRef>
          </c:cat>
          <c:val>
            <c:numRef>
              <c:f>Ikm.ziņ.pecCFLAkomentariem!$D$6:$M$6</c:f>
              <c:numCache>
                <c:formatCode>General</c:formatCode>
                <c:ptCount val="10"/>
                <c:pt idx="9" formatCode="#,##0">
                  <c:v>53000000</c:v>
                </c:pt>
              </c:numCache>
            </c:numRef>
          </c:val>
        </c:ser>
        <c:ser>
          <c:idx val="3"/>
          <c:order val="3"/>
          <c:tx>
            <c:strRef>
              <c:f>'Ikmēneša ziņojumam - lielais gr'!#REF!</c:f>
              <c:strCache>
                <c:ptCount val="1"/>
                <c:pt idx="0">
                  <c:v>#REF!</c:v>
                </c:pt>
              </c:strCache>
            </c:strRef>
          </c:tx>
          <c:spPr>
            <a:solidFill>
              <a:schemeClr val="accent4"/>
            </a:solidFill>
            <a:ln>
              <a:noFill/>
            </a:ln>
            <a:effectLst/>
          </c:spPr>
          <c:invertIfNegative val="0"/>
          <c:cat>
            <c:strRef>
              <c:f>Ikm.ziņ.pecCFLAkomentariem!$D$3:$N$3</c:f>
              <c:strCache>
                <c:ptCount val="11"/>
                <c:pt idx="0">
                  <c:v>Veikti maksājumi projektos</c:v>
                </c:pt>
                <c:pt idx="1">
                  <c:v>Noslēgti līgumi, skaits - 124</c:v>
                </c:pt>
                <c:pt idx="2">
                  <c:v>Apstiprināti projekti, skaits - 134</c:v>
                </c:pt>
                <c:pt idx="3">
                  <c:v>Iesniegti projekti, skaits - 685</c:v>
                </c:pt>
                <c:pt idx="4">
                  <c:v>Uzsāktās projektu atlases, skaits - 80</c:v>
                </c:pt>
                <c:pt idx="5">
                  <c:v>Apstiprināti MKN, skaits - 92</c:v>
                </c:pt>
                <c:pt idx="6">
                  <c:v>MKN VSS, skaits - 97</c:v>
                </c:pt>
                <c:pt idx="7">
                  <c:v>Apstiprinātie kritēriji - 94</c:v>
                </c:pt>
                <c:pt idx="8">
                  <c:v>Iesniegti kritēriji, skaits - 102</c:v>
                </c:pt>
                <c:pt idx="9">
                  <c:v>Pieejamais ES fondu finansējums</c:v>
                </c:pt>
                <c:pt idx="10">
                  <c:v>Pieejamais ''virssaistību'' apjoms</c:v>
                </c:pt>
              </c:strCache>
            </c:strRef>
          </c:cat>
          <c:val>
            <c:numRef>
              <c:f>'Ikmēneša ziņojumam - lielais gr'!#REF!</c:f>
              <c:numCache>
                <c:formatCode>General</c:formatCode>
                <c:ptCount val="1"/>
                <c:pt idx="0">
                  <c:v>1</c:v>
                </c:pt>
              </c:numCache>
            </c:numRef>
          </c:val>
        </c:ser>
        <c:ser>
          <c:idx val="4"/>
          <c:order val="4"/>
          <c:tx>
            <c:strRef>
              <c:f>Ikm.ziņ.pecCFLAkomentariem!$C$7</c:f>
              <c:strCache>
                <c:ptCount val="1"/>
                <c:pt idx="0">
                  <c:v>Esošais mēnesis (30.09.)/ %</c:v>
                </c:pt>
              </c:strCache>
            </c:strRef>
          </c:tx>
          <c:spPr>
            <a:solidFill>
              <a:schemeClr val="accent5"/>
            </a:solidFill>
            <a:ln>
              <a:noFill/>
            </a:ln>
            <a:effectLst/>
          </c:spPr>
          <c:invertIfNegative val="0"/>
          <c:cat>
            <c:strRef>
              <c:f>Ikm.ziņ.pecCFLAkomentariem!$D$3:$N$3</c:f>
              <c:strCache>
                <c:ptCount val="11"/>
                <c:pt idx="0">
                  <c:v>Veikti maksājumi projektos</c:v>
                </c:pt>
                <c:pt idx="1">
                  <c:v>Noslēgti līgumi, skaits - 124</c:v>
                </c:pt>
                <c:pt idx="2">
                  <c:v>Apstiprināti projekti, skaits - 134</c:v>
                </c:pt>
                <c:pt idx="3">
                  <c:v>Iesniegti projekti, skaits - 685</c:v>
                </c:pt>
                <c:pt idx="4">
                  <c:v>Uzsāktās projektu atlases, skaits - 80</c:v>
                </c:pt>
                <c:pt idx="5">
                  <c:v>Apstiprināti MKN, skaits - 92</c:v>
                </c:pt>
                <c:pt idx="6">
                  <c:v>MKN VSS, skaits - 97</c:v>
                </c:pt>
                <c:pt idx="7">
                  <c:v>Apstiprinātie kritēriji - 94</c:v>
                </c:pt>
                <c:pt idx="8">
                  <c:v>Iesniegti kritēriji, skaits - 102</c:v>
                </c:pt>
                <c:pt idx="9">
                  <c:v>Pieejamais ES fondu finansējums</c:v>
                </c:pt>
                <c:pt idx="10">
                  <c:v>Pieejamais ''virssaistību'' apjoms</c:v>
                </c:pt>
              </c:strCache>
            </c:strRef>
          </c:cat>
          <c:val>
            <c:numRef>
              <c:f>Ikm.ziņ.pecCFLAkomentariem!$D$7:$M$7</c:f>
              <c:numCache>
                <c:formatCode>0.0%</c:formatCode>
                <c:ptCount val="10"/>
                <c:pt idx="0">
                  <c:v>4.0227919326849736E-2</c:v>
                </c:pt>
                <c:pt idx="1">
                  <c:v>0.24063375986154995</c:v>
                </c:pt>
                <c:pt idx="2">
                  <c:v>0.26033234798365718</c:v>
                </c:pt>
                <c:pt idx="3">
                  <c:v>0.34982914136637061</c:v>
                </c:pt>
                <c:pt idx="4">
                  <c:v>0.60984760072468192</c:v>
                </c:pt>
                <c:pt idx="5">
                  <c:v>0.7949969485245918</c:v>
                </c:pt>
                <c:pt idx="6">
                  <c:v>0.83060801574970911</c:v>
                </c:pt>
                <c:pt idx="7">
                  <c:v>0.80095457088743893</c:v>
                </c:pt>
                <c:pt idx="8">
                  <c:v>0.92280296297641295</c:v>
                </c:pt>
              </c:numCache>
            </c:numRef>
          </c:val>
        </c:ser>
        <c:ser>
          <c:idx val="5"/>
          <c:order val="5"/>
          <c:tx>
            <c:strRef>
              <c:f>Ikm.ziņ.pecCFLAkomentariem!$C$8</c:f>
              <c:strCache>
                <c:ptCount val="1"/>
                <c:pt idx="0">
                  <c:v>Iepriekšējais mēn(31.08.)/ %</c:v>
                </c:pt>
              </c:strCache>
            </c:strRef>
          </c:tx>
          <c:spPr>
            <a:solidFill>
              <a:schemeClr val="accent6"/>
            </a:solidFill>
            <a:ln>
              <a:noFill/>
            </a:ln>
            <a:effectLst/>
          </c:spPr>
          <c:invertIfNegative val="0"/>
          <c:cat>
            <c:strRef>
              <c:f>Ikm.ziņ.pecCFLAkomentariem!$D$3:$N$3</c:f>
              <c:strCache>
                <c:ptCount val="11"/>
                <c:pt idx="0">
                  <c:v>Veikti maksājumi projektos</c:v>
                </c:pt>
                <c:pt idx="1">
                  <c:v>Noslēgti līgumi, skaits - 124</c:v>
                </c:pt>
                <c:pt idx="2">
                  <c:v>Apstiprināti projekti, skaits - 134</c:v>
                </c:pt>
                <c:pt idx="3">
                  <c:v>Iesniegti projekti, skaits - 685</c:v>
                </c:pt>
                <c:pt idx="4">
                  <c:v>Uzsāktās projektu atlases, skaits - 80</c:v>
                </c:pt>
                <c:pt idx="5">
                  <c:v>Apstiprināti MKN, skaits - 92</c:v>
                </c:pt>
                <c:pt idx="6">
                  <c:v>MKN VSS, skaits - 97</c:v>
                </c:pt>
                <c:pt idx="7">
                  <c:v>Apstiprinātie kritēriji - 94</c:v>
                </c:pt>
                <c:pt idx="8">
                  <c:v>Iesniegti kritēriji, skaits - 102</c:v>
                </c:pt>
                <c:pt idx="9">
                  <c:v>Pieejamais ES fondu finansējums</c:v>
                </c:pt>
                <c:pt idx="10">
                  <c:v>Pieejamais ''virssaistību'' apjoms</c:v>
                </c:pt>
              </c:strCache>
            </c:strRef>
          </c:cat>
          <c:val>
            <c:numRef>
              <c:f>Ikm.ziņ.pecCFLAkomentariem!$D$8:$M$8</c:f>
              <c:numCache>
                <c:formatCode>0.0%</c:formatCode>
                <c:ptCount val="10"/>
                <c:pt idx="0">
                  <c:v>3.7999999999999999E-2</c:v>
                </c:pt>
                <c:pt idx="1">
                  <c:v>0.20399999999999999</c:v>
                </c:pt>
                <c:pt idx="2">
                  <c:v>0.20499999999999999</c:v>
                </c:pt>
                <c:pt idx="3">
                  <c:v>0.316</c:v>
                </c:pt>
                <c:pt idx="4">
                  <c:v>0.57499999999999996</c:v>
                </c:pt>
                <c:pt idx="5">
                  <c:v>0.78700000000000003</c:v>
                </c:pt>
                <c:pt idx="6">
                  <c:v>0.81599999999999995</c:v>
                </c:pt>
                <c:pt idx="7">
                  <c:v>0.69301065720225907</c:v>
                </c:pt>
                <c:pt idx="8">
                  <c:v>0.91800000000000004</c:v>
                </c:pt>
              </c:numCache>
            </c:numRef>
          </c:val>
        </c:ser>
        <c:ser>
          <c:idx val="6"/>
          <c:order val="6"/>
          <c:tx>
            <c:strRef>
              <c:f>Ikm.ziņ.pecCFLAkomentariem!$C$9</c:f>
              <c:strCache>
                <c:ptCount val="1"/>
                <c:pt idx="0">
                  <c:v>Pieaugums</c:v>
                </c:pt>
              </c:strCache>
            </c:strRef>
          </c:tx>
          <c:spPr>
            <a:solidFill>
              <a:schemeClr val="accent1">
                <a:lumMod val="60000"/>
              </a:schemeClr>
            </a:solidFill>
            <a:ln>
              <a:noFill/>
            </a:ln>
            <a:effectLst/>
          </c:spPr>
          <c:invertIfNegative val="0"/>
          <c:cat>
            <c:strRef>
              <c:f>Ikm.ziņ.pecCFLAkomentariem!$D$3:$N$3</c:f>
              <c:strCache>
                <c:ptCount val="11"/>
                <c:pt idx="0">
                  <c:v>Veikti maksājumi projektos</c:v>
                </c:pt>
                <c:pt idx="1">
                  <c:v>Noslēgti līgumi, skaits - 124</c:v>
                </c:pt>
                <c:pt idx="2">
                  <c:v>Apstiprināti projekti, skaits - 134</c:v>
                </c:pt>
                <c:pt idx="3">
                  <c:v>Iesniegti projekti, skaits - 685</c:v>
                </c:pt>
                <c:pt idx="4">
                  <c:v>Uzsāktās projektu atlases, skaits - 80</c:v>
                </c:pt>
                <c:pt idx="5">
                  <c:v>Apstiprināti MKN, skaits - 92</c:v>
                </c:pt>
                <c:pt idx="6">
                  <c:v>MKN VSS, skaits - 97</c:v>
                </c:pt>
                <c:pt idx="7">
                  <c:v>Apstiprinātie kritēriji - 94</c:v>
                </c:pt>
                <c:pt idx="8">
                  <c:v>Iesniegti kritēriji, skaits - 102</c:v>
                </c:pt>
                <c:pt idx="9">
                  <c:v>Pieejamais ES fondu finansējums</c:v>
                </c:pt>
                <c:pt idx="10">
                  <c:v>Pieejamais ''virssaistību'' apjoms</c:v>
                </c:pt>
              </c:strCache>
            </c:strRef>
          </c:cat>
          <c:val>
            <c:numRef>
              <c:f>Ikm.ziņ.pecCFLAkomentariem!$D$9:$M$9</c:f>
              <c:numCache>
                <c:formatCode>0.0%</c:formatCode>
                <c:ptCount val="10"/>
                <c:pt idx="0">
                  <c:v>2.2279193268497366E-3</c:v>
                </c:pt>
                <c:pt idx="1">
                  <c:v>3.6633759861549958E-2</c:v>
                </c:pt>
                <c:pt idx="2">
                  <c:v>5.5332347983657187E-2</c:v>
                </c:pt>
                <c:pt idx="3">
                  <c:v>3.3829141366370608E-2</c:v>
                </c:pt>
                <c:pt idx="4">
                  <c:v>3.484760072468196E-2</c:v>
                </c:pt>
                <c:pt idx="5">
                  <c:v>7.9969485245917626E-3</c:v>
                </c:pt>
                <c:pt idx="6">
                  <c:v>1.4608015749709158E-2</c:v>
                </c:pt>
                <c:pt idx="7">
                  <c:v>0.10794391368517986</c:v>
                </c:pt>
                <c:pt idx="8">
                  <c:v>4.8029629764129167E-3</c:v>
                </c:pt>
              </c:numCache>
            </c:numRef>
          </c:val>
        </c:ser>
        <c:dLbls>
          <c:showLegendKey val="0"/>
          <c:showVal val="0"/>
          <c:showCatName val="0"/>
          <c:showSerName val="0"/>
          <c:showPercent val="0"/>
          <c:showBubbleSize val="0"/>
        </c:dLbls>
        <c:gapWidth val="150"/>
        <c:overlap val="100"/>
        <c:axId val="243313064"/>
        <c:axId val="243313456"/>
      </c:barChart>
      <c:catAx>
        <c:axId val="243313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43313456"/>
        <c:crosses val="autoZero"/>
        <c:auto val="1"/>
        <c:lblAlgn val="ctr"/>
        <c:lblOffset val="100"/>
        <c:noMultiLvlLbl val="0"/>
      </c:catAx>
      <c:valAx>
        <c:axId val="243313456"/>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43313064"/>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'Kopā (4)'!$A$3</c:f>
              <c:strCache>
                <c:ptCount val="1"/>
                <c:pt idx="0">
                  <c:v>Plānotais MK noteikumu apstiprināšanas skaits</c:v>
                </c:pt>
              </c:strCache>
            </c:strRef>
          </c:tx>
          <c:spPr>
            <a:solidFill>
              <a:schemeClr val="accent5">
                <a:lumMod val="40000"/>
                <a:lumOff val="60000"/>
              </a:schemeClr>
            </a:solidFill>
            <a:ln>
              <a:noFill/>
            </a:ln>
            <a:effectLst/>
          </c:spPr>
          <c:invertIfNegative val="0"/>
          <c:dLbls>
            <c:dLbl>
              <c:idx val="7"/>
              <c:layout>
                <c:manualLayout>
                  <c:x val="-4.2763296345494483E-3"/>
                  <c:y val="0.5096748338149468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4A3-449C-B344-09CD5BEC675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(4)'!$B$2:$L$2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(4)'!$B$3:$L$3</c:f>
              <c:numCache>
                <c:formatCode>General</c:formatCode>
                <c:ptCount val="11"/>
                <c:pt idx="0">
                  <c:v>35</c:v>
                </c:pt>
                <c:pt idx="1">
                  <c:v>58</c:v>
                </c:pt>
                <c:pt idx="2">
                  <c:v>63</c:v>
                </c:pt>
                <c:pt idx="3">
                  <c:v>77</c:v>
                </c:pt>
                <c:pt idx="4">
                  <c:v>86</c:v>
                </c:pt>
                <c:pt idx="5">
                  <c:v>91</c:v>
                </c:pt>
                <c:pt idx="6">
                  <c:v>97</c:v>
                </c:pt>
                <c:pt idx="7">
                  <c:v>103</c:v>
                </c:pt>
                <c:pt idx="8">
                  <c:v>104</c:v>
                </c:pt>
                <c:pt idx="9">
                  <c:v>104</c:v>
                </c:pt>
                <c:pt idx="10">
                  <c:v>104</c:v>
                </c:pt>
              </c:numCache>
            </c:numRef>
          </c:val>
          <c:extLst xmlns:c16r2="http://schemas.microsoft.com/office/drawing/2015/06/chart">
            <c:ext xmlns:c16="http://schemas.microsoft.com/office/drawing/2014/chart" uri="{C3380CC4-5D6E-409C-BE32-E72D297353CC}">
              <c16:uniqueId val="{00000001-B4A3-449C-B344-09CD5BEC6754}"/>
            </c:ext>
          </c:extLst>
        </c:ser>
        <c:ser>
          <c:idx val="2"/>
          <c:order val="2"/>
          <c:tx>
            <c:strRef>
              <c:f>'Kopā (4)'!$A$5</c:f>
              <c:strCache>
                <c:ptCount val="1"/>
                <c:pt idx="0">
                  <c:v>Apstiprināti MK noteikumi</c:v>
                </c:pt>
              </c:strCache>
            </c:strRef>
          </c:tx>
          <c:spPr>
            <a:solidFill>
              <a:schemeClr val="accent6">
                <a:lumMod val="40000"/>
                <a:lumOff val="60000"/>
              </a:schemeClr>
            </a:solidFill>
            <a:ln>
              <a:noFill/>
            </a:ln>
            <a:effectLst/>
          </c:spPr>
          <c:invertIfNegative val="0"/>
          <c:dPt>
            <c:idx val="1"/>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3-B4A3-449C-B344-09CD5BEC6754}"/>
              </c:ext>
            </c:extLst>
          </c:dPt>
          <c:dPt>
            <c:idx val="2"/>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5-B4A3-449C-B344-09CD5BEC6754}"/>
              </c:ext>
            </c:extLst>
          </c:dPt>
          <c:dPt>
            <c:idx val="3"/>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7-B4A3-449C-B344-09CD5BEC6754}"/>
              </c:ext>
            </c:extLst>
          </c:dPt>
          <c:dPt>
            <c:idx val="4"/>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9-B4A3-449C-B344-09CD5BEC6754}"/>
              </c:ext>
            </c:extLst>
          </c:dPt>
          <c:dPt>
            <c:idx val="5"/>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B-B4A3-449C-B344-09CD5BEC6754}"/>
              </c:ext>
            </c:extLst>
          </c:dPt>
          <c:dPt>
            <c:idx val="6"/>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D-B4A3-449C-B344-09CD5BEC6754}"/>
              </c:ext>
            </c:extLst>
          </c:dPt>
          <c:dPt>
            <c:idx val="7"/>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F-B4A3-449C-B344-09CD5BEC6754}"/>
              </c:ext>
            </c:extLst>
          </c:dPt>
          <c:dLbls>
            <c:dLbl>
              <c:idx val="7"/>
              <c:layout>
                <c:manualLayout>
                  <c:x val="6.4144523627938923E-3"/>
                  <c:y val="0.4549208136537022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(4)'!$B$2:$L$2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(4)'!$B$5:$L$5</c:f>
              <c:numCache>
                <c:formatCode>General</c:formatCode>
                <c:ptCount val="11"/>
                <c:pt idx="0">
                  <c:v>31</c:v>
                </c:pt>
                <c:pt idx="1">
                  <c:v>48</c:v>
                </c:pt>
                <c:pt idx="2">
                  <c:v>56</c:v>
                </c:pt>
                <c:pt idx="3">
                  <c:v>69</c:v>
                </c:pt>
                <c:pt idx="4">
                  <c:v>73</c:v>
                </c:pt>
                <c:pt idx="5">
                  <c:v>78</c:v>
                </c:pt>
                <c:pt idx="6">
                  <c:v>90</c:v>
                </c:pt>
                <c:pt idx="7">
                  <c:v>92</c:v>
                </c:pt>
              </c:numCache>
            </c:numRef>
          </c:val>
          <c:extLst xmlns:c16r2="http://schemas.microsoft.com/office/drawing/2015/06/chart">
            <c:ext xmlns:c16="http://schemas.microsoft.com/office/drawing/2014/chart" uri="{C3380CC4-5D6E-409C-BE32-E72D297353CC}">
              <c16:uniqueId val="{00000010-B4A3-449C-B344-09CD5BEC6754}"/>
            </c:ext>
          </c:extLst>
        </c:ser>
        <c:dLbls>
          <c:showLegendKey val="0"/>
          <c:showVal val="0"/>
          <c:showCatName val="0"/>
          <c:showSerName val="0"/>
          <c:showPercent val="0"/>
          <c:showBubbleSize val="0"/>
        </c:dLbls>
        <c:gapWidth val="150"/>
        <c:axId val="243314240"/>
        <c:axId val="243314632"/>
      </c:barChart>
      <c:lineChart>
        <c:grouping val="standard"/>
        <c:varyColors val="0"/>
        <c:ser>
          <c:idx val="1"/>
          <c:order val="1"/>
          <c:tx>
            <c:strRef>
              <c:f>'Kopā (4)'!$A$4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4900577293136644E-2"/>
                  <c:y val="-4.12116216773130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4A3-449C-B344-09CD5BEC6754}"/>
                </c:ext>
                <c:ext xmlns:c15="http://schemas.microsoft.com/office/drawing/2012/chart" uri="{CE6537A1-D6FC-4f65-9D91-7224C49458BB}"/>
              </c:extLst>
            </c:dLbl>
            <c:dLbl>
              <c:idx val="1"/>
              <c:layout>
                <c:manualLayout>
                  <c:x val="-4.0624331836647425E-2"/>
                  <c:y val="-4.12116216773130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4A3-449C-B344-09CD5BEC6754}"/>
                </c:ext>
                <c:ext xmlns:c15="http://schemas.microsoft.com/office/drawing/2012/chart" uri="{CE6537A1-D6FC-4f65-9D91-7224C49458BB}"/>
              </c:extLst>
            </c:dLbl>
            <c:dLbl>
              <c:idx val="2"/>
              <c:layout>
                <c:manualLayout>
                  <c:x val="-4.3576456406707979E-2"/>
                  <c:y val="-4.4686702437488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4A3-449C-B344-09CD5BEC6754}"/>
                </c:ext>
                <c:ext xmlns:c15="http://schemas.microsoft.com/office/drawing/2012/chart" uri="{CE6537A1-D6FC-4f65-9D91-7224C49458BB}"/>
              </c:extLst>
            </c:dLbl>
            <c:dLbl>
              <c:idx val="3"/>
              <c:layout>
                <c:manualLayout>
                  <c:x val="-4.2762454564892027E-2"/>
                  <c:y val="-2.88481351741191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4A3-449C-B344-09CD5BEC6754}"/>
                </c:ext>
                <c:ext xmlns:c15="http://schemas.microsoft.com/office/drawing/2012/chart" uri="{CE6537A1-D6FC-4f65-9D91-7224C49458BB}"/>
              </c:extLst>
            </c:dLbl>
            <c:dLbl>
              <c:idx val="4"/>
              <c:layout>
                <c:manualLayout>
                  <c:x val="-3.8486209108402898E-2"/>
                  <c:y val="-3.29692973418504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4A3-449C-B344-09CD5BEC6754}"/>
                </c:ext>
                <c:ext xmlns:c15="http://schemas.microsoft.com/office/drawing/2012/chart" uri="{CE6537A1-D6FC-4f65-9D91-7224C49458BB}"/>
              </c:extLst>
            </c:dLbl>
            <c:dLbl>
              <c:idx val="5"/>
              <c:layout>
                <c:manualLayout>
                  <c:x val="-3.8486209108402822E-2"/>
                  <c:y val="-3.29692973418503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4A3-449C-B344-09CD5BEC6754}"/>
                </c:ext>
                <c:ext xmlns:c15="http://schemas.microsoft.com/office/drawing/2012/chart" uri="{CE6537A1-D6FC-4f65-9D91-7224C49458BB}"/>
              </c:extLst>
            </c:dLbl>
            <c:dLbl>
              <c:idx val="6"/>
              <c:layout>
                <c:manualLayout>
                  <c:x val="-4.4900577293136623E-2"/>
                  <c:y val="-2.88481351741191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4A3-449C-B344-09CD5BEC6754}"/>
                </c:ext>
                <c:ext xmlns:c15="http://schemas.microsoft.com/office/drawing/2012/chart" uri="{CE6537A1-D6FC-4f65-9D91-7224C49458BB}"/>
              </c:extLst>
            </c:dLbl>
            <c:dLbl>
              <c:idx val="7"/>
              <c:layout>
                <c:manualLayout>
                  <c:x val="-3.42099636519137E-2"/>
                  <c:y val="-3.29692973418504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4A3-449C-B344-09CD5BEC6754}"/>
                </c:ext>
                <c:ext xmlns:c15="http://schemas.microsoft.com/office/drawing/2012/chart" uri="{CE6537A1-D6FC-4f65-9D91-7224C49458BB}"/>
              </c:extLst>
            </c:dLbl>
            <c:dLbl>
              <c:idx val="8"/>
              <c:layout>
                <c:manualLayout>
                  <c:x val="-3.6348086380158302E-2"/>
                  <c:y val="-2.47269730063878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4A3-449C-B344-09CD5BEC6754}"/>
                </c:ext>
                <c:ext xmlns:c15="http://schemas.microsoft.com/office/drawing/2012/chart" uri="{CE6537A1-D6FC-4f65-9D91-7224C49458BB}"/>
              </c:extLst>
            </c:dLbl>
            <c:dLbl>
              <c:idx val="9"/>
              <c:layout>
                <c:manualLayout>
                  <c:x val="-4.276245456489218E-2"/>
                  <c:y val="-2.88481351741191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4A3-449C-B344-09CD5BEC6754}"/>
                </c:ext>
                <c:ext xmlns:c15="http://schemas.microsoft.com/office/drawing/2012/chart" uri="{CE6537A1-D6FC-4f65-9D91-7224C49458BB}"/>
              </c:extLst>
            </c:dLbl>
            <c:dLbl>
              <c:idx val="10"/>
              <c:layout>
                <c:manualLayout>
                  <c:x val="-3.8486209108402822E-2"/>
                  <c:y val="-3.29692973418504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4A3-449C-B344-09CD5BEC675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(4)'!$B$2:$L$2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(4)'!$B$4:$L$4</c:f>
              <c:numCache>
                <c:formatCode>#,##0</c:formatCode>
                <c:ptCount val="11"/>
                <c:pt idx="0">
                  <c:v>1242750225</c:v>
                </c:pt>
                <c:pt idx="1">
                  <c:v>2155188793</c:v>
                </c:pt>
                <c:pt idx="2">
                  <c:v>2230708065</c:v>
                </c:pt>
                <c:pt idx="3">
                  <c:v>2961503567</c:v>
                </c:pt>
                <c:pt idx="4">
                  <c:v>3301851179</c:v>
                </c:pt>
                <c:pt idx="5">
                  <c:v>3351385016</c:v>
                </c:pt>
                <c:pt idx="6">
                  <c:v>3628926739</c:v>
                </c:pt>
                <c:pt idx="7">
                  <c:v>3879332431</c:v>
                </c:pt>
                <c:pt idx="8">
                  <c:v>4225971779</c:v>
                </c:pt>
                <c:pt idx="9">
                  <c:v>4225971779</c:v>
                </c:pt>
                <c:pt idx="10">
                  <c:v>4225971779</c:v>
                </c:pt>
              </c:numCache>
            </c:numRef>
          </c:val>
          <c:smooth val="0"/>
          <c:extLst xmlns:c16r2="http://schemas.microsoft.com/office/drawing/2015/06/chart">
            <c:ext xmlns:c16="http://schemas.microsoft.com/office/drawing/2014/chart" uri="{C3380CC4-5D6E-409C-BE32-E72D297353CC}">
              <c16:uniqueId val="{0000001C-B4A3-449C-B344-09CD5BEC6754}"/>
            </c:ext>
          </c:extLst>
        </c:ser>
        <c:ser>
          <c:idx val="3"/>
          <c:order val="3"/>
          <c:tx>
            <c:strRef>
              <c:f>'Kopā (4)'!$A$6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6.41436818473382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B4A3-449C-B344-09CD5BEC6754}"/>
                </c:ext>
                <c:ext xmlns:c15="http://schemas.microsoft.com/office/drawing/2012/chart" uri="{CE6537A1-D6FC-4f65-9D91-7224C49458BB}"/>
              </c:extLst>
            </c:dLbl>
            <c:dLbl>
              <c:idx val="1"/>
              <c:layout>
                <c:manualLayout>
                  <c:x val="-4.2762454564892029E-3"/>
                  <c:y val="2.88481351741190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B4A3-449C-B344-09CD5BEC6754}"/>
                </c:ext>
                <c:ext xmlns:c15="http://schemas.microsoft.com/office/drawing/2012/chart" uri="{CE6537A1-D6FC-4f65-9D91-7224C49458BB}"/>
              </c:extLst>
            </c:dLbl>
            <c:dLbl>
              <c:idx val="2"/>
              <c:layout>
                <c:manualLayout>
                  <c:x val="-2.1381227282446405E-3"/>
                  <c:y val="1.23634865031939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B4A3-449C-B344-09CD5BEC6754}"/>
                </c:ext>
                <c:ext xmlns:c15="http://schemas.microsoft.com/office/drawing/2012/chart" uri="{CE6537A1-D6FC-4f65-9D91-7224C49458BB}"/>
              </c:extLst>
            </c:dLbl>
            <c:dLbl>
              <c:idx val="3"/>
              <c:layout>
                <c:manualLayout>
                  <c:x val="-6.4143681847338039E-3"/>
                  <c:y val="1.64846486709252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B4A3-449C-B344-09CD5BEC6754}"/>
                </c:ext>
                <c:ext xmlns:c15="http://schemas.microsoft.com/office/drawing/2012/chart" uri="{CE6537A1-D6FC-4f65-9D91-7224C49458BB}"/>
              </c:extLst>
            </c:dLbl>
            <c:dLbl>
              <c:idx val="4"/>
              <c:layout>
                <c:manualLayout>
                  <c:x val="-6.414368184733882E-3"/>
                  <c:y val="2.06058108386564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B4A3-449C-B344-09CD5BEC6754}"/>
                </c:ext>
                <c:ext xmlns:c15="http://schemas.microsoft.com/office/drawing/2012/chart" uri="{CE6537A1-D6FC-4f65-9D91-7224C49458BB}"/>
              </c:extLst>
            </c:dLbl>
            <c:dLbl>
              <c:idx val="5"/>
              <c:layout>
                <c:manualLayout>
                  <c:x val="-6.4143681847338039E-3"/>
                  <c:y val="8.2423243354626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B4A3-449C-B344-09CD5BEC6754}"/>
                </c:ext>
                <c:ext xmlns:c15="http://schemas.microsoft.com/office/drawing/2012/chart" uri="{CE6537A1-D6FC-4f65-9D91-7224C49458BB}"/>
              </c:extLst>
            </c:dLbl>
            <c:dLbl>
              <c:idx val="6"/>
              <c:layout>
                <c:manualLayout>
                  <c:x val="-4.2762454564892029E-3"/>
                  <c:y val="3.29692973418504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B4A3-449C-B344-09CD5BEC6754}"/>
                </c:ext>
                <c:ext xmlns:c15="http://schemas.microsoft.com/office/drawing/2012/chart" uri="{CE6537A1-D6FC-4f65-9D91-7224C49458BB}"/>
              </c:extLst>
            </c:dLbl>
            <c:dLbl>
              <c:idx val="7"/>
              <c:layout>
                <c:manualLayout>
                  <c:x val="-4.276245456489281E-3"/>
                  <c:y val="8.24232433546258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B4A3-449C-B344-09CD5BEC675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'Kopā (4)'!$B$6:$L$6</c:f>
              <c:numCache>
                <c:formatCode>#,##0</c:formatCode>
                <c:ptCount val="11"/>
                <c:pt idx="0">
                  <c:v>1076187422</c:v>
                </c:pt>
                <c:pt idx="1">
                  <c:v>1966937422</c:v>
                </c:pt>
                <c:pt idx="2">
                  <c:v>2114180016</c:v>
                </c:pt>
                <c:pt idx="3">
                  <c:v>2643746354</c:v>
                </c:pt>
                <c:pt idx="4">
                  <c:v>2934472660</c:v>
                </c:pt>
                <c:pt idx="5">
                  <c:v>3020809120</c:v>
                </c:pt>
                <c:pt idx="6">
                  <c:v>3478651893</c:v>
                </c:pt>
                <c:pt idx="7">
                  <c:v>3512481923</c:v>
                </c:pt>
              </c:numCache>
            </c:numRef>
          </c:val>
          <c:smooth val="0"/>
          <c:extLst xmlns:c16r2="http://schemas.microsoft.com/office/drawing/2015/06/chart">
            <c:ext xmlns:c16="http://schemas.microsoft.com/office/drawing/2014/chart" uri="{C3380CC4-5D6E-409C-BE32-E72D297353CC}">
              <c16:uniqueId val="{00000025-B4A3-449C-B344-09CD5BEC6754}"/>
            </c:ext>
          </c:extLst>
        </c:ser>
        <c:dLbls>
          <c:showLegendKey val="0"/>
          <c:showVal val="0"/>
          <c:showCatName val="0"/>
          <c:showSerName val="0"/>
          <c:showPercent val="0"/>
          <c:showBubbleSize val="0"/>
        </c:dLbls>
        <c:marker val="1"/>
        <c:smooth val="0"/>
        <c:axId val="245346344"/>
        <c:axId val="243315024"/>
      </c:lineChart>
      <c:catAx>
        <c:axId val="24331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43314632"/>
        <c:crosses val="autoZero"/>
        <c:auto val="1"/>
        <c:lblAlgn val="ctr"/>
        <c:lblOffset val="100"/>
        <c:noMultiLvlLbl val="0"/>
      </c:catAx>
      <c:valAx>
        <c:axId val="243314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43314240"/>
        <c:crosses val="autoZero"/>
        <c:crossBetween val="between"/>
      </c:valAx>
      <c:valAx>
        <c:axId val="24331502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45346344"/>
        <c:crosses val="max"/>
        <c:crossBetween val="between"/>
        <c:dispUnits>
          <c:builtInUnit val="millions"/>
        </c:dispUnits>
      </c:valAx>
      <c:catAx>
        <c:axId val="245346344"/>
        <c:scaling>
          <c:orientation val="minMax"/>
        </c:scaling>
        <c:delete val="1"/>
        <c:axPos val="b"/>
        <c:numFmt formatCode="General" sourceLinked="1"/>
        <c:majorTickMark val="out"/>
        <c:minorTickMark val="none"/>
        <c:tickLblPos val="nextTo"/>
        <c:crossAx val="243315024"/>
        <c:crosses val="autoZero"/>
        <c:auto val="1"/>
        <c:lblAlgn val="ctr"/>
        <c:lblOffset val="100"/>
        <c:noMultiLvlLbl val="0"/>
      </c:catAx>
      <c:spPr>
        <a:noFill/>
        <a:ln>
          <a:noFill/>
        </a:ln>
        <a:effectLst/>
      </c:spPr>
    </c:plotArea>
    <c:legend>
      <c:legendPos val="b"/>
      <c:layout>
        <c:manualLayout>
          <c:xMode val="edge"/>
          <c:yMode val="edge"/>
          <c:x val="2.5074287138097479E-2"/>
          <c:y val="0.80309736164496026"/>
          <c:w val="0.9559122460558368"/>
          <c:h val="0.1762968275163832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0.70019</cdr:x>
      <cdr:y>0.27327</cdr:y>
    </cdr:from>
    <cdr:to>
      <cdr:x>1</cdr:x>
      <cdr:y>0.35806</cdr:y>
    </cdr:to>
    <cdr:sp macro="" textlink="">
      <cdr:nvSpPr>
        <cdr:cNvPr id="2" name="TextBox 1"/>
        <cdr:cNvSpPr txBox="1"/>
      </cdr:nvSpPr>
      <cdr:spPr>
        <a:xfrm xmlns:a="http://schemas.openxmlformats.org/drawingml/2006/main">
          <a:off x="3983801" y="1153430"/>
          <a:ext cx="1705799" cy="3578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50">
              <a:latin typeface="Times New Roman" panose="02020603050405020304" pitchFamily="18" charset="0"/>
              <a:cs typeface="Times New Roman" panose="02020603050405020304" pitchFamily="18" charset="0"/>
            </a:rPr>
            <a:t>ES</a:t>
          </a:r>
          <a:r>
            <a:rPr lang="lv-LV" sz="1150" baseline="0">
              <a:latin typeface="Times New Roman" panose="02020603050405020304" pitchFamily="18" charset="0"/>
              <a:cs typeface="Times New Roman" panose="02020603050405020304" pitchFamily="18" charset="0"/>
            </a:rPr>
            <a:t> vidējais - 6,15%</a:t>
          </a:r>
          <a:endParaRPr lang="lv-LV" sz="11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0.00167</cdr:x>
      <cdr:y>0.27306</cdr:y>
    </cdr:from>
    <cdr:to>
      <cdr:x>1</cdr:x>
      <cdr:y>0.27752</cdr:y>
    </cdr:to>
    <cdr:cxnSp macro="">
      <cdr:nvCxnSpPr>
        <cdr:cNvPr id="8" name="Straight Connector 7"/>
        <cdr:cNvCxnSpPr>
          <a:cxnSpLocks xmlns:a="http://schemas.openxmlformats.org/drawingml/2006/main" noChangeShapeType="1"/>
        </cdr:cNvCxnSpPr>
      </cdr:nvCxnSpPr>
      <cdr:spPr bwMode="auto">
        <a:xfrm xmlns:a="http://schemas.openxmlformats.org/drawingml/2006/main">
          <a:off x="9525" y="1152525"/>
          <a:ext cx="5680075" cy="18844"/>
        </a:xfrm>
        <a:prstGeom xmlns:a="http://schemas.openxmlformats.org/drawingml/2006/main" prst="line">
          <a:avLst/>
        </a:prstGeom>
        <a:noFill xmlns:a="http://schemas.openxmlformats.org/drawingml/2006/main"/>
        <a:ln xmlns:a="http://schemas.openxmlformats.org/drawingml/2006/main" w="3175" algn="ctr">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0.90408</cdr:x>
      <cdr:y>0.02047</cdr:y>
    </cdr:from>
    <cdr:to>
      <cdr:x>0.98667</cdr:x>
      <cdr:y>0.07682</cdr:y>
    </cdr:to>
    <cdr:sp macro="" textlink="">
      <cdr:nvSpPr>
        <cdr:cNvPr id="10" name="TextBox 9"/>
        <cdr:cNvSpPr txBox="1"/>
      </cdr:nvSpPr>
      <cdr:spPr>
        <a:xfrm xmlns:a="http://schemas.openxmlformats.org/drawingml/2006/main">
          <a:off x="5143877" y="86415"/>
          <a:ext cx="469904" cy="2378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1">
              <a:solidFill>
                <a:srgbClr val="7030A0"/>
              </a:solidFill>
              <a:latin typeface="Times New Roman" panose="02020603050405020304" pitchFamily="18" charset="0"/>
              <a:cs typeface="Times New Roman" panose="02020603050405020304" pitchFamily="18" charset="0"/>
            </a:rPr>
            <a:t>↑0,5%</a:t>
          </a:r>
          <a:endParaRPr lang="lv-LV" sz="800" b="1">
            <a:solidFill>
              <a:srgbClr val="7030A0"/>
            </a:solidFill>
          </a:endParaRPr>
        </a:p>
      </cdr:txBody>
    </cdr:sp>
  </cdr:relSizeAnchor>
  <cdr:relSizeAnchor xmlns:cdr="http://schemas.openxmlformats.org/drawingml/2006/chartDrawing">
    <cdr:from>
      <cdr:x>0.66821</cdr:x>
      <cdr:y>0.04894</cdr:y>
    </cdr:from>
    <cdr:to>
      <cdr:x>0.75989</cdr:x>
      <cdr:y>0.08964</cdr:y>
    </cdr:to>
    <cdr:sp macro="" textlink="">
      <cdr:nvSpPr>
        <cdr:cNvPr id="11" name="TextBox 10"/>
        <cdr:cNvSpPr txBox="1"/>
      </cdr:nvSpPr>
      <cdr:spPr>
        <a:xfrm xmlns:a="http://schemas.openxmlformats.org/drawingml/2006/main">
          <a:off x="3801873" y="206571"/>
          <a:ext cx="521622" cy="1717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1">
              <a:solidFill>
                <a:srgbClr val="7030A0"/>
              </a:solidFill>
              <a:latin typeface="Times New Roman" panose="02020603050405020304" pitchFamily="18" charset="0"/>
              <a:cs typeface="Times New Roman" panose="02020603050405020304" pitchFamily="18" charset="0"/>
            </a:rPr>
            <a:t>↑0,7%</a:t>
          </a:r>
          <a:endParaRPr lang="lv-LV" sz="800" b="1">
            <a:solidFill>
              <a:srgbClr val="7030A0"/>
            </a:solidFill>
          </a:endParaRPr>
        </a:p>
      </cdr:txBody>
    </cdr:sp>
  </cdr:relSizeAnchor>
  <cdr:relSizeAnchor xmlns:cdr="http://schemas.openxmlformats.org/drawingml/2006/chartDrawing">
    <cdr:from>
      <cdr:x>0.61845</cdr:x>
      <cdr:y>0.10375</cdr:y>
    </cdr:from>
    <cdr:to>
      <cdr:x>0.71014</cdr:x>
      <cdr:y>0.14925</cdr:y>
    </cdr:to>
    <cdr:sp macro="" textlink="">
      <cdr:nvSpPr>
        <cdr:cNvPr id="12" name="TextBox 11"/>
        <cdr:cNvSpPr txBox="1"/>
      </cdr:nvSpPr>
      <cdr:spPr>
        <a:xfrm xmlns:a="http://schemas.openxmlformats.org/drawingml/2006/main">
          <a:off x="3518723" y="437911"/>
          <a:ext cx="521679" cy="1920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1">
              <a:solidFill>
                <a:srgbClr val="7030A0"/>
              </a:solidFill>
              <a:latin typeface="Times New Roman" panose="02020603050405020304" pitchFamily="18" charset="0"/>
              <a:cs typeface="Times New Roman" panose="02020603050405020304" pitchFamily="18" charset="0"/>
            </a:rPr>
            <a:t>↑3,3%</a:t>
          </a:r>
          <a:endParaRPr lang="lv-LV" sz="800" b="1">
            <a:solidFill>
              <a:srgbClr val="7030A0"/>
            </a:solidFill>
          </a:endParaRPr>
        </a:p>
      </cdr:txBody>
    </cdr:sp>
  </cdr:relSizeAnchor>
  <cdr:relSizeAnchor xmlns:cdr="http://schemas.openxmlformats.org/drawingml/2006/chartDrawing">
    <cdr:from>
      <cdr:x>0.57816</cdr:x>
      <cdr:y>0.19723</cdr:y>
    </cdr:from>
    <cdr:to>
      <cdr:x>0.66985</cdr:x>
      <cdr:y>0.24996</cdr:y>
    </cdr:to>
    <cdr:sp macro="" textlink="">
      <cdr:nvSpPr>
        <cdr:cNvPr id="13" name="TextBox 12"/>
        <cdr:cNvSpPr txBox="1"/>
      </cdr:nvSpPr>
      <cdr:spPr>
        <a:xfrm xmlns:a="http://schemas.openxmlformats.org/drawingml/2006/main">
          <a:off x="3289494" y="832463"/>
          <a:ext cx="521679" cy="222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1">
              <a:solidFill>
                <a:srgbClr val="7030A0"/>
              </a:solidFill>
              <a:latin typeface="Times New Roman" panose="02020603050405020304" pitchFamily="18" charset="0"/>
              <a:cs typeface="Times New Roman" panose="02020603050405020304" pitchFamily="18" charset="0"/>
            </a:rPr>
            <a:t>↑0,6%</a:t>
          </a:r>
          <a:endParaRPr lang="lv-LV" sz="800" b="1">
            <a:solidFill>
              <a:srgbClr val="7030A0"/>
            </a:solidFill>
          </a:endParaRPr>
        </a:p>
      </cdr:txBody>
    </cdr:sp>
  </cdr:relSizeAnchor>
  <cdr:relSizeAnchor xmlns:cdr="http://schemas.openxmlformats.org/drawingml/2006/chartDrawing">
    <cdr:from>
      <cdr:x>0.50797</cdr:x>
      <cdr:y>0.46605</cdr:y>
    </cdr:from>
    <cdr:to>
      <cdr:x>0.65903</cdr:x>
      <cdr:y>0.51292</cdr:y>
    </cdr:to>
    <cdr:sp macro="" textlink="">
      <cdr:nvSpPr>
        <cdr:cNvPr id="16" name="TextBox 15"/>
        <cdr:cNvSpPr txBox="1"/>
      </cdr:nvSpPr>
      <cdr:spPr>
        <a:xfrm xmlns:a="http://schemas.openxmlformats.org/drawingml/2006/main">
          <a:off x="2890129" y="1967138"/>
          <a:ext cx="859471" cy="197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1">
              <a:solidFill>
                <a:srgbClr val="7030A0"/>
              </a:solidFill>
              <a:latin typeface="Times New Roman" panose="02020603050405020304" pitchFamily="18" charset="0"/>
              <a:cs typeface="Times New Roman" panose="02020603050405020304" pitchFamily="18" charset="0"/>
            </a:rPr>
            <a:t>↑0,6%</a:t>
          </a:r>
          <a:endParaRPr lang="lv-LV" sz="800" b="1">
            <a:solidFill>
              <a:srgbClr val="7030A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0.00117</cdr:x>
      <cdr:y>0.54731</cdr:y>
    </cdr:from>
    <cdr:to>
      <cdr:x>1</cdr:x>
      <cdr:y>0.54891</cdr:y>
    </cdr:to>
    <cdr:cxnSp macro="">
      <cdr:nvCxnSpPr>
        <cdr:cNvPr id="5" name="Straight Connector 4"/>
        <cdr:cNvCxnSpPr/>
      </cdr:nvCxnSpPr>
      <cdr:spPr>
        <a:xfrm xmlns:a="http://schemas.openxmlformats.org/drawingml/2006/main" flipV="1">
          <a:off x="6950" y="1988996"/>
          <a:ext cx="5932840" cy="5815"/>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103F-DC66-4846-BFA7-2FA18D72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7</Pages>
  <Words>10394</Words>
  <Characters>5925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Inta Dimzule</dc:creator>
  <cp:keywords/>
  <dc:description>Inta Dimzule
Finanšu ministrijas Eiropas Savienības fondu uzraudzības departamenta
Uzņēmējdarbības un inovāciju uzraudzības nodaļas vecākā referente
Tālr. 67083873
Inta.Dimzule@fm.gov.lv</dc:description>
  <cp:lastModifiedBy>Marija Radeiko</cp:lastModifiedBy>
  <cp:revision>343</cp:revision>
  <cp:lastPrinted>2016-10-19T11:17:00Z</cp:lastPrinted>
  <dcterms:created xsi:type="dcterms:W3CDTF">2016-08-31T12:28:00Z</dcterms:created>
  <dcterms:modified xsi:type="dcterms:W3CDTF">2016-10-28T12:50:00Z</dcterms:modified>
</cp:coreProperties>
</file>