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A4" w:rsidRPr="002B4D22" w:rsidRDefault="009B10A4" w:rsidP="00534DFC">
      <w:pPr>
        <w:spacing w:after="120" w:line="240" w:lineRule="auto"/>
        <w:ind w:firstLine="567"/>
        <w:jc w:val="right"/>
        <w:rPr>
          <w:rFonts w:ascii="Times New Roman" w:hAnsi="Times New Roman"/>
          <w:sz w:val="24"/>
          <w:szCs w:val="32"/>
        </w:rPr>
      </w:pPr>
    </w:p>
    <w:p w:rsidR="009B10A4" w:rsidRPr="002B4D22" w:rsidRDefault="009B10A4" w:rsidP="00534DFC">
      <w:pPr>
        <w:spacing w:after="120" w:line="240" w:lineRule="auto"/>
        <w:ind w:firstLine="567"/>
        <w:jc w:val="center"/>
        <w:rPr>
          <w:rFonts w:ascii="Times New Roman" w:hAnsi="Times New Roman"/>
          <w:b/>
          <w:sz w:val="12"/>
          <w:szCs w:val="12"/>
        </w:rPr>
      </w:pPr>
    </w:p>
    <w:p w:rsidR="009B10A4" w:rsidRPr="002B4D22" w:rsidRDefault="009B10A4" w:rsidP="00534DFC">
      <w:pPr>
        <w:spacing w:after="120" w:line="240" w:lineRule="auto"/>
        <w:ind w:firstLine="567"/>
        <w:jc w:val="center"/>
        <w:rPr>
          <w:rFonts w:ascii="Times New Roman" w:hAnsi="Times New Roman"/>
          <w:b/>
          <w:sz w:val="12"/>
          <w:szCs w:val="12"/>
        </w:rPr>
      </w:pPr>
    </w:p>
    <w:p w:rsidR="009B10A4" w:rsidRPr="002B4D22" w:rsidRDefault="00111B8B" w:rsidP="00534DFC">
      <w:pPr>
        <w:spacing w:after="120" w:line="240" w:lineRule="auto"/>
        <w:jc w:val="center"/>
        <w:rPr>
          <w:rFonts w:ascii="Times New Roman" w:hAnsi="Times New Roman"/>
          <w:b/>
          <w:sz w:val="28"/>
          <w:szCs w:val="28"/>
        </w:rPr>
      </w:pPr>
      <w:r w:rsidRPr="002B4D22">
        <w:rPr>
          <w:rFonts w:ascii="Times New Roman" w:hAnsi="Times New Roman"/>
          <w:b/>
          <w:sz w:val="28"/>
          <w:szCs w:val="28"/>
        </w:rPr>
        <w:t>Informatīvais z</w:t>
      </w:r>
      <w:r w:rsidR="009B10A4" w:rsidRPr="002B4D22">
        <w:rPr>
          <w:rFonts w:ascii="Times New Roman" w:hAnsi="Times New Roman"/>
          <w:b/>
          <w:sz w:val="28"/>
          <w:szCs w:val="28"/>
        </w:rPr>
        <w:t>iņojums</w:t>
      </w:r>
    </w:p>
    <w:p w:rsidR="009B10A4" w:rsidRPr="002B4D22" w:rsidRDefault="009B10A4" w:rsidP="00534DFC">
      <w:pPr>
        <w:spacing w:after="120" w:line="240" w:lineRule="auto"/>
        <w:jc w:val="center"/>
        <w:rPr>
          <w:rFonts w:ascii="Times New Roman" w:hAnsi="Times New Roman"/>
          <w:b/>
          <w:sz w:val="28"/>
          <w:szCs w:val="28"/>
        </w:rPr>
      </w:pPr>
      <w:r w:rsidRPr="002B4D22">
        <w:rPr>
          <w:rFonts w:ascii="Times New Roman" w:hAnsi="Times New Roman"/>
          <w:b/>
          <w:sz w:val="28"/>
          <w:szCs w:val="28"/>
        </w:rPr>
        <w:t>par Imigrācijas likuma 23.panta pirmās daļas 3., 28., 29.</w:t>
      </w:r>
      <w:r w:rsidR="00B47F1D">
        <w:rPr>
          <w:rFonts w:ascii="Times New Roman" w:hAnsi="Times New Roman"/>
          <w:b/>
          <w:sz w:val="28"/>
          <w:szCs w:val="28"/>
        </w:rPr>
        <w:t>,</w:t>
      </w:r>
      <w:r w:rsidRPr="002B4D22">
        <w:rPr>
          <w:rFonts w:ascii="Times New Roman" w:hAnsi="Times New Roman"/>
          <w:b/>
          <w:sz w:val="28"/>
          <w:szCs w:val="28"/>
        </w:rPr>
        <w:t xml:space="preserve"> 30.</w:t>
      </w:r>
      <w:r w:rsidR="00B47F1D">
        <w:rPr>
          <w:rFonts w:ascii="Times New Roman" w:hAnsi="Times New Roman"/>
          <w:b/>
          <w:sz w:val="28"/>
          <w:szCs w:val="28"/>
        </w:rPr>
        <w:t xml:space="preserve"> un 31.</w:t>
      </w:r>
      <w:r w:rsidRPr="002B4D22">
        <w:rPr>
          <w:rFonts w:ascii="Times New Roman" w:hAnsi="Times New Roman"/>
          <w:b/>
          <w:sz w:val="28"/>
          <w:szCs w:val="28"/>
        </w:rPr>
        <w:t xml:space="preserve">punktā </w:t>
      </w:r>
    </w:p>
    <w:p w:rsidR="009B10A4" w:rsidRPr="002B4D22" w:rsidRDefault="009B10A4" w:rsidP="00534DFC">
      <w:pPr>
        <w:spacing w:after="120" w:line="240" w:lineRule="auto"/>
        <w:jc w:val="center"/>
        <w:rPr>
          <w:rFonts w:ascii="Times New Roman" w:hAnsi="Times New Roman"/>
          <w:b/>
          <w:sz w:val="28"/>
          <w:szCs w:val="28"/>
        </w:rPr>
      </w:pPr>
      <w:r w:rsidRPr="002B4D22">
        <w:rPr>
          <w:rFonts w:ascii="Times New Roman" w:hAnsi="Times New Roman"/>
          <w:b/>
          <w:sz w:val="28"/>
          <w:szCs w:val="28"/>
        </w:rPr>
        <w:t>paredzēto noteikumu īstenošanas gaitu un rezultātiem</w:t>
      </w:r>
    </w:p>
    <w:p w:rsidR="009B10A4" w:rsidRPr="002B4D22" w:rsidRDefault="009B10A4" w:rsidP="00534DFC">
      <w:pPr>
        <w:spacing w:after="120" w:line="240" w:lineRule="auto"/>
        <w:rPr>
          <w:rFonts w:ascii="Times New Roman" w:hAnsi="Times New Roman"/>
          <w:b/>
          <w:sz w:val="26"/>
          <w:szCs w:val="26"/>
        </w:rPr>
      </w:pPr>
    </w:p>
    <w:p w:rsidR="001A4DFA" w:rsidRDefault="008C4A16" w:rsidP="00534DFC">
      <w:pPr>
        <w:spacing w:after="120" w:line="240" w:lineRule="auto"/>
        <w:ind w:firstLine="567"/>
        <w:jc w:val="both"/>
        <w:rPr>
          <w:rFonts w:ascii="Times New Roman" w:hAnsi="Times New Roman"/>
          <w:sz w:val="26"/>
          <w:szCs w:val="26"/>
        </w:rPr>
      </w:pPr>
      <w:r w:rsidRPr="00E20D7C">
        <w:rPr>
          <w:rFonts w:ascii="Times New Roman" w:hAnsi="Times New Roman"/>
          <w:sz w:val="26"/>
          <w:szCs w:val="26"/>
        </w:rPr>
        <w:t xml:space="preserve">Informatīvais ziņojums (turpmāk – ziņojums) </w:t>
      </w:r>
      <w:r w:rsidRPr="002144AF">
        <w:rPr>
          <w:rFonts w:ascii="Times New Roman" w:hAnsi="Times New Roman"/>
          <w:sz w:val="26"/>
          <w:szCs w:val="26"/>
        </w:rPr>
        <w:t xml:space="preserve">ietver </w:t>
      </w:r>
      <w:r w:rsidR="00457F17" w:rsidRPr="002144AF">
        <w:rPr>
          <w:rFonts w:ascii="Times New Roman" w:hAnsi="Times New Roman"/>
          <w:sz w:val="26"/>
          <w:szCs w:val="26"/>
        </w:rPr>
        <w:t>ziņojumu</w:t>
      </w:r>
      <w:r w:rsidRPr="002144AF">
        <w:rPr>
          <w:rFonts w:ascii="Times New Roman" w:hAnsi="Times New Roman"/>
          <w:sz w:val="26"/>
          <w:szCs w:val="26"/>
        </w:rPr>
        <w:t>, secinājumus</w:t>
      </w:r>
      <w:r w:rsidR="001A4DFA" w:rsidRPr="002144AF">
        <w:rPr>
          <w:rFonts w:ascii="Times New Roman" w:hAnsi="Times New Roman"/>
          <w:sz w:val="26"/>
          <w:szCs w:val="26"/>
        </w:rPr>
        <w:t xml:space="preserve">, kā arī </w:t>
      </w:r>
      <w:r w:rsidR="00254A0E" w:rsidRPr="002144AF">
        <w:rPr>
          <w:rFonts w:ascii="Times New Roman" w:hAnsi="Times New Roman"/>
          <w:sz w:val="26"/>
          <w:szCs w:val="26"/>
        </w:rPr>
        <w:t>desmit</w:t>
      </w:r>
      <w:r w:rsidR="001A4DFA" w:rsidRPr="002144AF">
        <w:rPr>
          <w:rFonts w:ascii="Times New Roman" w:hAnsi="Times New Roman"/>
          <w:sz w:val="26"/>
          <w:szCs w:val="26"/>
        </w:rPr>
        <w:t xml:space="preserve"> pielikumus –</w:t>
      </w:r>
      <w:r w:rsidR="001A4DFA">
        <w:rPr>
          <w:rFonts w:ascii="Times New Roman" w:hAnsi="Times New Roman"/>
          <w:sz w:val="26"/>
          <w:szCs w:val="26"/>
        </w:rPr>
        <w:t xml:space="preserve"> </w:t>
      </w:r>
      <w:r w:rsidR="00254A0E">
        <w:rPr>
          <w:rFonts w:ascii="Times New Roman" w:hAnsi="Times New Roman"/>
          <w:sz w:val="26"/>
          <w:szCs w:val="26"/>
        </w:rPr>
        <w:t>1) Termiņuzturēšanās atļauju dinamika 2005.-2016.gadā; 2) Investīcijas nekustamajos īpašumos; 3) Finanšu investīcijas kredītiestādēs, kapitālsabiedrību pamatkapitālos un izsniegtās termiņuzturēšanās atļaujas saskaņā ar Imigrācijas likuma 23.panta pirmās daļas 3.punktu; 4) Ieguldījumi valsts vērtspapīros; 5) Ar termiņuzturēšanās atļauju saņēmējiem saistīto uzņēmumu nomaksātie nodokļi; 6) Pašvaldību viedoklis par termiņuzturēšanās atļauju pieteicēju ietekmi uz pašvaldību saistībā ar nekustamā īpašuma darījumiem; 7) Ar investīciju programmu saistītie grozījumi Imigrācijas likuma 23.panta pirmās daļas 28., 29., 30. un 31.punktā; 8) Valsts zemes dienesta viedoklis par Imigrācijas likuma 23.panta pirmās daļas 29.punktā noteikto iespēju saņemt termiņuzturēšanās atļaujas ietekmi uz kopējo valsts un attiecīgo pašvaldību nekustamā īpašuma tirgu;</w:t>
      </w:r>
      <w:r w:rsidR="002144AF">
        <w:rPr>
          <w:rFonts w:ascii="Times New Roman" w:hAnsi="Times New Roman"/>
          <w:sz w:val="26"/>
          <w:szCs w:val="26"/>
        </w:rPr>
        <w:t xml:space="preserve"> 9</w:t>
      </w:r>
      <w:r w:rsidR="00254A0E">
        <w:rPr>
          <w:rFonts w:ascii="Times New Roman" w:hAnsi="Times New Roman"/>
          <w:sz w:val="26"/>
          <w:szCs w:val="26"/>
        </w:rPr>
        <w:t>) 01.07.2010.-30.06.2016. termiņuzturēšanās atļauju pieteicēju iegādāto nekustamo īpašumu atrašanās vieta un vidējā vērtība</w:t>
      </w:r>
      <w:r w:rsidR="002144AF">
        <w:rPr>
          <w:rFonts w:ascii="Times New Roman" w:hAnsi="Times New Roman"/>
          <w:sz w:val="26"/>
          <w:szCs w:val="26"/>
        </w:rPr>
        <w:t xml:space="preserve">; 10) </w:t>
      </w:r>
      <w:r w:rsidR="002144AF" w:rsidRPr="000F149C">
        <w:rPr>
          <w:rFonts w:ascii="Times New Roman" w:hAnsi="Times New Roman"/>
          <w:sz w:val="26"/>
          <w:szCs w:val="26"/>
        </w:rPr>
        <w:t>Latvijas Nekustamo īpašumu darījumu asociācijas viedoklis par situāciju nekustamo īpašumu tirgū 2016.gada 1.pusgadā</w:t>
      </w:r>
      <w:r w:rsidR="00254A0E">
        <w:rPr>
          <w:rFonts w:ascii="Times New Roman" w:hAnsi="Times New Roman"/>
          <w:sz w:val="26"/>
          <w:szCs w:val="26"/>
        </w:rPr>
        <w:t xml:space="preserve">. </w:t>
      </w:r>
    </w:p>
    <w:p w:rsidR="009B10A4" w:rsidRPr="002B4D22" w:rsidRDefault="008C4A16" w:rsidP="00534DFC">
      <w:pPr>
        <w:spacing w:after="120" w:line="240" w:lineRule="auto"/>
        <w:ind w:firstLine="567"/>
        <w:jc w:val="both"/>
        <w:rPr>
          <w:rFonts w:ascii="Times New Roman" w:hAnsi="Times New Roman"/>
          <w:sz w:val="26"/>
          <w:szCs w:val="26"/>
        </w:rPr>
      </w:pPr>
      <w:r w:rsidRPr="00E20D7C">
        <w:rPr>
          <w:rFonts w:ascii="Times New Roman" w:hAnsi="Times New Roman"/>
          <w:sz w:val="26"/>
          <w:szCs w:val="26"/>
        </w:rPr>
        <w:t>Ziņojumā aplūkota termiņuzturēšanās atļauju (turpmāk – TUA) piešķiršanas dinamika un ar TUA saistīto ārvalstu investīciju loma kopējā ārvalstu investīciju ieplūdē, kā arī ārvalstu investoru sadalījums pēc valstiskās piederības, sevišķu uzmanību pievērošot pēdējam ziņojuma pārskata periodam no 201</w:t>
      </w:r>
      <w:r>
        <w:rPr>
          <w:rFonts w:ascii="Times New Roman" w:hAnsi="Times New Roman"/>
          <w:sz w:val="26"/>
          <w:szCs w:val="26"/>
        </w:rPr>
        <w:t>5</w:t>
      </w:r>
      <w:r w:rsidRPr="00E20D7C">
        <w:rPr>
          <w:rFonts w:ascii="Times New Roman" w:hAnsi="Times New Roman"/>
          <w:sz w:val="26"/>
          <w:szCs w:val="26"/>
        </w:rPr>
        <w:t>.gada 1.jūlija līdz 201</w:t>
      </w:r>
      <w:r>
        <w:rPr>
          <w:rFonts w:ascii="Times New Roman" w:hAnsi="Times New Roman"/>
          <w:sz w:val="26"/>
          <w:szCs w:val="26"/>
        </w:rPr>
        <w:t>6</w:t>
      </w:r>
      <w:r w:rsidRPr="00E20D7C">
        <w:rPr>
          <w:rFonts w:ascii="Times New Roman" w:hAnsi="Times New Roman"/>
          <w:sz w:val="26"/>
          <w:szCs w:val="26"/>
        </w:rPr>
        <w:t>.gada 30.jūnijam</w:t>
      </w:r>
      <w:r w:rsidRPr="00283369">
        <w:rPr>
          <w:rFonts w:ascii="Times New Roman" w:hAnsi="Times New Roman"/>
          <w:sz w:val="26"/>
          <w:szCs w:val="26"/>
        </w:rPr>
        <w:t xml:space="preserve">. Detalizēti analizēts katrs no TUA saņemšanas veidiem – ieguldījumi kapitālsabiedrību pamatkapitālā, investīcijas nekustamajos īpašumos, finanšu investīcijas kredītiestādē un valsts vērtspapīru iegāde. Ziņojumā sniegts attiecīgo Imigrācijas likuma normu ietekmes izvērtējums uz tautsaimniecības reālo sektoru, finanšu sektoru, valsts budžetu un sabiedrības attīstību kopumā, sniegta informācija arī par atkārtotu </w:t>
      </w:r>
      <w:r>
        <w:rPr>
          <w:rFonts w:ascii="Times New Roman" w:hAnsi="Times New Roman"/>
          <w:sz w:val="26"/>
          <w:szCs w:val="26"/>
        </w:rPr>
        <w:t>TUA</w:t>
      </w:r>
      <w:r w:rsidRPr="00283369">
        <w:rPr>
          <w:rFonts w:ascii="Times New Roman" w:hAnsi="Times New Roman"/>
          <w:sz w:val="26"/>
          <w:szCs w:val="26"/>
        </w:rPr>
        <w:t xml:space="preserve"> un pastāvīgās uzturēšanās atļauju pieprasīšanas tendencēm tiem ārzemniekiem, kuri Latvijas Republikā ar </w:t>
      </w:r>
      <w:r>
        <w:rPr>
          <w:rFonts w:ascii="Times New Roman" w:hAnsi="Times New Roman"/>
          <w:sz w:val="26"/>
          <w:szCs w:val="26"/>
        </w:rPr>
        <w:t>TUA</w:t>
      </w:r>
      <w:r w:rsidRPr="00283369">
        <w:rPr>
          <w:rFonts w:ascii="Times New Roman" w:hAnsi="Times New Roman"/>
          <w:sz w:val="26"/>
          <w:szCs w:val="26"/>
        </w:rPr>
        <w:t xml:space="preserve"> atļauju uzturējušies jau piecus gadus.</w:t>
      </w:r>
    </w:p>
    <w:p w:rsidR="009B10A4" w:rsidRPr="00481DEF" w:rsidRDefault="009B10A4" w:rsidP="00534DFC">
      <w:pPr>
        <w:spacing w:after="120" w:line="240" w:lineRule="auto"/>
        <w:ind w:firstLine="567"/>
        <w:jc w:val="both"/>
        <w:rPr>
          <w:rFonts w:ascii="Times New Roman" w:hAnsi="Times New Roman"/>
          <w:sz w:val="26"/>
          <w:szCs w:val="26"/>
        </w:rPr>
      </w:pPr>
      <w:r w:rsidRPr="00481DEF">
        <w:rPr>
          <w:rFonts w:ascii="Times New Roman" w:hAnsi="Times New Roman"/>
          <w:sz w:val="26"/>
          <w:szCs w:val="26"/>
        </w:rPr>
        <w:t>Ziņojuma sagatavošanā izmantoti Latvijas Republikas Centrālās statistikas pārvaldes, Latvijas Bankas, Finanšu un kapitāla tirgus komisijas</w:t>
      </w:r>
      <w:r w:rsidR="00457F17">
        <w:rPr>
          <w:rFonts w:ascii="Times New Roman" w:hAnsi="Times New Roman"/>
          <w:sz w:val="26"/>
          <w:szCs w:val="26"/>
        </w:rPr>
        <w:t xml:space="preserve"> (turpmāk-FKTK)</w:t>
      </w:r>
      <w:r w:rsidRPr="00481DEF">
        <w:rPr>
          <w:rFonts w:ascii="Times New Roman" w:hAnsi="Times New Roman"/>
          <w:sz w:val="26"/>
          <w:szCs w:val="26"/>
        </w:rPr>
        <w:t>, Pilsonības un migrācijas lietu pārvaldes</w:t>
      </w:r>
      <w:r w:rsidR="00457F17">
        <w:rPr>
          <w:rFonts w:ascii="Times New Roman" w:hAnsi="Times New Roman"/>
          <w:sz w:val="26"/>
          <w:szCs w:val="26"/>
        </w:rPr>
        <w:t xml:space="preserve"> (turpmāk-PMLP)</w:t>
      </w:r>
      <w:r w:rsidRPr="00481DEF">
        <w:rPr>
          <w:rFonts w:ascii="Times New Roman" w:hAnsi="Times New Roman"/>
          <w:sz w:val="26"/>
          <w:szCs w:val="26"/>
        </w:rPr>
        <w:t>, Valsts ieņēmumu dienesta</w:t>
      </w:r>
      <w:r w:rsidR="00457F17">
        <w:rPr>
          <w:rFonts w:ascii="Times New Roman" w:hAnsi="Times New Roman"/>
          <w:sz w:val="26"/>
          <w:szCs w:val="26"/>
        </w:rPr>
        <w:t xml:space="preserve"> (turpmāk-VID)</w:t>
      </w:r>
      <w:r w:rsidRPr="00481DEF">
        <w:rPr>
          <w:rFonts w:ascii="Times New Roman" w:hAnsi="Times New Roman"/>
          <w:sz w:val="26"/>
          <w:szCs w:val="26"/>
        </w:rPr>
        <w:t>, Valsts zemes dienesta</w:t>
      </w:r>
      <w:r w:rsidR="00457F17">
        <w:rPr>
          <w:rFonts w:ascii="Times New Roman" w:hAnsi="Times New Roman"/>
          <w:sz w:val="26"/>
          <w:szCs w:val="26"/>
        </w:rPr>
        <w:t xml:space="preserve"> (turpmāk-VZD)</w:t>
      </w:r>
      <w:r w:rsidR="001E24AB" w:rsidRPr="00481DEF">
        <w:rPr>
          <w:rFonts w:ascii="Times New Roman" w:hAnsi="Times New Roman"/>
          <w:sz w:val="26"/>
          <w:szCs w:val="26"/>
        </w:rPr>
        <w:t>, Valsts vienotās datorizētās zemesgrāmatas</w:t>
      </w:r>
      <w:r w:rsidR="00457F17">
        <w:rPr>
          <w:rFonts w:ascii="Times New Roman" w:hAnsi="Times New Roman"/>
          <w:sz w:val="26"/>
          <w:szCs w:val="26"/>
        </w:rPr>
        <w:t xml:space="preserve"> (turpmāk-Zemesgrāmata)</w:t>
      </w:r>
      <w:r w:rsidRPr="00481DEF">
        <w:rPr>
          <w:rFonts w:ascii="Times New Roman" w:hAnsi="Times New Roman"/>
          <w:sz w:val="26"/>
          <w:szCs w:val="26"/>
        </w:rPr>
        <w:t xml:space="preserve"> un </w:t>
      </w:r>
      <w:r w:rsidR="00457F17">
        <w:rPr>
          <w:rFonts w:ascii="Times New Roman" w:hAnsi="Times New Roman"/>
          <w:sz w:val="26"/>
          <w:szCs w:val="26"/>
        </w:rPr>
        <w:t>SIA “LURSOFT-IT” (turpmāk-LURSOFT)</w:t>
      </w:r>
      <w:r w:rsidRPr="00481DEF">
        <w:rPr>
          <w:rFonts w:ascii="Times New Roman" w:hAnsi="Times New Roman"/>
          <w:sz w:val="26"/>
          <w:szCs w:val="26"/>
        </w:rPr>
        <w:t xml:space="preserve"> datu bāzes dati, kā arī pašvaldību</w:t>
      </w:r>
      <w:r w:rsidR="00D80BB6" w:rsidRPr="00481DEF">
        <w:rPr>
          <w:rFonts w:ascii="Times New Roman" w:hAnsi="Times New Roman"/>
          <w:sz w:val="26"/>
          <w:szCs w:val="26"/>
        </w:rPr>
        <w:t>,</w:t>
      </w:r>
      <w:r w:rsidRPr="00481DEF">
        <w:rPr>
          <w:rFonts w:ascii="Times New Roman" w:hAnsi="Times New Roman"/>
          <w:sz w:val="26"/>
          <w:szCs w:val="26"/>
        </w:rPr>
        <w:t xml:space="preserve"> Latvijas nekustamo īpašumu darīju</w:t>
      </w:r>
      <w:r w:rsidR="00FA74FC" w:rsidRPr="00481DEF">
        <w:rPr>
          <w:rFonts w:ascii="Times New Roman" w:hAnsi="Times New Roman"/>
          <w:sz w:val="26"/>
          <w:szCs w:val="26"/>
        </w:rPr>
        <w:t>mu asociācijas</w:t>
      </w:r>
      <w:r w:rsidR="00457F17">
        <w:rPr>
          <w:rFonts w:ascii="Times New Roman" w:hAnsi="Times New Roman"/>
          <w:sz w:val="26"/>
          <w:szCs w:val="26"/>
        </w:rPr>
        <w:t xml:space="preserve"> (turpmāk-LANĪDA)</w:t>
      </w:r>
      <w:r w:rsidR="00710AC7">
        <w:rPr>
          <w:rFonts w:ascii="Times New Roman" w:hAnsi="Times New Roman"/>
          <w:sz w:val="26"/>
          <w:szCs w:val="26"/>
        </w:rPr>
        <w:t>, Attīstības finanšu institūcijas ALTUM (turpmāk-AFI ALTUM)</w:t>
      </w:r>
      <w:r w:rsidR="0056705D">
        <w:rPr>
          <w:rFonts w:ascii="Times New Roman" w:hAnsi="Times New Roman"/>
          <w:sz w:val="26"/>
          <w:szCs w:val="26"/>
        </w:rPr>
        <w:t>, Latvijas Komercbanku asociācijas (turpmāk-LKA) viedoklis</w:t>
      </w:r>
      <w:r w:rsidR="00FA74FC" w:rsidRPr="00481DEF">
        <w:rPr>
          <w:rFonts w:ascii="Times New Roman" w:hAnsi="Times New Roman"/>
          <w:sz w:val="26"/>
          <w:szCs w:val="26"/>
        </w:rPr>
        <w:t xml:space="preserve"> un SIA “</w:t>
      </w:r>
      <w:r w:rsidRPr="00481DEF">
        <w:rPr>
          <w:rFonts w:ascii="Times New Roman" w:hAnsi="Times New Roman"/>
          <w:sz w:val="26"/>
          <w:szCs w:val="26"/>
        </w:rPr>
        <w:t>Latio”</w:t>
      </w:r>
      <w:r w:rsidR="001E24AB" w:rsidRPr="00481DEF">
        <w:rPr>
          <w:rFonts w:ascii="Times New Roman" w:hAnsi="Times New Roman"/>
          <w:sz w:val="26"/>
          <w:szCs w:val="26"/>
        </w:rPr>
        <w:t>, SIA “</w:t>
      </w:r>
      <w:proofErr w:type="spellStart"/>
      <w:r w:rsidR="001E24AB" w:rsidRPr="00481DEF">
        <w:rPr>
          <w:rFonts w:ascii="Times New Roman" w:hAnsi="Times New Roman"/>
          <w:sz w:val="26"/>
          <w:szCs w:val="26"/>
        </w:rPr>
        <w:t>Ober-haus”</w:t>
      </w:r>
      <w:proofErr w:type="spellEnd"/>
      <w:r w:rsidRPr="00481DEF">
        <w:rPr>
          <w:rFonts w:ascii="Times New Roman" w:hAnsi="Times New Roman"/>
          <w:sz w:val="26"/>
          <w:szCs w:val="26"/>
        </w:rPr>
        <w:t xml:space="preserve"> </w:t>
      </w:r>
      <w:r w:rsidR="00AD3A5B" w:rsidRPr="00481DEF">
        <w:rPr>
          <w:rFonts w:ascii="Times New Roman" w:hAnsi="Times New Roman"/>
          <w:sz w:val="26"/>
          <w:szCs w:val="26"/>
        </w:rPr>
        <w:t xml:space="preserve">publicētā </w:t>
      </w:r>
      <w:r w:rsidRPr="00481DEF">
        <w:rPr>
          <w:rFonts w:ascii="Times New Roman" w:hAnsi="Times New Roman"/>
          <w:sz w:val="26"/>
          <w:szCs w:val="26"/>
        </w:rPr>
        <w:t>informācija.</w:t>
      </w:r>
    </w:p>
    <w:p w:rsidR="000E3AB7" w:rsidRPr="002B4D22" w:rsidRDefault="009B10A4" w:rsidP="00457F17">
      <w:pPr>
        <w:spacing w:after="120" w:line="240" w:lineRule="auto"/>
        <w:rPr>
          <w:rFonts w:ascii="Times New Roman" w:eastAsia="SimSun" w:hAnsi="Times New Roman"/>
          <w:b/>
          <w:bCs/>
          <w:sz w:val="28"/>
          <w:szCs w:val="28"/>
          <w:lang w:eastAsia="lv-LV"/>
        </w:rPr>
      </w:pPr>
      <w:r w:rsidRPr="00C11555">
        <w:rPr>
          <w:rFonts w:ascii="Times New Roman" w:hAnsi="Times New Roman"/>
          <w:sz w:val="26"/>
          <w:szCs w:val="26"/>
        </w:rPr>
        <w:br w:type="page"/>
      </w:r>
      <w:bookmarkStart w:id="0" w:name="_Toc216077028"/>
      <w:bookmarkStart w:id="1" w:name="_Toc216077732"/>
      <w:bookmarkStart w:id="2" w:name="_Toc216077836"/>
      <w:bookmarkStart w:id="3" w:name="_Toc216077916"/>
      <w:bookmarkStart w:id="4" w:name="_Toc216078658"/>
      <w:bookmarkStart w:id="5" w:name="_Toc216079262"/>
      <w:bookmarkStart w:id="6" w:name="_Toc216079505"/>
      <w:bookmarkStart w:id="7" w:name="_Toc216079573"/>
      <w:bookmarkStart w:id="8" w:name="_Toc216079635"/>
      <w:bookmarkStart w:id="9" w:name="_Toc216079691"/>
      <w:bookmarkStart w:id="10" w:name="_Toc216079747"/>
      <w:bookmarkStart w:id="11" w:name="_Toc216079803"/>
      <w:bookmarkStart w:id="12" w:name="_Toc216080160"/>
      <w:bookmarkStart w:id="13" w:name="_Toc216083814"/>
    </w:p>
    <w:p w:rsidR="00AB3AEF" w:rsidRPr="00481DEF" w:rsidRDefault="00AB3AEF" w:rsidP="00D22CD2">
      <w:pPr>
        <w:spacing w:after="120" w:line="240" w:lineRule="auto"/>
        <w:ind w:firstLine="567"/>
        <w:jc w:val="both"/>
        <w:rPr>
          <w:rFonts w:ascii="Times New Roman" w:hAnsi="Times New Roman"/>
          <w:sz w:val="26"/>
          <w:szCs w:val="26"/>
        </w:rPr>
      </w:pPr>
      <w:bookmarkStart w:id="14" w:name="_Toc340050953"/>
      <w:bookmarkEnd w:id="0"/>
      <w:bookmarkEnd w:id="1"/>
      <w:bookmarkEnd w:id="2"/>
      <w:bookmarkEnd w:id="3"/>
      <w:bookmarkEnd w:id="4"/>
      <w:bookmarkEnd w:id="5"/>
      <w:bookmarkEnd w:id="6"/>
      <w:bookmarkEnd w:id="7"/>
      <w:bookmarkEnd w:id="8"/>
      <w:bookmarkEnd w:id="9"/>
      <w:bookmarkEnd w:id="10"/>
      <w:bookmarkEnd w:id="11"/>
      <w:bookmarkEnd w:id="12"/>
      <w:bookmarkEnd w:id="13"/>
      <w:r w:rsidRPr="00481DEF">
        <w:rPr>
          <w:rFonts w:ascii="Times New Roman" w:hAnsi="Times New Roman"/>
          <w:sz w:val="26"/>
          <w:szCs w:val="26"/>
        </w:rPr>
        <w:lastRenderedPageBreak/>
        <w:t xml:space="preserve">Latvijas iedzīvotāju aktīvo emigrācijas procesu nelīdzsvaro tikpat intensīvas imigrācijas plūsmas. </w:t>
      </w:r>
      <w:r w:rsidR="00D91D92">
        <w:rPr>
          <w:rFonts w:ascii="Times New Roman" w:hAnsi="Times New Roman"/>
          <w:sz w:val="26"/>
          <w:szCs w:val="26"/>
        </w:rPr>
        <w:t>Kopš</w:t>
      </w:r>
      <w:r w:rsidRPr="00481DEF">
        <w:rPr>
          <w:rFonts w:ascii="Times New Roman" w:hAnsi="Times New Roman"/>
          <w:sz w:val="26"/>
          <w:szCs w:val="26"/>
        </w:rPr>
        <w:t xml:space="preserve"> 1992.gada, k</w:t>
      </w:r>
      <w:r>
        <w:rPr>
          <w:rFonts w:ascii="Times New Roman" w:hAnsi="Times New Roman"/>
          <w:sz w:val="26"/>
          <w:szCs w:val="26"/>
        </w:rPr>
        <w:t>ad</w:t>
      </w:r>
      <w:r w:rsidRPr="00481DEF">
        <w:rPr>
          <w:rFonts w:ascii="Times New Roman" w:hAnsi="Times New Roman"/>
          <w:sz w:val="26"/>
          <w:szCs w:val="26"/>
        </w:rPr>
        <w:t xml:space="preserve"> Latvija sāka patstāvīgi regulēt savu imigrācijas politiku, ieceļojušo ārzemnieku skaits Latvijā ir bijis salīdzinoši zems, augstāk</w:t>
      </w:r>
      <w:r>
        <w:rPr>
          <w:rFonts w:ascii="Times New Roman" w:hAnsi="Times New Roman"/>
          <w:sz w:val="26"/>
          <w:szCs w:val="26"/>
        </w:rPr>
        <w:t>o</w:t>
      </w:r>
      <w:r w:rsidRPr="00481DEF">
        <w:rPr>
          <w:rFonts w:ascii="Times New Roman" w:hAnsi="Times New Roman"/>
          <w:sz w:val="26"/>
          <w:szCs w:val="26"/>
        </w:rPr>
        <w:t xml:space="preserve"> līmeni sasniedzot 2006.-2007.gadā, kad valstī tika konstatēta vietējā darbaspēka nepietiekamība un bija nepieciešama tā piesaiste no ārvalstīm</w:t>
      </w:r>
      <w:r>
        <w:rPr>
          <w:rFonts w:ascii="Times New Roman" w:hAnsi="Times New Roman"/>
          <w:sz w:val="26"/>
          <w:szCs w:val="26"/>
        </w:rPr>
        <w:t>. E</w:t>
      </w:r>
      <w:r w:rsidRPr="00481DEF">
        <w:rPr>
          <w:rFonts w:ascii="Times New Roman" w:hAnsi="Times New Roman"/>
          <w:sz w:val="26"/>
          <w:szCs w:val="26"/>
        </w:rPr>
        <w:t>konomiskās lejupslīdes laikā</w:t>
      </w:r>
      <w:r>
        <w:rPr>
          <w:rFonts w:ascii="Times New Roman" w:hAnsi="Times New Roman"/>
          <w:sz w:val="26"/>
          <w:szCs w:val="26"/>
        </w:rPr>
        <w:t xml:space="preserve"> bija novērojama s</w:t>
      </w:r>
      <w:r w:rsidRPr="00481DEF">
        <w:rPr>
          <w:rFonts w:ascii="Times New Roman" w:hAnsi="Times New Roman"/>
          <w:sz w:val="26"/>
          <w:szCs w:val="26"/>
        </w:rPr>
        <w:t>trauja pirmreizēji izsniegto uzturēšanās atļauju skaita samazināšanās</w:t>
      </w:r>
      <w:r>
        <w:rPr>
          <w:rFonts w:ascii="Times New Roman" w:hAnsi="Times New Roman"/>
          <w:sz w:val="26"/>
          <w:szCs w:val="26"/>
        </w:rPr>
        <w:t>, bet</w:t>
      </w:r>
      <w:r w:rsidRPr="00481DEF">
        <w:rPr>
          <w:rFonts w:ascii="Times New Roman" w:hAnsi="Times New Roman"/>
          <w:sz w:val="26"/>
          <w:szCs w:val="26"/>
        </w:rPr>
        <w:t xml:space="preserve"> no 2011.gada vērojams </w:t>
      </w:r>
      <w:r>
        <w:rPr>
          <w:rFonts w:ascii="Times New Roman" w:hAnsi="Times New Roman"/>
          <w:sz w:val="26"/>
          <w:szCs w:val="26"/>
        </w:rPr>
        <w:t xml:space="preserve">ievērojams </w:t>
      </w:r>
      <w:r w:rsidRPr="00481DEF">
        <w:rPr>
          <w:rFonts w:ascii="Times New Roman" w:hAnsi="Times New Roman"/>
          <w:sz w:val="26"/>
          <w:szCs w:val="26"/>
        </w:rPr>
        <w:t>izsniegto atļauju skaita pieaugums</w:t>
      </w:r>
      <w:r>
        <w:rPr>
          <w:rFonts w:ascii="Times New Roman" w:hAnsi="Times New Roman"/>
          <w:sz w:val="26"/>
          <w:szCs w:val="26"/>
        </w:rPr>
        <w:t>,</w:t>
      </w:r>
      <w:r w:rsidRPr="00481DEF">
        <w:rPr>
          <w:rFonts w:ascii="Times New Roman" w:hAnsi="Times New Roman"/>
          <w:sz w:val="26"/>
          <w:szCs w:val="26"/>
        </w:rPr>
        <w:t xml:space="preserve"> Latvijā ieceļojot trešo valstu pilsoņiem saistībā ar </w:t>
      </w:r>
      <w:r>
        <w:rPr>
          <w:rFonts w:ascii="Times New Roman" w:hAnsi="Times New Roman"/>
          <w:sz w:val="26"/>
          <w:szCs w:val="26"/>
        </w:rPr>
        <w:t xml:space="preserve">to </w:t>
      </w:r>
      <w:r w:rsidRPr="00481DEF">
        <w:rPr>
          <w:rFonts w:ascii="Times New Roman" w:hAnsi="Times New Roman"/>
          <w:sz w:val="26"/>
          <w:szCs w:val="26"/>
        </w:rPr>
        <w:t>veiktajām investīcijām Latvijas tautsaimniecībā.</w:t>
      </w:r>
    </w:p>
    <w:p w:rsidR="00AB3AEF" w:rsidRPr="00481DEF" w:rsidRDefault="00AB3AEF" w:rsidP="00D22CD2">
      <w:pPr>
        <w:spacing w:after="120" w:line="240" w:lineRule="auto"/>
        <w:ind w:firstLine="567"/>
        <w:jc w:val="both"/>
        <w:rPr>
          <w:rFonts w:ascii="Times New Roman" w:hAnsi="Times New Roman"/>
          <w:sz w:val="26"/>
          <w:szCs w:val="26"/>
          <w:highlight w:val="lightGray"/>
        </w:rPr>
      </w:pPr>
      <w:r>
        <w:rPr>
          <w:rFonts w:ascii="Times New Roman" w:hAnsi="Times New Roman"/>
          <w:sz w:val="26"/>
          <w:szCs w:val="26"/>
        </w:rPr>
        <w:t xml:space="preserve">Pēc imigrācijas plūsmu absolūtā apjoma, </w:t>
      </w:r>
      <w:r w:rsidRPr="00481DEF">
        <w:rPr>
          <w:rFonts w:ascii="Times New Roman" w:hAnsi="Times New Roman"/>
          <w:sz w:val="26"/>
          <w:szCs w:val="26"/>
        </w:rPr>
        <w:t>Latvija atrodas vienā no pēdējām vietām</w:t>
      </w:r>
      <w:r>
        <w:rPr>
          <w:rFonts w:ascii="Times New Roman" w:hAnsi="Times New Roman"/>
          <w:sz w:val="26"/>
          <w:szCs w:val="26"/>
        </w:rPr>
        <w:t xml:space="preserve"> Eiropas Savienībā</w:t>
      </w:r>
      <w:r w:rsidRPr="00481DEF">
        <w:rPr>
          <w:rFonts w:ascii="Times New Roman" w:hAnsi="Times New Roman"/>
          <w:sz w:val="26"/>
          <w:szCs w:val="26"/>
        </w:rPr>
        <w:t xml:space="preserve">, </w:t>
      </w:r>
      <w:r>
        <w:rPr>
          <w:rFonts w:ascii="Times New Roman" w:hAnsi="Times New Roman"/>
          <w:sz w:val="26"/>
          <w:szCs w:val="26"/>
        </w:rPr>
        <w:t>taču, vērtējot pēc</w:t>
      </w:r>
      <w:r w:rsidRPr="00481DEF">
        <w:rPr>
          <w:rFonts w:ascii="Times New Roman" w:hAnsi="Times New Roman"/>
          <w:sz w:val="26"/>
          <w:szCs w:val="26"/>
        </w:rPr>
        <w:t xml:space="preserve"> valstī dzīvojošo ārzemnieku</w:t>
      </w:r>
      <w:r>
        <w:rPr>
          <w:rFonts w:ascii="Times New Roman" w:hAnsi="Times New Roman"/>
          <w:sz w:val="26"/>
          <w:szCs w:val="26"/>
        </w:rPr>
        <w:t xml:space="preserve"> un ārvalstīs dzimušo īpatsvara, </w:t>
      </w:r>
      <w:r w:rsidRPr="00481DEF">
        <w:rPr>
          <w:rFonts w:ascii="Times New Roman" w:hAnsi="Times New Roman"/>
          <w:sz w:val="26"/>
          <w:szCs w:val="26"/>
        </w:rPr>
        <w:t>ieņem trešo vietu Eiropas Savienībā pēc Luksemburgas un Kipras</w:t>
      </w:r>
      <w:r>
        <w:rPr>
          <w:rFonts w:ascii="Times New Roman" w:hAnsi="Times New Roman"/>
          <w:sz w:val="26"/>
          <w:szCs w:val="26"/>
        </w:rPr>
        <w:t>.</w:t>
      </w:r>
      <w:r w:rsidRPr="00481DEF">
        <w:rPr>
          <w:rFonts w:ascii="Times New Roman" w:hAnsi="Times New Roman"/>
          <w:sz w:val="26"/>
          <w:szCs w:val="26"/>
        </w:rPr>
        <w:t xml:space="preserve"> 2012.gada 1.janvārī</w:t>
      </w:r>
      <w:r>
        <w:rPr>
          <w:rFonts w:ascii="Times New Roman" w:hAnsi="Times New Roman"/>
          <w:sz w:val="26"/>
          <w:szCs w:val="26"/>
        </w:rPr>
        <w:t xml:space="preserve"> šis rādītājs sasniedza</w:t>
      </w:r>
      <w:r w:rsidRPr="00481DEF">
        <w:rPr>
          <w:rFonts w:ascii="Times New Roman" w:hAnsi="Times New Roman"/>
          <w:sz w:val="26"/>
          <w:szCs w:val="26"/>
        </w:rPr>
        <w:t xml:space="preserve"> 17%</w:t>
      </w:r>
      <w:r w:rsidRPr="00481DEF">
        <w:rPr>
          <w:rStyle w:val="FootnoteReference"/>
          <w:rFonts w:ascii="Times New Roman" w:hAnsi="Times New Roman"/>
          <w:sz w:val="26"/>
          <w:szCs w:val="26"/>
        </w:rPr>
        <w:footnoteReference w:id="1"/>
      </w:r>
      <w:r w:rsidRPr="00481DEF">
        <w:rPr>
          <w:rFonts w:ascii="Times New Roman" w:hAnsi="Times New Roman"/>
          <w:sz w:val="26"/>
          <w:szCs w:val="26"/>
        </w:rPr>
        <w:t xml:space="preserve"> no kopējā valstī dzīvojošo skaita. </w:t>
      </w:r>
      <w:r>
        <w:rPr>
          <w:rFonts w:ascii="Times New Roman" w:hAnsi="Times New Roman"/>
          <w:sz w:val="26"/>
          <w:szCs w:val="26"/>
        </w:rPr>
        <w:t xml:space="preserve">Nozīmīgais īpatsvars izskaidrojams ar to, ka </w:t>
      </w:r>
      <w:r w:rsidRPr="00481DEF">
        <w:rPr>
          <w:rFonts w:ascii="Times New Roman" w:hAnsi="Times New Roman"/>
          <w:sz w:val="26"/>
          <w:szCs w:val="26"/>
        </w:rPr>
        <w:t xml:space="preserve">ārzemnieku (trešo valstu pilsoņu) kategorijā ietilpst arī </w:t>
      </w:r>
      <w:r>
        <w:rPr>
          <w:rFonts w:ascii="Times New Roman" w:hAnsi="Times New Roman"/>
          <w:sz w:val="26"/>
          <w:szCs w:val="26"/>
        </w:rPr>
        <w:t>personas ar Latvijas nepilsoņa statusu</w:t>
      </w:r>
      <w:r>
        <w:rPr>
          <w:rStyle w:val="FootnoteReference"/>
          <w:rFonts w:ascii="Times New Roman" w:hAnsi="Times New Roman"/>
          <w:sz w:val="26"/>
          <w:szCs w:val="26"/>
        </w:rPr>
        <w:footnoteReference w:id="2"/>
      </w:r>
      <w:r w:rsidRPr="00481DEF">
        <w:rPr>
          <w:rFonts w:ascii="Times New Roman" w:hAnsi="Times New Roman"/>
          <w:sz w:val="26"/>
          <w:szCs w:val="26"/>
        </w:rPr>
        <w:t>.</w:t>
      </w:r>
    </w:p>
    <w:p w:rsidR="00AB3AEF" w:rsidRDefault="00AB3AEF" w:rsidP="00D22CD2">
      <w:pPr>
        <w:spacing w:after="120" w:line="240" w:lineRule="auto"/>
        <w:ind w:firstLine="567"/>
        <w:jc w:val="both"/>
        <w:rPr>
          <w:rFonts w:ascii="Times New Roman" w:hAnsi="Times New Roman"/>
          <w:sz w:val="26"/>
          <w:szCs w:val="26"/>
        </w:rPr>
      </w:pPr>
      <w:r w:rsidRPr="008C4A16">
        <w:rPr>
          <w:rFonts w:ascii="Times New Roman" w:hAnsi="Times New Roman"/>
          <w:sz w:val="26"/>
          <w:szCs w:val="26"/>
        </w:rPr>
        <w:t xml:space="preserve">Imigrācijas likuma 23.panta pirmās daļas 28., 29., 30. un 31.punkts paredz TUA izsniegšanu gadījumos, kad ārzemnieks veic investīcijas Latvijas tautsaimniecībā </w:t>
      </w:r>
      <w:r w:rsidR="00A840F5">
        <w:rPr>
          <w:rFonts w:ascii="Times New Roman" w:hAnsi="Times New Roman"/>
          <w:sz w:val="26"/>
          <w:szCs w:val="26"/>
        </w:rPr>
        <w:t xml:space="preserve">– investīcijas nekustamajā īpašumā, uzņēmējdarbībā (kapitālsabiedrības pamatkapitālā) vai arī Latvijā reģistrētas kredītiestādes pakārtotajās saistībās </w:t>
      </w:r>
      <w:r w:rsidRPr="008C4A16">
        <w:rPr>
          <w:rFonts w:ascii="Times New Roman" w:hAnsi="Times New Roman"/>
          <w:sz w:val="26"/>
          <w:szCs w:val="26"/>
        </w:rPr>
        <w:t>(turpmāk – investīciju programma).</w:t>
      </w:r>
      <w:r w:rsidR="00A840F5">
        <w:rPr>
          <w:rFonts w:ascii="Times New Roman" w:hAnsi="Times New Roman"/>
          <w:sz w:val="26"/>
          <w:szCs w:val="26"/>
        </w:rPr>
        <w:t xml:space="preserve"> </w:t>
      </w:r>
      <w:r w:rsidR="00A840F5" w:rsidRPr="00A840F5">
        <w:rPr>
          <w:rFonts w:ascii="Times New Roman" w:hAnsi="Times New Roman"/>
          <w:sz w:val="26"/>
          <w:szCs w:val="26"/>
        </w:rPr>
        <w:t xml:space="preserve">No 2015.gada 1.janvāra </w:t>
      </w:r>
      <w:r w:rsidR="00DE1FC5">
        <w:rPr>
          <w:rFonts w:ascii="Times New Roman" w:hAnsi="Times New Roman"/>
          <w:sz w:val="26"/>
          <w:szCs w:val="26"/>
        </w:rPr>
        <w:t>uz investīciju programmu</w:t>
      </w:r>
      <w:r w:rsidR="00A840F5" w:rsidRPr="00A840F5">
        <w:rPr>
          <w:rFonts w:ascii="Times New Roman" w:hAnsi="Times New Roman"/>
          <w:sz w:val="26"/>
          <w:szCs w:val="26"/>
        </w:rPr>
        <w:t xml:space="preserve"> tiek attiecināts vēl viens investīciju veids – īpašam mērķim noteiktu bezprocentu valsts vērtspapīru iegāde par nominālvērtību 250 000 </w:t>
      </w:r>
      <w:proofErr w:type="spellStart"/>
      <w:r w:rsidR="00A840F5" w:rsidRPr="00DE1FC5">
        <w:rPr>
          <w:rFonts w:ascii="Times New Roman" w:hAnsi="Times New Roman"/>
          <w:i/>
          <w:sz w:val="26"/>
          <w:szCs w:val="26"/>
        </w:rPr>
        <w:t>euro</w:t>
      </w:r>
      <w:proofErr w:type="spellEnd"/>
      <w:r w:rsidR="00A840F5" w:rsidRPr="00A840F5">
        <w:rPr>
          <w:rFonts w:ascii="Times New Roman" w:hAnsi="Times New Roman"/>
          <w:sz w:val="26"/>
          <w:szCs w:val="26"/>
        </w:rPr>
        <w:t xml:space="preserve"> (Imigrācijas likuma 23.panta pirmās daļas 31.punkts).</w:t>
      </w:r>
    </w:p>
    <w:p w:rsidR="00FF58A0" w:rsidRDefault="00FF58A0" w:rsidP="00D22CD2">
      <w:pPr>
        <w:spacing w:after="120" w:line="240" w:lineRule="auto"/>
        <w:ind w:firstLine="567"/>
        <w:jc w:val="both"/>
        <w:rPr>
          <w:rFonts w:ascii="Times New Roman" w:hAnsi="Times New Roman"/>
          <w:sz w:val="26"/>
          <w:szCs w:val="26"/>
        </w:rPr>
      </w:pPr>
    </w:p>
    <w:p w:rsidR="00457F17" w:rsidRDefault="00457F17" w:rsidP="00457F17">
      <w:pPr>
        <w:spacing w:after="120" w:line="240" w:lineRule="auto"/>
        <w:ind w:firstLine="567"/>
        <w:jc w:val="center"/>
        <w:rPr>
          <w:rFonts w:ascii="Times New Roman" w:hAnsi="Times New Roman"/>
          <w:b/>
          <w:sz w:val="26"/>
          <w:szCs w:val="26"/>
        </w:rPr>
      </w:pPr>
      <w:r w:rsidRPr="00457F17">
        <w:rPr>
          <w:rFonts w:ascii="Times New Roman" w:hAnsi="Times New Roman"/>
          <w:b/>
          <w:sz w:val="26"/>
          <w:szCs w:val="26"/>
        </w:rPr>
        <w:t>TUA izsniegšanas un investīciju programmas ietvaros piesaistīto investīciju dinamika</w:t>
      </w:r>
    </w:p>
    <w:p w:rsidR="00FF58A0" w:rsidRPr="00457F17" w:rsidRDefault="00FF58A0" w:rsidP="00457F17">
      <w:pPr>
        <w:spacing w:after="120" w:line="240" w:lineRule="auto"/>
        <w:ind w:firstLine="567"/>
        <w:jc w:val="center"/>
        <w:rPr>
          <w:rFonts w:ascii="Times New Roman" w:hAnsi="Times New Roman"/>
          <w:b/>
          <w:sz w:val="26"/>
          <w:szCs w:val="26"/>
        </w:rPr>
      </w:pPr>
    </w:p>
    <w:p w:rsidR="00457F17" w:rsidRDefault="00457F17" w:rsidP="00D22CD2">
      <w:pPr>
        <w:spacing w:after="120" w:line="240" w:lineRule="auto"/>
        <w:ind w:firstLine="567"/>
        <w:jc w:val="both"/>
        <w:rPr>
          <w:rFonts w:ascii="Times New Roman" w:hAnsi="Times New Roman"/>
          <w:sz w:val="26"/>
          <w:szCs w:val="26"/>
        </w:rPr>
      </w:pPr>
      <w:r w:rsidRPr="00D91D92">
        <w:rPr>
          <w:rFonts w:ascii="Times New Roman" w:hAnsi="Times New Roman"/>
          <w:sz w:val="26"/>
          <w:szCs w:val="26"/>
        </w:rPr>
        <w:t>Ziņojuma 1. pielikumā ir sniegta detalizētāka informācija par investoru un viņu ģimenes locekļu iesniegto pieteikumu skaitu, izsniegtajām un anulētajām termiņuzturēšanās atļaujām un personu pilsonības valstīm.</w:t>
      </w:r>
    </w:p>
    <w:p w:rsidR="00D91D92" w:rsidRDefault="00AB3AEF" w:rsidP="00D22CD2">
      <w:pPr>
        <w:spacing w:after="120" w:line="240" w:lineRule="auto"/>
        <w:ind w:firstLine="567"/>
        <w:jc w:val="both"/>
        <w:rPr>
          <w:rFonts w:ascii="Times New Roman" w:hAnsi="Times New Roman"/>
          <w:sz w:val="26"/>
          <w:szCs w:val="26"/>
        </w:rPr>
      </w:pPr>
      <w:r w:rsidRPr="00B252DD">
        <w:rPr>
          <w:rFonts w:ascii="Times New Roman" w:hAnsi="Times New Roman"/>
          <w:sz w:val="26"/>
          <w:szCs w:val="26"/>
        </w:rPr>
        <w:t>No 2010.gada 1.jūlija līdz 201</w:t>
      </w:r>
      <w:r>
        <w:rPr>
          <w:rFonts w:ascii="Times New Roman" w:hAnsi="Times New Roman"/>
          <w:sz w:val="26"/>
          <w:szCs w:val="26"/>
        </w:rPr>
        <w:t>6</w:t>
      </w:r>
      <w:r w:rsidRPr="00B252DD">
        <w:rPr>
          <w:rFonts w:ascii="Times New Roman" w:hAnsi="Times New Roman"/>
          <w:sz w:val="26"/>
          <w:szCs w:val="26"/>
        </w:rPr>
        <w:t>.gada 30.jūnijam investīciju programmas ietvaros PMLP ir saņēmusi 17 2</w:t>
      </w:r>
      <w:r>
        <w:rPr>
          <w:rFonts w:ascii="Times New Roman" w:hAnsi="Times New Roman"/>
          <w:sz w:val="26"/>
          <w:szCs w:val="26"/>
        </w:rPr>
        <w:t>1</w:t>
      </w:r>
      <w:r w:rsidRPr="00B252DD">
        <w:rPr>
          <w:rFonts w:ascii="Times New Roman" w:hAnsi="Times New Roman"/>
          <w:sz w:val="26"/>
          <w:szCs w:val="26"/>
        </w:rPr>
        <w:t>8 personu, tajā skaitā 7 183 investoru un 10 035 viņu ģimenes locekļu, iesniegumus TUA pieprasīšanai. Šajā laika posmā izsniegtas 16 737 TUA</w:t>
      </w:r>
      <w:r w:rsidRPr="002569BA">
        <w:rPr>
          <w:rFonts w:ascii="Times New Roman" w:hAnsi="Times New Roman"/>
          <w:sz w:val="26"/>
          <w:szCs w:val="26"/>
        </w:rPr>
        <w:t>. No 2010.gada 1.jūlija 323 gadījumos TUA izsniegšana atteikta, bet anulētas 2 620 TUA</w:t>
      </w:r>
      <w:r w:rsidR="00D91D92">
        <w:rPr>
          <w:rFonts w:ascii="Times New Roman" w:hAnsi="Times New Roman"/>
          <w:sz w:val="26"/>
          <w:szCs w:val="26"/>
        </w:rPr>
        <w:t>.</w:t>
      </w:r>
    </w:p>
    <w:p w:rsidR="00AB3AEF" w:rsidRDefault="00AB3AEF" w:rsidP="00D22CD2">
      <w:pPr>
        <w:spacing w:after="120" w:line="240" w:lineRule="auto"/>
        <w:ind w:firstLine="567"/>
        <w:jc w:val="both"/>
        <w:rPr>
          <w:rFonts w:ascii="Times New Roman" w:hAnsi="Times New Roman"/>
          <w:sz w:val="26"/>
          <w:szCs w:val="26"/>
        </w:rPr>
      </w:pPr>
      <w:r w:rsidRPr="008C4A16">
        <w:rPr>
          <w:rFonts w:ascii="Times New Roman" w:hAnsi="Times New Roman"/>
          <w:sz w:val="26"/>
          <w:szCs w:val="26"/>
        </w:rPr>
        <w:t xml:space="preserve">Nerezidentu ieguldījumi, kas saistīti ar TUA saņemšanu, no 2010.gada 1.jūlija līdz 2016.gada 30.jūnijam bija 1,388 mljrd. </w:t>
      </w:r>
      <w:proofErr w:type="spellStart"/>
      <w:r w:rsidRPr="008C4A16">
        <w:rPr>
          <w:rFonts w:ascii="Times New Roman" w:hAnsi="Times New Roman"/>
          <w:i/>
          <w:sz w:val="26"/>
          <w:szCs w:val="26"/>
        </w:rPr>
        <w:t>euro</w:t>
      </w:r>
      <w:proofErr w:type="spellEnd"/>
      <w:r w:rsidR="00457F17">
        <w:rPr>
          <w:rFonts w:ascii="Times New Roman" w:hAnsi="Times New Roman"/>
          <w:i/>
          <w:sz w:val="26"/>
          <w:szCs w:val="26"/>
        </w:rPr>
        <w:t xml:space="preserve"> </w:t>
      </w:r>
      <w:r w:rsidR="00457F17" w:rsidRPr="00457F17">
        <w:rPr>
          <w:rFonts w:ascii="Times New Roman" w:hAnsi="Times New Roman"/>
          <w:sz w:val="26"/>
          <w:szCs w:val="26"/>
        </w:rPr>
        <w:t>(skatīt 1.tabulu)</w:t>
      </w:r>
      <w:r w:rsidRPr="008C4A16">
        <w:rPr>
          <w:rFonts w:ascii="Times New Roman" w:hAnsi="Times New Roman"/>
          <w:sz w:val="26"/>
          <w:szCs w:val="26"/>
        </w:rPr>
        <w:t xml:space="preserve">. </w:t>
      </w:r>
    </w:p>
    <w:p w:rsidR="004D0520" w:rsidRDefault="00AB3AEF" w:rsidP="00D22CD2">
      <w:pPr>
        <w:spacing w:after="120" w:line="240" w:lineRule="auto"/>
        <w:ind w:firstLine="567"/>
        <w:jc w:val="both"/>
        <w:rPr>
          <w:rFonts w:ascii="Times New Roman" w:hAnsi="Times New Roman"/>
          <w:sz w:val="26"/>
          <w:szCs w:val="26"/>
        </w:rPr>
      </w:pPr>
      <w:r w:rsidRPr="008C4A16">
        <w:rPr>
          <w:rFonts w:ascii="Times New Roman" w:hAnsi="Times New Roman"/>
          <w:sz w:val="26"/>
          <w:szCs w:val="26"/>
        </w:rPr>
        <w:t xml:space="preserve">No kopumā investīciju programmas ietvaros ieguldītajiem līdzekļiem no 2010.gada 1.jūlija līdz 2016.gada 30.jūnijam 83,2% jeb 1,154 mljrd. </w:t>
      </w:r>
      <w:proofErr w:type="spellStart"/>
      <w:r w:rsidRPr="008C4A16">
        <w:rPr>
          <w:rFonts w:ascii="Times New Roman" w:hAnsi="Times New Roman"/>
          <w:i/>
          <w:sz w:val="26"/>
          <w:szCs w:val="26"/>
        </w:rPr>
        <w:t>euro</w:t>
      </w:r>
      <w:proofErr w:type="spellEnd"/>
      <w:r w:rsidRPr="008C4A16">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(11,0% jeb 152,8 milj. </w:t>
      </w:r>
      <w:proofErr w:type="spellStart"/>
      <w:r w:rsidRPr="008C4A16">
        <w:rPr>
          <w:rFonts w:ascii="Times New Roman" w:hAnsi="Times New Roman"/>
          <w:i/>
          <w:sz w:val="26"/>
          <w:szCs w:val="26"/>
        </w:rPr>
        <w:t>euro</w:t>
      </w:r>
      <w:proofErr w:type="spellEnd"/>
      <w:r w:rsidRPr="008C4A16">
        <w:rPr>
          <w:rFonts w:ascii="Times New Roman" w:hAnsi="Times New Roman"/>
          <w:i/>
          <w:sz w:val="26"/>
          <w:szCs w:val="26"/>
        </w:rPr>
        <w:t xml:space="preserve"> </w:t>
      </w:r>
      <w:r w:rsidRPr="008C4A16">
        <w:rPr>
          <w:rFonts w:ascii="Times New Roman" w:hAnsi="Times New Roman"/>
          <w:sz w:val="26"/>
          <w:szCs w:val="26"/>
        </w:rPr>
        <w:t>no visiem ieguldījumiem), savukārt attiecinātie ieguldījumi kapitālsabiedrību pamatkapitālā veido tikai 5,4% (jeb 75,4 milj. </w:t>
      </w:r>
      <w:proofErr w:type="spellStart"/>
      <w:r w:rsidRPr="008C4A16">
        <w:rPr>
          <w:rFonts w:ascii="Times New Roman" w:hAnsi="Times New Roman"/>
          <w:i/>
          <w:sz w:val="26"/>
          <w:szCs w:val="26"/>
        </w:rPr>
        <w:t>euro</w:t>
      </w:r>
      <w:proofErr w:type="spellEnd"/>
      <w:r w:rsidRPr="008C4A16">
        <w:rPr>
          <w:rFonts w:ascii="Times New Roman" w:hAnsi="Times New Roman"/>
          <w:sz w:val="26"/>
          <w:szCs w:val="26"/>
        </w:rPr>
        <w:t xml:space="preserve">) no kopējām </w:t>
      </w:r>
      <w:r w:rsidRPr="008C4A16">
        <w:rPr>
          <w:rFonts w:ascii="Times New Roman" w:hAnsi="Times New Roman"/>
          <w:sz w:val="26"/>
          <w:szCs w:val="26"/>
        </w:rPr>
        <w:lastRenderedPageBreak/>
        <w:t xml:space="preserve">veiktajām investīcijām attiecīgajā periodā. Īpašam mērķim noteiktu bezprocentu valsts vērtspapīru iegādē no 2015.gada 1.janvāra ieguldīti 5,5 milj. </w:t>
      </w:r>
      <w:proofErr w:type="spellStart"/>
      <w:r w:rsidRPr="008C4A16">
        <w:rPr>
          <w:rFonts w:ascii="Times New Roman" w:hAnsi="Times New Roman"/>
          <w:i/>
          <w:sz w:val="26"/>
          <w:szCs w:val="26"/>
        </w:rPr>
        <w:t>euro</w:t>
      </w:r>
      <w:proofErr w:type="spellEnd"/>
      <w:r w:rsidRPr="008C4A16">
        <w:rPr>
          <w:rFonts w:ascii="Times New Roman" w:hAnsi="Times New Roman"/>
          <w:sz w:val="26"/>
          <w:szCs w:val="26"/>
        </w:rPr>
        <w:t xml:space="preserve"> jeb 0,4% no kopējā investīciju apjoma</w:t>
      </w:r>
      <w:r w:rsidRPr="002569BA">
        <w:rPr>
          <w:rFonts w:ascii="Times New Roman" w:hAnsi="Times New Roman"/>
          <w:sz w:val="26"/>
          <w:szCs w:val="26"/>
        </w:rPr>
        <w:t>.</w:t>
      </w:r>
    </w:p>
    <w:p w:rsidR="004D0520" w:rsidRPr="004D0520" w:rsidRDefault="004D0520" w:rsidP="004D0520">
      <w:pPr>
        <w:spacing w:after="120"/>
        <w:jc w:val="right"/>
        <w:rPr>
          <w:rFonts w:ascii="Times New Roman" w:hAnsi="Times New Roman"/>
          <w:sz w:val="24"/>
          <w:szCs w:val="24"/>
        </w:rPr>
      </w:pPr>
      <w:r w:rsidRPr="004D0520">
        <w:rPr>
          <w:rFonts w:ascii="Times New Roman" w:hAnsi="Times New Roman"/>
          <w:sz w:val="24"/>
          <w:szCs w:val="24"/>
        </w:rPr>
        <w:t>1.tabula</w:t>
      </w:r>
    </w:p>
    <w:p w:rsidR="004D0520" w:rsidRPr="004D0520" w:rsidRDefault="004D0520" w:rsidP="004D0520">
      <w:pPr>
        <w:spacing w:after="120"/>
        <w:jc w:val="center"/>
        <w:rPr>
          <w:rFonts w:ascii="Times New Roman" w:hAnsi="Times New Roman"/>
          <w:b/>
          <w:sz w:val="24"/>
          <w:szCs w:val="24"/>
        </w:rPr>
      </w:pPr>
      <w:r w:rsidRPr="004D0520">
        <w:rPr>
          <w:rFonts w:ascii="Times New Roman" w:hAnsi="Times New Roman"/>
          <w:b/>
          <w:sz w:val="24"/>
          <w:szCs w:val="24"/>
        </w:rPr>
        <w:t>Kopējais investīciju apjoms (</w:t>
      </w:r>
      <w:proofErr w:type="spellStart"/>
      <w:r w:rsidRPr="004D0520">
        <w:rPr>
          <w:rFonts w:ascii="Times New Roman" w:hAnsi="Times New Roman"/>
          <w:b/>
          <w:i/>
          <w:sz w:val="24"/>
          <w:szCs w:val="24"/>
        </w:rPr>
        <w:t>euro</w:t>
      </w:r>
      <w:proofErr w:type="spellEnd"/>
      <w:r w:rsidRPr="004D0520">
        <w:rPr>
          <w:rFonts w:ascii="Times New Roman" w:hAnsi="Times New Roman"/>
          <w:b/>
          <w:sz w:val="24"/>
          <w:szCs w:val="24"/>
        </w:rPr>
        <w:t>)</w:t>
      </w:r>
    </w:p>
    <w:tbl>
      <w:tblPr>
        <w:tblStyle w:val="LightShading"/>
        <w:tblW w:w="9464" w:type="dxa"/>
        <w:tblInd w:w="-108" w:type="dxa"/>
        <w:tblLook w:val="04A0"/>
      </w:tblPr>
      <w:tblGrid>
        <w:gridCol w:w="1525"/>
        <w:gridCol w:w="1642"/>
        <w:gridCol w:w="1696"/>
        <w:gridCol w:w="1623"/>
        <w:gridCol w:w="1274"/>
        <w:gridCol w:w="1704"/>
      </w:tblGrid>
      <w:tr w:rsidR="004D0520" w:rsidRPr="004D0520" w:rsidTr="00265960">
        <w:trPr>
          <w:cnfStyle w:val="100000000000"/>
        </w:trPr>
        <w:tc>
          <w:tcPr>
            <w:cnfStyle w:val="001000000000"/>
            <w:tcW w:w="1525" w:type="dxa"/>
            <w:vAlign w:val="center"/>
          </w:tcPr>
          <w:p w:rsidR="004D0520" w:rsidRPr="004D0520" w:rsidRDefault="004D0520" w:rsidP="00265960">
            <w:pPr>
              <w:spacing w:after="120"/>
              <w:jc w:val="center"/>
              <w:rPr>
                <w:rFonts w:ascii="Times New Roman" w:hAnsi="Times New Roman"/>
                <w:sz w:val="24"/>
                <w:szCs w:val="24"/>
              </w:rPr>
            </w:pPr>
          </w:p>
        </w:tc>
        <w:tc>
          <w:tcPr>
            <w:tcW w:w="1642" w:type="dxa"/>
            <w:vAlign w:val="center"/>
          </w:tcPr>
          <w:p w:rsidR="004D0520" w:rsidRPr="004D0520" w:rsidRDefault="004D0520" w:rsidP="00265960">
            <w:pPr>
              <w:spacing w:after="120"/>
              <w:jc w:val="center"/>
              <w:cnfStyle w:val="100000000000"/>
              <w:rPr>
                <w:rFonts w:ascii="Times New Roman" w:hAnsi="Times New Roman"/>
                <w:sz w:val="24"/>
                <w:szCs w:val="24"/>
              </w:rPr>
            </w:pPr>
            <w:r w:rsidRPr="004D0520">
              <w:rPr>
                <w:rFonts w:ascii="Times New Roman" w:hAnsi="Times New Roman"/>
                <w:sz w:val="24"/>
                <w:szCs w:val="24"/>
              </w:rPr>
              <w:t>Nekustamie īpašumi</w:t>
            </w:r>
          </w:p>
        </w:tc>
        <w:tc>
          <w:tcPr>
            <w:tcW w:w="1696" w:type="dxa"/>
            <w:vAlign w:val="center"/>
          </w:tcPr>
          <w:p w:rsidR="004D0520" w:rsidRPr="004D0520" w:rsidRDefault="004D0520" w:rsidP="00265960">
            <w:pPr>
              <w:spacing w:after="120"/>
              <w:jc w:val="center"/>
              <w:cnfStyle w:val="100000000000"/>
              <w:rPr>
                <w:rFonts w:ascii="Times New Roman" w:hAnsi="Times New Roman"/>
                <w:sz w:val="24"/>
                <w:szCs w:val="24"/>
              </w:rPr>
            </w:pPr>
            <w:r w:rsidRPr="004D0520">
              <w:rPr>
                <w:rFonts w:ascii="Times New Roman" w:hAnsi="Times New Roman"/>
                <w:sz w:val="24"/>
                <w:szCs w:val="24"/>
              </w:rPr>
              <w:t>Kredītiestādes</w:t>
            </w:r>
          </w:p>
        </w:tc>
        <w:tc>
          <w:tcPr>
            <w:tcW w:w="1623" w:type="dxa"/>
            <w:vAlign w:val="center"/>
          </w:tcPr>
          <w:p w:rsidR="004D0520" w:rsidRPr="004D0520" w:rsidRDefault="004D0520" w:rsidP="00265960">
            <w:pPr>
              <w:spacing w:after="120"/>
              <w:jc w:val="center"/>
              <w:cnfStyle w:val="100000000000"/>
              <w:rPr>
                <w:rFonts w:ascii="Times New Roman" w:hAnsi="Times New Roman"/>
                <w:sz w:val="24"/>
                <w:szCs w:val="24"/>
              </w:rPr>
            </w:pPr>
            <w:proofErr w:type="spellStart"/>
            <w:r w:rsidRPr="004D0520">
              <w:rPr>
                <w:rFonts w:ascii="Times New Roman" w:hAnsi="Times New Roman"/>
                <w:sz w:val="24"/>
                <w:szCs w:val="24"/>
              </w:rPr>
              <w:t>Kapitāl-</w:t>
            </w:r>
            <w:proofErr w:type="spellEnd"/>
          </w:p>
          <w:p w:rsidR="004D0520" w:rsidRPr="004D0520" w:rsidRDefault="004D0520" w:rsidP="00265960">
            <w:pPr>
              <w:spacing w:after="120"/>
              <w:jc w:val="center"/>
              <w:cnfStyle w:val="100000000000"/>
              <w:rPr>
                <w:rFonts w:ascii="Times New Roman" w:hAnsi="Times New Roman"/>
                <w:sz w:val="24"/>
                <w:szCs w:val="24"/>
              </w:rPr>
            </w:pPr>
            <w:r w:rsidRPr="004D0520">
              <w:rPr>
                <w:rFonts w:ascii="Times New Roman" w:hAnsi="Times New Roman"/>
                <w:sz w:val="24"/>
                <w:szCs w:val="24"/>
              </w:rPr>
              <w:t>sabiedrības</w:t>
            </w:r>
          </w:p>
        </w:tc>
        <w:tc>
          <w:tcPr>
            <w:tcW w:w="1274" w:type="dxa"/>
          </w:tcPr>
          <w:p w:rsidR="004D0520" w:rsidRPr="004D0520" w:rsidRDefault="004D0520" w:rsidP="00265960">
            <w:pPr>
              <w:spacing w:after="120"/>
              <w:jc w:val="center"/>
              <w:cnfStyle w:val="100000000000"/>
              <w:rPr>
                <w:rFonts w:ascii="Times New Roman" w:hAnsi="Times New Roman"/>
                <w:sz w:val="24"/>
                <w:szCs w:val="24"/>
              </w:rPr>
            </w:pPr>
            <w:r w:rsidRPr="004D0520">
              <w:rPr>
                <w:rFonts w:ascii="Times New Roman" w:hAnsi="Times New Roman"/>
                <w:sz w:val="24"/>
                <w:szCs w:val="24"/>
              </w:rPr>
              <w:t>Valsts vērts-papīri</w:t>
            </w:r>
          </w:p>
        </w:tc>
        <w:tc>
          <w:tcPr>
            <w:tcW w:w="1704" w:type="dxa"/>
            <w:vAlign w:val="center"/>
          </w:tcPr>
          <w:p w:rsidR="004D0520" w:rsidRPr="004D0520" w:rsidRDefault="004D0520" w:rsidP="00265960">
            <w:pPr>
              <w:spacing w:after="120"/>
              <w:ind w:left="-170" w:firstLine="170"/>
              <w:jc w:val="center"/>
              <w:cnfStyle w:val="100000000000"/>
              <w:rPr>
                <w:rFonts w:ascii="Times New Roman" w:hAnsi="Times New Roman"/>
                <w:sz w:val="24"/>
                <w:szCs w:val="24"/>
              </w:rPr>
            </w:pPr>
            <w:r w:rsidRPr="004D0520">
              <w:rPr>
                <w:rFonts w:ascii="Times New Roman" w:hAnsi="Times New Roman"/>
                <w:sz w:val="24"/>
                <w:szCs w:val="24"/>
              </w:rPr>
              <w:t>Kopā</w:t>
            </w:r>
          </w:p>
        </w:tc>
      </w:tr>
      <w:tr w:rsidR="004D0520" w:rsidRPr="004D0520" w:rsidTr="00265960">
        <w:trPr>
          <w:cnfStyle w:val="000000100000"/>
          <w:trHeight w:val="602"/>
        </w:trPr>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01.07.2010.-31.12.2010.</w:t>
            </w:r>
          </w:p>
        </w:tc>
        <w:tc>
          <w:tcPr>
            <w:tcW w:w="1642"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15 843 266</w:t>
            </w:r>
          </w:p>
        </w:tc>
        <w:tc>
          <w:tcPr>
            <w:tcW w:w="1696"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12 283 072</w:t>
            </w:r>
          </w:p>
        </w:tc>
        <w:tc>
          <w:tcPr>
            <w:tcW w:w="1623"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304 708</w:t>
            </w:r>
          </w:p>
        </w:tc>
        <w:tc>
          <w:tcPr>
            <w:tcW w:w="1274" w:type="dxa"/>
          </w:tcPr>
          <w:p w:rsidR="004D0520" w:rsidRPr="004D0520" w:rsidRDefault="004D0520" w:rsidP="00265960">
            <w:pPr>
              <w:spacing w:after="120"/>
              <w:jc w:val="right"/>
              <w:cnfStyle w:val="0000001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b/>
                <w:bCs/>
                <w:sz w:val="24"/>
                <w:szCs w:val="24"/>
              </w:rPr>
              <w:t>28 431 046</w:t>
            </w:r>
          </w:p>
        </w:tc>
      </w:tr>
      <w:tr w:rsidR="004D0520" w:rsidRPr="004D0520" w:rsidTr="00265960">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2011.</w:t>
            </w:r>
          </w:p>
        </w:tc>
        <w:tc>
          <w:tcPr>
            <w:tcW w:w="1642"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sz w:val="24"/>
                <w:szCs w:val="24"/>
              </w:rPr>
              <w:t xml:space="preserve">138 </w:t>
            </w:r>
            <w:proofErr w:type="spellStart"/>
            <w:r w:rsidRPr="004D0520">
              <w:rPr>
                <w:rFonts w:ascii="Times New Roman" w:hAnsi="Times New Roman"/>
                <w:sz w:val="24"/>
                <w:szCs w:val="24"/>
              </w:rPr>
              <w:t>138</w:t>
            </w:r>
            <w:proofErr w:type="spellEnd"/>
            <w:r w:rsidRPr="004D0520">
              <w:rPr>
                <w:rFonts w:ascii="Times New Roman" w:hAnsi="Times New Roman"/>
                <w:sz w:val="24"/>
                <w:szCs w:val="24"/>
              </w:rPr>
              <w:t xml:space="preserve"> 077</w:t>
            </w:r>
          </w:p>
        </w:tc>
        <w:tc>
          <w:tcPr>
            <w:tcW w:w="1696"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sz w:val="24"/>
                <w:szCs w:val="24"/>
              </w:rPr>
              <w:t>35 063 985</w:t>
            </w:r>
          </w:p>
        </w:tc>
        <w:tc>
          <w:tcPr>
            <w:tcW w:w="1623"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sz w:val="24"/>
                <w:szCs w:val="24"/>
              </w:rPr>
              <w:t>3 641 314</w:t>
            </w:r>
          </w:p>
        </w:tc>
        <w:tc>
          <w:tcPr>
            <w:tcW w:w="1274" w:type="dxa"/>
          </w:tcPr>
          <w:p w:rsidR="004D0520" w:rsidRPr="004D0520" w:rsidRDefault="004D0520" w:rsidP="00265960">
            <w:pPr>
              <w:spacing w:after="120"/>
              <w:jc w:val="right"/>
              <w:cnfStyle w:val="0000000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b/>
                <w:bCs/>
                <w:sz w:val="24"/>
                <w:szCs w:val="24"/>
              </w:rPr>
              <w:t>176 740 375</w:t>
            </w:r>
          </w:p>
        </w:tc>
      </w:tr>
      <w:tr w:rsidR="004D0520" w:rsidRPr="004D0520" w:rsidTr="00265960">
        <w:trPr>
          <w:cnfStyle w:val="000000100000"/>
        </w:trPr>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2012.</w:t>
            </w:r>
          </w:p>
        </w:tc>
        <w:tc>
          <w:tcPr>
            <w:tcW w:w="1642"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207 650 436</w:t>
            </w:r>
          </w:p>
        </w:tc>
        <w:tc>
          <w:tcPr>
            <w:tcW w:w="1696"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28 474 027</w:t>
            </w:r>
          </w:p>
        </w:tc>
        <w:tc>
          <w:tcPr>
            <w:tcW w:w="1623"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13 335 101</w:t>
            </w:r>
          </w:p>
        </w:tc>
        <w:tc>
          <w:tcPr>
            <w:tcW w:w="1274" w:type="dxa"/>
          </w:tcPr>
          <w:p w:rsidR="004D0520" w:rsidRPr="004D0520" w:rsidRDefault="004D0520" w:rsidP="00265960">
            <w:pPr>
              <w:spacing w:after="120"/>
              <w:jc w:val="right"/>
              <w:cnfStyle w:val="0000001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b/>
                <w:bCs/>
                <w:sz w:val="24"/>
                <w:szCs w:val="24"/>
              </w:rPr>
              <w:t>249 860 274</w:t>
            </w:r>
          </w:p>
        </w:tc>
      </w:tr>
      <w:tr w:rsidR="004D0520" w:rsidRPr="004D0520" w:rsidTr="00265960">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2013.</w:t>
            </w:r>
          </w:p>
        </w:tc>
        <w:tc>
          <w:tcPr>
            <w:tcW w:w="1642" w:type="dxa"/>
          </w:tcPr>
          <w:p w:rsidR="004D0520" w:rsidRPr="004D0520" w:rsidRDefault="004D0520" w:rsidP="00265960">
            <w:pPr>
              <w:spacing w:after="120"/>
              <w:jc w:val="right"/>
              <w:cnfStyle w:val="000000000000"/>
              <w:rPr>
                <w:rFonts w:ascii="Times New Roman" w:hAnsi="Times New Roman"/>
                <w:sz w:val="24"/>
                <w:szCs w:val="24"/>
              </w:rPr>
            </w:pPr>
            <w:r w:rsidRPr="004D0520">
              <w:rPr>
                <w:rFonts w:ascii="Times New Roman" w:hAnsi="Times New Roman"/>
                <w:sz w:val="24"/>
                <w:szCs w:val="24"/>
              </w:rPr>
              <w:t>296 582 883</w:t>
            </w:r>
          </w:p>
        </w:tc>
        <w:tc>
          <w:tcPr>
            <w:tcW w:w="1696"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sz w:val="24"/>
                <w:szCs w:val="24"/>
              </w:rPr>
              <w:t>34 105 828</w:t>
            </w:r>
          </w:p>
        </w:tc>
        <w:tc>
          <w:tcPr>
            <w:tcW w:w="1623"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sz w:val="24"/>
                <w:szCs w:val="24"/>
              </w:rPr>
              <w:t>29 300 291</w:t>
            </w:r>
          </w:p>
        </w:tc>
        <w:tc>
          <w:tcPr>
            <w:tcW w:w="1274" w:type="dxa"/>
          </w:tcPr>
          <w:p w:rsidR="004D0520" w:rsidRPr="004D0520" w:rsidRDefault="004D0520" w:rsidP="00265960">
            <w:pPr>
              <w:spacing w:after="120"/>
              <w:jc w:val="right"/>
              <w:cnfStyle w:val="0000000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b/>
                <w:bCs/>
                <w:sz w:val="24"/>
                <w:szCs w:val="24"/>
              </w:rPr>
              <w:t xml:space="preserve">359 982 003 </w:t>
            </w:r>
          </w:p>
        </w:tc>
      </w:tr>
      <w:tr w:rsidR="004D0520" w:rsidRPr="004D0520" w:rsidTr="00265960">
        <w:trPr>
          <w:cnfStyle w:val="000000100000"/>
        </w:trPr>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2014.</w:t>
            </w:r>
          </w:p>
        </w:tc>
        <w:tc>
          <w:tcPr>
            <w:tcW w:w="1642" w:type="dxa"/>
          </w:tcPr>
          <w:p w:rsidR="004D0520" w:rsidRPr="004D0520" w:rsidRDefault="004D0520" w:rsidP="00265960">
            <w:pPr>
              <w:spacing w:after="120"/>
              <w:jc w:val="right"/>
              <w:cnfStyle w:val="000000100000"/>
              <w:rPr>
                <w:rFonts w:ascii="Times New Roman" w:hAnsi="Times New Roman"/>
                <w:sz w:val="24"/>
                <w:szCs w:val="24"/>
              </w:rPr>
            </w:pPr>
            <w:r w:rsidRPr="004D0520">
              <w:rPr>
                <w:rFonts w:ascii="Times New Roman" w:hAnsi="Times New Roman"/>
                <w:sz w:val="24"/>
                <w:szCs w:val="24"/>
              </w:rPr>
              <w:t>397 314 888</w:t>
            </w:r>
          </w:p>
        </w:tc>
        <w:tc>
          <w:tcPr>
            <w:tcW w:w="1696"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31 328 218</w:t>
            </w:r>
          </w:p>
        </w:tc>
        <w:tc>
          <w:tcPr>
            <w:tcW w:w="1623"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sz w:val="24"/>
                <w:szCs w:val="24"/>
              </w:rPr>
              <w:t>18 825 495</w:t>
            </w:r>
          </w:p>
        </w:tc>
        <w:tc>
          <w:tcPr>
            <w:tcW w:w="1274" w:type="dxa"/>
          </w:tcPr>
          <w:p w:rsidR="004D0520" w:rsidRPr="004D0520" w:rsidRDefault="004D0520" w:rsidP="00265960">
            <w:pPr>
              <w:spacing w:after="120"/>
              <w:jc w:val="right"/>
              <w:cnfStyle w:val="000000100000"/>
              <w:rPr>
                <w:rFonts w:ascii="Times New Roman" w:hAnsi="Times New Roman"/>
                <w:bCs/>
                <w:sz w:val="24"/>
                <w:szCs w:val="24"/>
              </w:rPr>
            </w:pPr>
            <w:r w:rsidRPr="004D0520">
              <w:rPr>
                <w:rFonts w:ascii="Times New Roman" w:hAnsi="Times New Roman"/>
                <w:bCs/>
                <w:sz w:val="24"/>
                <w:szCs w:val="24"/>
              </w:rPr>
              <w:t>-</w:t>
            </w:r>
          </w:p>
        </w:tc>
        <w:tc>
          <w:tcPr>
            <w:tcW w:w="1704" w:type="dxa"/>
          </w:tcPr>
          <w:p w:rsidR="004D0520" w:rsidRPr="004D0520" w:rsidRDefault="004D0520" w:rsidP="00265960">
            <w:pPr>
              <w:spacing w:after="120"/>
              <w:jc w:val="right"/>
              <w:cnfStyle w:val="000000100000"/>
              <w:rPr>
                <w:rFonts w:ascii="Times New Roman" w:hAnsi="Times New Roman"/>
                <w:b/>
                <w:sz w:val="24"/>
                <w:szCs w:val="24"/>
              </w:rPr>
            </w:pPr>
            <w:r w:rsidRPr="004D0520">
              <w:rPr>
                <w:rFonts w:ascii="Times New Roman" w:hAnsi="Times New Roman"/>
                <w:b/>
                <w:bCs/>
                <w:sz w:val="24"/>
                <w:szCs w:val="24"/>
              </w:rPr>
              <w:t>447 468 601</w:t>
            </w:r>
          </w:p>
        </w:tc>
      </w:tr>
      <w:tr w:rsidR="004D0520" w:rsidRPr="004D0520" w:rsidTr="00265960">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2015.</w:t>
            </w:r>
          </w:p>
        </w:tc>
        <w:tc>
          <w:tcPr>
            <w:tcW w:w="1642" w:type="dxa"/>
          </w:tcPr>
          <w:p w:rsidR="004D0520" w:rsidRPr="004D0520" w:rsidRDefault="004D0520" w:rsidP="00265960">
            <w:pPr>
              <w:spacing w:after="120"/>
              <w:jc w:val="right"/>
              <w:cnfStyle w:val="000000000000"/>
              <w:rPr>
                <w:rFonts w:ascii="Times New Roman" w:hAnsi="Times New Roman"/>
                <w:sz w:val="24"/>
                <w:szCs w:val="24"/>
              </w:rPr>
            </w:pPr>
            <w:r w:rsidRPr="004D0520">
              <w:rPr>
                <w:rFonts w:ascii="Times New Roman" w:hAnsi="Times New Roman"/>
                <w:sz w:val="24"/>
                <w:szCs w:val="24"/>
              </w:rPr>
              <w:t>72 843 662</w:t>
            </w:r>
          </w:p>
        </w:tc>
        <w:tc>
          <w:tcPr>
            <w:tcW w:w="1696" w:type="dxa"/>
          </w:tcPr>
          <w:p w:rsidR="004D0520" w:rsidRPr="004D0520" w:rsidRDefault="004D0520" w:rsidP="00265960">
            <w:pPr>
              <w:spacing w:after="120"/>
              <w:jc w:val="right"/>
              <w:cnfStyle w:val="000000000000"/>
              <w:rPr>
                <w:rFonts w:ascii="Times New Roman" w:hAnsi="Times New Roman"/>
                <w:sz w:val="24"/>
                <w:szCs w:val="24"/>
              </w:rPr>
            </w:pPr>
            <w:r w:rsidRPr="004D0520">
              <w:rPr>
                <w:rFonts w:ascii="Times New Roman" w:hAnsi="Times New Roman"/>
                <w:sz w:val="24"/>
                <w:szCs w:val="24"/>
              </w:rPr>
              <w:t>8 961 650</w:t>
            </w:r>
          </w:p>
        </w:tc>
        <w:tc>
          <w:tcPr>
            <w:tcW w:w="1623" w:type="dxa"/>
          </w:tcPr>
          <w:p w:rsidR="004D0520" w:rsidRPr="004D0520" w:rsidRDefault="004D0520" w:rsidP="00265960">
            <w:pPr>
              <w:spacing w:after="120"/>
              <w:jc w:val="right"/>
              <w:cnfStyle w:val="000000000000"/>
              <w:rPr>
                <w:rFonts w:ascii="Times New Roman" w:hAnsi="Times New Roman"/>
                <w:sz w:val="24"/>
                <w:szCs w:val="24"/>
              </w:rPr>
            </w:pPr>
            <w:r w:rsidRPr="004D0520">
              <w:rPr>
                <w:rFonts w:ascii="Times New Roman" w:hAnsi="Times New Roman"/>
                <w:sz w:val="24"/>
                <w:szCs w:val="24"/>
              </w:rPr>
              <w:t>7 433 447</w:t>
            </w:r>
          </w:p>
        </w:tc>
        <w:tc>
          <w:tcPr>
            <w:tcW w:w="1274" w:type="dxa"/>
          </w:tcPr>
          <w:p w:rsidR="004D0520" w:rsidRPr="004D0520" w:rsidRDefault="004D0520" w:rsidP="00265960">
            <w:pPr>
              <w:spacing w:after="120"/>
              <w:jc w:val="right"/>
              <w:cnfStyle w:val="000000000000"/>
              <w:rPr>
                <w:rFonts w:ascii="Times New Roman" w:hAnsi="Times New Roman"/>
                <w:bCs/>
                <w:sz w:val="24"/>
                <w:szCs w:val="24"/>
              </w:rPr>
            </w:pPr>
            <w:r w:rsidRPr="004D0520">
              <w:rPr>
                <w:rFonts w:ascii="Times New Roman" w:hAnsi="Times New Roman"/>
                <w:bCs/>
                <w:sz w:val="24"/>
                <w:szCs w:val="24"/>
              </w:rPr>
              <w:t>3 500 000</w:t>
            </w:r>
          </w:p>
        </w:tc>
        <w:tc>
          <w:tcPr>
            <w:tcW w:w="1704" w:type="dxa"/>
          </w:tcPr>
          <w:p w:rsidR="004D0520" w:rsidRPr="004D0520" w:rsidRDefault="004D0520" w:rsidP="00265960">
            <w:pPr>
              <w:spacing w:after="120"/>
              <w:jc w:val="right"/>
              <w:cnfStyle w:val="000000000000"/>
              <w:rPr>
                <w:rFonts w:ascii="Times New Roman" w:hAnsi="Times New Roman"/>
                <w:b/>
                <w:bCs/>
                <w:sz w:val="24"/>
                <w:szCs w:val="24"/>
              </w:rPr>
            </w:pPr>
          </w:p>
        </w:tc>
      </w:tr>
      <w:tr w:rsidR="004D0520" w:rsidRPr="004D0520" w:rsidTr="00265960">
        <w:trPr>
          <w:cnfStyle w:val="000000100000"/>
        </w:trPr>
        <w:tc>
          <w:tcPr>
            <w:cnfStyle w:val="001000000000"/>
            <w:tcW w:w="1525" w:type="dxa"/>
          </w:tcPr>
          <w:p w:rsidR="004D0520" w:rsidRPr="004D0520" w:rsidRDefault="004D0520" w:rsidP="00265960">
            <w:pPr>
              <w:spacing w:after="120"/>
              <w:jc w:val="center"/>
              <w:rPr>
                <w:rFonts w:ascii="Times New Roman" w:hAnsi="Times New Roman"/>
                <w:b w:val="0"/>
                <w:sz w:val="24"/>
                <w:szCs w:val="24"/>
              </w:rPr>
            </w:pPr>
            <w:r w:rsidRPr="004D0520">
              <w:rPr>
                <w:rFonts w:ascii="Times New Roman" w:hAnsi="Times New Roman"/>
                <w:b w:val="0"/>
                <w:sz w:val="24"/>
                <w:szCs w:val="24"/>
              </w:rPr>
              <w:t>01.01.2016.-30.06.2016.</w:t>
            </w:r>
          </w:p>
        </w:tc>
        <w:tc>
          <w:tcPr>
            <w:tcW w:w="1642" w:type="dxa"/>
          </w:tcPr>
          <w:p w:rsidR="004D0520" w:rsidRPr="004D0520" w:rsidRDefault="004D0520" w:rsidP="00265960">
            <w:pPr>
              <w:spacing w:after="120"/>
              <w:jc w:val="right"/>
              <w:cnfStyle w:val="000000100000"/>
              <w:rPr>
                <w:rFonts w:ascii="Times New Roman" w:hAnsi="Times New Roman"/>
                <w:sz w:val="24"/>
                <w:szCs w:val="24"/>
              </w:rPr>
            </w:pPr>
            <w:r w:rsidRPr="004D0520">
              <w:rPr>
                <w:rFonts w:ascii="Times New Roman" w:hAnsi="Times New Roman"/>
                <w:sz w:val="24"/>
                <w:szCs w:val="24"/>
              </w:rPr>
              <w:t>25 816 633</w:t>
            </w:r>
          </w:p>
        </w:tc>
        <w:tc>
          <w:tcPr>
            <w:tcW w:w="1696" w:type="dxa"/>
          </w:tcPr>
          <w:p w:rsidR="004D0520" w:rsidRPr="004D0520" w:rsidRDefault="004D0520" w:rsidP="00265960">
            <w:pPr>
              <w:spacing w:after="120"/>
              <w:jc w:val="right"/>
              <w:cnfStyle w:val="000000100000"/>
              <w:rPr>
                <w:rFonts w:ascii="Times New Roman" w:hAnsi="Times New Roman"/>
                <w:sz w:val="24"/>
                <w:szCs w:val="24"/>
              </w:rPr>
            </w:pPr>
            <w:r w:rsidRPr="004D0520">
              <w:rPr>
                <w:rFonts w:ascii="Times New Roman" w:hAnsi="Times New Roman"/>
                <w:sz w:val="24"/>
                <w:szCs w:val="24"/>
              </w:rPr>
              <w:t>2 677 650</w:t>
            </w:r>
          </w:p>
        </w:tc>
        <w:tc>
          <w:tcPr>
            <w:tcW w:w="1623" w:type="dxa"/>
          </w:tcPr>
          <w:p w:rsidR="004D0520" w:rsidRPr="004D0520" w:rsidRDefault="004D0520" w:rsidP="00265960">
            <w:pPr>
              <w:spacing w:after="120"/>
              <w:jc w:val="right"/>
              <w:cnfStyle w:val="000000100000"/>
              <w:rPr>
                <w:rFonts w:ascii="Times New Roman" w:hAnsi="Times New Roman"/>
                <w:sz w:val="24"/>
                <w:szCs w:val="24"/>
              </w:rPr>
            </w:pPr>
            <w:r w:rsidRPr="004D0520">
              <w:rPr>
                <w:rFonts w:ascii="Times New Roman" w:hAnsi="Times New Roman"/>
                <w:sz w:val="24"/>
                <w:szCs w:val="24"/>
              </w:rPr>
              <w:t>2 510 408</w:t>
            </w:r>
          </w:p>
        </w:tc>
        <w:tc>
          <w:tcPr>
            <w:tcW w:w="1274" w:type="dxa"/>
          </w:tcPr>
          <w:p w:rsidR="004D0520" w:rsidRPr="004D0520" w:rsidRDefault="004D0520" w:rsidP="00265960">
            <w:pPr>
              <w:spacing w:after="120"/>
              <w:jc w:val="right"/>
              <w:cnfStyle w:val="000000100000"/>
              <w:rPr>
                <w:rFonts w:ascii="Times New Roman" w:hAnsi="Times New Roman"/>
                <w:bCs/>
                <w:sz w:val="24"/>
                <w:szCs w:val="24"/>
              </w:rPr>
            </w:pPr>
            <w:r w:rsidRPr="004D0520">
              <w:rPr>
                <w:rFonts w:ascii="Times New Roman" w:hAnsi="Times New Roman"/>
                <w:bCs/>
                <w:sz w:val="24"/>
                <w:szCs w:val="24"/>
              </w:rPr>
              <w:t xml:space="preserve">2 000 </w:t>
            </w:r>
            <w:proofErr w:type="spellStart"/>
            <w:r w:rsidRPr="004D0520">
              <w:rPr>
                <w:rFonts w:ascii="Times New Roman" w:hAnsi="Times New Roman"/>
                <w:bCs/>
                <w:sz w:val="24"/>
                <w:szCs w:val="24"/>
              </w:rPr>
              <w:t>000</w:t>
            </w:r>
            <w:proofErr w:type="spellEnd"/>
          </w:p>
        </w:tc>
        <w:tc>
          <w:tcPr>
            <w:tcW w:w="1704" w:type="dxa"/>
          </w:tcPr>
          <w:p w:rsidR="004D0520" w:rsidRPr="004D0520" w:rsidRDefault="004D0520" w:rsidP="00265960">
            <w:pPr>
              <w:spacing w:after="120"/>
              <w:jc w:val="right"/>
              <w:cnfStyle w:val="000000100000"/>
              <w:rPr>
                <w:rFonts w:ascii="Times New Roman" w:hAnsi="Times New Roman"/>
                <w:b/>
                <w:bCs/>
                <w:sz w:val="24"/>
                <w:szCs w:val="24"/>
              </w:rPr>
            </w:pPr>
            <w:r w:rsidRPr="004D0520">
              <w:rPr>
                <w:rFonts w:ascii="Times New Roman" w:hAnsi="Times New Roman"/>
                <w:b/>
                <w:bCs/>
                <w:sz w:val="24"/>
                <w:szCs w:val="24"/>
              </w:rPr>
              <w:t>50 844 920</w:t>
            </w:r>
          </w:p>
        </w:tc>
      </w:tr>
      <w:tr w:rsidR="004D0520" w:rsidRPr="004D0520" w:rsidTr="00265960">
        <w:trPr>
          <w:trHeight w:val="453"/>
        </w:trPr>
        <w:tc>
          <w:tcPr>
            <w:cnfStyle w:val="001000000000"/>
            <w:tcW w:w="1525" w:type="dxa"/>
          </w:tcPr>
          <w:p w:rsidR="004D0520" w:rsidRPr="004D0520" w:rsidRDefault="004D0520" w:rsidP="00265960">
            <w:pPr>
              <w:spacing w:after="120"/>
              <w:jc w:val="center"/>
              <w:rPr>
                <w:rFonts w:ascii="Times New Roman" w:hAnsi="Times New Roman"/>
                <w:sz w:val="24"/>
                <w:szCs w:val="24"/>
              </w:rPr>
            </w:pPr>
            <w:r w:rsidRPr="004D0520">
              <w:rPr>
                <w:rFonts w:ascii="Times New Roman" w:hAnsi="Times New Roman"/>
                <w:sz w:val="24"/>
                <w:szCs w:val="24"/>
              </w:rPr>
              <w:t>Kopā</w:t>
            </w:r>
          </w:p>
        </w:tc>
        <w:tc>
          <w:tcPr>
            <w:tcW w:w="1642" w:type="dxa"/>
          </w:tcPr>
          <w:p w:rsidR="004D0520" w:rsidRPr="004D0520" w:rsidRDefault="004D0520" w:rsidP="00265960">
            <w:pPr>
              <w:spacing w:after="120"/>
              <w:jc w:val="right"/>
              <w:cnfStyle w:val="000000000000"/>
              <w:rPr>
                <w:rFonts w:ascii="Times New Roman" w:hAnsi="Times New Roman"/>
                <w:b/>
                <w:bCs/>
                <w:sz w:val="24"/>
                <w:szCs w:val="24"/>
              </w:rPr>
            </w:pPr>
            <w:r w:rsidRPr="004D0520">
              <w:rPr>
                <w:rFonts w:ascii="Times New Roman" w:hAnsi="Times New Roman"/>
                <w:b/>
                <w:bCs/>
                <w:sz w:val="24"/>
                <w:szCs w:val="24"/>
              </w:rPr>
              <w:t>1 154 189 844</w:t>
            </w:r>
          </w:p>
        </w:tc>
        <w:tc>
          <w:tcPr>
            <w:tcW w:w="1696" w:type="dxa"/>
          </w:tcPr>
          <w:p w:rsidR="004D0520" w:rsidRPr="004D0520" w:rsidRDefault="004D0520" w:rsidP="00265960">
            <w:pPr>
              <w:spacing w:after="120"/>
              <w:jc w:val="right"/>
              <w:cnfStyle w:val="000000000000"/>
              <w:rPr>
                <w:rFonts w:ascii="Times New Roman" w:hAnsi="Times New Roman"/>
                <w:b/>
                <w:bCs/>
                <w:sz w:val="24"/>
                <w:szCs w:val="24"/>
              </w:rPr>
            </w:pPr>
            <w:r w:rsidRPr="004D0520">
              <w:rPr>
                <w:rFonts w:ascii="Times New Roman" w:hAnsi="Times New Roman"/>
                <w:b/>
                <w:bCs/>
                <w:sz w:val="24"/>
                <w:szCs w:val="24"/>
              </w:rPr>
              <w:t>152 894 509</w:t>
            </w:r>
          </w:p>
        </w:tc>
        <w:tc>
          <w:tcPr>
            <w:tcW w:w="1623" w:type="dxa"/>
          </w:tcPr>
          <w:p w:rsidR="004D0520" w:rsidRPr="004D0520" w:rsidRDefault="004D0520" w:rsidP="00265960">
            <w:pPr>
              <w:spacing w:after="120"/>
              <w:jc w:val="right"/>
              <w:cnfStyle w:val="000000000000"/>
              <w:rPr>
                <w:rFonts w:ascii="Times New Roman" w:hAnsi="Times New Roman"/>
                <w:b/>
                <w:bCs/>
                <w:sz w:val="24"/>
                <w:szCs w:val="24"/>
              </w:rPr>
            </w:pPr>
            <w:r w:rsidRPr="004D0520">
              <w:rPr>
                <w:rFonts w:ascii="Times New Roman" w:hAnsi="Times New Roman"/>
                <w:b/>
                <w:bCs/>
                <w:sz w:val="24"/>
                <w:szCs w:val="24"/>
              </w:rPr>
              <w:t>75 350 764</w:t>
            </w:r>
          </w:p>
        </w:tc>
        <w:tc>
          <w:tcPr>
            <w:tcW w:w="1274" w:type="dxa"/>
          </w:tcPr>
          <w:p w:rsidR="004D0520" w:rsidRPr="004D0520" w:rsidRDefault="004D0520" w:rsidP="00265960">
            <w:pPr>
              <w:spacing w:after="120"/>
              <w:jc w:val="right"/>
              <w:cnfStyle w:val="000000000000"/>
              <w:rPr>
                <w:rFonts w:ascii="Times New Roman" w:hAnsi="Times New Roman"/>
                <w:b/>
                <w:bCs/>
                <w:sz w:val="24"/>
                <w:szCs w:val="24"/>
              </w:rPr>
            </w:pPr>
            <w:r w:rsidRPr="004D0520">
              <w:rPr>
                <w:rFonts w:ascii="Times New Roman" w:hAnsi="Times New Roman"/>
                <w:b/>
                <w:bCs/>
                <w:sz w:val="24"/>
                <w:szCs w:val="24"/>
              </w:rPr>
              <w:t>5 500 000</w:t>
            </w:r>
          </w:p>
        </w:tc>
        <w:tc>
          <w:tcPr>
            <w:tcW w:w="1704" w:type="dxa"/>
          </w:tcPr>
          <w:p w:rsidR="004D0520" w:rsidRPr="004D0520" w:rsidRDefault="004D0520" w:rsidP="00265960">
            <w:pPr>
              <w:spacing w:after="120"/>
              <w:jc w:val="right"/>
              <w:cnfStyle w:val="000000000000"/>
              <w:rPr>
                <w:rFonts w:ascii="Times New Roman" w:hAnsi="Times New Roman"/>
                <w:b/>
                <w:sz w:val="24"/>
                <w:szCs w:val="24"/>
              </w:rPr>
            </w:pPr>
            <w:r w:rsidRPr="004D0520">
              <w:rPr>
                <w:rFonts w:ascii="Times New Roman" w:hAnsi="Times New Roman"/>
                <w:b/>
                <w:bCs/>
                <w:sz w:val="24"/>
                <w:szCs w:val="24"/>
              </w:rPr>
              <w:t>1 387 935 116</w:t>
            </w:r>
          </w:p>
        </w:tc>
      </w:tr>
    </w:tbl>
    <w:p w:rsidR="00AB3AEF" w:rsidRPr="004D0520" w:rsidRDefault="004D0520" w:rsidP="004D0520">
      <w:pPr>
        <w:spacing w:after="120" w:line="240" w:lineRule="auto"/>
        <w:jc w:val="both"/>
        <w:rPr>
          <w:rFonts w:ascii="Times New Roman" w:hAnsi="Times New Roman"/>
          <w:sz w:val="24"/>
          <w:szCs w:val="24"/>
        </w:rPr>
      </w:pPr>
      <w:r w:rsidRPr="004D0520">
        <w:rPr>
          <w:rFonts w:ascii="Times New Roman" w:hAnsi="Times New Roman"/>
          <w:i/>
          <w:sz w:val="24"/>
          <w:szCs w:val="24"/>
        </w:rPr>
        <w:t>Avots: PMLP</w:t>
      </w:r>
      <w:r w:rsidR="00AB3AEF" w:rsidRPr="004D0520">
        <w:rPr>
          <w:rFonts w:ascii="Times New Roman" w:hAnsi="Times New Roman"/>
          <w:sz w:val="24"/>
          <w:szCs w:val="24"/>
        </w:rPr>
        <w:tab/>
      </w:r>
    </w:p>
    <w:p w:rsidR="00AB3AEF" w:rsidRDefault="00AB3AEF" w:rsidP="00D22CD2">
      <w:pPr>
        <w:spacing w:after="120" w:line="240" w:lineRule="auto"/>
        <w:ind w:firstLine="567"/>
        <w:jc w:val="both"/>
        <w:rPr>
          <w:rFonts w:ascii="Times New Roman" w:hAnsi="Times New Roman"/>
          <w:sz w:val="26"/>
          <w:szCs w:val="26"/>
        </w:rPr>
      </w:pPr>
      <w:r w:rsidRPr="00FD3346">
        <w:rPr>
          <w:rFonts w:ascii="Times New Roman" w:hAnsi="Times New Roman"/>
          <w:sz w:val="26"/>
          <w:szCs w:val="26"/>
        </w:rPr>
        <w:t xml:space="preserve">No 2010.gada 1.jūlija līdz 2014.gadam ik gadu ir novērojams investīciju kopējā apjoma palielinājums, bet sākot no 2014.gada vērojams investīciju samazinājums. Investīciju samazinājums saistīts ar veiktajiem grozījumiem Imigrācijas likumā, kas no 2014.gada 1.janvāra paredzēja ierobežot ieguldītāju skaitu mazajos uzņēmumos, kā arī noteica to, ka tikai tiem ieguldītājiem, kas investējuši 150 000 </w:t>
      </w:r>
      <w:proofErr w:type="spellStart"/>
      <w:r w:rsidRPr="00FD3346">
        <w:rPr>
          <w:rFonts w:ascii="Times New Roman" w:hAnsi="Times New Roman"/>
          <w:i/>
          <w:sz w:val="26"/>
          <w:szCs w:val="26"/>
        </w:rPr>
        <w:t>euro</w:t>
      </w:r>
      <w:proofErr w:type="spellEnd"/>
      <w:r w:rsidRPr="00FD3346">
        <w:rPr>
          <w:rFonts w:ascii="Times New Roman" w:hAnsi="Times New Roman"/>
          <w:i/>
          <w:sz w:val="26"/>
          <w:szCs w:val="26"/>
        </w:rPr>
        <w:t xml:space="preserve"> </w:t>
      </w:r>
      <w:r w:rsidRPr="00FD3346">
        <w:rPr>
          <w:rFonts w:ascii="Times New Roman" w:hAnsi="Times New Roman"/>
          <w:sz w:val="26"/>
          <w:szCs w:val="26"/>
        </w:rPr>
        <w:t xml:space="preserve">kapitālsabiedrībā, kas nodarbina vairāk nekā 50 darbinieku un kuras gada bilance vai apgrozījums pārsniedz 10 milj. </w:t>
      </w:r>
      <w:proofErr w:type="spellStart"/>
      <w:r w:rsidRPr="00FD3346">
        <w:rPr>
          <w:rFonts w:ascii="Times New Roman" w:hAnsi="Times New Roman"/>
          <w:i/>
          <w:sz w:val="26"/>
          <w:szCs w:val="26"/>
        </w:rPr>
        <w:t>euro</w:t>
      </w:r>
      <w:proofErr w:type="spellEnd"/>
      <w:r w:rsidRPr="00FD3346">
        <w:rPr>
          <w:rFonts w:ascii="Times New Roman" w:hAnsi="Times New Roman"/>
          <w:i/>
          <w:sz w:val="26"/>
          <w:szCs w:val="26"/>
        </w:rPr>
        <w:t xml:space="preserve">, </w:t>
      </w:r>
      <w:r w:rsidRPr="00FD3346">
        <w:rPr>
          <w:rFonts w:ascii="Times New Roman" w:hAnsi="Times New Roman"/>
          <w:sz w:val="26"/>
          <w:szCs w:val="26"/>
        </w:rPr>
        <w:t xml:space="preserve">netiek veikta nodokļu nomaksas pārbaude. 2015.gadā ieguldījumu apjoms būtiski samazinājies visos investīciju veidos, </w:t>
      </w:r>
      <w:r w:rsidR="00034C68">
        <w:rPr>
          <w:rFonts w:ascii="Times New Roman" w:hAnsi="Times New Roman"/>
          <w:sz w:val="26"/>
          <w:szCs w:val="26"/>
        </w:rPr>
        <w:t>atskaitot valsts vērtspapīru iegādi, kas ir jauns TUA saņemšanas veids (kopš 2015.gada 1.janvāra)</w:t>
      </w:r>
      <w:r w:rsidRPr="00FD3346">
        <w:rPr>
          <w:rFonts w:ascii="Times New Roman" w:hAnsi="Times New Roman"/>
          <w:sz w:val="26"/>
          <w:szCs w:val="26"/>
        </w:rPr>
        <w:t>.</w:t>
      </w:r>
    </w:p>
    <w:p w:rsidR="00AB3AEF" w:rsidRPr="00D22862" w:rsidRDefault="00AB3AEF" w:rsidP="00D22CD2">
      <w:pPr>
        <w:spacing w:after="120" w:line="240" w:lineRule="auto"/>
        <w:ind w:firstLine="567"/>
        <w:jc w:val="both"/>
        <w:rPr>
          <w:rFonts w:ascii="Times New Roman" w:hAnsi="Times New Roman"/>
          <w:sz w:val="26"/>
          <w:szCs w:val="26"/>
        </w:rPr>
      </w:pPr>
      <w:r w:rsidRPr="00D22862">
        <w:rPr>
          <w:rFonts w:ascii="Times New Roman" w:hAnsi="Times New Roman"/>
          <w:sz w:val="26"/>
          <w:szCs w:val="26"/>
        </w:rPr>
        <w:t xml:space="preserve">Pirmreizēji izsniegto TUA palielinājums līdz 2014.gadam galvenokārt saistīts ar 2010.gada 1.jūlijā Imigrācijas likumā veiktajiem grozījumiem, kas paredzēja ieviest investīciju programmu </w:t>
      </w:r>
      <w:r w:rsidRPr="000457DF">
        <w:rPr>
          <w:rFonts w:ascii="Times New Roman" w:hAnsi="Times New Roman"/>
          <w:sz w:val="26"/>
          <w:szCs w:val="26"/>
        </w:rPr>
        <w:t>(skatīt pielikumu Nr.7).</w:t>
      </w:r>
      <w:r w:rsidRPr="00D22862">
        <w:rPr>
          <w:rFonts w:ascii="Times New Roman" w:hAnsi="Times New Roman"/>
          <w:sz w:val="26"/>
          <w:szCs w:val="26"/>
        </w:rPr>
        <w:t xml:space="preserve"> Līdz ar veiktajām izmaiņām strauji palielinājās arī pirmreizēji izsniegto TUA skaits – 2011.gadā tika izsniegtas 4 824 pirmreizējās TUA, 2012.gadā – 6 365, 2013.gadā – 8 170, bet 2014.gadā – 10 504. Sākot no 2014.gada 1.septembra vērojams ievērojams kritums gan TUA pieteikumu skaitā, gan arī ar pirmreizējiem TUA saistīto investīciju kopapjomā. 2015.gadā ir izsniegtas 5 682 pirmreizējās TUA, bet 2016.gada pirmajā pusgadā </w:t>
      </w:r>
      <w:r>
        <w:rPr>
          <w:rFonts w:ascii="Times New Roman" w:hAnsi="Times New Roman"/>
          <w:sz w:val="26"/>
          <w:szCs w:val="26"/>
        </w:rPr>
        <w:t>–</w:t>
      </w:r>
      <w:r w:rsidRPr="00D22862">
        <w:rPr>
          <w:rFonts w:ascii="Times New Roman" w:hAnsi="Times New Roman"/>
          <w:sz w:val="26"/>
          <w:szCs w:val="26"/>
        </w:rPr>
        <w:t xml:space="preserve"> 2</w:t>
      </w:r>
      <w:r>
        <w:rPr>
          <w:rFonts w:ascii="Times New Roman" w:hAnsi="Times New Roman"/>
          <w:sz w:val="26"/>
          <w:szCs w:val="26"/>
        </w:rPr>
        <w:t> </w:t>
      </w:r>
      <w:r w:rsidRPr="00D22862">
        <w:rPr>
          <w:rFonts w:ascii="Times New Roman" w:hAnsi="Times New Roman"/>
          <w:sz w:val="26"/>
          <w:szCs w:val="26"/>
        </w:rPr>
        <w:t xml:space="preserve">820. </w:t>
      </w:r>
    </w:p>
    <w:p w:rsidR="00AB3AEF" w:rsidRDefault="00AB3AEF" w:rsidP="00D22CD2">
      <w:pPr>
        <w:spacing w:after="120" w:line="240" w:lineRule="auto"/>
        <w:ind w:firstLine="567"/>
        <w:jc w:val="both"/>
        <w:rPr>
          <w:rFonts w:ascii="Times New Roman" w:hAnsi="Times New Roman"/>
          <w:sz w:val="26"/>
          <w:szCs w:val="26"/>
        </w:rPr>
      </w:pPr>
      <w:r w:rsidRPr="00D22862">
        <w:rPr>
          <w:rFonts w:ascii="Times New Roman" w:hAnsi="Times New Roman"/>
          <w:sz w:val="26"/>
          <w:szCs w:val="26"/>
        </w:rPr>
        <w:t xml:space="preserve">Šo pirmreizējo TUA skaita samazināšanos veicināja 2014.gada 1.septembrī spēkā stājušies grozījumi Imigrācijas likuma 23.pantā, kas noteica papildu iemaksu Ekonomikas attīstības programmā un paaugstināja TUA piešķiršanai nepieciešamo ieguldījumu summas apmēru investīcijām nekustamajā īpašumā. Saskaņā ar šiem grozījumiem, nekustamā īpašuma iegādes darījuma summa, lai ārvalstnieks varētu </w:t>
      </w:r>
      <w:r w:rsidRPr="00D22862">
        <w:rPr>
          <w:rFonts w:ascii="Times New Roman" w:hAnsi="Times New Roman"/>
          <w:sz w:val="26"/>
          <w:szCs w:val="26"/>
        </w:rPr>
        <w:lastRenderedPageBreak/>
        <w:t xml:space="preserve">pretendēt uz TUA, tika paaugstināta līdz 250 000 </w:t>
      </w:r>
      <w:proofErr w:type="spellStart"/>
      <w:r w:rsidRPr="00D22862">
        <w:rPr>
          <w:rFonts w:ascii="Times New Roman" w:hAnsi="Times New Roman"/>
          <w:i/>
          <w:sz w:val="26"/>
          <w:szCs w:val="26"/>
        </w:rPr>
        <w:t>euro</w:t>
      </w:r>
      <w:proofErr w:type="spellEnd"/>
      <w:r w:rsidRPr="00D22862">
        <w:rPr>
          <w:rFonts w:ascii="Times New Roman" w:hAnsi="Times New Roman"/>
          <w:sz w:val="26"/>
          <w:szCs w:val="26"/>
        </w:rPr>
        <w:t xml:space="preserve"> visā Latvijas teritorijā (iepriekš ārpus Rīgas plānošanas reģiona vai republikas pilsētām – 71 150 </w:t>
      </w:r>
      <w:proofErr w:type="spellStart"/>
      <w:r w:rsidRPr="00D22862">
        <w:rPr>
          <w:rFonts w:ascii="Times New Roman" w:hAnsi="Times New Roman"/>
          <w:i/>
          <w:sz w:val="26"/>
          <w:szCs w:val="26"/>
        </w:rPr>
        <w:t>euro</w:t>
      </w:r>
      <w:proofErr w:type="spellEnd"/>
      <w:r w:rsidRPr="00D22862">
        <w:rPr>
          <w:rFonts w:ascii="Times New Roman" w:hAnsi="Times New Roman"/>
          <w:sz w:val="26"/>
          <w:szCs w:val="26"/>
        </w:rPr>
        <w:t xml:space="preserve">, savukārt, Rīgas plānošanas reģionā un republikas nozīmes pilsētās – 142 300 </w:t>
      </w:r>
      <w:proofErr w:type="spellStart"/>
      <w:r w:rsidRPr="00D22862">
        <w:rPr>
          <w:rFonts w:ascii="Times New Roman" w:hAnsi="Times New Roman"/>
          <w:i/>
          <w:sz w:val="26"/>
          <w:szCs w:val="26"/>
        </w:rPr>
        <w:t>euro</w:t>
      </w:r>
      <w:proofErr w:type="spellEnd"/>
      <w:r w:rsidRPr="00D22862">
        <w:rPr>
          <w:rFonts w:ascii="Times New Roman" w:hAnsi="Times New Roman"/>
          <w:sz w:val="26"/>
          <w:szCs w:val="26"/>
        </w:rPr>
        <w:t>). No 2014.gada septembra ar investīciju programmu saistīto pieteikumu skaits būtiski samazinājās. Ja 2014.gadā tika saņemti 2</w:t>
      </w:r>
      <w:r w:rsidR="00034C68">
        <w:rPr>
          <w:rFonts w:ascii="Times New Roman" w:hAnsi="Times New Roman"/>
          <w:sz w:val="26"/>
          <w:szCs w:val="26"/>
        </w:rPr>
        <w:t xml:space="preserve"> </w:t>
      </w:r>
      <w:r w:rsidRPr="00D22862">
        <w:rPr>
          <w:rFonts w:ascii="Times New Roman" w:hAnsi="Times New Roman"/>
          <w:sz w:val="26"/>
          <w:szCs w:val="26"/>
        </w:rPr>
        <w:t>532 pieteikumi, tad 2015.gadā – 398. 2016.gadā iesniegto pieteikumu skaits pārsniegs 2015.gada līmeni, jo 2016.gada I pusgadā saņemts 371 pieteikums. Ievērojot iepriekš minēto, ja 2014.gadā investīciju programmas ietvaros izsniegto TUA skaits veidoja 53% no visām izsniegtajām TUA, tad 2015.gada pirmajā pusgadā - 26%, bet 2016.gada pirmajā pusgadā – tikai 10%.</w:t>
      </w:r>
    </w:p>
    <w:p w:rsidR="00AB3AEF" w:rsidRPr="00D22862" w:rsidRDefault="00710AC7" w:rsidP="00AB3AEF">
      <w:pPr>
        <w:tabs>
          <w:tab w:val="left" w:pos="1155"/>
        </w:tabs>
        <w:spacing w:after="0" w:line="240" w:lineRule="auto"/>
        <w:contextualSpacing/>
        <w:jc w:val="right"/>
        <w:rPr>
          <w:rFonts w:ascii="Times New Roman" w:hAnsi="Times New Roman"/>
          <w:bCs/>
          <w:sz w:val="26"/>
          <w:szCs w:val="26"/>
        </w:rPr>
      </w:pPr>
      <w:r>
        <w:rPr>
          <w:rFonts w:ascii="Times New Roman" w:hAnsi="Times New Roman"/>
          <w:bCs/>
          <w:sz w:val="26"/>
          <w:szCs w:val="26"/>
        </w:rPr>
        <w:t>1</w:t>
      </w:r>
      <w:r w:rsidR="00AB3AEF" w:rsidRPr="00D22862">
        <w:rPr>
          <w:rFonts w:ascii="Times New Roman" w:hAnsi="Times New Roman"/>
          <w:bCs/>
          <w:sz w:val="26"/>
          <w:szCs w:val="26"/>
        </w:rPr>
        <w:t>.attēls</w:t>
      </w:r>
      <w:r w:rsidR="00AB3AEF" w:rsidRPr="00D22862">
        <w:rPr>
          <w:rFonts w:ascii="Times New Roman" w:hAnsi="Times New Roman"/>
          <w:bCs/>
          <w:sz w:val="26"/>
          <w:szCs w:val="26"/>
        </w:rPr>
        <w:tab/>
      </w:r>
    </w:p>
    <w:p w:rsidR="00AB3AEF" w:rsidRDefault="00AB3AEF" w:rsidP="00AB3AEF">
      <w:pPr>
        <w:spacing w:after="0" w:line="240" w:lineRule="auto"/>
        <w:contextualSpacing/>
        <w:jc w:val="center"/>
        <w:rPr>
          <w:rFonts w:ascii="Times New Roman" w:hAnsi="Times New Roman"/>
          <w:b/>
          <w:bCs/>
          <w:sz w:val="24"/>
          <w:szCs w:val="26"/>
        </w:rPr>
      </w:pPr>
      <w:r w:rsidRPr="00671EBC">
        <w:rPr>
          <w:rFonts w:ascii="Times New Roman" w:hAnsi="Times New Roman"/>
          <w:b/>
          <w:bCs/>
          <w:sz w:val="24"/>
          <w:szCs w:val="26"/>
        </w:rPr>
        <w:t xml:space="preserve">Ar investīciju programmu saistīto apstiprināto TUA pieteikumu skaits un darījumu kopsumma (tūkst. </w:t>
      </w:r>
      <w:proofErr w:type="spellStart"/>
      <w:r w:rsidRPr="00671EBC">
        <w:rPr>
          <w:rFonts w:ascii="Times New Roman" w:hAnsi="Times New Roman"/>
          <w:b/>
          <w:bCs/>
          <w:i/>
          <w:iCs/>
          <w:sz w:val="24"/>
          <w:szCs w:val="26"/>
        </w:rPr>
        <w:t>euro</w:t>
      </w:r>
      <w:proofErr w:type="spellEnd"/>
      <w:r w:rsidRPr="00671EBC">
        <w:rPr>
          <w:rFonts w:ascii="Times New Roman" w:hAnsi="Times New Roman"/>
          <w:b/>
          <w:bCs/>
          <w:sz w:val="24"/>
          <w:szCs w:val="26"/>
        </w:rPr>
        <w:t>) pēc pieteikuma iesniegšanas mēneša (01.01.2014.-30.06.2016.)</w:t>
      </w:r>
    </w:p>
    <w:p w:rsidR="00034C68" w:rsidRPr="00034C68" w:rsidRDefault="00034C68" w:rsidP="00AB3AEF">
      <w:pPr>
        <w:spacing w:after="0" w:line="240" w:lineRule="auto"/>
        <w:contextualSpacing/>
        <w:jc w:val="center"/>
        <w:rPr>
          <w:rFonts w:ascii="Times New Roman" w:hAnsi="Times New Roman"/>
          <w:bCs/>
          <w:sz w:val="24"/>
          <w:szCs w:val="26"/>
        </w:rPr>
      </w:pPr>
      <w:r w:rsidRPr="00034C68">
        <w:rPr>
          <w:rFonts w:ascii="Times New Roman" w:hAnsi="Times New Roman"/>
          <w:bCs/>
          <w:sz w:val="24"/>
          <w:szCs w:val="26"/>
        </w:rPr>
        <w:t>(kreisā ass – pieteikumu skaits, labā ass – darījumu kopsumma)</w:t>
      </w:r>
    </w:p>
    <w:p w:rsidR="00D22CD2" w:rsidRPr="00671EBC" w:rsidRDefault="00D22CD2" w:rsidP="00AB3AEF">
      <w:pPr>
        <w:spacing w:after="0" w:line="240" w:lineRule="auto"/>
        <w:contextualSpacing/>
        <w:jc w:val="center"/>
        <w:rPr>
          <w:rFonts w:ascii="Times New Roman" w:hAnsi="Times New Roman"/>
          <w:b/>
          <w:bCs/>
          <w:sz w:val="24"/>
          <w:szCs w:val="26"/>
        </w:rPr>
      </w:pPr>
    </w:p>
    <w:p w:rsidR="00AB3AEF" w:rsidRPr="00742F78" w:rsidRDefault="00AB3AEF" w:rsidP="00AB3AEF">
      <w:pPr>
        <w:spacing w:after="0" w:line="240" w:lineRule="auto"/>
        <w:contextualSpacing/>
        <w:jc w:val="center"/>
        <w:rPr>
          <w:rFonts w:ascii="Times New Roman" w:hAnsi="Times New Roman"/>
          <w:b/>
          <w:bCs/>
          <w:sz w:val="24"/>
          <w:szCs w:val="26"/>
          <w:highlight w:val="yellow"/>
        </w:rPr>
      </w:pPr>
      <w:r w:rsidRPr="00742F78">
        <w:rPr>
          <w:noProof/>
          <w:highlight w:val="yellow"/>
          <w:lang w:eastAsia="lv-LV"/>
        </w:rPr>
        <w:drawing>
          <wp:inline distT="0" distB="0" distL="0" distR="0">
            <wp:extent cx="5486400" cy="30765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3AEF" w:rsidRPr="00671EBC" w:rsidRDefault="00AB3AEF" w:rsidP="00AB3AEF">
      <w:pPr>
        <w:spacing w:after="0" w:line="240" w:lineRule="auto"/>
        <w:contextualSpacing/>
        <w:rPr>
          <w:rFonts w:ascii="Times New Roman" w:hAnsi="Times New Roman"/>
          <w:i/>
          <w:szCs w:val="26"/>
        </w:rPr>
      </w:pPr>
      <w:r w:rsidRPr="00671EBC">
        <w:rPr>
          <w:rFonts w:ascii="Times New Roman" w:hAnsi="Times New Roman"/>
          <w:szCs w:val="26"/>
        </w:rPr>
        <w:t xml:space="preserve">     </w:t>
      </w:r>
      <w:r w:rsidRPr="00671EBC">
        <w:rPr>
          <w:rFonts w:ascii="Times New Roman" w:hAnsi="Times New Roman"/>
          <w:i/>
          <w:szCs w:val="26"/>
        </w:rPr>
        <w:t>Avots: PMPL</w:t>
      </w:r>
    </w:p>
    <w:p w:rsidR="00AB3AEF" w:rsidRPr="00742F78" w:rsidRDefault="00AB3AEF" w:rsidP="00AB3AEF">
      <w:pPr>
        <w:spacing w:after="0" w:line="240" w:lineRule="auto"/>
        <w:contextualSpacing/>
        <w:rPr>
          <w:rFonts w:ascii="Times New Roman" w:hAnsi="Times New Roman"/>
          <w:szCs w:val="26"/>
          <w:highlight w:val="yellow"/>
        </w:rPr>
      </w:pPr>
    </w:p>
    <w:p w:rsidR="00AB3AEF" w:rsidRPr="00742F78" w:rsidRDefault="00AB3AEF" w:rsidP="00AB3AEF">
      <w:pPr>
        <w:spacing w:after="0" w:line="240" w:lineRule="auto"/>
        <w:ind w:firstLine="567"/>
        <w:contextualSpacing/>
        <w:jc w:val="both"/>
        <w:rPr>
          <w:rFonts w:ascii="Times New Roman" w:hAnsi="Times New Roman"/>
          <w:sz w:val="26"/>
          <w:szCs w:val="26"/>
          <w:highlight w:val="yellow"/>
          <w:lang w:eastAsia="lv-LV"/>
        </w:rPr>
      </w:pPr>
      <w:r w:rsidRPr="00671EBC">
        <w:rPr>
          <w:rFonts w:ascii="Times New Roman" w:hAnsi="Times New Roman"/>
          <w:sz w:val="26"/>
          <w:szCs w:val="26"/>
          <w:lang w:eastAsia="lv-LV"/>
        </w:rPr>
        <w:t xml:space="preserve">Saskaņā ar PMLP sniegtajiem datiem 2014.gada 1.pusgadā ar pirmreizējo TUA izsniegšanu saistīto investīciju kopapjoms bija 198,9 milj. </w:t>
      </w:r>
      <w:proofErr w:type="spellStart"/>
      <w:r w:rsidRPr="00671EBC">
        <w:rPr>
          <w:rFonts w:ascii="Times New Roman" w:hAnsi="Times New Roman"/>
          <w:i/>
          <w:sz w:val="26"/>
          <w:szCs w:val="26"/>
          <w:lang w:eastAsia="lv-LV"/>
        </w:rPr>
        <w:t>euro</w:t>
      </w:r>
      <w:proofErr w:type="spellEnd"/>
      <w:r w:rsidRPr="00671EBC">
        <w:rPr>
          <w:rFonts w:ascii="Times New Roman" w:hAnsi="Times New Roman"/>
          <w:sz w:val="26"/>
          <w:szCs w:val="26"/>
          <w:lang w:eastAsia="lv-LV"/>
        </w:rPr>
        <w:t xml:space="preserve">, 2015.gada 1.pusgadā – 34,3 milj. </w:t>
      </w:r>
      <w:proofErr w:type="spellStart"/>
      <w:r w:rsidRPr="00671EBC">
        <w:rPr>
          <w:rFonts w:ascii="Times New Roman" w:hAnsi="Times New Roman"/>
          <w:i/>
          <w:sz w:val="26"/>
          <w:szCs w:val="26"/>
          <w:lang w:eastAsia="lv-LV"/>
        </w:rPr>
        <w:t>euro</w:t>
      </w:r>
      <w:proofErr w:type="spellEnd"/>
      <w:r w:rsidRPr="00671EBC">
        <w:rPr>
          <w:rFonts w:ascii="Times New Roman" w:hAnsi="Times New Roman"/>
          <w:sz w:val="26"/>
          <w:szCs w:val="26"/>
          <w:lang w:eastAsia="lv-LV"/>
        </w:rPr>
        <w:t xml:space="preserve">, bet 2016.gada 1.pusgadā – 31,2 milj. </w:t>
      </w:r>
      <w:proofErr w:type="spellStart"/>
      <w:r w:rsidRPr="00671EBC">
        <w:rPr>
          <w:rFonts w:ascii="Times New Roman" w:hAnsi="Times New Roman"/>
          <w:i/>
          <w:sz w:val="26"/>
          <w:szCs w:val="26"/>
          <w:lang w:eastAsia="lv-LV"/>
        </w:rPr>
        <w:t>euro</w:t>
      </w:r>
      <w:proofErr w:type="spellEnd"/>
      <w:r w:rsidRPr="00671EBC">
        <w:rPr>
          <w:rFonts w:ascii="Times New Roman" w:hAnsi="Times New Roman"/>
          <w:sz w:val="26"/>
          <w:szCs w:val="26"/>
          <w:lang w:eastAsia="lv-LV"/>
        </w:rPr>
        <w:t>. No šīm summām investīciju nekustamajā īpašumā īpatsvars 2014.gadā bija 88,8%, 2015.gadā – 81,4%, bet 2016.gada 1.pusgadā – 82,8%.</w:t>
      </w:r>
    </w:p>
    <w:p w:rsidR="00846FB5" w:rsidRDefault="00846FB5" w:rsidP="00AB3AEF">
      <w:pPr>
        <w:spacing w:after="0" w:line="240" w:lineRule="auto"/>
        <w:ind w:firstLine="284"/>
        <w:contextualSpacing/>
        <w:jc w:val="right"/>
        <w:rPr>
          <w:rFonts w:ascii="Times New Roman" w:hAnsi="Times New Roman"/>
          <w:sz w:val="26"/>
          <w:szCs w:val="26"/>
          <w:lang w:eastAsia="lv-LV"/>
        </w:rPr>
      </w:pPr>
    </w:p>
    <w:p w:rsidR="00846FB5" w:rsidRDefault="00846FB5"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034C68" w:rsidRDefault="00034C68" w:rsidP="00AB3AEF">
      <w:pPr>
        <w:spacing w:after="0" w:line="240" w:lineRule="auto"/>
        <w:ind w:firstLine="284"/>
        <w:contextualSpacing/>
        <w:jc w:val="right"/>
        <w:rPr>
          <w:rFonts w:ascii="Times New Roman" w:hAnsi="Times New Roman"/>
          <w:sz w:val="26"/>
          <w:szCs w:val="26"/>
          <w:lang w:eastAsia="lv-LV"/>
        </w:rPr>
      </w:pPr>
    </w:p>
    <w:p w:rsidR="00AB3AEF" w:rsidRPr="00D22862" w:rsidRDefault="00710AC7" w:rsidP="00AB3AEF">
      <w:pPr>
        <w:spacing w:after="0" w:line="240" w:lineRule="auto"/>
        <w:ind w:firstLine="284"/>
        <w:contextualSpacing/>
        <w:jc w:val="right"/>
        <w:rPr>
          <w:rFonts w:ascii="Times New Roman" w:hAnsi="Times New Roman"/>
          <w:sz w:val="26"/>
          <w:szCs w:val="26"/>
          <w:lang w:eastAsia="lv-LV"/>
        </w:rPr>
      </w:pPr>
      <w:r>
        <w:rPr>
          <w:rFonts w:ascii="Times New Roman" w:hAnsi="Times New Roman"/>
          <w:sz w:val="26"/>
          <w:szCs w:val="26"/>
          <w:lang w:eastAsia="lv-LV"/>
        </w:rPr>
        <w:lastRenderedPageBreak/>
        <w:t>2</w:t>
      </w:r>
      <w:r w:rsidR="00AB3AEF" w:rsidRPr="00D22862">
        <w:rPr>
          <w:rFonts w:ascii="Times New Roman" w:hAnsi="Times New Roman"/>
          <w:sz w:val="26"/>
          <w:szCs w:val="26"/>
          <w:lang w:eastAsia="lv-LV"/>
        </w:rPr>
        <w:t>.attēls</w:t>
      </w:r>
    </w:p>
    <w:p w:rsidR="00AB3AEF" w:rsidRPr="00671EBC" w:rsidRDefault="00AB3AEF" w:rsidP="00AB3AEF">
      <w:pPr>
        <w:spacing w:after="0"/>
        <w:contextualSpacing/>
        <w:jc w:val="center"/>
        <w:rPr>
          <w:rFonts w:ascii="Times New Roman" w:hAnsi="Times New Roman"/>
          <w:b/>
          <w:sz w:val="24"/>
          <w:szCs w:val="24"/>
        </w:rPr>
      </w:pPr>
      <w:r w:rsidRPr="00671EBC">
        <w:rPr>
          <w:rFonts w:ascii="Times New Roman" w:hAnsi="Times New Roman"/>
          <w:b/>
          <w:sz w:val="24"/>
          <w:szCs w:val="24"/>
        </w:rPr>
        <w:t xml:space="preserve">Ar TUA saistīto ieguldījumu kopsumma * (tūkst., </w:t>
      </w:r>
      <w:proofErr w:type="spellStart"/>
      <w:r w:rsidRPr="00671EBC">
        <w:rPr>
          <w:rFonts w:ascii="Times New Roman" w:hAnsi="Times New Roman"/>
          <w:b/>
          <w:i/>
          <w:sz w:val="24"/>
          <w:szCs w:val="24"/>
        </w:rPr>
        <w:t>euro</w:t>
      </w:r>
      <w:proofErr w:type="spellEnd"/>
      <w:r w:rsidRPr="00671EBC">
        <w:rPr>
          <w:rFonts w:ascii="Times New Roman" w:hAnsi="Times New Roman"/>
          <w:b/>
          <w:sz w:val="24"/>
          <w:szCs w:val="24"/>
        </w:rPr>
        <w:t>) sadalījumā pa ieguldījumu veidiem un ceturkšņiem (01.01.2014.-30.06.2016.)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751"/>
      </w:tblGrid>
      <w:tr w:rsidR="00AB3AEF" w:rsidRPr="00742F78" w:rsidTr="001202EF">
        <w:trPr>
          <w:trHeight w:val="4253"/>
        </w:trPr>
        <w:tc>
          <w:tcPr>
            <w:tcW w:w="4506" w:type="dxa"/>
          </w:tcPr>
          <w:p w:rsidR="00AB3AEF" w:rsidRPr="00671EBC" w:rsidRDefault="00AB3AEF" w:rsidP="001202EF">
            <w:pPr>
              <w:spacing w:after="0" w:line="240" w:lineRule="auto"/>
              <w:contextualSpacing/>
              <w:jc w:val="center"/>
              <w:rPr>
                <w:rFonts w:ascii="Times New Roman" w:hAnsi="Times New Roman"/>
                <w:b/>
                <w:sz w:val="22"/>
                <w:szCs w:val="24"/>
              </w:rPr>
            </w:pPr>
            <w:r w:rsidRPr="00671EBC">
              <w:rPr>
                <w:rFonts w:ascii="Times New Roman" w:hAnsi="Times New Roman"/>
                <w:b/>
                <w:sz w:val="22"/>
                <w:szCs w:val="24"/>
              </w:rPr>
              <w:t>Ieguldījumi kapitālsabiedrību pamatkapitālā</w:t>
            </w:r>
          </w:p>
          <w:p w:rsidR="00AB3AEF" w:rsidRPr="00671EBC" w:rsidRDefault="00AB3AEF" w:rsidP="001202EF">
            <w:pPr>
              <w:spacing w:after="0" w:line="240" w:lineRule="auto"/>
              <w:contextualSpacing/>
              <w:jc w:val="center"/>
              <w:rPr>
                <w:rFonts w:ascii="Times New Roman" w:hAnsi="Times New Roman"/>
                <w:b/>
                <w:sz w:val="24"/>
                <w:szCs w:val="24"/>
              </w:rPr>
            </w:pPr>
            <w:r w:rsidRPr="00671EBC">
              <w:rPr>
                <w:rFonts w:ascii="Times New Roman" w:hAnsi="Times New Roman"/>
                <w:noProof/>
                <w:lang w:eastAsia="lv-LV"/>
              </w:rPr>
              <w:drawing>
                <wp:inline distT="0" distB="0" distL="0" distR="0">
                  <wp:extent cx="2647950" cy="20764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3AEF" w:rsidRPr="00671EBC" w:rsidRDefault="00AB3AEF" w:rsidP="001202EF">
            <w:pPr>
              <w:tabs>
                <w:tab w:val="center" w:pos="2145"/>
              </w:tabs>
              <w:spacing w:after="0" w:line="240" w:lineRule="auto"/>
              <w:contextualSpacing/>
              <w:rPr>
                <w:rFonts w:ascii="Times New Roman" w:hAnsi="Times New Roman"/>
                <w:b/>
                <w:sz w:val="22"/>
                <w:szCs w:val="22"/>
              </w:rPr>
            </w:pPr>
          </w:p>
          <w:p w:rsidR="00AB3AEF" w:rsidRPr="00671EBC" w:rsidRDefault="00AB3AEF" w:rsidP="001202EF">
            <w:pPr>
              <w:tabs>
                <w:tab w:val="center" w:pos="2145"/>
              </w:tabs>
              <w:spacing w:after="0" w:line="240" w:lineRule="auto"/>
              <w:contextualSpacing/>
              <w:rPr>
                <w:rFonts w:ascii="Times New Roman" w:hAnsi="Times New Roman"/>
                <w:b/>
                <w:sz w:val="22"/>
                <w:szCs w:val="22"/>
              </w:rPr>
            </w:pPr>
          </w:p>
          <w:p w:rsidR="00AB3AEF" w:rsidRPr="00671EBC" w:rsidRDefault="00AB3AEF" w:rsidP="001202EF">
            <w:pPr>
              <w:keepNext/>
              <w:tabs>
                <w:tab w:val="center" w:pos="2145"/>
              </w:tabs>
              <w:spacing w:after="0" w:line="240" w:lineRule="auto"/>
              <w:contextualSpacing/>
              <w:rPr>
                <w:rFonts w:ascii="Times New Roman" w:hAnsi="Times New Roman"/>
                <w:b/>
                <w:sz w:val="22"/>
                <w:szCs w:val="22"/>
              </w:rPr>
            </w:pPr>
            <w:r w:rsidRPr="00671EBC">
              <w:rPr>
                <w:rFonts w:ascii="Times New Roman" w:hAnsi="Times New Roman"/>
                <w:b/>
                <w:sz w:val="22"/>
                <w:szCs w:val="22"/>
              </w:rPr>
              <w:t>Ieguldījumi nekustamajā īpašumā</w:t>
            </w:r>
            <w:r w:rsidRPr="00671EBC">
              <w:rPr>
                <w:rFonts w:ascii="Times New Roman" w:hAnsi="Times New Roman"/>
                <w:b/>
                <w:sz w:val="22"/>
                <w:szCs w:val="22"/>
              </w:rPr>
              <w:tab/>
            </w:r>
          </w:p>
          <w:p w:rsidR="00AB3AEF" w:rsidRPr="00671EBC" w:rsidRDefault="00AB3AEF" w:rsidP="001202EF">
            <w:pPr>
              <w:keepNext/>
              <w:spacing w:after="0" w:line="240" w:lineRule="auto"/>
              <w:contextualSpacing/>
              <w:rPr>
                <w:rFonts w:ascii="Times New Roman" w:hAnsi="Times New Roman"/>
                <w:i/>
                <w:sz w:val="22"/>
                <w:szCs w:val="22"/>
              </w:rPr>
            </w:pPr>
            <w:r w:rsidRPr="00671EBC">
              <w:rPr>
                <w:rFonts w:ascii="Times New Roman" w:hAnsi="Times New Roman"/>
                <w:noProof/>
                <w:lang w:eastAsia="lv-LV"/>
              </w:rPr>
              <w:drawing>
                <wp:inline distT="0" distB="0" distL="0" distR="0">
                  <wp:extent cx="2686050" cy="1952625"/>
                  <wp:effectExtent l="0" t="0" r="0"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3AEF" w:rsidRPr="00671EBC" w:rsidRDefault="00AB3AEF" w:rsidP="001202EF">
            <w:pPr>
              <w:keepNext/>
              <w:spacing w:after="0" w:line="240" w:lineRule="auto"/>
              <w:contextualSpacing/>
              <w:rPr>
                <w:rFonts w:ascii="Times New Roman" w:hAnsi="Times New Roman"/>
                <w:i/>
                <w:sz w:val="22"/>
                <w:szCs w:val="22"/>
              </w:rPr>
            </w:pPr>
            <w:r w:rsidRPr="00671EBC">
              <w:rPr>
                <w:rFonts w:ascii="Times New Roman" w:hAnsi="Times New Roman"/>
                <w:i/>
                <w:sz w:val="22"/>
                <w:szCs w:val="22"/>
              </w:rPr>
              <w:t>Avots: PMLP</w:t>
            </w:r>
          </w:p>
          <w:p w:rsidR="00AB3AEF" w:rsidRPr="00671EBC" w:rsidRDefault="00AB3AEF" w:rsidP="001202EF">
            <w:pPr>
              <w:keepNext/>
              <w:spacing w:after="0" w:line="240" w:lineRule="auto"/>
              <w:contextualSpacing/>
              <w:rPr>
                <w:rFonts w:ascii="Times New Roman" w:hAnsi="Times New Roman"/>
              </w:rPr>
            </w:pPr>
            <w:r w:rsidRPr="00671EBC">
              <w:rPr>
                <w:rFonts w:ascii="Times New Roman" w:hAnsi="Times New Roman"/>
              </w:rPr>
              <w:t>*Tikai apstiprinātie TUA pieteikumi</w:t>
            </w:r>
          </w:p>
          <w:p w:rsidR="00AB3AEF" w:rsidRPr="00671EBC" w:rsidRDefault="00AB3AEF" w:rsidP="001202EF">
            <w:pPr>
              <w:spacing w:after="0" w:line="240" w:lineRule="auto"/>
              <w:contextualSpacing/>
              <w:rPr>
                <w:rFonts w:ascii="Times New Roman" w:hAnsi="Times New Roman"/>
                <w:b/>
                <w:sz w:val="22"/>
                <w:szCs w:val="22"/>
              </w:rPr>
            </w:pPr>
          </w:p>
        </w:tc>
        <w:tc>
          <w:tcPr>
            <w:tcW w:w="4751" w:type="dxa"/>
          </w:tcPr>
          <w:p w:rsidR="00AB3AEF" w:rsidRPr="00671EBC" w:rsidRDefault="00AB3AEF" w:rsidP="001202EF">
            <w:pPr>
              <w:spacing w:after="0" w:line="240" w:lineRule="auto"/>
              <w:contextualSpacing/>
              <w:jc w:val="center"/>
              <w:rPr>
                <w:rFonts w:ascii="Times New Roman" w:hAnsi="Times New Roman"/>
                <w:b/>
                <w:sz w:val="22"/>
                <w:szCs w:val="22"/>
              </w:rPr>
            </w:pPr>
            <w:r w:rsidRPr="00671EBC">
              <w:rPr>
                <w:rFonts w:ascii="Times New Roman" w:hAnsi="Times New Roman"/>
                <w:b/>
                <w:sz w:val="22"/>
                <w:szCs w:val="22"/>
              </w:rPr>
              <w:t>Ieguldījumi banku pakārtotajās saistībās</w:t>
            </w:r>
          </w:p>
          <w:p w:rsidR="00AB3AEF" w:rsidRPr="00671EBC" w:rsidRDefault="00AB3AEF" w:rsidP="001202EF">
            <w:pPr>
              <w:spacing w:after="0" w:line="240" w:lineRule="auto"/>
              <w:contextualSpacing/>
              <w:rPr>
                <w:rFonts w:ascii="Times New Roman" w:hAnsi="Times New Roman"/>
                <w:i/>
                <w:sz w:val="22"/>
                <w:szCs w:val="22"/>
              </w:rPr>
            </w:pPr>
            <w:r w:rsidRPr="00671EBC">
              <w:rPr>
                <w:rFonts w:ascii="Times New Roman" w:hAnsi="Times New Roman"/>
                <w:noProof/>
                <w:lang w:eastAsia="lv-LV"/>
              </w:rPr>
              <w:drawing>
                <wp:inline distT="0" distB="0" distL="0" distR="0">
                  <wp:extent cx="2676525" cy="20764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AEF" w:rsidRPr="00671EBC" w:rsidRDefault="00AB3AEF" w:rsidP="001202EF">
            <w:pPr>
              <w:spacing w:after="0" w:line="240" w:lineRule="auto"/>
              <w:contextualSpacing/>
              <w:jc w:val="center"/>
              <w:rPr>
                <w:rFonts w:ascii="Times New Roman" w:hAnsi="Times New Roman"/>
                <w:sz w:val="24"/>
                <w:szCs w:val="24"/>
              </w:rPr>
            </w:pPr>
          </w:p>
          <w:p w:rsidR="00426E9D" w:rsidRDefault="00426E9D" w:rsidP="001202EF">
            <w:pPr>
              <w:spacing w:after="0" w:line="240" w:lineRule="auto"/>
              <w:contextualSpacing/>
              <w:jc w:val="center"/>
              <w:rPr>
                <w:rFonts w:ascii="Times New Roman" w:hAnsi="Times New Roman"/>
                <w:b/>
                <w:sz w:val="22"/>
                <w:szCs w:val="24"/>
              </w:rPr>
            </w:pPr>
          </w:p>
          <w:p w:rsidR="00AB3AEF" w:rsidRPr="00671EBC" w:rsidRDefault="00AB3AEF" w:rsidP="001202EF">
            <w:pPr>
              <w:spacing w:after="0" w:line="240" w:lineRule="auto"/>
              <w:contextualSpacing/>
              <w:jc w:val="center"/>
              <w:rPr>
                <w:rFonts w:ascii="Times New Roman" w:hAnsi="Times New Roman"/>
                <w:b/>
                <w:sz w:val="22"/>
                <w:szCs w:val="24"/>
              </w:rPr>
            </w:pPr>
            <w:r w:rsidRPr="00671EBC">
              <w:rPr>
                <w:rFonts w:ascii="Times New Roman" w:hAnsi="Times New Roman"/>
                <w:b/>
                <w:sz w:val="22"/>
                <w:szCs w:val="24"/>
              </w:rPr>
              <w:t>Ieguldījumi obligācijās</w:t>
            </w:r>
          </w:p>
          <w:p w:rsidR="00AB3AEF" w:rsidRPr="00671EBC" w:rsidRDefault="00AB3AEF" w:rsidP="001202EF">
            <w:pPr>
              <w:spacing w:after="0" w:line="240" w:lineRule="auto"/>
              <w:contextualSpacing/>
              <w:jc w:val="center"/>
              <w:rPr>
                <w:rFonts w:ascii="Times New Roman" w:hAnsi="Times New Roman"/>
                <w:sz w:val="24"/>
                <w:szCs w:val="24"/>
              </w:rPr>
            </w:pPr>
            <w:r w:rsidRPr="00671EBC">
              <w:rPr>
                <w:rFonts w:ascii="Times New Roman" w:hAnsi="Times New Roman"/>
                <w:noProof/>
                <w:lang w:eastAsia="lv-LV"/>
              </w:rPr>
              <w:drawing>
                <wp:inline distT="0" distB="0" distL="0" distR="0">
                  <wp:extent cx="2686050" cy="1952625"/>
                  <wp:effectExtent l="0" t="0" r="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AEF" w:rsidRPr="00671EBC" w:rsidRDefault="00AB3AEF" w:rsidP="001202EF">
            <w:pPr>
              <w:spacing w:after="0" w:line="240" w:lineRule="auto"/>
              <w:contextualSpacing/>
              <w:jc w:val="center"/>
              <w:rPr>
                <w:rFonts w:ascii="Times New Roman" w:hAnsi="Times New Roman"/>
                <w:sz w:val="24"/>
                <w:szCs w:val="24"/>
              </w:rPr>
            </w:pPr>
          </w:p>
          <w:p w:rsidR="00AB3AEF" w:rsidRPr="00671EBC" w:rsidRDefault="00AB3AEF" w:rsidP="001202EF">
            <w:pPr>
              <w:spacing w:after="0" w:line="240" w:lineRule="auto"/>
              <w:contextualSpacing/>
              <w:jc w:val="center"/>
              <w:rPr>
                <w:rFonts w:ascii="Times New Roman" w:hAnsi="Times New Roman"/>
                <w:sz w:val="24"/>
                <w:szCs w:val="24"/>
              </w:rPr>
            </w:pPr>
          </w:p>
          <w:p w:rsidR="00AB3AEF" w:rsidRPr="00671EBC" w:rsidRDefault="00AB3AEF" w:rsidP="001202EF">
            <w:pPr>
              <w:spacing w:after="0" w:line="240" w:lineRule="auto"/>
              <w:contextualSpacing/>
              <w:jc w:val="center"/>
              <w:rPr>
                <w:rFonts w:ascii="Times New Roman" w:hAnsi="Times New Roman"/>
                <w:sz w:val="24"/>
                <w:szCs w:val="24"/>
              </w:rPr>
            </w:pPr>
          </w:p>
        </w:tc>
      </w:tr>
    </w:tbl>
    <w:p w:rsidR="00034C68" w:rsidRDefault="00AB3AEF" w:rsidP="00AB3AEF">
      <w:pPr>
        <w:spacing w:after="0" w:line="240" w:lineRule="auto"/>
        <w:ind w:firstLine="567"/>
        <w:jc w:val="both"/>
        <w:rPr>
          <w:rFonts w:ascii="Times New Roman" w:hAnsi="Times New Roman"/>
          <w:sz w:val="26"/>
          <w:szCs w:val="26"/>
          <w:lang w:eastAsia="lv-LV"/>
        </w:rPr>
      </w:pPr>
      <w:r w:rsidRPr="00CF415D">
        <w:rPr>
          <w:rFonts w:ascii="Times New Roman" w:hAnsi="Times New Roman"/>
          <w:sz w:val="26"/>
          <w:szCs w:val="26"/>
          <w:lang w:eastAsia="lv-LV"/>
        </w:rPr>
        <w:t>2014.gada 1.septembrī spēkā stājušies grozījumi Imigrācijas likumā</w:t>
      </w:r>
      <w:proofErr w:type="gramStart"/>
      <w:r w:rsidRPr="00CF415D">
        <w:rPr>
          <w:rFonts w:ascii="Times New Roman" w:hAnsi="Times New Roman"/>
          <w:sz w:val="26"/>
          <w:szCs w:val="26"/>
          <w:lang w:eastAsia="lv-LV"/>
        </w:rPr>
        <w:t xml:space="preserve">  </w:t>
      </w:r>
      <w:proofErr w:type="gramEnd"/>
      <w:r w:rsidRPr="00CF415D">
        <w:rPr>
          <w:rFonts w:ascii="Times New Roman" w:hAnsi="Times New Roman"/>
          <w:sz w:val="26"/>
          <w:szCs w:val="26"/>
          <w:lang w:eastAsia="lv-LV"/>
        </w:rPr>
        <w:t>mainīja minimālo nepieciešamo investīciju apjomu tikai vienam no TUA iegūšanas veidiem – proti, investīcijām nekustamajā īpašumā, turpretī atlikušajiem TUA ieguves veidiem investīciju apjoms netika grozīts</w:t>
      </w:r>
      <w:r>
        <w:rPr>
          <w:rFonts w:ascii="Times New Roman" w:hAnsi="Times New Roman"/>
          <w:sz w:val="26"/>
          <w:szCs w:val="26"/>
          <w:lang w:eastAsia="lv-LV"/>
        </w:rPr>
        <w:t xml:space="preserve">, </w:t>
      </w:r>
      <w:r w:rsidRPr="000C49CF">
        <w:rPr>
          <w:rFonts w:ascii="Times New Roman" w:hAnsi="Times New Roman"/>
          <w:sz w:val="26"/>
          <w:szCs w:val="26"/>
          <w:lang w:eastAsia="lv-LV"/>
        </w:rPr>
        <w:t xml:space="preserve">bet ieguldītājiem kredītiestāžu pakārtotajās saistībās tika noteikts papildu maksājums valsts budžetā 25 000 </w:t>
      </w:r>
      <w:proofErr w:type="spellStart"/>
      <w:r w:rsidRPr="000C49CF">
        <w:rPr>
          <w:rFonts w:ascii="Times New Roman" w:hAnsi="Times New Roman"/>
          <w:i/>
          <w:sz w:val="26"/>
          <w:szCs w:val="26"/>
          <w:lang w:eastAsia="lv-LV"/>
        </w:rPr>
        <w:t>euro</w:t>
      </w:r>
      <w:proofErr w:type="spellEnd"/>
      <w:r w:rsidRPr="000C49CF">
        <w:rPr>
          <w:rFonts w:ascii="Times New Roman" w:hAnsi="Times New Roman"/>
          <w:sz w:val="26"/>
          <w:szCs w:val="26"/>
          <w:lang w:eastAsia="lv-LV"/>
        </w:rPr>
        <w:t xml:space="preserve"> apmērā.</w:t>
      </w:r>
      <w:r>
        <w:rPr>
          <w:rFonts w:ascii="Times New Roman" w:hAnsi="Times New Roman"/>
          <w:sz w:val="26"/>
          <w:szCs w:val="26"/>
          <w:lang w:eastAsia="lv-LV"/>
        </w:rPr>
        <w:t xml:space="preserve"> </w:t>
      </w:r>
    </w:p>
    <w:p w:rsidR="00AB3AEF" w:rsidRPr="00742F78" w:rsidRDefault="00034C68" w:rsidP="00AB3AEF">
      <w:pPr>
        <w:spacing w:after="0" w:line="240" w:lineRule="auto"/>
        <w:ind w:firstLine="567"/>
        <w:jc w:val="both"/>
        <w:rPr>
          <w:rFonts w:ascii="Times New Roman" w:hAnsi="Times New Roman"/>
          <w:sz w:val="26"/>
          <w:szCs w:val="26"/>
          <w:highlight w:val="yellow"/>
          <w:lang w:eastAsia="lv-LV"/>
        </w:rPr>
      </w:pPr>
      <w:r>
        <w:rPr>
          <w:rFonts w:ascii="Times New Roman" w:hAnsi="Times New Roman"/>
          <w:sz w:val="26"/>
          <w:szCs w:val="26"/>
          <w:lang w:eastAsia="lv-LV"/>
        </w:rPr>
        <w:t>Vienlaikus</w:t>
      </w:r>
      <w:r w:rsidR="00AB3AEF" w:rsidRPr="00CF415D">
        <w:rPr>
          <w:rFonts w:ascii="Times New Roman" w:hAnsi="Times New Roman"/>
          <w:sz w:val="26"/>
          <w:szCs w:val="26"/>
          <w:lang w:eastAsia="lv-LV"/>
        </w:rPr>
        <w:t xml:space="preserve">, </w:t>
      </w:r>
      <w:r w:rsidR="00AB3AEF" w:rsidRPr="000C49CF">
        <w:rPr>
          <w:rFonts w:ascii="Times New Roman" w:hAnsi="Times New Roman"/>
          <w:sz w:val="26"/>
          <w:szCs w:val="26"/>
          <w:lang w:eastAsia="lv-LV"/>
        </w:rPr>
        <w:t>2015.gadā un 2016.gada 1.pusgadā pirmreizējo TUA pieteikumu skaits un investīciju apjoms saglabājas salīdzinoši zems visos TUA ieguves veidos (skatīt 2.attēlu).</w:t>
      </w:r>
      <w:r w:rsidR="00AB3AEF">
        <w:rPr>
          <w:rFonts w:ascii="Times New Roman" w:hAnsi="Times New Roman"/>
          <w:sz w:val="26"/>
          <w:szCs w:val="26"/>
          <w:lang w:eastAsia="lv-LV"/>
        </w:rPr>
        <w:t xml:space="preserve"> </w:t>
      </w:r>
      <w:r w:rsidR="00AB3AEF" w:rsidRPr="00CF415D">
        <w:rPr>
          <w:rFonts w:ascii="Times New Roman" w:hAnsi="Times New Roman"/>
          <w:sz w:val="26"/>
          <w:szCs w:val="26"/>
          <w:lang w:eastAsia="lv-LV"/>
        </w:rPr>
        <w:t>Līdz ar to, var secināt, ka 2014.gada 1.septembrī spēkā stājušies grozījumi Imigrācijas likuma 23.pantā nav vienīgais iemesls vispārējam investīciju apjoma kritumam. Kā vienu no būtiskākajiem iemesliem var minēt ekonomiskās situācijas pasliktināšanos Krievijas Federācijā</w:t>
      </w:r>
      <w:r w:rsidR="00AB3AEF" w:rsidRPr="00A07911">
        <w:rPr>
          <w:rFonts w:ascii="Times New Roman" w:hAnsi="Times New Roman"/>
          <w:sz w:val="26"/>
          <w:szCs w:val="26"/>
          <w:lang w:eastAsia="lv-LV"/>
        </w:rPr>
        <w:t>. Šo tendenci var novērot, aplūkojot</w:t>
      </w:r>
      <w:r>
        <w:rPr>
          <w:rFonts w:ascii="Times New Roman" w:hAnsi="Times New Roman"/>
          <w:sz w:val="26"/>
          <w:szCs w:val="26"/>
          <w:lang w:eastAsia="lv-LV"/>
        </w:rPr>
        <w:t xml:space="preserve"> arī</w:t>
      </w:r>
      <w:r w:rsidR="00AB3AEF" w:rsidRPr="00A07911">
        <w:rPr>
          <w:rFonts w:ascii="Times New Roman" w:hAnsi="Times New Roman"/>
          <w:sz w:val="26"/>
          <w:szCs w:val="26"/>
          <w:lang w:eastAsia="lv-LV"/>
        </w:rPr>
        <w:t xml:space="preserve"> statistiku par TU</w:t>
      </w:r>
      <w:r w:rsidR="00CB2A3D">
        <w:rPr>
          <w:rFonts w:ascii="Times New Roman" w:hAnsi="Times New Roman"/>
          <w:sz w:val="26"/>
          <w:szCs w:val="26"/>
          <w:lang w:eastAsia="lv-LV"/>
        </w:rPr>
        <w:t>A pieteicēju izcelsmes valstīm</w:t>
      </w:r>
      <w:r w:rsidR="00AB3AEF" w:rsidRPr="00A07911">
        <w:rPr>
          <w:rFonts w:ascii="Times New Roman" w:hAnsi="Times New Roman"/>
          <w:sz w:val="26"/>
          <w:szCs w:val="26"/>
          <w:lang w:eastAsia="lv-LV"/>
        </w:rPr>
        <w:t xml:space="preserve">. Ja 2012.gadā Krievijas Federācijas pilsoņu īpatsvars starp TUA pieteicējiem bija 72%, tad 2013.gadā –68,9%, 2014.gadā – </w:t>
      </w:r>
      <w:r w:rsidR="00AB3AEF">
        <w:rPr>
          <w:rFonts w:ascii="Times New Roman" w:hAnsi="Times New Roman"/>
          <w:sz w:val="26"/>
          <w:szCs w:val="26"/>
          <w:lang w:eastAsia="lv-LV"/>
        </w:rPr>
        <w:t>67</w:t>
      </w:r>
      <w:r w:rsidR="00AB3AEF" w:rsidRPr="00A07911">
        <w:rPr>
          <w:rFonts w:ascii="Times New Roman" w:hAnsi="Times New Roman"/>
          <w:sz w:val="26"/>
          <w:szCs w:val="26"/>
          <w:lang w:eastAsia="lv-LV"/>
        </w:rPr>
        <w:t>%,</w:t>
      </w:r>
      <w:proofErr w:type="gramStart"/>
      <w:r w:rsidR="00AB3AEF" w:rsidRPr="00A07911">
        <w:rPr>
          <w:rFonts w:ascii="Times New Roman" w:hAnsi="Times New Roman"/>
          <w:sz w:val="26"/>
          <w:szCs w:val="26"/>
          <w:lang w:eastAsia="lv-LV"/>
        </w:rPr>
        <w:t xml:space="preserve">  </w:t>
      </w:r>
      <w:proofErr w:type="gramEnd"/>
      <w:r w:rsidR="00AB3AEF" w:rsidRPr="00A07911">
        <w:rPr>
          <w:rFonts w:ascii="Times New Roman" w:hAnsi="Times New Roman"/>
          <w:sz w:val="26"/>
          <w:szCs w:val="26"/>
          <w:lang w:eastAsia="lv-LV"/>
        </w:rPr>
        <w:t>2015.gadā – 56%, bet 2016.gada 1.pusgadā – 58%</w:t>
      </w:r>
      <w:r w:rsidR="00CB2A3D">
        <w:rPr>
          <w:rFonts w:ascii="Times New Roman" w:hAnsi="Times New Roman"/>
          <w:sz w:val="26"/>
          <w:szCs w:val="26"/>
          <w:lang w:eastAsia="lv-LV"/>
        </w:rPr>
        <w:t xml:space="preserve"> (</w:t>
      </w:r>
      <w:r w:rsidR="00CB2A3D" w:rsidRPr="00CB2A3D">
        <w:rPr>
          <w:rFonts w:ascii="Times New Roman" w:hAnsi="Times New Roman"/>
          <w:i/>
          <w:sz w:val="26"/>
          <w:szCs w:val="26"/>
          <w:lang w:eastAsia="lv-LV"/>
        </w:rPr>
        <w:t>detalizētāka informācija par TUA saņēmēju izcelsmes valstīm pielikumā nr.1</w:t>
      </w:r>
      <w:r w:rsidR="00CB2A3D">
        <w:rPr>
          <w:rFonts w:ascii="Times New Roman" w:hAnsi="Times New Roman"/>
          <w:sz w:val="26"/>
          <w:szCs w:val="26"/>
          <w:lang w:eastAsia="lv-LV"/>
        </w:rPr>
        <w:t>)</w:t>
      </w:r>
      <w:r w:rsidR="00AB3AEF" w:rsidRPr="00A07911">
        <w:rPr>
          <w:rFonts w:ascii="Times New Roman" w:hAnsi="Times New Roman"/>
          <w:sz w:val="26"/>
          <w:szCs w:val="26"/>
          <w:lang w:eastAsia="lv-LV"/>
        </w:rPr>
        <w:t xml:space="preserve">. </w:t>
      </w:r>
    </w:p>
    <w:p w:rsidR="00426E9D" w:rsidRDefault="00426E9D" w:rsidP="00AB3AEF">
      <w:pPr>
        <w:spacing w:after="0" w:line="240" w:lineRule="auto"/>
        <w:ind w:firstLine="567"/>
        <w:jc w:val="right"/>
        <w:rPr>
          <w:rFonts w:ascii="Times New Roman" w:hAnsi="Times New Roman"/>
          <w:sz w:val="26"/>
          <w:szCs w:val="26"/>
        </w:rPr>
      </w:pPr>
    </w:p>
    <w:p w:rsidR="00034C68" w:rsidRDefault="00034C68" w:rsidP="00AB3AEF">
      <w:pPr>
        <w:spacing w:after="0" w:line="240" w:lineRule="auto"/>
        <w:ind w:firstLine="567"/>
        <w:jc w:val="right"/>
        <w:rPr>
          <w:rFonts w:ascii="Times New Roman" w:hAnsi="Times New Roman"/>
          <w:sz w:val="26"/>
          <w:szCs w:val="26"/>
        </w:rPr>
      </w:pPr>
    </w:p>
    <w:p w:rsidR="00034C68" w:rsidRDefault="00034C68" w:rsidP="00AB3AEF">
      <w:pPr>
        <w:spacing w:after="0" w:line="240" w:lineRule="auto"/>
        <w:ind w:firstLine="567"/>
        <w:jc w:val="right"/>
        <w:rPr>
          <w:rFonts w:ascii="Times New Roman" w:hAnsi="Times New Roman"/>
          <w:sz w:val="26"/>
          <w:szCs w:val="26"/>
        </w:rPr>
      </w:pPr>
    </w:p>
    <w:p w:rsidR="00AB3AEF" w:rsidRPr="00D22862" w:rsidRDefault="00710AC7" w:rsidP="00AB3AEF">
      <w:pPr>
        <w:spacing w:after="0" w:line="240" w:lineRule="auto"/>
        <w:ind w:firstLine="567"/>
        <w:jc w:val="right"/>
        <w:rPr>
          <w:rFonts w:ascii="Times New Roman" w:hAnsi="Times New Roman"/>
          <w:sz w:val="26"/>
          <w:szCs w:val="26"/>
        </w:rPr>
      </w:pPr>
      <w:r>
        <w:rPr>
          <w:rFonts w:ascii="Times New Roman" w:hAnsi="Times New Roman"/>
          <w:sz w:val="26"/>
          <w:szCs w:val="26"/>
        </w:rPr>
        <w:lastRenderedPageBreak/>
        <w:t>3</w:t>
      </w:r>
      <w:r w:rsidR="00AB3AEF" w:rsidRPr="00D22862">
        <w:rPr>
          <w:rFonts w:ascii="Times New Roman" w:hAnsi="Times New Roman"/>
          <w:sz w:val="26"/>
          <w:szCs w:val="26"/>
        </w:rPr>
        <w:t>.attēls</w:t>
      </w:r>
    </w:p>
    <w:p w:rsidR="00AB3AEF" w:rsidRPr="00D22862" w:rsidRDefault="00AB3AEF" w:rsidP="00AB3AEF">
      <w:pPr>
        <w:spacing w:after="0" w:line="240" w:lineRule="auto"/>
        <w:ind w:firstLine="567"/>
        <w:jc w:val="right"/>
        <w:rPr>
          <w:rFonts w:ascii="Times New Roman" w:hAnsi="Times New Roman"/>
          <w:b/>
          <w:sz w:val="26"/>
          <w:szCs w:val="26"/>
        </w:rPr>
      </w:pPr>
      <w:r w:rsidRPr="00D22862">
        <w:rPr>
          <w:rFonts w:ascii="Times New Roman" w:hAnsi="Times New Roman"/>
          <w:b/>
          <w:sz w:val="26"/>
          <w:szCs w:val="26"/>
        </w:rPr>
        <w:t>Ārvalstu investoru (TUA pieteicēju) sadalījums pēc valstiskās piederības</w:t>
      </w:r>
    </w:p>
    <w:p w:rsidR="00AB3AEF" w:rsidRPr="00D22862" w:rsidRDefault="00AB3AEF" w:rsidP="00AB3AEF">
      <w:pPr>
        <w:spacing w:after="0" w:line="240" w:lineRule="auto"/>
        <w:ind w:firstLine="567"/>
        <w:jc w:val="right"/>
        <w:rPr>
          <w:rFonts w:ascii="Times New Roman" w:hAnsi="Times New Roman"/>
          <w:b/>
          <w:sz w:val="26"/>
          <w:szCs w:val="26"/>
        </w:rPr>
      </w:pPr>
      <w:r w:rsidRPr="00D22862">
        <w:rPr>
          <w:rFonts w:ascii="Times New Roman" w:hAnsi="Times New Roman"/>
          <w:b/>
          <w:sz w:val="26"/>
          <w:szCs w:val="26"/>
        </w:rPr>
        <w:t>(01.07.2010.-30.06.2016.)</w:t>
      </w:r>
    </w:p>
    <w:p w:rsidR="00AB3AEF" w:rsidRPr="00D22862" w:rsidRDefault="00AB3AEF" w:rsidP="00AB3AEF">
      <w:pPr>
        <w:spacing w:after="0" w:line="240" w:lineRule="auto"/>
        <w:ind w:firstLine="567"/>
        <w:jc w:val="both"/>
        <w:rPr>
          <w:rFonts w:ascii="Times New Roman" w:hAnsi="Times New Roman"/>
          <w:b/>
          <w:sz w:val="26"/>
          <w:szCs w:val="26"/>
        </w:rPr>
      </w:pPr>
      <w:r w:rsidRPr="00D22862">
        <w:rPr>
          <w:rFonts w:ascii="Times New Roman" w:hAnsi="Times New Roman"/>
          <w:noProof/>
          <w:sz w:val="26"/>
          <w:szCs w:val="26"/>
          <w:lang w:eastAsia="lv-LV"/>
        </w:rPr>
        <w:drawing>
          <wp:inline distT="0" distB="0" distL="0" distR="0">
            <wp:extent cx="4905375" cy="2609850"/>
            <wp:effectExtent l="0" t="0" r="9525"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3AEF" w:rsidRPr="00D22CD2" w:rsidRDefault="00AB3AEF" w:rsidP="00AB3AEF">
      <w:pPr>
        <w:spacing w:after="0" w:line="240" w:lineRule="auto"/>
        <w:ind w:firstLine="567"/>
        <w:jc w:val="both"/>
        <w:rPr>
          <w:rFonts w:ascii="Times New Roman" w:hAnsi="Times New Roman"/>
          <w:b/>
          <w:szCs w:val="26"/>
        </w:rPr>
      </w:pPr>
      <w:r w:rsidRPr="00D22CD2">
        <w:rPr>
          <w:rFonts w:ascii="Times New Roman" w:hAnsi="Times New Roman"/>
          <w:i/>
          <w:szCs w:val="26"/>
        </w:rPr>
        <w:t>Avots: PMLP</w:t>
      </w:r>
    </w:p>
    <w:p w:rsidR="00AB3AEF" w:rsidRPr="00D22862" w:rsidRDefault="00AB3AEF" w:rsidP="00AB3AEF">
      <w:pPr>
        <w:spacing w:after="0" w:line="240" w:lineRule="auto"/>
        <w:ind w:firstLine="567"/>
        <w:jc w:val="both"/>
        <w:rPr>
          <w:rFonts w:ascii="Times New Roman" w:hAnsi="Times New Roman"/>
          <w:sz w:val="26"/>
          <w:szCs w:val="26"/>
        </w:rPr>
      </w:pPr>
    </w:p>
    <w:p w:rsidR="00AB3AEF" w:rsidRDefault="00AB3AEF" w:rsidP="00D22CD2">
      <w:pPr>
        <w:spacing w:after="120" w:line="240" w:lineRule="auto"/>
        <w:ind w:firstLine="567"/>
        <w:jc w:val="both"/>
        <w:rPr>
          <w:rFonts w:ascii="Times New Roman" w:hAnsi="Times New Roman"/>
          <w:sz w:val="26"/>
          <w:szCs w:val="26"/>
        </w:rPr>
      </w:pPr>
      <w:r w:rsidRPr="00D22862">
        <w:rPr>
          <w:rFonts w:ascii="Times New Roman" w:hAnsi="Times New Roman"/>
          <w:sz w:val="26"/>
          <w:szCs w:val="26"/>
        </w:rPr>
        <w:t>Kopumā TUA ir pieprasījuši vairāk nekā 50 valstu pilsoņi. Aptuveni 90% no visām TUA ir pieprasījuši investori no bijušajām PSRS republikām. Ārpus bijušās PSRS teritorijas lielākā investoru interese ir no Ķīnas (1 397 jeb 8% TUA pieprasījumu), Izraēlas (81 TUA pieprasījums) un ASV (60 TUA pieprasījumi). Aplūkojot TUA pieteicēju valstspiederības īpatsvara dinamiku pa gadiem, jāsecina, ka Krievijas Federācijas pilsoņu pieteikumu skaita īpatsvars</w:t>
      </w:r>
      <w:proofErr w:type="gramStart"/>
      <w:r w:rsidRPr="00D22862">
        <w:rPr>
          <w:rFonts w:ascii="Times New Roman" w:hAnsi="Times New Roman"/>
          <w:sz w:val="26"/>
          <w:szCs w:val="26"/>
        </w:rPr>
        <w:t xml:space="preserve">  </w:t>
      </w:r>
      <w:proofErr w:type="gramEnd"/>
      <w:r w:rsidRPr="00D22862">
        <w:rPr>
          <w:rFonts w:ascii="Times New Roman" w:hAnsi="Times New Roman"/>
          <w:sz w:val="26"/>
          <w:szCs w:val="26"/>
        </w:rPr>
        <w:t>kopējā TUA pieteikto personu skaitā samazinās, 2014.gadā veidojot 67% no kopējā pieteikumu skaita, 2015.gadā un 2016.gada I pusgadā – 57% no kopējā pieteikumu skaita. Ķīnas pilsoņu pieteikumu skaita īpatsvars no 2014.gada ir samazinājies par 3%. Par 2% no 2014.gada palielinājies Ukrainas pilsoņu pieprasījumu skaita īpatsvars.</w:t>
      </w:r>
    </w:p>
    <w:p w:rsidR="00034C68" w:rsidRPr="00FD3346" w:rsidRDefault="00710AC7" w:rsidP="00034C68">
      <w:pPr>
        <w:keepNext/>
        <w:spacing w:after="120" w:line="240" w:lineRule="auto"/>
        <w:jc w:val="right"/>
        <w:rPr>
          <w:rFonts w:ascii="Times New Roman" w:eastAsiaTheme="minorHAnsi" w:hAnsi="Times New Roman" w:cstheme="minorBidi"/>
          <w:sz w:val="26"/>
          <w:szCs w:val="26"/>
        </w:rPr>
      </w:pPr>
      <w:r>
        <w:rPr>
          <w:rFonts w:ascii="Times New Roman" w:eastAsiaTheme="minorHAnsi" w:hAnsi="Times New Roman" w:cstheme="minorBidi"/>
          <w:sz w:val="26"/>
          <w:szCs w:val="26"/>
        </w:rPr>
        <w:lastRenderedPageBreak/>
        <w:t>4</w:t>
      </w:r>
      <w:r w:rsidR="00034C68" w:rsidRPr="00FD3346">
        <w:rPr>
          <w:rFonts w:ascii="Times New Roman" w:eastAsiaTheme="minorHAnsi" w:hAnsi="Times New Roman" w:cstheme="minorBidi"/>
          <w:sz w:val="26"/>
          <w:szCs w:val="26"/>
        </w:rPr>
        <w:t>.attēls</w:t>
      </w:r>
    </w:p>
    <w:p w:rsidR="00034C68" w:rsidRPr="00FD3346" w:rsidRDefault="00034C68" w:rsidP="00034C68">
      <w:pPr>
        <w:keepNext/>
        <w:spacing w:after="120" w:line="240" w:lineRule="auto"/>
        <w:ind w:firstLine="426"/>
        <w:jc w:val="center"/>
        <w:rPr>
          <w:rFonts w:ascii="Times New Roman" w:eastAsiaTheme="minorHAnsi" w:hAnsi="Times New Roman" w:cstheme="minorBidi"/>
          <w:b/>
          <w:color w:val="4F81BD" w:themeColor="accent1"/>
          <w:sz w:val="24"/>
          <w:szCs w:val="24"/>
        </w:rPr>
      </w:pPr>
      <w:r w:rsidRPr="00FD3346">
        <w:rPr>
          <w:rFonts w:ascii="Times New Roman" w:eastAsiaTheme="minorHAnsi" w:hAnsi="Times New Roman" w:cstheme="minorBidi"/>
          <w:b/>
          <w:sz w:val="24"/>
          <w:szCs w:val="24"/>
        </w:rPr>
        <w:t xml:space="preserve">Neto ĀTI plūsmas Latvijā un uz TUA attiecināmie ieguldījumi, milj. </w:t>
      </w:r>
      <w:proofErr w:type="spellStart"/>
      <w:r w:rsidRPr="00FD3346">
        <w:rPr>
          <w:rFonts w:ascii="Times New Roman" w:eastAsiaTheme="minorHAnsi" w:hAnsi="Times New Roman" w:cstheme="minorBidi"/>
          <w:b/>
          <w:i/>
          <w:sz w:val="24"/>
          <w:szCs w:val="24"/>
        </w:rPr>
        <w:t>euro</w:t>
      </w:r>
      <w:proofErr w:type="spellEnd"/>
    </w:p>
    <w:p w:rsidR="00034C68" w:rsidRPr="00FD3346" w:rsidRDefault="00034C68" w:rsidP="00034C68">
      <w:pPr>
        <w:keepNext/>
        <w:spacing w:after="120" w:line="240" w:lineRule="auto"/>
        <w:ind w:firstLine="426"/>
        <w:jc w:val="both"/>
        <w:rPr>
          <w:rFonts w:ascii="Times New Roman" w:eastAsiaTheme="minorHAnsi" w:hAnsi="Times New Roman" w:cstheme="minorBidi"/>
          <w:sz w:val="26"/>
          <w:szCs w:val="26"/>
        </w:rPr>
      </w:pPr>
      <w:r w:rsidRPr="00FD3346">
        <w:rPr>
          <w:rFonts w:ascii="Times New Roman" w:eastAsiaTheme="minorHAnsi" w:hAnsi="Times New Roman" w:cstheme="minorBidi"/>
          <w:noProof/>
          <w:sz w:val="26"/>
          <w:szCs w:val="26"/>
          <w:lang w:eastAsia="lv-LV"/>
        </w:rPr>
        <w:drawing>
          <wp:inline distT="0" distB="0" distL="0" distR="0">
            <wp:extent cx="5314950" cy="31337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4C68" w:rsidRDefault="00034C68" w:rsidP="00034C68">
      <w:pPr>
        <w:spacing w:after="0" w:line="240" w:lineRule="auto"/>
        <w:ind w:firstLine="567"/>
        <w:jc w:val="both"/>
        <w:rPr>
          <w:rFonts w:ascii="Times New Roman" w:eastAsiaTheme="minorHAnsi" w:hAnsi="Times New Roman" w:cstheme="minorBidi"/>
          <w:i/>
          <w:sz w:val="24"/>
        </w:rPr>
      </w:pPr>
      <w:r w:rsidRPr="00FD3346">
        <w:rPr>
          <w:rFonts w:ascii="Times New Roman" w:eastAsiaTheme="minorHAnsi" w:hAnsi="Times New Roman" w:cstheme="minorBidi"/>
          <w:i/>
          <w:sz w:val="24"/>
        </w:rPr>
        <w:t>Avots: Latvijas Banka, PMLP</w:t>
      </w:r>
    </w:p>
    <w:p w:rsidR="00034C68" w:rsidRDefault="00034C68" w:rsidP="00034C68">
      <w:pPr>
        <w:spacing w:after="120" w:line="240" w:lineRule="auto"/>
        <w:ind w:firstLine="567"/>
        <w:jc w:val="both"/>
        <w:rPr>
          <w:rFonts w:ascii="Times New Roman" w:hAnsi="Times New Roman"/>
          <w:sz w:val="26"/>
          <w:szCs w:val="26"/>
        </w:rPr>
      </w:pPr>
    </w:p>
    <w:p w:rsidR="00034C68" w:rsidRDefault="00034C68" w:rsidP="00034C68">
      <w:pPr>
        <w:spacing w:after="120" w:line="240" w:lineRule="auto"/>
        <w:ind w:firstLine="567"/>
        <w:jc w:val="both"/>
        <w:rPr>
          <w:rFonts w:ascii="Times New Roman" w:hAnsi="Times New Roman"/>
          <w:sz w:val="26"/>
          <w:szCs w:val="26"/>
        </w:rPr>
      </w:pPr>
      <w:r w:rsidRPr="00FD3346">
        <w:rPr>
          <w:rFonts w:ascii="Times New Roman" w:hAnsi="Times New Roman"/>
          <w:sz w:val="26"/>
          <w:szCs w:val="26"/>
        </w:rPr>
        <w:t xml:space="preserve">Pēc </w:t>
      </w:r>
      <w:proofErr w:type="gramStart"/>
      <w:r w:rsidRPr="00FD3346">
        <w:rPr>
          <w:rFonts w:ascii="Times New Roman" w:hAnsi="Times New Roman"/>
          <w:sz w:val="26"/>
          <w:szCs w:val="26"/>
        </w:rPr>
        <w:t>būtiska</w:t>
      </w:r>
      <w:r>
        <w:rPr>
          <w:rFonts w:ascii="Times New Roman" w:hAnsi="Times New Roman"/>
          <w:sz w:val="26"/>
          <w:szCs w:val="26"/>
        </w:rPr>
        <w:t>s</w:t>
      </w:r>
      <w:r w:rsidRPr="00FD3346">
        <w:rPr>
          <w:rFonts w:ascii="Times New Roman" w:hAnsi="Times New Roman"/>
          <w:sz w:val="26"/>
          <w:szCs w:val="26"/>
        </w:rPr>
        <w:t xml:space="preserve"> ĀTI</w:t>
      </w:r>
      <w:proofErr w:type="gramEnd"/>
      <w:r w:rsidRPr="00FD3346">
        <w:rPr>
          <w:rFonts w:ascii="Times New Roman" w:hAnsi="Times New Roman"/>
          <w:sz w:val="26"/>
          <w:szCs w:val="26"/>
        </w:rPr>
        <w:t xml:space="preserve"> Latvijā samazināšanās 2009. un 2010.gadā, tās atkal ievērojami pieauga 2011.gadā. Tajā pašā laikā pieauga arī ar TUA saistīto ieguldījumu apmērs attiecībā uz ĀTI (skatīt </w:t>
      </w:r>
      <w:r w:rsidR="00337275">
        <w:rPr>
          <w:rFonts w:ascii="Times New Roman" w:hAnsi="Times New Roman"/>
          <w:sz w:val="26"/>
          <w:szCs w:val="26"/>
        </w:rPr>
        <w:t>4</w:t>
      </w:r>
      <w:r w:rsidRPr="00FD3346">
        <w:rPr>
          <w:rFonts w:ascii="Times New Roman" w:hAnsi="Times New Roman"/>
          <w:sz w:val="26"/>
          <w:szCs w:val="26"/>
        </w:rPr>
        <w:t>.attēlu), 2014.gadā pārsniedzot ĀTI. 2016.gada 1.pusgadā ĀTI plūsma, salīdzinot ar 2015.gadu, ir ievērojami samazinājusies un kļuvusi negatīva. Vienlaikus, arī ar TUA saņemšanu saistītie ieguldījumi, salīdzinot ar</w:t>
      </w:r>
      <w:proofErr w:type="gramStart"/>
      <w:r w:rsidRPr="00FD3346">
        <w:rPr>
          <w:rFonts w:ascii="Times New Roman" w:hAnsi="Times New Roman"/>
          <w:sz w:val="26"/>
          <w:szCs w:val="26"/>
        </w:rPr>
        <w:t xml:space="preserve">  </w:t>
      </w:r>
      <w:proofErr w:type="gramEnd"/>
      <w:r w:rsidRPr="00FD3346">
        <w:rPr>
          <w:rFonts w:ascii="Times New Roman" w:hAnsi="Times New Roman"/>
          <w:sz w:val="26"/>
          <w:szCs w:val="26"/>
        </w:rPr>
        <w:t>2015.gadu, ir samazinājušies. Paredzams, ka 2016.gadā ar TUA saistītie ieguldījumi nesasniegs iepriekšējā gada rādītājus. Jāņem vērā fakts, ka lielāko daļu no uz TUA attiecināmajiem ieguldījumiem veidoja ieguldījumi nekustamajā īpašumā. Šāda tipa investīciju piesaistē Latvija konkurē ar citām ES valstīm (piemēram, Ungāriju, Čehiju, Bulgāriju) un it īpaši sava reģiona valstīm</w:t>
      </w:r>
      <w:r w:rsidRPr="00FD3346">
        <w:rPr>
          <w:rStyle w:val="FootnoteReference"/>
          <w:rFonts w:ascii="Times New Roman" w:hAnsi="Times New Roman"/>
          <w:sz w:val="26"/>
          <w:szCs w:val="26"/>
        </w:rPr>
        <w:footnoteReference w:id="3"/>
      </w:r>
      <w:r w:rsidRPr="00FD3346">
        <w:rPr>
          <w:rFonts w:ascii="Times New Roman" w:hAnsi="Times New Roman"/>
          <w:sz w:val="26"/>
          <w:szCs w:val="26"/>
        </w:rPr>
        <w:t>. Vienlaikus jāņem vērā, ka vairākās Eiropas Savienības valstīs darbojas līdzīgas biznesa investoru imigrācijas programmas, kas ir vērā ņemams finanšu piesaistes instruments. Līdzšinējais investīciju programmas regulējums ir pozitīvi ietekmējis investīciju pieplūdi Latvijā.</w:t>
      </w:r>
    </w:p>
    <w:p w:rsidR="00FF58A0" w:rsidRPr="002B4D22" w:rsidRDefault="00FF58A0" w:rsidP="00034C68">
      <w:pPr>
        <w:spacing w:after="120" w:line="240" w:lineRule="auto"/>
        <w:ind w:firstLine="567"/>
        <w:jc w:val="both"/>
        <w:rPr>
          <w:rFonts w:ascii="Times New Roman" w:hAnsi="Times New Roman"/>
          <w:sz w:val="26"/>
          <w:szCs w:val="26"/>
        </w:rPr>
      </w:pPr>
    </w:p>
    <w:p w:rsidR="00034C68" w:rsidRDefault="00034C68" w:rsidP="00034C68">
      <w:pPr>
        <w:spacing w:after="120" w:line="240" w:lineRule="auto"/>
        <w:ind w:firstLine="567"/>
        <w:jc w:val="center"/>
        <w:rPr>
          <w:rFonts w:ascii="Times New Roman" w:hAnsi="Times New Roman"/>
          <w:b/>
          <w:sz w:val="26"/>
          <w:szCs w:val="26"/>
        </w:rPr>
      </w:pPr>
      <w:r w:rsidRPr="00034C68">
        <w:rPr>
          <w:rFonts w:ascii="Times New Roman" w:hAnsi="Times New Roman"/>
          <w:b/>
          <w:sz w:val="26"/>
          <w:szCs w:val="26"/>
        </w:rPr>
        <w:t>Ar investīciju programmu saistīto uzņēmumu nomaksātie nodokļi</w:t>
      </w:r>
    </w:p>
    <w:p w:rsidR="00FF58A0" w:rsidRPr="00034C68" w:rsidRDefault="00FF58A0" w:rsidP="00034C68">
      <w:pPr>
        <w:spacing w:after="120" w:line="240" w:lineRule="auto"/>
        <w:ind w:firstLine="567"/>
        <w:jc w:val="center"/>
        <w:rPr>
          <w:rFonts w:ascii="Times New Roman" w:hAnsi="Times New Roman"/>
          <w:b/>
          <w:sz w:val="26"/>
          <w:szCs w:val="26"/>
        </w:rPr>
      </w:pPr>
    </w:p>
    <w:p w:rsidR="00034C68" w:rsidRDefault="00034C68" w:rsidP="00034C68">
      <w:pPr>
        <w:spacing w:after="120" w:line="240" w:lineRule="auto"/>
        <w:ind w:firstLine="567"/>
        <w:jc w:val="both"/>
        <w:rPr>
          <w:rFonts w:ascii="Times New Roman" w:hAnsi="Times New Roman"/>
          <w:sz w:val="26"/>
          <w:szCs w:val="26"/>
          <w:lang w:eastAsia="lv-LV"/>
        </w:rPr>
      </w:pPr>
      <w:r w:rsidRPr="00DB6DBD">
        <w:rPr>
          <w:rFonts w:ascii="Times New Roman" w:hAnsi="Times New Roman"/>
          <w:sz w:val="26"/>
          <w:szCs w:val="26"/>
          <w:lang w:eastAsia="lv-LV"/>
        </w:rPr>
        <w:t xml:space="preserve">Saskaņā ar VID sniegto informāciju, uzņēmumi, kuros </w:t>
      </w:r>
      <w:r>
        <w:rPr>
          <w:rFonts w:ascii="Times New Roman" w:hAnsi="Times New Roman"/>
          <w:sz w:val="26"/>
          <w:szCs w:val="26"/>
          <w:lang w:eastAsia="lv-LV"/>
        </w:rPr>
        <w:t xml:space="preserve">ar investīciju programmu saistīto </w:t>
      </w:r>
      <w:r w:rsidRPr="00DB6DBD">
        <w:rPr>
          <w:rFonts w:ascii="Times New Roman" w:hAnsi="Times New Roman"/>
          <w:sz w:val="26"/>
          <w:szCs w:val="26"/>
          <w:lang w:eastAsia="lv-LV"/>
        </w:rPr>
        <w:t>TUA saņēmējiem (pieteikuma iesniedzējiem) uz 2016.gada 1.jūliju piederēja īpašumtiesību daļas, 201</w:t>
      </w:r>
      <w:r>
        <w:rPr>
          <w:rFonts w:ascii="Times New Roman" w:hAnsi="Times New Roman"/>
          <w:sz w:val="26"/>
          <w:szCs w:val="26"/>
          <w:lang w:eastAsia="lv-LV"/>
        </w:rPr>
        <w:t>4</w:t>
      </w:r>
      <w:r w:rsidRPr="00DB6DBD">
        <w:rPr>
          <w:rFonts w:ascii="Times New Roman" w:hAnsi="Times New Roman"/>
          <w:sz w:val="26"/>
          <w:szCs w:val="26"/>
          <w:lang w:eastAsia="lv-LV"/>
        </w:rPr>
        <w:t>.gadā valsts budžetā ir iemaksājuši nodokļus (atskaitot no valsts budžeta atmaksātos nodokļus) 17,3</w:t>
      </w:r>
      <w:r>
        <w:rPr>
          <w:rFonts w:ascii="Times New Roman" w:hAnsi="Times New Roman"/>
          <w:sz w:val="26"/>
          <w:szCs w:val="26"/>
          <w:lang w:eastAsia="lv-LV"/>
        </w:rPr>
        <w:t>5</w:t>
      </w:r>
      <w:r w:rsidRPr="00DB6DBD">
        <w:rPr>
          <w:rFonts w:ascii="Times New Roman" w:hAnsi="Times New Roman"/>
          <w:sz w:val="26"/>
          <w:szCs w:val="26"/>
          <w:lang w:eastAsia="lv-LV"/>
        </w:rPr>
        <w:t xml:space="preserve"> milj. </w:t>
      </w:r>
      <w:proofErr w:type="spellStart"/>
      <w:r w:rsidRPr="00DB6DBD">
        <w:rPr>
          <w:rFonts w:ascii="Times New Roman" w:hAnsi="Times New Roman"/>
          <w:i/>
          <w:sz w:val="26"/>
          <w:szCs w:val="26"/>
          <w:lang w:eastAsia="lv-LV"/>
        </w:rPr>
        <w:t>euro</w:t>
      </w:r>
      <w:proofErr w:type="spellEnd"/>
      <w:r w:rsidRPr="00DB6DBD">
        <w:rPr>
          <w:rFonts w:ascii="Times New Roman" w:hAnsi="Times New Roman"/>
          <w:sz w:val="26"/>
          <w:szCs w:val="26"/>
          <w:lang w:eastAsia="lv-LV"/>
        </w:rPr>
        <w:t xml:space="preserve"> apmērā, 2015.gadā – 22,8 milj. </w:t>
      </w:r>
      <w:proofErr w:type="spellStart"/>
      <w:r w:rsidRPr="00DB6DBD">
        <w:rPr>
          <w:rFonts w:ascii="Times New Roman" w:hAnsi="Times New Roman"/>
          <w:i/>
          <w:sz w:val="26"/>
          <w:szCs w:val="26"/>
          <w:lang w:eastAsia="lv-LV"/>
        </w:rPr>
        <w:t>euro</w:t>
      </w:r>
      <w:proofErr w:type="spellEnd"/>
      <w:r w:rsidRPr="00DB6DBD">
        <w:rPr>
          <w:rFonts w:ascii="Times New Roman" w:hAnsi="Times New Roman"/>
          <w:sz w:val="26"/>
          <w:szCs w:val="26"/>
          <w:lang w:eastAsia="lv-LV"/>
        </w:rPr>
        <w:t xml:space="preserve"> apmērā, bet 2016.gada </w:t>
      </w:r>
      <w:r>
        <w:rPr>
          <w:rFonts w:ascii="Times New Roman" w:hAnsi="Times New Roman"/>
          <w:sz w:val="26"/>
          <w:szCs w:val="26"/>
          <w:lang w:eastAsia="lv-LV"/>
        </w:rPr>
        <w:t>1</w:t>
      </w:r>
      <w:r w:rsidRPr="00DB6DBD">
        <w:rPr>
          <w:rFonts w:ascii="Times New Roman" w:hAnsi="Times New Roman"/>
          <w:sz w:val="26"/>
          <w:szCs w:val="26"/>
          <w:lang w:eastAsia="lv-LV"/>
        </w:rPr>
        <w:t xml:space="preserve">.pusgadā 11,4 milj. </w:t>
      </w:r>
      <w:proofErr w:type="spellStart"/>
      <w:r w:rsidRPr="00DB6DBD">
        <w:rPr>
          <w:rFonts w:ascii="Times New Roman" w:hAnsi="Times New Roman"/>
          <w:i/>
          <w:sz w:val="26"/>
          <w:szCs w:val="26"/>
          <w:lang w:eastAsia="lv-LV"/>
        </w:rPr>
        <w:t>euro</w:t>
      </w:r>
      <w:proofErr w:type="spellEnd"/>
      <w:r>
        <w:rPr>
          <w:rFonts w:ascii="Times New Roman" w:hAnsi="Times New Roman"/>
          <w:i/>
          <w:sz w:val="26"/>
          <w:szCs w:val="26"/>
          <w:lang w:eastAsia="lv-LV"/>
        </w:rPr>
        <w:t xml:space="preserve"> </w:t>
      </w:r>
      <w:r w:rsidRPr="008C4A16">
        <w:rPr>
          <w:rFonts w:ascii="Times New Roman" w:hAnsi="Times New Roman"/>
          <w:sz w:val="26"/>
          <w:szCs w:val="26"/>
          <w:lang w:eastAsia="lv-LV"/>
        </w:rPr>
        <w:t>apmērā</w:t>
      </w:r>
      <w:r>
        <w:rPr>
          <w:rFonts w:ascii="Times New Roman" w:hAnsi="Times New Roman"/>
          <w:sz w:val="26"/>
          <w:szCs w:val="26"/>
          <w:lang w:eastAsia="lv-LV"/>
        </w:rPr>
        <w:t xml:space="preserve"> (</w:t>
      </w:r>
      <w:r w:rsidRPr="00846FB5">
        <w:rPr>
          <w:rFonts w:ascii="Times New Roman" w:hAnsi="Times New Roman"/>
          <w:i/>
          <w:sz w:val="26"/>
          <w:szCs w:val="26"/>
          <w:lang w:eastAsia="lv-LV"/>
        </w:rPr>
        <w:t xml:space="preserve">detalizēta informācija </w:t>
      </w:r>
      <w:r w:rsidRPr="00846FB5">
        <w:rPr>
          <w:rFonts w:ascii="Times New Roman" w:hAnsi="Times New Roman"/>
          <w:i/>
          <w:sz w:val="26"/>
          <w:szCs w:val="26"/>
          <w:lang w:eastAsia="lv-LV"/>
        </w:rPr>
        <w:lastRenderedPageBreak/>
        <w:t>par uzņēmumu, kuri saistīti ar investīciju programmas ietvaros izsniegto TUA saņēmējiem, nomaksātajiem nodokļiem pielikumā Nr.5</w:t>
      </w:r>
      <w:r>
        <w:rPr>
          <w:rFonts w:ascii="Times New Roman" w:hAnsi="Times New Roman"/>
          <w:sz w:val="26"/>
          <w:szCs w:val="26"/>
          <w:lang w:eastAsia="lv-LV"/>
        </w:rPr>
        <w:t xml:space="preserve">). </w:t>
      </w:r>
    </w:p>
    <w:p w:rsidR="00034C68" w:rsidRPr="003870DA" w:rsidRDefault="00034C68" w:rsidP="00034C68">
      <w:pPr>
        <w:spacing w:after="120" w:line="240" w:lineRule="auto"/>
        <w:ind w:firstLine="567"/>
        <w:jc w:val="both"/>
        <w:rPr>
          <w:rFonts w:ascii="Times New Roman" w:hAnsi="Times New Roman"/>
          <w:sz w:val="26"/>
          <w:szCs w:val="26"/>
        </w:rPr>
      </w:pPr>
      <w:r>
        <w:rPr>
          <w:rFonts w:ascii="Times New Roman" w:hAnsi="Times New Roman"/>
          <w:sz w:val="26"/>
          <w:szCs w:val="26"/>
        </w:rPr>
        <w:t xml:space="preserve">Tāpat, saskaņā ar VID sniegto informāciju, uzņēmumi, kuros ar investīciju programmu saistītie TUA saņēmēji (pieteikuma iesniedzēji) uz 2016.gada 1.jūliju ieņēma kādu amatu valdē, </w:t>
      </w:r>
      <w:r w:rsidRPr="003870DA">
        <w:rPr>
          <w:rFonts w:ascii="Times New Roman" w:hAnsi="Times New Roman"/>
          <w:sz w:val="26"/>
          <w:szCs w:val="26"/>
        </w:rPr>
        <w:t xml:space="preserve">2015.gadā ir nomaksājuši Uzņēmumu ienākumu nodokli 7,19 milj. </w:t>
      </w:r>
      <w:proofErr w:type="spellStart"/>
      <w:r w:rsidRPr="003870DA">
        <w:rPr>
          <w:rFonts w:ascii="Times New Roman" w:hAnsi="Times New Roman"/>
          <w:i/>
          <w:sz w:val="26"/>
          <w:szCs w:val="26"/>
        </w:rPr>
        <w:t>euro</w:t>
      </w:r>
      <w:proofErr w:type="spellEnd"/>
      <w:r w:rsidRPr="003870DA">
        <w:rPr>
          <w:rFonts w:ascii="Times New Roman" w:hAnsi="Times New Roman"/>
          <w:sz w:val="26"/>
          <w:szCs w:val="26"/>
        </w:rPr>
        <w:t xml:space="preserve"> apmērā, bet Iedzīvotāju ienākuma nodokli un Sociālās apdrošināšanas iemaksas 24,46 milj. </w:t>
      </w:r>
      <w:proofErr w:type="spellStart"/>
      <w:r w:rsidRPr="0095334E">
        <w:rPr>
          <w:rFonts w:ascii="Times New Roman" w:hAnsi="Times New Roman"/>
          <w:i/>
          <w:sz w:val="26"/>
          <w:szCs w:val="26"/>
        </w:rPr>
        <w:t>euro</w:t>
      </w:r>
      <w:proofErr w:type="spellEnd"/>
      <w:r w:rsidRPr="003870DA">
        <w:rPr>
          <w:rFonts w:ascii="Times New Roman" w:hAnsi="Times New Roman"/>
          <w:sz w:val="26"/>
          <w:szCs w:val="26"/>
        </w:rPr>
        <w:t xml:space="preserve"> apmērā.</w:t>
      </w:r>
      <w:proofErr w:type="gramStart"/>
      <w:r w:rsidRPr="003870DA">
        <w:rPr>
          <w:rFonts w:ascii="Times New Roman" w:hAnsi="Times New Roman"/>
          <w:sz w:val="26"/>
          <w:szCs w:val="26"/>
        </w:rPr>
        <w:t xml:space="preserve">  </w:t>
      </w:r>
      <w:proofErr w:type="gramEnd"/>
    </w:p>
    <w:p w:rsidR="00034C68" w:rsidRDefault="00034C68" w:rsidP="00034C68">
      <w:pPr>
        <w:spacing w:after="120" w:line="240" w:lineRule="auto"/>
        <w:ind w:firstLine="567"/>
        <w:jc w:val="both"/>
        <w:rPr>
          <w:rFonts w:ascii="Times New Roman" w:hAnsi="Times New Roman"/>
          <w:sz w:val="26"/>
          <w:szCs w:val="26"/>
        </w:rPr>
      </w:pPr>
      <w:r w:rsidRPr="00503980">
        <w:rPr>
          <w:rFonts w:ascii="Times New Roman" w:hAnsi="Times New Roman"/>
          <w:sz w:val="26"/>
          <w:szCs w:val="26"/>
        </w:rPr>
        <w:t>Nodevas “Par vīzas un uzturēšanās atļaujas pieprasīšanai nepieciešamo dokumentu izskatīšanai un ar to saistītajiem pakalpojumiem” no 2010.gada 1.jūlija līdz 2016.gada 30.jūnijam iekasētas 5,8 milj. </w:t>
      </w:r>
      <w:proofErr w:type="spellStart"/>
      <w:r w:rsidRPr="00503980">
        <w:rPr>
          <w:rFonts w:ascii="Times New Roman" w:hAnsi="Times New Roman"/>
          <w:i/>
          <w:sz w:val="26"/>
          <w:szCs w:val="26"/>
        </w:rPr>
        <w:t>euro</w:t>
      </w:r>
      <w:proofErr w:type="spellEnd"/>
      <w:r w:rsidRPr="00503980">
        <w:rPr>
          <w:rFonts w:ascii="Times New Roman" w:hAnsi="Times New Roman"/>
          <w:sz w:val="26"/>
          <w:szCs w:val="26"/>
        </w:rPr>
        <w:t xml:space="preserve"> apmērā, savukārt nodevas “Par īpašuma tiesību nostiprināšanu zemesgrāmatā” iekasētas aptuveni 22,4 milj. </w:t>
      </w:r>
      <w:proofErr w:type="spellStart"/>
      <w:r w:rsidRPr="00503980">
        <w:rPr>
          <w:rFonts w:ascii="Times New Roman" w:hAnsi="Times New Roman"/>
          <w:i/>
          <w:sz w:val="26"/>
          <w:szCs w:val="26"/>
        </w:rPr>
        <w:t>euro</w:t>
      </w:r>
      <w:proofErr w:type="spellEnd"/>
      <w:r w:rsidRPr="00503980">
        <w:rPr>
          <w:rFonts w:ascii="Times New Roman" w:hAnsi="Times New Roman"/>
          <w:i/>
          <w:sz w:val="26"/>
          <w:szCs w:val="26"/>
        </w:rPr>
        <w:t xml:space="preserve"> </w:t>
      </w:r>
      <w:r w:rsidRPr="00503980">
        <w:rPr>
          <w:rFonts w:ascii="Times New Roman" w:hAnsi="Times New Roman"/>
          <w:sz w:val="26"/>
          <w:szCs w:val="26"/>
        </w:rPr>
        <w:t>apmērā</w:t>
      </w:r>
      <w:r w:rsidRPr="00503980">
        <w:rPr>
          <w:rStyle w:val="FootnoteReference"/>
          <w:rFonts w:ascii="Times New Roman" w:hAnsi="Times New Roman"/>
          <w:sz w:val="26"/>
          <w:szCs w:val="26"/>
        </w:rPr>
        <w:footnoteReference w:id="4"/>
      </w:r>
      <w:r w:rsidR="00A67CA7">
        <w:rPr>
          <w:rFonts w:ascii="Times New Roman" w:hAnsi="Times New Roman"/>
          <w:sz w:val="26"/>
          <w:szCs w:val="26"/>
        </w:rPr>
        <w:t>.</w:t>
      </w:r>
    </w:p>
    <w:p w:rsidR="00FF58A0" w:rsidRDefault="00FF58A0" w:rsidP="00034C68">
      <w:pPr>
        <w:spacing w:after="120" w:line="240" w:lineRule="auto"/>
        <w:ind w:firstLine="567"/>
        <w:jc w:val="both"/>
        <w:rPr>
          <w:rFonts w:ascii="Times New Roman" w:hAnsi="Times New Roman"/>
          <w:sz w:val="26"/>
          <w:szCs w:val="26"/>
        </w:rPr>
      </w:pPr>
    </w:p>
    <w:p w:rsidR="00A67CA7" w:rsidRDefault="00A67CA7" w:rsidP="00A67CA7">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Investīcijas nekustamajā īpašumā</w:t>
      </w:r>
    </w:p>
    <w:p w:rsidR="00FF58A0" w:rsidRPr="00A67CA7" w:rsidRDefault="00FF58A0" w:rsidP="00A67CA7">
      <w:pPr>
        <w:spacing w:after="120" w:line="240" w:lineRule="auto"/>
        <w:ind w:firstLine="567"/>
        <w:jc w:val="center"/>
        <w:rPr>
          <w:rFonts w:ascii="Times New Roman" w:hAnsi="Times New Roman"/>
          <w:b/>
          <w:sz w:val="26"/>
          <w:szCs w:val="26"/>
        </w:rPr>
      </w:pPr>
    </w:p>
    <w:p w:rsidR="00CB2A3D" w:rsidRDefault="00AB3AEF" w:rsidP="00D22CD2">
      <w:pPr>
        <w:spacing w:after="120" w:line="240" w:lineRule="auto"/>
        <w:ind w:firstLine="567"/>
        <w:jc w:val="both"/>
        <w:rPr>
          <w:rFonts w:ascii="Times New Roman" w:hAnsi="Times New Roman"/>
          <w:sz w:val="26"/>
          <w:szCs w:val="26"/>
        </w:rPr>
      </w:pPr>
      <w:r w:rsidRPr="002B4D22">
        <w:rPr>
          <w:rFonts w:ascii="Times New Roman" w:hAnsi="Times New Roman"/>
          <w:sz w:val="26"/>
          <w:szCs w:val="26"/>
        </w:rPr>
        <w:t>No 2010.gada 1.jūlija līdz 201</w:t>
      </w:r>
      <w:r>
        <w:rPr>
          <w:rFonts w:ascii="Times New Roman" w:hAnsi="Times New Roman"/>
          <w:sz w:val="26"/>
          <w:szCs w:val="26"/>
        </w:rPr>
        <w:t>6</w:t>
      </w:r>
      <w:r w:rsidRPr="002B4D22">
        <w:rPr>
          <w:rFonts w:ascii="Times New Roman" w:hAnsi="Times New Roman"/>
          <w:sz w:val="26"/>
          <w:szCs w:val="26"/>
        </w:rPr>
        <w:t>.gada 30.jūnijam</w:t>
      </w:r>
      <w:r>
        <w:rPr>
          <w:rFonts w:ascii="Times New Roman" w:hAnsi="Times New Roman"/>
          <w:sz w:val="26"/>
          <w:szCs w:val="26"/>
        </w:rPr>
        <w:t xml:space="preserve"> Latvijas nekustamo īpašumu tirgū notikuši ar TUA saņemšanu par nekustamā īpašuma iegādi saistīti darījumi ar kopējo </w:t>
      </w:r>
      <w:r w:rsidRPr="00CB2A3D">
        <w:rPr>
          <w:rFonts w:ascii="Times New Roman" w:hAnsi="Times New Roman"/>
          <w:sz w:val="26"/>
          <w:szCs w:val="26"/>
        </w:rPr>
        <w:t xml:space="preserve">1,154 </w:t>
      </w:r>
      <w:proofErr w:type="spellStart"/>
      <w:r w:rsidRPr="00CB2A3D">
        <w:rPr>
          <w:rFonts w:ascii="Times New Roman" w:hAnsi="Times New Roman"/>
          <w:sz w:val="26"/>
          <w:szCs w:val="26"/>
        </w:rPr>
        <w:t>miljr</w:t>
      </w:r>
      <w:proofErr w:type="spellEnd"/>
      <w:r w:rsidRPr="00CB2A3D">
        <w:rPr>
          <w:rFonts w:ascii="Times New Roman" w:hAnsi="Times New Roman"/>
          <w:sz w:val="26"/>
          <w:szCs w:val="26"/>
        </w:rPr>
        <w:t>.</w:t>
      </w:r>
      <w:r>
        <w:rPr>
          <w:rFonts w:ascii="Times New Roman" w:hAnsi="Times New Roman"/>
          <w:sz w:val="26"/>
          <w:szCs w:val="26"/>
        </w:rPr>
        <w:t xml:space="preserve"> </w:t>
      </w:r>
      <w:proofErr w:type="spellStart"/>
      <w:r w:rsidRPr="001C75C3">
        <w:rPr>
          <w:rFonts w:ascii="Times New Roman" w:hAnsi="Times New Roman"/>
          <w:i/>
          <w:sz w:val="26"/>
          <w:szCs w:val="26"/>
        </w:rPr>
        <w:t>euro</w:t>
      </w:r>
      <w:proofErr w:type="spellEnd"/>
      <w:r>
        <w:rPr>
          <w:rFonts w:ascii="Times New Roman" w:hAnsi="Times New Roman"/>
          <w:i/>
          <w:sz w:val="26"/>
          <w:szCs w:val="26"/>
        </w:rPr>
        <w:t xml:space="preserve"> </w:t>
      </w:r>
      <w:r w:rsidRPr="00E37862">
        <w:rPr>
          <w:rFonts w:ascii="Times New Roman" w:hAnsi="Times New Roman"/>
          <w:sz w:val="26"/>
          <w:szCs w:val="26"/>
        </w:rPr>
        <w:t>apmērā</w:t>
      </w:r>
      <w:r>
        <w:rPr>
          <w:rFonts w:ascii="Times New Roman" w:hAnsi="Times New Roman"/>
          <w:sz w:val="26"/>
          <w:szCs w:val="26"/>
        </w:rPr>
        <w:t xml:space="preserve"> (</w:t>
      </w:r>
      <w:r w:rsidRPr="00CB2A3D">
        <w:rPr>
          <w:rFonts w:ascii="Times New Roman" w:hAnsi="Times New Roman"/>
          <w:i/>
          <w:sz w:val="26"/>
          <w:szCs w:val="26"/>
        </w:rPr>
        <w:t>detalizētu informāciju par ar TUA saistītām investīcijām nekustamajos īpašumos skatīt pielikumā Nr.</w:t>
      </w:r>
      <w:r w:rsidR="00CB2A3D" w:rsidRPr="00CB2A3D">
        <w:rPr>
          <w:rFonts w:ascii="Times New Roman" w:hAnsi="Times New Roman"/>
          <w:i/>
          <w:sz w:val="26"/>
          <w:szCs w:val="26"/>
        </w:rPr>
        <w:t>2</w:t>
      </w:r>
      <w:r>
        <w:rPr>
          <w:rFonts w:ascii="Times New Roman" w:hAnsi="Times New Roman"/>
          <w:sz w:val="26"/>
          <w:szCs w:val="26"/>
        </w:rPr>
        <w:t xml:space="preserve">). </w:t>
      </w:r>
    </w:p>
    <w:p w:rsidR="00AB3AEF" w:rsidRDefault="00AB3AEF" w:rsidP="00D22CD2">
      <w:pPr>
        <w:spacing w:after="120" w:line="240" w:lineRule="auto"/>
        <w:ind w:firstLine="567"/>
        <w:jc w:val="both"/>
        <w:rPr>
          <w:rFonts w:ascii="Times New Roman" w:hAnsi="Times New Roman"/>
          <w:sz w:val="26"/>
          <w:szCs w:val="26"/>
        </w:rPr>
      </w:pPr>
      <w:r w:rsidRPr="00C90073">
        <w:rPr>
          <w:rFonts w:ascii="Times New Roman" w:hAnsi="Times New Roman"/>
          <w:color w:val="000000"/>
          <w:sz w:val="26"/>
          <w:szCs w:val="26"/>
        </w:rPr>
        <w:t>Saskaņā ar VZD sniegto informāciju, kopējais nekustamā īpašuma objektu skaits, pret kuriem ir izsniegtas TUA, ir aptuveni 8 000. No tiem aptuveni 78% ir dzīvokļi daudzdzīvokļu mājās, 16% savrupmājās un tikai 6% citos nekustamā īpašuma objektos.</w:t>
      </w:r>
      <w:r>
        <w:rPr>
          <w:rFonts w:ascii="Times New Roman" w:hAnsi="Times New Roman"/>
          <w:color w:val="000000"/>
          <w:sz w:val="26"/>
          <w:szCs w:val="26"/>
        </w:rPr>
        <w:t xml:space="preserve"> </w:t>
      </w:r>
      <w:r w:rsidRPr="00C90073">
        <w:rPr>
          <w:rFonts w:ascii="Times New Roman" w:hAnsi="Times New Roman"/>
          <w:color w:val="000000"/>
          <w:sz w:val="26"/>
          <w:szCs w:val="26"/>
        </w:rPr>
        <w:t>Ārvalstnieku īpašumā Latvijā ir 14% dzīvokļu un 2,5% savrupmāju. Jāatzīmē, ka daļa no ārvalstniekiem faktiski ir Latvijas rezidenti, kuri ir pieņēmuši Krievijas pilsonību pārsvarā dēļ Krievijas Federācijā noteiktā agrāka pensionēšanās vecuma. Ārvalstnieku kategorijā ietilpst arī ES pilsoņi.</w:t>
      </w:r>
    </w:p>
    <w:p w:rsidR="00AB3AEF" w:rsidRDefault="00AB3AEF" w:rsidP="00D22CD2">
      <w:pPr>
        <w:spacing w:after="120" w:line="240" w:lineRule="auto"/>
        <w:ind w:firstLine="567"/>
        <w:jc w:val="both"/>
        <w:rPr>
          <w:rFonts w:ascii="Times New Roman" w:hAnsi="Times New Roman"/>
          <w:sz w:val="26"/>
          <w:szCs w:val="26"/>
        </w:rPr>
      </w:pPr>
      <w:r w:rsidRPr="00A913B2">
        <w:rPr>
          <w:rFonts w:ascii="Times New Roman" w:hAnsi="Times New Roman"/>
          <w:sz w:val="26"/>
          <w:szCs w:val="26"/>
        </w:rPr>
        <w:t xml:space="preserve">2015.gada 1.pusgadā, salīdzinot ar 2014.gada 1.pusgadu, ar TUA saņemšanu saistītās investīcijas nekustamajos īpašumos (NĪ iegādes darījumi) samazinājās par 79%, bet 2016.gada 1.pusgadā šāda tipa investīcijas ir samazinājušās par 61% salīdzinot ar 2015.gada 1.pusgadu un par 92% salīdzinot ar 2014.gada 1.pusgadu, sasniedzot 14,15 milj. </w:t>
      </w:r>
      <w:proofErr w:type="spellStart"/>
      <w:r w:rsidRPr="00A913B2">
        <w:rPr>
          <w:rFonts w:ascii="Times New Roman" w:hAnsi="Times New Roman"/>
          <w:i/>
          <w:sz w:val="26"/>
          <w:szCs w:val="26"/>
        </w:rPr>
        <w:t>euro</w:t>
      </w:r>
      <w:proofErr w:type="spellEnd"/>
      <w:r w:rsidRPr="00A913B2">
        <w:rPr>
          <w:rFonts w:ascii="Times New Roman" w:hAnsi="Times New Roman"/>
          <w:sz w:val="26"/>
          <w:szCs w:val="26"/>
        </w:rPr>
        <w:t>.</w:t>
      </w:r>
      <w:r w:rsidRPr="00412F30">
        <w:rPr>
          <w:rFonts w:ascii="Times New Roman" w:hAnsi="Times New Roman"/>
          <w:sz w:val="26"/>
          <w:szCs w:val="26"/>
        </w:rPr>
        <w:t xml:space="preserve"> </w:t>
      </w:r>
      <w:r>
        <w:rPr>
          <w:rFonts w:ascii="Times New Roman" w:hAnsi="Times New Roman"/>
          <w:sz w:val="26"/>
          <w:szCs w:val="26"/>
        </w:rPr>
        <w:t>Darījumu skaits 2016.gada 1.pusgadā ir ievērojami krities (</w:t>
      </w:r>
      <w:r w:rsidRPr="00E35F28">
        <w:rPr>
          <w:rFonts w:ascii="Times New Roman" w:hAnsi="Times New Roman"/>
          <w:sz w:val="26"/>
          <w:szCs w:val="26"/>
        </w:rPr>
        <w:t>līdz 2016.gada 31.jūnijam fiksēts 51 darījums, salīdzinot ar 143 darījumiem attiecīgajā periodā 2015.gadā)</w:t>
      </w:r>
      <w:r>
        <w:rPr>
          <w:rFonts w:ascii="Times New Roman" w:hAnsi="Times New Roman"/>
          <w:sz w:val="26"/>
          <w:szCs w:val="26"/>
        </w:rPr>
        <w:t>. Vienlaikus jāmin, ka s</w:t>
      </w:r>
      <w:r w:rsidRPr="00451797">
        <w:rPr>
          <w:rFonts w:ascii="Times New Roman" w:hAnsi="Times New Roman"/>
          <w:sz w:val="26"/>
          <w:szCs w:val="26"/>
        </w:rPr>
        <w:t>askaņā ar SIA “Latio” 2016. gada mājokļu tirgus pārskatu, 2016. gada pirmajos mēnešos Rīgas un Latvijas reģionu mājokļu tirgū turpinājās iepriekšējos ceturkšņos iesākusies stabilā izaugsme. Pēc 2014. gada beigu un 2015. gada sākuma satricinājuma, kas sekoja grozījumiem Imigrācijas likumā, nozare ir pārkārtojusies</w:t>
      </w:r>
      <w:r>
        <w:rPr>
          <w:rFonts w:ascii="Times New Roman" w:hAnsi="Times New Roman"/>
          <w:sz w:val="26"/>
          <w:szCs w:val="26"/>
        </w:rPr>
        <w:t xml:space="preserve"> uz vietējo pieprasījumu un turpina augt.</w:t>
      </w:r>
      <w:r>
        <w:rPr>
          <w:rStyle w:val="FootnoteReference"/>
          <w:rFonts w:ascii="Times New Roman" w:hAnsi="Times New Roman"/>
          <w:sz w:val="26"/>
          <w:szCs w:val="26"/>
        </w:rPr>
        <w:footnoteReference w:id="5"/>
      </w:r>
      <w:r>
        <w:rPr>
          <w:rFonts w:ascii="Times New Roman" w:hAnsi="Times New Roman"/>
          <w:sz w:val="26"/>
          <w:szCs w:val="26"/>
        </w:rPr>
        <w:t xml:space="preserve"> Saskaņā ar SIA “</w:t>
      </w:r>
      <w:proofErr w:type="spellStart"/>
      <w:r>
        <w:rPr>
          <w:rFonts w:ascii="Times New Roman" w:hAnsi="Times New Roman"/>
          <w:sz w:val="26"/>
          <w:szCs w:val="26"/>
        </w:rPr>
        <w:t>Ober</w:t>
      </w:r>
      <w:proofErr w:type="spellEnd"/>
      <w:r>
        <w:rPr>
          <w:rFonts w:ascii="Times New Roman" w:hAnsi="Times New Roman"/>
          <w:sz w:val="26"/>
          <w:szCs w:val="26"/>
        </w:rPr>
        <w:t xml:space="preserve"> </w:t>
      </w:r>
      <w:proofErr w:type="spellStart"/>
      <w:r>
        <w:rPr>
          <w:rFonts w:ascii="Times New Roman" w:hAnsi="Times New Roman"/>
          <w:sz w:val="26"/>
          <w:szCs w:val="26"/>
        </w:rPr>
        <w:t>Haus</w:t>
      </w:r>
      <w:proofErr w:type="spellEnd"/>
      <w:r>
        <w:rPr>
          <w:rFonts w:ascii="Times New Roman" w:hAnsi="Times New Roman"/>
          <w:sz w:val="26"/>
          <w:szCs w:val="26"/>
        </w:rPr>
        <w:t xml:space="preserve"> </w:t>
      </w:r>
      <w:proofErr w:type="spellStart"/>
      <w:r>
        <w:rPr>
          <w:rFonts w:ascii="Times New Roman" w:hAnsi="Times New Roman"/>
          <w:sz w:val="26"/>
          <w:szCs w:val="26"/>
        </w:rPr>
        <w:t>Real</w:t>
      </w:r>
      <w:proofErr w:type="spellEnd"/>
      <w:r>
        <w:rPr>
          <w:rFonts w:ascii="Times New Roman" w:hAnsi="Times New Roman"/>
          <w:sz w:val="26"/>
          <w:szCs w:val="26"/>
        </w:rPr>
        <w:t xml:space="preserve"> </w:t>
      </w:r>
      <w:proofErr w:type="spellStart"/>
      <w:r>
        <w:rPr>
          <w:rFonts w:ascii="Times New Roman" w:hAnsi="Times New Roman"/>
          <w:sz w:val="26"/>
          <w:szCs w:val="26"/>
        </w:rPr>
        <w:t>Estate</w:t>
      </w:r>
      <w:proofErr w:type="spellEnd"/>
      <w:r>
        <w:rPr>
          <w:rFonts w:ascii="Times New Roman" w:hAnsi="Times New Roman"/>
          <w:sz w:val="26"/>
          <w:szCs w:val="26"/>
        </w:rPr>
        <w:t xml:space="preserve"> </w:t>
      </w:r>
      <w:proofErr w:type="spellStart"/>
      <w:r>
        <w:rPr>
          <w:rFonts w:ascii="Times New Roman" w:hAnsi="Times New Roman"/>
          <w:sz w:val="26"/>
          <w:szCs w:val="26"/>
        </w:rPr>
        <w:t>Latvia</w:t>
      </w:r>
      <w:proofErr w:type="spellEnd"/>
      <w:r>
        <w:rPr>
          <w:rFonts w:ascii="Times New Roman" w:hAnsi="Times New Roman"/>
          <w:sz w:val="26"/>
          <w:szCs w:val="26"/>
        </w:rPr>
        <w:t>” (turpmāk – “</w:t>
      </w:r>
      <w:proofErr w:type="spellStart"/>
      <w:r>
        <w:rPr>
          <w:rFonts w:ascii="Times New Roman" w:hAnsi="Times New Roman"/>
          <w:sz w:val="26"/>
          <w:szCs w:val="26"/>
        </w:rPr>
        <w:t>Ober</w:t>
      </w:r>
      <w:proofErr w:type="spellEnd"/>
      <w:r>
        <w:rPr>
          <w:rFonts w:ascii="Times New Roman" w:hAnsi="Times New Roman"/>
          <w:sz w:val="26"/>
          <w:szCs w:val="26"/>
        </w:rPr>
        <w:t xml:space="preserve"> </w:t>
      </w:r>
      <w:proofErr w:type="spellStart"/>
      <w:r>
        <w:rPr>
          <w:rFonts w:ascii="Times New Roman" w:hAnsi="Times New Roman"/>
          <w:sz w:val="26"/>
          <w:szCs w:val="26"/>
        </w:rPr>
        <w:t>Haus</w:t>
      </w:r>
      <w:proofErr w:type="spellEnd"/>
      <w:r>
        <w:rPr>
          <w:rFonts w:ascii="Times New Roman" w:hAnsi="Times New Roman"/>
          <w:sz w:val="26"/>
          <w:szCs w:val="26"/>
        </w:rPr>
        <w:t>”) 2016.gada Baltijas valstu galvaspilsētu nekustamā īpašuma tirgus pārskatu, cenas jaunajos projektos Rīgas centrā 2015.gadā samazinājās par 2%, bet</w:t>
      </w:r>
      <w:proofErr w:type="gramStart"/>
      <w:r>
        <w:rPr>
          <w:rFonts w:ascii="Times New Roman" w:hAnsi="Times New Roman"/>
          <w:sz w:val="26"/>
          <w:szCs w:val="26"/>
        </w:rPr>
        <w:t xml:space="preserve">  </w:t>
      </w:r>
      <w:proofErr w:type="gramEnd"/>
      <w:r>
        <w:rPr>
          <w:rFonts w:ascii="Times New Roman" w:hAnsi="Times New Roman"/>
          <w:sz w:val="26"/>
          <w:szCs w:val="26"/>
        </w:rPr>
        <w:t>cenas jaunajos projektos guļamrajonos samazinājās par 3%. Šāds cenu kritums dzīvokļiem jaunajos projektos nebija pieredzēts kopš 2009.gada. “</w:t>
      </w:r>
      <w:proofErr w:type="spellStart"/>
      <w:r>
        <w:rPr>
          <w:rFonts w:ascii="Times New Roman" w:hAnsi="Times New Roman"/>
          <w:sz w:val="26"/>
          <w:szCs w:val="26"/>
        </w:rPr>
        <w:t>Ober</w:t>
      </w:r>
      <w:proofErr w:type="spellEnd"/>
      <w:r>
        <w:rPr>
          <w:rFonts w:ascii="Times New Roman" w:hAnsi="Times New Roman"/>
          <w:sz w:val="26"/>
          <w:szCs w:val="26"/>
        </w:rPr>
        <w:t xml:space="preserve"> </w:t>
      </w:r>
      <w:proofErr w:type="spellStart"/>
      <w:r>
        <w:rPr>
          <w:rFonts w:ascii="Times New Roman" w:hAnsi="Times New Roman"/>
          <w:sz w:val="26"/>
          <w:szCs w:val="26"/>
        </w:rPr>
        <w:t>Haus</w:t>
      </w:r>
      <w:proofErr w:type="spellEnd"/>
      <w:r>
        <w:rPr>
          <w:rFonts w:ascii="Times New Roman" w:hAnsi="Times New Roman"/>
          <w:sz w:val="26"/>
          <w:szCs w:val="26"/>
        </w:rPr>
        <w:t xml:space="preserve">” atzīmē, ka cenu kritums nebija raksturīgs visam segmentam, bet galvenokārt jaunojos projektos, kas orientēti TUA saņēmēju segmentam. Tirgus </w:t>
      </w:r>
      <w:r>
        <w:rPr>
          <w:rFonts w:ascii="Times New Roman" w:hAnsi="Times New Roman"/>
          <w:sz w:val="26"/>
          <w:szCs w:val="26"/>
        </w:rPr>
        <w:lastRenderedPageBreak/>
        <w:t>aktivitāte dzīvokļu segmentā 2015.gadā samazinājās par 8%, bet darījumu vidējā summa samazinājās gandrīz par 21%</w:t>
      </w:r>
      <w:r>
        <w:rPr>
          <w:rStyle w:val="FootnoteReference"/>
          <w:rFonts w:ascii="Times New Roman" w:hAnsi="Times New Roman"/>
          <w:sz w:val="26"/>
          <w:szCs w:val="26"/>
        </w:rPr>
        <w:footnoteReference w:id="6"/>
      </w:r>
      <w:r>
        <w:rPr>
          <w:rFonts w:ascii="Times New Roman" w:hAnsi="Times New Roman"/>
          <w:sz w:val="26"/>
          <w:szCs w:val="26"/>
        </w:rPr>
        <w:t xml:space="preserve"> (</w:t>
      </w:r>
      <w:r w:rsidR="00CB2A3D" w:rsidRPr="00CB2A3D">
        <w:rPr>
          <w:rFonts w:ascii="Times New Roman" w:hAnsi="Times New Roman"/>
          <w:i/>
          <w:sz w:val="26"/>
          <w:szCs w:val="26"/>
        </w:rPr>
        <w:t>Latvijas Nekustamo īpašumu darījumu asociācijas viedokli par situāciju nekustamo īpašumu tirgū 2016.gada 1.pusgadā skatīt pielikumā Nr.9</w:t>
      </w:r>
      <w:r w:rsidR="00CB2A3D">
        <w:rPr>
          <w:rFonts w:ascii="Times New Roman" w:hAnsi="Times New Roman"/>
          <w:sz w:val="26"/>
          <w:szCs w:val="26"/>
        </w:rPr>
        <w:t>)</w:t>
      </w:r>
      <w:r>
        <w:rPr>
          <w:rFonts w:ascii="Times New Roman" w:hAnsi="Times New Roman"/>
          <w:sz w:val="26"/>
          <w:szCs w:val="26"/>
        </w:rPr>
        <w:t>.</w:t>
      </w:r>
    </w:p>
    <w:p w:rsidR="00AB3AEF" w:rsidRPr="00C90073" w:rsidRDefault="00AB3AEF" w:rsidP="00D22CD2">
      <w:pPr>
        <w:spacing w:after="120" w:line="240" w:lineRule="auto"/>
        <w:ind w:firstLine="567"/>
        <w:jc w:val="both"/>
        <w:rPr>
          <w:rFonts w:ascii="Times New Roman" w:hAnsi="Times New Roman"/>
          <w:color w:val="000000"/>
          <w:sz w:val="26"/>
          <w:szCs w:val="26"/>
        </w:rPr>
      </w:pPr>
      <w:r>
        <w:rPr>
          <w:rFonts w:ascii="Times New Roman" w:hAnsi="Times New Roman"/>
          <w:sz w:val="26"/>
          <w:szCs w:val="26"/>
        </w:rPr>
        <w:t xml:space="preserve">Saskaņā ar VZD sniegto informāciju, </w:t>
      </w:r>
      <w:r w:rsidRPr="00C90073">
        <w:rPr>
          <w:rFonts w:ascii="Times New Roman" w:hAnsi="Times New Roman"/>
          <w:color w:val="000000"/>
          <w:sz w:val="26"/>
          <w:szCs w:val="26"/>
        </w:rPr>
        <w:t>sākot ar 2014.gada otro pusi, nekustamo īpašumu pirkšanas-pārdošanas darījumos samazinājies ārvalstnieku pircēju skaits un īpatsvars. Būtiskākie samazinājumi ir jauno mājokļu projektu segmentā. VZD norāda, ka šī samazinājuma pamatā ir divi būtiski tirgu ietekmējoši faktori:</w:t>
      </w:r>
    </w:p>
    <w:p w:rsidR="00AB3AEF" w:rsidRPr="00C90073" w:rsidRDefault="00AB3AEF" w:rsidP="00D22CD2">
      <w:pPr>
        <w:pStyle w:val="ListParagraph"/>
        <w:numPr>
          <w:ilvl w:val="0"/>
          <w:numId w:val="14"/>
        </w:numPr>
        <w:spacing w:after="120" w:line="240" w:lineRule="auto"/>
        <w:jc w:val="both"/>
        <w:rPr>
          <w:rFonts w:ascii="Times New Roman" w:hAnsi="Times New Roman"/>
          <w:color w:val="000000"/>
          <w:sz w:val="26"/>
          <w:szCs w:val="26"/>
        </w:rPr>
      </w:pPr>
      <w:r w:rsidRPr="00C90073">
        <w:rPr>
          <w:rFonts w:ascii="Times New Roman" w:hAnsi="Times New Roman"/>
          <w:color w:val="000000"/>
          <w:sz w:val="26"/>
          <w:szCs w:val="26"/>
        </w:rPr>
        <w:t xml:space="preserve">2014.gada 1.septembrī spēkā stājušies grozījumi Imigrācijas likumā, kas paredz lielāku minimālo investīciju summu nekustamā īpašuma iegādes gadījumā. Vienlaikus šīs izmaiņas nevar būt galvenais iemesls darījumu skaita kritumā dārgākajos nekustamā īpašuma segmentos, jo, piemēram, Jūrmalā, arī līdz tam vidējā darījumu summa pārsniedza ar 2014.gada 1.septembri noteikto minimālo darījuma summu. </w:t>
      </w:r>
    </w:p>
    <w:p w:rsidR="00AB3AEF" w:rsidRPr="00C90073" w:rsidRDefault="00AB3AEF" w:rsidP="00D22CD2">
      <w:pPr>
        <w:pStyle w:val="ListParagraph"/>
        <w:numPr>
          <w:ilvl w:val="0"/>
          <w:numId w:val="14"/>
        </w:numPr>
        <w:spacing w:after="120" w:line="240" w:lineRule="auto"/>
        <w:jc w:val="both"/>
        <w:rPr>
          <w:rFonts w:ascii="Times New Roman" w:hAnsi="Times New Roman"/>
          <w:color w:val="000000"/>
          <w:sz w:val="26"/>
          <w:szCs w:val="26"/>
        </w:rPr>
      </w:pPr>
      <w:r w:rsidRPr="00C90073">
        <w:rPr>
          <w:rFonts w:ascii="Times New Roman" w:hAnsi="Times New Roman"/>
          <w:color w:val="000000"/>
          <w:sz w:val="26"/>
          <w:szCs w:val="26"/>
        </w:rPr>
        <w:t xml:space="preserve">Ekonomiskā krīze Krievijā. Ņemot vērā to, ka lielākā daļa nekustamā īpašuma pircēju ir no Krievijas, līdz ar ekonomisko krīzi Krievijā, vērojams arī potenciālo pircēju pirktspējas kritums. </w:t>
      </w:r>
    </w:p>
    <w:p w:rsidR="00AB3AEF" w:rsidRPr="00D22862" w:rsidRDefault="00AB3AEF" w:rsidP="00D22CD2">
      <w:pPr>
        <w:spacing w:after="120" w:line="240" w:lineRule="auto"/>
        <w:ind w:firstLine="567"/>
        <w:jc w:val="both"/>
        <w:rPr>
          <w:rFonts w:ascii="Times New Roman" w:hAnsi="Times New Roman"/>
          <w:sz w:val="26"/>
          <w:szCs w:val="26"/>
        </w:rPr>
      </w:pPr>
      <w:r w:rsidRPr="00C90073">
        <w:rPr>
          <w:rFonts w:ascii="Times New Roman" w:hAnsi="Times New Roman"/>
          <w:color w:val="000000"/>
          <w:sz w:val="26"/>
          <w:szCs w:val="26"/>
        </w:rPr>
        <w:t>VZD norāda, ka ņemot vērā augsto nerezidentu īpatsvaru atsevišķos jaunajos projektos Rīgā un Jūrmalā, var apgalvot, ka šāda veida nekustamo īpašumu segments ir pakļauts ārvalstu, galvenokārt Krievijas ekonomiskajam un politiskajam riskam, kas var izsaukt cenu svārstības nākotnē. Līdz ar to, var apgalvot, ka Imigrācijas likuma normas, kas dod iespēju saņemt TUA par nekustamā īpašuma iegādi, ietekmē nekustamā īpašuma tirgu Rīgā un Jūrmalā – centrā un jaunajos projektos neatkarīgi no to atrašanās vietas. Pateicoties tam, ka līdz ar iepriekš minēto tiesību normu spēkā stāšanos konkrēto segmentu pārdevēji paaugstināja cenas orientējot piedāvājumu uz nerezidentiem, Latvijas rezidentiem šis segments kļuva praktiski nepieejams.</w:t>
      </w:r>
    </w:p>
    <w:p w:rsidR="00AB3AEF" w:rsidRDefault="00AB3AEF" w:rsidP="00D22CD2">
      <w:pPr>
        <w:spacing w:after="120" w:line="240" w:lineRule="auto"/>
        <w:ind w:firstLine="567"/>
        <w:jc w:val="both"/>
        <w:rPr>
          <w:rFonts w:ascii="Times New Roman" w:hAnsi="Times New Roman"/>
          <w:sz w:val="26"/>
          <w:szCs w:val="26"/>
        </w:rPr>
      </w:pPr>
      <w:r w:rsidRPr="00D22862">
        <w:rPr>
          <w:rFonts w:ascii="Times New Roman" w:hAnsi="Times New Roman"/>
          <w:sz w:val="26"/>
          <w:szCs w:val="26"/>
        </w:rPr>
        <w:t xml:space="preserve">TUA saņemšanai nepieciešamā minimālā ieguldījuma apmēra maiņa (palielinājums) nekustamā īpašuma iegādes gadījumā </w:t>
      </w:r>
      <w:r w:rsidR="00E50A1E">
        <w:rPr>
          <w:rFonts w:ascii="Times New Roman" w:hAnsi="Times New Roman"/>
          <w:sz w:val="26"/>
          <w:szCs w:val="26"/>
        </w:rPr>
        <w:t xml:space="preserve">kopš 2014.gada 1.septembra </w:t>
      </w:r>
      <w:r w:rsidRPr="00D22862">
        <w:rPr>
          <w:rFonts w:ascii="Times New Roman" w:hAnsi="Times New Roman"/>
          <w:sz w:val="26"/>
          <w:szCs w:val="26"/>
        </w:rPr>
        <w:t xml:space="preserve">ir samazinājusi darījumu skaitu ārpus Rīgas un Pierīgas (Jūrmala un Babītes, Mārupes, Olaines, Ķekavas, Baldones, Salaspils, Ikšķiles, Stopiņu, Ropažu, Garkalnes, Ādažu, Carnikavas un Saulkrastu novadi). No 2015.gadā iesniegtajiem 272 pieteikumiem tikai 72 notikuši pēc 2014.gada 1.septembra, t.i., atbilstoši jaunajām Imigrācijas likuma prasībām, turklāt neviens no tiem nav veikts ārpus Rīgas un Pierīgas. 2016.gada I pusgadā no 84 pieteikumiem 67 atbilst jaunajām likuma prasībām, bet tikai divi īpašumi iegādāti ārpus Rīgas un Pierīgas – viens – Jaunjelgavas, viens – Bauskas novadā. </w:t>
      </w:r>
    </w:p>
    <w:p w:rsidR="00AB3AEF" w:rsidRDefault="00AB3AEF" w:rsidP="00D22CD2">
      <w:pPr>
        <w:spacing w:after="120" w:line="240" w:lineRule="auto"/>
        <w:ind w:firstLine="567"/>
        <w:jc w:val="both"/>
        <w:rPr>
          <w:rFonts w:ascii="Times New Roman" w:hAnsi="Times New Roman"/>
          <w:sz w:val="26"/>
          <w:szCs w:val="26"/>
        </w:rPr>
      </w:pPr>
      <w:r w:rsidRPr="003014A1">
        <w:rPr>
          <w:rFonts w:ascii="Times New Roman" w:hAnsi="Times New Roman"/>
          <w:sz w:val="26"/>
          <w:szCs w:val="26"/>
        </w:rPr>
        <w:t xml:space="preserve">Saskaņā ar AFI </w:t>
      </w:r>
      <w:proofErr w:type="spellStart"/>
      <w:r w:rsidRPr="003014A1">
        <w:rPr>
          <w:rFonts w:ascii="Times New Roman" w:hAnsi="Times New Roman"/>
          <w:sz w:val="26"/>
          <w:szCs w:val="26"/>
        </w:rPr>
        <w:t>Altum</w:t>
      </w:r>
      <w:proofErr w:type="spellEnd"/>
      <w:r w:rsidRPr="003014A1">
        <w:rPr>
          <w:rFonts w:ascii="Times New Roman" w:hAnsi="Times New Roman"/>
          <w:sz w:val="26"/>
          <w:szCs w:val="26"/>
        </w:rPr>
        <w:t xml:space="preserve"> sniegto informāciju, ar investīciju programmu saistītie tiešie ieguldījumi AFI </w:t>
      </w:r>
      <w:proofErr w:type="spellStart"/>
      <w:r w:rsidRPr="003014A1">
        <w:rPr>
          <w:rFonts w:ascii="Times New Roman" w:hAnsi="Times New Roman"/>
          <w:sz w:val="26"/>
          <w:szCs w:val="26"/>
        </w:rPr>
        <w:t>Altum</w:t>
      </w:r>
      <w:proofErr w:type="spellEnd"/>
      <w:r w:rsidRPr="003014A1">
        <w:rPr>
          <w:rFonts w:ascii="Times New Roman" w:hAnsi="Times New Roman"/>
          <w:sz w:val="26"/>
          <w:szCs w:val="26"/>
        </w:rPr>
        <w:t xml:space="preserve"> īstenoto Mājokļu </w:t>
      </w:r>
      <w:r>
        <w:rPr>
          <w:rFonts w:ascii="Times New Roman" w:hAnsi="Times New Roman"/>
          <w:sz w:val="26"/>
          <w:szCs w:val="26"/>
        </w:rPr>
        <w:t>atbalsta</w:t>
      </w:r>
      <w:r w:rsidRPr="003014A1">
        <w:rPr>
          <w:rFonts w:ascii="Times New Roman" w:hAnsi="Times New Roman"/>
          <w:sz w:val="26"/>
          <w:szCs w:val="26"/>
        </w:rPr>
        <w:t xml:space="preserve"> programmu skar minimāli. Atbilstoši Mājokļu </w:t>
      </w:r>
      <w:r>
        <w:rPr>
          <w:rFonts w:ascii="Times New Roman" w:hAnsi="Times New Roman"/>
          <w:sz w:val="26"/>
          <w:szCs w:val="26"/>
        </w:rPr>
        <w:t>atbalsta</w:t>
      </w:r>
      <w:r w:rsidRPr="003014A1">
        <w:rPr>
          <w:rFonts w:ascii="Times New Roman" w:hAnsi="Times New Roman"/>
          <w:sz w:val="26"/>
          <w:szCs w:val="26"/>
        </w:rPr>
        <w:t xml:space="preserve"> programmas nosacījumiem, uz mājokļu galvojumiem var pretendēt tikai Latvijas rezidenti. Arī vidējie darījumu summu apmēri pamatā atšķiras. Laika posmā no 2010.gada līdz 2013.gadam tikai 10% ar investīciju programmu saistīto darījumu bija zem 125 tūkst. </w:t>
      </w:r>
      <w:proofErr w:type="spellStart"/>
      <w:r w:rsidRPr="003014A1">
        <w:rPr>
          <w:rFonts w:ascii="Times New Roman" w:hAnsi="Times New Roman"/>
          <w:i/>
          <w:sz w:val="26"/>
          <w:szCs w:val="26"/>
        </w:rPr>
        <w:t>euro</w:t>
      </w:r>
      <w:proofErr w:type="spellEnd"/>
      <w:r w:rsidRPr="003014A1">
        <w:rPr>
          <w:rFonts w:ascii="Times New Roman" w:hAnsi="Times New Roman"/>
          <w:sz w:val="26"/>
          <w:szCs w:val="26"/>
        </w:rPr>
        <w:t xml:space="preserve">, kamēr vairums darījumu (74%) bija apmērā no 125 līdz 250 tūkst. </w:t>
      </w:r>
      <w:proofErr w:type="spellStart"/>
      <w:r w:rsidRPr="003014A1">
        <w:rPr>
          <w:rFonts w:ascii="Times New Roman" w:hAnsi="Times New Roman"/>
          <w:i/>
          <w:sz w:val="26"/>
          <w:szCs w:val="26"/>
        </w:rPr>
        <w:t>euro</w:t>
      </w:r>
      <w:proofErr w:type="spellEnd"/>
      <w:r w:rsidRPr="003014A1">
        <w:rPr>
          <w:rFonts w:ascii="Times New Roman" w:hAnsi="Times New Roman"/>
          <w:sz w:val="26"/>
          <w:szCs w:val="26"/>
        </w:rPr>
        <w:t xml:space="preserve">. 2014.gada 1.septembrī spēkā stājās grozījumi Imigrācijas likumā, kas nepieļāva zemāku darījuma summu par 250 000 </w:t>
      </w:r>
      <w:proofErr w:type="spellStart"/>
      <w:r w:rsidRPr="003014A1">
        <w:rPr>
          <w:rFonts w:ascii="Times New Roman" w:hAnsi="Times New Roman"/>
          <w:i/>
          <w:sz w:val="26"/>
          <w:szCs w:val="26"/>
        </w:rPr>
        <w:t>euro</w:t>
      </w:r>
      <w:proofErr w:type="spellEnd"/>
      <w:r w:rsidRPr="003014A1">
        <w:rPr>
          <w:rFonts w:ascii="Times New Roman" w:hAnsi="Times New Roman"/>
          <w:sz w:val="26"/>
          <w:szCs w:val="26"/>
        </w:rPr>
        <w:t xml:space="preserve">. Saskaņā ar AFI </w:t>
      </w:r>
      <w:proofErr w:type="spellStart"/>
      <w:r w:rsidRPr="003014A1">
        <w:rPr>
          <w:rFonts w:ascii="Times New Roman" w:hAnsi="Times New Roman"/>
          <w:sz w:val="26"/>
          <w:szCs w:val="26"/>
        </w:rPr>
        <w:t>Altum</w:t>
      </w:r>
      <w:proofErr w:type="spellEnd"/>
      <w:r w:rsidRPr="003014A1">
        <w:rPr>
          <w:rFonts w:ascii="Times New Roman" w:hAnsi="Times New Roman"/>
          <w:sz w:val="26"/>
          <w:szCs w:val="26"/>
        </w:rPr>
        <w:t xml:space="preserve"> sniegto informāciju Mājokļu </w:t>
      </w:r>
      <w:r>
        <w:rPr>
          <w:rFonts w:ascii="Times New Roman" w:hAnsi="Times New Roman"/>
          <w:sz w:val="26"/>
          <w:szCs w:val="26"/>
        </w:rPr>
        <w:t>atbalsta</w:t>
      </w:r>
      <w:r w:rsidRPr="003014A1">
        <w:rPr>
          <w:rFonts w:ascii="Times New Roman" w:hAnsi="Times New Roman"/>
          <w:sz w:val="26"/>
          <w:szCs w:val="26"/>
        </w:rPr>
        <w:t xml:space="preserve"> programmas raksturīgāko klientu grupu vidējo darījumu </w:t>
      </w:r>
      <w:r w:rsidRPr="003014A1">
        <w:rPr>
          <w:rFonts w:ascii="Times New Roman" w:hAnsi="Times New Roman"/>
          <w:sz w:val="26"/>
          <w:szCs w:val="26"/>
        </w:rPr>
        <w:lastRenderedPageBreak/>
        <w:t xml:space="preserve">apmērs nepārklājas ar investīciju programmas dalībnieku visbiežāk izmantotajiem darījumu apmēru segmentiem un vairumā gadījumu ir zem 100 tūkst. </w:t>
      </w:r>
      <w:proofErr w:type="spellStart"/>
      <w:r w:rsidRPr="003014A1">
        <w:rPr>
          <w:rFonts w:ascii="Times New Roman" w:hAnsi="Times New Roman"/>
          <w:i/>
          <w:sz w:val="26"/>
          <w:szCs w:val="26"/>
        </w:rPr>
        <w:t>euro</w:t>
      </w:r>
      <w:proofErr w:type="spellEnd"/>
      <w:r w:rsidRPr="003014A1">
        <w:rPr>
          <w:rFonts w:ascii="Times New Roman" w:hAnsi="Times New Roman"/>
          <w:sz w:val="26"/>
          <w:szCs w:val="26"/>
        </w:rPr>
        <w:t>.</w:t>
      </w:r>
    </w:p>
    <w:p w:rsidR="00FF58A0" w:rsidRDefault="00FF58A0" w:rsidP="00D22CD2">
      <w:pPr>
        <w:spacing w:after="120" w:line="240" w:lineRule="auto"/>
        <w:ind w:firstLine="567"/>
        <w:jc w:val="both"/>
        <w:rPr>
          <w:rFonts w:ascii="Times New Roman" w:hAnsi="Times New Roman"/>
          <w:sz w:val="26"/>
          <w:szCs w:val="26"/>
        </w:rPr>
      </w:pPr>
    </w:p>
    <w:p w:rsidR="00A67CA7" w:rsidRDefault="00A67CA7" w:rsidP="00A67CA7">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Investīcijas kredītiestāžu pakārtotajās saistībās</w:t>
      </w:r>
    </w:p>
    <w:p w:rsidR="00FF58A0" w:rsidRPr="00A67CA7" w:rsidRDefault="00FF58A0" w:rsidP="00A67CA7">
      <w:pPr>
        <w:spacing w:after="120" w:line="240" w:lineRule="auto"/>
        <w:ind w:firstLine="567"/>
        <w:jc w:val="center"/>
        <w:rPr>
          <w:rFonts w:ascii="Times New Roman" w:hAnsi="Times New Roman"/>
          <w:b/>
          <w:sz w:val="26"/>
          <w:szCs w:val="26"/>
          <w:lang w:eastAsia="lv-LV"/>
        </w:rPr>
      </w:pPr>
    </w:p>
    <w:p w:rsidR="00AB3AEF" w:rsidRDefault="00AB3AEF" w:rsidP="00D22CD2">
      <w:pPr>
        <w:spacing w:after="120" w:line="240" w:lineRule="auto"/>
        <w:ind w:firstLine="567"/>
        <w:jc w:val="both"/>
        <w:rPr>
          <w:rFonts w:ascii="Times New Roman" w:hAnsi="Times New Roman"/>
          <w:sz w:val="26"/>
          <w:szCs w:val="26"/>
        </w:rPr>
      </w:pPr>
      <w:r>
        <w:rPr>
          <w:rFonts w:ascii="Times New Roman" w:hAnsi="Times New Roman"/>
          <w:sz w:val="26"/>
          <w:szCs w:val="26"/>
          <w:lang w:eastAsia="lv-LV"/>
        </w:rPr>
        <w:t xml:space="preserve">Kopš grozījumu Imigrācijas likumā, kas stājās spēkā 2014.gada 1.septembrī, TUA pieprasītāju skaits, kuri vēlas saņemt TUA saskaņā ar Imigrācijas likuma 23.panta pirmās daļas 30.punktu (iespēja saņemt TUA par ieguldījumu Latvijas kredītiestādes pakārtotajās saistībās vismaz 280 tūkst. </w:t>
      </w:r>
      <w:proofErr w:type="spellStart"/>
      <w:r w:rsidRPr="0046536A">
        <w:rPr>
          <w:rFonts w:ascii="Times New Roman" w:hAnsi="Times New Roman"/>
          <w:i/>
          <w:sz w:val="26"/>
          <w:szCs w:val="26"/>
          <w:lang w:eastAsia="lv-LV"/>
        </w:rPr>
        <w:t>euro</w:t>
      </w:r>
      <w:proofErr w:type="spellEnd"/>
      <w:r>
        <w:rPr>
          <w:rFonts w:ascii="Times New Roman" w:hAnsi="Times New Roman"/>
          <w:sz w:val="26"/>
          <w:szCs w:val="26"/>
          <w:lang w:eastAsia="lv-LV"/>
        </w:rPr>
        <w:t xml:space="preserve"> apmērā) ir samazinājies. </w:t>
      </w:r>
      <w:r>
        <w:rPr>
          <w:rFonts w:ascii="Times New Roman" w:hAnsi="Times New Roman"/>
          <w:sz w:val="26"/>
          <w:szCs w:val="26"/>
        </w:rPr>
        <w:t>N</w:t>
      </w:r>
      <w:r w:rsidRPr="0032118E">
        <w:rPr>
          <w:rFonts w:ascii="Times New Roman" w:hAnsi="Times New Roman"/>
          <w:sz w:val="26"/>
          <w:szCs w:val="26"/>
        </w:rPr>
        <w:t>o 2014.gada 1.septembra līdz 2016.gada 30.jūnijam TUA pieteikumus iesnieguši tikai 48 investori. Salīdzinot ar laikposmu no 2010.gada 1.jūlija līdz 2014.gada 31.augustam, kad pieteikumus iesniedza 427 investori (vidējais pieteikumu skaits gadā – ap 90 pieteikumiem), vērojams būtisks pieteikumu skaita samazinājums</w:t>
      </w:r>
      <w:proofErr w:type="gramStart"/>
      <w:r w:rsidRPr="0032118E">
        <w:rPr>
          <w:rFonts w:ascii="Times New Roman" w:hAnsi="Times New Roman"/>
          <w:sz w:val="26"/>
          <w:szCs w:val="26"/>
        </w:rPr>
        <w:t xml:space="preserve">  </w:t>
      </w:r>
      <w:proofErr w:type="gramEnd"/>
      <w:r w:rsidRPr="0032118E">
        <w:rPr>
          <w:rFonts w:ascii="Times New Roman" w:hAnsi="Times New Roman"/>
          <w:sz w:val="26"/>
          <w:szCs w:val="26"/>
        </w:rPr>
        <w:t>- saņemti ap 20 pieteikumiem gadā</w:t>
      </w:r>
      <w:r>
        <w:rPr>
          <w:rFonts w:ascii="Times New Roman" w:hAnsi="Times New Roman"/>
          <w:sz w:val="26"/>
          <w:szCs w:val="26"/>
        </w:rPr>
        <w:t xml:space="preserve">. </w:t>
      </w:r>
    </w:p>
    <w:p w:rsidR="00AB3AEF" w:rsidRPr="00DE5052" w:rsidRDefault="00AB3AEF" w:rsidP="00D22CD2">
      <w:pPr>
        <w:spacing w:after="120" w:line="240" w:lineRule="auto"/>
        <w:ind w:firstLine="567"/>
        <w:jc w:val="both"/>
        <w:rPr>
          <w:rFonts w:ascii="Times New Roman" w:hAnsi="Times New Roman"/>
          <w:sz w:val="26"/>
          <w:szCs w:val="26"/>
        </w:rPr>
      </w:pPr>
      <w:r w:rsidRPr="00DE5052">
        <w:rPr>
          <w:rFonts w:ascii="Times New Roman" w:hAnsi="Times New Roman"/>
          <w:sz w:val="26"/>
          <w:szCs w:val="26"/>
        </w:rPr>
        <w:t xml:space="preserve">Imigrācijas likuma 23.panta pirmās daļas 30.punkts, kas stājās spēkā 2010.gada 1.jūlijā, </w:t>
      </w:r>
      <w:r w:rsidR="00E50A1E">
        <w:rPr>
          <w:rFonts w:ascii="Times New Roman" w:hAnsi="Times New Roman"/>
          <w:sz w:val="26"/>
          <w:szCs w:val="26"/>
        </w:rPr>
        <w:t>dod</w:t>
      </w:r>
      <w:r w:rsidRPr="00DE5052">
        <w:rPr>
          <w:rFonts w:ascii="Times New Roman" w:hAnsi="Times New Roman"/>
          <w:sz w:val="26"/>
          <w:szCs w:val="26"/>
        </w:rPr>
        <w:t xml:space="preserve"> iespēju attīstīt un tirgū aktīvi piedāvāt iepriekš maz pieprasīto pakalpojumu – līgumu par pakārtotajām saistībām, kā rezultātā, </w:t>
      </w:r>
      <w:proofErr w:type="gramStart"/>
      <w:r w:rsidRPr="00DE5052">
        <w:rPr>
          <w:rFonts w:ascii="Times New Roman" w:hAnsi="Times New Roman"/>
          <w:sz w:val="26"/>
          <w:szCs w:val="26"/>
        </w:rPr>
        <w:t>kredītiestādēm sniedzot iespēju</w:t>
      </w:r>
      <w:proofErr w:type="gramEnd"/>
      <w:r w:rsidRPr="00DE5052">
        <w:rPr>
          <w:rFonts w:ascii="Times New Roman" w:hAnsi="Times New Roman"/>
          <w:sz w:val="26"/>
          <w:szCs w:val="26"/>
        </w:rPr>
        <w:t xml:space="preserve"> paplašināt potenciālo klientu loku un palielināt depozītu skaitu. Piesaistītos līdzekļus kredītiestādes atgriež apgrozījumā, izsniedzot kredītus, </w:t>
      </w:r>
      <w:proofErr w:type="gramStart"/>
      <w:r w:rsidRPr="00DE5052">
        <w:rPr>
          <w:rFonts w:ascii="Times New Roman" w:hAnsi="Times New Roman"/>
          <w:sz w:val="26"/>
          <w:szCs w:val="26"/>
        </w:rPr>
        <w:t>t.i.</w:t>
      </w:r>
      <w:proofErr w:type="gramEnd"/>
      <w:r w:rsidRPr="00DE5052">
        <w:rPr>
          <w:rFonts w:ascii="Times New Roman" w:hAnsi="Times New Roman"/>
          <w:sz w:val="26"/>
          <w:szCs w:val="26"/>
        </w:rPr>
        <w:t xml:space="preserve"> attīsta kreditēšanas sfēru un ļauj naudai strādāt tautsaimniecības interesēs. Palielinoties piesaistītajam kapitālam, parādās iespēja refinansēt daļu no sliktajiem un kavētajiem kredītiem – tas nozīmē, ka to īpatsvaram parādās tendence samazināties, kā arī uzlabojas kredītiestāžu kapitāla pietiekamības rādītāji.</w:t>
      </w:r>
    </w:p>
    <w:p w:rsidR="00AB3AEF" w:rsidRDefault="00AB3AEF" w:rsidP="00D22CD2">
      <w:pPr>
        <w:spacing w:after="120" w:line="240" w:lineRule="auto"/>
        <w:ind w:firstLine="567"/>
        <w:jc w:val="both"/>
        <w:rPr>
          <w:rFonts w:ascii="Times New Roman" w:hAnsi="Times New Roman"/>
          <w:sz w:val="26"/>
          <w:szCs w:val="26"/>
        </w:rPr>
      </w:pPr>
      <w:r w:rsidRPr="006A3784">
        <w:rPr>
          <w:rFonts w:ascii="Times New Roman" w:hAnsi="Times New Roman"/>
          <w:sz w:val="26"/>
          <w:szCs w:val="26"/>
        </w:rPr>
        <w:t>Pakārtotās saistības tiek izmantotas tikai otrā līmeņa kapitālā (</w:t>
      </w:r>
      <w:proofErr w:type="spellStart"/>
      <w:r w:rsidRPr="006A3784">
        <w:rPr>
          <w:rFonts w:ascii="Times New Roman" w:hAnsi="Times New Roman"/>
          <w:i/>
          <w:sz w:val="26"/>
          <w:szCs w:val="26"/>
        </w:rPr>
        <w:t>Tier</w:t>
      </w:r>
      <w:proofErr w:type="spellEnd"/>
      <w:r w:rsidRPr="006A3784">
        <w:rPr>
          <w:rFonts w:ascii="Times New Roman" w:hAnsi="Times New Roman"/>
          <w:i/>
          <w:sz w:val="26"/>
          <w:szCs w:val="26"/>
        </w:rPr>
        <w:t xml:space="preserve"> 2 </w:t>
      </w:r>
      <w:proofErr w:type="spellStart"/>
      <w:r w:rsidRPr="006A3784">
        <w:rPr>
          <w:rFonts w:ascii="Times New Roman" w:hAnsi="Times New Roman"/>
          <w:i/>
          <w:sz w:val="26"/>
          <w:szCs w:val="26"/>
        </w:rPr>
        <w:t>Capital</w:t>
      </w:r>
      <w:proofErr w:type="spellEnd"/>
      <w:r w:rsidRPr="006A3784">
        <w:rPr>
          <w:rFonts w:ascii="Times New Roman" w:hAnsi="Times New Roman"/>
          <w:sz w:val="26"/>
          <w:szCs w:val="26"/>
        </w:rPr>
        <w:t>) un tiek ņemts vērā kredītiestādes kapitāla pietiekamības aprēķinā. Tādējādi tas tiek izmantots attiecīgās bankas un visas banku sistēmas risku mazināšanai (pieaug kapitāla pietiekamība) un attiecīgi palielinās ies</w:t>
      </w:r>
      <w:r>
        <w:rPr>
          <w:rFonts w:ascii="Times New Roman" w:hAnsi="Times New Roman"/>
          <w:sz w:val="26"/>
          <w:szCs w:val="26"/>
        </w:rPr>
        <w:t>pēja bankām izsniegt kredītus (</w:t>
      </w:r>
      <w:r w:rsidRPr="00E50A1E">
        <w:rPr>
          <w:rFonts w:ascii="Times New Roman" w:hAnsi="Times New Roman"/>
          <w:i/>
          <w:sz w:val="26"/>
          <w:szCs w:val="26"/>
        </w:rPr>
        <w:t>detalizētāku informāciju par ar TUA saņemšanu saistītiem finanšu ieguldījumiem kredītiestādēs skatīt pielikumā Nr.</w:t>
      </w:r>
      <w:r w:rsidR="00E50A1E" w:rsidRPr="00E50A1E">
        <w:rPr>
          <w:rFonts w:ascii="Times New Roman" w:hAnsi="Times New Roman"/>
          <w:i/>
          <w:sz w:val="26"/>
          <w:szCs w:val="26"/>
        </w:rPr>
        <w:t>3</w:t>
      </w:r>
      <w:r w:rsidRPr="00B271CE">
        <w:rPr>
          <w:rFonts w:ascii="Times New Roman" w:hAnsi="Times New Roman"/>
          <w:sz w:val="26"/>
          <w:szCs w:val="26"/>
        </w:rPr>
        <w:t>)</w:t>
      </w:r>
      <w:r w:rsidRPr="0032118E">
        <w:rPr>
          <w:rFonts w:ascii="Times New Roman" w:hAnsi="Times New Roman"/>
          <w:sz w:val="26"/>
          <w:szCs w:val="26"/>
        </w:rPr>
        <w:t>.</w:t>
      </w:r>
    </w:p>
    <w:p w:rsidR="00FF58A0" w:rsidRDefault="00FF58A0" w:rsidP="00D22CD2">
      <w:pPr>
        <w:spacing w:after="120" w:line="240" w:lineRule="auto"/>
        <w:ind w:firstLine="567"/>
        <w:jc w:val="both"/>
        <w:rPr>
          <w:rFonts w:ascii="Times New Roman" w:hAnsi="Times New Roman"/>
          <w:sz w:val="26"/>
          <w:szCs w:val="26"/>
        </w:rPr>
      </w:pPr>
    </w:p>
    <w:p w:rsidR="00A67CA7" w:rsidRDefault="00A67CA7" w:rsidP="00A67CA7">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Investīcijas kapitālsabiedrību pamatkapitālā</w:t>
      </w:r>
    </w:p>
    <w:p w:rsidR="00FF58A0" w:rsidRPr="00A67CA7" w:rsidRDefault="00FF58A0" w:rsidP="00A67CA7">
      <w:pPr>
        <w:spacing w:after="120" w:line="240" w:lineRule="auto"/>
        <w:ind w:firstLine="567"/>
        <w:jc w:val="center"/>
        <w:rPr>
          <w:rFonts w:ascii="Times New Roman" w:hAnsi="Times New Roman"/>
          <w:b/>
          <w:sz w:val="26"/>
          <w:szCs w:val="26"/>
        </w:rPr>
      </w:pPr>
    </w:p>
    <w:p w:rsidR="00AB3AEF" w:rsidRDefault="00A67CA7" w:rsidP="00D22CD2">
      <w:pPr>
        <w:spacing w:after="120" w:line="240" w:lineRule="auto"/>
        <w:ind w:firstLine="567"/>
        <w:jc w:val="both"/>
        <w:rPr>
          <w:rFonts w:ascii="Times New Roman" w:hAnsi="Times New Roman"/>
          <w:sz w:val="26"/>
          <w:szCs w:val="26"/>
        </w:rPr>
      </w:pPr>
      <w:r>
        <w:rPr>
          <w:rFonts w:ascii="Times New Roman" w:hAnsi="Times New Roman"/>
          <w:sz w:val="26"/>
          <w:szCs w:val="26"/>
        </w:rPr>
        <w:t>P</w:t>
      </w:r>
      <w:r w:rsidR="00AB3AEF">
        <w:rPr>
          <w:rFonts w:ascii="Times New Roman" w:hAnsi="Times New Roman"/>
          <w:sz w:val="26"/>
          <w:szCs w:val="26"/>
        </w:rPr>
        <w:t xml:space="preserve">ieteikumu skaita TUA saņemšanai samazināšanās 2015.gadā un 2016.gada 1.pusgadā ir vērojama arī attiecībā uz Imigrācijas likuma 23.panta pirmās daļas 28.punkta sniegto iespēju saņemt TUA par ieguldījumu kapitālsabiedrību pamatkapitālā. </w:t>
      </w:r>
      <w:r w:rsidR="00AB3AEF" w:rsidRPr="00835FD9">
        <w:rPr>
          <w:rFonts w:ascii="Times New Roman" w:hAnsi="Times New Roman"/>
          <w:sz w:val="26"/>
          <w:szCs w:val="26"/>
        </w:rPr>
        <w:t>No 2015.gada pieteikumu skaits ir samazinājies, tāpat kā citos ieguldījumu veidos – ja 2014.gada laikā tika saņemti 178 pieteikumi, tad 2015.gadā – 82, bet 2016.gada pirmajā pusgadā - 41</w:t>
      </w:r>
      <w:r w:rsidR="00AB3AEF" w:rsidRPr="0033020D">
        <w:rPr>
          <w:rFonts w:ascii="Times New Roman" w:hAnsi="Times New Roman"/>
          <w:sz w:val="26"/>
          <w:szCs w:val="26"/>
        </w:rPr>
        <w:t>. Attiecīgās Imigrācijas likuma normas ietvaros kopš 2010.gada 1.jūlija kapitālsabiedrību pamatkapitālā veikti ieguldījumi 443 Latvijā reģistrētās kapitālsabiedrībās, sasniedzot tikai 5,4% no kopējiem attiecinātajiem ieguldījumiem, tāpēc TUA izsniegšanu pret ieguldījumiem kapitālsabiedrību pamatkapitālā pašlaik joprojām var vērtēt tikai kā vienu no stimuliem, kas sniedz ieguldījumu ārvalstu investīciju piesaistei reālajā sektorā.</w:t>
      </w:r>
      <w:r w:rsidR="00AB3AEF">
        <w:rPr>
          <w:rFonts w:ascii="Times New Roman" w:hAnsi="Times New Roman"/>
          <w:sz w:val="26"/>
          <w:szCs w:val="26"/>
        </w:rPr>
        <w:t xml:space="preserve"> </w:t>
      </w:r>
      <w:r w:rsidR="00AB3AEF" w:rsidRPr="00D268B1">
        <w:rPr>
          <w:rFonts w:ascii="Times New Roman" w:hAnsi="Times New Roman"/>
          <w:sz w:val="26"/>
          <w:szCs w:val="26"/>
        </w:rPr>
        <w:t xml:space="preserve">Jāatzīmē, ka šīs investīcijas ieplūst reālajā ekonomikā, risinot uzņēmumu pašu finanšu trūkumu, veicinot uzņēmumu attīstību, </w:t>
      </w:r>
      <w:r w:rsidR="00AB3AEF" w:rsidRPr="00D268B1">
        <w:rPr>
          <w:rFonts w:ascii="Times New Roman" w:hAnsi="Times New Roman"/>
          <w:sz w:val="26"/>
          <w:szCs w:val="26"/>
        </w:rPr>
        <w:lastRenderedPageBreak/>
        <w:t>inovāciju ieviešanu, tādējādi kāpinot to konkurētspēju</w:t>
      </w:r>
      <w:r w:rsidR="00AB3AEF">
        <w:rPr>
          <w:rFonts w:ascii="Times New Roman" w:hAnsi="Times New Roman"/>
          <w:sz w:val="26"/>
          <w:szCs w:val="26"/>
        </w:rPr>
        <w:t xml:space="preserve"> (</w:t>
      </w:r>
      <w:r w:rsidR="00AB3AEF" w:rsidRPr="00E50A1E">
        <w:rPr>
          <w:rFonts w:ascii="Times New Roman" w:hAnsi="Times New Roman"/>
          <w:i/>
          <w:sz w:val="26"/>
          <w:szCs w:val="26"/>
        </w:rPr>
        <w:t>detalizētāku informāciju par ar TUA saņemšanu saistītiem ieguldījumiem kapitālsabiedrību pamatkapitālos skatīt pielikumā Nr.</w:t>
      </w:r>
      <w:r w:rsidR="00E50A1E">
        <w:rPr>
          <w:rFonts w:ascii="Times New Roman" w:hAnsi="Times New Roman"/>
          <w:i/>
          <w:sz w:val="26"/>
          <w:szCs w:val="26"/>
        </w:rPr>
        <w:t>3</w:t>
      </w:r>
      <w:r w:rsidR="00AB3AEF" w:rsidRPr="00B271CE">
        <w:rPr>
          <w:rFonts w:ascii="Times New Roman" w:hAnsi="Times New Roman"/>
          <w:sz w:val="26"/>
          <w:szCs w:val="26"/>
        </w:rPr>
        <w:t>)</w:t>
      </w:r>
      <w:r w:rsidR="00AB3AEF" w:rsidRPr="00D268B1">
        <w:rPr>
          <w:rFonts w:ascii="Times New Roman" w:hAnsi="Times New Roman"/>
          <w:sz w:val="26"/>
          <w:szCs w:val="26"/>
        </w:rPr>
        <w:t>.</w:t>
      </w:r>
    </w:p>
    <w:p w:rsidR="00FF58A0" w:rsidRDefault="00FF58A0" w:rsidP="00D22CD2">
      <w:pPr>
        <w:spacing w:after="120" w:line="240" w:lineRule="auto"/>
        <w:ind w:firstLine="567"/>
        <w:jc w:val="both"/>
        <w:rPr>
          <w:rFonts w:ascii="Times New Roman" w:hAnsi="Times New Roman"/>
          <w:sz w:val="26"/>
          <w:szCs w:val="26"/>
        </w:rPr>
      </w:pPr>
    </w:p>
    <w:p w:rsidR="00A67CA7" w:rsidRDefault="00A67CA7" w:rsidP="00A67CA7">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Bezprocentu valsts vērtspapīru iegāde kā TUA saņemšanas pamats</w:t>
      </w:r>
    </w:p>
    <w:p w:rsidR="00FF58A0" w:rsidRPr="00A67CA7" w:rsidRDefault="00FF58A0" w:rsidP="00A67CA7">
      <w:pPr>
        <w:spacing w:after="120" w:line="240" w:lineRule="auto"/>
        <w:ind w:firstLine="567"/>
        <w:jc w:val="center"/>
        <w:rPr>
          <w:rFonts w:ascii="Times New Roman" w:hAnsi="Times New Roman"/>
          <w:b/>
          <w:sz w:val="26"/>
          <w:szCs w:val="26"/>
        </w:rPr>
      </w:pPr>
    </w:p>
    <w:p w:rsidR="00AB3AEF" w:rsidRPr="00B271CE" w:rsidRDefault="00AB3AEF" w:rsidP="00D22CD2">
      <w:pPr>
        <w:spacing w:after="120" w:line="240" w:lineRule="auto"/>
        <w:ind w:firstLine="567"/>
        <w:jc w:val="both"/>
        <w:rPr>
          <w:rFonts w:ascii="Times New Roman" w:eastAsiaTheme="minorHAnsi" w:hAnsi="Times New Roman" w:cstheme="minorBidi"/>
          <w:i/>
          <w:sz w:val="26"/>
          <w:szCs w:val="26"/>
        </w:rPr>
      </w:pPr>
      <w:r w:rsidRPr="00B271CE">
        <w:rPr>
          <w:rFonts w:ascii="Times New Roman" w:eastAsiaTheme="minorHAnsi" w:hAnsi="Times New Roman" w:cstheme="minorBidi"/>
          <w:sz w:val="26"/>
          <w:szCs w:val="26"/>
        </w:rPr>
        <w:t xml:space="preserve">No 2015.gada 1.janvāra spēkā stājies Imigrācijas likuma 23.panta pirmās daļas 31.punkts – iespēja pieprasīt </w:t>
      </w:r>
      <w:r>
        <w:rPr>
          <w:rFonts w:ascii="Times New Roman" w:eastAsiaTheme="minorHAnsi" w:hAnsi="Times New Roman" w:cstheme="minorBidi"/>
          <w:sz w:val="26"/>
          <w:szCs w:val="26"/>
        </w:rPr>
        <w:t>TUA</w:t>
      </w:r>
      <w:r w:rsidRPr="00B271CE">
        <w:rPr>
          <w:rFonts w:ascii="Times New Roman" w:eastAsiaTheme="minorHAnsi" w:hAnsi="Times New Roman" w:cstheme="minorBidi"/>
          <w:sz w:val="26"/>
          <w:szCs w:val="26"/>
        </w:rPr>
        <w:t xml:space="preserve"> uz laiku līdz pieciem gadiem, ja ārzemnieks iegādājas īpašam mērķim noteiktus bezprocentu valsts vērtspapīrus par nominālvērtību 250 000 </w:t>
      </w:r>
      <w:proofErr w:type="spellStart"/>
      <w:r w:rsidRPr="00B271CE">
        <w:rPr>
          <w:rFonts w:ascii="Times New Roman" w:eastAsiaTheme="minorHAnsi" w:hAnsi="Times New Roman" w:cstheme="minorBidi"/>
          <w:i/>
          <w:sz w:val="26"/>
          <w:szCs w:val="26"/>
        </w:rPr>
        <w:t>euro</w:t>
      </w:r>
      <w:proofErr w:type="spellEnd"/>
      <w:r w:rsidRPr="00B271CE">
        <w:rPr>
          <w:rFonts w:ascii="Times New Roman" w:eastAsiaTheme="minorHAnsi" w:hAnsi="Times New Roman" w:cstheme="minorBidi"/>
          <w:i/>
          <w:sz w:val="26"/>
          <w:szCs w:val="26"/>
        </w:rPr>
        <w:t xml:space="preserve"> </w:t>
      </w:r>
      <w:r w:rsidRPr="00B271CE">
        <w:rPr>
          <w:rFonts w:ascii="Times New Roman" w:eastAsiaTheme="minorHAnsi" w:hAnsi="Times New Roman" w:cstheme="minorBidi"/>
          <w:sz w:val="26"/>
          <w:szCs w:val="26"/>
        </w:rPr>
        <w:t xml:space="preserve">un samaksā valsts budžetā 25 000 </w:t>
      </w:r>
      <w:proofErr w:type="spellStart"/>
      <w:r w:rsidRPr="00B271CE">
        <w:rPr>
          <w:rFonts w:ascii="Times New Roman" w:eastAsiaTheme="minorHAnsi" w:hAnsi="Times New Roman" w:cstheme="minorBidi"/>
          <w:i/>
          <w:sz w:val="26"/>
          <w:szCs w:val="26"/>
        </w:rPr>
        <w:t>euro</w:t>
      </w:r>
      <w:proofErr w:type="spellEnd"/>
      <w:r w:rsidRPr="00B271CE">
        <w:rPr>
          <w:rFonts w:ascii="Times New Roman" w:eastAsiaTheme="minorHAnsi" w:hAnsi="Times New Roman" w:cstheme="minorBidi"/>
          <w:i/>
          <w:sz w:val="26"/>
          <w:szCs w:val="26"/>
        </w:rPr>
        <w:t xml:space="preserve">. </w:t>
      </w:r>
    </w:p>
    <w:p w:rsidR="00AB3AEF" w:rsidRDefault="00AB3AEF" w:rsidP="00D22CD2">
      <w:pPr>
        <w:spacing w:after="120" w:line="240" w:lineRule="auto"/>
        <w:ind w:firstLine="567"/>
        <w:jc w:val="both"/>
        <w:rPr>
          <w:rFonts w:ascii="Times New Roman" w:eastAsiaTheme="minorHAnsi" w:hAnsi="Times New Roman" w:cstheme="minorBidi"/>
          <w:sz w:val="26"/>
          <w:szCs w:val="26"/>
        </w:rPr>
      </w:pPr>
      <w:r w:rsidRPr="00B271CE">
        <w:rPr>
          <w:rFonts w:ascii="Times New Roman" w:eastAsiaTheme="minorHAnsi" w:hAnsi="Times New Roman" w:cstheme="minorBidi"/>
          <w:sz w:val="26"/>
          <w:szCs w:val="26"/>
        </w:rPr>
        <w:t xml:space="preserve">No 2015.gada 1.janvāra līdz 2016.gada 30.jūnijam </w:t>
      </w:r>
      <w:r>
        <w:rPr>
          <w:rFonts w:ascii="Times New Roman" w:eastAsiaTheme="minorHAnsi" w:hAnsi="Times New Roman" w:cstheme="minorBidi"/>
          <w:sz w:val="26"/>
          <w:szCs w:val="26"/>
        </w:rPr>
        <w:t>TUA</w:t>
      </w:r>
      <w:r w:rsidRPr="00B271CE">
        <w:rPr>
          <w:rFonts w:ascii="Times New Roman" w:eastAsiaTheme="minorHAnsi" w:hAnsi="Times New Roman" w:cstheme="minorBidi"/>
          <w:sz w:val="26"/>
          <w:szCs w:val="26"/>
        </w:rPr>
        <w:t xml:space="preserve"> saskaņā ar īpašam mērķim noteiktu bezprocentu valsts vērtspapīru iegādi pieprasījuši 22 investori un 36 viņu ģimenes locekļi. TUA pieprasītāju pilsonības – Krievijas Federācija – 13, Ukraina – 4, Baltkrievija – 3, Kazahstāna – 1, Irāka – 1.</w:t>
      </w:r>
    </w:p>
    <w:p w:rsidR="00FF58A0" w:rsidRPr="00FF58A0" w:rsidRDefault="00AB3AEF" w:rsidP="00FF58A0">
      <w:pPr>
        <w:spacing w:after="120" w:line="240" w:lineRule="auto"/>
        <w:ind w:right="11" w:firstLine="567"/>
        <w:jc w:val="both"/>
        <w:rPr>
          <w:color w:val="000000"/>
          <w:sz w:val="26"/>
          <w:szCs w:val="26"/>
          <w:lang w:eastAsia="lv-LV"/>
        </w:rPr>
      </w:pPr>
      <w:r w:rsidRPr="00FF58A0">
        <w:rPr>
          <w:rFonts w:ascii="Times New Roman" w:eastAsiaTheme="minorHAnsi" w:hAnsi="Times New Roman" w:cstheme="minorBidi"/>
          <w:sz w:val="26"/>
          <w:szCs w:val="26"/>
        </w:rPr>
        <w:t xml:space="preserve">Saskaņā ar Valsts kases sniegto viedokli, </w:t>
      </w:r>
      <w:r w:rsidRPr="00FF58A0">
        <w:rPr>
          <w:rFonts w:ascii="Times New Roman" w:hAnsi="Times New Roman"/>
          <w:sz w:val="26"/>
          <w:szCs w:val="26"/>
        </w:rPr>
        <w:t>pārskata periodā (no 2015.gada 1.janvāra līdz 2016.gada 30.jūnijam) īpašam mērķim noteikto bezprocentu valsts vērtspapīru emisijas rezultātā valsts parāds palielinājies par 3,5 milj. EUR, līdz ar to var uzskatīt, ka šis investīciju veids nav būtiski ietekmējis valsts parāda palielināšanos, tomēr jāņem vērā, ka pārskata periodā Valsts kases piesaistīto resursu cena sākotnējās izvietošanas izsolēs vidēja termiņa obligācijām ir strauji pietuvojusies nulles līmenim. Šāda tendence norāda uz piecu gadu bezprocentu obligāciju kā finansēšanas instrumenta ļoti zemo pienesumu no valsts parāda apkalpošanas izdevumu samazinājuma viedokļa. Ja tirgus situācijas attīstība finanšu tirgos turpināsies likmju samazināšanas virzienā</w:t>
      </w:r>
      <w:r w:rsidR="00FF58A0" w:rsidRPr="00FF58A0">
        <w:rPr>
          <w:rFonts w:ascii="Times New Roman" w:hAnsi="Times New Roman"/>
          <w:sz w:val="26"/>
          <w:szCs w:val="26"/>
        </w:rPr>
        <w:t xml:space="preserve">, </w:t>
      </w:r>
      <w:r w:rsidR="00FF58A0" w:rsidRPr="00FF58A0">
        <w:rPr>
          <w:rFonts w:ascii="Times New Roman" w:hAnsi="Times New Roman"/>
          <w:color w:val="000000"/>
          <w:sz w:val="26"/>
          <w:szCs w:val="26"/>
          <w:lang w:eastAsia="lv-LV"/>
        </w:rPr>
        <w:t>valsts </w:t>
      </w:r>
      <w:r w:rsidR="00FF58A0" w:rsidRPr="00FF58A0">
        <w:rPr>
          <w:rFonts w:ascii="Times New Roman" w:hAnsi="Times New Roman"/>
          <w:bCs/>
          <w:color w:val="000000"/>
          <w:sz w:val="26"/>
          <w:szCs w:val="26"/>
          <w:lang w:eastAsia="lv-LV"/>
        </w:rPr>
        <w:t>ieguvums no bezprocentu obligāciju turpmākā piedāvājuma vairs nebūs ekonomiski pamatots, jo finanšu tirgū resursus būs iespējams piesaistīt lētāk (ar negatīvu likmi).</w:t>
      </w:r>
      <w:r w:rsidR="00FF58A0" w:rsidRPr="00FF58A0">
        <w:rPr>
          <w:color w:val="000000"/>
          <w:sz w:val="26"/>
          <w:szCs w:val="26"/>
          <w:lang w:eastAsia="lv-LV"/>
        </w:rPr>
        <w:t> </w:t>
      </w:r>
      <w:r w:rsidR="00FF58A0" w:rsidRPr="00FF58A0">
        <w:rPr>
          <w:rFonts w:ascii="Times New Roman" w:hAnsi="Times New Roman"/>
          <w:color w:val="000000"/>
          <w:sz w:val="26"/>
          <w:szCs w:val="26"/>
          <w:lang w:eastAsia="lv-LV"/>
        </w:rPr>
        <w:t>Jāatzīmē, ka finanšu tirgos notiekošo procesu rezultātā arī privātpersonām piemērojamās procentu likmes ir strauji sarukušas un atkarībā no pārvaldāmo līdzekļu apjoma </w:t>
      </w:r>
      <w:proofErr w:type="spellStart"/>
      <w:r w:rsidR="00FF58A0" w:rsidRPr="00FF58A0">
        <w:rPr>
          <w:rFonts w:ascii="Times New Roman" w:hAnsi="Times New Roman"/>
          <w:i/>
          <w:iCs/>
          <w:color w:val="000000"/>
          <w:sz w:val="26"/>
          <w:szCs w:val="26"/>
          <w:lang w:eastAsia="lv-LV"/>
        </w:rPr>
        <w:t>euro</w:t>
      </w:r>
      <w:proofErr w:type="spellEnd"/>
      <w:r w:rsidR="00FF58A0" w:rsidRPr="00FF58A0">
        <w:rPr>
          <w:rFonts w:ascii="Times New Roman" w:hAnsi="Times New Roman"/>
          <w:color w:val="000000"/>
          <w:sz w:val="26"/>
          <w:szCs w:val="26"/>
          <w:lang w:eastAsia="lv-LV"/>
        </w:rPr>
        <w:t> valūtā komercbankas var tām piemērot arī negatīvas likmes.</w:t>
      </w:r>
      <w:r w:rsidR="00FF58A0" w:rsidRPr="00FF58A0">
        <w:rPr>
          <w:rFonts w:ascii="Times New Roman" w:hAnsi="Times New Roman"/>
          <w:bCs/>
          <w:color w:val="000000"/>
          <w:sz w:val="26"/>
          <w:szCs w:val="26"/>
          <w:lang w:eastAsia="lv-LV"/>
        </w:rPr>
        <w:t> Iestājoties šādai situācijai, bezprocentu obligāciju piedāvājums, ārzemniekiem veicot bez riska ieguldījumus Latvijas valsts bezprocentu obligācijās, radītu negatīvu ietekmi uz valsts budžeta bilanci.</w:t>
      </w:r>
    </w:p>
    <w:p w:rsidR="00CF48AC" w:rsidRPr="00CF48AC" w:rsidRDefault="00CF48AC" w:rsidP="00FF58A0">
      <w:pPr>
        <w:spacing w:after="120" w:line="240" w:lineRule="auto"/>
        <w:ind w:firstLine="567"/>
        <w:jc w:val="both"/>
        <w:rPr>
          <w:rFonts w:ascii="Times New Roman" w:hAnsi="Times New Roman"/>
          <w:color w:val="000000"/>
          <w:sz w:val="26"/>
          <w:szCs w:val="26"/>
          <w:lang w:eastAsia="lv-LV"/>
        </w:rPr>
      </w:pPr>
      <w:r w:rsidRPr="00CF48AC">
        <w:rPr>
          <w:rFonts w:ascii="Times New Roman" w:hAnsi="Times New Roman"/>
          <w:color w:val="000000"/>
          <w:sz w:val="26"/>
          <w:szCs w:val="26"/>
          <w:lang w:eastAsia="lv-LV"/>
        </w:rPr>
        <w:t xml:space="preserve">Līdz ar to </w:t>
      </w:r>
      <w:r w:rsidR="00FF58A0" w:rsidRPr="00FF58A0">
        <w:rPr>
          <w:rFonts w:ascii="Times New Roman" w:hAnsi="Times New Roman"/>
          <w:color w:val="000000"/>
          <w:sz w:val="26"/>
          <w:szCs w:val="26"/>
          <w:lang w:eastAsia="lv-LV"/>
        </w:rPr>
        <w:t>secināms</w:t>
      </w:r>
      <w:r w:rsidRPr="00CF48AC">
        <w:rPr>
          <w:rFonts w:ascii="Times New Roman" w:hAnsi="Times New Roman"/>
          <w:color w:val="000000"/>
          <w:sz w:val="26"/>
          <w:szCs w:val="26"/>
          <w:lang w:eastAsia="lv-LV"/>
        </w:rPr>
        <w:t>, ka</w:t>
      </w:r>
      <w:r w:rsidRPr="00FF58A0">
        <w:rPr>
          <w:rFonts w:ascii="Times New Roman" w:hAnsi="Times New Roman"/>
          <w:color w:val="000000"/>
          <w:sz w:val="26"/>
          <w:szCs w:val="26"/>
          <w:lang w:eastAsia="lv-LV"/>
        </w:rPr>
        <w:t> </w:t>
      </w:r>
      <w:r w:rsidRPr="00CF48AC">
        <w:rPr>
          <w:rFonts w:ascii="Times New Roman" w:hAnsi="Times New Roman"/>
          <w:color w:val="000000"/>
          <w:sz w:val="26"/>
          <w:szCs w:val="26"/>
          <w:lang w:eastAsia="lv-LV"/>
        </w:rPr>
        <w:t>iespējami ātrā laikā ir nepieciešams veikt piecu gadu bezprocentu valsts vērtspapīru emisijas parametru vai iegādes nosacījumu maiņu atbilstoši aktuālai situācijai finanšu tirgos, lai šī instrumenta izmantošana neradītu negatīvu ietekmi uz valsts budžeta bilanci</w:t>
      </w:r>
      <w:r w:rsidRPr="00FF58A0">
        <w:rPr>
          <w:rFonts w:ascii="Times New Roman" w:hAnsi="Times New Roman"/>
          <w:color w:val="000000"/>
          <w:sz w:val="26"/>
          <w:szCs w:val="26"/>
          <w:lang w:eastAsia="lv-LV"/>
        </w:rPr>
        <w:t> </w:t>
      </w:r>
      <w:r w:rsidRPr="00CF48AC">
        <w:rPr>
          <w:rFonts w:ascii="Times New Roman" w:hAnsi="Times New Roman"/>
          <w:color w:val="000000"/>
          <w:sz w:val="26"/>
          <w:szCs w:val="26"/>
          <w:lang w:eastAsia="lv-LV"/>
        </w:rPr>
        <w:t>un saglabātu ekonomisko ieguvumu.”</w:t>
      </w:r>
    </w:p>
    <w:p w:rsidR="00CF48AC" w:rsidRPr="00CF48AC" w:rsidRDefault="00CF48AC" w:rsidP="00FF58A0">
      <w:pPr>
        <w:spacing w:after="120" w:line="240" w:lineRule="auto"/>
        <w:ind w:right="11" w:firstLine="567"/>
        <w:jc w:val="both"/>
        <w:rPr>
          <w:rFonts w:ascii="Times New Roman" w:hAnsi="Times New Roman"/>
          <w:color w:val="000000"/>
          <w:sz w:val="26"/>
          <w:szCs w:val="26"/>
          <w:lang w:eastAsia="lv-LV"/>
        </w:rPr>
      </w:pPr>
      <w:r w:rsidRPr="00CF48AC">
        <w:rPr>
          <w:rFonts w:ascii="Times New Roman" w:hAnsi="Times New Roman"/>
          <w:color w:val="000000"/>
          <w:sz w:val="26"/>
          <w:szCs w:val="26"/>
          <w:lang w:eastAsia="lv-LV"/>
        </w:rPr>
        <w:t xml:space="preserve">Lai neradītu negatīvu ietekmi uz valsts budžeta bilanci un saglabātu arī ekonomisko ieguvumu no valsts bezprocentu obligāciju emisijas, no ārzemnieka, kurš Imigrācijas likumā noteiktajā kārtībā veic valsts bezprocentu obligāciju iegādi, būtu jāpieprasa lielāka iemaksa valsts budžetā, kas būtu vismaz līdzvērtīga līmenim, kas atbilst valsts iekšējā aizņēmuma obligāciju ar etalona atmaksas termiņu pieci gadi sākotnējā izvietošanā noteiktajām tirgus pozitīvām likmēm 2015.gada sākumā (~1% līmenī, 2.attēls), kad valsts bezprocentu obligāciju iegādes iespēja tika uzsākta. Šāda gadījumā tiktu nodrošināta iespēja, ka, procentu likmēm finanšu tirgos samazinoties vēl vairāk, piemēram, Vācijas valsts 5 gadu obligāciju vēsturiski zemākais ienesīgums ir </w:t>
      </w:r>
      <w:r w:rsidRPr="00CF48AC">
        <w:rPr>
          <w:rFonts w:ascii="Times New Roman" w:hAnsi="Times New Roman"/>
          <w:color w:val="000000"/>
          <w:sz w:val="26"/>
          <w:szCs w:val="26"/>
          <w:lang w:eastAsia="lv-LV"/>
        </w:rPr>
        <w:lastRenderedPageBreak/>
        <w:t>bijis aptuveni mīnuss 0,6% līmenī (3.attēls), valstij joprojām tiktu nodrošināts ekonomisks ieguvums no bezprocentu obligāciju realizācijas.</w:t>
      </w:r>
    </w:p>
    <w:p w:rsidR="00CF48AC" w:rsidRPr="00CF48AC" w:rsidRDefault="00CF48AC" w:rsidP="00FF58A0">
      <w:pPr>
        <w:spacing w:after="120" w:line="240" w:lineRule="auto"/>
        <w:ind w:left="567" w:right="11"/>
        <w:jc w:val="both"/>
        <w:rPr>
          <w:rFonts w:ascii="Times New Roman" w:hAnsi="Times New Roman"/>
          <w:color w:val="000000"/>
          <w:sz w:val="26"/>
          <w:szCs w:val="26"/>
          <w:lang w:eastAsia="lv-LV"/>
        </w:rPr>
      </w:pPr>
      <w:r w:rsidRPr="00CF48AC">
        <w:rPr>
          <w:rFonts w:ascii="Times New Roman" w:hAnsi="Times New Roman"/>
          <w:color w:val="000000"/>
          <w:sz w:val="26"/>
          <w:szCs w:val="26"/>
          <w:lang w:eastAsia="lv-LV"/>
        </w:rPr>
        <w:t>Kompensējošā maksājuma ieviešanai ir iespējami divi tehniski atšķirīgi risinājumi:</w:t>
      </w:r>
    </w:p>
    <w:p w:rsidR="00CF48AC" w:rsidRPr="00CF48AC" w:rsidRDefault="00CF48AC" w:rsidP="00FF58A0">
      <w:pPr>
        <w:spacing w:after="120" w:line="240" w:lineRule="auto"/>
        <w:ind w:right="11" w:firstLine="927"/>
        <w:jc w:val="both"/>
        <w:rPr>
          <w:rFonts w:ascii="Times New Roman" w:hAnsi="Times New Roman"/>
          <w:color w:val="000000"/>
          <w:sz w:val="26"/>
          <w:szCs w:val="26"/>
          <w:lang w:eastAsia="lv-LV"/>
        </w:rPr>
      </w:pPr>
      <w:r w:rsidRPr="00CF48AC">
        <w:rPr>
          <w:rFonts w:ascii="Times New Roman" w:hAnsi="Times New Roman"/>
          <w:color w:val="000000"/>
          <w:sz w:val="26"/>
          <w:szCs w:val="26"/>
          <w:lang w:eastAsia="lv-LV"/>
        </w:rPr>
        <w:t>1)     </w:t>
      </w:r>
      <w:r w:rsidRPr="00FF58A0">
        <w:rPr>
          <w:rFonts w:ascii="Times New Roman" w:hAnsi="Times New Roman"/>
          <w:color w:val="000000"/>
          <w:sz w:val="26"/>
          <w:szCs w:val="26"/>
          <w:lang w:eastAsia="lv-LV"/>
        </w:rPr>
        <w:t> </w:t>
      </w:r>
      <w:r w:rsidRPr="00CF48AC">
        <w:rPr>
          <w:rFonts w:ascii="Times New Roman" w:hAnsi="Times New Roman"/>
          <w:color w:val="000000"/>
          <w:sz w:val="26"/>
          <w:szCs w:val="26"/>
          <w:lang w:eastAsia="lv-LV"/>
        </w:rPr>
        <w:t>Imigrācijas likumā noteikt ārzemniekam lielāku vienreizēju iemaksu valsts budžetā, kas atbilst negatīvai efektīvai procentu likmei vismaz 1% gadā apmērā par bezprocentu obligācijām 250 tūkst. EUR apmērā pēc nominālvērtības jeb 12,5 tūkst. EUR piecu gadu laikā;</w:t>
      </w:r>
    </w:p>
    <w:p w:rsidR="00CF48AC" w:rsidRPr="00CF48AC" w:rsidRDefault="00CF48AC" w:rsidP="00FF58A0">
      <w:pPr>
        <w:spacing w:after="120" w:line="240" w:lineRule="auto"/>
        <w:ind w:right="11" w:firstLine="927"/>
        <w:jc w:val="both"/>
        <w:rPr>
          <w:rFonts w:ascii="Times New Roman" w:hAnsi="Times New Roman"/>
          <w:color w:val="000000"/>
          <w:sz w:val="26"/>
          <w:szCs w:val="26"/>
          <w:lang w:eastAsia="lv-LV"/>
        </w:rPr>
      </w:pPr>
      <w:r w:rsidRPr="00CF48AC">
        <w:rPr>
          <w:rFonts w:ascii="Times New Roman" w:hAnsi="Times New Roman"/>
          <w:color w:val="000000"/>
          <w:sz w:val="26"/>
          <w:szCs w:val="26"/>
          <w:lang w:eastAsia="lv-LV"/>
        </w:rPr>
        <w:t>2)     </w:t>
      </w:r>
      <w:r w:rsidRPr="00FF58A0">
        <w:rPr>
          <w:rFonts w:ascii="Times New Roman" w:hAnsi="Times New Roman"/>
          <w:color w:val="000000"/>
          <w:sz w:val="26"/>
          <w:szCs w:val="26"/>
          <w:lang w:eastAsia="lv-LV"/>
        </w:rPr>
        <w:t> </w:t>
      </w:r>
      <w:r w:rsidRPr="00CF48AC">
        <w:rPr>
          <w:rFonts w:ascii="Times New Roman" w:hAnsi="Times New Roman"/>
          <w:color w:val="000000"/>
          <w:sz w:val="26"/>
          <w:szCs w:val="26"/>
          <w:lang w:eastAsia="lv-LV"/>
        </w:rPr>
        <w:t>Mainīt valsts bezprocentu obligāciju emisijas parametrus tā, ka tās vairs nav bezprocentu obligācijas, bet speciālam mērķim paredzēti valsts parāda vērtspapīri ar negatīvu fiksētu procentu likmi vismaz 1% gadā apmērā.</w:t>
      </w:r>
    </w:p>
    <w:p w:rsidR="00AB3AEF" w:rsidRDefault="00CF48AC" w:rsidP="00FF58A0">
      <w:pPr>
        <w:spacing w:after="120" w:line="240" w:lineRule="auto"/>
        <w:ind w:right="11" w:firstLine="567"/>
        <w:jc w:val="both"/>
        <w:rPr>
          <w:rFonts w:ascii="Times New Roman" w:hAnsi="Times New Roman"/>
          <w:sz w:val="26"/>
          <w:szCs w:val="26"/>
        </w:rPr>
      </w:pPr>
      <w:r w:rsidRPr="00CF48AC">
        <w:rPr>
          <w:rFonts w:ascii="Times New Roman" w:hAnsi="Times New Roman"/>
          <w:color w:val="000000"/>
          <w:sz w:val="26"/>
          <w:szCs w:val="26"/>
          <w:lang w:eastAsia="lv-LV"/>
        </w:rPr>
        <w:t xml:space="preserve">Salīdzinot abus risinājuma variantus, </w:t>
      </w:r>
      <w:r w:rsidR="00FF58A0">
        <w:rPr>
          <w:rFonts w:ascii="Times New Roman" w:hAnsi="Times New Roman"/>
          <w:color w:val="000000"/>
          <w:sz w:val="26"/>
          <w:szCs w:val="26"/>
          <w:lang w:eastAsia="lv-LV"/>
        </w:rPr>
        <w:t>jāsecina</w:t>
      </w:r>
      <w:r w:rsidRPr="00CF48AC">
        <w:rPr>
          <w:rFonts w:ascii="Times New Roman" w:hAnsi="Times New Roman"/>
          <w:color w:val="000000"/>
          <w:sz w:val="26"/>
          <w:szCs w:val="26"/>
          <w:lang w:eastAsia="lv-LV"/>
        </w:rPr>
        <w:t xml:space="preserve">, ka tehniski vienkāršāks un administratīvi lētāks ir pirmais risinājuma variants, jo tas nav saistīts ar vērtspapīru emisijas parametru maiņu, izmaiņām informācijas sistēmās, kuras izmanto emisijas procesa nodrošināšanā iesaistītās puses (PMLP, Latvijas Centrālais depozitārijs un Valsts kase) un būtiskām izmaiņām normatīvajos aktos. Turklāt arī no valsts bezprocentu obligāciju piedāvājuma viedokļa nemainītos aktīva struktūra, kuru iegādājas ārzemnieks, un neveidojas situācija, ka jau pastāvošā termiņuzturēšanās atļaujas iegūšanas kanāla izmantošanai ir nepieciešams iegādāties jaunu, cita veida finanšu instrumentu, bet mainās tikai tā iegādes nosacījumi (lielāks vienreizējs maksājums valsts budžetā). Līdz ar to, atbalstāms </w:t>
      </w:r>
      <w:proofErr w:type="gramStart"/>
      <w:r w:rsidRPr="00CF48AC">
        <w:rPr>
          <w:rFonts w:ascii="Times New Roman" w:hAnsi="Times New Roman"/>
          <w:color w:val="000000"/>
          <w:sz w:val="26"/>
          <w:szCs w:val="26"/>
          <w:lang w:eastAsia="lv-LV"/>
        </w:rPr>
        <w:t>būtu pirmais risinājums</w:t>
      </w:r>
      <w:proofErr w:type="gramEnd"/>
      <w:r w:rsidRPr="00CF48AC">
        <w:rPr>
          <w:rFonts w:ascii="Times New Roman" w:hAnsi="Times New Roman"/>
          <w:color w:val="000000"/>
          <w:sz w:val="26"/>
          <w:szCs w:val="26"/>
          <w:lang w:eastAsia="lv-LV"/>
        </w:rPr>
        <w:t>, kas</w:t>
      </w:r>
      <w:r w:rsidRPr="00FF58A0">
        <w:rPr>
          <w:rFonts w:ascii="Times New Roman" w:hAnsi="Times New Roman"/>
          <w:color w:val="000000"/>
          <w:sz w:val="26"/>
          <w:szCs w:val="26"/>
          <w:lang w:eastAsia="lv-LV"/>
        </w:rPr>
        <w:t> </w:t>
      </w:r>
      <w:r w:rsidRPr="00CF48AC">
        <w:rPr>
          <w:rFonts w:ascii="Times New Roman" w:hAnsi="Times New Roman"/>
          <w:color w:val="000000"/>
          <w:sz w:val="26"/>
          <w:szCs w:val="26"/>
          <w:lang w:eastAsia="lv-LV"/>
        </w:rPr>
        <w:t>paredz lielāku veicamo iemaksu valsts budžetā, iegādājoties bezprocentu obligācijas termiņuzturēšanās atļaujas iegūšanai.</w:t>
      </w:r>
      <w:r w:rsidR="00FF58A0">
        <w:rPr>
          <w:rFonts w:ascii="Times New Roman" w:hAnsi="Times New Roman"/>
          <w:color w:val="000000"/>
          <w:sz w:val="26"/>
          <w:szCs w:val="26"/>
          <w:lang w:eastAsia="lv-LV"/>
        </w:rPr>
        <w:t xml:space="preserve"> </w:t>
      </w:r>
      <w:r w:rsidR="00AB3AEF" w:rsidRPr="00FF58A0">
        <w:rPr>
          <w:rFonts w:ascii="Times New Roman" w:eastAsiaTheme="minorHAnsi" w:hAnsi="Times New Roman" w:cstheme="minorBidi"/>
          <w:sz w:val="26"/>
          <w:szCs w:val="26"/>
        </w:rPr>
        <w:t>(</w:t>
      </w:r>
      <w:r w:rsidR="00AB3AEF" w:rsidRPr="00FF58A0">
        <w:rPr>
          <w:rFonts w:ascii="Times New Roman" w:eastAsiaTheme="minorHAnsi" w:hAnsi="Times New Roman" w:cstheme="minorBidi"/>
          <w:i/>
          <w:sz w:val="26"/>
          <w:szCs w:val="26"/>
        </w:rPr>
        <w:t>detalizētāku informāciju par TUA, kuras izsniegtas saskaņā ar Imigrācijas likuma 23.panta pirmās daļas 31.punktu, skatīt pielikumā nr.</w:t>
      </w:r>
      <w:r w:rsidR="001537CF" w:rsidRPr="00FF58A0">
        <w:rPr>
          <w:rFonts w:ascii="Times New Roman" w:eastAsiaTheme="minorHAnsi" w:hAnsi="Times New Roman" w:cstheme="minorBidi"/>
          <w:i/>
          <w:sz w:val="26"/>
          <w:szCs w:val="26"/>
        </w:rPr>
        <w:t>4</w:t>
      </w:r>
      <w:r w:rsidR="00AB3AEF" w:rsidRPr="00FF58A0">
        <w:rPr>
          <w:rFonts w:ascii="Times New Roman" w:eastAsiaTheme="minorHAnsi" w:hAnsi="Times New Roman" w:cstheme="minorBidi"/>
          <w:sz w:val="26"/>
          <w:szCs w:val="26"/>
        </w:rPr>
        <w:t>)</w:t>
      </w:r>
      <w:r w:rsidR="00AB3AEF" w:rsidRPr="00FF58A0">
        <w:rPr>
          <w:rFonts w:ascii="Times New Roman" w:hAnsi="Times New Roman"/>
          <w:sz w:val="26"/>
          <w:szCs w:val="26"/>
        </w:rPr>
        <w:t>.</w:t>
      </w:r>
    </w:p>
    <w:p w:rsidR="00FF58A0" w:rsidRPr="00FF58A0" w:rsidRDefault="00FF58A0" w:rsidP="00FF58A0">
      <w:pPr>
        <w:spacing w:after="120" w:line="240" w:lineRule="auto"/>
        <w:ind w:right="11" w:firstLine="567"/>
        <w:jc w:val="both"/>
        <w:rPr>
          <w:rFonts w:ascii="Times New Roman" w:hAnsi="Times New Roman"/>
          <w:sz w:val="26"/>
          <w:szCs w:val="26"/>
        </w:rPr>
      </w:pPr>
    </w:p>
    <w:p w:rsidR="00A67CA7" w:rsidRDefault="00A67CA7" w:rsidP="00A67CA7">
      <w:pPr>
        <w:spacing w:after="120" w:line="240" w:lineRule="auto"/>
        <w:ind w:firstLine="567"/>
        <w:jc w:val="center"/>
        <w:rPr>
          <w:rFonts w:ascii="Times New Roman" w:hAnsi="Times New Roman"/>
          <w:b/>
          <w:sz w:val="26"/>
          <w:szCs w:val="26"/>
        </w:rPr>
      </w:pPr>
      <w:r w:rsidRPr="00A67CA7">
        <w:rPr>
          <w:rFonts w:ascii="Times New Roman" w:hAnsi="Times New Roman"/>
          <w:b/>
          <w:sz w:val="26"/>
          <w:szCs w:val="26"/>
        </w:rPr>
        <w:t>Ekonomikas attīstības programma</w:t>
      </w:r>
    </w:p>
    <w:p w:rsidR="00FF58A0" w:rsidRPr="00A67CA7" w:rsidRDefault="00FF58A0" w:rsidP="00A67CA7">
      <w:pPr>
        <w:spacing w:after="120" w:line="240" w:lineRule="auto"/>
        <w:ind w:firstLine="567"/>
        <w:jc w:val="center"/>
        <w:rPr>
          <w:rFonts w:ascii="Times New Roman" w:hAnsi="Times New Roman"/>
          <w:b/>
          <w:sz w:val="26"/>
          <w:szCs w:val="26"/>
        </w:rPr>
      </w:pPr>
    </w:p>
    <w:p w:rsidR="00846FB5" w:rsidRPr="00846FB5" w:rsidRDefault="00846FB5" w:rsidP="00846FB5">
      <w:pPr>
        <w:spacing w:after="120" w:line="240" w:lineRule="auto"/>
        <w:ind w:firstLine="567"/>
        <w:jc w:val="both"/>
        <w:rPr>
          <w:rFonts w:ascii="Times New Roman" w:hAnsi="Times New Roman"/>
          <w:sz w:val="26"/>
          <w:szCs w:val="26"/>
        </w:rPr>
      </w:pPr>
      <w:r w:rsidRPr="00846FB5">
        <w:rPr>
          <w:rFonts w:ascii="Times New Roman" w:hAnsi="Times New Roman"/>
          <w:sz w:val="26"/>
          <w:szCs w:val="26"/>
        </w:rPr>
        <w:t xml:space="preserve">2014.gada 1.septembrī spēkā stājās grozījumi, kas noteica, ka pirms TUA saņemšanas ārzemniekam jāveic maksājums valsts pamatbudžeta programmai “Ekonomikas attīstības programma” atvērtajā valsts pamatbudžeta izdevumu kontā Valsts kasē 5% apjomā no iegādātā nekustamā īpašuma vērtības vai arī bankas pakārtoto saistību vai obligāciju gadījumā 25 000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 Līdz ar likumprojekta “Grozījumi Imigrācijas likumā” apstiprināšanu Saeimā 2016.gada 9.jūnijā (spēkā stājās 2016.gada 1.jūlijā) mainījās arī nosacījumi attiecībā uz ārzemnieku vienreizējām iemaksām valsts pamatbudžeta programmā “Ekonomikas attīstības programma”. Turpmāk iemaksa valsts budžetā būs jāveic ikvienam ārzemniekam, kurš vēlas saņemt pirmreizējo TUA, neatkarīgi no investīciju veida. Attiecīgi, ja TUA izsniegšanas pamats ir:</w:t>
      </w:r>
    </w:p>
    <w:p w:rsidR="00846FB5" w:rsidRPr="00846FB5" w:rsidRDefault="00846FB5" w:rsidP="00846FB5">
      <w:pPr>
        <w:pStyle w:val="ListParagraph"/>
        <w:numPr>
          <w:ilvl w:val="0"/>
          <w:numId w:val="15"/>
        </w:numPr>
        <w:spacing w:after="120" w:line="240" w:lineRule="auto"/>
        <w:jc w:val="both"/>
        <w:rPr>
          <w:lang w:eastAsia="lv-LV"/>
        </w:rPr>
      </w:pPr>
      <w:r w:rsidRPr="00846FB5">
        <w:rPr>
          <w:rFonts w:ascii="Times New Roman" w:hAnsi="Times New Roman"/>
          <w:sz w:val="26"/>
          <w:szCs w:val="26"/>
        </w:rPr>
        <w:t xml:space="preserve">ieguldījums kapitālsabiedrības pamatkapitālā – 10 000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w:t>
      </w:r>
    </w:p>
    <w:p w:rsidR="00846FB5" w:rsidRPr="00846FB5" w:rsidRDefault="00846FB5" w:rsidP="00846FB5">
      <w:pPr>
        <w:pStyle w:val="ListParagraph"/>
        <w:numPr>
          <w:ilvl w:val="0"/>
          <w:numId w:val="15"/>
        </w:numPr>
        <w:spacing w:after="120" w:line="240" w:lineRule="auto"/>
        <w:jc w:val="both"/>
        <w:rPr>
          <w:lang w:eastAsia="lv-LV"/>
        </w:rPr>
      </w:pPr>
      <w:r w:rsidRPr="00846FB5">
        <w:rPr>
          <w:rFonts w:ascii="Times New Roman" w:hAnsi="Times New Roman"/>
          <w:sz w:val="26"/>
          <w:szCs w:val="26"/>
        </w:rPr>
        <w:t>nekustamā īpašuma iegāde – 5% no nekustamā īpašuma vērtības;</w:t>
      </w:r>
    </w:p>
    <w:p w:rsidR="00846FB5" w:rsidRPr="00846FB5" w:rsidRDefault="00846FB5" w:rsidP="00846FB5">
      <w:pPr>
        <w:pStyle w:val="ListParagraph"/>
        <w:numPr>
          <w:ilvl w:val="0"/>
          <w:numId w:val="15"/>
        </w:numPr>
        <w:spacing w:after="120" w:line="240" w:lineRule="auto"/>
        <w:jc w:val="both"/>
        <w:rPr>
          <w:lang w:eastAsia="lv-LV"/>
        </w:rPr>
      </w:pPr>
      <w:r w:rsidRPr="00846FB5">
        <w:rPr>
          <w:rFonts w:ascii="Times New Roman" w:hAnsi="Times New Roman"/>
          <w:sz w:val="26"/>
          <w:szCs w:val="26"/>
        </w:rPr>
        <w:t xml:space="preserve">pakārtotās saistības ar Latvijas Republikas kredītiestādi – 25 000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w:t>
      </w:r>
    </w:p>
    <w:p w:rsidR="00846FB5" w:rsidRPr="00846FB5" w:rsidRDefault="00846FB5" w:rsidP="00846FB5">
      <w:pPr>
        <w:pStyle w:val="ListParagraph"/>
        <w:numPr>
          <w:ilvl w:val="0"/>
          <w:numId w:val="15"/>
        </w:numPr>
        <w:spacing w:after="120" w:line="240" w:lineRule="auto"/>
        <w:jc w:val="both"/>
        <w:rPr>
          <w:lang w:eastAsia="lv-LV"/>
        </w:rPr>
      </w:pPr>
      <w:r w:rsidRPr="00846FB5">
        <w:rPr>
          <w:rFonts w:ascii="Times New Roman" w:hAnsi="Times New Roman"/>
          <w:sz w:val="26"/>
          <w:szCs w:val="26"/>
        </w:rPr>
        <w:t xml:space="preserve">bezprocentu valsts vērtspapīru iegāde – 25 000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 xml:space="preserve">. </w:t>
      </w:r>
    </w:p>
    <w:p w:rsidR="00846FB5" w:rsidRPr="000457DF" w:rsidRDefault="00846FB5" w:rsidP="00846FB5">
      <w:pPr>
        <w:spacing w:after="120" w:line="240" w:lineRule="auto"/>
        <w:ind w:firstLine="567"/>
        <w:jc w:val="both"/>
        <w:rPr>
          <w:color w:val="FF0000"/>
          <w:highlight w:val="yellow"/>
          <w:lang w:eastAsia="lv-LV"/>
        </w:rPr>
      </w:pPr>
      <w:r w:rsidRPr="00846FB5">
        <w:rPr>
          <w:rFonts w:ascii="Times New Roman" w:hAnsi="Times New Roman"/>
          <w:sz w:val="26"/>
          <w:szCs w:val="26"/>
        </w:rPr>
        <w:t xml:space="preserve">No 2014.gada 1.septembra līdz 2016.gada 30.jūnijam Ekonomikas attīstības programmā ir iemaksāti 5,13 milj.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 xml:space="preserve">, no tiem 2015.gadā – 3,1 milj. </w:t>
      </w:r>
      <w:proofErr w:type="spellStart"/>
      <w:r w:rsidRPr="00846FB5">
        <w:rPr>
          <w:rFonts w:ascii="Times New Roman" w:hAnsi="Times New Roman"/>
          <w:i/>
          <w:sz w:val="26"/>
          <w:szCs w:val="26"/>
        </w:rPr>
        <w:t>euro</w:t>
      </w:r>
      <w:proofErr w:type="spellEnd"/>
      <w:r w:rsidRPr="00846FB5">
        <w:rPr>
          <w:rFonts w:ascii="Times New Roman" w:hAnsi="Times New Roman"/>
          <w:sz w:val="26"/>
          <w:szCs w:val="26"/>
        </w:rPr>
        <w:t xml:space="preserve">, bet </w:t>
      </w:r>
      <w:r w:rsidRPr="00846FB5">
        <w:rPr>
          <w:rFonts w:ascii="Times New Roman" w:hAnsi="Times New Roman"/>
          <w:sz w:val="26"/>
          <w:szCs w:val="26"/>
        </w:rPr>
        <w:lastRenderedPageBreak/>
        <w:t xml:space="preserve">2016.gada pirmajā pusgadā 1,2 milj. </w:t>
      </w:r>
      <w:proofErr w:type="spellStart"/>
      <w:r w:rsidRPr="00846FB5">
        <w:rPr>
          <w:rFonts w:ascii="Times New Roman" w:hAnsi="Times New Roman"/>
          <w:i/>
          <w:sz w:val="26"/>
          <w:szCs w:val="26"/>
        </w:rPr>
        <w:t>euro</w:t>
      </w:r>
      <w:proofErr w:type="spellEnd"/>
      <w:r w:rsidR="001537CF">
        <w:rPr>
          <w:rFonts w:ascii="Times New Roman" w:hAnsi="Times New Roman"/>
          <w:i/>
          <w:sz w:val="26"/>
          <w:szCs w:val="26"/>
        </w:rPr>
        <w:t xml:space="preserve"> </w:t>
      </w:r>
      <w:r w:rsidR="001537CF" w:rsidRPr="001537CF">
        <w:rPr>
          <w:rFonts w:ascii="Times New Roman" w:hAnsi="Times New Roman"/>
          <w:sz w:val="26"/>
          <w:szCs w:val="26"/>
        </w:rPr>
        <w:t>(skatīt 2.tabulu)</w:t>
      </w:r>
      <w:r w:rsidRPr="00846FB5">
        <w:rPr>
          <w:rFonts w:ascii="Times New Roman" w:hAnsi="Times New Roman"/>
          <w:sz w:val="26"/>
          <w:szCs w:val="26"/>
        </w:rPr>
        <w:t>.</w:t>
      </w:r>
      <w:r w:rsidR="001537CF">
        <w:rPr>
          <w:rFonts w:ascii="Times New Roman" w:hAnsi="Times New Roman"/>
          <w:sz w:val="26"/>
          <w:szCs w:val="26"/>
        </w:rPr>
        <w:t xml:space="preserve"> No šīs summas 4,08 milj. </w:t>
      </w:r>
      <w:proofErr w:type="spellStart"/>
      <w:r w:rsidR="001537CF" w:rsidRPr="00915BA1">
        <w:rPr>
          <w:rFonts w:ascii="Times New Roman" w:hAnsi="Times New Roman"/>
          <w:i/>
          <w:sz w:val="26"/>
          <w:szCs w:val="26"/>
        </w:rPr>
        <w:t>euro</w:t>
      </w:r>
      <w:proofErr w:type="spellEnd"/>
      <w:r w:rsidR="001537CF">
        <w:rPr>
          <w:rFonts w:ascii="Times New Roman" w:hAnsi="Times New Roman"/>
          <w:i/>
          <w:sz w:val="26"/>
          <w:szCs w:val="26"/>
        </w:rPr>
        <w:t xml:space="preserve"> </w:t>
      </w:r>
      <w:r w:rsidR="001537CF">
        <w:rPr>
          <w:rFonts w:ascii="Times New Roman" w:hAnsi="Times New Roman"/>
          <w:sz w:val="26"/>
          <w:szCs w:val="26"/>
        </w:rPr>
        <w:t>novirzīti Mājokļa atbalsta programmai.</w:t>
      </w:r>
    </w:p>
    <w:p w:rsidR="00AB3AEF" w:rsidRDefault="00AB3AEF" w:rsidP="00D22CD2">
      <w:pPr>
        <w:spacing w:after="120" w:line="240" w:lineRule="auto"/>
        <w:ind w:firstLine="567"/>
        <w:jc w:val="both"/>
        <w:rPr>
          <w:rFonts w:ascii="Times New Roman" w:hAnsi="Times New Roman"/>
          <w:sz w:val="26"/>
          <w:szCs w:val="26"/>
        </w:rPr>
      </w:pPr>
      <w:r w:rsidRPr="00DE5052">
        <w:rPr>
          <w:rFonts w:ascii="Times New Roman" w:hAnsi="Times New Roman"/>
          <w:sz w:val="26"/>
          <w:szCs w:val="26"/>
        </w:rPr>
        <w:t xml:space="preserve">Saskaņā ar likuma „Par valsts budžetu 2016. gadam” 49. panta pirmo daļu Ekonomikas ministrijas budžeta programmā 33.00.00 "Ekonomikas attīstības programma" ieskaitītie līdzekļi ir izmantojami atbalsta pasākumiem Latvijas uzņēmējiem jaunu eksporta tirgu apguvē un eksporta palielināšanā uz prioritāriem mērķa tirgiem un investīciju veicināšanai, </w:t>
      </w:r>
      <w:proofErr w:type="spellStart"/>
      <w:r w:rsidRPr="00DE5052">
        <w:rPr>
          <w:rFonts w:ascii="Times New Roman" w:hAnsi="Times New Roman"/>
          <w:sz w:val="26"/>
          <w:szCs w:val="26"/>
        </w:rPr>
        <w:t>Reemigrācijas</w:t>
      </w:r>
      <w:proofErr w:type="spellEnd"/>
      <w:r w:rsidRPr="00DE5052">
        <w:rPr>
          <w:rFonts w:ascii="Times New Roman" w:hAnsi="Times New Roman"/>
          <w:sz w:val="26"/>
          <w:szCs w:val="26"/>
        </w:rPr>
        <w:t xml:space="preserve"> atbalsta pasākumu plāna un </w:t>
      </w:r>
      <w:r>
        <w:rPr>
          <w:rFonts w:ascii="Times New Roman" w:hAnsi="Times New Roman"/>
          <w:sz w:val="26"/>
          <w:szCs w:val="26"/>
        </w:rPr>
        <w:t>Mājokļa atbalsta</w:t>
      </w:r>
      <w:r w:rsidRPr="003014A1">
        <w:rPr>
          <w:rFonts w:ascii="Times New Roman" w:hAnsi="Times New Roman"/>
          <w:sz w:val="26"/>
          <w:szCs w:val="26"/>
        </w:rPr>
        <w:t xml:space="preserve"> </w:t>
      </w:r>
      <w:r w:rsidRPr="00DE5052">
        <w:rPr>
          <w:rFonts w:ascii="Times New Roman" w:hAnsi="Times New Roman"/>
          <w:sz w:val="26"/>
          <w:szCs w:val="26"/>
        </w:rPr>
        <w:t xml:space="preserve">programmas finansēšanai, kā arī citiem </w:t>
      </w:r>
      <w:proofErr w:type="gramStart"/>
      <w:r w:rsidRPr="00DE5052">
        <w:rPr>
          <w:rFonts w:ascii="Times New Roman" w:hAnsi="Times New Roman"/>
          <w:sz w:val="26"/>
          <w:szCs w:val="26"/>
        </w:rPr>
        <w:t>darba vietu</w:t>
      </w:r>
      <w:proofErr w:type="gramEnd"/>
      <w:r w:rsidRPr="00DE5052">
        <w:rPr>
          <w:rFonts w:ascii="Times New Roman" w:hAnsi="Times New Roman"/>
          <w:sz w:val="26"/>
          <w:szCs w:val="26"/>
        </w:rPr>
        <w:t xml:space="preserve"> radīšanas un ģimeņu atbalsta pasākumiem un sistēmas administrēšanas izmaksu segšanai.</w:t>
      </w:r>
      <w:r>
        <w:rPr>
          <w:rFonts w:ascii="Times New Roman" w:hAnsi="Times New Roman"/>
          <w:sz w:val="26"/>
          <w:szCs w:val="26"/>
        </w:rPr>
        <w:t xml:space="preserve"> </w:t>
      </w:r>
    </w:p>
    <w:p w:rsidR="00AB3AEF" w:rsidRPr="003014A1" w:rsidRDefault="0095334E" w:rsidP="00AB3AEF">
      <w:pPr>
        <w:spacing w:after="0" w:line="240" w:lineRule="auto"/>
        <w:ind w:firstLine="567"/>
        <w:jc w:val="right"/>
        <w:rPr>
          <w:rFonts w:ascii="Times New Roman" w:hAnsi="Times New Roman"/>
          <w:sz w:val="26"/>
          <w:szCs w:val="26"/>
        </w:rPr>
      </w:pPr>
      <w:r w:rsidRPr="0095334E">
        <w:rPr>
          <w:rFonts w:ascii="Times New Roman" w:hAnsi="Times New Roman"/>
          <w:sz w:val="26"/>
          <w:szCs w:val="26"/>
        </w:rPr>
        <w:t>2</w:t>
      </w:r>
      <w:r w:rsidR="00AB3AEF" w:rsidRPr="0095334E">
        <w:rPr>
          <w:rFonts w:ascii="Times New Roman" w:hAnsi="Times New Roman"/>
          <w:sz w:val="26"/>
          <w:szCs w:val="26"/>
        </w:rPr>
        <w:t>.tabula</w:t>
      </w:r>
    </w:p>
    <w:p w:rsidR="00AB3AEF" w:rsidRPr="00915BA1" w:rsidRDefault="00AB3AEF" w:rsidP="00AB3AEF">
      <w:pPr>
        <w:pStyle w:val="ListParagraph"/>
        <w:spacing w:after="0" w:line="240" w:lineRule="auto"/>
        <w:ind w:left="1287"/>
        <w:rPr>
          <w:rFonts w:ascii="Times New Roman" w:hAnsi="Times New Roman"/>
          <w:sz w:val="24"/>
          <w:szCs w:val="24"/>
          <w:u w:val="single"/>
        </w:rPr>
      </w:pPr>
      <w:r w:rsidRPr="00915BA1">
        <w:rPr>
          <w:rFonts w:ascii="Times New Roman" w:hAnsi="Times New Roman"/>
          <w:sz w:val="24"/>
          <w:szCs w:val="24"/>
          <w:u w:val="single"/>
        </w:rPr>
        <w:t xml:space="preserve">     TUA saņēmēju veiktās iemaksas “Ekonomikas attīstības fondā”</w:t>
      </w:r>
    </w:p>
    <w:p w:rsidR="00AB3AEF" w:rsidRPr="00915BA1" w:rsidRDefault="00AB3AEF" w:rsidP="00AB3AEF">
      <w:pPr>
        <w:pStyle w:val="ListParagraph"/>
        <w:spacing w:after="0" w:line="240" w:lineRule="auto"/>
        <w:ind w:left="1287"/>
        <w:rPr>
          <w:rFonts w:ascii="Times New Roman" w:hAnsi="Times New Roman"/>
          <w:sz w:val="24"/>
          <w:szCs w:val="24"/>
          <w:highlight w:val="lightGray"/>
          <w:u w:val="single"/>
        </w:rPr>
      </w:pPr>
    </w:p>
    <w:tbl>
      <w:tblPr>
        <w:tblStyle w:val="TableGrid"/>
        <w:tblW w:w="0" w:type="auto"/>
        <w:jc w:val="center"/>
        <w:tblLook w:val="04A0"/>
      </w:tblPr>
      <w:tblGrid>
        <w:gridCol w:w="2588"/>
        <w:gridCol w:w="2017"/>
      </w:tblGrid>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Ceturksnis</w:t>
            </w:r>
          </w:p>
        </w:tc>
        <w:tc>
          <w:tcPr>
            <w:tcW w:w="2017" w:type="dxa"/>
          </w:tcPr>
          <w:p w:rsidR="00AB3AEF" w:rsidRPr="00915BA1" w:rsidRDefault="00AB3AEF" w:rsidP="001202EF">
            <w:pPr>
              <w:pStyle w:val="naislab"/>
              <w:spacing w:after="40"/>
              <w:ind w:right="102"/>
              <w:jc w:val="left"/>
              <w:outlineLvl w:val="0"/>
            </w:pPr>
            <w:r w:rsidRPr="00915BA1">
              <w:t>Iemaksātā summa (</w:t>
            </w:r>
            <w:proofErr w:type="spellStart"/>
            <w:r w:rsidRPr="00915BA1">
              <w:rPr>
                <w:i/>
              </w:rPr>
              <w:t>euro</w:t>
            </w:r>
            <w:proofErr w:type="spellEnd"/>
            <w:r w:rsidRPr="00915BA1">
              <w:t>)</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01.09. -</w:t>
            </w:r>
            <w:r>
              <w:t xml:space="preserve"> </w:t>
            </w:r>
            <w:r w:rsidRPr="00915BA1">
              <w:t>31.12.2014</w:t>
            </w:r>
          </w:p>
        </w:tc>
        <w:tc>
          <w:tcPr>
            <w:tcW w:w="2017" w:type="dxa"/>
          </w:tcPr>
          <w:p w:rsidR="00AB3AEF" w:rsidRPr="00915BA1" w:rsidRDefault="00AB3AEF" w:rsidP="001202EF">
            <w:pPr>
              <w:pStyle w:val="naislab"/>
              <w:spacing w:after="40"/>
              <w:ind w:right="102"/>
              <w:jc w:val="left"/>
              <w:outlineLvl w:val="0"/>
            </w:pPr>
            <w:r w:rsidRPr="00915BA1">
              <w:t>830 400</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2015. I.</w:t>
            </w:r>
          </w:p>
        </w:tc>
        <w:tc>
          <w:tcPr>
            <w:tcW w:w="2017" w:type="dxa"/>
          </w:tcPr>
          <w:p w:rsidR="00AB3AEF" w:rsidRPr="00915BA1" w:rsidRDefault="00AB3AEF" w:rsidP="001202EF">
            <w:pPr>
              <w:pStyle w:val="naislab"/>
              <w:spacing w:after="40"/>
              <w:ind w:right="102"/>
              <w:jc w:val="left"/>
              <w:outlineLvl w:val="0"/>
            </w:pPr>
            <w:r w:rsidRPr="00915BA1">
              <w:t>781 635</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2015. II.</w:t>
            </w:r>
          </w:p>
        </w:tc>
        <w:tc>
          <w:tcPr>
            <w:tcW w:w="2017" w:type="dxa"/>
          </w:tcPr>
          <w:p w:rsidR="00AB3AEF" w:rsidRPr="00915BA1" w:rsidRDefault="00AB3AEF" w:rsidP="001202EF">
            <w:pPr>
              <w:pStyle w:val="naislab"/>
              <w:spacing w:after="40"/>
              <w:ind w:right="102"/>
              <w:jc w:val="left"/>
              <w:outlineLvl w:val="0"/>
            </w:pPr>
            <w:r w:rsidRPr="00915BA1">
              <w:t>746 358</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2015. III.</w:t>
            </w:r>
          </w:p>
        </w:tc>
        <w:tc>
          <w:tcPr>
            <w:tcW w:w="2017" w:type="dxa"/>
          </w:tcPr>
          <w:p w:rsidR="00AB3AEF" w:rsidRPr="00915BA1" w:rsidRDefault="00AB3AEF" w:rsidP="001202EF">
            <w:pPr>
              <w:pStyle w:val="naislab"/>
              <w:spacing w:after="40"/>
              <w:ind w:right="102"/>
              <w:jc w:val="left"/>
              <w:outlineLvl w:val="0"/>
            </w:pPr>
            <w:r w:rsidRPr="00915BA1">
              <w:t>807 594</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2015. IV.</w:t>
            </w:r>
          </w:p>
        </w:tc>
        <w:tc>
          <w:tcPr>
            <w:tcW w:w="2017" w:type="dxa"/>
          </w:tcPr>
          <w:p w:rsidR="00AB3AEF" w:rsidRPr="00915BA1" w:rsidRDefault="00AB3AEF" w:rsidP="001202EF">
            <w:pPr>
              <w:pStyle w:val="naislab"/>
              <w:spacing w:after="40"/>
              <w:ind w:right="102"/>
              <w:jc w:val="left"/>
              <w:outlineLvl w:val="0"/>
            </w:pPr>
            <w:r w:rsidRPr="00915BA1">
              <w:t>769 564</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2016. I.</w:t>
            </w:r>
          </w:p>
        </w:tc>
        <w:tc>
          <w:tcPr>
            <w:tcW w:w="2017" w:type="dxa"/>
          </w:tcPr>
          <w:p w:rsidR="00AB3AEF" w:rsidRPr="00915BA1" w:rsidRDefault="00AB3AEF" w:rsidP="001202EF">
            <w:pPr>
              <w:pStyle w:val="naislab"/>
              <w:spacing w:after="40"/>
              <w:ind w:right="102"/>
              <w:jc w:val="left"/>
              <w:outlineLvl w:val="0"/>
            </w:pPr>
            <w:r w:rsidRPr="00915BA1">
              <w:t>500 082</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pPr>
            <w:r w:rsidRPr="00915BA1">
              <w:t>2016. II.</w:t>
            </w:r>
          </w:p>
        </w:tc>
        <w:tc>
          <w:tcPr>
            <w:tcW w:w="2017" w:type="dxa"/>
          </w:tcPr>
          <w:p w:rsidR="00AB3AEF" w:rsidRPr="00915BA1" w:rsidRDefault="00AB3AEF" w:rsidP="001202EF">
            <w:pPr>
              <w:pStyle w:val="naislab"/>
              <w:spacing w:after="40"/>
              <w:ind w:right="102"/>
              <w:jc w:val="left"/>
              <w:outlineLvl w:val="0"/>
            </w:pPr>
            <w:r w:rsidRPr="00915BA1">
              <w:t>699 239</w:t>
            </w:r>
          </w:p>
        </w:tc>
      </w:tr>
      <w:tr w:rsidR="00AB3AEF" w:rsidRPr="00915BA1" w:rsidTr="001202EF">
        <w:trPr>
          <w:jc w:val="center"/>
        </w:trPr>
        <w:tc>
          <w:tcPr>
            <w:tcW w:w="2588" w:type="dxa"/>
          </w:tcPr>
          <w:p w:rsidR="00AB3AEF" w:rsidRPr="00915BA1" w:rsidRDefault="00AB3AEF" w:rsidP="001202EF">
            <w:pPr>
              <w:pStyle w:val="naislab"/>
              <w:spacing w:after="40"/>
              <w:ind w:right="102"/>
              <w:jc w:val="left"/>
              <w:outlineLvl w:val="0"/>
              <w:rPr>
                <w:b/>
              </w:rPr>
            </w:pPr>
            <w:r w:rsidRPr="00915BA1">
              <w:rPr>
                <w:b/>
              </w:rPr>
              <w:t>Kopā:</w:t>
            </w:r>
          </w:p>
        </w:tc>
        <w:tc>
          <w:tcPr>
            <w:tcW w:w="2017" w:type="dxa"/>
          </w:tcPr>
          <w:p w:rsidR="00AB3AEF" w:rsidRPr="00915BA1" w:rsidRDefault="00AB3AEF" w:rsidP="001202EF">
            <w:pPr>
              <w:pStyle w:val="naislab"/>
              <w:spacing w:after="40"/>
              <w:ind w:right="102"/>
              <w:jc w:val="left"/>
              <w:outlineLvl w:val="0"/>
              <w:rPr>
                <w:b/>
              </w:rPr>
            </w:pPr>
            <w:r w:rsidRPr="00915BA1">
              <w:rPr>
                <w:b/>
              </w:rPr>
              <w:t>5 134 872</w:t>
            </w:r>
          </w:p>
        </w:tc>
      </w:tr>
    </w:tbl>
    <w:p w:rsidR="00AB3AEF" w:rsidRPr="00A67CA7" w:rsidRDefault="00A67CA7" w:rsidP="00AB3AEF">
      <w:pPr>
        <w:spacing w:after="0" w:line="240" w:lineRule="auto"/>
        <w:ind w:firstLine="567"/>
        <w:jc w:val="both"/>
        <w:rPr>
          <w:rFonts w:ascii="Times New Roman" w:hAnsi="Times New Roman"/>
          <w:i/>
          <w:sz w:val="24"/>
          <w:szCs w:val="26"/>
        </w:rPr>
      </w:pPr>
      <w:r w:rsidRPr="00A67CA7">
        <w:rPr>
          <w:rFonts w:ascii="Times New Roman" w:hAnsi="Times New Roman"/>
          <w:i/>
          <w:sz w:val="24"/>
          <w:szCs w:val="26"/>
        </w:rPr>
        <w:t xml:space="preserve">                             Avots: Ekonomikas ministrija</w:t>
      </w:r>
    </w:p>
    <w:p w:rsidR="00A67CA7" w:rsidRPr="00A67CA7" w:rsidRDefault="00A67CA7" w:rsidP="00AB3AEF">
      <w:pPr>
        <w:spacing w:after="0" w:line="240" w:lineRule="auto"/>
        <w:ind w:firstLine="567"/>
        <w:jc w:val="both"/>
        <w:rPr>
          <w:rFonts w:ascii="Times New Roman" w:hAnsi="Times New Roman"/>
          <w:i/>
          <w:sz w:val="24"/>
          <w:szCs w:val="26"/>
          <w:highlight w:val="yellow"/>
        </w:rPr>
      </w:pPr>
    </w:p>
    <w:p w:rsidR="00AB3AEF" w:rsidRPr="003D306E" w:rsidRDefault="00AB3AEF" w:rsidP="00D22CD2">
      <w:pPr>
        <w:spacing w:after="120" w:line="240" w:lineRule="auto"/>
        <w:ind w:firstLine="567"/>
        <w:jc w:val="both"/>
        <w:rPr>
          <w:rFonts w:ascii="Times New Roman" w:hAnsi="Times New Roman"/>
          <w:sz w:val="26"/>
          <w:szCs w:val="26"/>
        </w:rPr>
      </w:pPr>
      <w:r w:rsidRPr="003D306E">
        <w:rPr>
          <w:rFonts w:ascii="Times New Roman" w:hAnsi="Times New Roman"/>
          <w:sz w:val="26"/>
          <w:szCs w:val="26"/>
        </w:rPr>
        <w:t xml:space="preserve">Ārzemnieku veiktie maksājumi pirms TUA saņemšanas valsts pamatbudžeta programmā “Ekonomikas attīstības programma” līdz šim </w:t>
      </w:r>
      <w:proofErr w:type="gramStart"/>
      <w:r w:rsidRPr="003D306E">
        <w:rPr>
          <w:rFonts w:ascii="Times New Roman" w:hAnsi="Times New Roman"/>
          <w:sz w:val="26"/>
          <w:szCs w:val="26"/>
        </w:rPr>
        <w:t>ir kalpojuši</w:t>
      </w:r>
      <w:proofErr w:type="gramEnd"/>
      <w:r w:rsidRPr="003D306E">
        <w:rPr>
          <w:rFonts w:ascii="Times New Roman" w:hAnsi="Times New Roman"/>
          <w:sz w:val="26"/>
          <w:szCs w:val="26"/>
        </w:rPr>
        <w:t xml:space="preserve"> kā būtisks finanšu avots Mājokļu </w:t>
      </w:r>
      <w:r>
        <w:rPr>
          <w:rFonts w:ascii="Times New Roman" w:hAnsi="Times New Roman"/>
          <w:sz w:val="26"/>
          <w:szCs w:val="26"/>
        </w:rPr>
        <w:t>atbalsta</w:t>
      </w:r>
      <w:r w:rsidRPr="003D306E">
        <w:rPr>
          <w:rFonts w:ascii="Times New Roman" w:hAnsi="Times New Roman"/>
          <w:sz w:val="26"/>
          <w:szCs w:val="26"/>
        </w:rPr>
        <w:t xml:space="preserve"> programmas nodrošināšanai. Uz 2016.gada 1.augustu Mājokļu galvojumu programmas ietvaros:</w:t>
      </w:r>
    </w:p>
    <w:p w:rsidR="00AB3AEF" w:rsidRPr="003D306E" w:rsidRDefault="00AB3AEF" w:rsidP="00D22CD2">
      <w:pPr>
        <w:pStyle w:val="ListParagraph"/>
        <w:numPr>
          <w:ilvl w:val="0"/>
          <w:numId w:val="13"/>
        </w:numPr>
        <w:spacing w:after="120" w:line="240" w:lineRule="auto"/>
        <w:contextualSpacing w:val="0"/>
        <w:jc w:val="both"/>
        <w:rPr>
          <w:rFonts w:ascii="Times New Roman" w:hAnsi="Times New Roman"/>
          <w:sz w:val="26"/>
          <w:szCs w:val="26"/>
        </w:rPr>
      </w:pPr>
      <w:r w:rsidRPr="003D306E">
        <w:rPr>
          <w:rFonts w:ascii="Times New Roman" w:hAnsi="Times New Roman"/>
          <w:sz w:val="26"/>
          <w:szCs w:val="26"/>
        </w:rPr>
        <w:t xml:space="preserve">piešķirti 2 908 galvojumi par kopējo summu 18,75 milj. </w:t>
      </w:r>
      <w:proofErr w:type="spellStart"/>
      <w:r w:rsidRPr="0095334E">
        <w:rPr>
          <w:rFonts w:ascii="Times New Roman" w:hAnsi="Times New Roman"/>
          <w:i/>
          <w:sz w:val="26"/>
          <w:szCs w:val="26"/>
        </w:rPr>
        <w:t>euro</w:t>
      </w:r>
      <w:proofErr w:type="spellEnd"/>
      <w:r w:rsidRPr="003D306E">
        <w:rPr>
          <w:rFonts w:ascii="Times New Roman" w:hAnsi="Times New Roman"/>
          <w:sz w:val="26"/>
          <w:szCs w:val="26"/>
        </w:rPr>
        <w:t xml:space="preserve"> apmērā;</w:t>
      </w:r>
    </w:p>
    <w:p w:rsidR="00AB3AEF" w:rsidRPr="003D306E" w:rsidRDefault="00AB3AEF" w:rsidP="00D22CD2">
      <w:pPr>
        <w:pStyle w:val="ListParagraph"/>
        <w:numPr>
          <w:ilvl w:val="0"/>
          <w:numId w:val="13"/>
        </w:numPr>
        <w:spacing w:after="120" w:line="240" w:lineRule="auto"/>
        <w:contextualSpacing w:val="0"/>
        <w:jc w:val="both"/>
        <w:rPr>
          <w:rFonts w:ascii="Times New Roman" w:hAnsi="Times New Roman"/>
          <w:sz w:val="26"/>
          <w:szCs w:val="26"/>
        </w:rPr>
      </w:pPr>
      <w:r w:rsidRPr="003D306E">
        <w:rPr>
          <w:rFonts w:ascii="Times New Roman" w:hAnsi="Times New Roman"/>
          <w:sz w:val="26"/>
          <w:szCs w:val="26"/>
        </w:rPr>
        <w:t xml:space="preserve">kopējā AFI </w:t>
      </w:r>
      <w:proofErr w:type="spellStart"/>
      <w:r w:rsidRPr="003D306E">
        <w:rPr>
          <w:rFonts w:ascii="Times New Roman" w:hAnsi="Times New Roman"/>
          <w:sz w:val="26"/>
          <w:szCs w:val="26"/>
        </w:rPr>
        <w:t>Altum</w:t>
      </w:r>
      <w:proofErr w:type="spellEnd"/>
      <w:r w:rsidRPr="003D306E">
        <w:rPr>
          <w:rFonts w:ascii="Times New Roman" w:hAnsi="Times New Roman"/>
          <w:sz w:val="26"/>
          <w:szCs w:val="26"/>
        </w:rPr>
        <w:t xml:space="preserve"> galvoto aizdevumu summa 165,7 milj. </w:t>
      </w:r>
      <w:proofErr w:type="spellStart"/>
      <w:r w:rsidRPr="0095334E">
        <w:rPr>
          <w:rFonts w:ascii="Times New Roman" w:hAnsi="Times New Roman"/>
          <w:i/>
          <w:sz w:val="26"/>
          <w:szCs w:val="26"/>
        </w:rPr>
        <w:t>euro</w:t>
      </w:r>
      <w:proofErr w:type="spellEnd"/>
      <w:r w:rsidRPr="003D306E">
        <w:rPr>
          <w:rFonts w:ascii="Times New Roman" w:hAnsi="Times New Roman"/>
          <w:sz w:val="26"/>
          <w:szCs w:val="26"/>
        </w:rPr>
        <w:t>;</w:t>
      </w:r>
    </w:p>
    <w:p w:rsidR="00AB3AEF" w:rsidRDefault="00AB3AEF" w:rsidP="00D22CD2">
      <w:pPr>
        <w:pStyle w:val="ListParagraph"/>
        <w:numPr>
          <w:ilvl w:val="0"/>
          <w:numId w:val="13"/>
        </w:numPr>
        <w:spacing w:after="120" w:line="240" w:lineRule="auto"/>
        <w:contextualSpacing w:val="0"/>
        <w:jc w:val="both"/>
        <w:rPr>
          <w:rFonts w:ascii="Times New Roman" w:hAnsi="Times New Roman"/>
          <w:sz w:val="26"/>
          <w:szCs w:val="26"/>
        </w:rPr>
      </w:pPr>
      <w:r w:rsidRPr="003D306E">
        <w:rPr>
          <w:rFonts w:ascii="Times New Roman" w:hAnsi="Times New Roman"/>
          <w:sz w:val="26"/>
          <w:szCs w:val="26"/>
        </w:rPr>
        <w:t>kopējais bērnu skaits atbalstītajās ģimenēs – 4</w:t>
      </w:r>
      <w:r w:rsidR="00A67CA7">
        <w:rPr>
          <w:rFonts w:ascii="Times New Roman" w:hAnsi="Times New Roman"/>
          <w:sz w:val="26"/>
          <w:szCs w:val="26"/>
        </w:rPr>
        <w:t> </w:t>
      </w:r>
      <w:r w:rsidRPr="003D306E">
        <w:rPr>
          <w:rFonts w:ascii="Times New Roman" w:hAnsi="Times New Roman"/>
          <w:sz w:val="26"/>
          <w:szCs w:val="26"/>
        </w:rPr>
        <w:t>244.</w:t>
      </w:r>
    </w:p>
    <w:p w:rsidR="00A67CA7" w:rsidRDefault="00A67CA7" w:rsidP="00A67CA7">
      <w:pPr>
        <w:spacing w:after="120" w:line="240" w:lineRule="auto"/>
        <w:jc w:val="center"/>
        <w:rPr>
          <w:rFonts w:ascii="Times New Roman" w:hAnsi="Times New Roman"/>
          <w:b/>
          <w:sz w:val="26"/>
          <w:szCs w:val="26"/>
        </w:rPr>
      </w:pPr>
    </w:p>
    <w:p w:rsidR="00A67CA7" w:rsidRDefault="00A67CA7" w:rsidP="00A67CA7">
      <w:pPr>
        <w:spacing w:after="120" w:line="240" w:lineRule="auto"/>
        <w:jc w:val="center"/>
        <w:rPr>
          <w:rFonts w:ascii="Times New Roman" w:hAnsi="Times New Roman"/>
          <w:b/>
          <w:sz w:val="26"/>
          <w:szCs w:val="26"/>
        </w:rPr>
      </w:pPr>
      <w:r w:rsidRPr="00A67CA7">
        <w:rPr>
          <w:rFonts w:ascii="Times New Roman" w:hAnsi="Times New Roman"/>
          <w:b/>
          <w:sz w:val="26"/>
          <w:szCs w:val="26"/>
        </w:rPr>
        <w:t>Atkārtotu TUA vai patstāvīgās uzturēšanās atļauju (PUA) izsniegšana</w:t>
      </w:r>
    </w:p>
    <w:p w:rsidR="00FF58A0" w:rsidRPr="00A67CA7" w:rsidRDefault="00FF58A0" w:rsidP="00A67CA7">
      <w:pPr>
        <w:spacing w:after="120" w:line="240" w:lineRule="auto"/>
        <w:jc w:val="center"/>
        <w:rPr>
          <w:rFonts w:ascii="Times New Roman" w:hAnsi="Times New Roman"/>
          <w:b/>
          <w:sz w:val="26"/>
          <w:szCs w:val="26"/>
        </w:rPr>
      </w:pPr>
    </w:p>
    <w:p w:rsidR="000A2C52" w:rsidRDefault="000A2C52" w:rsidP="00D22CD2">
      <w:pPr>
        <w:spacing w:after="120" w:line="240" w:lineRule="auto"/>
        <w:ind w:firstLine="567"/>
        <w:jc w:val="both"/>
        <w:rPr>
          <w:rFonts w:ascii="Times New Roman" w:eastAsia="Calibri" w:hAnsi="Times New Roman"/>
          <w:sz w:val="26"/>
          <w:szCs w:val="26"/>
          <w:lang w:eastAsia="lv-LV"/>
        </w:rPr>
      </w:pPr>
      <w:r>
        <w:rPr>
          <w:rFonts w:ascii="Times New Roman" w:eastAsia="Calibri" w:hAnsi="Times New Roman"/>
          <w:sz w:val="26"/>
          <w:szCs w:val="26"/>
          <w:lang w:eastAsia="lv-LV"/>
        </w:rPr>
        <w:t>Pārskata periodā (līdz 2016.gada 31.augustam), TUA derīguma termiņš ir beidzies 1 280 personām (investoriem un viņu ģimenes locekļiem), kas saņēmušas TUA saistībā ar nekustamā īpašuma iegādi, 289 personām, kas saņēmušas TUA saistībā ar ieguldījumu kredītiestādes pakārtotajās saistībās un 99 personām, kam TUA izsniegta saistībā ar ieguldījumu kapitālsabiedrības pamatkapitālā.</w:t>
      </w:r>
    </w:p>
    <w:p w:rsidR="00FF58A0" w:rsidRPr="00FF58A0" w:rsidRDefault="000A2C52" w:rsidP="00FF58A0">
      <w:pPr>
        <w:spacing w:after="120" w:line="240" w:lineRule="auto"/>
        <w:ind w:right="11" w:firstLine="567"/>
        <w:jc w:val="both"/>
        <w:rPr>
          <w:rFonts w:ascii="Times New Roman" w:eastAsiaTheme="minorHAnsi" w:hAnsi="Times New Roman" w:cstheme="minorBidi"/>
          <w:i/>
          <w:sz w:val="26"/>
          <w:szCs w:val="26"/>
        </w:rPr>
      </w:pPr>
      <w:r w:rsidRPr="00A67CA7">
        <w:rPr>
          <w:rFonts w:ascii="Times New Roman" w:eastAsia="Calibri" w:hAnsi="Times New Roman"/>
          <w:sz w:val="26"/>
          <w:szCs w:val="26"/>
          <w:lang w:eastAsia="lv-LV"/>
        </w:rPr>
        <w:t>Atkārtotu TUA vai PUA</w:t>
      </w:r>
      <w:r>
        <w:rPr>
          <w:rFonts w:ascii="Times New Roman" w:eastAsia="Calibri" w:hAnsi="Times New Roman"/>
          <w:sz w:val="26"/>
          <w:szCs w:val="26"/>
          <w:lang w:eastAsia="lv-LV"/>
        </w:rPr>
        <w:t xml:space="preserve"> ir pieprasījis vidēji 71% ārzemnieku, kam pārskata periodā beidzies TUA derīguma termiņš. Visaugstākais atkārtotu TUA vai PUA </w:t>
      </w:r>
      <w:r>
        <w:rPr>
          <w:rFonts w:ascii="Times New Roman" w:eastAsia="Calibri" w:hAnsi="Times New Roman"/>
          <w:sz w:val="26"/>
          <w:szCs w:val="26"/>
          <w:lang w:eastAsia="lv-LV"/>
        </w:rPr>
        <w:lastRenderedPageBreak/>
        <w:t>pieprasītāju īpatsvars (82%) ir nekustamā īpašuma pircēju vidū, savukārt vismazākais uzturēšanās atļauju pieprasītāju īpatsvars (tikai 24%) – ieguldītāju kapitālsabiedrību pamatkapitālā vidū.</w:t>
      </w:r>
      <w:r w:rsidR="00FF58A0">
        <w:rPr>
          <w:rFonts w:ascii="Times New Roman" w:eastAsia="Calibri" w:hAnsi="Times New Roman"/>
          <w:sz w:val="26"/>
          <w:szCs w:val="26"/>
          <w:lang w:eastAsia="lv-LV"/>
        </w:rPr>
        <w:t xml:space="preserve"> </w:t>
      </w:r>
      <w:r w:rsidR="00FF58A0" w:rsidRPr="00FF58A0">
        <w:rPr>
          <w:rFonts w:ascii="Times New Roman" w:eastAsiaTheme="minorHAnsi" w:hAnsi="Times New Roman" w:cstheme="minorBidi"/>
          <w:sz w:val="26"/>
          <w:szCs w:val="26"/>
        </w:rPr>
        <w:t>(</w:t>
      </w:r>
      <w:r w:rsidR="00FF58A0">
        <w:rPr>
          <w:rFonts w:ascii="Times New Roman" w:eastAsiaTheme="minorHAnsi" w:hAnsi="Times New Roman" w:cstheme="minorBidi"/>
          <w:i/>
          <w:sz w:val="26"/>
          <w:szCs w:val="26"/>
        </w:rPr>
        <w:t>detalizētāku informāciju par atkārtotu TUA un PUA pieprasīšanu</w:t>
      </w:r>
      <w:proofErr w:type="gramStart"/>
      <w:r w:rsidR="00FF58A0">
        <w:rPr>
          <w:rFonts w:ascii="Times New Roman" w:eastAsiaTheme="minorHAnsi" w:hAnsi="Times New Roman" w:cstheme="minorBidi"/>
          <w:i/>
          <w:sz w:val="26"/>
          <w:szCs w:val="26"/>
        </w:rPr>
        <w:t xml:space="preserve"> </w:t>
      </w:r>
      <w:r w:rsidR="00FF58A0" w:rsidRPr="00FF58A0">
        <w:rPr>
          <w:rFonts w:ascii="Times New Roman" w:eastAsiaTheme="minorHAnsi" w:hAnsi="Times New Roman" w:cstheme="minorBidi"/>
          <w:i/>
          <w:sz w:val="26"/>
          <w:szCs w:val="26"/>
        </w:rPr>
        <w:t xml:space="preserve"> </w:t>
      </w:r>
      <w:proofErr w:type="gramEnd"/>
      <w:r w:rsidR="00FF58A0" w:rsidRPr="00FF58A0">
        <w:rPr>
          <w:rFonts w:ascii="Times New Roman" w:eastAsiaTheme="minorHAnsi" w:hAnsi="Times New Roman" w:cstheme="minorBidi"/>
          <w:i/>
          <w:sz w:val="26"/>
          <w:szCs w:val="26"/>
        </w:rPr>
        <w:t>skatīt pielikumā nr.</w:t>
      </w:r>
      <w:r w:rsidR="00AB3345">
        <w:rPr>
          <w:rFonts w:ascii="Times New Roman" w:eastAsiaTheme="minorHAnsi" w:hAnsi="Times New Roman" w:cstheme="minorBidi"/>
          <w:i/>
          <w:sz w:val="26"/>
          <w:szCs w:val="26"/>
        </w:rPr>
        <w:t>1</w:t>
      </w:r>
      <w:r w:rsidR="00FF58A0" w:rsidRPr="00FF58A0">
        <w:rPr>
          <w:rFonts w:ascii="Times New Roman" w:eastAsiaTheme="minorHAnsi" w:hAnsi="Times New Roman" w:cstheme="minorBidi"/>
          <w:sz w:val="26"/>
          <w:szCs w:val="26"/>
        </w:rPr>
        <w:t>)</w:t>
      </w:r>
      <w:r w:rsidR="00FF58A0" w:rsidRPr="00FF58A0">
        <w:rPr>
          <w:rFonts w:ascii="Times New Roman" w:hAnsi="Times New Roman"/>
          <w:sz w:val="26"/>
          <w:szCs w:val="26"/>
        </w:rPr>
        <w:t>.</w:t>
      </w:r>
    </w:p>
    <w:p w:rsidR="00FF58A0" w:rsidRDefault="00FF58A0" w:rsidP="00A67CA7">
      <w:pPr>
        <w:spacing w:after="120" w:line="240" w:lineRule="auto"/>
        <w:ind w:firstLine="567"/>
        <w:jc w:val="center"/>
        <w:rPr>
          <w:rFonts w:ascii="Times New Roman" w:eastAsia="Calibri" w:hAnsi="Times New Roman"/>
          <w:b/>
          <w:sz w:val="26"/>
          <w:szCs w:val="26"/>
          <w:lang w:eastAsia="lv-LV"/>
        </w:rPr>
      </w:pPr>
    </w:p>
    <w:p w:rsidR="00A67CA7" w:rsidRDefault="00A67CA7" w:rsidP="00A67CA7">
      <w:pPr>
        <w:spacing w:after="120" w:line="240" w:lineRule="auto"/>
        <w:ind w:firstLine="567"/>
        <w:jc w:val="center"/>
        <w:rPr>
          <w:rFonts w:ascii="Times New Roman" w:eastAsia="Calibri" w:hAnsi="Times New Roman"/>
          <w:b/>
          <w:sz w:val="26"/>
          <w:szCs w:val="26"/>
          <w:lang w:eastAsia="lv-LV"/>
        </w:rPr>
      </w:pPr>
      <w:r w:rsidRPr="00A67CA7">
        <w:rPr>
          <w:rFonts w:ascii="Times New Roman" w:eastAsia="Calibri" w:hAnsi="Times New Roman"/>
          <w:b/>
          <w:sz w:val="26"/>
          <w:szCs w:val="26"/>
          <w:lang w:eastAsia="lv-LV"/>
        </w:rPr>
        <w:t>Grozījumi Imigrācijas likumā</w:t>
      </w:r>
    </w:p>
    <w:p w:rsidR="00FF58A0" w:rsidRPr="00A67CA7" w:rsidRDefault="00FF58A0" w:rsidP="00A67CA7">
      <w:pPr>
        <w:spacing w:after="120" w:line="240" w:lineRule="auto"/>
        <w:ind w:firstLine="567"/>
        <w:jc w:val="center"/>
        <w:rPr>
          <w:rFonts w:ascii="Times New Roman" w:eastAsia="Calibri" w:hAnsi="Times New Roman"/>
          <w:b/>
          <w:sz w:val="26"/>
          <w:szCs w:val="26"/>
          <w:lang w:eastAsia="lv-LV"/>
        </w:rPr>
      </w:pPr>
    </w:p>
    <w:p w:rsidR="000A2C52" w:rsidRDefault="000A2C52" w:rsidP="000A2C52">
      <w:pPr>
        <w:spacing w:after="120" w:line="240" w:lineRule="auto"/>
        <w:ind w:firstLine="567"/>
        <w:jc w:val="both"/>
        <w:rPr>
          <w:rFonts w:ascii="Times New Roman" w:eastAsia="Calibri" w:hAnsi="Times New Roman"/>
          <w:sz w:val="26"/>
          <w:szCs w:val="26"/>
          <w:lang w:eastAsia="lv-LV"/>
        </w:rPr>
      </w:pPr>
      <w:r>
        <w:rPr>
          <w:rFonts w:ascii="Times New Roman" w:eastAsia="Calibri" w:hAnsi="Times New Roman"/>
          <w:sz w:val="26"/>
          <w:szCs w:val="26"/>
          <w:lang w:eastAsia="lv-LV"/>
        </w:rPr>
        <w:t>No 2016.gada 1.jūlija spēkā stājušies grozījumi Imigrācijas likumā, kas būtiski apgrūtina atkārtotas TUA pieprasīšanas procesu, paredzot papildu 5</w:t>
      </w:r>
      <w:r w:rsidR="00A67CA7">
        <w:rPr>
          <w:rFonts w:ascii="Times New Roman" w:eastAsia="Calibri" w:hAnsi="Times New Roman"/>
          <w:sz w:val="26"/>
          <w:szCs w:val="26"/>
          <w:lang w:eastAsia="lv-LV"/>
        </w:rPr>
        <w:t xml:space="preserve"> </w:t>
      </w:r>
      <w:r>
        <w:rPr>
          <w:rFonts w:ascii="Times New Roman" w:eastAsia="Calibri" w:hAnsi="Times New Roman"/>
          <w:sz w:val="26"/>
          <w:szCs w:val="26"/>
          <w:lang w:eastAsia="lv-LV"/>
        </w:rPr>
        <w:t xml:space="preserve">000 </w:t>
      </w:r>
      <w:proofErr w:type="spellStart"/>
      <w:r>
        <w:rPr>
          <w:rFonts w:ascii="Times New Roman" w:eastAsia="Calibri" w:hAnsi="Times New Roman"/>
          <w:i/>
          <w:sz w:val="26"/>
          <w:szCs w:val="26"/>
          <w:lang w:eastAsia="lv-LV"/>
        </w:rPr>
        <w:t>euro</w:t>
      </w:r>
      <w:proofErr w:type="spellEnd"/>
      <w:r>
        <w:rPr>
          <w:rFonts w:ascii="Times New Roman" w:eastAsia="Calibri" w:hAnsi="Times New Roman"/>
          <w:sz w:val="26"/>
          <w:szCs w:val="26"/>
          <w:lang w:eastAsia="lv-LV"/>
        </w:rPr>
        <w:t xml:space="preserve"> iemaksas veikšanu valsts budžetā. Šobrīd šim nosacījumam paredzēti pārejas noteikumi, kas no iemaksas atbrīvo ieguldītājus kapitālsabiedrībās, kas TUA saņēmuši līdz 01.07.2016., kā arī tos nekustamā īpašuma pircējus, kas nekustamo īpašumu reģistrējuši zemesgrāmatā līdz 2014.gada 31.augustam, ieguldītājus kredītiestāžu pakārtotajās saistībās, kas TUA saņēmuši līdz 2014.gada 31.augustam, un valsts vērtspapīru pircējus. Ievērojot iepriekš minēto, 5</w:t>
      </w:r>
      <w:r w:rsidR="00AD383B">
        <w:rPr>
          <w:rFonts w:ascii="Times New Roman" w:eastAsia="Calibri" w:hAnsi="Times New Roman"/>
          <w:sz w:val="26"/>
          <w:szCs w:val="26"/>
          <w:lang w:eastAsia="lv-LV"/>
        </w:rPr>
        <w:t xml:space="preserve"> </w:t>
      </w:r>
      <w:r>
        <w:rPr>
          <w:rFonts w:ascii="Times New Roman" w:eastAsia="Calibri" w:hAnsi="Times New Roman"/>
          <w:sz w:val="26"/>
          <w:szCs w:val="26"/>
          <w:lang w:eastAsia="lv-LV"/>
        </w:rPr>
        <w:t xml:space="preserve">000 </w:t>
      </w:r>
      <w:proofErr w:type="spellStart"/>
      <w:r>
        <w:rPr>
          <w:rFonts w:ascii="Times New Roman" w:eastAsia="Calibri" w:hAnsi="Times New Roman"/>
          <w:i/>
          <w:sz w:val="26"/>
          <w:szCs w:val="26"/>
          <w:lang w:eastAsia="lv-LV"/>
        </w:rPr>
        <w:t>euro</w:t>
      </w:r>
      <w:proofErr w:type="spellEnd"/>
      <w:r>
        <w:rPr>
          <w:rFonts w:ascii="Times New Roman" w:eastAsia="Calibri" w:hAnsi="Times New Roman"/>
          <w:i/>
          <w:sz w:val="26"/>
          <w:szCs w:val="26"/>
          <w:lang w:eastAsia="lv-LV"/>
        </w:rPr>
        <w:t xml:space="preserve"> </w:t>
      </w:r>
      <w:r>
        <w:rPr>
          <w:rFonts w:ascii="Times New Roman" w:eastAsia="Calibri" w:hAnsi="Times New Roman"/>
          <w:sz w:val="26"/>
          <w:szCs w:val="26"/>
          <w:lang w:eastAsia="lv-LV"/>
        </w:rPr>
        <w:t>iemaksa varētu sākt tikt piemērota no 2019.gada 1.septembra, līdz ar to ne šajā, ne nākamajos trīs pārskata periodos nebūs iespējams veikt šī regulējuma ietekmi</w:t>
      </w:r>
      <w:r w:rsidR="00AD383B">
        <w:rPr>
          <w:rFonts w:ascii="Times New Roman" w:eastAsia="Calibri" w:hAnsi="Times New Roman"/>
          <w:sz w:val="26"/>
          <w:szCs w:val="26"/>
          <w:lang w:eastAsia="lv-LV"/>
        </w:rPr>
        <w:t xml:space="preserve"> (</w:t>
      </w:r>
      <w:r w:rsidR="00AD383B" w:rsidRPr="00AD383B">
        <w:rPr>
          <w:rFonts w:ascii="Times New Roman" w:eastAsia="Calibri" w:hAnsi="Times New Roman"/>
          <w:i/>
          <w:sz w:val="26"/>
          <w:szCs w:val="26"/>
          <w:lang w:eastAsia="lv-LV"/>
        </w:rPr>
        <w:t>detalizēta informācija par ar investīciju programmu saistītām izmaiņām Imigrācijas likumā norādīta pielikumā Nr.7</w:t>
      </w:r>
      <w:r w:rsidR="00AD383B">
        <w:rPr>
          <w:rFonts w:ascii="Times New Roman" w:eastAsia="Calibri" w:hAnsi="Times New Roman"/>
          <w:sz w:val="26"/>
          <w:szCs w:val="26"/>
          <w:lang w:eastAsia="lv-LV"/>
        </w:rPr>
        <w:t>)</w:t>
      </w:r>
      <w:r>
        <w:rPr>
          <w:rFonts w:ascii="Times New Roman" w:eastAsia="Calibri" w:hAnsi="Times New Roman"/>
          <w:sz w:val="26"/>
          <w:szCs w:val="26"/>
          <w:lang w:eastAsia="lv-LV"/>
        </w:rPr>
        <w:t>.</w:t>
      </w:r>
    </w:p>
    <w:p w:rsidR="00FF58A0" w:rsidRDefault="00FF58A0" w:rsidP="000A2C52">
      <w:pPr>
        <w:spacing w:after="120" w:line="240" w:lineRule="auto"/>
        <w:ind w:firstLine="567"/>
        <w:jc w:val="both"/>
        <w:rPr>
          <w:rFonts w:ascii="Times New Roman" w:hAnsi="Times New Roman"/>
          <w:sz w:val="26"/>
          <w:szCs w:val="26"/>
        </w:rPr>
      </w:pPr>
    </w:p>
    <w:p w:rsidR="00D0393D" w:rsidRDefault="00A67CA7" w:rsidP="00A67CA7">
      <w:pPr>
        <w:spacing w:after="120" w:line="240" w:lineRule="auto"/>
        <w:jc w:val="center"/>
        <w:rPr>
          <w:rFonts w:ascii="Times New Roman" w:hAnsi="Times New Roman"/>
          <w:b/>
          <w:sz w:val="26"/>
          <w:szCs w:val="26"/>
        </w:rPr>
      </w:pPr>
      <w:r w:rsidRPr="00A67CA7">
        <w:rPr>
          <w:rFonts w:ascii="Times New Roman" w:hAnsi="Times New Roman"/>
          <w:b/>
          <w:sz w:val="26"/>
          <w:szCs w:val="26"/>
        </w:rPr>
        <w:t>Investīciju programmas ietekme uz valsts drošību</w:t>
      </w:r>
      <w:bookmarkStart w:id="15" w:name="_Toc340050961"/>
      <w:bookmarkEnd w:id="14"/>
    </w:p>
    <w:p w:rsidR="00FF58A0" w:rsidRPr="00A67CA7" w:rsidRDefault="00FF58A0" w:rsidP="00A67CA7">
      <w:pPr>
        <w:spacing w:after="120" w:line="240" w:lineRule="auto"/>
        <w:jc w:val="center"/>
        <w:rPr>
          <w:rFonts w:ascii="Times New Roman" w:hAnsi="Times New Roman"/>
          <w:b/>
          <w:sz w:val="26"/>
          <w:szCs w:val="26"/>
          <w:lang w:eastAsia="lv-LV"/>
        </w:rPr>
      </w:pPr>
    </w:p>
    <w:p w:rsidR="003C6A73" w:rsidRDefault="00CF5838" w:rsidP="00D22CD2">
      <w:pPr>
        <w:spacing w:after="120" w:line="240" w:lineRule="auto"/>
        <w:ind w:firstLine="567"/>
        <w:jc w:val="both"/>
        <w:rPr>
          <w:rFonts w:ascii="Times New Roman" w:hAnsi="Times New Roman"/>
          <w:sz w:val="26"/>
          <w:szCs w:val="26"/>
        </w:rPr>
      </w:pPr>
      <w:r w:rsidRPr="003B7081">
        <w:rPr>
          <w:rFonts w:ascii="Times New Roman" w:hAnsi="Times New Roman"/>
          <w:sz w:val="26"/>
          <w:szCs w:val="26"/>
        </w:rPr>
        <w:t>Drošības policija</w:t>
      </w:r>
      <w:r w:rsidR="003B7081" w:rsidRPr="003B7081">
        <w:rPr>
          <w:rFonts w:ascii="Times New Roman" w:hAnsi="Times New Roman"/>
          <w:sz w:val="26"/>
          <w:szCs w:val="26"/>
        </w:rPr>
        <w:t xml:space="preserve"> (DP) savā 2015.gada publiskajā pārskatā norāda, ka 2015.gadā ārzemnieku interese par investīciju programmu ir samazinājusies. Izvērtējot saņemtos pieteikumus, DP rosināja nepiešķirt TUA 38 ārzemniekiem, kas ir četras reizes vairāk nekā 2014.gadā. Būtiskākais atteikuma skaita pieaugums ir saistīts</w:t>
      </w:r>
      <w:r w:rsidR="003B7081">
        <w:rPr>
          <w:rFonts w:ascii="Times New Roman" w:hAnsi="Times New Roman"/>
          <w:sz w:val="26"/>
          <w:szCs w:val="26"/>
        </w:rPr>
        <w:t xml:space="preserve"> </w:t>
      </w:r>
      <w:r w:rsidR="003B7081" w:rsidRPr="003B7081">
        <w:rPr>
          <w:rFonts w:ascii="Times New Roman" w:hAnsi="Times New Roman"/>
          <w:sz w:val="26"/>
          <w:szCs w:val="26"/>
        </w:rPr>
        <w:t>ar DP spēju stiprināšanu tieši TUA pretendentu izvērtēšanas</w:t>
      </w:r>
      <w:r w:rsidR="003B7081">
        <w:rPr>
          <w:rFonts w:ascii="Times New Roman" w:hAnsi="Times New Roman"/>
          <w:sz w:val="26"/>
          <w:szCs w:val="26"/>
        </w:rPr>
        <w:t xml:space="preserve"> </w:t>
      </w:r>
      <w:r w:rsidR="003B7081" w:rsidRPr="003B7081">
        <w:rPr>
          <w:rFonts w:ascii="Times New Roman" w:hAnsi="Times New Roman"/>
          <w:sz w:val="26"/>
          <w:szCs w:val="26"/>
        </w:rPr>
        <w:t>jomā, kā arī kopējo TUA pieprasījumu skaita sarukumu, kā</w:t>
      </w:r>
      <w:r w:rsidR="003B7081">
        <w:rPr>
          <w:rFonts w:ascii="Times New Roman" w:hAnsi="Times New Roman"/>
          <w:sz w:val="26"/>
          <w:szCs w:val="26"/>
        </w:rPr>
        <w:t xml:space="preserve"> </w:t>
      </w:r>
      <w:r w:rsidR="003B7081" w:rsidRPr="003B7081">
        <w:rPr>
          <w:rFonts w:ascii="Times New Roman" w:hAnsi="Times New Roman"/>
          <w:sz w:val="26"/>
          <w:szCs w:val="26"/>
        </w:rPr>
        <w:t>rezultātā DP var daudz detalizētāk un efektīvāk izvērtēt ar katru</w:t>
      </w:r>
      <w:r w:rsidR="003B7081">
        <w:rPr>
          <w:rFonts w:ascii="Times New Roman" w:hAnsi="Times New Roman"/>
          <w:sz w:val="26"/>
          <w:szCs w:val="26"/>
        </w:rPr>
        <w:t xml:space="preserve"> </w:t>
      </w:r>
      <w:r w:rsidR="003B7081" w:rsidRPr="003B7081">
        <w:rPr>
          <w:rFonts w:ascii="Times New Roman" w:hAnsi="Times New Roman"/>
          <w:sz w:val="26"/>
          <w:szCs w:val="26"/>
        </w:rPr>
        <w:t>pretendentu saistītos riskus.</w:t>
      </w:r>
      <w:r w:rsidR="003B7081">
        <w:rPr>
          <w:rFonts w:ascii="Times New Roman" w:hAnsi="Times New Roman"/>
          <w:sz w:val="26"/>
          <w:szCs w:val="26"/>
        </w:rPr>
        <w:t xml:space="preserve"> P</w:t>
      </w:r>
      <w:r w:rsidR="003B7081" w:rsidRPr="003B7081">
        <w:rPr>
          <w:rFonts w:ascii="Times New Roman" w:hAnsi="Times New Roman"/>
          <w:sz w:val="26"/>
          <w:szCs w:val="26"/>
        </w:rPr>
        <w:t>ārskata periodā aptuveni 60% gadījumu DP pieņēma lēmumu atteikt ārzemniekiem TUA, jo tika konstatēti ekonomiskie riski, piemēram, pastāvēja pamatotas aizdomas par iespējamu nelegālu naudas līdzekļu legalizāciju, pret personām viņu mītnes valstī bija uzsākts kriminālprocess par ekonomiskiem noziegumiem u.tml. Savukārt 30% gadījumu tika identificēti nacionālās drošības riski, tas ir, pastāvēja pamatotas aizdomas, ka TUA pretendents var tikt izmantots ārvalstu specdienestu aktivitātēs, kas vērstas pret Latvijas interesēm, ir saistīts ar Krievijas īstenoto tautiešu politiku vai iesaistīts starptautiska rakstura organizētās noziedzības aktivitātēs.</w:t>
      </w:r>
      <w:r w:rsidR="003B7081">
        <w:rPr>
          <w:rFonts w:ascii="Times New Roman" w:hAnsi="Times New Roman"/>
          <w:sz w:val="26"/>
          <w:szCs w:val="26"/>
        </w:rPr>
        <w:t xml:space="preserve"> </w:t>
      </w:r>
      <w:r w:rsidR="003B7081" w:rsidRPr="003B7081">
        <w:rPr>
          <w:rFonts w:ascii="Times New Roman" w:hAnsi="Times New Roman"/>
          <w:sz w:val="26"/>
          <w:szCs w:val="26"/>
        </w:rPr>
        <w:t>Vienlaikus 2015.gadā DP uzsāka atkārtoti izvērtēt tos ārzemniekus, kuri TUA saņēma pirms pieciem gadiem un kuriem ir jāveic pārreģistrācija. Veicot šo personu pārbaudi, DP pieņēma lēmumu anulēt TUA 25 personām.</w:t>
      </w:r>
      <w:r w:rsidR="003B7081">
        <w:rPr>
          <w:rFonts w:ascii="Times New Roman" w:hAnsi="Times New Roman"/>
          <w:sz w:val="26"/>
          <w:szCs w:val="26"/>
        </w:rPr>
        <w:t xml:space="preserve"> DP norāda, ka, </w:t>
      </w:r>
      <w:r w:rsidR="003B7081" w:rsidRPr="003B7081">
        <w:rPr>
          <w:rFonts w:ascii="Times New Roman" w:hAnsi="Times New Roman"/>
          <w:sz w:val="26"/>
          <w:szCs w:val="26"/>
        </w:rPr>
        <w:t>DP vērtējumā</w:t>
      </w:r>
      <w:r w:rsidR="003B7081">
        <w:rPr>
          <w:rFonts w:ascii="Times New Roman" w:hAnsi="Times New Roman"/>
          <w:sz w:val="26"/>
          <w:szCs w:val="26"/>
        </w:rPr>
        <w:t>,</w:t>
      </w:r>
      <w:r w:rsidR="003B7081" w:rsidRPr="003B7081">
        <w:rPr>
          <w:rFonts w:ascii="Times New Roman" w:hAnsi="Times New Roman"/>
          <w:sz w:val="26"/>
          <w:szCs w:val="26"/>
        </w:rPr>
        <w:t xml:space="preserve"> 2015.gada rezultāti apliecina, ka dienesta spēju stiprināšana un izmaiņas normatīvajos aktos ir sasniegušas iepriekš izvirzīto mērķi – pretendentu pārbaudes ir kļuvušas efektīvākas un ir ierobežotas iespējas izmantot šo programmu fiktīviem darījumiem. Tā rezultātā ir panākts līdzsvars starp nepieciešamību piesaistīt ārvalstu </w:t>
      </w:r>
      <w:r w:rsidR="003B7081" w:rsidRPr="003B7081">
        <w:rPr>
          <w:rFonts w:ascii="Times New Roman" w:hAnsi="Times New Roman"/>
          <w:sz w:val="26"/>
          <w:szCs w:val="26"/>
        </w:rPr>
        <w:lastRenderedPageBreak/>
        <w:t>investorus Latvijas ekonomiskās izaugsmes veicināšanai un garantēt nacionālās drošības intereses</w:t>
      </w:r>
      <w:r w:rsidR="003B7081">
        <w:rPr>
          <w:rFonts w:ascii="Times New Roman" w:hAnsi="Times New Roman"/>
          <w:sz w:val="26"/>
          <w:szCs w:val="26"/>
        </w:rPr>
        <w:t>.</w:t>
      </w:r>
      <w:r w:rsidR="003B7081">
        <w:rPr>
          <w:rStyle w:val="FootnoteReference"/>
          <w:rFonts w:ascii="Times New Roman" w:hAnsi="Times New Roman"/>
          <w:sz w:val="26"/>
          <w:szCs w:val="26"/>
        </w:rPr>
        <w:footnoteReference w:id="7"/>
      </w:r>
    </w:p>
    <w:p w:rsidR="002144AF" w:rsidRDefault="002144AF" w:rsidP="002144AF">
      <w:pPr>
        <w:pStyle w:val="Heading1"/>
        <w:spacing w:before="0" w:after="120" w:line="240" w:lineRule="auto"/>
        <w:jc w:val="center"/>
        <w:rPr>
          <w:rFonts w:ascii="Times New Roman" w:eastAsia="Times New Roman" w:hAnsi="Times New Roman"/>
          <w:bCs w:val="0"/>
          <w:color w:val="auto"/>
          <w:sz w:val="26"/>
          <w:szCs w:val="26"/>
          <w:lang w:eastAsia="en-US"/>
        </w:rPr>
      </w:pPr>
      <w:r w:rsidRPr="002144AF">
        <w:rPr>
          <w:rFonts w:ascii="Times New Roman" w:eastAsia="Times New Roman" w:hAnsi="Times New Roman"/>
          <w:bCs w:val="0"/>
          <w:color w:val="auto"/>
          <w:sz w:val="26"/>
          <w:szCs w:val="26"/>
          <w:lang w:eastAsia="en-US"/>
        </w:rPr>
        <w:t>Ietekme uz sabiedrību</w:t>
      </w:r>
    </w:p>
    <w:p w:rsidR="00AB3345" w:rsidRDefault="00AB3345" w:rsidP="002144AF">
      <w:pPr>
        <w:autoSpaceDE w:val="0"/>
        <w:autoSpaceDN w:val="0"/>
        <w:adjustRightInd w:val="0"/>
        <w:spacing w:after="0" w:line="240" w:lineRule="auto"/>
        <w:ind w:firstLine="709"/>
        <w:jc w:val="both"/>
        <w:rPr>
          <w:rFonts w:ascii="Times New Roman" w:eastAsia="Calibri" w:hAnsi="Times New Roman"/>
          <w:sz w:val="26"/>
          <w:szCs w:val="26"/>
          <w:lang w:eastAsia="lv-LV"/>
        </w:rPr>
      </w:pPr>
    </w:p>
    <w:p w:rsidR="002144AF" w:rsidRDefault="002144AF" w:rsidP="002144AF">
      <w:pPr>
        <w:autoSpaceDE w:val="0"/>
        <w:autoSpaceDN w:val="0"/>
        <w:adjustRightInd w:val="0"/>
        <w:spacing w:after="0" w:line="240" w:lineRule="auto"/>
        <w:ind w:firstLine="709"/>
        <w:jc w:val="both"/>
        <w:rPr>
          <w:rFonts w:ascii="Times New Roman" w:eastAsia="Calibri" w:hAnsi="Times New Roman"/>
          <w:sz w:val="26"/>
          <w:szCs w:val="26"/>
          <w:lang w:eastAsia="lv-LV"/>
        </w:rPr>
      </w:pPr>
      <w:r w:rsidRPr="00934FBF">
        <w:rPr>
          <w:rFonts w:ascii="Times New Roman" w:eastAsia="Calibri" w:hAnsi="Times New Roman"/>
          <w:sz w:val="26"/>
          <w:szCs w:val="26"/>
          <w:lang w:eastAsia="lv-LV"/>
        </w:rPr>
        <w:t xml:space="preserve">Kultūras ministrija īsteno pasākumus trešo valstu pilsoņu integrācijas veicināšanai saskaņā ar Ministru kabineta 2015.gada 25.februāra rīkojumu Nr.102 </w:t>
      </w:r>
      <w:r w:rsidRPr="00934FBF">
        <w:rPr>
          <w:rFonts w:ascii="Times New Roman" w:eastAsia="Calibri" w:hAnsi="Times New Roman"/>
          <w:i/>
          <w:sz w:val="26"/>
          <w:szCs w:val="26"/>
          <w:lang w:eastAsia="lv-LV"/>
        </w:rPr>
        <w:t>Par Nac</w:t>
      </w:r>
      <w:r>
        <w:rPr>
          <w:rFonts w:ascii="Times New Roman" w:eastAsia="Calibri" w:hAnsi="Times New Roman"/>
          <w:i/>
          <w:sz w:val="26"/>
          <w:szCs w:val="26"/>
          <w:lang w:eastAsia="lv-LV"/>
        </w:rPr>
        <w:t xml:space="preserve">ionālās identitātes, pilsoniskās sabiedrības un integrācijas politikas pamatnostādņu 2012.-2018.gadam īstenošanas plānu laikposmā līdz 2016.gadam </w:t>
      </w:r>
      <w:r>
        <w:rPr>
          <w:rFonts w:ascii="Times New Roman" w:eastAsia="Calibri" w:hAnsi="Times New Roman"/>
          <w:sz w:val="26"/>
          <w:szCs w:val="26"/>
          <w:lang w:eastAsia="lv-LV"/>
        </w:rPr>
        <w:t xml:space="preserve">(turpmāk – plāns) un atbilstoši </w:t>
      </w:r>
      <w:r>
        <w:rPr>
          <w:rFonts w:ascii="Times New Roman" w:eastAsia="Calibri" w:hAnsi="Times New Roman"/>
          <w:i/>
          <w:sz w:val="26"/>
          <w:szCs w:val="26"/>
          <w:lang w:eastAsia="lv-LV"/>
        </w:rPr>
        <w:t xml:space="preserve">Rīcības plānā personu, kurām nepieciešama starptautiskā aizsardzība, pārvietošanai un uzņemšanai Latvijā, </w:t>
      </w:r>
      <w:r>
        <w:rPr>
          <w:rFonts w:ascii="Times New Roman" w:eastAsia="Calibri" w:hAnsi="Times New Roman"/>
          <w:sz w:val="26"/>
          <w:szCs w:val="26"/>
          <w:lang w:eastAsia="lv-LV"/>
        </w:rPr>
        <w:t>kas apstiprināts ar 2015.gada 2.decembra Ministru kabineta rīkojumu Nr.759 (turpmāk – rīcības plāns), noteikto.</w:t>
      </w:r>
    </w:p>
    <w:p w:rsidR="002144AF" w:rsidRDefault="002144AF" w:rsidP="002144AF">
      <w:pPr>
        <w:autoSpaceDE w:val="0"/>
        <w:autoSpaceDN w:val="0"/>
        <w:adjustRightInd w:val="0"/>
        <w:spacing w:after="0" w:line="240" w:lineRule="auto"/>
        <w:ind w:firstLine="709"/>
        <w:jc w:val="both"/>
        <w:rPr>
          <w:rFonts w:ascii="Times New Roman" w:eastAsia="Calibri" w:hAnsi="Times New Roman"/>
          <w:sz w:val="26"/>
          <w:szCs w:val="26"/>
          <w:lang w:eastAsia="lv-LV"/>
        </w:rPr>
      </w:pPr>
      <w:r>
        <w:rPr>
          <w:rFonts w:ascii="Times New Roman" w:eastAsia="Calibri" w:hAnsi="Times New Roman"/>
          <w:sz w:val="26"/>
          <w:szCs w:val="26"/>
          <w:lang w:eastAsia="lv-LV"/>
        </w:rPr>
        <w:t>Saskaņā ar plāna 1.2.7.1.punktu un rīcības plāna 3.24.punktu Kultūras ministrija ir nodrošinājusi Informācijas centra imigrantiem darbību. Informācijas centra imigrantiem projekta ietvaros biedrība „Patvērums „Drošā māja”” sniedz informāciju trešo valstu pilsoņiem par ikdienā svarīgiem jautājumiem un nodrošina tulka un tulkošanas pakalpojumus mērķa grupai.</w:t>
      </w:r>
    </w:p>
    <w:p w:rsidR="002144AF" w:rsidRDefault="002144AF" w:rsidP="002144AF">
      <w:pPr>
        <w:autoSpaceDE w:val="0"/>
        <w:autoSpaceDN w:val="0"/>
        <w:adjustRightInd w:val="0"/>
        <w:spacing w:after="0" w:line="240" w:lineRule="auto"/>
        <w:ind w:firstLine="709"/>
        <w:jc w:val="both"/>
        <w:rPr>
          <w:rFonts w:ascii="Times New Roman" w:eastAsia="Calibri" w:hAnsi="Times New Roman"/>
          <w:sz w:val="26"/>
          <w:szCs w:val="26"/>
          <w:lang w:eastAsia="lv-LV"/>
        </w:rPr>
      </w:pPr>
      <w:r>
        <w:rPr>
          <w:rFonts w:ascii="Times New Roman" w:eastAsia="Calibri" w:hAnsi="Times New Roman"/>
          <w:sz w:val="26"/>
          <w:szCs w:val="26"/>
          <w:lang w:eastAsia="lv-LV"/>
        </w:rPr>
        <w:t>Divas no pieprasītākajām konsultāciju tēmām mērķa grupai ir par iespējām uzsākt uzņēmējdarbību Latvijā un uzturēšanās atļauju saņemšanas nosacījumi. Šī jautājuma kontekstā jāatzīst, ka personas, uz kurām attiecas Imigrācijas likuma 23.panta pirmās daļas 3., 28., 29., 30. un 31.punkts, nav identificētas kā Informācijas centra imigrantiem pakalpojumu saņēmējas, jo informāciju par uzturēšanās atļaujām un iespējamām investīcijām Latvijā šīs personas saņem no juridiskajām personām, kuras specializējušās šādu klientu apkalpošanā.</w:t>
      </w:r>
    </w:p>
    <w:p w:rsidR="002144AF" w:rsidRDefault="002144AF" w:rsidP="002144AF">
      <w:pPr>
        <w:autoSpaceDE w:val="0"/>
        <w:autoSpaceDN w:val="0"/>
        <w:adjustRightInd w:val="0"/>
        <w:spacing w:after="0" w:line="240" w:lineRule="auto"/>
        <w:ind w:firstLine="709"/>
        <w:jc w:val="both"/>
        <w:rPr>
          <w:rFonts w:ascii="Times New Roman" w:eastAsia="Calibri" w:hAnsi="Times New Roman"/>
          <w:sz w:val="26"/>
          <w:szCs w:val="26"/>
          <w:lang w:eastAsia="lv-LV"/>
        </w:rPr>
      </w:pPr>
      <w:r>
        <w:rPr>
          <w:rFonts w:ascii="Times New Roman" w:eastAsia="Calibri" w:hAnsi="Times New Roman"/>
          <w:sz w:val="26"/>
          <w:szCs w:val="26"/>
          <w:lang w:eastAsia="lv-LV"/>
        </w:rPr>
        <w:t>Arī citās līdz šim Kultūras ministrijas īstenotajās aktivitātēs, tanī skaitā latviešu valodas apmācībās, iepriekš minētā trešo valstu pilsoņu grupa nav speciāli izdalīta vai identificēta šo personu aktīva dalība pasākumos.</w:t>
      </w:r>
    </w:p>
    <w:p w:rsidR="00490FA8" w:rsidRDefault="00490FA8" w:rsidP="00A00413">
      <w:pPr>
        <w:pStyle w:val="Heading1"/>
        <w:spacing w:before="0" w:after="60" w:line="240" w:lineRule="auto"/>
        <w:rPr>
          <w:rFonts w:ascii="Times New Roman" w:hAnsi="Times New Roman"/>
          <w:color w:val="auto"/>
        </w:rPr>
      </w:pPr>
    </w:p>
    <w:p w:rsidR="009B10A4" w:rsidRDefault="009B10A4" w:rsidP="002144AF">
      <w:pPr>
        <w:pStyle w:val="Heading1"/>
        <w:spacing w:before="0" w:after="60" w:line="240" w:lineRule="auto"/>
        <w:jc w:val="center"/>
        <w:rPr>
          <w:rFonts w:ascii="Times New Roman" w:eastAsia="Times New Roman" w:hAnsi="Times New Roman"/>
          <w:bCs w:val="0"/>
          <w:color w:val="auto"/>
          <w:sz w:val="26"/>
          <w:szCs w:val="26"/>
          <w:lang w:eastAsia="en-US"/>
        </w:rPr>
      </w:pPr>
      <w:bookmarkStart w:id="16" w:name="_Toc429659172"/>
      <w:r w:rsidRPr="002144AF">
        <w:rPr>
          <w:rFonts w:ascii="Times New Roman" w:eastAsia="Times New Roman" w:hAnsi="Times New Roman"/>
          <w:bCs w:val="0"/>
          <w:color w:val="auto"/>
          <w:sz w:val="26"/>
          <w:szCs w:val="26"/>
          <w:lang w:eastAsia="en-US"/>
        </w:rPr>
        <w:t>Secinājumi</w:t>
      </w:r>
      <w:bookmarkEnd w:id="15"/>
      <w:bookmarkEnd w:id="16"/>
      <w:r w:rsidR="00EA025A" w:rsidRPr="002144AF">
        <w:rPr>
          <w:rFonts w:ascii="Times New Roman" w:eastAsia="Times New Roman" w:hAnsi="Times New Roman"/>
          <w:bCs w:val="0"/>
          <w:color w:val="auto"/>
          <w:sz w:val="26"/>
          <w:szCs w:val="26"/>
          <w:lang w:eastAsia="en-US"/>
        </w:rPr>
        <w:t xml:space="preserve"> un ieteikumi turpmākai rīcībai</w:t>
      </w:r>
    </w:p>
    <w:p w:rsidR="002144AF" w:rsidRPr="002144AF" w:rsidRDefault="002144AF" w:rsidP="002144AF"/>
    <w:p w:rsidR="00AB3AEF" w:rsidRPr="00C6765B" w:rsidRDefault="006B5AC4"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C6765B">
        <w:rPr>
          <w:rFonts w:ascii="Times New Roman" w:hAnsi="Times New Roman"/>
          <w:sz w:val="26"/>
          <w:szCs w:val="26"/>
        </w:rPr>
        <w:t>No 2010.gada 1.jūlija līdz 2016.gada 30.jūnijam investīciju programmas ietvaros PMLP ir saņēmusi 17 218 personu, tajā skaitā 7 183 investoru un 10 035 viņu ģimenes locekļu, iesniegumus TUA pieprasīšanai. Šajā laika posmā izsniegtas 16 737 TUA. No 2010.gada 1.jūlija 323 gadījumos TUA izsniegšana atteikta, bet anulētas 26</w:t>
      </w:r>
      <w:r w:rsidR="002144AF">
        <w:rPr>
          <w:rFonts w:ascii="Times New Roman" w:hAnsi="Times New Roman"/>
          <w:sz w:val="26"/>
          <w:szCs w:val="26"/>
        </w:rPr>
        <w:t>95</w:t>
      </w:r>
      <w:r w:rsidRPr="00C6765B">
        <w:rPr>
          <w:rFonts w:ascii="Times New Roman" w:hAnsi="Times New Roman"/>
          <w:sz w:val="26"/>
          <w:szCs w:val="26"/>
        </w:rPr>
        <w:t xml:space="preserve"> TUA.</w:t>
      </w:r>
    </w:p>
    <w:p w:rsidR="00AB3AEF" w:rsidRPr="00C6765B" w:rsidRDefault="006B5AC4"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C6765B">
        <w:rPr>
          <w:rFonts w:ascii="Times New Roman" w:hAnsi="Times New Roman"/>
          <w:sz w:val="26"/>
          <w:szCs w:val="26"/>
        </w:rPr>
        <w:t xml:space="preserve">Nerezidentu ieguldījumi, kas saistīti ar TUA saņemšanu, no 2010.gada 1.jūlija līdz 2016.gada 30.jūnijam bija 1,388 mljrd.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w:t>
      </w:r>
      <w:r w:rsidR="00AB3AEF" w:rsidRPr="00C6765B">
        <w:rPr>
          <w:rFonts w:ascii="Times New Roman" w:hAnsi="Times New Roman"/>
          <w:sz w:val="26"/>
          <w:szCs w:val="26"/>
        </w:rPr>
        <w:t xml:space="preserve"> </w:t>
      </w:r>
    </w:p>
    <w:p w:rsidR="00C6765B" w:rsidRDefault="006B5AC4" w:rsidP="00C6765B">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C6765B">
        <w:rPr>
          <w:rFonts w:ascii="Times New Roman" w:hAnsi="Times New Roman"/>
          <w:sz w:val="26"/>
          <w:szCs w:val="26"/>
        </w:rPr>
        <w:t xml:space="preserve">No kopumā investīciju programmas ietvaros ieguldītajiem līdzekļiem no 2010.gada 1.jūlija līdz 2016.gada 30.jūnijam 83,2% jeb 1,154 mljrd.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(11,0% jeb 152,8 milj. </w:t>
      </w:r>
      <w:proofErr w:type="spellStart"/>
      <w:r w:rsidRPr="00C6765B">
        <w:rPr>
          <w:rFonts w:ascii="Times New Roman" w:hAnsi="Times New Roman"/>
          <w:i/>
          <w:sz w:val="26"/>
          <w:szCs w:val="26"/>
        </w:rPr>
        <w:t>euro</w:t>
      </w:r>
      <w:proofErr w:type="spellEnd"/>
      <w:r w:rsidRPr="00C6765B">
        <w:rPr>
          <w:rFonts w:ascii="Times New Roman" w:hAnsi="Times New Roman"/>
          <w:i/>
          <w:sz w:val="26"/>
          <w:szCs w:val="26"/>
        </w:rPr>
        <w:t xml:space="preserve"> </w:t>
      </w:r>
      <w:r w:rsidRPr="00C6765B">
        <w:rPr>
          <w:rFonts w:ascii="Times New Roman" w:hAnsi="Times New Roman"/>
          <w:sz w:val="26"/>
          <w:szCs w:val="26"/>
        </w:rPr>
        <w:t>no visiem ieguldījumiem), savukārt attiecinātie ieguldījumi kapitālsabiedrību pamatkapitālā veido tikai 5,4% (jeb 75,4 milj.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no kopējām veiktajām investīcijām attiecīgajā periodā. Īpašam mērķim noteiktu </w:t>
      </w:r>
      <w:r w:rsidRPr="00C6765B">
        <w:rPr>
          <w:rFonts w:ascii="Times New Roman" w:hAnsi="Times New Roman"/>
          <w:sz w:val="26"/>
          <w:szCs w:val="26"/>
        </w:rPr>
        <w:lastRenderedPageBreak/>
        <w:t xml:space="preserve">bezprocentu valsts vērtspapīru iegādē no 2015.gada 1.janvāra ieguldīti 5,5 milj.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jeb 0,4% no kopējā investīciju apjoma.</w:t>
      </w:r>
      <w:r w:rsidR="00AB3AEF" w:rsidRPr="00C6765B">
        <w:rPr>
          <w:rFonts w:ascii="Times New Roman" w:hAnsi="Times New Roman"/>
          <w:sz w:val="26"/>
          <w:szCs w:val="26"/>
        </w:rPr>
        <w:t xml:space="preserve"> </w:t>
      </w:r>
    </w:p>
    <w:p w:rsidR="00CE0C4F" w:rsidRPr="00CE0C4F" w:rsidRDefault="006B5AC4" w:rsidP="00C6765B">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C6765B">
        <w:rPr>
          <w:rFonts w:ascii="Times New Roman" w:hAnsi="Times New Roman"/>
          <w:sz w:val="26"/>
          <w:szCs w:val="26"/>
        </w:rPr>
        <w:t xml:space="preserve">Pārskata periodā (līdz 2016.gada 30.jūnijam) īpašam mērķim noteikto bezprocentu valsts vērtspapīru emisijas rezultātā valsts parāds palielinājies par 3,5 milj. </w:t>
      </w:r>
      <w:proofErr w:type="spellStart"/>
      <w:r w:rsidRPr="00C6765B">
        <w:rPr>
          <w:rFonts w:ascii="Times New Roman" w:hAnsi="Times New Roman"/>
          <w:i/>
          <w:sz w:val="26"/>
          <w:szCs w:val="26"/>
        </w:rPr>
        <w:t>euro</w:t>
      </w:r>
      <w:proofErr w:type="spellEnd"/>
      <w:r w:rsidRPr="00C6765B">
        <w:rPr>
          <w:rFonts w:ascii="Times New Roman" w:hAnsi="Times New Roman"/>
          <w:sz w:val="26"/>
          <w:szCs w:val="26"/>
        </w:rPr>
        <w:t xml:space="preserve">, līdz ar to var uzskatīt, ka šis investīciju veids nav būtiski ietekmējis valsts parāda palielināšanos, tomēr </w:t>
      </w:r>
      <w:r w:rsidR="00CE0C4F">
        <w:rPr>
          <w:rFonts w:ascii="Times New Roman" w:hAnsi="Times New Roman"/>
          <w:sz w:val="26"/>
          <w:szCs w:val="26"/>
        </w:rPr>
        <w:t xml:space="preserve">Valsts kase norāda, ka </w:t>
      </w:r>
      <w:r w:rsidRPr="00C6765B">
        <w:rPr>
          <w:rFonts w:ascii="Times New Roman" w:hAnsi="Times New Roman"/>
          <w:sz w:val="26"/>
          <w:szCs w:val="26"/>
        </w:rPr>
        <w:t xml:space="preserve">ir </w:t>
      </w:r>
      <w:r w:rsidRPr="00C6765B">
        <w:rPr>
          <w:rFonts w:ascii="Times New Roman" w:hAnsi="Times New Roman"/>
          <w:color w:val="000000" w:themeColor="text1"/>
          <w:sz w:val="26"/>
          <w:szCs w:val="26"/>
        </w:rPr>
        <w:t xml:space="preserve">nepieciešams veikt </w:t>
      </w:r>
      <w:r w:rsidR="0015191B">
        <w:rPr>
          <w:rFonts w:ascii="Times New Roman" w:hAnsi="Times New Roman"/>
          <w:color w:val="000000" w:themeColor="text1"/>
          <w:sz w:val="26"/>
          <w:szCs w:val="26"/>
        </w:rPr>
        <w:t>pasākumus,</w:t>
      </w:r>
      <w:r w:rsidRPr="00C6765B">
        <w:rPr>
          <w:rFonts w:ascii="Times New Roman" w:hAnsi="Times New Roman"/>
          <w:color w:val="000000" w:themeColor="text1"/>
          <w:sz w:val="26"/>
          <w:szCs w:val="26"/>
        </w:rPr>
        <w:t xml:space="preserve"> lai šī instrumenta izmantošana neradītu negatīvu ietekmi uz valsts budžeta bilanci</w:t>
      </w:r>
      <w:r w:rsidRPr="00C6765B">
        <w:rPr>
          <w:rFonts w:ascii="Times New Roman" w:hAnsi="Times New Roman"/>
          <w:sz w:val="26"/>
          <w:szCs w:val="26"/>
        </w:rPr>
        <w:t xml:space="preserve"> </w:t>
      </w:r>
      <w:r w:rsidRPr="00C6765B">
        <w:rPr>
          <w:rFonts w:ascii="Times New Roman" w:hAnsi="Times New Roman"/>
          <w:color w:val="000000" w:themeColor="text1"/>
          <w:sz w:val="26"/>
          <w:szCs w:val="26"/>
        </w:rPr>
        <w:t>un saglabātu pievienotu ekonomisko ieguvumu.</w:t>
      </w:r>
      <w:r w:rsidR="00CE0C4F">
        <w:rPr>
          <w:rFonts w:ascii="Times New Roman" w:hAnsi="Times New Roman"/>
          <w:color w:val="000000" w:themeColor="text1"/>
          <w:sz w:val="26"/>
          <w:szCs w:val="26"/>
        </w:rPr>
        <w:t xml:space="preserve"> </w:t>
      </w:r>
      <w:r w:rsidR="0015191B">
        <w:rPr>
          <w:rFonts w:ascii="Times New Roman" w:hAnsi="Times New Roman"/>
          <w:color w:val="000000" w:themeColor="text1"/>
          <w:sz w:val="26"/>
          <w:szCs w:val="26"/>
        </w:rPr>
        <w:t xml:space="preserve">Ieteicamais risinājums - </w:t>
      </w:r>
      <w:r w:rsidR="0015191B" w:rsidRPr="00CF48AC">
        <w:rPr>
          <w:rFonts w:ascii="Times New Roman" w:hAnsi="Times New Roman"/>
          <w:color w:val="000000"/>
          <w:sz w:val="26"/>
          <w:szCs w:val="26"/>
          <w:lang w:eastAsia="lv-LV"/>
        </w:rPr>
        <w:t>Imigrācijas likumā</w:t>
      </w:r>
      <w:r w:rsidR="0015191B">
        <w:rPr>
          <w:rFonts w:ascii="Times New Roman" w:hAnsi="Times New Roman"/>
          <w:color w:val="000000"/>
          <w:sz w:val="26"/>
          <w:szCs w:val="26"/>
          <w:lang w:eastAsia="lv-LV"/>
        </w:rPr>
        <w:t xml:space="preserve"> </w:t>
      </w:r>
      <w:r w:rsidR="0015191B" w:rsidRPr="00CF48AC">
        <w:rPr>
          <w:rFonts w:ascii="Times New Roman" w:hAnsi="Times New Roman"/>
          <w:color w:val="000000"/>
          <w:sz w:val="26"/>
          <w:szCs w:val="26"/>
          <w:lang w:eastAsia="lv-LV"/>
        </w:rPr>
        <w:t>noteikt ārzemniekam lielāku vienreizēju iemaksu valsts budžetā, kas atbilst negatīvai efektīvai procentu likmei vismaz 1% gadā apmērā par bezprocentu obligācijām 250 tūkst. EUR apmērā pēc nominālvērtības jeb 12,5 tūkst. EUR piecu gadu laikā</w:t>
      </w:r>
      <w:r w:rsidR="0015191B">
        <w:rPr>
          <w:rFonts w:ascii="Times New Roman" w:hAnsi="Times New Roman"/>
          <w:color w:val="000000"/>
          <w:sz w:val="26"/>
          <w:szCs w:val="26"/>
          <w:lang w:eastAsia="lv-LV"/>
        </w:rPr>
        <w:t xml:space="preserve">. </w:t>
      </w:r>
    </w:p>
    <w:p w:rsidR="00AB3AEF" w:rsidRPr="00C6765B" w:rsidRDefault="00CE0C4F" w:rsidP="0015191B">
      <w:pPr>
        <w:pStyle w:val="ListParagraph"/>
        <w:spacing w:after="60" w:line="240" w:lineRule="auto"/>
        <w:ind w:left="284"/>
        <w:contextualSpacing w:val="0"/>
        <w:jc w:val="both"/>
        <w:rPr>
          <w:rFonts w:ascii="Times New Roman" w:hAnsi="Times New Roman"/>
          <w:sz w:val="26"/>
          <w:szCs w:val="26"/>
        </w:rPr>
      </w:pPr>
      <w:r>
        <w:rPr>
          <w:rFonts w:ascii="Times New Roman" w:hAnsi="Times New Roman"/>
          <w:color w:val="000000" w:themeColor="text1"/>
          <w:sz w:val="26"/>
          <w:szCs w:val="26"/>
        </w:rPr>
        <w:t xml:space="preserve">Vienlaikus jāņem vērā, ka TUA saņēmēju, </w:t>
      </w:r>
      <w:proofErr w:type="gramStart"/>
      <w:r>
        <w:rPr>
          <w:rFonts w:ascii="Times New Roman" w:hAnsi="Times New Roman"/>
          <w:color w:val="000000" w:themeColor="text1"/>
          <w:sz w:val="26"/>
          <w:szCs w:val="26"/>
        </w:rPr>
        <w:t>kuri kā TUA pieprasīšanas iemeslu norādījuši bezprocentu valsts vērtspapīru iegādi, valsts budžetā veiktās vienreizējās iemaksas kalpo</w:t>
      </w:r>
      <w:proofErr w:type="gramEnd"/>
      <w:r>
        <w:rPr>
          <w:rFonts w:ascii="Times New Roman" w:hAnsi="Times New Roman"/>
          <w:color w:val="000000" w:themeColor="text1"/>
          <w:sz w:val="26"/>
          <w:szCs w:val="26"/>
        </w:rPr>
        <w:t xml:space="preserve"> kā nozīmīgs finansējuma avots Mājokļu atbalsta programmai un šī investīciju programmas instrumenta saņemšanas nosacījumu pasliktināšana attiecībā uz investoriem var ietekmēt finansējumu Mājokļu atbalsta programmai.</w:t>
      </w:r>
    </w:p>
    <w:p w:rsidR="00AB3AEF" w:rsidRPr="00336222" w:rsidRDefault="006B5AC4" w:rsidP="0033622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8141B6">
        <w:rPr>
          <w:rFonts w:ascii="Times New Roman" w:hAnsi="Times New Roman"/>
          <w:sz w:val="26"/>
          <w:szCs w:val="26"/>
        </w:rPr>
        <w:t>Sakarā ar investīciju programmas nosacījumu maiņu, tiem kļūstot stingrākiem no 2014.gada 1.septembra, būtiski samazinājies programmas ietvaros saņemtais pieteikumu skaits. Ja 2014.gadā investīciju programmas ietvaros izsniegto TUA skaits veidoja 53% no visām izsniegtajām TUA, tad 2015.gada pirmajā pusgadā - 26%, bet 2016.gada pirmajā pusgadā – tikai 10%. Līdz ar to samazinājies arī ar investīciju programmu saistīto ieguldījumu apmērs</w:t>
      </w:r>
      <w:r>
        <w:rPr>
          <w:rFonts w:ascii="Times New Roman" w:hAnsi="Times New Roman"/>
          <w:sz w:val="26"/>
          <w:szCs w:val="26"/>
        </w:rPr>
        <w:t>.</w:t>
      </w:r>
      <w:r w:rsidR="00AB3AEF" w:rsidRPr="00F77AF2">
        <w:rPr>
          <w:rFonts w:ascii="Times New Roman" w:hAnsi="Times New Roman"/>
          <w:sz w:val="26"/>
          <w:szCs w:val="26"/>
          <w:lang w:eastAsia="lv-LV"/>
        </w:rPr>
        <w:t xml:space="preserve"> </w:t>
      </w:r>
      <w:r w:rsidR="00336222" w:rsidRPr="00336222">
        <w:rPr>
          <w:rFonts w:ascii="Times New Roman" w:hAnsi="Times New Roman"/>
          <w:sz w:val="26"/>
          <w:szCs w:val="26"/>
          <w:lang w:eastAsia="lv-LV"/>
        </w:rPr>
        <w:t xml:space="preserve">Saskaņā ar PMLP sniegtajiem datiem 2014.gada 1.pusgadā ar pirmreizējo TUA izsniegšanu saistīto investīciju kopapjoms bija 198,9 milj. </w:t>
      </w:r>
      <w:proofErr w:type="spellStart"/>
      <w:r w:rsidR="00336222" w:rsidRPr="00336222">
        <w:rPr>
          <w:rFonts w:ascii="Times New Roman" w:hAnsi="Times New Roman"/>
          <w:i/>
          <w:sz w:val="26"/>
          <w:szCs w:val="26"/>
          <w:lang w:eastAsia="lv-LV"/>
        </w:rPr>
        <w:t>euro</w:t>
      </w:r>
      <w:proofErr w:type="spellEnd"/>
      <w:r w:rsidR="00336222" w:rsidRPr="00336222">
        <w:rPr>
          <w:rFonts w:ascii="Times New Roman" w:hAnsi="Times New Roman"/>
          <w:sz w:val="26"/>
          <w:szCs w:val="26"/>
          <w:lang w:eastAsia="lv-LV"/>
        </w:rPr>
        <w:t xml:space="preserve">, 2015.gada 1.pusgadā – 34,3 milj. </w:t>
      </w:r>
      <w:proofErr w:type="spellStart"/>
      <w:r w:rsidR="00336222" w:rsidRPr="00336222">
        <w:rPr>
          <w:rFonts w:ascii="Times New Roman" w:hAnsi="Times New Roman"/>
          <w:i/>
          <w:sz w:val="26"/>
          <w:szCs w:val="26"/>
          <w:lang w:eastAsia="lv-LV"/>
        </w:rPr>
        <w:t>euro</w:t>
      </w:r>
      <w:proofErr w:type="spellEnd"/>
      <w:r w:rsidR="00336222" w:rsidRPr="00336222">
        <w:rPr>
          <w:rFonts w:ascii="Times New Roman" w:hAnsi="Times New Roman"/>
          <w:sz w:val="26"/>
          <w:szCs w:val="26"/>
          <w:lang w:eastAsia="lv-LV"/>
        </w:rPr>
        <w:t xml:space="preserve">, bet 2016.gada 1.pusgadā – 31,2 milj. </w:t>
      </w:r>
      <w:proofErr w:type="spellStart"/>
      <w:r w:rsidR="00336222" w:rsidRPr="00336222">
        <w:rPr>
          <w:rFonts w:ascii="Times New Roman" w:hAnsi="Times New Roman"/>
          <w:i/>
          <w:sz w:val="26"/>
          <w:szCs w:val="26"/>
          <w:lang w:eastAsia="lv-LV"/>
        </w:rPr>
        <w:t>euro</w:t>
      </w:r>
      <w:proofErr w:type="spellEnd"/>
      <w:r w:rsidR="00336222" w:rsidRPr="00336222">
        <w:rPr>
          <w:rFonts w:ascii="Times New Roman" w:hAnsi="Times New Roman"/>
          <w:sz w:val="26"/>
          <w:szCs w:val="26"/>
          <w:lang w:eastAsia="lv-LV"/>
        </w:rPr>
        <w:t xml:space="preserve">. </w:t>
      </w:r>
      <w:r w:rsidR="00AB3AEF" w:rsidRPr="00336222">
        <w:rPr>
          <w:rFonts w:ascii="Times New Roman" w:hAnsi="Times New Roman"/>
          <w:sz w:val="26"/>
          <w:szCs w:val="26"/>
          <w:lang w:eastAsia="lv-LV"/>
        </w:rPr>
        <w:t>Jāņem vērā, ka lielāko daļu no šiem ieguldījumiem veidoja ieguldījumi nekustamajā īpašumā (</w:t>
      </w:r>
      <w:r w:rsidR="00336222" w:rsidRPr="00336222">
        <w:rPr>
          <w:rFonts w:ascii="Times New Roman" w:hAnsi="Times New Roman"/>
          <w:sz w:val="26"/>
          <w:szCs w:val="26"/>
          <w:lang w:eastAsia="lv-LV"/>
        </w:rPr>
        <w:t>2014.gadā bija 88,8%, 2015.gadā – 81,4%, bet 2016.gada 1.pusgadā – 82,8%</w:t>
      </w:r>
      <w:r w:rsidR="00AB3AEF" w:rsidRPr="00336222">
        <w:rPr>
          <w:rFonts w:ascii="Times New Roman" w:hAnsi="Times New Roman"/>
          <w:sz w:val="26"/>
          <w:szCs w:val="26"/>
          <w:lang w:eastAsia="lv-LV"/>
        </w:rPr>
        <w:t xml:space="preserve">), ko nevar uzskatīt par tiešām investīcijām uzņēmumos. Darījumu skaits ir būtiski krities, tādēļ nepieciešams turpināt attīstīt tos investīciju piesaistes veidus, kas tieši saistīti ar kapitālsabiedrību piekļuvi brīviem naudas līdzekļiem un to saimnieciskās darbības izaugsmi. </w:t>
      </w:r>
    </w:p>
    <w:p w:rsidR="00AB3AEF" w:rsidRDefault="00AB3AEF"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Pr>
          <w:rFonts w:ascii="Times New Roman" w:hAnsi="Times New Roman"/>
          <w:sz w:val="26"/>
          <w:szCs w:val="26"/>
          <w:lang w:eastAsia="lv-LV"/>
        </w:rPr>
        <w:t xml:space="preserve">2016.gada 1.jūlijā spēkā stājās grozījumi Imigrācijas likumā, kas cita starpā palielina TUA pieteicēju skaitu no 3 uz 10, kuri var saņemt TUA par </w:t>
      </w:r>
      <w:r w:rsidRPr="0030055A">
        <w:rPr>
          <w:rFonts w:ascii="Times New Roman" w:hAnsi="Times New Roman"/>
          <w:sz w:val="26"/>
          <w:szCs w:val="26"/>
          <w:lang w:eastAsia="lv-LV"/>
        </w:rPr>
        <w:t>ieguldījumu vienas kapitālsabiedrības pamatkapitālā TUA</w:t>
      </w:r>
      <w:r>
        <w:rPr>
          <w:rFonts w:ascii="Times New Roman" w:hAnsi="Times New Roman"/>
          <w:sz w:val="26"/>
          <w:szCs w:val="26"/>
          <w:lang w:eastAsia="lv-LV"/>
        </w:rPr>
        <w:t>. Minētās izmaiņas, palielinās</w:t>
      </w:r>
      <w:r w:rsidRPr="0030055A">
        <w:rPr>
          <w:rFonts w:ascii="Times New Roman" w:hAnsi="Times New Roman"/>
          <w:sz w:val="26"/>
          <w:szCs w:val="26"/>
          <w:lang w:eastAsia="lv-LV"/>
        </w:rPr>
        <w:t xml:space="preserve"> mazo un vidējo kapitālsabiedrību iespējas piesaistīt to izaugsmei nepieciešamos ieguldījumus vajadzīgajā apmērā, ņemot vērā to, ka vispopulārākais ieguldījumu apmērs kapitālsabiedrības pamatkapitālā atbilst vai ir tuvu likumā noteiktajai minimālajai ieguldījuma summai. </w:t>
      </w:r>
    </w:p>
    <w:p w:rsidR="00AB3AEF" w:rsidRDefault="00AB3AEF"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3014A1">
        <w:rPr>
          <w:rFonts w:ascii="Times New Roman" w:hAnsi="Times New Roman"/>
          <w:sz w:val="26"/>
          <w:szCs w:val="26"/>
        </w:rPr>
        <w:t>Latvijas “Nacionālajā attīstības plānā 2014.-2020. gadam” noteiktais prioritārais mērķis ir ilgtspējīga Latvijas ekonomikas izaugsme.</w:t>
      </w:r>
      <w:r w:rsidRPr="003014A1">
        <w:rPr>
          <w:rStyle w:val="FootnoteReference"/>
          <w:rFonts w:ascii="Times New Roman" w:hAnsi="Times New Roman"/>
          <w:sz w:val="26"/>
          <w:szCs w:val="26"/>
        </w:rPr>
        <w:footnoteReference w:id="8"/>
      </w:r>
      <w:r w:rsidRPr="003014A1">
        <w:rPr>
          <w:rFonts w:ascii="Times New Roman" w:hAnsi="Times New Roman"/>
          <w:sz w:val="26"/>
          <w:szCs w:val="26"/>
        </w:rPr>
        <w:t xml:space="preserve"> Lai gan TUA programmu var izmantot kā instrumentu tautsaimniecības attīstības stimulēšanai, tas ir tikai īstermiņa risinājums, kas nevar kalpot kā Latvijas tautsaimniecības ilgtermiņa izaugsmi nodrošinošs faktors.</w:t>
      </w:r>
    </w:p>
    <w:p w:rsidR="00D22CD2" w:rsidRDefault="00AB3AEF" w:rsidP="00D22CD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3014A1">
        <w:rPr>
          <w:rFonts w:ascii="Times New Roman" w:hAnsi="Times New Roman"/>
          <w:sz w:val="26"/>
          <w:szCs w:val="26"/>
        </w:rPr>
        <w:t xml:space="preserve">Investīciju programmas sadaļa, kas paredz iespēju saņemt TUA kā saņemšanas iemeslu norādot nekustamā īpašuma iegādi, rada vairākus vidēja termiņa un </w:t>
      </w:r>
      <w:r w:rsidRPr="003014A1">
        <w:rPr>
          <w:rFonts w:ascii="Times New Roman" w:hAnsi="Times New Roman"/>
          <w:sz w:val="26"/>
          <w:szCs w:val="26"/>
        </w:rPr>
        <w:lastRenderedPageBreak/>
        <w:t>ilgtermiņa riskus: ilgstoši uzturot liberālus programmas nosacījumus, pastāv risks, ka ekonomiskā aktivitāti un darbaspēks arvien vairāk tiek piesaistīts nekustamo īpašumu nozarei un būvniecībai, tādejādi mazinot resursus ražošanas un Latvijas ilgtermiņa konkurētspēju veidojošam nozarēm, kuru izaugsme ir viens no “Latvijas Nacionālajā attīstības plānā 2014. – 2020. gadam” mērķiem. Rezultātā var pieaugt darbaspēka piesaiste mazāk produktīvām nozarēm.</w:t>
      </w:r>
      <w:r w:rsidRPr="003014A1">
        <w:rPr>
          <w:rStyle w:val="FootnoteReference"/>
          <w:rFonts w:ascii="Times New Roman" w:hAnsi="Times New Roman"/>
          <w:sz w:val="26"/>
          <w:szCs w:val="26"/>
        </w:rPr>
        <w:footnoteReference w:id="9"/>
      </w:r>
      <w:r w:rsidR="00336222">
        <w:rPr>
          <w:rFonts w:ascii="Times New Roman" w:hAnsi="Times New Roman"/>
          <w:sz w:val="26"/>
          <w:szCs w:val="26"/>
        </w:rPr>
        <w:t xml:space="preserve"> Vienlaikus, nepieciešams atzīmēt, ka programmas nosacījumi attiecībā uz nekustamā īpašuma iegādi </w:t>
      </w:r>
      <w:r w:rsidR="00CE0C4F">
        <w:rPr>
          <w:rFonts w:ascii="Times New Roman" w:hAnsi="Times New Roman"/>
          <w:sz w:val="26"/>
          <w:szCs w:val="26"/>
        </w:rPr>
        <w:t>nav vērtējami kā liberāli</w:t>
      </w:r>
      <w:r w:rsidR="00336222">
        <w:rPr>
          <w:rFonts w:ascii="Times New Roman" w:hAnsi="Times New Roman"/>
          <w:sz w:val="26"/>
          <w:szCs w:val="26"/>
        </w:rPr>
        <w:t xml:space="preserve">. </w:t>
      </w:r>
    </w:p>
    <w:p w:rsidR="00336222" w:rsidRPr="00336222" w:rsidRDefault="00336222" w:rsidP="0033622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A5099F">
        <w:rPr>
          <w:rFonts w:ascii="Times New Roman" w:hAnsi="Times New Roman"/>
          <w:sz w:val="26"/>
          <w:szCs w:val="26"/>
        </w:rPr>
        <w:t xml:space="preserve">No nekustamo īpašumu kompāniju tirgus pārskatiem par 2015.gadu un 2016.gada 1.pusgadu secināms, ka pēc grozījumiem Imigrācijas likumā, kas stājās spēkā 2014.gada 1.septembrī, jauno daudzdzīvokļu mājokļu projektu </w:t>
      </w:r>
      <w:r w:rsidRPr="007A1E2F">
        <w:rPr>
          <w:rFonts w:ascii="Times New Roman" w:hAnsi="Times New Roman"/>
          <w:sz w:val="26"/>
          <w:szCs w:val="26"/>
        </w:rPr>
        <w:t>attīstītāju piedāvājums ir kļuvis pieejamāks un atbilstošāks</w:t>
      </w:r>
      <w:r>
        <w:rPr>
          <w:rFonts w:ascii="Times New Roman" w:hAnsi="Times New Roman"/>
          <w:sz w:val="26"/>
          <w:szCs w:val="26"/>
        </w:rPr>
        <w:t xml:space="preserve"> </w:t>
      </w:r>
      <w:r w:rsidRPr="00A5099F">
        <w:rPr>
          <w:rFonts w:ascii="Times New Roman" w:hAnsi="Times New Roman"/>
          <w:sz w:val="26"/>
          <w:szCs w:val="26"/>
        </w:rPr>
        <w:t>vietējiem pircējiem</w:t>
      </w:r>
      <w:r w:rsidRPr="007A1E2F">
        <w:rPr>
          <w:rFonts w:ascii="Times New Roman" w:hAnsi="Times New Roman"/>
          <w:sz w:val="26"/>
          <w:szCs w:val="26"/>
        </w:rPr>
        <w:t>.</w:t>
      </w:r>
      <w:proofErr w:type="gramStart"/>
      <w:r>
        <w:rPr>
          <w:rFonts w:ascii="Times New Roman" w:hAnsi="Times New Roman"/>
          <w:sz w:val="26"/>
          <w:szCs w:val="26"/>
        </w:rPr>
        <w:t xml:space="preserve">  </w:t>
      </w:r>
      <w:proofErr w:type="gramEnd"/>
    </w:p>
    <w:p w:rsidR="00AB3AEF" w:rsidRPr="00D22CD2" w:rsidRDefault="00AB3AEF" w:rsidP="00D22CD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D22CD2">
        <w:rPr>
          <w:rFonts w:ascii="Times New Roman" w:hAnsi="Times New Roman"/>
          <w:sz w:val="26"/>
          <w:szCs w:val="26"/>
        </w:rPr>
        <w:t>2016. gadā, saskaņā ar ALTUM un SIA “Latio” pausto viedokli, šobrīd lielākajā nekustamā īpašuma tirgus daļā pilnībā dominē vietējais pieprasījums, tāpēc novērojamo izaugsmi ir pamats uzskatīt par ilgtspējīgu attīstību, jo tieši vietējais pieprasījums, aktīva banku kreditēšana un neliels valsts atbalsts ir pamats nekustamo īpašumu tirgus izaugsmei. Vienlaikus, jāņem vērā, ka atsevišķos nekustamā īpašuma segmentos ietekme ir vērtējama kā būtiska, it sevišķi ekskluzīvo mājokļu tirgus segmentā.</w:t>
      </w:r>
    </w:p>
    <w:p w:rsidR="00AB3AEF" w:rsidRDefault="00AB3AEF"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6A3784">
        <w:rPr>
          <w:rFonts w:ascii="Times New Roman" w:hAnsi="Times New Roman"/>
          <w:sz w:val="26"/>
          <w:szCs w:val="26"/>
        </w:rPr>
        <w:t>Kopš Imigrācijas likuma grozījumiem, kas stājās spēkā 2014.gada 1.septembrī, ieguldījumi banku pakārtotajās saistībās un kapitālsabiedrību pamatkapitālos ir ievērojami samazinājušies, tādējādi samazinot banku un kapitālsabiedrību piesaistītā kapitāla apjomu.</w:t>
      </w:r>
    </w:p>
    <w:p w:rsidR="00D22CD2" w:rsidRDefault="00AB3AEF" w:rsidP="00D22CD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934161">
        <w:rPr>
          <w:rFonts w:ascii="Times New Roman" w:hAnsi="Times New Roman"/>
          <w:sz w:val="26"/>
          <w:szCs w:val="26"/>
        </w:rPr>
        <w:t>Ņemot vērā ārvalstu tiešo investīciju kopapjoma samazināšanos, ir jāmeklē veidi, kā padarīt investīciju programmu pievilcīgāku potenciālajiem ārvalstu investoriem, tostarp, turpinot intensīvu darbu pie viegli uztveramu un saprotamu informatīvo materiālu par investīciju programmas dotajām iespējām un kārtību sagatavošanas un publiskošanas.</w:t>
      </w:r>
    </w:p>
    <w:p w:rsidR="00336222" w:rsidRDefault="00336222" w:rsidP="00D22CD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7A1E2F">
        <w:rPr>
          <w:rFonts w:ascii="Times New Roman" w:hAnsi="Times New Roman"/>
          <w:sz w:val="26"/>
          <w:szCs w:val="26"/>
        </w:rPr>
        <w:t>Nosacījumu maiņa TUA saņemšanā gadījumos, ja ārzemnieks vēlas saņemt TUA kā tās saņemšanas iemeslu minot nekustamā īpašuma iegādi, kas stājās spēkā 2014.gada 1.septembrī,</w:t>
      </w:r>
      <w:proofErr w:type="gramStart"/>
      <w:r w:rsidRPr="007A1E2F">
        <w:rPr>
          <w:rFonts w:ascii="Times New Roman" w:hAnsi="Times New Roman"/>
          <w:sz w:val="26"/>
          <w:szCs w:val="26"/>
        </w:rPr>
        <w:t xml:space="preserve">  </w:t>
      </w:r>
      <w:proofErr w:type="gramEnd"/>
      <w:r w:rsidRPr="007A1E2F">
        <w:rPr>
          <w:rFonts w:ascii="Times New Roman" w:hAnsi="Times New Roman"/>
          <w:sz w:val="26"/>
          <w:szCs w:val="26"/>
        </w:rPr>
        <w:t>samazināja darījumu skaitu ārpus Rīgas un Pierīgas (Jūrmala un Ādažu, Babītes, Baldones, Carnikavas, Garkalnes, Ikšķiles, Ķekavas, Mārupes, Olaines, Ropažu, Salaspils, Saulkrastu vai Stopiņu novadi). 2015.gadā apstiprināti vien 17 TUA pieteikumi (16,4%), kur nekustamais īpašums iegādāts ārpus Rīgas un Pierīgas, bet 2016.gada 1.pusgadā ir apstiprināti tikai 5 šādi pieteikumi (6%).</w:t>
      </w:r>
    </w:p>
    <w:p w:rsidR="00AB3AEF" w:rsidRDefault="00AB3AEF" w:rsidP="00D22CD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D22CD2">
        <w:rPr>
          <w:rFonts w:ascii="Times New Roman" w:hAnsi="Times New Roman"/>
          <w:sz w:val="26"/>
          <w:szCs w:val="26"/>
        </w:rPr>
        <w:t xml:space="preserve"> Saskaņā ar pašvaldību (Amatas, Babītes, Cēsu, Garkalnes, Jūrmalas, Ozolnieku, Rīgas, Saulkrastu) sniegto informāciju, TUA saņēmējiem, kuri kā TUA saņemšanas iemeslu ir norādījuši nekustamā īpašuma iegādi, 2015.gadā ir aprēķināts nekustamā īpašuma nodoklis 3,4 milj. </w:t>
      </w:r>
      <w:proofErr w:type="spellStart"/>
      <w:r w:rsidRPr="00D22CD2">
        <w:rPr>
          <w:rFonts w:ascii="Times New Roman" w:hAnsi="Times New Roman"/>
          <w:i/>
          <w:sz w:val="26"/>
          <w:szCs w:val="26"/>
        </w:rPr>
        <w:t>euro</w:t>
      </w:r>
      <w:proofErr w:type="spellEnd"/>
      <w:r w:rsidRPr="00D22CD2">
        <w:rPr>
          <w:rFonts w:ascii="Times New Roman" w:hAnsi="Times New Roman"/>
          <w:sz w:val="26"/>
          <w:szCs w:val="26"/>
        </w:rPr>
        <w:t xml:space="preserve"> apmērā.</w:t>
      </w:r>
      <w:proofErr w:type="gramStart"/>
      <w:r w:rsidRPr="00D22CD2">
        <w:rPr>
          <w:rFonts w:ascii="Times New Roman" w:hAnsi="Times New Roman"/>
          <w:sz w:val="26"/>
          <w:szCs w:val="26"/>
        </w:rPr>
        <w:t xml:space="preserve">  </w:t>
      </w:r>
      <w:proofErr w:type="gramEnd"/>
      <w:r w:rsidRPr="00D22CD2">
        <w:rPr>
          <w:rFonts w:ascii="Times New Roman" w:hAnsi="Times New Roman"/>
          <w:sz w:val="26"/>
          <w:szCs w:val="26"/>
        </w:rPr>
        <w:t xml:space="preserve">Nekustamā īpašuma nodokļa veidā TUA pieteicēji 2015.gadā pašvaldību budžetos (8 pašvaldībās ar lielāko TUA pieteicēju darījumu skaitu) iemaksāja 1,2 milj. </w:t>
      </w:r>
      <w:proofErr w:type="spellStart"/>
      <w:r w:rsidRPr="00D22CD2">
        <w:rPr>
          <w:rFonts w:ascii="Times New Roman" w:hAnsi="Times New Roman"/>
          <w:i/>
          <w:sz w:val="26"/>
          <w:szCs w:val="26"/>
        </w:rPr>
        <w:t>euro</w:t>
      </w:r>
      <w:proofErr w:type="spellEnd"/>
      <w:r w:rsidRPr="00D22CD2">
        <w:rPr>
          <w:rFonts w:ascii="Times New Roman" w:hAnsi="Times New Roman"/>
          <w:sz w:val="26"/>
          <w:szCs w:val="26"/>
        </w:rPr>
        <w:t xml:space="preserve">  jeb 0,4% no kopumā valstī iekasētā nekustamā īpašuma nodokļa. Savukārt, uzņēmumi, kuru darbība ir saistīta ar ārzemniekiem, kas saņēmuši TUA investīciju programmas ietvaros, gada laikā nodokļu veidā valsts budžetā 2015.gadā iemaksāja vairāk nekā 58 milj. </w:t>
      </w:r>
      <w:proofErr w:type="spellStart"/>
      <w:r w:rsidRPr="00D22CD2">
        <w:rPr>
          <w:rFonts w:ascii="Times New Roman" w:hAnsi="Times New Roman"/>
          <w:i/>
          <w:sz w:val="26"/>
          <w:szCs w:val="26"/>
        </w:rPr>
        <w:t>euro</w:t>
      </w:r>
      <w:proofErr w:type="spellEnd"/>
      <w:r w:rsidRPr="00D22CD2">
        <w:rPr>
          <w:rFonts w:ascii="Times New Roman" w:hAnsi="Times New Roman"/>
          <w:sz w:val="26"/>
          <w:szCs w:val="26"/>
        </w:rPr>
        <w:t xml:space="preserve">. </w:t>
      </w:r>
    </w:p>
    <w:p w:rsidR="00336222" w:rsidRPr="00336222" w:rsidRDefault="00336222" w:rsidP="00336222">
      <w:pPr>
        <w:pStyle w:val="ListParagraph"/>
        <w:numPr>
          <w:ilvl w:val="0"/>
          <w:numId w:val="3"/>
        </w:numPr>
        <w:spacing w:after="0" w:line="240" w:lineRule="auto"/>
        <w:ind w:left="284" w:hanging="284"/>
        <w:jc w:val="both"/>
        <w:rPr>
          <w:rFonts w:ascii="Times New Roman" w:hAnsi="Times New Roman"/>
          <w:sz w:val="26"/>
          <w:szCs w:val="26"/>
        </w:rPr>
      </w:pPr>
      <w:r w:rsidRPr="008C1375">
        <w:rPr>
          <w:rFonts w:ascii="Times New Roman" w:hAnsi="Times New Roman"/>
          <w:sz w:val="26"/>
          <w:szCs w:val="26"/>
        </w:rPr>
        <w:lastRenderedPageBreak/>
        <w:t xml:space="preserve">Ar investīciju programma ietekmē valsts budžetu gan tieši, gan pakārtoti. Tiešā ietekme ir saistīta ar visiem maksājumiem valsts budžetā, kas ir saistīta ar TUA saņemšanu. Ietekme uz pašvaldībām ir vērtējama kā dažāda un vairākas pašvaldības atzīst, ka grozījumu Imigrācijas likumā, kas stājās spēkā 2014.gada 1.septembrī, ietekme uz sociālo un ekonomisko situāciju pašvaldībās ir vērtējama kā nebūtiska. Vienlaikus, dažas pašvaldības norāda TUA saņēmēju pozitīvo ietekmi. </w:t>
      </w:r>
      <w:proofErr w:type="gramStart"/>
      <w:r w:rsidRPr="008C1375">
        <w:rPr>
          <w:rFonts w:ascii="Times New Roman" w:hAnsi="Times New Roman"/>
          <w:sz w:val="26"/>
          <w:szCs w:val="26"/>
        </w:rPr>
        <w:t>Piemērām,</w:t>
      </w:r>
      <w:proofErr w:type="gramEnd"/>
      <w:r w:rsidRPr="008C1375">
        <w:rPr>
          <w:rFonts w:ascii="Times New Roman" w:hAnsi="Times New Roman"/>
          <w:sz w:val="26"/>
          <w:szCs w:val="26"/>
        </w:rPr>
        <w:t xml:space="preserve"> saskaņā ar Babītes novada pašvaldības pausto viedokli, TUA saņēmēji sociālo situāciju pašvaldībā neietekmē, toties, pozitīvi ietekmē ekonomisko situāciju pašvaldībā, jo pieaug m</w:t>
      </w:r>
      <w:r w:rsidR="00AB3345">
        <w:rPr>
          <w:rFonts w:ascii="Times New Roman" w:hAnsi="Times New Roman"/>
          <w:sz w:val="26"/>
          <w:szCs w:val="26"/>
        </w:rPr>
        <w:t>aksātspējīgo iedzīvotāju skaits;</w:t>
      </w:r>
      <w:r w:rsidRPr="003014A1">
        <w:rPr>
          <w:rStyle w:val="FootnoteReference"/>
          <w:rFonts w:ascii="Times New Roman" w:hAnsi="Times New Roman"/>
          <w:sz w:val="26"/>
          <w:szCs w:val="26"/>
        </w:rPr>
        <w:footnoteReference w:id="10"/>
      </w:r>
    </w:p>
    <w:p w:rsidR="00AB3AEF" w:rsidRPr="00336222" w:rsidRDefault="00AB3AEF" w:rsidP="00336222">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A5099F">
        <w:rPr>
          <w:rFonts w:ascii="Times New Roman" w:hAnsi="Times New Roman"/>
          <w:sz w:val="26"/>
          <w:szCs w:val="26"/>
          <w:lang w:eastAsia="lv-LV"/>
        </w:rPr>
        <w:t>2014.gada 2.pusgadā, 2015.gadā un 2016.gada 1.pusgadā pirmreizējo TUA pieteikumu skaits un investīciju apjoms ir samazinājies visos TUA ieguves veidos. Līdz ar to var secināt, ka 2014.gada 1.septembrī spēkā stājušies grozījumi Imigrācijas likuma 23.pantā nav vienīgais iemesls vispārējam investīciju apjoma kritumam. Kā vienu no būtiskākajiem iemesliem var minēt ekonomiskās situācijas pasliktināšanos Krievijas Federācijā. Šo tendenci var pamanīt arī aplūkojot TUA pieteicēju izcelsmes valstis. Ja 2012.gadā Krievijas Federācijas pilsoņu īpatsvars starp TUA pieteicējiem bija 72%, tad 2013.gadā –68,9%, 2014.gadā – 66,9%,</w:t>
      </w:r>
      <w:proofErr w:type="gramStart"/>
      <w:r w:rsidRPr="00A5099F">
        <w:rPr>
          <w:rFonts w:ascii="Times New Roman" w:hAnsi="Times New Roman"/>
          <w:sz w:val="26"/>
          <w:szCs w:val="26"/>
          <w:lang w:eastAsia="lv-LV"/>
        </w:rPr>
        <w:t xml:space="preserve">  </w:t>
      </w:r>
      <w:proofErr w:type="gramEnd"/>
      <w:r w:rsidRPr="00A5099F">
        <w:rPr>
          <w:rFonts w:ascii="Times New Roman" w:hAnsi="Times New Roman"/>
          <w:sz w:val="26"/>
          <w:szCs w:val="26"/>
          <w:lang w:eastAsia="lv-LV"/>
        </w:rPr>
        <w:t>2015.gadā – 56%, bet 2016.gada 1.pusgadā – 58%</w:t>
      </w:r>
      <w:r w:rsidR="00AB3345">
        <w:rPr>
          <w:rFonts w:ascii="Times New Roman" w:hAnsi="Times New Roman"/>
          <w:sz w:val="26"/>
          <w:szCs w:val="26"/>
          <w:lang w:eastAsia="lv-LV"/>
        </w:rPr>
        <w:t>;</w:t>
      </w:r>
    </w:p>
    <w:p w:rsidR="00AB3AEF" w:rsidRPr="007A1E2F" w:rsidRDefault="00AB3AEF"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7A1E2F">
        <w:rPr>
          <w:rFonts w:ascii="Times New Roman" w:hAnsi="Times New Roman"/>
          <w:sz w:val="26"/>
          <w:szCs w:val="26"/>
        </w:rPr>
        <w:t xml:space="preserve">2016.gada 1.jūlijā spēkā stājās grozījumi Imigrācijas likumā, kas, cita starpā, noteica, ka ārzemniekam ir tiesības pieprasīt TUA uz laiku, kas nepārsniedz piecus gadus, ja viņš Rīgā, Jūrmalā vai Ādažu, Babītes, Baldones, Carnikavas, Garkalnes, Ikšķiles, Ķekavas, Mārupes, Olaines, Ropažu, Salaspils, Saulkrastu vai Stopiņu novadā ir iegādājies un viņam pieder viens funkcionāli saistīts nekustamais īpašums (izņemot, ja nekustamais īpašums ir neapbūvēta zeme), kura vērtība ir vismaz 250 000 EU. Savukārt ārpus šīm teritorijām - ne </w:t>
      </w:r>
      <w:proofErr w:type="gramStart"/>
      <w:r w:rsidRPr="007A1E2F">
        <w:rPr>
          <w:rFonts w:ascii="Times New Roman" w:hAnsi="Times New Roman"/>
          <w:sz w:val="26"/>
          <w:szCs w:val="26"/>
        </w:rPr>
        <w:t>vairāk kā divi nekustamie īpašumi</w:t>
      </w:r>
      <w:proofErr w:type="gramEnd"/>
      <w:r w:rsidRPr="007A1E2F">
        <w:rPr>
          <w:rFonts w:ascii="Times New Roman" w:hAnsi="Times New Roman"/>
          <w:sz w:val="26"/>
          <w:szCs w:val="26"/>
        </w:rPr>
        <w:t xml:space="preserve">, kur katrs no tiem ir viens funkcionāli saistīts nekustamais īpašums un kuru kopējā vērtība ir vismaz 250 000 EUR (līdz šim bija noteikts, ka ārzemnieks drīkst iegādāties vienu funkcionāli saistītu apbūvētu nekustamo īpašumu, kura vērtība ir ne mazāka par 250 tūkstošiem EUR). Minētie grozījumiem ir potenciāls palielināt TUA pieteicēju interesi par nekustamā īpašuma iegādes iespējām reģionos. </w:t>
      </w:r>
    </w:p>
    <w:p w:rsidR="001A1983" w:rsidRDefault="001A1983" w:rsidP="00AB3AEF">
      <w:pPr>
        <w:pStyle w:val="ListParagraph"/>
        <w:numPr>
          <w:ilvl w:val="0"/>
          <w:numId w:val="3"/>
        </w:numPr>
        <w:spacing w:after="60" w:line="240" w:lineRule="auto"/>
        <w:ind w:left="284" w:hanging="284"/>
        <w:contextualSpacing w:val="0"/>
        <w:jc w:val="both"/>
        <w:rPr>
          <w:rFonts w:ascii="Times New Roman" w:hAnsi="Times New Roman"/>
          <w:sz w:val="26"/>
          <w:szCs w:val="26"/>
        </w:rPr>
      </w:pPr>
      <w:r w:rsidRPr="00862873">
        <w:rPr>
          <w:rFonts w:ascii="Times New Roman" w:hAnsi="Times New Roman"/>
          <w:sz w:val="26"/>
          <w:szCs w:val="26"/>
        </w:rPr>
        <w:t>Izvērtējot turpmāko investīciju programmas pilnveidošanu, jāņem vērā tas, kā iespējamā investoru skaita palielināšanās ietekmēs valsts drošības situāciju.</w:t>
      </w:r>
    </w:p>
    <w:p w:rsidR="00B632A7" w:rsidRDefault="00B632A7" w:rsidP="00534DFC">
      <w:pPr>
        <w:tabs>
          <w:tab w:val="left" w:pos="5123"/>
          <w:tab w:val="left" w:pos="6431"/>
        </w:tabs>
        <w:spacing w:after="120" w:line="240" w:lineRule="auto"/>
        <w:rPr>
          <w:rFonts w:ascii="Times New Roman" w:hAnsi="Times New Roman"/>
          <w:sz w:val="26"/>
          <w:szCs w:val="26"/>
        </w:rPr>
      </w:pPr>
    </w:p>
    <w:p w:rsidR="001A1983" w:rsidRPr="008625ED" w:rsidRDefault="001A1983" w:rsidP="001A1983">
      <w:pPr>
        <w:tabs>
          <w:tab w:val="left" w:pos="5123"/>
          <w:tab w:val="left" w:pos="6431"/>
        </w:tabs>
        <w:spacing w:after="120" w:line="240" w:lineRule="auto"/>
        <w:rPr>
          <w:rFonts w:ascii="Times New Roman" w:hAnsi="Times New Roman"/>
          <w:sz w:val="26"/>
          <w:szCs w:val="26"/>
        </w:rPr>
      </w:pPr>
      <w:r w:rsidRPr="008625ED">
        <w:rPr>
          <w:rFonts w:ascii="Times New Roman" w:hAnsi="Times New Roman"/>
          <w:sz w:val="26"/>
          <w:szCs w:val="26"/>
        </w:rPr>
        <w:t>Ministru prezident</w:t>
      </w:r>
      <w:r>
        <w:rPr>
          <w:rFonts w:ascii="Times New Roman" w:hAnsi="Times New Roman"/>
          <w:sz w:val="26"/>
          <w:szCs w:val="26"/>
        </w:rPr>
        <w:t>s</w:t>
      </w:r>
      <w:r w:rsidRPr="008625ED">
        <w:rPr>
          <w:rFonts w:ascii="Times New Roman" w:hAnsi="Times New Roman"/>
          <w:sz w:val="26"/>
          <w:szCs w:val="26"/>
        </w:rPr>
        <w:tab/>
      </w:r>
      <w:r w:rsidRPr="008625ED">
        <w:rPr>
          <w:rFonts w:ascii="Times New Roman" w:hAnsi="Times New Roman"/>
          <w:sz w:val="26"/>
          <w:szCs w:val="26"/>
        </w:rPr>
        <w:tab/>
      </w:r>
      <w:r>
        <w:rPr>
          <w:rFonts w:ascii="Times New Roman" w:hAnsi="Times New Roman"/>
          <w:sz w:val="26"/>
          <w:szCs w:val="26"/>
        </w:rPr>
        <w:t>M. Kučinskis</w:t>
      </w:r>
    </w:p>
    <w:p w:rsidR="001A1983" w:rsidRPr="008625ED" w:rsidRDefault="001A1983" w:rsidP="001A1983">
      <w:pPr>
        <w:tabs>
          <w:tab w:val="left" w:pos="6758"/>
        </w:tabs>
        <w:spacing w:after="120" w:line="240" w:lineRule="auto"/>
        <w:rPr>
          <w:rFonts w:ascii="Times New Roman" w:hAnsi="Times New Roman"/>
          <w:sz w:val="26"/>
          <w:szCs w:val="26"/>
        </w:rPr>
      </w:pPr>
    </w:p>
    <w:p w:rsidR="001A1983" w:rsidRPr="008625ED" w:rsidRDefault="001A1983" w:rsidP="001A1983">
      <w:pPr>
        <w:tabs>
          <w:tab w:val="left" w:pos="6758"/>
        </w:tabs>
        <w:spacing w:after="120" w:line="240" w:lineRule="auto"/>
        <w:rPr>
          <w:rFonts w:ascii="Times New Roman" w:hAnsi="Times New Roman"/>
          <w:sz w:val="26"/>
          <w:szCs w:val="26"/>
        </w:rPr>
      </w:pPr>
      <w:r w:rsidRPr="008625ED">
        <w:rPr>
          <w:rFonts w:ascii="Times New Roman" w:hAnsi="Times New Roman"/>
          <w:sz w:val="26"/>
          <w:szCs w:val="26"/>
        </w:rPr>
        <w:t>Iesniedzējs:</w:t>
      </w:r>
    </w:p>
    <w:p w:rsidR="001A1983" w:rsidRPr="008625ED" w:rsidRDefault="001A1983" w:rsidP="001A1983">
      <w:pPr>
        <w:tabs>
          <w:tab w:val="left" w:pos="6431"/>
          <w:tab w:val="left" w:pos="6758"/>
        </w:tabs>
        <w:spacing w:after="120" w:line="240" w:lineRule="auto"/>
        <w:rPr>
          <w:rFonts w:ascii="Times New Roman" w:hAnsi="Times New Roman"/>
          <w:sz w:val="26"/>
          <w:szCs w:val="26"/>
        </w:rPr>
      </w:pPr>
      <w:r w:rsidRPr="008625ED">
        <w:rPr>
          <w:rFonts w:ascii="Times New Roman" w:hAnsi="Times New Roman"/>
          <w:sz w:val="26"/>
          <w:szCs w:val="26"/>
        </w:rPr>
        <w:t xml:space="preserve">Iekšlietu ministrs </w:t>
      </w:r>
      <w:r w:rsidRPr="008625ED">
        <w:rPr>
          <w:rFonts w:ascii="Times New Roman" w:hAnsi="Times New Roman"/>
          <w:sz w:val="26"/>
          <w:szCs w:val="26"/>
        </w:rPr>
        <w:tab/>
        <w:t>R. Kozlovskis</w:t>
      </w:r>
    </w:p>
    <w:p w:rsidR="002144AF" w:rsidRDefault="002144AF" w:rsidP="001A1983">
      <w:pPr>
        <w:spacing w:after="120" w:line="240" w:lineRule="auto"/>
        <w:ind w:left="720" w:hanging="720"/>
        <w:rPr>
          <w:rFonts w:ascii="Times New Roman" w:hAnsi="Times New Roman"/>
          <w:sz w:val="26"/>
          <w:szCs w:val="26"/>
        </w:rPr>
      </w:pPr>
    </w:p>
    <w:p w:rsidR="001A1983" w:rsidRPr="008625ED" w:rsidRDefault="001A1983" w:rsidP="001A1983">
      <w:pPr>
        <w:spacing w:after="120" w:line="240" w:lineRule="auto"/>
        <w:ind w:left="720" w:hanging="720"/>
        <w:rPr>
          <w:rFonts w:ascii="Times New Roman" w:hAnsi="Times New Roman"/>
          <w:sz w:val="26"/>
          <w:szCs w:val="26"/>
        </w:rPr>
      </w:pPr>
      <w:r w:rsidRPr="008625ED">
        <w:rPr>
          <w:rFonts w:ascii="Times New Roman" w:hAnsi="Times New Roman"/>
          <w:sz w:val="26"/>
          <w:szCs w:val="26"/>
        </w:rPr>
        <w:t>Vīza:</w:t>
      </w:r>
    </w:p>
    <w:p w:rsidR="001A1983" w:rsidRPr="008625ED" w:rsidRDefault="001A1983" w:rsidP="001A1983">
      <w:pPr>
        <w:tabs>
          <w:tab w:val="left" w:pos="6431"/>
        </w:tabs>
        <w:spacing w:after="120" w:line="240" w:lineRule="auto"/>
        <w:ind w:left="720" w:hanging="720"/>
        <w:rPr>
          <w:rFonts w:ascii="Times New Roman" w:hAnsi="Times New Roman"/>
          <w:sz w:val="26"/>
          <w:szCs w:val="26"/>
        </w:rPr>
      </w:pPr>
      <w:r w:rsidRPr="008625ED">
        <w:rPr>
          <w:rFonts w:ascii="Times New Roman" w:hAnsi="Times New Roman"/>
          <w:sz w:val="26"/>
          <w:szCs w:val="26"/>
        </w:rPr>
        <w:t>Valsts sekretāre</w:t>
      </w:r>
      <w:r w:rsidRPr="008625ED">
        <w:rPr>
          <w:rFonts w:ascii="Times New Roman" w:hAnsi="Times New Roman"/>
          <w:sz w:val="26"/>
          <w:szCs w:val="26"/>
        </w:rPr>
        <w:tab/>
      </w:r>
      <w:r w:rsidRPr="008625ED">
        <w:rPr>
          <w:rFonts w:ascii="Times New Roman" w:hAnsi="Times New Roman"/>
          <w:sz w:val="26"/>
          <w:szCs w:val="26"/>
        </w:rPr>
        <w:tab/>
        <w:t>I. Pētersone-Godmane</w:t>
      </w:r>
    </w:p>
    <w:p w:rsidR="001A1983" w:rsidRPr="00AB3345" w:rsidRDefault="00AB3345" w:rsidP="001A1983">
      <w:pPr>
        <w:spacing w:after="0" w:line="240" w:lineRule="auto"/>
        <w:ind w:right="-329"/>
        <w:jc w:val="both"/>
        <w:rPr>
          <w:rFonts w:ascii="Times New Roman" w:hAnsi="Times New Roman"/>
          <w:sz w:val="20"/>
          <w:szCs w:val="20"/>
        </w:rPr>
      </w:pPr>
      <w:r>
        <w:rPr>
          <w:rFonts w:ascii="Times New Roman" w:hAnsi="Times New Roman"/>
          <w:sz w:val="20"/>
          <w:szCs w:val="20"/>
        </w:rPr>
        <w:t>0</w:t>
      </w:r>
      <w:r w:rsidR="008060C6">
        <w:rPr>
          <w:rFonts w:ascii="Times New Roman" w:hAnsi="Times New Roman"/>
          <w:sz w:val="20"/>
          <w:szCs w:val="20"/>
        </w:rPr>
        <w:t>6</w:t>
      </w:r>
      <w:r>
        <w:rPr>
          <w:rFonts w:ascii="Times New Roman" w:hAnsi="Times New Roman"/>
          <w:sz w:val="20"/>
          <w:szCs w:val="20"/>
        </w:rPr>
        <w:t>.10.2016</w:t>
      </w:r>
      <w:r w:rsidR="001A1983" w:rsidRPr="00AB3345">
        <w:rPr>
          <w:rFonts w:ascii="Times New Roman" w:hAnsi="Times New Roman"/>
          <w:sz w:val="20"/>
          <w:szCs w:val="20"/>
        </w:rPr>
        <w:t xml:space="preserve">. </w:t>
      </w:r>
      <w:r w:rsidR="008060C6">
        <w:rPr>
          <w:rFonts w:ascii="Times New Roman" w:hAnsi="Times New Roman"/>
          <w:sz w:val="20"/>
          <w:szCs w:val="20"/>
        </w:rPr>
        <w:t>13:</w:t>
      </w:r>
      <w:r w:rsidR="009C3257">
        <w:rPr>
          <w:rFonts w:ascii="Times New Roman" w:hAnsi="Times New Roman"/>
          <w:sz w:val="20"/>
          <w:szCs w:val="20"/>
        </w:rPr>
        <w:t>20</w:t>
      </w:r>
    </w:p>
    <w:p w:rsidR="001A1983" w:rsidRPr="00AB3345" w:rsidRDefault="0015191B" w:rsidP="001A1983">
      <w:pPr>
        <w:spacing w:after="0" w:line="240" w:lineRule="auto"/>
        <w:ind w:right="-329"/>
        <w:jc w:val="both"/>
        <w:rPr>
          <w:rFonts w:ascii="Times New Roman" w:hAnsi="Times New Roman"/>
          <w:sz w:val="20"/>
          <w:szCs w:val="20"/>
        </w:rPr>
      </w:pPr>
      <w:r>
        <w:rPr>
          <w:rFonts w:ascii="Times New Roman" w:hAnsi="Times New Roman"/>
          <w:sz w:val="20"/>
          <w:szCs w:val="20"/>
        </w:rPr>
        <w:t>59</w:t>
      </w:r>
      <w:r w:rsidR="008060C6">
        <w:rPr>
          <w:rFonts w:ascii="Times New Roman" w:hAnsi="Times New Roman"/>
          <w:sz w:val="20"/>
          <w:szCs w:val="20"/>
        </w:rPr>
        <w:t>11</w:t>
      </w:r>
      <w:bookmarkStart w:id="17" w:name="_GoBack"/>
      <w:bookmarkEnd w:id="17"/>
    </w:p>
    <w:p w:rsidR="001A1983" w:rsidRPr="00AB3345" w:rsidRDefault="001A1983" w:rsidP="001A1983">
      <w:pPr>
        <w:spacing w:after="0" w:line="240" w:lineRule="auto"/>
        <w:ind w:right="-329"/>
        <w:rPr>
          <w:rFonts w:ascii="Times New Roman" w:hAnsi="Times New Roman"/>
          <w:sz w:val="20"/>
          <w:szCs w:val="20"/>
        </w:rPr>
      </w:pPr>
      <w:r w:rsidRPr="00AB3345">
        <w:rPr>
          <w:rFonts w:ascii="Times New Roman" w:hAnsi="Times New Roman"/>
          <w:sz w:val="20"/>
          <w:szCs w:val="20"/>
        </w:rPr>
        <w:t xml:space="preserve">I. </w:t>
      </w:r>
      <w:proofErr w:type="spellStart"/>
      <w:r w:rsidRPr="00AB3345">
        <w:rPr>
          <w:rFonts w:ascii="Times New Roman" w:hAnsi="Times New Roman"/>
          <w:sz w:val="20"/>
          <w:szCs w:val="20"/>
        </w:rPr>
        <w:t>Briede</w:t>
      </w:r>
      <w:proofErr w:type="spellEnd"/>
      <w:r w:rsidRPr="00AB3345">
        <w:rPr>
          <w:rFonts w:ascii="Times New Roman" w:hAnsi="Times New Roman"/>
          <w:sz w:val="20"/>
          <w:szCs w:val="20"/>
        </w:rPr>
        <w:t>, 67219546</w:t>
      </w:r>
    </w:p>
    <w:p w:rsidR="00003174" w:rsidRPr="002B4D22" w:rsidRDefault="00BD57AE" w:rsidP="0015191B">
      <w:pPr>
        <w:spacing w:after="0" w:line="240" w:lineRule="auto"/>
        <w:ind w:right="-329"/>
        <w:rPr>
          <w:rFonts w:ascii="Times New Roman" w:hAnsi="Times New Roman"/>
          <w:color w:val="000000"/>
          <w:sz w:val="24"/>
          <w:szCs w:val="24"/>
        </w:rPr>
      </w:pPr>
      <w:hyperlink r:id="rId15" w:history="1">
        <w:r w:rsidR="001A1983" w:rsidRPr="00AB3345">
          <w:rPr>
            <w:rFonts w:ascii="Times New Roman" w:hAnsi="Times New Roman"/>
            <w:sz w:val="20"/>
            <w:szCs w:val="20"/>
          </w:rPr>
          <w:t>ilze.briede@pmlp.gov.lv</w:t>
        </w:r>
      </w:hyperlink>
    </w:p>
    <w:sectPr w:rsidR="00003174" w:rsidRPr="002B4D22" w:rsidSect="00D22CD2">
      <w:headerReference w:type="even" r:id="rId16"/>
      <w:headerReference w:type="default" r:id="rId17"/>
      <w:footerReference w:type="default" r:id="rId18"/>
      <w:footerReference w:type="first" r:id="rId19"/>
      <w:pgSz w:w="11906" w:h="16838"/>
      <w:pgMar w:top="1440" w:right="851" w:bottom="426" w:left="1797" w:header="709" w:footer="35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F88A15" w15:done="0"/>
  <w15:commentEx w15:paraId="65AD1C99" w15:done="0"/>
  <w15:commentEx w15:paraId="26FE9C88" w15:done="0"/>
  <w15:commentEx w15:paraId="006D069A" w15:done="0"/>
  <w15:commentEx w15:paraId="2E59B72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3FD" w:rsidRDefault="003403FD" w:rsidP="006F61F5">
      <w:pPr>
        <w:spacing w:after="0" w:line="240" w:lineRule="auto"/>
      </w:pPr>
      <w:r>
        <w:separator/>
      </w:r>
    </w:p>
  </w:endnote>
  <w:endnote w:type="continuationSeparator" w:id="0">
    <w:p w:rsidR="003403FD" w:rsidRDefault="003403FD" w:rsidP="006F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3B" w:rsidRPr="00801226" w:rsidRDefault="00DC493B" w:rsidP="00801226">
    <w:pPr>
      <w:spacing w:after="0" w:line="240" w:lineRule="auto"/>
      <w:jc w:val="both"/>
      <w:rPr>
        <w:rFonts w:ascii="Times New Roman" w:hAnsi="Times New Roman"/>
        <w:sz w:val="20"/>
        <w:szCs w:val="20"/>
      </w:rPr>
    </w:pPr>
    <w:r>
      <w:rPr>
        <w:rFonts w:ascii="Times New Roman" w:hAnsi="Times New Roman"/>
        <w:sz w:val="20"/>
        <w:szCs w:val="20"/>
      </w:rPr>
      <w:t>IEMZino_</w:t>
    </w:r>
    <w:r w:rsidR="002144AF">
      <w:rPr>
        <w:rFonts w:ascii="Times New Roman" w:hAnsi="Times New Roman"/>
        <w:sz w:val="20"/>
        <w:szCs w:val="20"/>
      </w:rPr>
      <w:t>0</w:t>
    </w:r>
    <w:r w:rsidR="008060C6">
      <w:rPr>
        <w:rFonts w:ascii="Times New Roman" w:hAnsi="Times New Roman"/>
        <w:sz w:val="20"/>
        <w:szCs w:val="20"/>
      </w:rPr>
      <w:t>6</w:t>
    </w:r>
    <w:r w:rsidR="002144AF">
      <w:rPr>
        <w:rFonts w:ascii="Times New Roman" w:hAnsi="Times New Roman"/>
        <w:sz w:val="20"/>
        <w:szCs w:val="20"/>
      </w:rPr>
      <w:t>10</w:t>
    </w:r>
    <w:r>
      <w:rPr>
        <w:rFonts w:ascii="Times New Roman" w:hAnsi="Times New Roman"/>
        <w:sz w:val="20"/>
        <w:szCs w:val="20"/>
      </w:rPr>
      <w:t xml:space="preserve">16;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3B" w:rsidRPr="00801226" w:rsidRDefault="00DC493B" w:rsidP="006D51E5">
    <w:pPr>
      <w:spacing w:after="0" w:line="240" w:lineRule="auto"/>
      <w:jc w:val="both"/>
      <w:rPr>
        <w:rFonts w:ascii="Times New Roman" w:hAnsi="Times New Roman"/>
        <w:sz w:val="20"/>
        <w:szCs w:val="20"/>
      </w:rPr>
    </w:pPr>
    <w:r>
      <w:rPr>
        <w:rFonts w:ascii="Times New Roman" w:hAnsi="Times New Roman"/>
        <w:sz w:val="20"/>
        <w:szCs w:val="20"/>
      </w:rPr>
      <w:t>IEMZino_</w:t>
    </w:r>
    <w:r w:rsidR="002144AF">
      <w:rPr>
        <w:rFonts w:ascii="Times New Roman" w:hAnsi="Times New Roman"/>
        <w:sz w:val="20"/>
        <w:szCs w:val="20"/>
      </w:rPr>
      <w:t>0</w:t>
    </w:r>
    <w:r w:rsidR="008060C6">
      <w:rPr>
        <w:rFonts w:ascii="Times New Roman" w:hAnsi="Times New Roman"/>
        <w:sz w:val="20"/>
        <w:szCs w:val="20"/>
      </w:rPr>
      <w:t>6</w:t>
    </w:r>
    <w:r w:rsidR="002144AF">
      <w:rPr>
        <w:rFonts w:ascii="Times New Roman" w:hAnsi="Times New Roman"/>
        <w:sz w:val="20"/>
        <w:szCs w:val="20"/>
      </w:rPr>
      <w:t>10</w:t>
    </w:r>
    <w:r>
      <w:rPr>
        <w:rFonts w:ascii="Times New Roman" w:hAnsi="Times New Roman"/>
        <w:sz w:val="20"/>
        <w:szCs w:val="20"/>
      </w:rPr>
      <w:t xml:space="preserve">16; Informatīvais ziņojums par </w:t>
    </w:r>
    <w:r w:rsidRPr="00282BC6">
      <w:rPr>
        <w:rFonts w:ascii="Times New Roman" w:hAnsi="Times New Roman"/>
        <w:sz w:val="20"/>
        <w:szCs w:val="20"/>
      </w:rPr>
      <w:t>Imigrācijas likuma 23.panta pirmās daļas 3., 28., 29.</w:t>
    </w:r>
    <w:r>
      <w:rPr>
        <w:rFonts w:ascii="Times New Roman" w:hAnsi="Times New Roman"/>
        <w:sz w:val="20"/>
        <w:szCs w:val="20"/>
      </w:rPr>
      <w:t>,</w:t>
    </w:r>
    <w:r w:rsidRPr="00282BC6">
      <w:rPr>
        <w:rFonts w:ascii="Times New Roman" w:hAnsi="Times New Roman"/>
        <w:sz w:val="20"/>
        <w:szCs w:val="20"/>
      </w:rPr>
      <w:t xml:space="preserve"> 30.</w:t>
    </w:r>
    <w:r>
      <w:rPr>
        <w:rFonts w:ascii="Times New Roman" w:hAnsi="Times New Roman"/>
        <w:sz w:val="20"/>
        <w:szCs w:val="20"/>
      </w:rPr>
      <w:t xml:space="preserve"> un 31.</w:t>
    </w:r>
    <w:r w:rsidRPr="00282BC6">
      <w:rPr>
        <w:rFonts w:ascii="Times New Roman" w:hAnsi="Times New Roman"/>
        <w:sz w:val="20"/>
        <w:szCs w:val="20"/>
      </w:rPr>
      <w:t xml:space="preserve">punktā paredzēto noteikumu īstenošanas </w:t>
    </w:r>
    <w:r>
      <w:rPr>
        <w:rFonts w:ascii="Times New Roman" w:hAnsi="Times New Roman"/>
        <w:sz w:val="20"/>
        <w:szCs w:val="20"/>
      </w:rPr>
      <w:t>gaitu un rezultātiem</w:t>
    </w:r>
  </w:p>
  <w:p w:rsidR="00DC493B" w:rsidRPr="006D51E5" w:rsidRDefault="00DC493B" w:rsidP="006D5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3FD" w:rsidRDefault="003403FD" w:rsidP="006F61F5">
      <w:pPr>
        <w:spacing w:after="0" w:line="240" w:lineRule="auto"/>
      </w:pPr>
      <w:r>
        <w:separator/>
      </w:r>
    </w:p>
  </w:footnote>
  <w:footnote w:type="continuationSeparator" w:id="0">
    <w:p w:rsidR="003403FD" w:rsidRDefault="003403FD" w:rsidP="006F61F5">
      <w:pPr>
        <w:spacing w:after="0" w:line="240" w:lineRule="auto"/>
      </w:pPr>
      <w:r>
        <w:continuationSeparator/>
      </w:r>
    </w:p>
  </w:footnote>
  <w:footnote w:id="1">
    <w:p w:rsidR="00AB3AEF" w:rsidRPr="00C107E2" w:rsidRDefault="00AB3AEF" w:rsidP="00AB3AEF">
      <w:pPr>
        <w:pStyle w:val="FootnoteText"/>
        <w:rPr>
          <w:rFonts w:ascii="Times New Roman" w:hAnsi="Times New Roman"/>
        </w:rPr>
      </w:pPr>
      <w:r w:rsidRPr="00C107E2">
        <w:rPr>
          <w:rStyle w:val="FootnoteReference"/>
          <w:rFonts w:ascii="Times New Roman" w:hAnsi="Times New Roman"/>
        </w:rPr>
        <w:footnoteRef/>
      </w:r>
      <w:proofErr w:type="spellStart"/>
      <w:r w:rsidRPr="00C107E2">
        <w:rPr>
          <w:rFonts w:ascii="Times New Roman" w:hAnsi="Times New Roman"/>
        </w:rPr>
        <w:t>KatyaVasileva</w:t>
      </w:r>
      <w:proofErr w:type="spellEnd"/>
      <w:r w:rsidRPr="00C107E2">
        <w:rPr>
          <w:rFonts w:ascii="Times New Roman" w:hAnsi="Times New Roman"/>
        </w:rPr>
        <w:t xml:space="preserve">. </w:t>
      </w:r>
      <w:proofErr w:type="spellStart"/>
      <w:r w:rsidRPr="00C107E2">
        <w:rPr>
          <w:rFonts w:ascii="Times New Roman" w:hAnsi="Times New Roman"/>
        </w:rPr>
        <w:t>Population</w:t>
      </w:r>
      <w:proofErr w:type="spellEnd"/>
      <w:r w:rsidRPr="00C107E2">
        <w:rPr>
          <w:rFonts w:ascii="Times New Roman" w:hAnsi="Times New Roman"/>
        </w:rPr>
        <w:t xml:space="preserve"> </w:t>
      </w:r>
      <w:proofErr w:type="spellStart"/>
      <w:r w:rsidRPr="00C107E2">
        <w:rPr>
          <w:rFonts w:ascii="Times New Roman" w:hAnsi="Times New Roman"/>
        </w:rPr>
        <w:t>and</w:t>
      </w:r>
      <w:proofErr w:type="spellEnd"/>
      <w:r w:rsidRPr="00C107E2">
        <w:rPr>
          <w:rFonts w:ascii="Times New Roman" w:hAnsi="Times New Roman"/>
        </w:rPr>
        <w:t xml:space="preserve"> </w:t>
      </w:r>
      <w:proofErr w:type="spellStart"/>
      <w:r w:rsidRPr="00C107E2">
        <w:rPr>
          <w:rFonts w:ascii="Times New Roman" w:hAnsi="Times New Roman"/>
        </w:rPr>
        <w:t>Social</w:t>
      </w:r>
      <w:proofErr w:type="spellEnd"/>
      <w:r w:rsidRPr="00C107E2">
        <w:rPr>
          <w:rFonts w:ascii="Times New Roman" w:hAnsi="Times New Roman"/>
        </w:rPr>
        <w:t xml:space="preserve"> </w:t>
      </w:r>
      <w:proofErr w:type="spellStart"/>
      <w:r w:rsidRPr="00C107E2">
        <w:rPr>
          <w:rFonts w:ascii="Times New Roman" w:hAnsi="Times New Roman"/>
        </w:rPr>
        <w:t>Conditions</w:t>
      </w:r>
      <w:proofErr w:type="spellEnd"/>
      <w:r w:rsidRPr="00C107E2">
        <w:rPr>
          <w:rFonts w:ascii="Times New Roman" w:hAnsi="Times New Roman"/>
        </w:rPr>
        <w:t xml:space="preserve">. Eurostat. </w:t>
      </w:r>
      <w:proofErr w:type="spellStart"/>
      <w:r w:rsidRPr="00C107E2">
        <w:rPr>
          <w:rFonts w:ascii="Times New Roman" w:hAnsi="Times New Roman"/>
        </w:rPr>
        <w:t>Statistics</w:t>
      </w:r>
      <w:proofErr w:type="spellEnd"/>
      <w:r w:rsidRPr="00C107E2">
        <w:rPr>
          <w:rFonts w:ascii="Times New Roman" w:hAnsi="Times New Roman"/>
        </w:rPr>
        <w:t xml:space="preserve"> </w:t>
      </w:r>
      <w:proofErr w:type="spellStart"/>
      <w:r w:rsidRPr="00C107E2">
        <w:rPr>
          <w:rFonts w:ascii="Times New Roman" w:hAnsi="Times New Roman"/>
        </w:rPr>
        <w:t>in</w:t>
      </w:r>
      <w:proofErr w:type="spellEnd"/>
      <w:r w:rsidRPr="00C107E2">
        <w:rPr>
          <w:rFonts w:ascii="Times New Roman" w:hAnsi="Times New Roman"/>
        </w:rPr>
        <w:t xml:space="preserve"> </w:t>
      </w:r>
      <w:proofErr w:type="spellStart"/>
      <w:r w:rsidRPr="00C107E2">
        <w:rPr>
          <w:rFonts w:ascii="Times New Roman" w:hAnsi="Times New Roman"/>
        </w:rPr>
        <w:t>focus</w:t>
      </w:r>
      <w:proofErr w:type="spellEnd"/>
      <w:r w:rsidRPr="00C107E2">
        <w:rPr>
          <w:rFonts w:ascii="Times New Roman" w:hAnsi="Times New Roman"/>
        </w:rPr>
        <w:t xml:space="preserve">, 31/2012. </w:t>
      </w:r>
      <w:hyperlink r:id="rId1" w:history="1">
        <w:r w:rsidRPr="00C107E2">
          <w:rPr>
            <w:rStyle w:val="Hyperlink"/>
            <w:rFonts w:ascii="Times New Roman" w:hAnsi="Times New Roman"/>
          </w:rPr>
          <w:t>http://epp.eurostat.ec.europa.eu/cache/ITY_OFFPUB/KS-SF-12-031/EN/KS-SF-12-031-EN.PDF</w:t>
        </w:r>
      </w:hyperlink>
    </w:p>
  </w:footnote>
  <w:footnote w:id="2">
    <w:p w:rsidR="00AB3AEF" w:rsidRPr="00C107E2" w:rsidRDefault="00AB3AEF" w:rsidP="00AB3AEF">
      <w:pPr>
        <w:pStyle w:val="FootnoteText"/>
        <w:rPr>
          <w:rFonts w:ascii="Times New Roman" w:hAnsi="Times New Roman"/>
        </w:rPr>
      </w:pPr>
      <w:r w:rsidRPr="00C107E2">
        <w:rPr>
          <w:rStyle w:val="FootnoteReference"/>
          <w:rFonts w:ascii="Times New Roman" w:hAnsi="Times New Roman"/>
        </w:rPr>
        <w:footnoteRef/>
      </w:r>
      <w:r w:rsidRPr="00C107E2">
        <w:rPr>
          <w:rFonts w:ascii="Times New Roman" w:hAnsi="Times New Roman"/>
        </w:rPr>
        <w:t xml:space="preserve"> Konceptuālais ziņojums par imigrācijas politiku. Iekšlietu ministrija, 09.12.2015. Pieejams: http://www.iem.gov.lv/lat/sadarbiba_ar_nvo/diskusiju_dokumenti/?doc=30932</w:t>
      </w:r>
    </w:p>
  </w:footnote>
  <w:footnote w:id="3">
    <w:p w:rsidR="00034C68" w:rsidRPr="005355FA" w:rsidRDefault="00034C68" w:rsidP="00034C68">
      <w:pPr>
        <w:spacing w:after="0" w:line="240" w:lineRule="auto"/>
        <w:jc w:val="both"/>
        <w:rPr>
          <w:rFonts w:ascii="Times New Roman" w:hAnsi="Times New Roman"/>
          <w:sz w:val="20"/>
          <w:szCs w:val="20"/>
        </w:rPr>
      </w:pPr>
      <w:r w:rsidRPr="005355FA">
        <w:rPr>
          <w:rStyle w:val="FootnoteReference"/>
          <w:rFonts w:ascii="Times New Roman" w:hAnsi="Times New Roman"/>
          <w:sz w:val="20"/>
          <w:szCs w:val="20"/>
        </w:rPr>
        <w:footnoteRef/>
      </w:r>
      <w:r w:rsidRPr="005355FA">
        <w:rPr>
          <w:rFonts w:ascii="Times New Roman" w:hAnsi="Times New Roman"/>
          <w:sz w:val="20"/>
          <w:szCs w:val="20"/>
        </w:rPr>
        <w:t xml:space="preserve"> Kanādas investīciju un biznesa konsultāciju uzņēmuma „</w:t>
      </w:r>
      <w:proofErr w:type="spellStart"/>
      <w:r w:rsidRPr="005355FA">
        <w:rPr>
          <w:rFonts w:ascii="Times New Roman" w:hAnsi="Times New Roman"/>
          <w:sz w:val="20"/>
          <w:szCs w:val="20"/>
        </w:rPr>
        <w:t>Raymond</w:t>
      </w:r>
      <w:proofErr w:type="spellEnd"/>
      <w:r w:rsidRPr="005355FA">
        <w:rPr>
          <w:rFonts w:ascii="Times New Roman" w:hAnsi="Times New Roman"/>
          <w:sz w:val="20"/>
          <w:szCs w:val="20"/>
        </w:rPr>
        <w:t xml:space="preserve"> </w:t>
      </w:r>
      <w:proofErr w:type="spellStart"/>
      <w:r w:rsidRPr="005355FA">
        <w:rPr>
          <w:rFonts w:ascii="Times New Roman" w:hAnsi="Times New Roman"/>
          <w:sz w:val="20"/>
          <w:szCs w:val="20"/>
        </w:rPr>
        <w:t>Chabot</w:t>
      </w:r>
      <w:proofErr w:type="spellEnd"/>
      <w:r w:rsidRPr="005355FA">
        <w:rPr>
          <w:rFonts w:ascii="Times New Roman" w:hAnsi="Times New Roman"/>
          <w:sz w:val="20"/>
          <w:szCs w:val="20"/>
        </w:rPr>
        <w:t xml:space="preserve"> </w:t>
      </w:r>
      <w:proofErr w:type="spellStart"/>
      <w:r w:rsidRPr="005355FA">
        <w:rPr>
          <w:rFonts w:ascii="Times New Roman" w:hAnsi="Times New Roman"/>
          <w:sz w:val="20"/>
          <w:szCs w:val="20"/>
        </w:rPr>
        <w:t>Grant</w:t>
      </w:r>
      <w:proofErr w:type="spellEnd"/>
      <w:r w:rsidRPr="005355FA">
        <w:rPr>
          <w:rFonts w:ascii="Times New Roman" w:hAnsi="Times New Roman"/>
          <w:sz w:val="20"/>
          <w:szCs w:val="20"/>
        </w:rPr>
        <w:t xml:space="preserve"> </w:t>
      </w:r>
      <w:proofErr w:type="spellStart"/>
      <w:r w:rsidRPr="005355FA">
        <w:rPr>
          <w:rFonts w:ascii="Times New Roman" w:hAnsi="Times New Roman"/>
          <w:sz w:val="20"/>
          <w:szCs w:val="20"/>
        </w:rPr>
        <w:t>Thornton</w:t>
      </w:r>
      <w:proofErr w:type="spellEnd"/>
      <w:r w:rsidRPr="005355FA">
        <w:rPr>
          <w:rFonts w:ascii="Times New Roman" w:hAnsi="Times New Roman"/>
          <w:sz w:val="20"/>
          <w:szCs w:val="20"/>
        </w:rPr>
        <w:t xml:space="preserve"> LLP” pētījums par uzturēšanās atļauju programmu darbību Latvijā un citur pasaulē, 2013.gads</w:t>
      </w:r>
    </w:p>
  </w:footnote>
  <w:footnote w:id="4">
    <w:p w:rsidR="00034C68" w:rsidRPr="00ED1D1B" w:rsidRDefault="00034C68" w:rsidP="00034C68">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PMLP dati </w:t>
      </w:r>
    </w:p>
  </w:footnote>
  <w:footnote w:id="5">
    <w:p w:rsidR="00AB3AEF" w:rsidRDefault="00AB3AEF" w:rsidP="00AB3AEF">
      <w:pPr>
        <w:pStyle w:val="FootnoteText"/>
      </w:pPr>
      <w:r>
        <w:rPr>
          <w:rStyle w:val="FootnoteReference"/>
        </w:rPr>
        <w:footnoteRef/>
      </w:r>
      <w:r>
        <w:t xml:space="preserve"> </w:t>
      </w:r>
      <w:r w:rsidRPr="005355FA">
        <w:rPr>
          <w:rFonts w:ascii="Times New Roman" w:hAnsi="Times New Roman"/>
        </w:rPr>
        <w:t>Latio Mājokļu tirgus pārskats. Rīga un reģioni, 2016. gada II ceturksnis</w:t>
      </w:r>
      <w:r w:rsidR="00337275">
        <w:rPr>
          <w:rFonts w:ascii="Times New Roman" w:hAnsi="Times New Roman"/>
        </w:rPr>
        <w:t>. Pieejams</w:t>
      </w:r>
      <w:r w:rsidRPr="005355FA">
        <w:rPr>
          <w:rFonts w:ascii="Times New Roman" w:hAnsi="Times New Roman"/>
        </w:rPr>
        <w:t>: http://latio.lv/lv/pakalpojumi/tirgus-analize/majoklu-tirgus/143/latio-majoklu-tirgus-parskats-2016-q2.pdf</w:t>
      </w:r>
    </w:p>
  </w:footnote>
  <w:footnote w:id="6">
    <w:p w:rsidR="00AB3AEF" w:rsidRPr="005C04CC" w:rsidRDefault="00AB3AEF" w:rsidP="00AB3AEF">
      <w:pPr>
        <w:pStyle w:val="FootnoteText"/>
        <w:rPr>
          <w:rFonts w:ascii="Times New Roman" w:hAnsi="Times New Roman"/>
        </w:rPr>
      </w:pPr>
      <w:r>
        <w:rPr>
          <w:rStyle w:val="FootnoteReference"/>
        </w:rPr>
        <w:footnoteRef/>
      </w:r>
      <w:r>
        <w:t xml:space="preserve"> </w:t>
      </w:r>
      <w:r w:rsidRPr="005C04CC">
        <w:rPr>
          <w:rFonts w:ascii="Times New Roman" w:hAnsi="Times New Roman"/>
        </w:rPr>
        <w:t>“</w:t>
      </w:r>
      <w:proofErr w:type="spellStart"/>
      <w:r w:rsidRPr="005C04CC">
        <w:rPr>
          <w:rFonts w:ascii="Times New Roman" w:hAnsi="Times New Roman"/>
        </w:rPr>
        <w:t>Ober</w:t>
      </w:r>
      <w:proofErr w:type="spellEnd"/>
      <w:r w:rsidRPr="005C04CC">
        <w:rPr>
          <w:rFonts w:ascii="Times New Roman" w:hAnsi="Times New Roman"/>
        </w:rPr>
        <w:t xml:space="preserve"> </w:t>
      </w:r>
      <w:proofErr w:type="spellStart"/>
      <w:r w:rsidRPr="005C04CC">
        <w:rPr>
          <w:rFonts w:ascii="Times New Roman" w:hAnsi="Times New Roman"/>
        </w:rPr>
        <w:t>Haus</w:t>
      </w:r>
      <w:proofErr w:type="spellEnd"/>
      <w:r w:rsidRPr="005C04CC">
        <w:rPr>
          <w:rFonts w:ascii="Times New Roman" w:hAnsi="Times New Roman"/>
        </w:rPr>
        <w:t xml:space="preserve"> </w:t>
      </w:r>
      <w:proofErr w:type="spellStart"/>
      <w:r w:rsidRPr="005C04CC">
        <w:rPr>
          <w:rFonts w:ascii="Times New Roman" w:hAnsi="Times New Roman"/>
        </w:rPr>
        <w:t>Real</w:t>
      </w:r>
      <w:proofErr w:type="spellEnd"/>
      <w:r w:rsidRPr="005C04CC">
        <w:rPr>
          <w:rFonts w:ascii="Times New Roman" w:hAnsi="Times New Roman"/>
        </w:rPr>
        <w:t xml:space="preserve"> </w:t>
      </w:r>
      <w:proofErr w:type="spellStart"/>
      <w:r w:rsidRPr="005C04CC">
        <w:rPr>
          <w:rFonts w:ascii="Times New Roman" w:hAnsi="Times New Roman"/>
        </w:rPr>
        <w:t>Estate</w:t>
      </w:r>
      <w:proofErr w:type="spellEnd"/>
      <w:r w:rsidRPr="005C04CC">
        <w:rPr>
          <w:rFonts w:ascii="Times New Roman" w:hAnsi="Times New Roman"/>
        </w:rPr>
        <w:t xml:space="preserve"> </w:t>
      </w:r>
      <w:proofErr w:type="spellStart"/>
      <w:r w:rsidRPr="005C04CC">
        <w:rPr>
          <w:rFonts w:ascii="Times New Roman" w:hAnsi="Times New Roman"/>
        </w:rPr>
        <w:t>Market</w:t>
      </w:r>
      <w:proofErr w:type="spellEnd"/>
      <w:r w:rsidRPr="005C04CC">
        <w:rPr>
          <w:rFonts w:ascii="Times New Roman" w:hAnsi="Times New Roman"/>
        </w:rPr>
        <w:t xml:space="preserve"> </w:t>
      </w:r>
      <w:proofErr w:type="spellStart"/>
      <w:r w:rsidRPr="005C04CC">
        <w:rPr>
          <w:rFonts w:ascii="Times New Roman" w:hAnsi="Times New Roman"/>
        </w:rPr>
        <w:t>Report</w:t>
      </w:r>
      <w:proofErr w:type="spellEnd"/>
      <w:r w:rsidRPr="005C04CC">
        <w:rPr>
          <w:rFonts w:ascii="Times New Roman" w:hAnsi="Times New Roman"/>
        </w:rPr>
        <w:t xml:space="preserve"> ‘16”. Pieejams: http://www.ober-haus.lv/wp-content/uploads/2016/03/Ober-Haus-Market-Report-Baltic-States-2016.pdf</w:t>
      </w:r>
    </w:p>
  </w:footnote>
  <w:footnote w:id="7">
    <w:p w:rsidR="00DC493B" w:rsidRPr="005355FA" w:rsidRDefault="00DC493B">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Drošības policijas 2015.gada publiskais pārskats. Pieejams: http://www.dp.gov.lv/lv/</w:t>
      </w:r>
    </w:p>
  </w:footnote>
  <w:footnote w:id="8">
    <w:p w:rsidR="00AB3AEF" w:rsidRPr="005355FA" w:rsidRDefault="00AB3AEF" w:rsidP="00AB3AEF">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Latvijas Nacionālais attīstības plāns 2014. – 2020. gadam: http://www.varam.gov.lv/lat/pol/ppd/ilgtsp_att/?doc=13858</w:t>
      </w:r>
    </w:p>
  </w:footnote>
  <w:footnote w:id="9">
    <w:p w:rsidR="00AB3AEF" w:rsidRPr="005355FA" w:rsidRDefault="00AB3AEF" w:rsidP="00AB3AEF">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Latvijas Banka: https://www.makroekonomika.lv/latvijas-zelta-vizas-risinajums-istermina-kas-pec-tam</w:t>
      </w:r>
    </w:p>
  </w:footnote>
  <w:footnote w:id="10">
    <w:p w:rsidR="00336222" w:rsidRPr="005355FA" w:rsidRDefault="00336222" w:rsidP="00336222">
      <w:pPr>
        <w:pStyle w:val="FootnoteText"/>
        <w:rPr>
          <w:rFonts w:ascii="Times New Roman" w:hAnsi="Times New Roman"/>
        </w:rPr>
      </w:pPr>
      <w:r w:rsidRPr="005355FA">
        <w:rPr>
          <w:rStyle w:val="FootnoteReference"/>
          <w:rFonts w:ascii="Times New Roman" w:hAnsi="Times New Roman"/>
        </w:rPr>
        <w:footnoteRef/>
      </w:r>
      <w:r w:rsidRPr="005355FA">
        <w:rPr>
          <w:rFonts w:ascii="Times New Roman" w:hAnsi="Times New Roman"/>
        </w:rPr>
        <w:t xml:space="preserve"> Avots: Babītes pašvaldība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3B" w:rsidRDefault="00BD57AE" w:rsidP="008757FB">
    <w:pPr>
      <w:pStyle w:val="Header"/>
      <w:framePr w:wrap="around" w:vAnchor="text" w:hAnchor="margin" w:xAlign="center" w:y="1"/>
      <w:rPr>
        <w:rStyle w:val="PageNumber"/>
      </w:rPr>
    </w:pPr>
    <w:r>
      <w:rPr>
        <w:rStyle w:val="PageNumber"/>
      </w:rPr>
      <w:fldChar w:fldCharType="begin"/>
    </w:r>
    <w:r w:rsidR="00DC493B">
      <w:rPr>
        <w:rStyle w:val="PageNumber"/>
      </w:rPr>
      <w:instrText xml:space="preserve">PAGE  </w:instrText>
    </w:r>
    <w:r>
      <w:rPr>
        <w:rStyle w:val="PageNumber"/>
      </w:rPr>
      <w:fldChar w:fldCharType="end"/>
    </w:r>
  </w:p>
  <w:p w:rsidR="00DC493B" w:rsidRDefault="00DC4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996899"/>
      <w:docPartObj>
        <w:docPartGallery w:val="Page Numbers (Top of Page)"/>
        <w:docPartUnique/>
      </w:docPartObj>
    </w:sdtPr>
    <w:sdtEndPr>
      <w:rPr>
        <w:rFonts w:ascii="Times New Roman" w:eastAsia="PMingLiU-ExtB" w:hAnsi="Times New Roman"/>
        <w:noProof/>
        <w:sz w:val="24"/>
      </w:rPr>
    </w:sdtEndPr>
    <w:sdtContent>
      <w:p w:rsidR="00DC493B" w:rsidRPr="002C5E69" w:rsidRDefault="00BD57AE">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00DC493B"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9C3257">
          <w:rPr>
            <w:rFonts w:ascii="Times New Roman" w:eastAsia="PMingLiU-ExtB" w:hAnsi="Times New Roman"/>
            <w:noProof/>
            <w:sz w:val="24"/>
          </w:rPr>
          <w:t>18</w:t>
        </w:r>
        <w:r w:rsidRPr="002C5E69">
          <w:rPr>
            <w:rFonts w:ascii="Times New Roman" w:eastAsia="PMingLiU-ExtB" w:hAnsi="Times New Roman"/>
            <w:noProof/>
            <w:sz w:val="24"/>
          </w:rPr>
          <w:fldChar w:fldCharType="end"/>
        </w:r>
      </w:p>
    </w:sdtContent>
  </w:sdt>
  <w:p w:rsidR="00DC493B" w:rsidRDefault="00DC493B" w:rsidP="002C5E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E6E"/>
    <w:multiLevelType w:val="hybridMultilevel"/>
    <w:tmpl w:val="2D6E23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F760BF"/>
    <w:multiLevelType w:val="hybridMultilevel"/>
    <w:tmpl w:val="7C60D0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FF468BF"/>
    <w:multiLevelType w:val="hybridMultilevel"/>
    <w:tmpl w:val="50509C5E"/>
    <w:lvl w:ilvl="0" w:tplc="8FAA116E">
      <w:start w:val="1"/>
      <w:numFmt w:val="decimal"/>
      <w:lvlText w:val="%1."/>
      <w:lvlJc w:val="left"/>
      <w:pPr>
        <w:ind w:left="502" w:hanging="360"/>
      </w:pPr>
      <w:rPr>
        <w:rFonts w:ascii="Times New Roman" w:eastAsia="Times New Roman" w:hAnsi="Times New Roman" w:cs="Times New Roman"/>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1A52281"/>
    <w:multiLevelType w:val="hybridMultilevel"/>
    <w:tmpl w:val="BB068F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1"/>
  </w:num>
  <w:num w:numId="5">
    <w:abstractNumId w:val="8"/>
  </w:num>
  <w:num w:numId="6">
    <w:abstractNumId w:val="3"/>
  </w:num>
  <w:num w:numId="7">
    <w:abstractNumId w:val="10"/>
  </w:num>
  <w:num w:numId="8">
    <w:abstractNumId w:val="14"/>
  </w:num>
  <w:num w:numId="9">
    <w:abstractNumId w:val="5"/>
  </w:num>
  <w:num w:numId="10">
    <w:abstractNumId w:val="15"/>
  </w:num>
  <w:num w:numId="11">
    <w:abstractNumId w:val="2"/>
  </w:num>
  <w:num w:numId="12">
    <w:abstractNumId w:val="0"/>
  </w:num>
  <w:num w:numId="13">
    <w:abstractNumId w:val="4"/>
  </w:num>
  <w:num w:numId="14">
    <w:abstractNumId w:val="13"/>
  </w:num>
  <w:num w:numId="15">
    <w:abstractNumId w:val="9"/>
  </w:num>
  <w:num w:numId="16">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is Bukšs">
    <w15:presenceInfo w15:providerId="AD" w15:userId="S-1-5-21-734147818-1251574435-2103723179-73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30F2"/>
    <w:rsid w:val="00002387"/>
    <w:rsid w:val="00002B8D"/>
    <w:rsid w:val="00003174"/>
    <w:rsid w:val="000043AC"/>
    <w:rsid w:val="00005622"/>
    <w:rsid w:val="000057C9"/>
    <w:rsid w:val="00005CF6"/>
    <w:rsid w:val="00010486"/>
    <w:rsid w:val="00010B65"/>
    <w:rsid w:val="0001130B"/>
    <w:rsid w:val="0001682D"/>
    <w:rsid w:val="00016BCD"/>
    <w:rsid w:val="000176AE"/>
    <w:rsid w:val="0002039E"/>
    <w:rsid w:val="000215AD"/>
    <w:rsid w:val="00021AC3"/>
    <w:rsid w:val="00022C4C"/>
    <w:rsid w:val="00023229"/>
    <w:rsid w:val="00025418"/>
    <w:rsid w:val="00026279"/>
    <w:rsid w:val="000322BB"/>
    <w:rsid w:val="00032F75"/>
    <w:rsid w:val="00034C68"/>
    <w:rsid w:val="00034EBC"/>
    <w:rsid w:val="00037578"/>
    <w:rsid w:val="00037B97"/>
    <w:rsid w:val="00040ADE"/>
    <w:rsid w:val="00040F6D"/>
    <w:rsid w:val="00042EAD"/>
    <w:rsid w:val="000438CA"/>
    <w:rsid w:val="00043CFD"/>
    <w:rsid w:val="0004402A"/>
    <w:rsid w:val="000457DF"/>
    <w:rsid w:val="00045F6D"/>
    <w:rsid w:val="00046EA3"/>
    <w:rsid w:val="00046FFB"/>
    <w:rsid w:val="0004717D"/>
    <w:rsid w:val="00047D0D"/>
    <w:rsid w:val="000507AA"/>
    <w:rsid w:val="000536BF"/>
    <w:rsid w:val="00053869"/>
    <w:rsid w:val="000555CD"/>
    <w:rsid w:val="000557D8"/>
    <w:rsid w:val="00055B73"/>
    <w:rsid w:val="00061B22"/>
    <w:rsid w:val="00061C01"/>
    <w:rsid w:val="00061EC9"/>
    <w:rsid w:val="0006249E"/>
    <w:rsid w:val="0006339E"/>
    <w:rsid w:val="000639BC"/>
    <w:rsid w:val="00064451"/>
    <w:rsid w:val="0006503C"/>
    <w:rsid w:val="000658D5"/>
    <w:rsid w:val="0006683A"/>
    <w:rsid w:val="00066E99"/>
    <w:rsid w:val="00066EE5"/>
    <w:rsid w:val="00067EB8"/>
    <w:rsid w:val="00067FCA"/>
    <w:rsid w:val="00070243"/>
    <w:rsid w:val="0007206A"/>
    <w:rsid w:val="000751FD"/>
    <w:rsid w:val="00075B75"/>
    <w:rsid w:val="000779DD"/>
    <w:rsid w:val="00081271"/>
    <w:rsid w:val="00081C89"/>
    <w:rsid w:val="00083569"/>
    <w:rsid w:val="00084DA1"/>
    <w:rsid w:val="000855F8"/>
    <w:rsid w:val="00087B1A"/>
    <w:rsid w:val="000907E4"/>
    <w:rsid w:val="0009111B"/>
    <w:rsid w:val="00092F34"/>
    <w:rsid w:val="00092FB9"/>
    <w:rsid w:val="00094378"/>
    <w:rsid w:val="00094A40"/>
    <w:rsid w:val="0009525D"/>
    <w:rsid w:val="00097C34"/>
    <w:rsid w:val="000A2105"/>
    <w:rsid w:val="000A21BC"/>
    <w:rsid w:val="000A2295"/>
    <w:rsid w:val="000A22EE"/>
    <w:rsid w:val="000A2C52"/>
    <w:rsid w:val="000A56AE"/>
    <w:rsid w:val="000A64FF"/>
    <w:rsid w:val="000B39A7"/>
    <w:rsid w:val="000B44C9"/>
    <w:rsid w:val="000B4756"/>
    <w:rsid w:val="000B5187"/>
    <w:rsid w:val="000B5F1D"/>
    <w:rsid w:val="000B6533"/>
    <w:rsid w:val="000B6A25"/>
    <w:rsid w:val="000B7A63"/>
    <w:rsid w:val="000B7DF2"/>
    <w:rsid w:val="000C2A4F"/>
    <w:rsid w:val="000C3627"/>
    <w:rsid w:val="000C6175"/>
    <w:rsid w:val="000C65C5"/>
    <w:rsid w:val="000C67A3"/>
    <w:rsid w:val="000C6CE5"/>
    <w:rsid w:val="000C6DF8"/>
    <w:rsid w:val="000C7631"/>
    <w:rsid w:val="000C7FE2"/>
    <w:rsid w:val="000D0903"/>
    <w:rsid w:val="000D3B4B"/>
    <w:rsid w:val="000D3FAE"/>
    <w:rsid w:val="000D47B0"/>
    <w:rsid w:val="000D6924"/>
    <w:rsid w:val="000E050B"/>
    <w:rsid w:val="000E25DB"/>
    <w:rsid w:val="000E2E64"/>
    <w:rsid w:val="000E3867"/>
    <w:rsid w:val="000E3AB7"/>
    <w:rsid w:val="000E5618"/>
    <w:rsid w:val="000E567E"/>
    <w:rsid w:val="000F0C1E"/>
    <w:rsid w:val="000F149C"/>
    <w:rsid w:val="000F38A9"/>
    <w:rsid w:val="000F6040"/>
    <w:rsid w:val="000F61C2"/>
    <w:rsid w:val="000F63A2"/>
    <w:rsid w:val="000F7A6B"/>
    <w:rsid w:val="0010084B"/>
    <w:rsid w:val="00102C71"/>
    <w:rsid w:val="00103122"/>
    <w:rsid w:val="00103F08"/>
    <w:rsid w:val="0010475F"/>
    <w:rsid w:val="00104DC0"/>
    <w:rsid w:val="0010537E"/>
    <w:rsid w:val="00105D88"/>
    <w:rsid w:val="0010657D"/>
    <w:rsid w:val="00106A1F"/>
    <w:rsid w:val="00106E98"/>
    <w:rsid w:val="0010742B"/>
    <w:rsid w:val="00111341"/>
    <w:rsid w:val="00111B8B"/>
    <w:rsid w:val="001152FA"/>
    <w:rsid w:val="001156CD"/>
    <w:rsid w:val="0011630A"/>
    <w:rsid w:val="00122476"/>
    <w:rsid w:val="001229A9"/>
    <w:rsid w:val="00123D5E"/>
    <w:rsid w:val="00125522"/>
    <w:rsid w:val="00126CCC"/>
    <w:rsid w:val="001277D6"/>
    <w:rsid w:val="001279BF"/>
    <w:rsid w:val="00127F35"/>
    <w:rsid w:val="00131DE9"/>
    <w:rsid w:val="00132614"/>
    <w:rsid w:val="00132739"/>
    <w:rsid w:val="00132A86"/>
    <w:rsid w:val="001368D1"/>
    <w:rsid w:val="00140144"/>
    <w:rsid w:val="0014255E"/>
    <w:rsid w:val="0014314D"/>
    <w:rsid w:val="00143D38"/>
    <w:rsid w:val="00143F35"/>
    <w:rsid w:val="00144D18"/>
    <w:rsid w:val="00145C57"/>
    <w:rsid w:val="001509DD"/>
    <w:rsid w:val="00150F7D"/>
    <w:rsid w:val="0015127C"/>
    <w:rsid w:val="001515DE"/>
    <w:rsid w:val="0015191B"/>
    <w:rsid w:val="001523EF"/>
    <w:rsid w:val="00152AC4"/>
    <w:rsid w:val="00152DA6"/>
    <w:rsid w:val="001537CF"/>
    <w:rsid w:val="00153A2E"/>
    <w:rsid w:val="00154F1A"/>
    <w:rsid w:val="00156194"/>
    <w:rsid w:val="00156BC2"/>
    <w:rsid w:val="001573E8"/>
    <w:rsid w:val="00160BA2"/>
    <w:rsid w:val="00160DDB"/>
    <w:rsid w:val="0016277F"/>
    <w:rsid w:val="00164178"/>
    <w:rsid w:val="001646E1"/>
    <w:rsid w:val="00164DB5"/>
    <w:rsid w:val="00164F28"/>
    <w:rsid w:val="00165D5F"/>
    <w:rsid w:val="0016601E"/>
    <w:rsid w:val="0016622D"/>
    <w:rsid w:val="00166E78"/>
    <w:rsid w:val="0016704B"/>
    <w:rsid w:val="001670DD"/>
    <w:rsid w:val="00167262"/>
    <w:rsid w:val="0016775F"/>
    <w:rsid w:val="001701A5"/>
    <w:rsid w:val="00170C4C"/>
    <w:rsid w:val="00170E8E"/>
    <w:rsid w:val="00173DFF"/>
    <w:rsid w:val="00174F1D"/>
    <w:rsid w:val="001755DB"/>
    <w:rsid w:val="00177B4E"/>
    <w:rsid w:val="001825DC"/>
    <w:rsid w:val="00182965"/>
    <w:rsid w:val="00183420"/>
    <w:rsid w:val="0018567E"/>
    <w:rsid w:val="00185D50"/>
    <w:rsid w:val="001865A6"/>
    <w:rsid w:val="00190374"/>
    <w:rsid w:val="00190820"/>
    <w:rsid w:val="00190A3C"/>
    <w:rsid w:val="00191005"/>
    <w:rsid w:val="0019210D"/>
    <w:rsid w:val="00194322"/>
    <w:rsid w:val="001943B5"/>
    <w:rsid w:val="001948C3"/>
    <w:rsid w:val="001A1983"/>
    <w:rsid w:val="001A2EEF"/>
    <w:rsid w:val="001A30DC"/>
    <w:rsid w:val="001A36A6"/>
    <w:rsid w:val="001A4442"/>
    <w:rsid w:val="001A4DFA"/>
    <w:rsid w:val="001A5AE4"/>
    <w:rsid w:val="001A5E7E"/>
    <w:rsid w:val="001A6832"/>
    <w:rsid w:val="001A7A4A"/>
    <w:rsid w:val="001B0886"/>
    <w:rsid w:val="001B2188"/>
    <w:rsid w:val="001B272C"/>
    <w:rsid w:val="001B2C24"/>
    <w:rsid w:val="001B5096"/>
    <w:rsid w:val="001B699C"/>
    <w:rsid w:val="001C074B"/>
    <w:rsid w:val="001C1C38"/>
    <w:rsid w:val="001C3956"/>
    <w:rsid w:val="001C5389"/>
    <w:rsid w:val="001C57F3"/>
    <w:rsid w:val="001C75C3"/>
    <w:rsid w:val="001D13FC"/>
    <w:rsid w:val="001D26F1"/>
    <w:rsid w:val="001D5BF5"/>
    <w:rsid w:val="001D5F65"/>
    <w:rsid w:val="001D6BA7"/>
    <w:rsid w:val="001D6FCA"/>
    <w:rsid w:val="001E091D"/>
    <w:rsid w:val="001E1179"/>
    <w:rsid w:val="001E24AB"/>
    <w:rsid w:val="001E26CB"/>
    <w:rsid w:val="001E35C7"/>
    <w:rsid w:val="001E3970"/>
    <w:rsid w:val="001E4859"/>
    <w:rsid w:val="001E711D"/>
    <w:rsid w:val="001E7338"/>
    <w:rsid w:val="001E76DB"/>
    <w:rsid w:val="001F0336"/>
    <w:rsid w:val="001F05BE"/>
    <w:rsid w:val="001F0C6D"/>
    <w:rsid w:val="001F40CF"/>
    <w:rsid w:val="001F5D1A"/>
    <w:rsid w:val="001F63BE"/>
    <w:rsid w:val="001F64EC"/>
    <w:rsid w:val="002000A3"/>
    <w:rsid w:val="00201367"/>
    <w:rsid w:val="002027EF"/>
    <w:rsid w:val="00202E75"/>
    <w:rsid w:val="00204F06"/>
    <w:rsid w:val="00205DC5"/>
    <w:rsid w:val="002069CB"/>
    <w:rsid w:val="00207A55"/>
    <w:rsid w:val="002109DC"/>
    <w:rsid w:val="002121E5"/>
    <w:rsid w:val="002129FB"/>
    <w:rsid w:val="00212C08"/>
    <w:rsid w:val="00212E18"/>
    <w:rsid w:val="00213E1F"/>
    <w:rsid w:val="00214350"/>
    <w:rsid w:val="002144AF"/>
    <w:rsid w:val="00215185"/>
    <w:rsid w:val="002156AD"/>
    <w:rsid w:val="002158E9"/>
    <w:rsid w:val="002161AE"/>
    <w:rsid w:val="002167E8"/>
    <w:rsid w:val="002214D4"/>
    <w:rsid w:val="002234F9"/>
    <w:rsid w:val="0022398A"/>
    <w:rsid w:val="0022438D"/>
    <w:rsid w:val="00224868"/>
    <w:rsid w:val="00225B92"/>
    <w:rsid w:val="00226104"/>
    <w:rsid w:val="00227F6D"/>
    <w:rsid w:val="00231210"/>
    <w:rsid w:val="00231A6F"/>
    <w:rsid w:val="00235BA8"/>
    <w:rsid w:val="00236A00"/>
    <w:rsid w:val="00240718"/>
    <w:rsid w:val="0024097D"/>
    <w:rsid w:val="0024254B"/>
    <w:rsid w:val="00242B7C"/>
    <w:rsid w:val="002433AF"/>
    <w:rsid w:val="002433EB"/>
    <w:rsid w:val="00244D18"/>
    <w:rsid w:val="0024540F"/>
    <w:rsid w:val="00245E1C"/>
    <w:rsid w:val="00245F10"/>
    <w:rsid w:val="002461A0"/>
    <w:rsid w:val="00251885"/>
    <w:rsid w:val="00251F64"/>
    <w:rsid w:val="00253029"/>
    <w:rsid w:val="00254452"/>
    <w:rsid w:val="00254A0E"/>
    <w:rsid w:val="002551D2"/>
    <w:rsid w:val="0025598A"/>
    <w:rsid w:val="002609C3"/>
    <w:rsid w:val="00260D14"/>
    <w:rsid w:val="00260E52"/>
    <w:rsid w:val="002643BF"/>
    <w:rsid w:val="00265C99"/>
    <w:rsid w:val="00267B03"/>
    <w:rsid w:val="00267B4E"/>
    <w:rsid w:val="0027159C"/>
    <w:rsid w:val="002728DF"/>
    <w:rsid w:val="00276F60"/>
    <w:rsid w:val="002808E5"/>
    <w:rsid w:val="00280E53"/>
    <w:rsid w:val="00282BC6"/>
    <w:rsid w:val="002855B2"/>
    <w:rsid w:val="002859E4"/>
    <w:rsid w:val="002868F7"/>
    <w:rsid w:val="00287D48"/>
    <w:rsid w:val="00290209"/>
    <w:rsid w:val="00290873"/>
    <w:rsid w:val="002912DF"/>
    <w:rsid w:val="002925AF"/>
    <w:rsid w:val="00294394"/>
    <w:rsid w:val="00297CC0"/>
    <w:rsid w:val="002A0B6B"/>
    <w:rsid w:val="002A69E3"/>
    <w:rsid w:val="002A6BFA"/>
    <w:rsid w:val="002A7570"/>
    <w:rsid w:val="002B02E9"/>
    <w:rsid w:val="002B224D"/>
    <w:rsid w:val="002B4D22"/>
    <w:rsid w:val="002B5630"/>
    <w:rsid w:val="002B6074"/>
    <w:rsid w:val="002B7570"/>
    <w:rsid w:val="002C1C1E"/>
    <w:rsid w:val="002C26C7"/>
    <w:rsid w:val="002C4A2E"/>
    <w:rsid w:val="002C5929"/>
    <w:rsid w:val="002C5E69"/>
    <w:rsid w:val="002C617B"/>
    <w:rsid w:val="002C65AA"/>
    <w:rsid w:val="002D08D3"/>
    <w:rsid w:val="002D30FA"/>
    <w:rsid w:val="002D34F4"/>
    <w:rsid w:val="002D4241"/>
    <w:rsid w:val="002D4DF8"/>
    <w:rsid w:val="002D5EE0"/>
    <w:rsid w:val="002D7C13"/>
    <w:rsid w:val="002D7CE6"/>
    <w:rsid w:val="002E0B50"/>
    <w:rsid w:val="002E255E"/>
    <w:rsid w:val="002E3B53"/>
    <w:rsid w:val="002E4200"/>
    <w:rsid w:val="002E55D0"/>
    <w:rsid w:val="002E5654"/>
    <w:rsid w:val="002E5A13"/>
    <w:rsid w:val="002E6BC5"/>
    <w:rsid w:val="002F0AE3"/>
    <w:rsid w:val="002F0CAA"/>
    <w:rsid w:val="002F0DC4"/>
    <w:rsid w:val="002F1749"/>
    <w:rsid w:val="002F32AD"/>
    <w:rsid w:val="002F4452"/>
    <w:rsid w:val="002F4636"/>
    <w:rsid w:val="002F7A6F"/>
    <w:rsid w:val="0030055A"/>
    <w:rsid w:val="003014A1"/>
    <w:rsid w:val="00302B0F"/>
    <w:rsid w:val="00302DBF"/>
    <w:rsid w:val="003045D4"/>
    <w:rsid w:val="00304B34"/>
    <w:rsid w:val="00304CF1"/>
    <w:rsid w:val="00304E31"/>
    <w:rsid w:val="003058FB"/>
    <w:rsid w:val="003064F6"/>
    <w:rsid w:val="003073CA"/>
    <w:rsid w:val="00311400"/>
    <w:rsid w:val="00313DFC"/>
    <w:rsid w:val="003163A4"/>
    <w:rsid w:val="00325263"/>
    <w:rsid w:val="003257E0"/>
    <w:rsid w:val="003279F5"/>
    <w:rsid w:val="00327CF1"/>
    <w:rsid w:val="00327E3D"/>
    <w:rsid w:val="003319C2"/>
    <w:rsid w:val="00333018"/>
    <w:rsid w:val="00334359"/>
    <w:rsid w:val="0033469E"/>
    <w:rsid w:val="00334A0A"/>
    <w:rsid w:val="00335F88"/>
    <w:rsid w:val="00336222"/>
    <w:rsid w:val="00336B6D"/>
    <w:rsid w:val="0033719A"/>
    <w:rsid w:val="00337275"/>
    <w:rsid w:val="003403FD"/>
    <w:rsid w:val="00341965"/>
    <w:rsid w:val="00341B03"/>
    <w:rsid w:val="00342716"/>
    <w:rsid w:val="00342EAA"/>
    <w:rsid w:val="00343D78"/>
    <w:rsid w:val="0034404C"/>
    <w:rsid w:val="003452FB"/>
    <w:rsid w:val="003465EF"/>
    <w:rsid w:val="003472BA"/>
    <w:rsid w:val="00347B59"/>
    <w:rsid w:val="00350F35"/>
    <w:rsid w:val="0035183B"/>
    <w:rsid w:val="00352B37"/>
    <w:rsid w:val="00352B6F"/>
    <w:rsid w:val="00353B30"/>
    <w:rsid w:val="00353DBB"/>
    <w:rsid w:val="00355093"/>
    <w:rsid w:val="0035609A"/>
    <w:rsid w:val="0035699B"/>
    <w:rsid w:val="00356F76"/>
    <w:rsid w:val="003570FE"/>
    <w:rsid w:val="00360700"/>
    <w:rsid w:val="00360CEF"/>
    <w:rsid w:val="003632AF"/>
    <w:rsid w:val="00363AB6"/>
    <w:rsid w:val="0036493D"/>
    <w:rsid w:val="00367189"/>
    <w:rsid w:val="00370620"/>
    <w:rsid w:val="00371988"/>
    <w:rsid w:val="00371DFA"/>
    <w:rsid w:val="00371FC0"/>
    <w:rsid w:val="003726F1"/>
    <w:rsid w:val="00373074"/>
    <w:rsid w:val="00374963"/>
    <w:rsid w:val="00374E9D"/>
    <w:rsid w:val="00375539"/>
    <w:rsid w:val="0037556B"/>
    <w:rsid w:val="00375832"/>
    <w:rsid w:val="003766E4"/>
    <w:rsid w:val="003769C2"/>
    <w:rsid w:val="003773CB"/>
    <w:rsid w:val="00380F71"/>
    <w:rsid w:val="003814C8"/>
    <w:rsid w:val="00383758"/>
    <w:rsid w:val="00384C5A"/>
    <w:rsid w:val="00386C98"/>
    <w:rsid w:val="003871A9"/>
    <w:rsid w:val="003903A2"/>
    <w:rsid w:val="003922EA"/>
    <w:rsid w:val="00393FDE"/>
    <w:rsid w:val="00394CBA"/>
    <w:rsid w:val="00395305"/>
    <w:rsid w:val="00397852"/>
    <w:rsid w:val="003A17E3"/>
    <w:rsid w:val="003A2054"/>
    <w:rsid w:val="003A38E9"/>
    <w:rsid w:val="003A41DF"/>
    <w:rsid w:val="003A492F"/>
    <w:rsid w:val="003B0B29"/>
    <w:rsid w:val="003B33A4"/>
    <w:rsid w:val="003B548D"/>
    <w:rsid w:val="003B5CE6"/>
    <w:rsid w:val="003B5E94"/>
    <w:rsid w:val="003B6B6D"/>
    <w:rsid w:val="003B7081"/>
    <w:rsid w:val="003B799C"/>
    <w:rsid w:val="003C065A"/>
    <w:rsid w:val="003C0D8D"/>
    <w:rsid w:val="003C1626"/>
    <w:rsid w:val="003C218E"/>
    <w:rsid w:val="003C63B4"/>
    <w:rsid w:val="003C6821"/>
    <w:rsid w:val="003C6A73"/>
    <w:rsid w:val="003C7D40"/>
    <w:rsid w:val="003D08DB"/>
    <w:rsid w:val="003D0902"/>
    <w:rsid w:val="003D0F75"/>
    <w:rsid w:val="003D125C"/>
    <w:rsid w:val="003D306E"/>
    <w:rsid w:val="003D3DA1"/>
    <w:rsid w:val="003D3F2D"/>
    <w:rsid w:val="003D552B"/>
    <w:rsid w:val="003D6945"/>
    <w:rsid w:val="003D72EE"/>
    <w:rsid w:val="003D76C5"/>
    <w:rsid w:val="003E06A7"/>
    <w:rsid w:val="003E2003"/>
    <w:rsid w:val="003E34F5"/>
    <w:rsid w:val="003E435B"/>
    <w:rsid w:val="003E7BF3"/>
    <w:rsid w:val="003E7CDB"/>
    <w:rsid w:val="003F1F18"/>
    <w:rsid w:val="003F2DC4"/>
    <w:rsid w:val="003F338F"/>
    <w:rsid w:val="003F3F53"/>
    <w:rsid w:val="003F4265"/>
    <w:rsid w:val="003F5AEC"/>
    <w:rsid w:val="00401F10"/>
    <w:rsid w:val="00404FBE"/>
    <w:rsid w:val="00405298"/>
    <w:rsid w:val="0040614D"/>
    <w:rsid w:val="00407A16"/>
    <w:rsid w:val="00407B4A"/>
    <w:rsid w:val="00407C19"/>
    <w:rsid w:val="00410EFB"/>
    <w:rsid w:val="00411519"/>
    <w:rsid w:val="004123C6"/>
    <w:rsid w:val="004128CD"/>
    <w:rsid w:val="00414D88"/>
    <w:rsid w:val="00415693"/>
    <w:rsid w:val="00415C11"/>
    <w:rsid w:val="00417EF2"/>
    <w:rsid w:val="00423F17"/>
    <w:rsid w:val="00426B3A"/>
    <w:rsid w:val="00426E0A"/>
    <w:rsid w:val="00426E9D"/>
    <w:rsid w:val="00426FF6"/>
    <w:rsid w:val="004273C3"/>
    <w:rsid w:val="00430453"/>
    <w:rsid w:val="004309B1"/>
    <w:rsid w:val="004313EA"/>
    <w:rsid w:val="00431B7C"/>
    <w:rsid w:val="004321A4"/>
    <w:rsid w:val="004322BE"/>
    <w:rsid w:val="0043250F"/>
    <w:rsid w:val="004356DB"/>
    <w:rsid w:val="004358C6"/>
    <w:rsid w:val="0043710C"/>
    <w:rsid w:val="0043739D"/>
    <w:rsid w:val="004405FA"/>
    <w:rsid w:val="004433A8"/>
    <w:rsid w:val="0044399A"/>
    <w:rsid w:val="004449B2"/>
    <w:rsid w:val="00444EEC"/>
    <w:rsid w:val="004470FD"/>
    <w:rsid w:val="00447204"/>
    <w:rsid w:val="0044776D"/>
    <w:rsid w:val="00450522"/>
    <w:rsid w:val="004548C1"/>
    <w:rsid w:val="004559A3"/>
    <w:rsid w:val="00455A51"/>
    <w:rsid w:val="00457DBB"/>
    <w:rsid w:val="00457F17"/>
    <w:rsid w:val="004600D8"/>
    <w:rsid w:val="0046313C"/>
    <w:rsid w:val="0046344D"/>
    <w:rsid w:val="004635DA"/>
    <w:rsid w:val="00464386"/>
    <w:rsid w:val="004648C7"/>
    <w:rsid w:val="00464920"/>
    <w:rsid w:val="00464DF0"/>
    <w:rsid w:val="00465C02"/>
    <w:rsid w:val="004678B3"/>
    <w:rsid w:val="00467B8D"/>
    <w:rsid w:val="00471199"/>
    <w:rsid w:val="0047124B"/>
    <w:rsid w:val="00471536"/>
    <w:rsid w:val="0047227B"/>
    <w:rsid w:val="0047363D"/>
    <w:rsid w:val="00473837"/>
    <w:rsid w:val="0047401D"/>
    <w:rsid w:val="0047427A"/>
    <w:rsid w:val="0047512C"/>
    <w:rsid w:val="00476F2D"/>
    <w:rsid w:val="004801A0"/>
    <w:rsid w:val="00481DA6"/>
    <w:rsid w:val="00481DEF"/>
    <w:rsid w:val="00482688"/>
    <w:rsid w:val="00486810"/>
    <w:rsid w:val="004872A5"/>
    <w:rsid w:val="0049015F"/>
    <w:rsid w:val="00490376"/>
    <w:rsid w:val="00490FA8"/>
    <w:rsid w:val="004924F5"/>
    <w:rsid w:val="0049336E"/>
    <w:rsid w:val="00493788"/>
    <w:rsid w:val="004943BC"/>
    <w:rsid w:val="0049467B"/>
    <w:rsid w:val="004955ED"/>
    <w:rsid w:val="00495A7E"/>
    <w:rsid w:val="00495B3B"/>
    <w:rsid w:val="0049715D"/>
    <w:rsid w:val="00497AE2"/>
    <w:rsid w:val="00497FF0"/>
    <w:rsid w:val="004A35F1"/>
    <w:rsid w:val="004A3E92"/>
    <w:rsid w:val="004A4736"/>
    <w:rsid w:val="004A4EFD"/>
    <w:rsid w:val="004A523D"/>
    <w:rsid w:val="004A5C5D"/>
    <w:rsid w:val="004B117D"/>
    <w:rsid w:val="004B3774"/>
    <w:rsid w:val="004B414D"/>
    <w:rsid w:val="004B459A"/>
    <w:rsid w:val="004B5A9B"/>
    <w:rsid w:val="004B6014"/>
    <w:rsid w:val="004B7376"/>
    <w:rsid w:val="004C170B"/>
    <w:rsid w:val="004C1A45"/>
    <w:rsid w:val="004C1FF1"/>
    <w:rsid w:val="004C2D65"/>
    <w:rsid w:val="004C4C5D"/>
    <w:rsid w:val="004C61E1"/>
    <w:rsid w:val="004D0520"/>
    <w:rsid w:val="004D1196"/>
    <w:rsid w:val="004D187E"/>
    <w:rsid w:val="004D499B"/>
    <w:rsid w:val="004D4D6F"/>
    <w:rsid w:val="004D6416"/>
    <w:rsid w:val="004D72E4"/>
    <w:rsid w:val="004E0433"/>
    <w:rsid w:val="004E1B14"/>
    <w:rsid w:val="004E2A07"/>
    <w:rsid w:val="004E559B"/>
    <w:rsid w:val="004E7D59"/>
    <w:rsid w:val="004F00F1"/>
    <w:rsid w:val="004F1256"/>
    <w:rsid w:val="004F27E1"/>
    <w:rsid w:val="004F6723"/>
    <w:rsid w:val="004F710F"/>
    <w:rsid w:val="00501479"/>
    <w:rsid w:val="00502EE9"/>
    <w:rsid w:val="005039E7"/>
    <w:rsid w:val="00503CBA"/>
    <w:rsid w:val="00504FD7"/>
    <w:rsid w:val="00505830"/>
    <w:rsid w:val="00505E9C"/>
    <w:rsid w:val="00506C49"/>
    <w:rsid w:val="00506E7B"/>
    <w:rsid w:val="00510145"/>
    <w:rsid w:val="00510275"/>
    <w:rsid w:val="00515448"/>
    <w:rsid w:val="00515B75"/>
    <w:rsid w:val="0051645C"/>
    <w:rsid w:val="005167F3"/>
    <w:rsid w:val="00516C0B"/>
    <w:rsid w:val="00517BB2"/>
    <w:rsid w:val="00520880"/>
    <w:rsid w:val="0052100E"/>
    <w:rsid w:val="0052162E"/>
    <w:rsid w:val="00521D0D"/>
    <w:rsid w:val="005223B7"/>
    <w:rsid w:val="0052634C"/>
    <w:rsid w:val="005263FF"/>
    <w:rsid w:val="0052678B"/>
    <w:rsid w:val="00527891"/>
    <w:rsid w:val="0052794E"/>
    <w:rsid w:val="00527B78"/>
    <w:rsid w:val="0053192B"/>
    <w:rsid w:val="00531F01"/>
    <w:rsid w:val="005324F5"/>
    <w:rsid w:val="00532544"/>
    <w:rsid w:val="0053325B"/>
    <w:rsid w:val="005343D2"/>
    <w:rsid w:val="00534DFC"/>
    <w:rsid w:val="0053544D"/>
    <w:rsid w:val="005355FA"/>
    <w:rsid w:val="00536DDD"/>
    <w:rsid w:val="00537145"/>
    <w:rsid w:val="0054015A"/>
    <w:rsid w:val="00541B7E"/>
    <w:rsid w:val="005428A5"/>
    <w:rsid w:val="0054293E"/>
    <w:rsid w:val="0054310E"/>
    <w:rsid w:val="005432DE"/>
    <w:rsid w:val="005436B6"/>
    <w:rsid w:val="00544584"/>
    <w:rsid w:val="005445FD"/>
    <w:rsid w:val="00544E84"/>
    <w:rsid w:val="00546060"/>
    <w:rsid w:val="00546117"/>
    <w:rsid w:val="005467DF"/>
    <w:rsid w:val="005477F7"/>
    <w:rsid w:val="00547B7A"/>
    <w:rsid w:val="0055003F"/>
    <w:rsid w:val="00551473"/>
    <w:rsid w:val="005518D4"/>
    <w:rsid w:val="00554929"/>
    <w:rsid w:val="00555ABD"/>
    <w:rsid w:val="00555CEB"/>
    <w:rsid w:val="00555FA3"/>
    <w:rsid w:val="00556C1A"/>
    <w:rsid w:val="00556C21"/>
    <w:rsid w:val="00560D45"/>
    <w:rsid w:val="005617D1"/>
    <w:rsid w:val="00561943"/>
    <w:rsid w:val="00562A11"/>
    <w:rsid w:val="00563671"/>
    <w:rsid w:val="0056396C"/>
    <w:rsid w:val="0056406D"/>
    <w:rsid w:val="00566F2E"/>
    <w:rsid w:val="0056705D"/>
    <w:rsid w:val="00570770"/>
    <w:rsid w:val="00571E96"/>
    <w:rsid w:val="00573D96"/>
    <w:rsid w:val="005746F2"/>
    <w:rsid w:val="00574EA4"/>
    <w:rsid w:val="00575DEB"/>
    <w:rsid w:val="005762B4"/>
    <w:rsid w:val="00577AF1"/>
    <w:rsid w:val="0058000D"/>
    <w:rsid w:val="00584AB7"/>
    <w:rsid w:val="0058509A"/>
    <w:rsid w:val="005875E1"/>
    <w:rsid w:val="00590680"/>
    <w:rsid w:val="00590DB8"/>
    <w:rsid w:val="005913E2"/>
    <w:rsid w:val="00592C2D"/>
    <w:rsid w:val="00593E47"/>
    <w:rsid w:val="00594BAA"/>
    <w:rsid w:val="005958E0"/>
    <w:rsid w:val="00595C5C"/>
    <w:rsid w:val="00596DA2"/>
    <w:rsid w:val="00597F55"/>
    <w:rsid w:val="005A24E0"/>
    <w:rsid w:val="005A3D5D"/>
    <w:rsid w:val="005A4033"/>
    <w:rsid w:val="005A4828"/>
    <w:rsid w:val="005A6EA9"/>
    <w:rsid w:val="005A7117"/>
    <w:rsid w:val="005A7B5A"/>
    <w:rsid w:val="005B0F47"/>
    <w:rsid w:val="005B1594"/>
    <w:rsid w:val="005B26F2"/>
    <w:rsid w:val="005B6991"/>
    <w:rsid w:val="005B79DC"/>
    <w:rsid w:val="005C044F"/>
    <w:rsid w:val="005C2FC5"/>
    <w:rsid w:val="005C4289"/>
    <w:rsid w:val="005C6985"/>
    <w:rsid w:val="005C7155"/>
    <w:rsid w:val="005D2301"/>
    <w:rsid w:val="005D2E9C"/>
    <w:rsid w:val="005D3379"/>
    <w:rsid w:val="005D39EA"/>
    <w:rsid w:val="005D4FB7"/>
    <w:rsid w:val="005D5CF2"/>
    <w:rsid w:val="005D7266"/>
    <w:rsid w:val="005D77F1"/>
    <w:rsid w:val="005D7B39"/>
    <w:rsid w:val="005E0663"/>
    <w:rsid w:val="005E0E9F"/>
    <w:rsid w:val="005E157A"/>
    <w:rsid w:val="005E2FA3"/>
    <w:rsid w:val="005E5103"/>
    <w:rsid w:val="005E5C63"/>
    <w:rsid w:val="005E5D5A"/>
    <w:rsid w:val="005E60B0"/>
    <w:rsid w:val="005E6269"/>
    <w:rsid w:val="005E72C1"/>
    <w:rsid w:val="005E7345"/>
    <w:rsid w:val="005E7562"/>
    <w:rsid w:val="005E7853"/>
    <w:rsid w:val="005F0433"/>
    <w:rsid w:val="005F177C"/>
    <w:rsid w:val="005F265A"/>
    <w:rsid w:val="005F4F1E"/>
    <w:rsid w:val="005F6DB0"/>
    <w:rsid w:val="006003EB"/>
    <w:rsid w:val="006023C0"/>
    <w:rsid w:val="0060393B"/>
    <w:rsid w:val="0060546D"/>
    <w:rsid w:val="00605BCA"/>
    <w:rsid w:val="00607B4E"/>
    <w:rsid w:val="006108D8"/>
    <w:rsid w:val="00611371"/>
    <w:rsid w:val="0061183C"/>
    <w:rsid w:val="00612092"/>
    <w:rsid w:val="00612134"/>
    <w:rsid w:val="00612335"/>
    <w:rsid w:val="00616D53"/>
    <w:rsid w:val="00617A3F"/>
    <w:rsid w:val="006200AC"/>
    <w:rsid w:val="006206ED"/>
    <w:rsid w:val="006233B2"/>
    <w:rsid w:val="00626285"/>
    <w:rsid w:val="00626448"/>
    <w:rsid w:val="0062692D"/>
    <w:rsid w:val="00626B99"/>
    <w:rsid w:val="006306E0"/>
    <w:rsid w:val="00632183"/>
    <w:rsid w:val="00632489"/>
    <w:rsid w:val="00632C01"/>
    <w:rsid w:val="00633178"/>
    <w:rsid w:val="006336A6"/>
    <w:rsid w:val="00633B2C"/>
    <w:rsid w:val="00633BAF"/>
    <w:rsid w:val="0063437C"/>
    <w:rsid w:val="00635E63"/>
    <w:rsid w:val="00636824"/>
    <w:rsid w:val="00636F64"/>
    <w:rsid w:val="00637318"/>
    <w:rsid w:val="00637891"/>
    <w:rsid w:val="00637BA8"/>
    <w:rsid w:val="00637F4C"/>
    <w:rsid w:val="006400EF"/>
    <w:rsid w:val="00640149"/>
    <w:rsid w:val="00641A38"/>
    <w:rsid w:val="00641C43"/>
    <w:rsid w:val="00644C96"/>
    <w:rsid w:val="00645311"/>
    <w:rsid w:val="00647F0E"/>
    <w:rsid w:val="0065037C"/>
    <w:rsid w:val="00651CDE"/>
    <w:rsid w:val="006520DF"/>
    <w:rsid w:val="00652890"/>
    <w:rsid w:val="00653252"/>
    <w:rsid w:val="006535D4"/>
    <w:rsid w:val="00654CFB"/>
    <w:rsid w:val="006574A6"/>
    <w:rsid w:val="00660830"/>
    <w:rsid w:val="00661329"/>
    <w:rsid w:val="0066381F"/>
    <w:rsid w:val="00663E3C"/>
    <w:rsid w:val="0066490C"/>
    <w:rsid w:val="0066603B"/>
    <w:rsid w:val="00671010"/>
    <w:rsid w:val="00671E03"/>
    <w:rsid w:val="00671EBC"/>
    <w:rsid w:val="006723DC"/>
    <w:rsid w:val="006725E9"/>
    <w:rsid w:val="00672795"/>
    <w:rsid w:val="00672DC2"/>
    <w:rsid w:val="00674EA8"/>
    <w:rsid w:val="00675976"/>
    <w:rsid w:val="0067703E"/>
    <w:rsid w:val="0067720D"/>
    <w:rsid w:val="00677C7E"/>
    <w:rsid w:val="00680B6F"/>
    <w:rsid w:val="006823DD"/>
    <w:rsid w:val="0068555D"/>
    <w:rsid w:val="006863C8"/>
    <w:rsid w:val="006868D3"/>
    <w:rsid w:val="00687EBD"/>
    <w:rsid w:val="0069064B"/>
    <w:rsid w:val="00692B85"/>
    <w:rsid w:val="00693118"/>
    <w:rsid w:val="0069397C"/>
    <w:rsid w:val="00693DFC"/>
    <w:rsid w:val="0069543A"/>
    <w:rsid w:val="006A16C9"/>
    <w:rsid w:val="006A1A7D"/>
    <w:rsid w:val="006A1B76"/>
    <w:rsid w:val="006A1D3B"/>
    <w:rsid w:val="006A237E"/>
    <w:rsid w:val="006A3699"/>
    <w:rsid w:val="006A3784"/>
    <w:rsid w:val="006A3802"/>
    <w:rsid w:val="006A404C"/>
    <w:rsid w:val="006A4556"/>
    <w:rsid w:val="006A4994"/>
    <w:rsid w:val="006A67A3"/>
    <w:rsid w:val="006B26C1"/>
    <w:rsid w:val="006B3E24"/>
    <w:rsid w:val="006B4588"/>
    <w:rsid w:val="006B5AC4"/>
    <w:rsid w:val="006B5DFF"/>
    <w:rsid w:val="006B6031"/>
    <w:rsid w:val="006B6A8E"/>
    <w:rsid w:val="006C1135"/>
    <w:rsid w:val="006C19BD"/>
    <w:rsid w:val="006C2112"/>
    <w:rsid w:val="006C3362"/>
    <w:rsid w:val="006C36AA"/>
    <w:rsid w:val="006C39DA"/>
    <w:rsid w:val="006C3DE4"/>
    <w:rsid w:val="006C4ED0"/>
    <w:rsid w:val="006C542E"/>
    <w:rsid w:val="006C570C"/>
    <w:rsid w:val="006C5B10"/>
    <w:rsid w:val="006C67C2"/>
    <w:rsid w:val="006D0371"/>
    <w:rsid w:val="006D05CD"/>
    <w:rsid w:val="006D06BF"/>
    <w:rsid w:val="006D1997"/>
    <w:rsid w:val="006D264A"/>
    <w:rsid w:val="006D3319"/>
    <w:rsid w:val="006D3F2D"/>
    <w:rsid w:val="006D4980"/>
    <w:rsid w:val="006D4BDE"/>
    <w:rsid w:val="006D51E5"/>
    <w:rsid w:val="006D57C1"/>
    <w:rsid w:val="006D5ABC"/>
    <w:rsid w:val="006D77D7"/>
    <w:rsid w:val="006D79A4"/>
    <w:rsid w:val="006D7E1C"/>
    <w:rsid w:val="006E059E"/>
    <w:rsid w:val="006E0A3C"/>
    <w:rsid w:val="006E0F42"/>
    <w:rsid w:val="006E46C5"/>
    <w:rsid w:val="006E6846"/>
    <w:rsid w:val="006F0A1C"/>
    <w:rsid w:val="006F0EF4"/>
    <w:rsid w:val="006F1BF9"/>
    <w:rsid w:val="006F234D"/>
    <w:rsid w:val="006F274B"/>
    <w:rsid w:val="006F5034"/>
    <w:rsid w:val="006F5F2C"/>
    <w:rsid w:val="006F61F5"/>
    <w:rsid w:val="006F6671"/>
    <w:rsid w:val="007034B4"/>
    <w:rsid w:val="00704B2A"/>
    <w:rsid w:val="007065F9"/>
    <w:rsid w:val="00706E9D"/>
    <w:rsid w:val="007106C6"/>
    <w:rsid w:val="00710AC7"/>
    <w:rsid w:val="00711BDE"/>
    <w:rsid w:val="00712294"/>
    <w:rsid w:val="00712452"/>
    <w:rsid w:val="00712A2D"/>
    <w:rsid w:val="00714070"/>
    <w:rsid w:val="007168AA"/>
    <w:rsid w:val="00717B89"/>
    <w:rsid w:val="00720AE9"/>
    <w:rsid w:val="00721BD1"/>
    <w:rsid w:val="00722B8C"/>
    <w:rsid w:val="00723005"/>
    <w:rsid w:val="00725254"/>
    <w:rsid w:val="0073227B"/>
    <w:rsid w:val="00735C40"/>
    <w:rsid w:val="00736ECB"/>
    <w:rsid w:val="007400D8"/>
    <w:rsid w:val="007407B4"/>
    <w:rsid w:val="00740ACF"/>
    <w:rsid w:val="00742F78"/>
    <w:rsid w:val="00746EEA"/>
    <w:rsid w:val="007503F7"/>
    <w:rsid w:val="00753BC3"/>
    <w:rsid w:val="00754554"/>
    <w:rsid w:val="00754B9F"/>
    <w:rsid w:val="00756AFA"/>
    <w:rsid w:val="00757025"/>
    <w:rsid w:val="007619B5"/>
    <w:rsid w:val="00761AC0"/>
    <w:rsid w:val="00761BE2"/>
    <w:rsid w:val="00761D99"/>
    <w:rsid w:val="007623FF"/>
    <w:rsid w:val="0076243A"/>
    <w:rsid w:val="00762BD8"/>
    <w:rsid w:val="007630A4"/>
    <w:rsid w:val="00763557"/>
    <w:rsid w:val="00763636"/>
    <w:rsid w:val="007644D1"/>
    <w:rsid w:val="00765CEE"/>
    <w:rsid w:val="0077232F"/>
    <w:rsid w:val="00773002"/>
    <w:rsid w:val="00776802"/>
    <w:rsid w:val="00781D76"/>
    <w:rsid w:val="007833C9"/>
    <w:rsid w:val="00785B37"/>
    <w:rsid w:val="00786CC8"/>
    <w:rsid w:val="007917D8"/>
    <w:rsid w:val="00794A72"/>
    <w:rsid w:val="00794BCF"/>
    <w:rsid w:val="0079559C"/>
    <w:rsid w:val="0079664F"/>
    <w:rsid w:val="00796F7B"/>
    <w:rsid w:val="00797095"/>
    <w:rsid w:val="00797372"/>
    <w:rsid w:val="00797442"/>
    <w:rsid w:val="007974C0"/>
    <w:rsid w:val="007A1E2F"/>
    <w:rsid w:val="007A20C9"/>
    <w:rsid w:val="007A2844"/>
    <w:rsid w:val="007A4C41"/>
    <w:rsid w:val="007A4DA0"/>
    <w:rsid w:val="007A5932"/>
    <w:rsid w:val="007B27E5"/>
    <w:rsid w:val="007B3651"/>
    <w:rsid w:val="007B3B04"/>
    <w:rsid w:val="007B40E0"/>
    <w:rsid w:val="007B4F15"/>
    <w:rsid w:val="007B545F"/>
    <w:rsid w:val="007B61EF"/>
    <w:rsid w:val="007B6529"/>
    <w:rsid w:val="007B6A9F"/>
    <w:rsid w:val="007C20CA"/>
    <w:rsid w:val="007C2DA7"/>
    <w:rsid w:val="007C3734"/>
    <w:rsid w:val="007C5242"/>
    <w:rsid w:val="007C5CAF"/>
    <w:rsid w:val="007C6446"/>
    <w:rsid w:val="007C6D50"/>
    <w:rsid w:val="007C7278"/>
    <w:rsid w:val="007C7649"/>
    <w:rsid w:val="007C794C"/>
    <w:rsid w:val="007D3321"/>
    <w:rsid w:val="007D3635"/>
    <w:rsid w:val="007D423B"/>
    <w:rsid w:val="007D4E39"/>
    <w:rsid w:val="007D4E47"/>
    <w:rsid w:val="007D58E3"/>
    <w:rsid w:val="007D6DDF"/>
    <w:rsid w:val="007E0CC9"/>
    <w:rsid w:val="007E4756"/>
    <w:rsid w:val="007E51FA"/>
    <w:rsid w:val="007E6F03"/>
    <w:rsid w:val="007F0448"/>
    <w:rsid w:val="007F0649"/>
    <w:rsid w:val="007F287A"/>
    <w:rsid w:val="007F4165"/>
    <w:rsid w:val="007F55E0"/>
    <w:rsid w:val="007F61A7"/>
    <w:rsid w:val="007F6468"/>
    <w:rsid w:val="007F6611"/>
    <w:rsid w:val="00800988"/>
    <w:rsid w:val="00801226"/>
    <w:rsid w:val="00805BF4"/>
    <w:rsid w:val="008060C6"/>
    <w:rsid w:val="008065DA"/>
    <w:rsid w:val="008074C9"/>
    <w:rsid w:val="00810A85"/>
    <w:rsid w:val="00811E11"/>
    <w:rsid w:val="00812314"/>
    <w:rsid w:val="00814B1E"/>
    <w:rsid w:val="0081758B"/>
    <w:rsid w:val="008210D2"/>
    <w:rsid w:val="00822168"/>
    <w:rsid w:val="00822D87"/>
    <w:rsid w:val="0082306F"/>
    <w:rsid w:val="00824696"/>
    <w:rsid w:val="00824749"/>
    <w:rsid w:val="00826174"/>
    <w:rsid w:val="00830847"/>
    <w:rsid w:val="0083107C"/>
    <w:rsid w:val="00831601"/>
    <w:rsid w:val="00832DB0"/>
    <w:rsid w:val="00833283"/>
    <w:rsid w:val="00833986"/>
    <w:rsid w:val="0083545E"/>
    <w:rsid w:val="008369F4"/>
    <w:rsid w:val="00836F59"/>
    <w:rsid w:val="008370A1"/>
    <w:rsid w:val="00840A99"/>
    <w:rsid w:val="00841169"/>
    <w:rsid w:val="00841596"/>
    <w:rsid w:val="0084269C"/>
    <w:rsid w:val="00842FD6"/>
    <w:rsid w:val="0084366C"/>
    <w:rsid w:val="008438C2"/>
    <w:rsid w:val="0084486F"/>
    <w:rsid w:val="00845483"/>
    <w:rsid w:val="008468F4"/>
    <w:rsid w:val="00846D5E"/>
    <w:rsid w:val="00846FB5"/>
    <w:rsid w:val="00852E19"/>
    <w:rsid w:val="00853880"/>
    <w:rsid w:val="00855C71"/>
    <w:rsid w:val="00855D26"/>
    <w:rsid w:val="008560DC"/>
    <w:rsid w:val="00857D67"/>
    <w:rsid w:val="0086121F"/>
    <w:rsid w:val="00861ABE"/>
    <w:rsid w:val="008624D3"/>
    <w:rsid w:val="00862894"/>
    <w:rsid w:val="0086329B"/>
    <w:rsid w:val="00865BB6"/>
    <w:rsid w:val="0086727D"/>
    <w:rsid w:val="00867FAF"/>
    <w:rsid w:val="00872150"/>
    <w:rsid w:val="008726D2"/>
    <w:rsid w:val="00873031"/>
    <w:rsid w:val="00873437"/>
    <w:rsid w:val="00874066"/>
    <w:rsid w:val="00874DED"/>
    <w:rsid w:val="008757FB"/>
    <w:rsid w:val="00875A2C"/>
    <w:rsid w:val="00876D81"/>
    <w:rsid w:val="0087769C"/>
    <w:rsid w:val="00881D14"/>
    <w:rsid w:val="008826E3"/>
    <w:rsid w:val="00884B34"/>
    <w:rsid w:val="008857C3"/>
    <w:rsid w:val="00885959"/>
    <w:rsid w:val="00885A80"/>
    <w:rsid w:val="00886C27"/>
    <w:rsid w:val="00887219"/>
    <w:rsid w:val="008877A2"/>
    <w:rsid w:val="00890FB5"/>
    <w:rsid w:val="00892FC2"/>
    <w:rsid w:val="00893736"/>
    <w:rsid w:val="008944C3"/>
    <w:rsid w:val="0089775D"/>
    <w:rsid w:val="008977E1"/>
    <w:rsid w:val="00897E68"/>
    <w:rsid w:val="008A05E3"/>
    <w:rsid w:val="008A2CBD"/>
    <w:rsid w:val="008A3A97"/>
    <w:rsid w:val="008A43D7"/>
    <w:rsid w:val="008A4B96"/>
    <w:rsid w:val="008A4F3E"/>
    <w:rsid w:val="008A563B"/>
    <w:rsid w:val="008A6FA5"/>
    <w:rsid w:val="008A7075"/>
    <w:rsid w:val="008B07A2"/>
    <w:rsid w:val="008B1302"/>
    <w:rsid w:val="008B40C9"/>
    <w:rsid w:val="008B41D7"/>
    <w:rsid w:val="008B47C3"/>
    <w:rsid w:val="008B5698"/>
    <w:rsid w:val="008B750D"/>
    <w:rsid w:val="008B7705"/>
    <w:rsid w:val="008B78AB"/>
    <w:rsid w:val="008B7CB8"/>
    <w:rsid w:val="008C0ACA"/>
    <w:rsid w:val="008C3856"/>
    <w:rsid w:val="008C4A16"/>
    <w:rsid w:val="008C5545"/>
    <w:rsid w:val="008C5790"/>
    <w:rsid w:val="008C5AFC"/>
    <w:rsid w:val="008C7B88"/>
    <w:rsid w:val="008C7CCE"/>
    <w:rsid w:val="008D0948"/>
    <w:rsid w:val="008D0A06"/>
    <w:rsid w:val="008D262C"/>
    <w:rsid w:val="008D2C07"/>
    <w:rsid w:val="008D2F21"/>
    <w:rsid w:val="008D3080"/>
    <w:rsid w:val="008D324F"/>
    <w:rsid w:val="008D4DC9"/>
    <w:rsid w:val="008D5F0E"/>
    <w:rsid w:val="008D6909"/>
    <w:rsid w:val="008D7297"/>
    <w:rsid w:val="008D7C34"/>
    <w:rsid w:val="008E0DC2"/>
    <w:rsid w:val="008E10B8"/>
    <w:rsid w:val="008E155E"/>
    <w:rsid w:val="008E2032"/>
    <w:rsid w:val="008E5339"/>
    <w:rsid w:val="008E6545"/>
    <w:rsid w:val="008E6967"/>
    <w:rsid w:val="008F0AF8"/>
    <w:rsid w:val="008F13C1"/>
    <w:rsid w:val="008F15A3"/>
    <w:rsid w:val="008F16B0"/>
    <w:rsid w:val="008F1A4F"/>
    <w:rsid w:val="008F1B1E"/>
    <w:rsid w:val="008F2F54"/>
    <w:rsid w:val="008F3C30"/>
    <w:rsid w:val="008F4FE4"/>
    <w:rsid w:val="008F6423"/>
    <w:rsid w:val="008F7CA1"/>
    <w:rsid w:val="009000AE"/>
    <w:rsid w:val="00900627"/>
    <w:rsid w:val="00901F02"/>
    <w:rsid w:val="00903D52"/>
    <w:rsid w:val="00903F7D"/>
    <w:rsid w:val="00904D33"/>
    <w:rsid w:val="00905215"/>
    <w:rsid w:val="009063DE"/>
    <w:rsid w:val="00906871"/>
    <w:rsid w:val="009116B6"/>
    <w:rsid w:val="00913A00"/>
    <w:rsid w:val="00914388"/>
    <w:rsid w:val="009157D0"/>
    <w:rsid w:val="00915BA1"/>
    <w:rsid w:val="009201BC"/>
    <w:rsid w:val="00922843"/>
    <w:rsid w:val="00923D72"/>
    <w:rsid w:val="00924AA5"/>
    <w:rsid w:val="00925AEF"/>
    <w:rsid w:val="00925FC4"/>
    <w:rsid w:val="00927719"/>
    <w:rsid w:val="009307B4"/>
    <w:rsid w:val="0093149F"/>
    <w:rsid w:val="00931EB4"/>
    <w:rsid w:val="00932428"/>
    <w:rsid w:val="00933007"/>
    <w:rsid w:val="00934161"/>
    <w:rsid w:val="00935DF3"/>
    <w:rsid w:val="009365FD"/>
    <w:rsid w:val="00940293"/>
    <w:rsid w:val="00940A0B"/>
    <w:rsid w:val="009412CC"/>
    <w:rsid w:val="00941EAC"/>
    <w:rsid w:val="00942504"/>
    <w:rsid w:val="0094269F"/>
    <w:rsid w:val="0094292B"/>
    <w:rsid w:val="00942B81"/>
    <w:rsid w:val="00944282"/>
    <w:rsid w:val="00944886"/>
    <w:rsid w:val="00944F2C"/>
    <w:rsid w:val="0095025F"/>
    <w:rsid w:val="00951473"/>
    <w:rsid w:val="00951721"/>
    <w:rsid w:val="00952EBD"/>
    <w:rsid w:val="00952EFD"/>
    <w:rsid w:val="0095334E"/>
    <w:rsid w:val="009533E2"/>
    <w:rsid w:val="00953572"/>
    <w:rsid w:val="00954049"/>
    <w:rsid w:val="00955563"/>
    <w:rsid w:val="00955DA8"/>
    <w:rsid w:val="00955E2C"/>
    <w:rsid w:val="00955EF5"/>
    <w:rsid w:val="00957399"/>
    <w:rsid w:val="00957951"/>
    <w:rsid w:val="0096019D"/>
    <w:rsid w:val="00962663"/>
    <w:rsid w:val="00963AE1"/>
    <w:rsid w:val="009643D6"/>
    <w:rsid w:val="0096550D"/>
    <w:rsid w:val="00966055"/>
    <w:rsid w:val="00966406"/>
    <w:rsid w:val="00966703"/>
    <w:rsid w:val="0096704F"/>
    <w:rsid w:val="00970896"/>
    <w:rsid w:val="00973862"/>
    <w:rsid w:val="00974418"/>
    <w:rsid w:val="009751A7"/>
    <w:rsid w:val="00976247"/>
    <w:rsid w:val="00980051"/>
    <w:rsid w:val="009807D3"/>
    <w:rsid w:val="00981AA8"/>
    <w:rsid w:val="00981BEB"/>
    <w:rsid w:val="00981D31"/>
    <w:rsid w:val="0098465F"/>
    <w:rsid w:val="00990183"/>
    <w:rsid w:val="0099042C"/>
    <w:rsid w:val="00990B1B"/>
    <w:rsid w:val="009921F8"/>
    <w:rsid w:val="0099328F"/>
    <w:rsid w:val="00993ABE"/>
    <w:rsid w:val="00995C22"/>
    <w:rsid w:val="0099638C"/>
    <w:rsid w:val="009970BE"/>
    <w:rsid w:val="009974B7"/>
    <w:rsid w:val="00997F23"/>
    <w:rsid w:val="009A0ADA"/>
    <w:rsid w:val="009A1A6F"/>
    <w:rsid w:val="009A3A8A"/>
    <w:rsid w:val="009A4531"/>
    <w:rsid w:val="009A4F54"/>
    <w:rsid w:val="009A5401"/>
    <w:rsid w:val="009A73D8"/>
    <w:rsid w:val="009B0428"/>
    <w:rsid w:val="009B1072"/>
    <w:rsid w:val="009B10A4"/>
    <w:rsid w:val="009B3ED9"/>
    <w:rsid w:val="009B68B7"/>
    <w:rsid w:val="009B722A"/>
    <w:rsid w:val="009C030B"/>
    <w:rsid w:val="009C06CA"/>
    <w:rsid w:val="009C2853"/>
    <w:rsid w:val="009C2888"/>
    <w:rsid w:val="009C29A4"/>
    <w:rsid w:val="009C2A27"/>
    <w:rsid w:val="009C2D0C"/>
    <w:rsid w:val="009C3257"/>
    <w:rsid w:val="009C6019"/>
    <w:rsid w:val="009C698A"/>
    <w:rsid w:val="009C7476"/>
    <w:rsid w:val="009D0104"/>
    <w:rsid w:val="009D1769"/>
    <w:rsid w:val="009D1D88"/>
    <w:rsid w:val="009D29E6"/>
    <w:rsid w:val="009D2AA2"/>
    <w:rsid w:val="009D37DC"/>
    <w:rsid w:val="009D61C4"/>
    <w:rsid w:val="009D66D0"/>
    <w:rsid w:val="009D6EB8"/>
    <w:rsid w:val="009D7922"/>
    <w:rsid w:val="009E1064"/>
    <w:rsid w:val="009E16EB"/>
    <w:rsid w:val="009E2B27"/>
    <w:rsid w:val="009E35F2"/>
    <w:rsid w:val="009E4415"/>
    <w:rsid w:val="009E5320"/>
    <w:rsid w:val="009E7EBF"/>
    <w:rsid w:val="009E7EF9"/>
    <w:rsid w:val="009F07A5"/>
    <w:rsid w:val="009F2697"/>
    <w:rsid w:val="009F2AD5"/>
    <w:rsid w:val="009F2DE1"/>
    <w:rsid w:val="009F4C01"/>
    <w:rsid w:val="009F69C8"/>
    <w:rsid w:val="009F6E47"/>
    <w:rsid w:val="009F6E85"/>
    <w:rsid w:val="009F7D3B"/>
    <w:rsid w:val="00A003DB"/>
    <w:rsid w:val="00A00413"/>
    <w:rsid w:val="00A048FF"/>
    <w:rsid w:val="00A04D3E"/>
    <w:rsid w:val="00A05141"/>
    <w:rsid w:val="00A07911"/>
    <w:rsid w:val="00A1081F"/>
    <w:rsid w:val="00A11451"/>
    <w:rsid w:val="00A119B2"/>
    <w:rsid w:val="00A1282E"/>
    <w:rsid w:val="00A132D6"/>
    <w:rsid w:val="00A13FCE"/>
    <w:rsid w:val="00A14738"/>
    <w:rsid w:val="00A14DF8"/>
    <w:rsid w:val="00A14FE7"/>
    <w:rsid w:val="00A15623"/>
    <w:rsid w:val="00A16774"/>
    <w:rsid w:val="00A174E2"/>
    <w:rsid w:val="00A179B0"/>
    <w:rsid w:val="00A201BB"/>
    <w:rsid w:val="00A2080E"/>
    <w:rsid w:val="00A21DCD"/>
    <w:rsid w:val="00A22190"/>
    <w:rsid w:val="00A23337"/>
    <w:rsid w:val="00A26929"/>
    <w:rsid w:val="00A27245"/>
    <w:rsid w:val="00A27F81"/>
    <w:rsid w:val="00A31797"/>
    <w:rsid w:val="00A33DBD"/>
    <w:rsid w:val="00A34044"/>
    <w:rsid w:val="00A340BC"/>
    <w:rsid w:val="00A34265"/>
    <w:rsid w:val="00A346C8"/>
    <w:rsid w:val="00A34C0A"/>
    <w:rsid w:val="00A3526A"/>
    <w:rsid w:val="00A35456"/>
    <w:rsid w:val="00A37216"/>
    <w:rsid w:val="00A37870"/>
    <w:rsid w:val="00A40375"/>
    <w:rsid w:val="00A4072D"/>
    <w:rsid w:val="00A411C7"/>
    <w:rsid w:val="00A414CC"/>
    <w:rsid w:val="00A41935"/>
    <w:rsid w:val="00A419D2"/>
    <w:rsid w:val="00A41D8E"/>
    <w:rsid w:val="00A41DEC"/>
    <w:rsid w:val="00A41FA5"/>
    <w:rsid w:val="00A425F7"/>
    <w:rsid w:val="00A42AEB"/>
    <w:rsid w:val="00A43091"/>
    <w:rsid w:val="00A4425A"/>
    <w:rsid w:val="00A47846"/>
    <w:rsid w:val="00A5045A"/>
    <w:rsid w:val="00A5099F"/>
    <w:rsid w:val="00A51E8B"/>
    <w:rsid w:val="00A52ABB"/>
    <w:rsid w:val="00A52D18"/>
    <w:rsid w:val="00A535AF"/>
    <w:rsid w:val="00A57400"/>
    <w:rsid w:val="00A60168"/>
    <w:rsid w:val="00A618DD"/>
    <w:rsid w:val="00A61AC1"/>
    <w:rsid w:val="00A63448"/>
    <w:rsid w:val="00A64CA0"/>
    <w:rsid w:val="00A64E91"/>
    <w:rsid w:val="00A6515A"/>
    <w:rsid w:val="00A66730"/>
    <w:rsid w:val="00A67154"/>
    <w:rsid w:val="00A672D3"/>
    <w:rsid w:val="00A67CA7"/>
    <w:rsid w:val="00A71448"/>
    <w:rsid w:val="00A72ADD"/>
    <w:rsid w:val="00A72F29"/>
    <w:rsid w:val="00A72FD9"/>
    <w:rsid w:val="00A74145"/>
    <w:rsid w:val="00A750EC"/>
    <w:rsid w:val="00A76E0C"/>
    <w:rsid w:val="00A77572"/>
    <w:rsid w:val="00A81CF4"/>
    <w:rsid w:val="00A81D07"/>
    <w:rsid w:val="00A82772"/>
    <w:rsid w:val="00A835C0"/>
    <w:rsid w:val="00A840F5"/>
    <w:rsid w:val="00A8433E"/>
    <w:rsid w:val="00A87939"/>
    <w:rsid w:val="00A90929"/>
    <w:rsid w:val="00A913B2"/>
    <w:rsid w:val="00A91A72"/>
    <w:rsid w:val="00A94D8B"/>
    <w:rsid w:val="00A97EC7"/>
    <w:rsid w:val="00AA13FA"/>
    <w:rsid w:val="00AA1A3E"/>
    <w:rsid w:val="00AA1C9F"/>
    <w:rsid w:val="00AA2134"/>
    <w:rsid w:val="00AA2F7D"/>
    <w:rsid w:val="00AA34E5"/>
    <w:rsid w:val="00AA3BA2"/>
    <w:rsid w:val="00AA4813"/>
    <w:rsid w:val="00AA4947"/>
    <w:rsid w:val="00AA508F"/>
    <w:rsid w:val="00AA5A01"/>
    <w:rsid w:val="00AA5B6B"/>
    <w:rsid w:val="00AA64DE"/>
    <w:rsid w:val="00AA6D9A"/>
    <w:rsid w:val="00AA72B9"/>
    <w:rsid w:val="00AA7FA4"/>
    <w:rsid w:val="00AB15B2"/>
    <w:rsid w:val="00AB15FB"/>
    <w:rsid w:val="00AB1658"/>
    <w:rsid w:val="00AB19C8"/>
    <w:rsid w:val="00AB1CC3"/>
    <w:rsid w:val="00AB3345"/>
    <w:rsid w:val="00AB3AEF"/>
    <w:rsid w:val="00AB3B49"/>
    <w:rsid w:val="00AB5457"/>
    <w:rsid w:val="00AB610F"/>
    <w:rsid w:val="00AB7356"/>
    <w:rsid w:val="00AB768D"/>
    <w:rsid w:val="00AB7FE4"/>
    <w:rsid w:val="00AC1CD9"/>
    <w:rsid w:val="00AC240B"/>
    <w:rsid w:val="00AC38FD"/>
    <w:rsid w:val="00AC4307"/>
    <w:rsid w:val="00AC494B"/>
    <w:rsid w:val="00AC58BD"/>
    <w:rsid w:val="00AC5F7C"/>
    <w:rsid w:val="00AC75EC"/>
    <w:rsid w:val="00AC796D"/>
    <w:rsid w:val="00AC7B6F"/>
    <w:rsid w:val="00AD0DD0"/>
    <w:rsid w:val="00AD111B"/>
    <w:rsid w:val="00AD27D1"/>
    <w:rsid w:val="00AD383B"/>
    <w:rsid w:val="00AD39EE"/>
    <w:rsid w:val="00AD3A5B"/>
    <w:rsid w:val="00AD3D9A"/>
    <w:rsid w:val="00AD500A"/>
    <w:rsid w:val="00AD56CC"/>
    <w:rsid w:val="00AD630F"/>
    <w:rsid w:val="00AD705E"/>
    <w:rsid w:val="00AD7870"/>
    <w:rsid w:val="00AD7C0F"/>
    <w:rsid w:val="00AE1358"/>
    <w:rsid w:val="00AE1EC1"/>
    <w:rsid w:val="00AE2ECC"/>
    <w:rsid w:val="00AE3B5E"/>
    <w:rsid w:val="00AE54BD"/>
    <w:rsid w:val="00AE6190"/>
    <w:rsid w:val="00AF007D"/>
    <w:rsid w:val="00AF1BAE"/>
    <w:rsid w:val="00AF2187"/>
    <w:rsid w:val="00AF2C2F"/>
    <w:rsid w:val="00AF44FA"/>
    <w:rsid w:val="00AF4610"/>
    <w:rsid w:val="00AF619C"/>
    <w:rsid w:val="00AF633A"/>
    <w:rsid w:val="00B00D18"/>
    <w:rsid w:val="00B01584"/>
    <w:rsid w:val="00B026AA"/>
    <w:rsid w:val="00B03A2F"/>
    <w:rsid w:val="00B056A8"/>
    <w:rsid w:val="00B07381"/>
    <w:rsid w:val="00B10DFB"/>
    <w:rsid w:val="00B11385"/>
    <w:rsid w:val="00B12148"/>
    <w:rsid w:val="00B13CEE"/>
    <w:rsid w:val="00B13F53"/>
    <w:rsid w:val="00B158F7"/>
    <w:rsid w:val="00B15C05"/>
    <w:rsid w:val="00B172B1"/>
    <w:rsid w:val="00B178E7"/>
    <w:rsid w:val="00B17DD8"/>
    <w:rsid w:val="00B2026D"/>
    <w:rsid w:val="00B20957"/>
    <w:rsid w:val="00B24667"/>
    <w:rsid w:val="00B2503F"/>
    <w:rsid w:val="00B265E4"/>
    <w:rsid w:val="00B273B1"/>
    <w:rsid w:val="00B277F7"/>
    <w:rsid w:val="00B27ABB"/>
    <w:rsid w:val="00B30425"/>
    <w:rsid w:val="00B30A7B"/>
    <w:rsid w:val="00B310C1"/>
    <w:rsid w:val="00B31BE8"/>
    <w:rsid w:val="00B32576"/>
    <w:rsid w:val="00B32DBD"/>
    <w:rsid w:val="00B3374C"/>
    <w:rsid w:val="00B35908"/>
    <w:rsid w:val="00B36E9B"/>
    <w:rsid w:val="00B4005A"/>
    <w:rsid w:val="00B40419"/>
    <w:rsid w:val="00B415A1"/>
    <w:rsid w:val="00B425F0"/>
    <w:rsid w:val="00B43B2D"/>
    <w:rsid w:val="00B464B5"/>
    <w:rsid w:val="00B472EF"/>
    <w:rsid w:val="00B477F7"/>
    <w:rsid w:val="00B47F1D"/>
    <w:rsid w:val="00B503A6"/>
    <w:rsid w:val="00B52542"/>
    <w:rsid w:val="00B52E10"/>
    <w:rsid w:val="00B52E7E"/>
    <w:rsid w:val="00B54C01"/>
    <w:rsid w:val="00B55013"/>
    <w:rsid w:val="00B55CA2"/>
    <w:rsid w:val="00B56904"/>
    <w:rsid w:val="00B60961"/>
    <w:rsid w:val="00B60BEF"/>
    <w:rsid w:val="00B610A5"/>
    <w:rsid w:val="00B611F7"/>
    <w:rsid w:val="00B61E44"/>
    <w:rsid w:val="00B62520"/>
    <w:rsid w:val="00B632A7"/>
    <w:rsid w:val="00B63404"/>
    <w:rsid w:val="00B63741"/>
    <w:rsid w:val="00B642EB"/>
    <w:rsid w:val="00B65637"/>
    <w:rsid w:val="00B6641A"/>
    <w:rsid w:val="00B666A5"/>
    <w:rsid w:val="00B67552"/>
    <w:rsid w:val="00B676EF"/>
    <w:rsid w:val="00B72A1A"/>
    <w:rsid w:val="00B72C29"/>
    <w:rsid w:val="00B7425E"/>
    <w:rsid w:val="00B80442"/>
    <w:rsid w:val="00B81779"/>
    <w:rsid w:val="00B82ACB"/>
    <w:rsid w:val="00B832F1"/>
    <w:rsid w:val="00B8367F"/>
    <w:rsid w:val="00B841C5"/>
    <w:rsid w:val="00B84B81"/>
    <w:rsid w:val="00B84DF5"/>
    <w:rsid w:val="00B84FEA"/>
    <w:rsid w:val="00B86086"/>
    <w:rsid w:val="00B879BD"/>
    <w:rsid w:val="00B87D1F"/>
    <w:rsid w:val="00B87F12"/>
    <w:rsid w:val="00B921B9"/>
    <w:rsid w:val="00B94235"/>
    <w:rsid w:val="00B9506A"/>
    <w:rsid w:val="00B95FF1"/>
    <w:rsid w:val="00B96793"/>
    <w:rsid w:val="00B96874"/>
    <w:rsid w:val="00B96C18"/>
    <w:rsid w:val="00B97212"/>
    <w:rsid w:val="00BA0960"/>
    <w:rsid w:val="00BA1211"/>
    <w:rsid w:val="00BA1311"/>
    <w:rsid w:val="00BA1CDF"/>
    <w:rsid w:val="00BA336E"/>
    <w:rsid w:val="00BA42BE"/>
    <w:rsid w:val="00BA48F5"/>
    <w:rsid w:val="00BA48FE"/>
    <w:rsid w:val="00BA4A9B"/>
    <w:rsid w:val="00BA6166"/>
    <w:rsid w:val="00BA6267"/>
    <w:rsid w:val="00BB0B7D"/>
    <w:rsid w:val="00BB398C"/>
    <w:rsid w:val="00BB42CD"/>
    <w:rsid w:val="00BB4FA1"/>
    <w:rsid w:val="00BB583E"/>
    <w:rsid w:val="00BB7129"/>
    <w:rsid w:val="00BC149E"/>
    <w:rsid w:val="00BC2821"/>
    <w:rsid w:val="00BC4261"/>
    <w:rsid w:val="00BC6E31"/>
    <w:rsid w:val="00BD01D5"/>
    <w:rsid w:val="00BD0791"/>
    <w:rsid w:val="00BD185E"/>
    <w:rsid w:val="00BD1C85"/>
    <w:rsid w:val="00BD2D4B"/>
    <w:rsid w:val="00BD31D5"/>
    <w:rsid w:val="00BD42CB"/>
    <w:rsid w:val="00BD57AE"/>
    <w:rsid w:val="00BD5A10"/>
    <w:rsid w:val="00BD6955"/>
    <w:rsid w:val="00BD6F33"/>
    <w:rsid w:val="00BD7DC8"/>
    <w:rsid w:val="00BE05DC"/>
    <w:rsid w:val="00BE10BD"/>
    <w:rsid w:val="00BE23D1"/>
    <w:rsid w:val="00BE3043"/>
    <w:rsid w:val="00BE3FE5"/>
    <w:rsid w:val="00BE43A4"/>
    <w:rsid w:val="00BE4FE6"/>
    <w:rsid w:val="00BE566D"/>
    <w:rsid w:val="00BE5948"/>
    <w:rsid w:val="00BE664E"/>
    <w:rsid w:val="00BE68AA"/>
    <w:rsid w:val="00BE7C30"/>
    <w:rsid w:val="00BF1B2D"/>
    <w:rsid w:val="00BF1FB7"/>
    <w:rsid w:val="00BF36A5"/>
    <w:rsid w:val="00BF455A"/>
    <w:rsid w:val="00C02616"/>
    <w:rsid w:val="00C02A2A"/>
    <w:rsid w:val="00C02E6B"/>
    <w:rsid w:val="00C034CC"/>
    <w:rsid w:val="00C03B2F"/>
    <w:rsid w:val="00C03D39"/>
    <w:rsid w:val="00C0414F"/>
    <w:rsid w:val="00C05FBB"/>
    <w:rsid w:val="00C06F2C"/>
    <w:rsid w:val="00C07783"/>
    <w:rsid w:val="00C07818"/>
    <w:rsid w:val="00C1046E"/>
    <w:rsid w:val="00C107E2"/>
    <w:rsid w:val="00C11555"/>
    <w:rsid w:val="00C11B29"/>
    <w:rsid w:val="00C130FF"/>
    <w:rsid w:val="00C13FED"/>
    <w:rsid w:val="00C14A03"/>
    <w:rsid w:val="00C16720"/>
    <w:rsid w:val="00C17734"/>
    <w:rsid w:val="00C21A7D"/>
    <w:rsid w:val="00C232F4"/>
    <w:rsid w:val="00C235E0"/>
    <w:rsid w:val="00C24118"/>
    <w:rsid w:val="00C247D5"/>
    <w:rsid w:val="00C26742"/>
    <w:rsid w:val="00C2751F"/>
    <w:rsid w:val="00C27A34"/>
    <w:rsid w:val="00C27AEB"/>
    <w:rsid w:val="00C305D9"/>
    <w:rsid w:val="00C30D5F"/>
    <w:rsid w:val="00C311E9"/>
    <w:rsid w:val="00C31D1C"/>
    <w:rsid w:val="00C320FB"/>
    <w:rsid w:val="00C32491"/>
    <w:rsid w:val="00C34187"/>
    <w:rsid w:val="00C345B1"/>
    <w:rsid w:val="00C36C12"/>
    <w:rsid w:val="00C41841"/>
    <w:rsid w:val="00C4202E"/>
    <w:rsid w:val="00C43021"/>
    <w:rsid w:val="00C4352B"/>
    <w:rsid w:val="00C439C6"/>
    <w:rsid w:val="00C44A56"/>
    <w:rsid w:val="00C4589C"/>
    <w:rsid w:val="00C45F38"/>
    <w:rsid w:val="00C464B0"/>
    <w:rsid w:val="00C4652F"/>
    <w:rsid w:val="00C4676E"/>
    <w:rsid w:val="00C4748F"/>
    <w:rsid w:val="00C47653"/>
    <w:rsid w:val="00C47BDF"/>
    <w:rsid w:val="00C51735"/>
    <w:rsid w:val="00C52C63"/>
    <w:rsid w:val="00C535B6"/>
    <w:rsid w:val="00C54A7A"/>
    <w:rsid w:val="00C55F58"/>
    <w:rsid w:val="00C571A4"/>
    <w:rsid w:val="00C571BB"/>
    <w:rsid w:val="00C579B3"/>
    <w:rsid w:val="00C61413"/>
    <w:rsid w:val="00C63526"/>
    <w:rsid w:val="00C63DC8"/>
    <w:rsid w:val="00C63F34"/>
    <w:rsid w:val="00C64396"/>
    <w:rsid w:val="00C64780"/>
    <w:rsid w:val="00C65DE7"/>
    <w:rsid w:val="00C66552"/>
    <w:rsid w:val="00C66AC2"/>
    <w:rsid w:val="00C6746F"/>
    <w:rsid w:val="00C6765B"/>
    <w:rsid w:val="00C70B1C"/>
    <w:rsid w:val="00C7329C"/>
    <w:rsid w:val="00C73C0A"/>
    <w:rsid w:val="00C73E53"/>
    <w:rsid w:val="00C752FF"/>
    <w:rsid w:val="00C75FB8"/>
    <w:rsid w:val="00C76115"/>
    <w:rsid w:val="00C77007"/>
    <w:rsid w:val="00C83C13"/>
    <w:rsid w:val="00C83CA2"/>
    <w:rsid w:val="00C84BF1"/>
    <w:rsid w:val="00C84CA0"/>
    <w:rsid w:val="00C856EF"/>
    <w:rsid w:val="00C87558"/>
    <w:rsid w:val="00C879B9"/>
    <w:rsid w:val="00C87B51"/>
    <w:rsid w:val="00C90073"/>
    <w:rsid w:val="00C930F2"/>
    <w:rsid w:val="00C93291"/>
    <w:rsid w:val="00C9363E"/>
    <w:rsid w:val="00C93BE1"/>
    <w:rsid w:val="00C954F3"/>
    <w:rsid w:val="00C9565B"/>
    <w:rsid w:val="00C95C93"/>
    <w:rsid w:val="00C95D05"/>
    <w:rsid w:val="00C9615A"/>
    <w:rsid w:val="00C96C17"/>
    <w:rsid w:val="00CA0EB2"/>
    <w:rsid w:val="00CA0FDF"/>
    <w:rsid w:val="00CA1A81"/>
    <w:rsid w:val="00CA1C25"/>
    <w:rsid w:val="00CA638D"/>
    <w:rsid w:val="00CA6460"/>
    <w:rsid w:val="00CA7264"/>
    <w:rsid w:val="00CB13D5"/>
    <w:rsid w:val="00CB1D35"/>
    <w:rsid w:val="00CB27B4"/>
    <w:rsid w:val="00CB2A3D"/>
    <w:rsid w:val="00CB3ADA"/>
    <w:rsid w:val="00CB651C"/>
    <w:rsid w:val="00CB73CB"/>
    <w:rsid w:val="00CC2849"/>
    <w:rsid w:val="00CC29A4"/>
    <w:rsid w:val="00CC340E"/>
    <w:rsid w:val="00CC533C"/>
    <w:rsid w:val="00CC586B"/>
    <w:rsid w:val="00CD1447"/>
    <w:rsid w:val="00CD1C26"/>
    <w:rsid w:val="00CD1DC4"/>
    <w:rsid w:val="00CD2727"/>
    <w:rsid w:val="00CD3FFF"/>
    <w:rsid w:val="00CD584B"/>
    <w:rsid w:val="00CD6C08"/>
    <w:rsid w:val="00CD7040"/>
    <w:rsid w:val="00CE0762"/>
    <w:rsid w:val="00CE0C4F"/>
    <w:rsid w:val="00CE387A"/>
    <w:rsid w:val="00CE3F40"/>
    <w:rsid w:val="00CE4038"/>
    <w:rsid w:val="00CE422A"/>
    <w:rsid w:val="00CE47F1"/>
    <w:rsid w:val="00CE4BF1"/>
    <w:rsid w:val="00CE7AB8"/>
    <w:rsid w:val="00CE7E86"/>
    <w:rsid w:val="00CF04EB"/>
    <w:rsid w:val="00CF305B"/>
    <w:rsid w:val="00CF37B9"/>
    <w:rsid w:val="00CF39FB"/>
    <w:rsid w:val="00CF3CED"/>
    <w:rsid w:val="00CF406E"/>
    <w:rsid w:val="00CF415D"/>
    <w:rsid w:val="00CF48AC"/>
    <w:rsid w:val="00CF4A4E"/>
    <w:rsid w:val="00CF5838"/>
    <w:rsid w:val="00CF66FD"/>
    <w:rsid w:val="00CF7E96"/>
    <w:rsid w:val="00D00940"/>
    <w:rsid w:val="00D00D3E"/>
    <w:rsid w:val="00D01EAE"/>
    <w:rsid w:val="00D02744"/>
    <w:rsid w:val="00D036CD"/>
    <w:rsid w:val="00D0393D"/>
    <w:rsid w:val="00D04183"/>
    <w:rsid w:val="00D04262"/>
    <w:rsid w:val="00D04A5B"/>
    <w:rsid w:val="00D04A6B"/>
    <w:rsid w:val="00D04C29"/>
    <w:rsid w:val="00D051D7"/>
    <w:rsid w:val="00D0664B"/>
    <w:rsid w:val="00D06892"/>
    <w:rsid w:val="00D07357"/>
    <w:rsid w:val="00D104F1"/>
    <w:rsid w:val="00D10E02"/>
    <w:rsid w:val="00D10FAD"/>
    <w:rsid w:val="00D1367A"/>
    <w:rsid w:val="00D142F7"/>
    <w:rsid w:val="00D1667A"/>
    <w:rsid w:val="00D16C93"/>
    <w:rsid w:val="00D176D9"/>
    <w:rsid w:val="00D207EB"/>
    <w:rsid w:val="00D20BE8"/>
    <w:rsid w:val="00D2130A"/>
    <w:rsid w:val="00D213EC"/>
    <w:rsid w:val="00D21F09"/>
    <w:rsid w:val="00D221D0"/>
    <w:rsid w:val="00D22862"/>
    <w:rsid w:val="00D22CD2"/>
    <w:rsid w:val="00D239A3"/>
    <w:rsid w:val="00D252E6"/>
    <w:rsid w:val="00D2561B"/>
    <w:rsid w:val="00D2565F"/>
    <w:rsid w:val="00D268B1"/>
    <w:rsid w:val="00D3207D"/>
    <w:rsid w:val="00D32CA6"/>
    <w:rsid w:val="00D33358"/>
    <w:rsid w:val="00D333F2"/>
    <w:rsid w:val="00D33630"/>
    <w:rsid w:val="00D340D9"/>
    <w:rsid w:val="00D3551F"/>
    <w:rsid w:val="00D35880"/>
    <w:rsid w:val="00D359B5"/>
    <w:rsid w:val="00D36975"/>
    <w:rsid w:val="00D3787B"/>
    <w:rsid w:val="00D40102"/>
    <w:rsid w:val="00D40945"/>
    <w:rsid w:val="00D416F5"/>
    <w:rsid w:val="00D42D97"/>
    <w:rsid w:val="00D47C5A"/>
    <w:rsid w:val="00D50EA1"/>
    <w:rsid w:val="00D50F8F"/>
    <w:rsid w:val="00D5130C"/>
    <w:rsid w:val="00D52603"/>
    <w:rsid w:val="00D5342A"/>
    <w:rsid w:val="00D55BF5"/>
    <w:rsid w:val="00D56709"/>
    <w:rsid w:val="00D576C1"/>
    <w:rsid w:val="00D6271F"/>
    <w:rsid w:val="00D64C3A"/>
    <w:rsid w:val="00D65689"/>
    <w:rsid w:val="00D65F81"/>
    <w:rsid w:val="00D65FEB"/>
    <w:rsid w:val="00D66144"/>
    <w:rsid w:val="00D71367"/>
    <w:rsid w:val="00D71831"/>
    <w:rsid w:val="00D71A81"/>
    <w:rsid w:val="00D735D1"/>
    <w:rsid w:val="00D73C9B"/>
    <w:rsid w:val="00D74174"/>
    <w:rsid w:val="00D74C0C"/>
    <w:rsid w:val="00D74C91"/>
    <w:rsid w:val="00D768F0"/>
    <w:rsid w:val="00D7722B"/>
    <w:rsid w:val="00D775F3"/>
    <w:rsid w:val="00D8037A"/>
    <w:rsid w:val="00D80BB6"/>
    <w:rsid w:val="00D80C77"/>
    <w:rsid w:val="00D81291"/>
    <w:rsid w:val="00D82946"/>
    <w:rsid w:val="00D8347A"/>
    <w:rsid w:val="00D83770"/>
    <w:rsid w:val="00D84FCA"/>
    <w:rsid w:val="00D859A4"/>
    <w:rsid w:val="00D85B57"/>
    <w:rsid w:val="00D85B80"/>
    <w:rsid w:val="00D860AB"/>
    <w:rsid w:val="00D86764"/>
    <w:rsid w:val="00D908E4"/>
    <w:rsid w:val="00D9172E"/>
    <w:rsid w:val="00D91D1B"/>
    <w:rsid w:val="00D91D92"/>
    <w:rsid w:val="00D92FF3"/>
    <w:rsid w:val="00D93225"/>
    <w:rsid w:val="00D93FB8"/>
    <w:rsid w:val="00D94495"/>
    <w:rsid w:val="00D94F1F"/>
    <w:rsid w:val="00D9501E"/>
    <w:rsid w:val="00D95D82"/>
    <w:rsid w:val="00D976AE"/>
    <w:rsid w:val="00DA090B"/>
    <w:rsid w:val="00DA1E4A"/>
    <w:rsid w:val="00DA1EEC"/>
    <w:rsid w:val="00DA3D09"/>
    <w:rsid w:val="00DA5907"/>
    <w:rsid w:val="00DA6EA6"/>
    <w:rsid w:val="00DA7A72"/>
    <w:rsid w:val="00DB10F4"/>
    <w:rsid w:val="00DB1439"/>
    <w:rsid w:val="00DB26A3"/>
    <w:rsid w:val="00DB2869"/>
    <w:rsid w:val="00DB2CCE"/>
    <w:rsid w:val="00DB36BC"/>
    <w:rsid w:val="00DB4113"/>
    <w:rsid w:val="00DB43C0"/>
    <w:rsid w:val="00DB4925"/>
    <w:rsid w:val="00DB6DBD"/>
    <w:rsid w:val="00DB6E68"/>
    <w:rsid w:val="00DB7F2F"/>
    <w:rsid w:val="00DC1241"/>
    <w:rsid w:val="00DC1D77"/>
    <w:rsid w:val="00DC207E"/>
    <w:rsid w:val="00DC32F4"/>
    <w:rsid w:val="00DC3ABD"/>
    <w:rsid w:val="00DC43DD"/>
    <w:rsid w:val="00DC493B"/>
    <w:rsid w:val="00DC5306"/>
    <w:rsid w:val="00DC5667"/>
    <w:rsid w:val="00DC62AB"/>
    <w:rsid w:val="00DD3E6B"/>
    <w:rsid w:val="00DD462A"/>
    <w:rsid w:val="00DD57CC"/>
    <w:rsid w:val="00DD5A3D"/>
    <w:rsid w:val="00DD658B"/>
    <w:rsid w:val="00DD6D9C"/>
    <w:rsid w:val="00DD79F9"/>
    <w:rsid w:val="00DE0797"/>
    <w:rsid w:val="00DE1CF8"/>
    <w:rsid w:val="00DE1FC5"/>
    <w:rsid w:val="00DE243C"/>
    <w:rsid w:val="00DE29CA"/>
    <w:rsid w:val="00DE3ED6"/>
    <w:rsid w:val="00DE5052"/>
    <w:rsid w:val="00DE6867"/>
    <w:rsid w:val="00DE744A"/>
    <w:rsid w:val="00DF1581"/>
    <w:rsid w:val="00DF53A6"/>
    <w:rsid w:val="00DF6172"/>
    <w:rsid w:val="00DF61DA"/>
    <w:rsid w:val="00DF7151"/>
    <w:rsid w:val="00DF7C20"/>
    <w:rsid w:val="00E00A37"/>
    <w:rsid w:val="00E036FA"/>
    <w:rsid w:val="00E03D2F"/>
    <w:rsid w:val="00E05460"/>
    <w:rsid w:val="00E055B5"/>
    <w:rsid w:val="00E06E5B"/>
    <w:rsid w:val="00E06F0D"/>
    <w:rsid w:val="00E079A5"/>
    <w:rsid w:val="00E07AF7"/>
    <w:rsid w:val="00E10E45"/>
    <w:rsid w:val="00E1201C"/>
    <w:rsid w:val="00E12086"/>
    <w:rsid w:val="00E1482E"/>
    <w:rsid w:val="00E148C3"/>
    <w:rsid w:val="00E1666A"/>
    <w:rsid w:val="00E1720C"/>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278FB"/>
    <w:rsid w:val="00E31AE1"/>
    <w:rsid w:val="00E31B6F"/>
    <w:rsid w:val="00E31EE4"/>
    <w:rsid w:val="00E32651"/>
    <w:rsid w:val="00E3277E"/>
    <w:rsid w:val="00E343F6"/>
    <w:rsid w:val="00E3449A"/>
    <w:rsid w:val="00E35F28"/>
    <w:rsid w:val="00E360CE"/>
    <w:rsid w:val="00E36D19"/>
    <w:rsid w:val="00E371A8"/>
    <w:rsid w:val="00E40B1C"/>
    <w:rsid w:val="00E42542"/>
    <w:rsid w:val="00E42B2D"/>
    <w:rsid w:val="00E43E31"/>
    <w:rsid w:val="00E441A3"/>
    <w:rsid w:val="00E45055"/>
    <w:rsid w:val="00E45D58"/>
    <w:rsid w:val="00E45FC7"/>
    <w:rsid w:val="00E45FEB"/>
    <w:rsid w:val="00E46001"/>
    <w:rsid w:val="00E461D7"/>
    <w:rsid w:val="00E47DCF"/>
    <w:rsid w:val="00E50A1E"/>
    <w:rsid w:val="00E50C87"/>
    <w:rsid w:val="00E5150C"/>
    <w:rsid w:val="00E51806"/>
    <w:rsid w:val="00E52D70"/>
    <w:rsid w:val="00E54331"/>
    <w:rsid w:val="00E552CF"/>
    <w:rsid w:val="00E57A1C"/>
    <w:rsid w:val="00E61A9C"/>
    <w:rsid w:val="00E6276E"/>
    <w:rsid w:val="00E632DE"/>
    <w:rsid w:val="00E64AA4"/>
    <w:rsid w:val="00E67AE8"/>
    <w:rsid w:val="00E70F36"/>
    <w:rsid w:val="00E71E8C"/>
    <w:rsid w:val="00E72486"/>
    <w:rsid w:val="00E73624"/>
    <w:rsid w:val="00E73CEE"/>
    <w:rsid w:val="00E7477E"/>
    <w:rsid w:val="00E76245"/>
    <w:rsid w:val="00E769A6"/>
    <w:rsid w:val="00E77253"/>
    <w:rsid w:val="00E77F56"/>
    <w:rsid w:val="00E80E82"/>
    <w:rsid w:val="00E823B6"/>
    <w:rsid w:val="00E82BD7"/>
    <w:rsid w:val="00E909AF"/>
    <w:rsid w:val="00E91250"/>
    <w:rsid w:val="00E914C6"/>
    <w:rsid w:val="00E91727"/>
    <w:rsid w:val="00E924B8"/>
    <w:rsid w:val="00E92EB1"/>
    <w:rsid w:val="00E93391"/>
    <w:rsid w:val="00E93824"/>
    <w:rsid w:val="00EA025A"/>
    <w:rsid w:val="00EA1580"/>
    <w:rsid w:val="00EA1995"/>
    <w:rsid w:val="00EA21FF"/>
    <w:rsid w:val="00EA29EC"/>
    <w:rsid w:val="00EA468D"/>
    <w:rsid w:val="00EA49D6"/>
    <w:rsid w:val="00EA6C42"/>
    <w:rsid w:val="00EA6C75"/>
    <w:rsid w:val="00EA746B"/>
    <w:rsid w:val="00EA75E2"/>
    <w:rsid w:val="00EB3317"/>
    <w:rsid w:val="00EB41F1"/>
    <w:rsid w:val="00EB44F3"/>
    <w:rsid w:val="00EB4721"/>
    <w:rsid w:val="00EB4ED4"/>
    <w:rsid w:val="00EB5F85"/>
    <w:rsid w:val="00EB673E"/>
    <w:rsid w:val="00EC0705"/>
    <w:rsid w:val="00EC2D3F"/>
    <w:rsid w:val="00EC2FD7"/>
    <w:rsid w:val="00EC41D2"/>
    <w:rsid w:val="00EC4C1D"/>
    <w:rsid w:val="00ED06D9"/>
    <w:rsid w:val="00ED0CFD"/>
    <w:rsid w:val="00ED1D1B"/>
    <w:rsid w:val="00ED230D"/>
    <w:rsid w:val="00ED2338"/>
    <w:rsid w:val="00ED3FFD"/>
    <w:rsid w:val="00ED4AD9"/>
    <w:rsid w:val="00ED5400"/>
    <w:rsid w:val="00ED738E"/>
    <w:rsid w:val="00ED7C18"/>
    <w:rsid w:val="00EE1C7C"/>
    <w:rsid w:val="00EE2508"/>
    <w:rsid w:val="00EE3399"/>
    <w:rsid w:val="00EE3E85"/>
    <w:rsid w:val="00EE4199"/>
    <w:rsid w:val="00EE6498"/>
    <w:rsid w:val="00EF050B"/>
    <w:rsid w:val="00EF074B"/>
    <w:rsid w:val="00EF113C"/>
    <w:rsid w:val="00EF28B4"/>
    <w:rsid w:val="00EF51CA"/>
    <w:rsid w:val="00EF5785"/>
    <w:rsid w:val="00EF5DAC"/>
    <w:rsid w:val="00EF5E94"/>
    <w:rsid w:val="00EF63A9"/>
    <w:rsid w:val="00EF6AE2"/>
    <w:rsid w:val="00F003ED"/>
    <w:rsid w:val="00F022C4"/>
    <w:rsid w:val="00F02D60"/>
    <w:rsid w:val="00F0571F"/>
    <w:rsid w:val="00F07561"/>
    <w:rsid w:val="00F075B0"/>
    <w:rsid w:val="00F07940"/>
    <w:rsid w:val="00F10387"/>
    <w:rsid w:val="00F12281"/>
    <w:rsid w:val="00F122B1"/>
    <w:rsid w:val="00F1318C"/>
    <w:rsid w:val="00F15494"/>
    <w:rsid w:val="00F15F90"/>
    <w:rsid w:val="00F16660"/>
    <w:rsid w:val="00F1684F"/>
    <w:rsid w:val="00F16FC3"/>
    <w:rsid w:val="00F1779F"/>
    <w:rsid w:val="00F2094C"/>
    <w:rsid w:val="00F21E70"/>
    <w:rsid w:val="00F2225C"/>
    <w:rsid w:val="00F2380D"/>
    <w:rsid w:val="00F23CEE"/>
    <w:rsid w:val="00F266AD"/>
    <w:rsid w:val="00F3407D"/>
    <w:rsid w:val="00F35C04"/>
    <w:rsid w:val="00F35D20"/>
    <w:rsid w:val="00F373AA"/>
    <w:rsid w:val="00F37510"/>
    <w:rsid w:val="00F4138E"/>
    <w:rsid w:val="00F41F8C"/>
    <w:rsid w:val="00F43147"/>
    <w:rsid w:val="00F43319"/>
    <w:rsid w:val="00F443DB"/>
    <w:rsid w:val="00F44A2C"/>
    <w:rsid w:val="00F45E49"/>
    <w:rsid w:val="00F46321"/>
    <w:rsid w:val="00F46F80"/>
    <w:rsid w:val="00F479D2"/>
    <w:rsid w:val="00F50B43"/>
    <w:rsid w:val="00F50EFE"/>
    <w:rsid w:val="00F51217"/>
    <w:rsid w:val="00F512AA"/>
    <w:rsid w:val="00F52AD3"/>
    <w:rsid w:val="00F55215"/>
    <w:rsid w:val="00F5653E"/>
    <w:rsid w:val="00F6282E"/>
    <w:rsid w:val="00F6340C"/>
    <w:rsid w:val="00F64947"/>
    <w:rsid w:val="00F6498D"/>
    <w:rsid w:val="00F65278"/>
    <w:rsid w:val="00F65283"/>
    <w:rsid w:val="00F66A3F"/>
    <w:rsid w:val="00F676A0"/>
    <w:rsid w:val="00F70039"/>
    <w:rsid w:val="00F70409"/>
    <w:rsid w:val="00F70433"/>
    <w:rsid w:val="00F742A7"/>
    <w:rsid w:val="00F75099"/>
    <w:rsid w:val="00F75631"/>
    <w:rsid w:val="00F758FC"/>
    <w:rsid w:val="00F75DA8"/>
    <w:rsid w:val="00F76119"/>
    <w:rsid w:val="00F77AF2"/>
    <w:rsid w:val="00F80459"/>
    <w:rsid w:val="00F81014"/>
    <w:rsid w:val="00F81097"/>
    <w:rsid w:val="00F82C24"/>
    <w:rsid w:val="00F849F8"/>
    <w:rsid w:val="00F864BA"/>
    <w:rsid w:val="00F86DFD"/>
    <w:rsid w:val="00F90940"/>
    <w:rsid w:val="00F90BBB"/>
    <w:rsid w:val="00F90F91"/>
    <w:rsid w:val="00F91E37"/>
    <w:rsid w:val="00F94FF6"/>
    <w:rsid w:val="00F95062"/>
    <w:rsid w:val="00F95B44"/>
    <w:rsid w:val="00F9706F"/>
    <w:rsid w:val="00F973B0"/>
    <w:rsid w:val="00FA1028"/>
    <w:rsid w:val="00FA1863"/>
    <w:rsid w:val="00FA1AB3"/>
    <w:rsid w:val="00FA2365"/>
    <w:rsid w:val="00FA38DC"/>
    <w:rsid w:val="00FA3A70"/>
    <w:rsid w:val="00FA59CF"/>
    <w:rsid w:val="00FA5E70"/>
    <w:rsid w:val="00FA698D"/>
    <w:rsid w:val="00FA74FC"/>
    <w:rsid w:val="00FB052F"/>
    <w:rsid w:val="00FB0A81"/>
    <w:rsid w:val="00FB46B2"/>
    <w:rsid w:val="00FB5DB6"/>
    <w:rsid w:val="00FC0AEF"/>
    <w:rsid w:val="00FC25E8"/>
    <w:rsid w:val="00FC55C8"/>
    <w:rsid w:val="00FC692C"/>
    <w:rsid w:val="00FD0120"/>
    <w:rsid w:val="00FD08D8"/>
    <w:rsid w:val="00FD260E"/>
    <w:rsid w:val="00FD6553"/>
    <w:rsid w:val="00FD7683"/>
    <w:rsid w:val="00FE0699"/>
    <w:rsid w:val="00FE0C1E"/>
    <w:rsid w:val="00FE0C83"/>
    <w:rsid w:val="00FE1CB5"/>
    <w:rsid w:val="00FE3C59"/>
    <w:rsid w:val="00FE4D6C"/>
    <w:rsid w:val="00FE535D"/>
    <w:rsid w:val="00FE5E10"/>
    <w:rsid w:val="00FE6343"/>
    <w:rsid w:val="00FE6396"/>
    <w:rsid w:val="00FF012D"/>
    <w:rsid w:val="00FF0871"/>
    <w:rsid w:val="00FF195E"/>
    <w:rsid w:val="00FF2C21"/>
    <w:rsid w:val="00FF3FC0"/>
    <w:rsid w:val="00FF58A0"/>
    <w:rsid w:val="00FF6039"/>
    <w:rsid w:val="00FF6626"/>
    <w:rsid w:val="00FF6D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Classic 4"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1"/>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563671"/>
    <w:pPr>
      <w:spacing w:after="0" w:line="240" w:lineRule="auto"/>
    </w:pPr>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line="240" w:lineRule="auto"/>
      <w:jc w:val="right"/>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Classic 4"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1"/>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after="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pPr>
      <w:spacing w:after="0" w:line="240" w:lineRule="auto"/>
    </w:pPr>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line="240" w:lineRule="auto"/>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spacing w:after="0" w:line="240" w:lineRule="auto"/>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line="240" w:lineRule="auto"/>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pPr>
      <w:spacing w:after="0" w:line="240" w:lineRule="auto"/>
    </w:pPr>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line="240" w:lineRule="auto"/>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spacing w:after="0" w:line="240" w:lineRule="auto"/>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
    <w:basedOn w:val="Normal"/>
    <w:link w:val="FootnoteTextChar"/>
    <w:uiPriority w:val="99"/>
    <w:rsid w:val="00563671"/>
    <w:pPr>
      <w:spacing w:after="0" w:line="240" w:lineRule="auto"/>
    </w:pPr>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line="240" w:lineRule="auto"/>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pPr>
      <w:spacing w:line="240" w:lineRule="auto"/>
    </w:pPr>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link w:val="ListParagraph"/>
    <w:uiPriority w:val="99"/>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after="0" w:line="240" w:lineRule="auto"/>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line="240" w:lineRule="auto"/>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line="240" w:lineRule="auto"/>
      <w:jc w:val="right"/>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4539505">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194731797">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ilze.briede@pmlp.gov.lv" TargetMode="External"/><Relationship Id="rId23" Type="http://schemas.microsoft.com/office/2011/relationships/people" Target="people.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1" Type="http://schemas.openxmlformats.org/officeDocument/2006/relationships/hyperlink" Target="http://epp.eurostat.ec.europa.eu/cache/ITY_OFFPUB/KS-SF-12-031/EN/KS-SF-12-031-EN.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barChart>
        <c:barDir val="col"/>
        <c:grouping val="stacked"/>
        <c:ser>
          <c:idx val="3"/>
          <c:order val="3"/>
          <c:tx>
            <c:strRef>
              <c:f>Sheet1!$E$1</c:f>
              <c:strCache>
                <c:ptCount val="1"/>
                <c:pt idx="0">
                  <c:v>Kopējās investīcijas</c:v>
                </c:pt>
              </c:strCache>
            </c:strRef>
          </c:tx>
          <c:spPr>
            <a:solidFill>
              <a:schemeClr val="accent4"/>
            </a:solidFill>
            <a:ln>
              <a:noFill/>
            </a:ln>
            <a:effectLst/>
          </c:spPr>
          <c:cat>
            <c:strRef>
              <c:f>Sheet1!$A$2:$A$31</c:f>
              <c:strCache>
                <c:ptCount val="30"/>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strCache>
            </c:strRef>
          </c:cat>
          <c:val>
            <c:numRef>
              <c:f>Sheet1!$E$2:$E$31</c:f>
              <c:numCache>
                <c:formatCode>#,##0</c:formatCode>
                <c:ptCount val="30"/>
                <c:pt idx="0">
                  <c:v>41429</c:v>
                </c:pt>
                <c:pt idx="1">
                  <c:v>26265</c:v>
                </c:pt>
                <c:pt idx="2">
                  <c:v>30032</c:v>
                </c:pt>
                <c:pt idx="3">
                  <c:v>40935</c:v>
                </c:pt>
                <c:pt idx="4">
                  <c:v>33874</c:v>
                </c:pt>
                <c:pt idx="5">
                  <c:v>26338</c:v>
                </c:pt>
                <c:pt idx="6">
                  <c:v>47252</c:v>
                </c:pt>
                <c:pt idx="7">
                  <c:v>62425</c:v>
                </c:pt>
                <c:pt idx="8">
                  <c:v>41482</c:v>
                </c:pt>
                <c:pt idx="9">
                  <c:v>34183</c:v>
                </c:pt>
                <c:pt idx="10">
                  <c:v>25592</c:v>
                </c:pt>
                <c:pt idx="11">
                  <c:v>27761</c:v>
                </c:pt>
                <c:pt idx="12">
                  <c:v>8580</c:v>
                </c:pt>
                <c:pt idx="13">
                  <c:v>7970</c:v>
                </c:pt>
                <c:pt idx="14">
                  <c:v>9435</c:v>
                </c:pt>
                <c:pt idx="15">
                  <c:v>6319</c:v>
                </c:pt>
                <c:pt idx="16">
                  <c:v>8629</c:v>
                </c:pt>
                <c:pt idx="17">
                  <c:v>7952</c:v>
                </c:pt>
                <c:pt idx="18">
                  <c:v>7000</c:v>
                </c:pt>
                <c:pt idx="19">
                  <c:v>7661</c:v>
                </c:pt>
                <c:pt idx="20">
                  <c:v>6095</c:v>
                </c:pt>
                <c:pt idx="21">
                  <c:v>5912</c:v>
                </c:pt>
                <c:pt idx="22">
                  <c:v>6755</c:v>
                </c:pt>
                <c:pt idx="23">
                  <c:v>4730</c:v>
                </c:pt>
                <c:pt idx="24">
                  <c:v>3278</c:v>
                </c:pt>
                <c:pt idx="25">
                  <c:v>4351</c:v>
                </c:pt>
                <c:pt idx="26">
                  <c:v>2048</c:v>
                </c:pt>
                <c:pt idx="27">
                  <c:v>5356</c:v>
                </c:pt>
                <c:pt idx="28">
                  <c:v>3187</c:v>
                </c:pt>
                <c:pt idx="29">
                  <c:v>1225</c:v>
                </c:pt>
              </c:numCache>
            </c:numRef>
          </c:val>
        </c:ser>
        <c:overlap val="100"/>
        <c:axId val="75217920"/>
        <c:axId val="75215616"/>
      </c:barChart>
      <c:lineChart>
        <c:grouping val="standard"/>
        <c:ser>
          <c:idx val="0"/>
          <c:order val="0"/>
          <c:tx>
            <c:strRef>
              <c:f>Sheet1!$B$1</c:f>
              <c:strCache>
                <c:ptCount val="1"/>
                <c:pt idx="0">
                  <c:v>NĪ</c:v>
                </c:pt>
              </c:strCache>
            </c:strRef>
          </c:tx>
          <c:spPr>
            <a:ln w="28575" cap="rnd">
              <a:solidFill>
                <a:schemeClr val="accent1"/>
              </a:solidFill>
              <a:round/>
            </a:ln>
            <a:effectLst/>
          </c:spPr>
          <c:marker>
            <c:symbol val="none"/>
          </c:marker>
          <c:cat>
            <c:strRef>
              <c:f>Sheet1!$A$2:$A$31</c:f>
              <c:strCache>
                <c:ptCount val="30"/>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strCache>
            </c:strRef>
          </c:cat>
          <c:val>
            <c:numRef>
              <c:f>Sheet1!$B$2:$B$31</c:f>
              <c:numCache>
                <c:formatCode>General</c:formatCode>
                <c:ptCount val="30"/>
                <c:pt idx="0">
                  <c:v>204</c:v>
                </c:pt>
                <c:pt idx="1">
                  <c:v>138</c:v>
                </c:pt>
                <c:pt idx="2">
                  <c:v>163</c:v>
                </c:pt>
                <c:pt idx="3">
                  <c:v>193</c:v>
                </c:pt>
                <c:pt idx="4">
                  <c:v>153</c:v>
                </c:pt>
                <c:pt idx="5">
                  <c:v>137</c:v>
                </c:pt>
                <c:pt idx="6">
                  <c:v>248</c:v>
                </c:pt>
                <c:pt idx="7">
                  <c:v>332</c:v>
                </c:pt>
                <c:pt idx="8">
                  <c:v>237</c:v>
                </c:pt>
                <c:pt idx="9">
                  <c:v>197</c:v>
                </c:pt>
                <c:pt idx="10">
                  <c:v>119</c:v>
                </c:pt>
                <c:pt idx="11">
                  <c:v>84</c:v>
                </c:pt>
                <c:pt idx="12">
                  <c:v>44</c:v>
                </c:pt>
                <c:pt idx="13">
                  <c:v>26</c:v>
                </c:pt>
                <c:pt idx="14">
                  <c:v>22</c:v>
                </c:pt>
                <c:pt idx="15">
                  <c:v>16</c:v>
                </c:pt>
                <c:pt idx="16">
                  <c:v>14</c:v>
                </c:pt>
                <c:pt idx="17">
                  <c:v>21</c:v>
                </c:pt>
                <c:pt idx="18">
                  <c:v>24</c:v>
                </c:pt>
                <c:pt idx="19">
                  <c:v>17</c:v>
                </c:pt>
                <c:pt idx="20">
                  <c:v>18</c:v>
                </c:pt>
                <c:pt idx="21">
                  <c:v>16</c:v>
                </c:pt>
                <c:pt idx="22">
                  <c:v>21</c:v>
                </c:pt>
                <c:pt idx="23">
                  <c:v>12</c:v>
                </c:pt>
                <c:pt idx="24">
                  <c:v>10</c:v>
                </c:pt>
                <c:pt idx="25">
                  <c:v>13</c:v>
                </c:pt>
                <c:pt idx="26">
                  <c:v>5</c:v>
                </c:pt>
                <c:pt idx="27">
                  <c:v>13</c:v>
                </c:pt>
                <c:pt idx="28">
                  <c:v>6</c:v>
                </c:pt>
                <c:pt idx="29">
                  <c:v>4</c:v>
                </c:pt>
              </c:numCache>
            </c:numRef>
          </c:val>
        </c:ser>
        <c:ser>
          <c:idx val="1"/>
          <c:order val="1"/>
          <c:tx>
            <c:strRef>
              <c:f>Sheet1!$C$1</c:f>
              <c:strCache>
                <c:ptCount val="1"/>
                <c:pt idx="0">
                  <c:v>Ieguldījumi pamatkapitālā</c:v>
                </c:pt>
              </c:strCache>
            </c:strRef>
          </c:tx>
          <c:spPr>
            <a:ln w="28575" cap="rnd">
              <a:solidFill>
                <a:schemeClr val="accent2"/>
              </a:solidFill>
              <a:round/>
            </a:ln>
            <a:effectLst/>
          </c:spPr>
          <c:marker>
            <c:symbol val="none"/>
          </c:marker>
          <c:cat>
            <c:strRef>
              <c:f>Sheet1!$A$2:$A$31</c:f>
              <c:strCache>
                <c:ptCount val="30"/>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strCache>
            </c:strRef>
          </c:cat>
          <c:val>
            <c:numRef>
              <c:f>Sheet1!$C$2:$C$31</c:f>
              <c:numCache>
                <c:formatCode>General</c:formatCode>
                <c:ptCount val="30"/>
                <c:pt idx="0">
                  <c:v>19</c:v>
                </c:pt>
                <c:pt idx="1">
                  <c:v>10</c:v>
                </c:pt>
                <c:pt idx="2">
                  <c:v>11</c:v>
                </c:pt>
                <c:pt idx="3">
                  <c:v>20</c:v>
                </c:pt>
                <c:pt idx="4">
                  <c:v>16</c:v>
                </c:pt>
                <c:pt idx="5">
                  <c:v>8</c:v>
                </c:pt>
                <c:pt idx="6">
                  <c:v>11</c:v>
                </c:pt>
                <c:pt idx="7">
                  <c:v>13</c:v>
                </c:pt>
                <c:pt idx="8">
                  <c:v>10</c:v>
                </c:pt>
                <c:pt idx="9">
                  <c:v>21</c:v>
                </c:pt>
                <c:pt idx="10">
                  <c:v>13</c:v>
                </c:pt>
                <c:pt idx="11">
                  <c:v>10</c:v>
                </c:pt>
                <c:pt idx="12">
                  <c:v>9</c:v>
                </c:pt>
                <c:pt idx="13">
                  <c:v>7</c:v>
                </c:pt>
                <c:pt idx="14">
                  <c:v>4</c:v>
                </c:pt>
                <c:pt idx="15">
                  <c:v>10</c:v>
                </c:pt>
                <c:pt idx="16">
                  <c:v>7</c:v>
                </c:pt>
                <c:pt idx="17">
                  <c:v>5</c:v>
                </c:pt>
                <c:pt idx="18">
                  <c:v>5</c:v>
                </c:pt>
                <c:pt idx="19">
                  <c:v>3</c:v>
                </c:pt>
                <c:pt idx="20">
                  <c:v>4</c:v>
                </c:pt>
                <c:pt idx="21">
                  <c:v>5</c:v>
                </c:pt>
                <c:pt idx="22">
                  <c:v>3</c:v>
                </c:pt>
                <c:pt idx="23">
                  <c:v>4</c:v>
                </c:pt>
                <c:pt idx="24">
                  <c:v>5</c:v>
                </c:pt>
                <c:pt idx="25">
                  <c:v>4</c:v>
                </c:pt>
                <c:pt idx="26">
                  <c:v>9</c:v>
                </c:pt>
                <c:pt idx="27">
                  <c:v>4</c:v>
                </c:pt>
                <c:pt idx="28">
                  <c:v>6</c:v>
                </c:pt>
                <c:pt idx="29">
                  <c:v>3</c:v>
                </c:pt>
              </c:numCache>
            </c:numRef>
          </c:val>
        </c:ser>
        <c:ser>
          <c:idx val="2"/>
          <c:order val="2"/>
          <c:tx>
            <c:strRef>
              <c:f>Sheet1!$D$1</c:f>
              <c:strCache>
                <c:ptCount val="1"/>
                <c:pt idx="0">
                  <c:v>Banku pakārtotās saistības</c:v>
                </c:pt>
              </c:strCache>
            </c:strRef>
          </c:tx>
          <c:spPr>
            <a:ln w="28575" cap="rnd">
              <a:solidFill>
                <a:schemeClr val="accent3"/>
              </a:solidFill>
              <a:round/>
            </a:ln>
            <a:effectLst/>
          </c:spPr>
          <c:marker>
            <c:symbol val="none"/>
          </c:marker>
          <c:cat>
            <c:strRef>
              <c:f>Sheet1!$A$2:$A$31</c:f>
              <c:strCache>
                <c:ptCount val="30"/>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strCache>
            </c:strRef>
          </c:cat>
          <c:val>
            <c:numRef>
              <c:f>Sheet1!$D$2:$D$31</c:f>
              <c:numCache>
                <c:formatCode>General</c:formatCode>
                <c:ptCount val="30"/>
                <c:pt idx="0">
                  <c:v>7</c:v>
                </c:pt>
                <c:pt idx="1">
                  <c:v>5</c:v>
                </c:pt>
                <c:pt idx="2">
                  <c:v>3</c:v>
                </c:pt>
                <c:pt idx="3">
                  <c:v>15</c:v>
                </c:pt>
                <c:pt idx="4">
                  <c:v>16</c:v>
                </c:pt>
                <c:pt idx="5">
                  <c:v>10</c:v>
                </c:pt>
                <c:pt idx="6">
                  <c:v>16</c:v>
                </c:pt>
                <c:pt idx="7">
                  <c:v>23</c:v>
                </c:pt>
                <c:pt idx="8">
                  <c:v>5</c:v>
                </c:pt>
                <c:pt idx="9">
                  <c:v>1</c:v>
                </c:pt>
                <c:pt idx="10">
                  <c:v>2</c:v>
                </c:pt>
                <c:pt idx="11">
                  <c:v>0</c:v>
                </c:pt>
                <c:pt idx="12">
                  <c:v>2</c:v>
                </c:pt>
                <c:pt idx="13">
                  <c:v>1</c:v>
                </c:pt>
                <c:pt idx="14">
                  <c:v>6</c:v>
                </c:pt>
                <c:pt idx="15">
                  <c:v>7</c:v>
                </c:pt>
                <c:pt idx="16">
                  <c:v>1</c:v>
                </c:pt>
                <c:pt idx="17">
                  <c:v>4</c:v>
                </c:pt>
                <c:pt idx="18">
                  <c:v>2</c:v>
                </c:pt>
                <c:pt idx="19">
                  <c:v>1</c:v>
                </c:pt>
                <c:pt idx="20">
                  <c:v>2</c:v>
                </c:pt>
                <c:pt idx="21">
                  <c:v>1</c:v>
                </c:pt>
                <c:pt idx="22">
                  <c:v>1</c:v>
                </c:pt>
                <c:pt idx="23">
                  <c:v>2</c:v>
                </c:pt>
                <c:pt idx="24">
                  <c:v>1</c:v>
                </c:pt>
                <c:pt idx="25">
                  <c:v>0</c:v>
                </c:pt>
                <c:pt idx="26">
                  <c:v>1</c:v>
                </c:pt>
                <c:pt idx="27">
                  <c:v>2</c:v>
                </c:pt>
                <c:pt idx="28">
                  <c:v>1</c:v>
                </c:pt>
                <c:pt idx="29">
                  <c:v>0</c:v>
                </c:pt>
              </c:numCache>
            </c:numRef>
          </c:val>
        </c:ser>
        <c:ser>
          <c:idx val="4"/>
          <c:order val="4"/>
          <c:tx>
            <c:strRef>
              <c:f>Sheet1!$F$1</c:f>
              <c:strCache>
                <c:ptCount val="1"/>
                <c:pt idx="0">
                  <c:v>Obligācijas</c:v>
                </c:pt>
              </c:strCache>
            </c:strRef>
          </c:tx>
          <c:marker>
            <c:symbol val="none"/>
          </c:marker>
          <c:cat>
            <c:strRef>
              <c:f>Sheet1!$A$2:$A$31</c:f>
              <c:strCache>
                <c:ptCount val="30"/>
                <c:pt idx="0">
                  <c:v>01.2014</c:v>
                </c:pt>
                <c:pt idx="1">
                  <c:v>02.2014</c:v>
                </c:pt>
                <c:pt idx="2">
                  <c:v>03.2014</c:v>
                </c:pt>
                <c:pt idx="3">
                  <c:v>04.2014</c:v>
                </c:pt>
                <c:pt idx="4">
                  <c:v>05.2014</c:v>
                </c:pt>
                <c:pt idx="5">
                  <c:v>06.2014</c:v>
                </c:pt>
                <c:pt idx="6">
                  <c:v>07.2014</c:v>
                </c:pt>
                <c:pt idx="7">
                  <c:v>08.2014</c:v>
                </c:pt>
                <c:pt idx="8">
                  <c:v>09.2014</c:v>
                </c:pt>
                <c:pt idx="9">
                  <c:v>10.2014</c:v>
                </c:pt>
                <c:pt idx="10">
                  <c:v>11.2014</c:v>
                </c:pt>
                <c:pt idx="11">
                  <c:v>12.2014</c:v>
                </c:pt>
                <c:pt idx="12">
                  <c:v>01.2015</c:v>
                </c:pt>
                <c:pt idx="13">
                  <c:v>02.2015</c:v>
                </c:pt>
                <c:pt idx="14">
                  <c:v>03.2015</c:v>
                </c:pt>
                <c:pt idx="15">
                  <c:v>04.2015</c:v>
                </c:pt>
                <c:pt idx="16">
                  <c:v>05.2015</c:v>
                </c:pt>
                <c:pt idx="17">
                  <c:v>06.2015</c:v>
                </c:pt>
                <c:pt idx="18">
                  <c:v>07.2015</c:v>
                </c:pt>
                <c:pt idx="19">
                  <c:v>08.2015</c:v>
                </c:pt>
                <c:pt idx="20">
                  <c:v>09.2015</c:v>
                </c:pt>
                <c:pt idx="21">
                  <c:v>10.2015</c:v>
                </c:pt>
                <c:pt idx="22">
                  <c:v>11.2015</c:v>
                </c:pt>
                <c:pt idx="23">
                  <c:v>12.2015</c:v>
                </c:pt>
                <c:pt idx="24">
                  <c:v>01.2016</c:v>
                </c:pt>
                <c:pt idx="25">
                  <c:v>02.2016</c:v>
                </c:pt>
                <c:pt idx="26">
                  <c:v>03.2016</c:v>
                </c:pt>
                <c:pt idx="27">
                  <c:v>04.2016</c:v>
                </c:pt>
                <c:pt idx="28">
                  <c:v>05.2016</c:v>
                </c:pt>
                <c:pt idx="29">
                  <c:v>06.2016</c:v>
                </c:pt>
              </c:strCache>
            </c:strRef>
          </c:cat>
          <c:val>
            <c:numRef>
              <c:f>Sheet1!$F$2:$F$31</c:f>
              <c:numCache>
                <c:formatCode>General</c:formatCode>
                <c:ptCount val="30"/>
                <c:pt idx="13">
                  <c:v>1</c:v>
                </c:pt>
                <c:pt idx="14">
                  <c:v>1</c:v>
                </c:pt>
                <c:pt idx="15">
                  <c:v>0</c:v>
                </c:pt>
                <c:pt idx="16">
                  <c:v>2</c:v>
                </c:pt>
                <c:pt idx="17">
                  <c:v>0</c:v>
                </c:pt>
                <c:pt idx="18">
                  <c:v>0</c:v>
                </c:pt>
                <c:pt idx="19">
                  <c:v>1</c:v>
                </c:pt>
                <c:pt idx="20">
                  <c:v>4</c:v>
                </c:pt>
                <c:pt idx="21">
                  <c:v>1</c:v>
                </c:pt>
                <c:pt idx="22">
                  <c:v>1</c:v>
                </c:pt>
                <c:pt idx="23">
                  <c:v>2</c:v>
                </c:pt>
                <c:pt idx="24">
                  <c:v>1</c:v>
                </c:pt>
                <c:pt idx="25">
                  <c:v>1</c:v>
                </c:pt>
                <c:pt idx="26">
                  <c:v>0</c:v>
                </c:pt>
                <c:pt idx="27">
                  <c:v>2</c:v>
                </c:pt>
                <c:pt idx="28">
                  <c:v>3</c:v>
                </c:pt>
                <c:pt idx="29">
                  <c:v>0</c:v>
                </c:pt>
              </c:numCache>
            </c:numRef>
          </c:val>
        </c:ser>
        <c:marker val="1"/>
        <c:axId val="75195136"/>
        <c:axId val="75197056"/>
      </c:lineChart>
      <c:catAx>
        <c:axId val="75195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5197056"/>
        <c:crosses val="autoZero"/>
        <c:auto val="1"/>
        <c:lblAlgn val="ctr"/>
        <c:lblOffset val="100"/>
      </c:catAx>
      <c:valAx>
        <c:axId val="75197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5195136"/>
        <c:crosses val="autoZero"/>
        <c:crossBetween val="between"/>
      </c:valAx>
      <c:valAx>
        <c:axId val="75215616"/>
        <c:scaling>
          <c:orientation val="minMax"/>
        </c:scaling>
        <c:axPos val="r"/>
        <c:numFmt formatCode="#,##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5217920"/>
        <c:crosses val="max"/>
        <c:crossBetween val="between"/>
      </c:valAx>
      <c:catAx>
        <c:axId val="75217920"/>
        <c:scaling>
          <c:orientation val="minMax"/>
        </c:scaling>
        <c:delete val="1"/>
        <c:axPos val="b"/>
        <c:numFmt formatCode="General" sourceLinked="1"/>
        <c:tickLblPos val="none"/>
        <c:crossAx val="75215616"/>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strRef>
              <c:f>Sheet1!$B$1</c:f>
              <c:strCache>
                <c:ptCount val="1"/>
                <c:pt idx="0">
                  <c:v>Ieguldījumi pamatkapitālā</c:v>
                </c:pt>
              </c:strCache>
            </c:strRef>
          </c:tx>
          <c:spPr>
            <a:solidFill>
              <a:schemeClr val="accent1"/>
            </a:solidFill>
            <a:ln>
              <a:noFill/>
            </a:ln>
            <a:effectLst/>
          </c:spPr>
          <c:dLbls>
            <c:dLbl>
              <c:idx val="8"/>
              <c:layout>
                <c:manualLayout>
                  <c:x val="-4.7961630695444544E-3"/>
                  <c:y val="-7.3394495412844124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2014.I.</c:v>
                </c:pt>
                <c:pt idx="1">
                  <c:v>2014.II.</c:v>
                </c:pt>
                <c:pt idx="2">
                  <c:v>2014.III.</c:v>
                </c:pt>
                <c:pt idx="3">
                  <c:v>2014.IV.</c:v>
                </c:pt>
                <c:pt idx="4">
                  <c:v>2015.I.</c:v>
                </c:pt>
                <c:pt idx="5">
                  <c:v>2015.II.</c:v>
                </c:pt>
                <c:pt idx="6">
                  <c:v>2015.III.</c:v>
                </c:pt>
                <c:pt idx="7">
                  <c:v>2015.IV.</c:v>
                </c:pt>
                <c:pt idx="8">
                  <c:v>2016.I.</c:v>
                </c:pt>
                <c:pt idx="9">
                  <c:v>2016.II.</c:v>
                </c:pt>
              </c:strCache>
            </c:strRef>
          </c:cat>
          <c:val>
            <c:numRef>
              <c:f>Sheet1!$B$2:$B$11</c:f>
              <c:numCache>
                <c:formatCode>#,##0</c:formatCode>
                <c:ptCount val="10"/>
                <c:pt idx="0">
                  <c:v>3364</c:v>
                </c:pt>
                <c:pt idx="1">
                  <c:v>2361</c:v>
                </c:pt>
                <c:pt idx="2">
                  <c:v>2174</c:v>
                </c:pt>
                <c:pt idx="3">
                  <c:v>10262</c:v>
                </c:pt>
                <c:pt idx="4">
                  <c:v>819</c:v>
                </c:pt>
                <c:pt idx="5">
                  <c:v>4391</c:v>
                </c:pt>
                <c:pt idx="6">
                  <c:v>651</c:v>
                </c:pt>
                <c:pt idx="7">
                  <c:v>715</c:v>
                </c:pt>
                <c:pt idx="8">
                  <c:v>1047</c:v>
                </c:pt>
                <c:pt idx="9">
                  <c:v>988</c:v>
                </c:pt>
              </c:numCache>
            </c:numRef>
          </c:val>
        </c:ser>
        <c:axId val="77280000"/>
        <c:axId val="77281536"/>
      </c:barChart>
      <c:catAx>
        <c:axId val="77280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7281536"/>
        <c:crosses val="autoZero"/>
        <c:auto val="1"/>
        <c:lblAlgn val="ctr"/>
        <c:lblOffset val="100"/>
      </c:catAx>
      <c:valAx>
        <c:axId val="772815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7280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lv-LV"/>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strRef>
              <c:f>Sheet1!$B$1</c:f>
              <c:strCache>
                <c:ptCount val="1"/>
                <c:pt idx="0">
                  <c:v>Ieguldījumi NĪ</c:v>
                </c:pt>
              </c:strCache>
            </c:strRef>
          </c:tx>
          <c:spPr>
            <a:solidFill>
              <a:schemeClr val="accent1"/>
            </a:solidFill>
            <a:ln>
              <a:noFill/>
            </a:ln>
            <a:effectLst/>
          </c:spPr>
          <c:dLbls>
            <c:dLbl>
              <c:idx val="0"/>
              <c:layout>
                <c:manualLayout>
                  <c:x val="9.456264775413694E-3"/>
                  <c:y val="-9.1056910569105698E-2"/>
                </c:manualLayout>
              </c:layout>
              <c:showVal val="1"/>
              <c:extLst>
                <c:ext xmlns:c15="http://schemas.microsoft.com/office/drawing/2012/chart" uri="{CE6537A1-D6FC-4f65-9D91-7224C49458BB}">
                  <c15:layout/>
                </c:ext>
              </c:extLst>
            </c:dLbl>
            <c:dLbl>
              <c:idx val="4"/>
              <c:layout>
                <c:manualLayout>
                  <c:x val="1.4184397163120479E-2"/>
                  <c:y val="6.5040650406503493E-3"/>
                </c:manualLayout>
              </c:layout>
              <c:showVal val="1"/>
              <c:extLst>
                <c:ext xmlns:c15="http://schemas.microsoft.com/office/drawing/2012/chart" uri="{CE6537A1-D6FC-4f65-9D91-7224C49458BB}">
                  <c15:layout/>
                </c:ext>
              </c:extLst>
            </c:dLbl>
            <c:dLbl>
              <c:idx val="5"/>
              <c:layout>
                <c:manualLayout>
                  <c:x val="0"/>
                  <c:y val="-0.11056910569105698"/>
                </c:manualLayout>
              </c:layout>
              <c:showVal val="1"/>
              <c:extLst>
                <c:ext xmlns:c15="http://schemas.microsoft.com/office/drawing/2012/chart" uri="{CE6537A1-D6FC-4f65-9D91-7224C49458BB}">
                  <c15:layout/>
                </c:ext>
              </c:extLst>
            </c:dLbl>
            <c:dLbl>
              <c:idx val="7"/>
              <c:layout>
                <c:manualLayout>
                  <c:x val="0"/>
                  <c:y val="-9.7560975609756212E-2"/>
                </c:manualLayout>
              </c:layout>
              <c:showVal val="1"/>
              <c:extLst>
                <c:ext xmlns:c15="http://schemas.microsoft.com/office/drawing/2012/chart" uri="{CE6537A1-D6FC-4f65-9D91-7224C49458BB}">
                  <c15:layout/>
                </c:ext>
              </c:extLst>
            </c:dLbl>
            <c:dLbl>
              <c:idx val="8"/>
              <c:layout>
                <c:manualLayout>
                  <c:x val="-4.7281323877068574E-3"/>
                  <c:y val="-1.9512195121951223E-2"/>
                </c:manualLayout>
              </c:layout>
              <c:showVal val="1"/>
              <c:extLst>
                <c:ext xmlns:c15="http://schemas.microsoft.com/office/drawing/2012/chart" uri="{CE6537A1-D6FC-4f65-9D91-7224C49458BB}">
                  <c15:layout/>
                </c:ext>
              </c:extLst>
            </c:dLbl>
            <c:dLbl>
              <c:idx val="9"/>
              <c:layout>
                <c:manualLayout>
                  <c:x val="4.7281323877068574E-3"/>
                  <c:y val="-0.11056910569105698"/>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2014.I.</c:v>
                </c:pt>
                <c:pt idx="1">
                  <c:v>2014.II.</c:v>
                </c:pt>
                <c:pt idx="2">
                  <c:v>2014.III.</c:v>
                </c:pt>
                <c:pt idx="3">
                  <c:v>2014.IV.</c:v>
                </c:pt>
                <c:pt idx="4">
                  <c:v>2015.I.</c:v>
                </c:pt>
                <c:pt idx="5">
                  <c:v>2015.II.</c:v>
                </c:pt>
                <c:pt idx="6">
                  <c:v>2015.III.</c:v>
                </c:pt>
                <c:pt idx="7">
                  <c:v>2015.IV.</c:v>
                </c:pt>
                <c:pt idx="8">
                  <c:v>2016.I.</c:v>
                </c:pt>
                <c:pt idx="9">
                  <c:v>2016.II.</c:v>
                </c:pt>
              </c:strCache>
            </c:strRef>
          </c:cat>
          <c:val>
            <c:numRef>
              <c:f>Sheet1!$B$2:$B$11</c:f>
              <c:numCache>
                <c:formatCode>#,##0</c:formatCode>
                <c:ptCount val="10"/>
                <c:pt idx="0">
                  <c:v>89756</c:v>
                </c:pt>
                <c:pt idx="1">
                  <c:v>86697</c:v>
                </c:pt>
                <c:pt idx="2">
                  <c:v>136033</c:v>
                </c:pt>
                <c:pt idx="3">
                  <c:v>76295</c:v>
                </c:pt>
                <c:pt idx="4">
                  <c:v>21993</c:v>
                </c:pt>
                <c:pt idx="5">
                  <c:v>14524</c:v>
                </c:pt>
                <c:pt idx="6">
                  <c:v>17275</c:v>
                </c:pt>
                <c:pt idx="7">
                  <c:v>14461</c:v>
                </c:pt>
                <c:pt idx="8">
                  <c:v>7480</c:v>
                </c:pt>
                <c:pt idx="9">
                  <c:v>6671</c:v>
                </c:pt>
              </c:numCache>
            </c:numRef>
          </c:val>
        </c:ser>
        <c:axId val="80466688"/>
        <c:axId val="80489088"/>
      </c:barChart>
      <c:catAx>
        <c:axId val="804666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0489088"/>
        <c:crosses val="autoZero"/>
        <c:auto val="1"/>
        <c:lblAlgn val="ctr"/>
        <c:lblOffset val="100"/>
      </c:catAx>
      <c:valAx>
        <c:axId val="8048908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0466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strRef>
              <c:f>Sheet1!$B$1</c:f>
              <c:strCache>
                <c:ptCount val="1"/>
                <c:pt idx="0">
                  <c:v>Banku pakārtotās saistības</c:v>
                </c:pt>
              </c:strCache>
            </c:strRef>
          </c:tx>
          <c:spPr>
            <a:solidFill>
              <a:schemeClr val="accent1"/>
            </a:solidFill>
            <a:ln>
              <a:noFill/>
            </a:ln>
            <a:effectLst/>
          </c:spPr>
          <c:dLbls>
            <c:dLbl>
              <c:idx val="1"/>
              <c:layout>
                <c:manualLayout>
                  <c:x val="-9.4899169632265724E-3"/>
                  <c:y val="1.2232415902140669E-2"/>
                </c:manualLayout>
              </c:layout>
              <c:showVal val="1"/>
              <c:extLst>
                <c:ext xmlns:c15="http://schemas.microsoft.com/office/drawing/2012/chart" uri="{CE6537A1-D6FC-4f65-9D91-7224C49458BB}">
                  <c15:layout/>
                </c:ext>
              </c:extLst>
            </c:dLbl>
            <c:dLbl>
              <c:idx val="5"/>
              <c:layout>
                <c:manualLayout>
                  <c:x val="-1.4234875444839862E-2"/>
                  <c:y val="-4.8929663608562747E-2"/>
                </c:manualLayout>
              </c:layout>
              <c:showVal val="1"/>
              <c:extLst>
                <c:ext xmlns:c15="http://schemas.microsoft.com/office/drawing/2012/chart" uri="{CE6537A1-D6FC-4f65-9D91-7224C49458BB}">
                  <c15:layout/>
                </c:ext>
              </c:extLst>
            </c:dLbl>
            <c:dLbl>
              <c:idx val="6"/>
              <c:layout>
                <c:manualLayout>
                  <c:x val="4.2704626334519699E-2"/>
                  <c:y val="-0.10397553516819572"/>
                </c:manualLayout>
              </c:layout>
              <c:showVal val="1"/>
              <c:extLst>
                <c:ext xmlns:c15="http://schemas.microsoft.com/office/drawing/2012/chart" uri="{CE6537A1-D6FC-4f65-9D91-7224C49458BB}">
                  <c15:layout/>
                </c:ext>
              </c:extLst>
            </c:dLbl>
            <c:dLbl>
              <c:idx val="8"/>
              <c:layout>
                <c:manualLayout>
                  <c:x val="4.744958481613288E-3"/>
                  <c:y val="-9.7859327217125314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2014.I.</c:v>
                </c:pt>
                <c:pt idx="1">
                  <c:v>2014.II.</c:v>
                </c:pt>
                <c:pt idx="2">
                  <c:v>2014.III.</c:v>
                </c:pt>
                <c:pt idx="3">
                  <c:v>2014.IV.</c:v>
                </c:pt>
                <c:pt idx="4">
                  <c:v>2015.I.</c:v>
                </c:pt>
                <c:pt idx="5">
                  <c:v>2015.II.</c:v>
                </c:pt>
                <c:pt idx="6">
                  <c:v>2015.III.</c:v>
                </c:pt>
                <c:pt idx="7">
                  <c:v>2015.IV.</c:v>
                </c:pt>
                <c:pt idx="8">
                  <c:v>2016.I.</c:v>
                </c:pt>
                <c:pt idx="9">
                  <c:v>2016.II.</c:v>
                </c:pt>
              </c:strCache>
            </c:strRef>
          </c:cat>
          <c:val>
            <c:numRef>
              <c:f>Sheet1!$B$2:$B$11</c:f>
              <c:numCache>
                <c:formatCode>#,##0</c:formatCode>
                <c:ptCount val="10"/>
                <c:pt idx="0">
                  <c:v>4606</c:v>
                </c:pt>
                <c:pt idx="1">
                  <c:v>12088</c:v>
                </c:pt>
                <c:pt idx="2">
                  <c:v>13451</c:v>
                </c:pt>
                <c:pt idx="3">
                  <c:v>1181</c:v>
                </c:pt>
                <c:pt idx="4">
                  <c:v>2673</c:v>
                </c:pt>
                <c:pt idx="5">
                  <c:v>3485</c:v>
                </c:pt>
                <c:pt idx="6">
                  <c:v>1581</c:v>
                </c:pt>
                <c:pt idx="7">
                  <c:v>1222</c:v>
                </c:pt>
                <c:pt idx="8">
                  <c:v>650</c:v>
                </c:pt>
                <c:pt idx="9">
                  <c:v>860</c:v>
                </c:pt>
              </c:numCache>
            </c:numRef>
          </c:val>
        </c:ser>
        <c:axId val="82340864"/>
        <c:axId val="83149568"/>
      </c:barChart>
      <c:catAx>
        <c:axId val="82340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3149568"/>
        <c:crosses val="autoZero"/>
        <c:auto val="1"/>
        <c:lblAlgn val="ctr"/>
        <c:lblOffset val="100"/>
      </c:catAx>
      <c:valAx>
        <c:axId val="831495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2340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clustered"/>
        <c:ser>
          <c:idx val="0"/>
          <c:order val="0"/>
          <c:tx>
            <c:strRef>
              <c:f>Sheet1!$B$1</c:f>
              <c:strCache>
                <c:ptCount val="1"/>
                <c:pt idx="0">
                  <c:v>Ieguldījumi obligācijās</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2015.I.</c:v>
                </c:pt>
                <c:pt idx="1">
                  <c:v>2015.II.</c:v>
                </c:pt>
                <c:pt idx="2">
                  <c:v>2015.III.</c:v>
                </c:pt>
                <c:pt idx="3">
                  <c:v>2015.IV.</c:v>
                </c:pt>
                <c:pt idx="4">
                  <c:v>2016.I.</c:v>
                </c:pt>
                <c:pt idx="5">
                  <c:v>2016.II.</c:v>
                </c:pt>
              </c:strCache>
            </c:strRef>
          </c:cat>
          <c:val>
            <c:numRef>
              <c:f>Sheet1!$B$2:$B$7</c:f>
              <c:numCache>
                <c:formatCode>#,##0</c:formatCode>
                <c:ptCount val="6"/>
                <c:pt idx="0">
                  <c:v>500</c:v>
                </c:pt>
                <c:pt idx="1">
                  <c:v>500</c:v>
                </c:pt>
                <c:pt idx="2">
                  <c:v>1250</c:v>
                </c:pt>
                <c:pt idx="3">
                  <c:v>1000</c:v>
                </c:pt>
                <c:pt idx="4">
                  <c:v>500</c:v>
                </c:pt>
                <c:pt idx="5">
                  <c:v>1500</c:v>
                </c:pt>
              </c:numCache>
            </c:numRef>
          </c:val>
        </c:ser>
        <c:axId val="84130048"/>
        <c:axId val="89626112"/>
      </c:barChart>
      <c:catAx>
        <c:axId val="84130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9626112"/>
        <c:crosses val="autoZero"/>
        <c:auto val="1"/>
        <c:lblAlgn val="ctr"/>
        <c:lblOffset val="100"/>
      </c:catAx>
      <c:valAx>
        <c:axId val="8962611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41300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v-LV"/>
  <c:chart>
    <c:autoTitleDeleted val="1"/>
    <c:plotArea>
      <c:layout/>
      <c:barChart>
        <c:barDir val="col"/>
        <c:grouping val="percentStacked"/>
        <c:ser>
          <c:idx val="0"/>
          <c:order val="0"/>
          <c:tx>
            <c:strRef>
              <c:f>Sheet1!$B$1</c:f>
              <c:strCache>
                <c:ptCount val="1"/>
                <c:pt idx="0">
                  <c:v>Krievija</c:v>
                </c:pt>
              </c:strCache>
            </c:strRef>
          </c:tx>
          <c:spPr>
            <a:solidFill>
              <a:schemeClr val="accent1"/>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Sheet1!$B$2:$B$7</c:f>
              <c:numCache>
                <c:formatCode>General</c:formatCode>
                <c:ptCount val="6"/>
                <c:pt idx="0">
                  <c:v>3792</c:v>
                </c:pt>
                <c:pt idx="1">
                  <c:v>3108</c:v>
                </c:pt>
                <c:pt idx="2">
                  <c:v>3979</c:v>
                </c:pt>
                <c:pt idx="3">
                  <c:v>678</c:v>
                </c:pt>
                <c:pt idx="4">
                  <c:v>212</c:v>
                </c:pt>
                <c:pt idx="5">
                  <c:v>11769</c:v>
                </c:pt>
              </c:numCache>
            </c:numRef>
          </c:val>
        </c:ser>
        <c:ser>
          <c:idx val="1"/>
          <c:order val="1"/>
          <c:tx>
            <c:strRef>
              <c:f>Sheet1!$C$1</c:f>
              <c:strCache>
                <c:ptCount val="1"/>
                <c:pt idx="0">
                  <c:v>Ķīna</c:v>
                </c:pt>
              </c:strCache>
            </c:strRef>
          </c:tx>
          <c:spPr>
            <a:solidFill>
              <a:schemeClr val="accent2"/>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Sheet1!$C$2:$C$7</c:f>
              <c:numCache>
                <c:formatCode>General</c:formatCode>
                <c:ptCount val="6"/>
                <c:pt idx="0">
                  <c:v>136</c:v>
                </c:pt>
                <c:pt idx="1">
                  <c:v>445</c:v>
                </c:pt>
                <c:pt idx="2">
                  <c:v>669</c:v>
                </c:pt>
                <c:pt idx="3">
                  <c:v>117</c:v>
                </c:pt>
                <c:pt idx="4">
                  <c:v>30</c:v>
                </c:pt>
                <c:pt idx="5">
                  <c:v>1397</c:v>
                </c:pt>
              </c:numCache>
            </c:numRef>
          </c:val>
        </c:ser>
        <c:ser>
          <c:idx val="2"/>
          <c:order val="2"/>
          <c:tx>
            <c:strRef>
              <c:f>Sheet1!$D$1</c:f>
              <c:strCache>
                <c:ptCount val="1"/>
                <c:pt idx="0">
                  <c:v>Ukraina</c:v>
                </c:pt>
              </c:strCache>
            </c:strRef>
          </c:tx>
          <c:spPr>
            <a:solidFill>
              <a:schemeClr val="accent3"/>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Sheet1!$D$2:$D$7</c:f>
              <c:numCache>
                <c:formatCode>General</c:formatCode>
                <c:ptCount val="6"/>
                <c:pt idx="0">
                  <c:v>445</c:v>
                </c:pt>
                <c:pt idx="1">
                  <c:v>229</c:v>
                </c:pt>
                <c:pt idx="2">
                  <c:v>485</c:v>
                </c:pt>
                <c:pt idx="3">
                  <c:v>136</c:v>
                </c:pt>
                <c:pt idx="4">
                  <c:v>38</c:v>
                </c:pt>
                <c:pt idx="5">
                  <c:v>1336</c:v>
                </c:pt>
              </c:numCache>
            </c:numRef>
          </c:val>
        </c:ser>
        <c:ser>
          <c:idx val="3"/>
          <c:order val="3"/>
          <c:tx>
            <c:strRef>
              <c:f>Sheet1!$E$1</c:f>
              <c:strCache>
                <c:ptCount val="1"/>
                <c:pt idx="0">
                  <c:v>Uzbekistāna</c:v>
                </c:pt>
              </c:strCache>
            </c:strRef>
          </c:tx>
          <c:spPr>
            <a:solidFill>
              <a:schemeClr val="accent4"/>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Sheet1!$E$2:$E$7</c:f>
              <c:numCache>
                <c:formatCode>General</c:formatCode>
                <c:ptCount val="6"/>
                <c:pt idx="0">
                  <c:v>172</c:v>
                </c:pt>
                <c:pt idx="1">
                  <c:v>251</c:v>
                </c:pt>
                <c:pt idx="2">
                  <c:v>223</c:v>
                </c:pt>
                <c:pt idx="3">
                  <c:v>45</c:v>
                </c:pt>
                <c:pt idx="4">
                  <c:v>12</c:v>
                </c:pt>
                <c:pt idx="5">
                  <c:v>703</c:v>
                </c:pt>
              </c:numCache>
            </c:numRef>
          </c:val>
        </c:ser>
        <c:ser>
          <c:idx val="4"/>
          <c:order val="4"/>
          <c:tx>
            <c:strRef>
              <c:f>Sheet1!$F$1</c:f>
              <c:strCache>
                <c:ptCount val="1"/>
                <c:pt idx="0">
                  <c:v>Kazahstāna</c:v>
                </c:pt>
              </c:strCache>
            </c:strRef>
          </c:tx>
          <c:spPr>
            <a:solidFill>
              <a:schemeClr val="accent5"/>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Sheet1!$F$2:$F$7</c:f>
              <c:numCache>
                <c:formatCode>General</c:formatCode>
                <c:ptCount val="6"/>
                <c:pt idx="0">
                  <c:v>293</c:v>
                </c:pt>
                <c:pt idx="1">
                  <c:v>164</c:v>
                </c:pt>
                <c:pt idx="2">
                  <c:v>113</c:v>
                </c:pt>
                <c:pt idx="3">
                  <c:v>56</c:v>
                </c:pt>
                <c:pt idx="4">
                  <c:v>17</c:v>
                </c:pt>
                <c:pt idx="5">
                  <c:v>643</c:v>
                </c:pt>
              </c:numCache>
            </c:numRef>
          </c:val>
        </c:ser>
        <c:ser>
          <c:idx val="5"/>
          <c:order val="5"/>
          <c:tx>
            <c:strRef>
              <c:f>Sheet1!$G$1</c:f>
              <c:strCache>
                <c:ptCount val="1"/>
                <c:pt idx="0">
                  <c:v>Baltkrievija</c:v>
                </c:pt>
              </c:strCache>
            </c:strRef>
          </c:tx>
          <c:spPr>
            <a:solidFill>
              <a:schemeClr val="accent6"/>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Sheet1!$G$2:$G$7</c:f>
              <c:numCache>
                <c:formatCode>General</c:formatCode>
                <c:ptCount val="6"/>
                <c:pt idx="0">
                  <c:v>129</c:v>
                </c:pt>
                <c:pt idx="1">
                  <c:v>100</c:v>
                </c:pt>
                <c:pt idx="2">
                  <c:v>93</c:v>
                </c:pt>
                <c:pt idx="3">
                  <c:v>20</c:v>
                </c:pt>
                <c:pt idx="4">
                  <c:v>7</c:v>
                </c:pt>
                <c:pt idx="5">
                  <c:v>349</c:v>
                </c:pt>
              </c:numCache>
            </c:numRef>
          </c:val>
        </c:ser>
        <c:ser>
          <c:idx val="6"/>
          <c:order val="6"/>
          <c:tx>
            <c:strRef>
              <c:f>Sheet1!$H$1</c:f>
              <c:strCache>
                <c:ptCount val="1"/>
                <c:pt idx="0">
                  <c:v>Azerbaidžāna</c:v>
                </c:pt>
              </c:strCache>
            </c:strRef>
          </c:tx>
          <c:spPr>
            <a:solidFill>
              <a:schemeClr val="accent1">
                <a:lumMod val="60000"/>
              </a:schemeClr>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Sheet1!$H$2:$H$7</c:f>
              <c:numCache>
                <c:formatCode>General</c:formatCode>
                <c:ptCount val="6"/>
                <c:pt idx="0">
                  <c:v>57</c:v>
                </c:pt>
                <c:pt idx="1">
                  <c:v>61</c:v>
                </c:pt>
                <c:pt idx="2">
                  <c:v>92</c:v>
                </c:pt>
                <c:pt idx="3">
                  <c:v>36</c:v>
                </c:pt>
                <c:pt idx="4">
                  <c:v>4</c:v>
                </c:pt>
                <c:pt idx="5">
                  <c:v>250</c:v>
                </c:pt>
              </c:numCache>
            </c:numRef>
          </c:val>
        </c:ser>
        <c:ser>
          <c:idx val="7"/>
          <c:order val="7"/>
          <c:tx>
            <c:strRef>
              <c:f>Sheet1!$I$1</c:f>
              <c:strCache>
                <c:ptCount val="1"/>
                <c:pt idx="0">
                  <c:v>Izraēla</c:v>
                </c:pt>
              </c:strCache>
            </c:strRef>
          </c:tx>
          <c:spPr>
            <a:solidFill>
              <a:schemeClr val="accent2">
                <a:lumMod val="60000"/>
              </a:schemeClr>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Sheet1!$I$2:$I$7</c:f>
              <c:numCache>
                <c:formatCode>General</c:formatCode>
                <c:ptCount val="6"/>
                <c:pt idx="0">
                  <c:v>24</c:v>
                </c:pt>
                <c:pt idx="1">
                  <c:v>23</c:v>
                </c:pt>
                <c:pt idx="2">
                  <c:v>21</c:v>
                </c:pt>
                <c:pt idx="3">
                  <c:v>12</c:v>
                </c:pt>
                <c:pt idx="4">
                  <c:v>1</c:v>
                </c:pt>
                <c:pt idx="5">
                  <c:v>81</c:v>
                </c:pt>
              </c:numCache>
            </c:numRef>
          </c:val>
        </c:ser>
        <c:ser>
          <c:idx val="8"/>
          <c:order val="8"/>
          <c:tx>
            <c:strRef>
              <c:f>Sheet1!$J$1</c:f>
              <c:strCache>
                <c:ptCount val="1"/>
                <c:pt idx="0">
                  <c:v>Citas valstis</c:v>
                </c:pt>
              </c:strCache>
            </c:strRef>
          </c:tx>
          <c:spPr>
            <a:solidFill>
              <a:schemeClr val="accent3">
                <a:lumMod val="60000"/>
              </a:schemeClr>
            </a:solidFill>
            <a:ln>
              <a:noFill/>
            </a:ln>
            <a:effectLst/>
          </c:spPr>
          <c:cat>
            <c:strRef>
              <c:f>Sheet1!$A$2:$A$7</c:f>
              <c:strCache>
                <c:ptCount val="6"/>
                <c:pt idx="0">
                  <c:v>2010.-2012.</c:v>
                </c:pt>
                <c:pt idx="1">
                  <c:v>2013.</c:v>
                </c:pt>
                <c:pt idx="2">
                  <c:v>2014.</c:v>
                </c:pt>
                <c:pt idx="3">
                  <c:v>2015.</c:v>
                </c:pt>
                <c:pt idx="4">
                  <c:v>2016.I-VI</c:v>
                </c:pt>
                <c:pt idx="5">
                  <c:v>Kopā</c:v>
                </c:pt>
              </c:strCache>
            </c:strRef>
          </c:cat>
          <c:val>
            <c:numRef>
              <c:f>Sheet1!$J$2:$J$7</c:f>
              <c:numCache>
                <c:formatCode>General</c:formatCode>
                <c:ptCount val="6"/>
                <c:pt idx="0">
                  <c:v>140</c:v>
                </c:pt>
                <c:pt idx="1">
                  <c:v>139</c:v>
                </c:pt>
                <c:pt idx="2">
                  <c:v>273</c:v>
                </c:pt>
                <c:pt idx="3">
                  <c:v>113</c:v>
                </c:pt>
                <c:pt idx="4">
                  <c:v>49</c:v>
                </c:pt>
                <c:pt idx="5">
                  <c:v>714</c:v>
                </c:pt>
              </c:numCache>
            </c:numRef>
          </c:val>
        </c:ser>
        <c:overlap val="100"/>
        <c:axId val="118262784"/>
        <c:axId val="122522624"/>
      </c:barChart>
      <c:catAx>
        <c:axId val="118262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2522624"/>
        <c:crosses val="autoZero"/>
        <c:auto val="1"/>
        <c:lblAlgn val="ctr"/>
        <c:lblOffset val="100"/>
      </c:catAx>
      <c:valAx>
        <c:axId val="12252262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18262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plotArea>
      <c:layout/>
      <c:barChart>
        <c:barDir val="col"/>
        <c:grouping val="clustered"/>
        <c:ser>
          <c:idx val="0"/>
          <c:order val="0"/>
          <c:tx>
            <c:strRef>
              <c:f>Sheet1!$A$2</c:f>
              <c:strCache>
                <c:ptCount val="1"/>
                <c:pt idx="0">
                  <c:v>Neto ĀTI Latvijā</c:v>
                </c:pt>
              </c:strCache>
            </c:strRef>
          </c:tx>
          <c:dLbls>
            <c:dLbl>
              <c:idx val="0"/>
              <c:layout>
                <c:manualLayout>
                  <c:x val="2.1505376344086041E-2"/>
                  <c:y val="0"/>
                </c:manualLayout>
              </c:layout>
              <c:showVal val="1"/>
              <c:extLst>
                <c:ext xmlns:c15="http://schemas.microsoft.com/office/drawing/2012/chart" uri="{CE6537A1-D6FC-4f65-9D91-7224C49458BB}">
                  <c15:layout/>
                </c:ext>
              </c:extLst>
            </c:dLbl>
            <c:dLbl>
              <c:idx val="8"/>
              <c:layout>
                <c:manualLayout>
                  <c:x val="7.1684587813620982E-3"/>
                  <c:y val="-2.0898641588296775E-2"/>
                </c:manualLayout>
              </c:layout>
              <c:showVal val="1"/>
              <c:extLst>
                <c:ext xmlns:c15="http://schemas.microsoft.com/office/drawing/2012/chart" uri="{CE6537A1-D6FC-4f65-9D91-7224C49458BB}">
                  <c15:layout/>
                </c:ext>
              </c:extLst>
            </c:dLbl>
            <c:dLbl>
              <c:idx val="9"/>
              <c:layout>
                <c:manualLayout>
                  <c:x val="-1.67264038231782E-2"/>
                  <c:y val="-2.8891494946110308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Sheet1!$B$1:$K$1</c:f>
              <c:strCache>
                <c:ptCount val="10"/>
                <c:pt idx="0">
                  <c:v>2007</c:v>
                </c:pt>
                <c:pt idx="1">
                  <c:v>2008</c:v>
                </c:pt>
                <c:pt idx="2">
                  <c:v>2009</c:v>
                </c:pt>
                <c:pt idx="3">
                  <c:v>2010</c:v>
                </c:pt>
                <c:pt idx="4">
                  <c:v>2011</c:v>
                </c:pt>
                <c:pt idx="5">
                  <c:v>2012</c:v>
                </c:pt>
                <c:pt idx="6">
                  <c:v>2013</c:v>
                </c:pt>
                <c:pt idx="7">
                  <c:v>2014</c:v>
                </c:pt>
                <c:pt idx="8">
                  <c:v>2015</c:v>
                </c:pt>
                <c:pt idx="9">
                  <c:v>2016 I-VI</c:v>
                </c:pt>
              </c:strCache>
            </c:strRef>
          </c:cat>
          <c:val>
            <c:numRef>
              <c:f>Sheet1!$B$2:$K$2</c:f>
              <c:numCache>
                <c:formatCode>General</c:formatCode>
                <c:ptCount val="10"/>
                <c:pt idx="0">
                  <c:v>1697.76</c:v>
                </c:pt>
                <c:pt idx="1">
                  <c:v>862.95999999999981</c:v>
                </c:pt>
                <c:pt idx="2">
                  <c:v>67.579999999999956</c:v>
                </c:pt>
                <c:pt idx="3">
                  <c:v>286.45999999999981</c:v>
                </c:pt>
                <c:pt idx="4">
                  <c:v>1045.3599999999999</c:v>
                </c:pt>
                <c:pt idx="5">
                  <c:v>863.1900000000004</c:v>
                </c:pt>
                <c:pt idx="6">
                  <c:v>680.19</c:v>
                </c:pt>
                <c:pt idx="7">
                  <c:v>448.62</c:v>
                </c:pt>
                <c:pt idx="8">
                  <c:v>577.92999999999972</c:v>
                </c:pt>
                <c:pt idx="9">
                  <c:v>-87.490000000000023</c:v>
                </c:pt>
              </c:numCache>
            </c:numRef>
          </c:val>
        </c:ser>
        <c:ser>
          <c:idx val="1"/>
          <c:order val="1"/>
          <c:tx>
            <c:strRef>
              <c:f>Sheet1!$A$3</c:f>
              <c:strCache>
                <c:ptCount val="1"/>
                <c:pt idx="0">
                  <c:v>Ar TUA saņemšanu saistītie ieguldījumi (kopā)</c:v>
                </c:pt>
              </c:strCache>
            </c:strRef>
          </c:tx>
          <c:dLbls>
            <c:dLbl>
              <c:idx val="7"/>
              <c:layout>
                <c:manualLayout>
                  <c:x val="1.1947431302269843E-2"/>
                  <c:y val="-4.5977011494252866E-2"/>
                </c:manualLayout>
              </c:layout>
              <c:showVal val="1"/>
              <c:extLst>
                <c:ext xmlns:c15="http://schemas.microsoft.com/office/drawing/2012/chart" uri="{CE6537A1-D6FC-4f65-9D91-7224C49458BB}">
                  <c15:layout/>
                </c:ext>
              </c:extLst>
            </c:dLbl>
            <c:dLbl>
              <c:idx val="8"/>
              <c:layout>
                <c:manualLayout>
                  <c:x val="2.1505376344085846E-2"/>
                  <c:y val="-5.015673981191225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Sheet1!$B$1:$K$1</c:f>
              <c:strCache>
                <c:ptCount val="10"/>
                <c:pt idx="0">
                  <c:v>2007</c:v>
                </c:pt>
                <c:pt idx="1">
                  <c:v>2008</c:v>
                </c:pt>
                <c:pt idx="2">
                  <c:v>2009</c:v>
                </c:pt>
                <c:pt idx="3">
                  <c:v>2010</c:v>
                </c:pt>
                <c:pt idx="4">
                  <c:v>2011</c:v>
                </c:pt>
                <c:pt idx="5">
                  <c:v>2012</c:v>
                </c:pt>
                <c:pt idx="6">
                  <c:v>2013</c:v>
                </c:pt>
                <c:pt idx="7">
                  <c:v>2014</c:v>
                </c:pt>
                <c:pt idx="8">
                  <c:v>2015</c:v>
                </c:pt>
                <c:pt idx="9">
                  <c:v>2016 I-VI</c:v>
                </c:pt>
              </c:strCache>
            </c:strRef>
          </c:cat>
          <c:val>
            <c:numRef>
              <c:f>Sheet1!$B$3:$K$3</c:f>
              <c:numCache>
                <c:formatCode>General</c:formatCode>
                <c:ptCount val="10"/>
                <c:pt idx="3">
                  <c:v>28.43</c:v>
                </c:pt>
                <c:pt idx="4">
                  <c:v>177.84</c:v>
                </c:pt>
                <c:pt idx="5">
                  <c:v>249.46</c:v>
                </c:pt>
                <c:pt idx="6">
                  <c:v>359.9899999999999</c:v>
                </c:pt>
                <c:pt idx="7">
                  <c:v>447.46999999999991</c:v>
                </c:pt>
                <c:pt idx="8">
                  <c:v>89.440000000000026</c:v>
                </c:pt>
                <c:pt idx="9">
                  <c:v>31.18</c:v>
                </c:pt>
              </c:numCache>
            </c:numRef>
          </c:val>
        </c:ser>
        <c:ser>
          <c:idx val="2"/>
          <c:order val="2"/>
          <c:tx>
            <c:strRef>
              <c:f>Sheet1!$A$4</c:f>
              <c:strCache>
                <c:ptCount val="1"/>
                <c:pt idx="0">
                  <c:v>Ar TUA saņemšanu saistītie ieguldījumi NĪ</c:v>
                </c:pt>
              </c:strCache>
            </c:strRef>
          </c:tx>
          <c:cat>
            <c:strRef>
              <c:f>Sheet1!$B$1:$K$1</c:f>
              <c:strCache>
                <c:ptCount val="10"/>
                <c:pt idx="0">
                  <c:v>2007</c:v>
                </c:pt>
                <c:pt idx="1">
                  <c:v>2008</c:v>
                </c:pt>
                <c:pt idx="2">
                  <c:v>2009</c:v>
                </c:pt>
                <c:pt idx="3">
                  <c:v>2010</c:v>
                </c:pt>
                <c:pt idx="4">
                  <c:v>2011</c:v>
                </c:pt>
                <c:pt idx="5">
                  <c:v>2012</c:v>
                </c:pt>
                <c:pt idx="6">
                  <c:v>2013</c:v>
                </c:pt>
                <c:pt idx="7">
                  <c:v>2014</c:v>
                </c:pt>
                <c:pt idx="8">
                  <c:v>2015</c:v>
                </c:pt>
                <c:pt idx="9">
                  <c:v>2016 I-VI</c:v>
                </c:pt>
              </c:strCache>
            </c:strRef>
          </c:cat>
          <c:val>
            <c:numRef>
              <c:f>Sheet1!$B$4:$K$4</c:f>
              <c:numCache>
                <c:formatCode>General</c:formatCode>
                <c:ptCount val="10"/>
                <c:pt idx="3">
                  <c:v>15.84</c:v>
                </c:pt>
                <c:pt idx="4">
                  <c:v>138.13999999999999</c:v>
                </c:pt>
                <c:pt idx="5">
                  <c:v>207.65</c:v>
                </c:pt>
                <c:pt idx="6">
                  <c:v>296.58</c:v>
                </c:pt>
                <c:pt idx="7">
                  <c:v>397.31</c:v>
                </c:pt>
                <c:pt idx="8">
                  <c:v>72.84</c:v>
                </c:pt>
                <c:pt idx="9">
                  <c:v>25.82</c:v>
                </c:pt>
              </c:numCache>
            </c:numRef>
          </c:val>
        </c:ser>
        <c:axId val="127180160"/>
        <c:axId val="127288832"/>
      </c:barChart>
      <c:catAx>
        <c:axId val="127180160"/>
        <c:scaling>
          <c:orientation val="minMax"/>
        </c:scaling>
        <c:axPos val="b"/>
        <c:numFmt formatCode="General" sourceLinked="0"/>
        <c:tickLblPos val="nextTo"/>
        <c:crossAx val="127288832"/>
        <c:crosses val="autoZero"/>
        <c:auto val="1"/>
        <c:lblAlgn val="ctr"/>
        <c:lblOffset val="100"/>
      </c:catAx>
      <c:valAx>
        <c:axId val="127288832"/>
        <c:scaling>
          <c:orientation val="minMax"/>
        </c:scaling>
        <c:axPos val="l"/>
        <c:majorGridlines>
          <c:spPr>
            <a:ln>
              <a:noFill/>
            </a:ln>
          </c:spPr>
        </c:majorGridlines>
        <c:numFmt formatCode="General" sourceLinked="1"/>
        <c:tickLblPos val="nextTo"/>
        <c:crossAx val="127180160"/>
        <c:crosses val="autoZero"/>
        <c:crossBetween val="between"/>
      </c:valAx>
    </c:plotArea>
    <c:legend>
      <c:legendPos val="r"/>
      <c:layout>
        <c:manualLayout>
          <c:xMode val="edge"/>
          <c:yMode val="edge"/>
          <c:x val="0.55036867703365033"/>
          <c:y val="4.4358107274208324E-2"/>
          <c:w val="0.44253755914919229"/>
          <c:h val="0.32089551501987218"/>
        </c:manualLayout>
      </c:layout>
      <c:overlay val="1"/>
      <c:spPr>
        <a:noFill/>
      </c:spP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0A06-8B11-49B9-8933-1B47A5EC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29909</Words>
  <Characters>17049</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46865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dc:description>ilze.briede@pmlp.gov.lv tālr. 67219564; fakss 67829825</dc:description>
  <cp:lastModifiedBy>ilzebr</cp:lastModifiedBy>
  <cp:revision>3</cp:revision>
  <cp:lastPrinted>2016-09-29T07:48:00Z</cp:lastPrinted>
  <dcterms:created xsi:type="dcterms:W3CDTF">2016-10-06T10:20:00Z</dcterms:created>
  <dcterms:modified xsi:type="dcterms:W3CDTF">2016-10-06T10:20:00Z</dcterms:modified>
</cp:coreProperties>
</file>