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27" w:rsidRPr="00356561" w:rsidRDefault="00FD7427" w:rsidP="00FD7427">
      <w:pPr>
        <w:pStyle w:val="PlainText"/>
        <w:jc w:val="right"/>
        <w:rPr>
          <w:rFonts w:ascii="Times New Roman" w:hAnsi="Times New Roman"/>
          <w:sz w:val="26"/>
          <w:szCs w:val="26"/>
        </w:rPr>
      </w:pPr>
      <w:r w:rsidRPr="00356561">
        <w:rPr>
          <w:rFonts w:ascii="Times New Roman" w:hAnsi="Times New Roman"/>
          <w:sz w:val="26"/>
          <w:szCs w:val="26"/>
        </w:rPr>
        <w:t xml:space="preserve">Informatīvā ziņojuma par Imigrācijas likuma </w:t>
      </w:r>
    </w:p>
    <w:p w:rsidR="00FD7427" w:rsidRPr="00356561" w:rsidRDefault="00FD7427" w:rsidP="00FD7427">
      <w:pPr>
        <w:pStyle w:val="PlainText"/>
        <w:jc w:val="right"/>
        <w:rPr>
          <w:rFonts w:ascii="Times New Roman" w:hAnsi="Times New Roman"/>
          <w:sz w:val="26"/>
          <w:szCs w:val="26"/>
        </w:rPr>
      </w:pPr>
      <w:r w:rsidRPr="00356561">
        <w:rPr>
          <w:rFonts w:ascii="Times New Roman" w:hAnsi="Times New Roman"/>
          <w:sz w:val="26"/>
          <w:szCs w:val="26"/>
        </w:rPr>
        <w:t xml:space="preserve">23.panta pirmās daļas 3., 28., 29., 30. un 31.punktā </w:t>
      </w:r>
    </w:p>
    <w:p w:rsidR="00FD7427" w:rsidRPr="00356561" w:rsidRDefault="00FD7427" w:rsidP="00FD7427">
      <w:pPr>
        <w:pStyle w:val="PlainText"/>
        <w:jc w:val="right"/>
        <w:rPr>
          <w:rFonts w:ascii="Times New Roman" w:hAnsi="Times New Roman"/>
          <w:sz w:val="26"/>
          <w:szCs w:val="26"/>
        </w:rPr>
      </w:pPr>
      <w:r w:rsidRPr="00356561">
        <w:rPr>
          <w:rFonts w:ascii="Times New Roman" w:hAnsi="Times New Roman"/>
          <w:sz w:val="26"/>
          <w:szCs w:val="26"/>
        </w:rPr>
        <w:t>paredzēto noteikumu īstenošanas gaitu un rezultātiem</w:t>
      </w:r>
    </w:p>
    <w:p w:rsidR="00A2102B" w:rsidRDefault="00DE6218" w:rsidP="00FD7427">
      <w:pPr>
        <w:jc w:val="right"/>
        <w:rPr>
          <w:sz w:val="26"/>
          <w:szCs w:val="26"/>
        </w:rPr>
      </w:pPr>
      <w:r>
        <w:rPr>
          <w:sz w:val="26"/>
          <w:szCs w:val="26"/>
        </w:rPr>
        <w:t>10</w:t>
      </w:r>
      <w:r w:rsidR="00FD7427" w:rsidRPr="00356561">
        <w:rPr>
          <w:sz w:val="26"/>
          <w:szCs w:val="26"/>
        </w:rPr>
        <w:t>.pielikums</w:t>
      </w:r>
    </w:p>
    <w:p w:rsidR="00FD7427" w:rsidRDefault="00FD7427" w:rsidP="00FD7427">
      <w:pPr>
        <w:jc w:val="right"/>
        <w:rPr>
          <w:sz w:val="26"/>
          <w:szCs w:val="26"/>
        </w:rPr>
      </w:pPr>
    </w:p>
    <w:p w:rsidR="00BD3147" w:rsidRDefault="00BD3147" w:rsidP="00BD3147">
      <w:pPr>
        <w:jc w:val="center"/>
        <w:rPr>
          <w:b/>
        </w:rPr>
      </w:pPr>
    </w:p>
    <w:p w:rsidR="00BD3147" w:rsidRPr="00D101A5" w:rsidRDefault="00BD3147" w:rsidP="00BD3147">
      <w:pPr>
        <w:jc w:val="center"/>
        <w:rPr>
          <w:b/>
        </w:rPr>
      </w:pPr>
      <w:r>
        <w:rPr>
          <w:b/>
        </w:rPr>
        <w:t>Latvijas Nekustamo īpašumu darījumu asociācijas sniegtais viedoklis</w:t>
      </w:r>
    </w:p>
    <w:p w:rsidR="00BD3147" w:rsidRPr="00D101A5" w:rsidRDefault="00BD3147" w:rsidP="00BD3147"/>
    <w:p w:rsidR="00BD3147" w:rsidRPr="00BD3147" w:rsidRDefault="00BD3147" w:rsidP="00BD3147">
      <w:pPr>
        <w:spacing w:after="120"/>
        <w:jc w:val="both"/>
        <w:rPr>
          <w:rFonts w:eastAsia="Calibri"/>
          <w:b/>
          <w:u w:val="single"/>
          <w:lang w:eastAsia="en-US"/>
        </w:rPr>
      </w:pPr>
      <w:r w:rsidRPr="00BD3147">
        <w:rPr>
          <w:rFonts w:eastAsia="Calibri"/>
          <w:szCs w:val="22"/>
          <w:lang w:eastAsia="en-US"/>
        </w:rPr>
        <w:t xml:space="preserve">Apkopojot situāciju nekustamā īpašuma tirgū 2016.gada pirmajā pusgadā par 2014.gada </w:t>
      </w:r>
      <w:r w:rsidRPr="00BD3147">
        <w:rPr>
          <w:rFonts w:eastAsia="Calibri"/>
          <w:lang w:eastAsia="en-US"/>
        </w:rPr>
        <w:t xml:space="preserve">Imigrācijas likuma </w:t>
      </w:r>
      <w:r w:rsidRPr="00BD3147">
        <w:rPr>
          <w:rFonts w:eastAsia="Calibri"/>
          <w:szCs w:val="22"/>
          <w:lang w:eastAsia="en-US"/>
        </w:rPr>
        <w:t xml:space="preserve">izmaiņu ietekmi </w:t>
      </w:r>
      <w:r w:rsidRPr="00BD3147">
        <w:rPr>
          <w:rFonts w:eastAsia="Calibri"/>
          <w:lang w:eastAsia="en-US"/>
        </w:rPr>
        <w:t xml:space="preserve">uz Latvijas sabiedrības un tautsaimniecības attīstību, jāsecina, ka minēto izmaiņu autori, attiecībā uz investīcijām nekustamo īpašumu nozarē ir panākuši situāciju, kāda tā bija 2010.gadā. - kopējā investīciju dinamika ir izteikti </w:t>
      </w:r>
      <w:r>
        <w:rPr>
          <w:rFonts w:eastAsia="Calibri"/>
          <w:lang w:eastAsia="en-US"/>
        </w:rPr>
        <w:t>negatīva</w:t>
      </w:r>
      <w:r w:rsidRPr="00BD3147">
        <w:rPr>
          <w:rFonts w:eastAsia="Calibri"/>
          <w:lang w:eastAsia="en-US"/>
        </w:rPr>
        <w:t>, no 2014-2016.gada kritums vairāk kā EUR 350`000`000.- (TRĪS SIMTI PIECDESMIT MILJONI).</w:t>
      </w:r>
    </w:p>
    <w:p w:rsidR="00BD3147" w:rsidRPr="00BD3147" w:rsidRDefault="00BD3147" w:rsidP="00BD3147">
      <w:pPr>
        <w:spacing w:after="120"/>
        <w:jc w:val="both"/>
        <w:rPr>
          <w:rFonts w:eastAsia="Calibri"/>
          <w:lang w:eastAsia="en-US"/>
        </w:rPr>
      </w:pPr>
      <w:r w:rsidRPr="00BD3147">
        <w:rPr>
          <w:rFonts w:eastAsia="Calibri"/>
          <w:lang w:eastAsia="en-US"/>
        </w:rPr>
        <w:t xml:space="preserve">Attiecībā par konkrētām tendencēm 2016.gadā nekustamā īpašuma segmentā, kur mērķauditorija bija TUA pieprasītāji, jāsaka, ka tās turpina uzrādīt kritumu, kas ir nedaudz mērenāks kā 2015.gadā, bet tendence saglabājās iepriekšējā. </w:t>
      </w:r>
    </w:p>
    <w:p w:rsidR="00BD3147" w:rsidRPr="00BD3147" w:rsidRDefault="00BD3147" w:rsidP="00BD3147">
      <w:pPr>
        <w:spacing w:after="120"/>
        <w:jc w:val="both"/>
        <w:rPr>
          <w:rFonts w:eastAsia="Calibri"/>
          <w:lang w:eastAsia="en-US"/>
        </w:rPr>
      </w:pPr>
      <w:r w:rsidRPr="00BD3147">
        <w:rPr>
          <w:rFonts w:eastAsia="Calibri"/>
          <w:lang w:eastAsia="en-US"/>
        </w:rPr>
        <w:t xml:space="preserve">Galvenie indikatori tirgū Rīgas un Jūrmalas ekskluzīvo mājokļu segments (virs EUR 250`000) uzrāda līdzīgas </w:t>
      </w:r>
      <w:proofErr w:type="spellStart"/>
      <w:r w:rsidRPr="00BD3147">
        <w:rPr>
          <w:rFonts w:eastAsia="Calibri"/>
          <w:lang w:eastAsia="en-US"/>
        </w:rPr>
        <w:t>ekspektācijas</w:t>
      </w:r>
      <w:proofErr w:type="spellEnd"/>
      <w:r w:rsidRPr="00BD3147">
        <w:rPr>
          <w:rFonts w:eastAsia="Calibri"/>
          <w:lang w:eastAsia="en-US"/>
        </w:rPr>
        <w:t xml:space="preserve"> – pieprasījuma samazinājums, pie</w:t>
      </w:r>
      <w:r w:rsidR="007F24A7">
        <w:rPr>
          <w:rFonts w:eastAsia="Calibri"/>
          <w:lang w:eastAsia="en-US"/>
        </w:rPr>
        <w:t>dāvājuma palielinājums, sekas – d</w:t>
      </w:r>
      <w:r w:rsidRPr="00BD3147">
        <w:rPr>
          <w:rFonts w:eastAsia="Calibri"/>
          <w:lang w:eastAsia="en-US"/>
        </w:rPr>
        <w:t>arījumu skaits minimāls (nepārsniedz 10 darījumus vidēji mēnesī), kam, protams, seko cenu samazinājums.</w:t>
      </w:r>
    </w:p>
    <w:p w:rsidR="00BD3147" w:rsidRPr="00BD3147" w:rsidRDefault="00BD3147" w:rsidP="00BD3147">
      <w:pPr>
        <w:spacing w:after="120"/>
        <w:jc w:val="both"/>
        <w:rPr>
          <w:rFonts w:eastAsia="Calibri"/>
          <w:lang w:eastAsia="en-US"/>
        </w:rPr>
      </w:pPr>
      <w:r w:rsidRPr="00BD3147">
        <w:rPr>
          <w:rFonts w:eastAsia="Calibri"/>
          <w:lang w:eastAsia="en-US"/>
        </w:rPr>
        <w:t xml:space="preserve">Vēl 2014.gada sākumā bija vērojama tirgus augšupeja. Kopumā 2015.gads Latvijas nekustamo īpašumu tirgū bijis sarežģīts. Īpaši izteikti tas bija redzams </w:t>
      </w:r>
      <w:proofErr w:type="spellStart"/>
      <w:r w:rsidRPr="007F24A7">
        <w:rPr>
          <w:rFonts w:eastAsia="Calibri"/>
          <w:i/>
          <w:lang w:eastAsia="en-US"/>
        </w:rPr>
        <w:t>premium</w:t>
      </w:r>
      <w:proofErr w:type="spellEnd"/>
      <w:r w:rsidRPr="00BD3147">
        <w:rPr>
          <w:rFonts w:eastAsia="Calibri"/>
          <w:lang w:eastAsia="en-US"/>
        </w:rPr>
        <w:t xml:space="preserve"> segmentā, ko lielā mērā “sildīja” Neatkarīgo Valstu Sadraudzības (NVS) valstu nerezidentu darījumi. Pēc tam, ņemot vērā gan makroekonomiskus, gan ģeopolitiskus faktorus, šī tendence sākotnēji izlīdzinājās, bet pēc tam sākās lejupslīde. Zemesgrāmatas dati rāda, ka to darījumu skaits, kas bija virs 150 tūkstošiem, salīdzinot ar 2014.gadu, ir samazinājies vairāk kā uz pusi. Līdz ar to varam secināt, ka kopumā </w:t>
      </w:r>
      <w:proofErr w:type="spellStart"/>
      <w:r w:rsidRPr="007F24A7">
        <w:rPr>
          <w:rFonts w:eastAsia="Calibri"/>
          <w:i/>
          <w:lang w:eastAsia="en-US"/>
        </w:rPr>
        <w:t>premium</w:t>
      </w:r>
      <w:proofErr w:type="spellEnd"/>
      <w:r w:rsidRPr="00BD3147">
        <w:rPr>
          <w:rFonts w:eastAsia="Calibri"/>
          <w:lang w:eastAsia="en-US"/>
        </w:rPr>
        <w:t xml:space="preserve"> segmentā 2015.gadā bija vērojama samazināšanās tendence. Pētot  darījumu skaitu 2016.gada pirmajos sešos mēnešos </w:t>
      </w:r>
      <w:proofErr w:type="spellStart"/>
      <w:r w:rsidRPr="007F24A7">
        <w:rPr>
          <w:rFonts w:eastAsia="Calibri"/>
          <w:i/>
          <w:lang w:eastAsia="en-US"/>
        </w:rPr>
        <w:t>premium</w:t>
      </w:r>
      <w:proofErr w:type="spellEnd"/>
      <w:r w:rsidRPr="00BD3147">
        <w:rPr>
          <w:rFonts w:eastAsia="Calibri"/>
          <w:lang w:eastAsia="en-US"/>
        </w:rPr>
        <w:t xml:space="preserve"> segmentā un salīdzinot ar tādu pašu periodu iepriekšējā gadā, jāatzīmē, ka ārvalstu pircēju skaits šajos darījumos ir ievērojami sarucis. Runājot par termiņuzturēšanās atļaujām, pieprasījums pēc šī pakalpojuma arvien samazinās, dēļ šīs programmas nepilnībām - varam teikt, ka salīdzinot ar pagājušo gadu un aizpagājušo gadu interese ir minimāla.</w:t>
      </w:r>
    </w:p>
    <w:p w:rsidR="00BD3147" w:rsidRPr="00BD3147" w:rsidRDefault="00BD3147" w:rsidP="00DE6218">
      <w:pPr>
        <w:spacing w:after="120"/>
        <w:ind w:firstLine="567"/>
        <w:jc w:val="both"/>
        <w:rPr>
          <w:rFonts w:eastAsia="Calibri"/>
          <w:lang w:eastAsia="en-US"/>
        </w:rPr>
      </w:pPr>
      <w:r w:rsidRPr="00BD3147">
        <w:rPr>
          <w:rFonts w:eastAsia="Calibri"/>
          <w:lang w:eastAsia="en-US"/>
        </w:rPr>
        <w:t>Kritums turpinās, tie ir tiešie zaudējumi tautsaimniecībā, gadu griezumā investīciju dinamika izskatās sekojoši:</w:t>
      </w:r>
    </w:p>
    <w:p w:rsidR="00BD3147" w:rsidRDefault="00BD3147"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Default="00DE6218" w:rsidP="00BD3147">
      <w:pPr>
        <w:spacing w:line="276" w:lineRule="auto"/>
        <w:ind w:firstLine="720"/>
        <w:jc w:val="both"/>
        <w:rPr>
          <w:rFonts w:eastAsia="Calibri"/>
          <w:lang w:eastAsia="en-US"/>
        </w:rPr>
      </w:pPr>
    </w:p>
    <w:p w:rsidR="00DE6218" w:rsidRPr="00BD3147" w:rsidRDefault="00DE6218" w:rsidP="00BD3147">
      <w:pPr>
        <w:spacing w:line="276" w:lineRule="auto"/>
        <w:ind w:firstLine="720"/>
        <w:jc w:val="both"/>
        <w:rPr>
          <w:rFonts w:eastAsia="Calibri"/>
          <w:lang w:eastAsia="en-US"/>
        </w:rPr>
      </w:pPr>
    </w:p>
    <w:p w:rsidR="00BD3147" w:rsidRPr="00BD3147" w:rsidRDefault="00BD3147" w:rsidP="00BD3147">
      <w:pPr>
        <w:spacing w:line="276" w:lineRule="auto"/>
        <w:jc w:val="both"/>
        <w:rPr>
          <w:rFonts w:eastAsia="Calibri"/>
          <w:b/>
          <w:lang w:eastAsia="en-US"/>
        </w:rPr>
      </w:pPr>
      <w:r w:rsidRPr="00BD3147">
        <w:rPr>
          <w:rFonts w:eastAsia="Calibri"/>
          <w:b/>
          <w:lang w:eastAsia="en-US"/>
        </w:rPr>
        <w:t xml:space="preserve">Ilustratīvs grafiks (Avots: </w:t>
      </w:r>
      <w:r w:rsidRPr="00BD3147">
        <w:rPr>
          <w:rFonts w:eastAsia="Calibri"/>
          <w:b/>
          <w:i/>
          <w:sz w:val="22"/>
          <w:szCs w:val="22"/>
          <w:lang w:eastAsia="en-US"/>
        </w:rPr>
        <w:t>PMLP, LANĪDA</w:t>
      </w:r>
      <w:r w:rsidRPr="00BD3147">
        <w:rPr>
          <w:rFonts w:eastAsia="Calibri"/>
          <w:b/>
          <w:lang w:eastAsia="en-US"/>
        </w:rPr>
        <w:t>)</w:t>
      </w:r>
    </w:p>
    <w:p w:rsidR="00BD3147" w:rsidRPr="00BD3147" w:rsidRDefault="00BD3147" w:rsidP="00BD3147">
      <w:pPr>
        <w:spacing w:line="276" w:lineRule="auto"/>
        <w:jc w:val="both"/>
        <w:rPr>
          <w:rFonts w:eastAsia="Calibri"/>
          <w:b/>
          <w:lang w:eastAsia="en-US"/>
        </w:rPr>
      </w:pPr>
    </w:p>
    <w:p w:rsidR="00BD3147" w:rsidRPr="00BD3147" w:rsidRDefault="00BD3147" w:rsidP="00BD3147">
      <w:pPr>
        <w:spacing w:line="276" w:lineRule="auto"/>
        <w:jc w:val="center"/>
        <w:rPr>
          <w:rFonts w:eastAsia="Calibri"/>
          <w:lang w:eastAsia="en-US"/>
        </w:rPr>
      </w:pPr>
      <w:r w:rsidRPr="00BD3147">
        <w:rPr>
          <w:rFonts w:eastAsia="Calibri"/>
          <w:noProof/>
          <w:lang w:eastAsia="lv-LV"/>
        </w:rPr>
        <w:lastRenderedPageBreak/>
        <w:drawing>
          <wp:inline distT="0" distB="0" distL="0" distR="0">
            <wp:extent cx="4467225" cy="2686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7225" cy="2686050"/>
                    </a:xfrm>
                    <a:prstGeom prst="rect">
                      <a:avLst/>
                    </a:prstGeom>
                    <a:noFill/>
                    <a:ln>
                      <a:noFill/>
                    </a:ln>
                  </pic:spPr>
                </pic:pic>
              </a:graphicData>
            </a:graphic>
          </wp:inline>
        </w:drawing>
      </w:r>
    </w:p>
    <w:p w:rsidR="00BD3147" w:rsidRPr="00BD3147" w:rsidRDefault="00BD3147" w:rsidP="00BD3147">
      <w:pPr>
        <w:spacing w:line="276" w:lineRule="auto"/>
        <w:jc w:val="both"/>
        <w:rPr>
          <w:rFonts w:eastAsia="Calibri"/>
          <w:b/>
          <w:lang w:eastAsia="en-US"/>
        </w:rPr>
      </w:pPr>
    </w:p>
    <w:p w:rsidR="00BD3147" w:rsidRPr="00BD3147" w:rsidRDefault="00BD3147" w:rsidP="00BD3147">
      <w:pPr>
        <w:spacing w:line="276" w:lineRule="auto"/>
        <w:jc w:val="both"/>
        <w:rPr>
          <w:rFonts w:eastAsia="Calibri"/>
          <w:b/>
          <w:lang w:eastAsia="en-US"/>
        </w:rPr>
      </w:pPr>
    </w:p>
    <w:p w:rsidR="00BD3147" w:rsidRPr="00BD3147" w:rsidRDefault="00BD3147" w:rsidP="00BD3147">
      <w:pPr>
        <w:spacing w:line="276" w:lineRule="auto"/>
        <w:jc w:val="both"/>
        <w:rPr>
          <w:rFonts w:eastAsia="Calibri"/>
          <w:b/>
          <w:lang w:eastAsia="en-US"/>
        </w:rPr>
      </w:pPr>
      <w:r w:rsidRPr="00BD3147">
        <w:rPr>
          <w:rFonts w:eastAsia="Calibri"/>
          <w:b/>
          <w:lang w:eastAsia="en-US"/>
        </w:rPr>
        <w:t xml:space="preserve">Ilustratīvs grafiks „Rīgas klusais centrs” (Avots: </w:t>
      </w:r>
      <w:r w:rsidRPr="00BD3147">
        <w:rPr>
          <w:rFonts w:eastAsia="Calibri"/>
          <w:b/>
          <w:i/>
          <w:sz w:val="22"/>
          <w:szCs w:val="22"/>
          <w:lang w:eastAsia="en-US"/>
        </w:rPr>
        <w:t xml:space="preserve">VZD, </w:t>
      </w:r>
      <w:proofErr w:type="spellStart"/>
      <w:r w:rsidRPr="00BD3147">
        <w:rPr>
          <w:rFonts w:eastAsia="Calibri"/>
          <w:b/>
          <w:i/>
          <w:sz w:val="22"/>
          <w:szCs w:val="22"/>
          <w:lang w:eastAsia="en-US"/>
        </w:rPr>
        <w:t>Vestabalt</w:t>
      </w:r>
      <w:proofErr w:type="spellEnd"/>
      <w:r w:rsidRPr="00BD3147">
        <w:rPr>
          <w:rFonts w:eastAsia="Calibri"/>
          <w:b/>
          <w:lang w:eastAsia="en-US"/>
        </w:rPr>
        <w:t>)</w:t>
      </w:r>
    </w:p>
    <w:p w:rsidR="00BD3147" w:rsidRPr="00BD3147" w:rsidRDefault="00BD3147" w:rsidP="00BD3147">
      <w:pPr>
        <w:spacing w:line="276" w:lineRule="auto"/>
        <w:jc w:val="both"/>
        <w:rPr>
          <w:rFonts w:eastAsia="Calibri"/>
          <w:b/>
          <w:lang w:eastAsia="en-US"/>
        </w:rPr>
      </w:pPr>
    </w:p>
    <w:p w:rsidR="00BD3147" w:rsidRPr="00BD3147" w:rsidRDefault="00BD3147" w:rsidP="00BD3147">
      <w:pPr>
        <w:spacing w:line="276" w:lineRule="auto"/>
        <w:jc w:val="center"/>
        <w:rPr>
          <w:rFonts w:eastAsia="Calibri"/>
          <w:lang w:eastAsia="en-US"/>
        </w:rPr>
      </w:pPr>
      <w:r w:rsidRPr="00BD3147">
        <w:rPr>
          <w:rFonts w:ascii="Calibri" w:eastAsia="Calibri" w:hAnsi="Calibri"/>
          <w:noProof/>
          <w:sz w:val="22"/>
          <w:szCs w:val="22"/>
          <w:lang w:eastAsia="lv-LV"/>
        </w:rPr>
        <w:drawing>
          <wp:inline distT="0" distB="0" distL="0" distR="0">
            <wp:extent cx="4029075" cy="3343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3343275"/>
                    </a:xfrm>
                    <a:prstGeom prst="rect">
                      <a:avLst/>
                    </a:prstGeom>
                    <a:noFill/>
                    <a:ln>
                      <a:noFill/>
                    </a:ln>
                  </pic:spPr>
                </pic:pic>
              </a:graphicData>
            </a:graphic>
          </wp:inline>
        </w:drawing>
      </w:r>
    </w:p>
    <w:p w:rsidR="00BD3147" w:rsidRPr="00BD3147" w:rsidRDefault="00BD3147" w:rsidP="00BD3147">
      <w:pPr>
        <w:spacing w:line="276" w:lineRule="auto"/>
        <w:jc w:val="both"/>
        <w:rPr>
          <w:rFonts w:eastAsia="Calibri"/>
          <w:lang w:eastAsia="en-US"/>
        </w:rPr>
      </w:pPr>
    </w:p>
    <w:p w:rsidR="00BD3147" w:rsidRPr="00BD3147" w:rsidRDefault="00BD3147" w:rsidP="00BD3147">
      <w:pPr>
        <w:spacing w:after="200" w:line="276" w:lineRule="auto"/>
        <w:rPr>
          <w:rFonts w:eastAsia="Calibri"/>
          <w:b/>
          <w:lang w:eastAsia="en-US"/>
        </w:rPr>
      </w:pPr>
    </w:p>
    <w:p w:rsidR="00BD3147" w:rsidRPr="00BD3147" w:rsidRDefault="00BD3147" w:rsidP="00BD3147">
      <w:pPr>
        <w:spacing w:after="200" w:line="276" w:lineRule="auto"/>
        <w:rPr>
          <w:rFonts w:eastAsia="Calibri"/>
          <w:b/>
          <w:lang w:eastAsia="en-US"/>
        </w:rPr>
      </w:pPr>
    </w:p>
    <w:p w:rsidR="00BD3147" w:rsidRPr="00BD3147" w:rsidRDefault="00BD3147" w:rsidP="00BD3147">
      <w:pPr>
        <w:spacing w:after="200" w:line="276" w:lineRule="auto"/>
        <w:rPr>
          <w:rFonts w:eastAsia="Calibri"/>
          <w:b/>
          <w:lang w:eastAsia="en-US"/>
        </w:rPr>
      </w:pPr>
    </w:p>
    <w:p w:rsidR="00BD3147" w:rsidRPr="00BD3147" w:rsidRDefault="00BD3147" w:rsidP="00BD3147">
      <w:pPr>
        <w:spacing w:after="200" w:line="276" w:lineRule="auto"/>
        <w:rPr>
          <w:rFonts w:eastAsia="Calibri"/>
          <w:b/>
          <w:lang w:eastAsia="en-US"/>
        </w:rPr>
      </w:pPr>
    </w:p>
    <w:p w:rsidR="00BD3147" w:rsidRPr="00BD3147" w:rsidRDefault="00BD3147" w:rsidP="00BD3147">
      <w:pPr>
        <w:spacing w:after="200" w:line="276" w:lineRule="auto"/>
        <w:rPr>
          <w:rFonts w:eastAsia="Calibri"/>
          <w:lang w:eastAsia="en-US"/>
        </w:rPr>
      </w:pPr>
      <w:r w:rsidRPr="00BD3147">
        <w:rPr>
          <w:rFonts w:eastAsia="Calibri"/>
          <w:b/>
          <w:lang w:eastAsia="en-US"/>
        </w:rPr>
        <w:t>Ilustratīvs grafiks „Jaunie projekti Rīgā”</w:t>
      </w:r>
    </w:p>
    <w:p w:rsidR="00BD3147" w:rsidRPr="00BD3147" w:rsidRDefault="00BD3147" w:rsidP="00BD3147">
      <w:pPr>
        <w:spacing w:line="276" w:lineRule="auto"/>
        <w:jc w:val="center"/>
        <w:rPr>
          <w:rFonts w:eastAsia="Calibri"/>
          <w:b/>
          <w:lang w:eastAsia="en-US"/>
        </w:rPr>
      </w:pPr>
      <w:r w:rsidRPr="00BD3147">
        <w:rPr>
          <w:rFonts w:eastAsia="Calibri"/>
          <w:b/>
          <w:noProof/>
          <w:lang w:eastAsia="lv-LV"/>
        </w:rPr>
        <w:lastRenderedPageBreak/>
        <w:drawing>
          <wp:inline distT="0" distB="0" distL="0" distR="0">
            <wp:extent cx="6267450" cy="402907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3147" w:rsidRPr="00BD3147" w:rsidRDefault="00BD3147" w:rsidP="00BD3147">
      <w:pPr>
        <w:spacing w:line="276" w:lineRule="auto"/>
        <w:rPr>
          <w:rFonts w:eastAsia="Calibri"/>
          <w:b/>
          <w:lang w:eastAsia="en-US"/>
        </w:rPr>
      </w:pPr>
      <w:r w:rsidRPr="00BD3147">
        <w:rPr>
          <w:rFonts w:eastAsia="Calibri"/>
          <w:b/>
          <w:lang w:eastAsia="en-US"/>
        </w:rPr>
        <w:t>Grafiki „Jūrmala”</w:t>
      </w:r>
    </w:p>
    <w:p w:rsidR="00BD3147" w:rsidRPr="00BD3147" w:rsidRDefault="00BD3147" w:rsidP="00BD3147">
      <w:pPr>
        <w:spacing w:line="276" w:lineRule="auto"/>
        <w:jc w:val="both"/>
        <w:rPr>
          <w:rFonts w:eastAsia="Calibri"/>
          <w:b/>
          <w:lang w:eastAsia="en-US"/>
        </w:rPr>
      </w:pPr>
    </w:p>
    <w:p w:rsidR="00BD3147" w:rsidRPr="00BD3147" w:rsidRDefault="00BD3147" w:rsidP="00BD3147">
      <w:pPr>
        <w:spacing w:line="276" w:lineRule="auto"/>
        <w:jc w:val="center"/>
        <w:rPr>
          <w:rFonts w:eastAsia="Calibri"/>
          <w:b/>
          <w:lang w:eastAsia="en-US"/>
        </w:rPr>
      </w:pPr>
      <w:r w:rsidRPr="00BD3147">
        <w:rPr>
          <w:rFonts w:eastAsia="Calibri"/>
          <w:b/>
          <w:noProof/>
          <w:lang w:eastAsia="lv-LV"/>
        </w:rPr>
        <w:drawing>
          <wp:inline distT="0" distB="0" distL="0" distR="0">
            <wp:extent cx="4610100" cy="334327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3147" w:rsidRPr="00BD3147" w:rsidRDefault="00BD3147" w:rsidP="00BD3147">
      <w:pPr>
        <w:spacing w:line="276" w:lineRule="auto"/>
        <w:jc w:val="center"/>
        <w:rPr>
          <w:rFonts w:eastAsia="Calibri"/>
          <w:b/>
          <w:lang w:eastAsia="en-US"/>
        </w:rPr>
      </w:pPr>
    </w:p>
    <w:p w:rsidR="00BD3147" w:rsidRPr="00BD3147" w:rsidRDefault="00BD3147" w:rsidP="00BD3147">
      <w:pPr>
        <w:spacing w:line="276" w:lineRule="auto"/>
        <w:jc w:val="center"/>
        <w:rPr>
          <w:rFonts w:eastAsia="Calibri"/>
          <w:b/>
          <w:lang w:eastAsia="en-US"/>
        </w:rPr>
      </w:pPr>
    </w:p>
    <w:p w:rsidR="00BD3147" w:rsidRPr="00BD3147" w:rsidRDefault="00BD3147" w:rsidP="00BD3147">
      <w:pPr>
        <w:spacing w:line="276" w:lineRule="auto"/>
        <w:jc w:val="center"/>
        <w:rPr>
          <w:rFonts w:eastAsia="Calibri"/>
          <w:b/>
          <w:lang w:eastAsia="en-US"/>
        </w:rPr>
      </w:pPr>
      <w:r w:rsidRPr="00BD3147">
        <w:rPr>
          <w:rFonts w:eastAsia="Calibri"/>
          <w:b/>
          <w:noProof/>
          <w:lang w:eastAsia="lv-LV"/>
        </w:rPr>
        <w:lastRenderedPageBreak/>
        <w:drawing>
          <wp:inline distT="0" distB="0" distL="0" distR="0">
            <wp:extent cx="4781550" cy="376237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147" w:rsidRPr="00BD3147" w:rsidRDefault="00BD3147" w:rsidP="00BD3147">
      <w:pPr>
        <w:spacing w:line="276" w:lineRule="auto"/>
        <w:jc w:val="both"/>
        <w:rPr>
          <w:rFonts w:eastAsia="Calibri"/>
          <w:lang w:eastAsia="en-US"/>
        </w:rPr>
      </w:pPr>
    </w:p>
    <w:p w:rsidR="00BD3147" w:rsidRPr="00BD3147" w:rsidRDefault="00BD3147" w:rsidP="00BD3147">
      <w:pPr>
        <w:jc w:val="both"/>
        <w:rPr>
          <w:rFonts w:eastAsia="Calibri"/>
          <w:lang w:eastAsia="en-US"/>
        </w:rPr>
      </w:pPr>
      <w:r w:rsidRPr="00BD3147">
        <w:rPr>
          <w:rFonts w:eastAsia="Calibri"/>
          <w:lang w:eastAsia="en-US"/>
        </w:rPr>
        <w:t xml:space="preserve">Asociācijas skatījumā, situācija šajos nekustamo īpašumu segmentos ir kritiska, ko, protams, var vērtēt kā „sasniegumu” nerezidentu izskaušanā no Latvijas nekustamā īpašuma tirgus, bet </w:t>
      </w:r>
      <w:r w:rsidR="008F552E">
        <w:rPr>
          <w:rFonts w:eastAsia="Calibri"/>
          <w:lang w:eastAsia="en-US"/>
        </w:rPr>
        <w:t>asociācija uzskata</w:t>
      </w:r>
      <w:r w:rsidRPr="00BD3147">
        <w:rPr>
          <w:rFonts w:eastAsia="Calibri"/>
          <w:lang w:eastAsia="en-US"/>
        </w:rPr>
        <w:t>, ka šis ir Latvijas kārtējais apolitiskais lēmums, kura negatīvās sekas būs jāiznes nozares uzņēmējiem.</w:t>
      </w:r>
    </w:p>
    <w:p w:rsidR="007E46A9" w:rsidRDefault="007E46A9" w:rsidP="00FD7427">
      <w:pPr>
        <w:jc w:val="right"/>
      </w:pPr>
    </w:p>
    <w:p w:rsidR="007E46A9" w:rsidRPr="007E46A9" w:rsidRDefault="007E46A9" w:rsidP="007E46A9"/>
    <w:p w:rsidR="00DE6218" w:rsidRPr="007355EB" w:rsidRDefault="00DE6218" w:rsidP="00DE6218">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DE6218" w:rsidRDefault="00DE6218" w:rsidP="00DE6218">
      <w:pPr>
        <w:ind w:left="720" w:hanging="720"/>
        <w:rPr>
          <w:sz w:val="26"/>
          <w:szCs w:val="26"/>
        </w:rPr>
      </w:pPr>
    </w:p>
    <w:p w:rsidR="00DE6218" w:rsidRDefault="00DE6218" w:rsidP="00DE6218">
      <w:pPr>
        <w:ind w:left="720" w:hanging="720"/>
        <w:rPr>
          <w:sz w:val="26"/>
          <w:szCs w:val="26"/>
        </w:rPr>
      </w:pPr>
    </w:p>
    <w:p w:rsidR="00DE6218" w:rsidRPr="007355EB" w:rsidRDefault="00DE6218" w:rsidP="00DE6218">
      <w:pPr>
        <w:ind w:left="720" w:hanging="720"/>
        <w:rPr>
          <w:sz w:val="26"/>
          <w:szCs w:val="26"/>
        </w:rPr>
      </w:pPr>
      <w:r w:rsidRPr="007355EB">
        <w:rPr>
          <w:sz w:val="26"/>
          <w:szCs w:val="26"/>
        </w:rPr>
        <w:t>Vīza:</w:t>
      </w:r>
    </w:p>
    <w:p w:rsidR="00DE6218" w:rsidRPr="007355EB" w:rsidRDefault="00DE6218" w:rsidP="00DE6218">
      <w:pPr>
        <w:tabs>
          <w:tab w:val="left" w:pos="6431"/>
        </w:tabs>
        <w:ind w:left="720" w:hanging="720"/>
        <w:rPr>
          <w:sz w:val="26"/>
          <w:szCs w:val="26"/>
        </w:rPr>
      </w:pPr>
      <w:r w:rsidRPr="007355EB">
        <w:rPr>
          <w:sz w:val="26"/>
          <w:szCs w:val="26"/>
        </w:rPr>
        <w:t>Valsts sekretāre</w:t>
      </w:r>
      <w:r>
        <w:rPr>
          <w:sz w:val="26"/>
          <w:szCs w:val="26"/>
        </w:rPr>
        <w:tab/>
      </w:r>
      <w:r>
        <w:rPr>
          <w:sz w:val="26"/>
          <w:szCs w:val="26"/>
        </w:rPr>
        <w:tab/>
        <w:t>I. Pētersone-Godmane</w:t>
      </w:r>
    </w:p>
    <w:p w:rsidR="00DE6218" w:rsidRDefault="00DE6218" w:rsidP="00DE6218">
      <w:pPr>
        <w:ind w:right="-328"/>
        <w:jc w:val="both"/>
        <w:rPr>
          <w:sz w:val="22"/>
          <w:szCs w:val="22"/>
        </w:rPr>
      </w:pPr>
    </w:p>
    <w:p w:rsidR="00DE6218" w:rsidRDefault="00DE6218" w:rsidP="00DE6218">
      <w:pPr>
        <w:ind w:right="-328"/>
        <w:jc w:val="both"/>
        <w:rPr>
          <w:sz w:val="22"/>
          <w:szCs w:val="22"/>
        </w:rPr>
      </w:pPr>
    </w:p>
    <w:p w:rsidR="00DE6218" w:rsidRDefault="00DE6218" w:rsidP="00DE6218">
      <w:pPr>
        <w:ind w:right="-328"/>
        <w:jc w:val="both"/>
        <w:rPr>
          <w:sz w:val="22"/>
          <w:szCs w:val="22"/>
        </w:rPr>
      </w:pPr>
    </w:p>
    <w:p w:rsidR="00DE6218" w:rsidRPr="007355EB" w:rsidRDefault="00DE6218" w:rsidP="00DE6218">
      <w:pPr>
        <w:ind w:right="-328"/>
        <w:jc w:val="both"/>
        <w:rPr>
          <w:sz w:val="22"/>
          <w:szCs w:val="22"/>
        </w:rPr>
      </w:pPr>
      <w:r>
        <w:rPr>
          <w:sz w:val="22"/>
          <w:szCs w:val="22"/>
        </w:rPr>
        <w:t>0</w:t>
      </w:r>
      <w:r w:rsidR="00C569CB">
        <w:rPr>
          <w:sz w:val="22"/>
          <w:szCs w:val="22"/>
        </w:rPr>
        <w:t>6</w:t>
      </w:r>
      <w:r>
        <w:rPr>
          <w:sz w:val="22"/>
          <w:szCs w:val="22"/>
        </w:rPr>
        <w:t>.10.2016</w:t>
      </w:r>
      <w:r w:rsidRPr="007355EB">
        <w:rPr>
          <w:sz w:val="22"/>
          <w:szCs w:val="22"/>
        </w:rPr>
        <w:t xml:space="preserve">. </w:t>
      </w:r>
      <w:r w:rsidR="001E13FF">
        <w:rPr>
          <w:sz w:val="22"/>
          <w:szCs w:val="22"/>
        </w:rPr>
        <w:t>13:50</w:t>
      </w:r>
    </w:p>
    <w:p w:rsidR="00DE6218" w:rsidRPr="007355EB" w:rsidRDefault="00DE6218" w:rsidP="00DE6218">
      <w:pPr>
        <w:ind w:right="-328"/>
        <w:rPr>
          <w:sz w:val="22"/>
          <w:szCs w:val="22"/>
        </w:rPr>
      </w:pPr>
      <w:r>
        <w:rPr>
          <w:sz w:val="22"/>
          <w:szCs w:val="22"/>
        </w:rPr>
        <w:t>37</w:t>
      </w:r>
      <w:r w:rsidR="008F552E">
        <w:rPr>
          <w:sz w:val="22"/>
          <w:szCs w:val="22"/>
        </w:rPr>
        <w:t>5</w:t>
      </w:r>
    </w:p>
    <w:p w:rsidR="00DE6218" w:rsidRDefault="00DE6218" w:rsidP="00DE6218">
      <w:pPr>
        <w:ind w:right="-328"/>
        <w:rPr>
          <w:sz w:val="22"/>
          <w:szCs w:val="22"/>
        </w:rPr>
      </w:pPr>
      <w:r>
        <w:rPr>
          <w:sz w:val="22"/>
          <w:szCs w:val="22"/>
        </w:rPr>
        <w:t xml:space="preserve">I. </w:t>
      </w:r>
      <w:proofErr w:type="spellStart"/>
      <w:r w:rsidRPr="007355EB">
        <w:rPr>
          <w:sz w:val="22"/>
          <w:szCs w:val="22"/>
        </w:rPr>
        <w:t>Briede</w:t>
      </w:r>
      <w:proofErr w:type="spellEnd"/>
      <w:r w:rsidRPr="007355EB">
        <w:rPr>
          <w:sz w:val="22"/>
          <w:szCs w:val="22"/>
        </w:rPr>
        <w:t>, 67219546</w:t>
      </w:r>
    </w:p>
    <w:p w:rsidR="00DE6218" w:rsidRPr="007355EB" w:rsidRDefault="001226FD" w:rsidP="00DE6218">
      <w:pPr>
        <w:ind w:right="-328"/>
      </w:pPr>
      <w:hyperlink r:id="rId11" w:history="1">
        <w:r w:rsidR="00DE6218" w:rsidRPr="007355EB">
          <w:rPr>
            <w:rStyle w:val="Hyperlink"/>
            <w:sz w:val="22"/>
            <w:szCs w:val="22"/>
          </w:rPr>
          <w:t>ilze.briede@pmlp.gov.lv</w:t>
        </w:r>
      </w:hyperlink>
      <w:r w:rsidR="00DE6218" w:rsidRPr="007355EB">
        <w:rPr>
          <w:sz w:val="22"/>
          <w:szCs w:val="22"/>
        </w:rPr>
        <w:t xml:space="preserve"> </w:t>
      </w:r>
    </w:p>
    <w:p w:rsidR="007E46A9" w:rsidRPr="007E46A9" w:rsidRDefault="007E46A9" w:rsidP="007E46A9">
      <w:bookmarkStart w:id="0" w:name="_GoBack"/>
      <w:bookmarkEnd w:id="0"/>
    </w:p>
    <w:p w:rsidR="007E46A9" w:rsidRPr="007E46A9" w:rsidRDefault="007E46A9" w:rsidP="007E46A9"/>
    <w:p w:rsidR="007E46A9" w:rsidRPr="007E46A9" w:rsidRDefault="007E46A9" w:rsidP="007E46A9"/>
    <w:p w:rsidR="007E46A9" w:rsidRPr="007E46A9" w:rsidRDefault="007E46A9" w:rsidP="007E46A9"/>
    <w:p w:rsidR="007E46A9" w:rsidRPr="007E46A9" w:rsidRDefault="007E46A9" w:rsidP="007E46A9"/>
    <w:p w:rsidR="007E46A9" w:rsidRPr="007E46A9" w:rsidRDefault="007E46A9" w:rsidP="007E46A9"/>
    <w:p w:rsidR="007E46A9" w:rsidRPr="007E46A9" w:rsidRDefault="007E46A9" w:rsidP="007E46A9"/>
    <w:p w:rsidR="00FD7427" w:rsidRPr="007E46A9" w:rsidRDefault="00FD7427" w:rsidP="007E46A9"/>
    <w:sectPr w:rsidR="00FD7427" w:rsidRPr="007E46A9" w:rsidSect="001E13FF">
      <w:headerReference w:type="default" r:id="rId12"/>
      <w:footerReference w:type="default" r:id="rId13"/>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01" w:rsidRDefault="00746301" w:rsidP="00DE6218">
      <w:r>
        <w:separator/>
      </w:r>
    </w:p>
  </w:endnote>
  <w:endnote w:type="continuationSeparator" w:id="0">
    <w:p w:rsidR="00746301" w:rsidRDefault="00746301" w:rsidP="00DE6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18" w:rsidRPr="00801226" w:rsidRDefault="00DE6218" w:rsidP="00DE6218">
    <w:pPr>
      <w:jc w:val="both"/>
      <w:rPr>
        <w:sz w:val="20"/>
        <w:szCs w:val="20"/>
      </w:rPr>
    </w:pPr>
    <w:r>
      <w:rPr>
        <w:sz w:val="20"/>
        <w:szCs w:val="20"/>
      </w:rPr>
      <w:t>IEMZinop1</w:t>
    </w:r>
    <w:r w:rsidR="00C569CB">
      <w:rPr>
        <w:sz w:val="20"/>
        <w:szCs w:val="20"/>
      </w:rPr>
      <w:t>0</w:t>
    </w:r>
    <w:r>
      <w:rPr>
        <w:sz w:val="20"/>
        <w:szCs w:val="20"/>
      </w:rPr>
      <w:t>_0</w:t>
    </w:r>
    <w:r w:rsidR="00C569CB">
      <w:rPr>
        <w:sz w:val="20"/>
        <w:szCs w:val="20"/>
      </w:rPr>
      <w:t>6</w:t>
    </w:r>
    <w:r>
      <w:rPr>
        <w:sz w:val="20"/>
        <w:szCs w:val="20"/>
      </w:rPr>
      <w:t xml:space="preserve">1016;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10.pielikums</w:t>
    </w:r>
  </w:p>
  <w:p w:rsidR="00DE6218" w:rsidRDefault="00DE6218">
    <w:pPr>
      <w:pStyle w:val="Footer"/>
    </w:pPr>
  </w:p>
  <w:p w:rsidR="00DE6218" w:rsidRDefault="00DE6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01" w:rsidRDefault="00746301" w:rsidP="00DE6218">
      <w:r>
        <w:separator/>
      </w:r>
    </w:p>
  </w:footnote>
  <w:footnote w:type="continuationSeparator" w:id="0">
    <w:p w:rsidR="00746301" w:rsidRDefault="00746301" w:rsidP="00DE6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78"/>
      <w:docPartObj>
        <w:docPartGallery w:val="Page Numbers (Top of Page)"/>
        <w:docPartUnique/>
      </w:docPartObj>
    </w:sdtPr>
    <w:sdtContent>
      <w:p w:rsidR="001E13FF" w:rsidRDefault="001E13FF">
        <w:pPr>
          <w:pStyle w:val="Header"/>
          <w:jc w:val="center"/>
        </w:pPr>
        <w:fldSimple w:instr=" PAGE   \* MERGEFORMAT ">
          <w:r w:rsidR="008F552E">
            <w:rPr>
              <w:noProof/>
            </w:rPr>
            <w:t>4</w:t>
          </w:r>
        </w:fldSimple>
      </w:p>
    </w:sdtContent>
  </w:sdt>
  <w:p w:rsidR="001E13FF" w:rsidRDefault="001E13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FD7427"/>
    <w:rsid w:val="001226FD"/>
    <w:rsid w:val="001E13FF"/>
    <w:rsid w:val="00534F9C"/>
    <w:rsid w:val="00623B35"/>
    <w:rsid w:val="00746301"/>
    <w:rsid w:val="007D0F9B"/>
    <w:rsid w:val="007E46A9"/>
    <w:rsid w:val="007F24A7"/>
    <w:rsid w:val="008F552E"/>
    <w:rsid w:val="00A2102B"/>
    <w:rsid w:val="00AF4FBA"/>
    <w:rsid w:val="00BD3147"/>
    <w:rsid w:val="00C569CB"/>
    <w:rsid w:val="00DE6218"/>
    <w:rsid w:val="00F91BE7"/>
    <w:rsid w:val="00FD74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27"/>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D7427"/>
    <w:rPr>
      <w:rFonts w:ascii="Calibri" w:hAnsi="Calibri"/>
      <w:sz w:val="22"/>
      <w:szCs w:val="21"/>
      <w:lang w:eastAsia="en-US"/>
    </w:rPr>
  </w:style>
  <w:style w:type="character" w:customStyle="1" w:styleId="PlainTextChar">
    <w:name w:val="Plain Text Char"/>
    <w:basedOn w:val="DefaultParagraphFont"/>
    <w:link w:val="PlainText"/>
    <w:uiPriority w:val="99"/>
    <w:rsid w:val="00FD7427"/>
    <w:rPr>
      <w:rFonts w:ascii="Calibri" w:eastAsia="SimSun" w:hAnsi="Calibri" w:cs="Times New Roman"/>
      <w:sz w:val="22"/>
      <w:szCs w:val="21"/>
    </w:rPr>
  </w:style>
  <w:style w:type="paragraph" w:styleId="BalloonText">
    <w:name w:val="Balloon Text"/>
    <w:basedOn w:val="Normal"/>
    <w:link w:val="BalloonTextChar"/>
    <w:uiPriority w:val="99"/>
    <w:semiHidden/>
    <w:unhideWhenUsed/>
    <w:rsid w:val="00DE6218"/>
    <w:rPr>
      <w:rFonts w:ascii="Tahoma" w:hAnsi="Tahoma" w:cs="Tahoma"/>
      <w:sz w:val="16"/>
      <w:szCs w:val="16"/>
    </w:rPr>
  </w:style>
  <w:style w:type="character" w:customStyle="1" w:styleId="BalloonTextChar">
    <w:name w:val="Balloon Text Char"/>
    <w:basedOn w:val="DefaultParagraphFont"/>
    <w:link w:val="BalloonText"/>
    <w:uiPriority w:val="99"/>
    <w:semiHidden/>
    <w:rsid w:val="00DE6218"/>
    <w:rPr>
      <w:rFonts w:ascii="Tahoma" w:eastAsia="SimSun" w:hAnsi="Tahoma" w:cs="Tahoma"/>
      <w:sz w:val="16"/>
      <w:szCs w:val="16"/>
      <w:lang w:eastAsia="zh-CN"/>
    </w:rPr>
  </w:style>
  <w:style w:type="character" w:styleId="Hyperlink">
    <w:name w:val="Hyperlink"/>
    <w:rsid w:val="00DE6218"/>
    <w:rPr>
      <w:color w:val="0000FF"/>
      <w:u w:val="single"/>
    </w:rPr>
  </w:style>
  <w:style w:type="paragraph" w:styleId="Header">
    <w:name w:val="header"/>
    <w:basedOn w:val="Normal"/>
    <w:link w:val="HeaderChar"/>
    <w:uiPriority w:val="99"/>
    <w:unhideWhenUsed/>
    <w:rsid w:val="00DE6218"/>
    <w:pPr>
      <w:tabs>
        <w:tab w:val="center" w:pos="4153"/>
        <w:tab w:val="right" w:pos="8306"/>
      </w:tabs>
    </w:pPr>
  </w:style>
  <w:style w:type="character" w:customStyle="1" w:styleId="HeaderChar">
    <w:name w:val="Header Char"/>
    <w:basedOn w:val="DefaultParagraphFont"/>
    <w:link w:val="Header"/>
    <w:uiPriority w:val="99"/>
    <w:rsid w:val="00DE6218"/>
    <w:rPr>
      <w:rFonts w:eastAsia="SimSun" w:cs="Times New Roman"/>
      <w:sz w:val="24"/>
      <w:szCs w:val="24"/>
      <w:lang w:eastAsia="zh-CN"/>
    </w:rPr>
  </w:style>
  <w:style w:type="paragraph" w:styleId="Footer">
    <w:name w:val="footer"/>
    <w:basedOn w:val="Normal"/>
    <w:link w:val="FooterChar"/>
    <w:uiPriority w:val="99"/>
    <w:unhideWhenUsed/>
    <w:rsid w:val="00DE6218"/>
    <w:pPr>
      <w:tabs>
        <w:tab w:val="center" w:pos="4153"/>
        <w:tab w:val="right" w:pos="8306"/>
      </w:tabs>
    </w:pPr>
  </w:style>
  <w:style w:type="character" w:customStyle="1" w:styleId="FooterChar">
    <w:name w:val="Footer Char"/>
    <w:basedOn w:val="DefaultParagraphFont"/>
    <w:link w:val="Footer"/>
    <w:uiPriority w:val="99"/>
    <w:rsid w:val="00DE6218"/>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27"/>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D7427"/>
    <w:rPr>
      <w:rFonts w:ascii="Calibri" w:hAnsi="Calibri"/>
      <w:sz w:val="22"/>
      <w:szCs w:val="21"/>
      <w:lang w:eastAsia="en-US"/>
    </w:rPr>
  </w:style>
  <w:style w:type="character" w:customStyle="1" w:styleId="PlainTextChar">
    <w:name w:val="Plain Text Char"/>
    <w:basedOn w:val="DefaultParagraphFont"/>
    <w:link w:val="PlainText"/>
    <w:uiPriority w:val="99"/>
    <w:rsid w:val="00FD7427"/>
    <w:rPr>
      <w:rFonts w:ascii="Calibri" w:eastAsia="SimSun" w:hAnsi="Calibri" w:cs="Times New Roman"/>
      <w:sz w:val="22"/>
      <w:szCs w:val="21"/>
    </w:rPr>
  </w:style>
  <w:style w:type="paragraph" w:styleId="BalloonText">
    <w:name w:val="Balloon Text"/>
    <w:basedOn w:val="Normal"/>
    <w:link w:val="BalloonTextChar"/>
    <w:uiPriority w:val="99"/>
    <w:semiHidden/>
    <w:unhideWhenUsed/>
    <w:rsid w:val="00DE6218"/>
    <w:rPr>
      <w:rFonts w:ascii="Tahoma" w:hAnsi="Tahoma" w:cs="Tahoma"/>
      <w:sz w:val="16"/>
      <w:szCs w:val="16"/>
    </w:rPr>
  </w:style>
  <w:style w:type="character" w:customStyle="1" w:styleId="BalloonTextChar">
    <w:name w:val="Balloon Text Char"/>
    <w:basedOn w:val="DefaultParagraphFont"/>
    <w:link w:val="BalloonText"/>
    <w:uiPriority w:val="99"/>
    <w:semiHidden/>
    <w:rsid w:val="00DE6218"/>
    <w:rPr>
      <w:rFonts w:ascii="Tahoma" w:eastAsia="SimSun" w:hAnsi="Tahoma" w:cs="Tahoma"/>
      <w:sz w:val="16"/>
      <w:szCs w:val="16"/>
      <w:lang w:eastAsia="zh-CN"/>
    </w:rPr>
  </w:style>
  <w:style w:type="character" w:styleId="Hyperlink">
    <w:name w:val="Hyperlink"/>
    <w:rsid w:val="00DE6218"/>
    <w:rPr>
      <w:color w:val="0000FF"/>
      <w:u w:val="single"/>
    </w:rPr>
  </w:style>
  <w:style w:type="paragraph" w:styleId="Header">
    <w:name w:val="header"/>
    <w:basedOn w:val="Normal"/>
    <w:link w:val="HeaderChar"/>
    <w:uiPriority w:val="99"/>
    <w:unhideWhenUsed/>
    <w:rsid w:val="00DE6218"/>
    <w:pPr>
      <w:tabs>
        <w:tab w:val="center" w:pos="4153"/>
        <w:tab w:val="right" w:pos="8306"/>
      </w:tabs>
    </w:pPr>
  </w:style>
  <w:style w:type="character" w:customStyle="1" w:styleId="HeaderChar">
    <w:name w:val="Header Char"/>
    <w:basedOn w:val="DefaultParagraphFont"/>
    <w:link w:val="Header"/>
    <w:uiPriority w:val="99"/>
    <w:rsid w:val="00DE6218"/>
    <w:rPr>
      <w:rFonts w:eastAsia="SimSun" w:cs="Times New Roman"/>
      <w:sz w:val="24"/>
      <w:szCs w:val="24"/>
      <w:lang w:eastAsia="zh-CN"/>
    </w:rPr>
  </w:style>
  <w:style w:type="paragraph" w:styleId="Footer">
    <w:name w:val="footer"/>
    <w:basedOn w:val="Normal"/>
    <w:link w:val="FooterChar"/>
    <w:uiPriority w:val="99"/>
    <w:unhideWhenUsed/>
    <w:rsid w:val="00DE6218"/>
    <w:pPr>
      <w:tabs>
        <w:tab w:val="center" w:pos="4153"/>
        <w:tab w:val="right" w:pos="8306"/>
      </w:tabs>
    </w:pPr>
  </w:style>
  <w:style w:type="character" w:customStyle="1" w:styleId="FooterChar">
    <w:name w:val="Footer Char"/>
    <w:basedOn w:val="DefaultParagraphFont"/>
    <w:link w:val="Footer"/>
    <w:uiPriority w:val="99"/>
    <w:rsid w:val="00DE6218"/>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lze.briede@pmlp.gov.l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600" b="1" i="0" u="none" strike="noStrike" kern="1200" spc="0" baseline="0">
                <a:solidFill>
                  <a:schemeClr val="tx1">
                    <a:lumMod val="65000"/>
                    <a:lumOff val="35000"/>
                  </a:schemeClr>
                </a:solidFill>
                <a:latin typeface="+mn-lt"/>
                <a:ea typeface="+mn-ea"/>
                <a:cs typeface="+mn-cs"/>
              </a:defRPr>
            </a:pPr>
            <a:r>
              <a:rPr lang="lv-LV" sz="1200" b="1" dirty="0" smtClean="0">
                <a:solidFill>
                  <a:schemeClr val="tx1"/>
                </a:solidFill>
                <a:latin typeface="Times New Roman" pitchFamily="18" charset="0"/>
                <a:cs typeface="Times New Roman" pitchFamily="18" charset="0"/>
              </a:rPr>
              <a:t>Darījumu skaits un kopējā</a:t>
            </a:r>
            <a:r>
              <a:rPr lang="lv-LV" sz="1200" b="1" baseline="0" dirty="0" smtClean="0">
                <a:solidFill>
                  <a:schemeClr val="tx1"/>
                </a:solidFill>
                <a:latin typeface="Times New Roman" pitchFamily="18" charset="0"/>
                <a:cs typeface="Times New Roman" pitchFamily="18" charset="0"/>
              </a:rPr>
              <a:t> summa ar dzīvokļiem jaunajos projektos Rīgā</a:t>
            </a:r>
            <a:endParaRPr lang="lv-LV" sz="1200" b="1" dirty="0" smtClean="0">
              <a:solidFill>
                <a:schemeClr val="tx1"/>
              </a:solidFill>
              <a:latin typeface="Times New Roman" pitchFamily="18" charset="0"/>
              <a:cs typeface="Times New Roman" pitchFamily="18" charset="0"/>
            </a:endParaRPr>
          </a:p>
        </c:rich>
      </c:tx>
      <c:spPr>
        <a:noFill/>
        <a:ln w="25397">
          <a:noFill/>
        </a:ln>
      </c:spPr>
    </c:title>
    <c:plotArea>
      <c:layout>
        <c:manualLayout>
          <c:layoutTarget val="inner"/>
          <c:xMode val="edge"/>
          <c:yMode val="edge"/>
          <c:x val="8.1286217221830798E-2"/>
          <c:y val="0.15769924688781964"/>
          <c:w val="0.84785283097516762"/>
          <c:h val="0.68604832560776152"/>
        </c:manualLayout>
      </c:layout>
      <c:barChart>
        <c:barDir val="col"/>
        <c:grouping val="clustered"/>
        <c:ser>
          <c:idx val="1"/>
          <c:order val="1"/>
          <c:tx>
            <c:strRef>
              <c:f>Sheet1!$A$3</c:f>
              <c:strCache>
                <c:ptCount val="1"/>
                <c:pt idx="0">
                  <c:v>Kopējā summa</c:v>
                </c:pt>
              </c:strCache>
            </c:strRef>
          </c:tx>
          <c:spPr>
            <a:solidFill>
              <a:srgbClr val="FFDE00"/>
            </a:solidFill>
            <a:ln w="25397">
              <a:noFill/>
            </a:ln>
          </c:spPr>
          <c:dLbls>
            <c:numFmt formatCode="0.0" sourceLinked="0"/>
            <c:spPr>
              <a:noFill/>
              <a:ln w="25397">
                <a:noFill/>
              </a:ln>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layout/>
                <c15:showLeaderLines val="0"/>
              </c:ext>
            </c:extLst>
          </c:dLbls>
          <c:cat>
            <c:strRef>
              <c:f>Sheet1!$B$1:$K$1</c:f>
              <c:strCache>
                <c:ptCount val="10"/>
                <c:pt idx="0">
                  <c:v>2014, I</c:v>
                </c:pt>
                <c:pt idx="1">
                  <c:v>2014, II</c:v>
                </c:pt>
                <c:pt idx="2">
                  <c:v>2014, III</c:v>
                </c:pt>
                <c:pt idx="3">
                  <c:v>2014, IV</c:v>
                </c:pt>
                <c:pt idx="4">
                  <c:v>2015, I</c:v>
                </c:pt>
                <c:pt idx="5">
                  <c:v>2015, II</c:v>
                </c:pt>
                <c:pt idx="6">
                  <c:v>2015, III</c:v>
                </c:pt>
                <c:pt idx="7">
                  <c:v>2015, IV</c:v>
                </c:pt>
                <c:pt idx="8">
                  <c:v>2016, I</c:v>
                </c:pt>
                <c:pt idx="9">
                  <c:v>2016, II</c:v>
                </c:pt>
              </c:strCache>
            </c:strRef>
          </c:cat>
          <c:val>
            <c:numRef>
              <c:f>Sheet1!$B$3:$K$3</c:f>
              <c:numCache>
                <c:formatCode>#\ ##0.0;\-#\ ##0.0</c:formatCode>
                <c:ptCount val="10"/>
                <c:pt idx="0">
                  <c:v>46.155328680000011</c:v>
                </c:pt>
                <c:pt idx="1">
                  <c:v>43.683283179999997</c:v>
                </c:pt>
                <c:pt idx="2">
                  <c:v>63.657415700000001</c:v>
                </c:pt>
                <c:pt idx="3">
                  <c:v>36.818517980000003</c:v>
                </c:pt>
                <c:pt idx="4">
                  <c:v>24.325211039999989</c:v>
                </c:pt>
                <c:pt idx="5">
                  <c:v>31.375735879999979</c:v>
                </c:pt>
                <c:pt idx="6">
                  <c:v>41.201319320000039</c:v>
                </c:pt>
                <c:pt idx="7">
                  <c:v>38.732969340000039</c:v>
                </c:pt>
                <c:pt idx="8">
                  <c:v>36.015262820000011</c:v>
                </c:pt>
                <c:pt idx="9">
                  <c:v>38.387943399999997</c:v>
                </c:pt>
              </c:numCache>
            </c:numRef>
          </c:val>
        </c:ser>
        <c:gapWidth val="80"/>
        <c:axId val="46545536"/>
        <c:axId val="46625152"/>
      </c:barChart>
      <c:lineChart>
        <c:grouping val="standard"/>
        <c:ser>
          <c:idx val="0"/>
          <c:order val="0"/>
          <c:tx>
            <c:strRef>
              <c:f>Sheet1!$A$2</c:f>
              <c:strCache>
                <c:ptCount val="1"/>
                <c:pt idx="0">
                  <c:v>Darījumu skaits</c:v>
                </c:pt>
              </c:strCache>
            </c:strRef>
          </c:tx>
          <c:spPr>
            <a:ln w="31746" cap="rnd">
              <a:solidFill>
                <a:schemeClr val="tx1">
                  <a:lumMod val="75000"/>
                  <a:lumOff val="25000"/>
                </a:schemeClr>
              </a:solidFill>
              <a:round/>
            </a:ln>
            <a:effectLst/>
          </c:spPr>
          <c:marker>
            <c:symbol val="none"/>
          </c:marker>
          <c:dLbls>
            <c:delete val="1"/>
          </c:dLbls>
          <c:cat>
            <c:strRef>
              <c:f>Sheet1!$B$1:$K$1</c:f>
              <c:strCache>
                <c:ptCount val="10"/>
                <c:pt idx="0">
                  <c:v>2014, I</c:v>
                </c:pt>
                <c:pt idx="1">
                  <c:v>2014, II</c:v>
                </c:pt>
                <c:pt idx="2">
                  <c:v>2014, III</c:v>
                </c:pt>
                <c:pt idx="3">
                  <c:v>2014, IV</c:v>
                </c:pt>
                <c:pt idx="4">
                  <c:v>2015, I</c:v>
                </c:pt>
                <c:pt idx="5">
                  <c:v>2015, II</c:v>
                </c:pt>
                <c:pt idx="6">
                  <c:v>2015, III</c:v>
                </c:pt>
                <c:pt idx="7">
                  <c:v>2015, IV</c:v>
                </c:pt>
                <c:pt idx="8">
                  <c:v>2016, I</c:v>
                </c:pt>
                <c:pt idx="9">
                  <c:v>2016, II</c:v>
                </c:pt>
              </c:strCache>
            </c:strRef>
          </c:cat>
          <c:val>
            <c:numRef>
              <c:f>Sheet1!$B$2:$K$2</c:f>
              <c:numCache>
                <c:formatCode>#,##0_);\(#,##0\)</c:formatCode>
                <c:ptCount val="10"/>
                <c:pt idx="0">
                  <c:v>421</c:v>
                </c:pt>
                <c:pt idx="1">
                  <c:v>411</c:v>
                </c:pt>
                <c:pt idx="2">
                  <c:v>475</c:v>
                </c:pt>
                <c:pt idx="3">
                  <c:v>358</c:v>
                </c:pt>
                <c:pt idx="4">
                  <c:v>243</c:v>
                </c:pt>
                <c:pt idx="5">
                  <c:v>271</c:v>
                </c:pt>
                <c:pt idx="6">
                  <c:v>325</c:v>
                </c:pt>
                <c:pt idx="7">
                  <c:v>367</c:v>
                </c:pt>
                <c:pt idx="8">
                  <c:v>375</c:v>
                </c:pt>
                <c:pt idx="9">
                  <c:v>372</c:v>
                </c:pt>
              </c:numCache>
            </c:numRef>
          </c:val>
        </c:ser>
        <c:dLbls>
          <c:showVal val="1"/>
        </c:dLbls>
        <c:marker val="1"/>
        <c:axId val="46627072"/>
        <c:axId val="46632960"/>
      </c:lineChart>
      <c:catAx>
        <c:axId val="46545536"/>
        <c:scaling>
          <c:orientation val="minMax"/>
        </c:scaling>
        <c:axPos val="b"/>
        <c:title>
          <c:tx>
            <c:rich>
              <a:bodyPr/>
              <a:lstStyle/>
              <a:p>
                <a:pPr algn="l">
                  <a:defRPr sz="1100" b="0" i="0" u="none" strike="noStrike" baseline="0">
                    <a:solidFill>
                      <a:srgbClr val="000000"/>
                    </a:solidFill>
                    <a:latin typeface="Calibri"/>
                    <a:ea typeface="Calibri"/>
                    <a:cs typeface="Calibri"/>
                  </a:defRPr>
                </a:pPr>
                <a:r>
                  <a:rPr lang="lv-LV" sz="1000" b="0" i="0" u="none" strike="noStrike" baseline="0">
                    <a:solidFill>
                      <a:srgbClr val="000000"/>
                    </a:solidFill>
                    <a:latin typeface="Calibri"/>
                  </a:rPr>
                  <a:t>Avots: Zemesgrāmata, Latio</a:t>
                </a:r>
              </a:p>
            </c:rich>
          </c:tx>
          <c:layout>
            <c:manualLayout>
              <c:xMode val="edge"/>
              <c:yMode val="edge"/>
              <c:x val="1.6811347655617138E-2"/>
              <c:y val="0.93318640254713925"/>
            </c:manualLayout>
          </c:layout>
          <c:spPr>
            <a:noFill/>
            <a:ln w="25397">
              <a:noFill/>
            </a:ln>
          </c:spPr>
        </c:title>
        <c:numFmt formatCode="General" sourceLinked="1"/>
        <c:tickLblPos val="nextTo"/>
        <c:spPr>
          <a:noFill/>
          <a:ln w="9524" cap="flat" cmpd="sng" algn="ctr">
            <a:solidFill>
              <a:schemeClr val="bg1">
                <a:lumMod val="6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lv-LV"/>
          </a:p>
        </c:txPr>
        <c:crossAx val="46625152"/>
        <c:crosses val="autoZero"/>
        <c:auto val="1"/>
        <c:lblAlgn val="ctr"/>
        <c:lblOffset val="100"/>
      </c:catAx>
      <c:valAx>
        <c:axId val="46625152"/>
        <c:scaling>
          <c:orientation val="minMax"/>
          <c:max val="70"/>
          <c:min val="0"/>
        </c:scaling>
        <c:axPos val="l"/>
        <c:majorGridlines>
          <c:spPr>
            <a:ln w="9524" cap="flat" cmpd="sng" algn="ctr">
              <a:solidFill>
                <a:schemeClr val="bg1">
                  <a:lumMod val="6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lv-LV"/>
                  <a:t>Kopējā darījumu summa, milj. EUR</a:t>
                </a:r>
              </a:p>
            </c:rich>
          </c:tx>
          <c:layout>
            <c:manualLayout>
              <c:xMode val="edge"/>
              <c:yMode val="edge"/>
              <c:x val="8.7406435306697852E-3"/>
              <c:y val="0.2813869452759088"/>
            </c:manualLayout>
          </c:layout>
          <c:spPr>
            <a:noFill/>
            <a:ln w="25397">
              <a:noFill/>
            </a:ln>
          </c:spPr>
        </c:title>
        <c:numFmt formatCode="0" sourceLinked="0"/>
        <c:tickLblPos val="nextTo"/>
        <c:spPr>
          <a:noFill/>
          <a:ln>
            <a:solidFill>
              <a:schemeClr val="bg1">
                <a:lumMod val="65000"/>
              </a:schemeClr>
            </a:solid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lv-LV"/>
          </a:p>
        </c:txPr>
        <c:crossAx val="46545536"/>
        <c:crosses val="autoZero"/>
        <c:crossBetween val="between"/>
        <c:majorUnit val="10"/>
      </c:valAx>
      <c:catAx>
        <c:axId val="46627072"/>
        <c:scaling>
          <c:orientation val="minMax"/>
        </c:scaling>
        <c:delete val="1"/>
        <c:axPos val="b"/>
        <c:numFmt formatCode="General" sourceLinked="1"/>
        <c:tickLblPos val="none"/>
        <c:crossAx val="46632960"/>
        <c:crosses val="autoZero"/>
        <c:auto val="1"/>
        <c:lblAlgn val="ctr"/>
        <c:lblOffset val="100"/>
      </c:catAx>
      <c:valAx>
        <c:axId val="46632960"/>
        <c:scaling>
          <c:orientation val="minMax"/>
        </c:scaling>
        <c:axPos val="r"/>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lv-LV" sz="1000" b="0" i="0" baseline="0" noProof="0" dirty="0" smtClean="0">
                    <a:solidFill>
                      <a:schemeClr val="tx1"/>
                    </a:solidFill>
                    <a:effectLst/>
                  </a:rPr>
                  <a:t>Darījumu skaits</a:t>
                </a:r>
                <a:endParaRPr lang="en-GB" sz="1000" noProof="0" dirty="0">
                  <a:solidFill>
                    <a:schemeClr val="tx1"/>
                  </a:solidFill>
                  <a:effectLst/>
                </a:endParaRPr>
              </a:p>
            </c:rich>
          </c:tx>
          <c:spPr>
            <a:noFill/>
            <a:ln w="25397">
              <a:noFill/>
            </a:ln>
          </c:spPr>
        </c:title>
        <c:numFmt formatCode="#,##0_);\(#,##0\)" sourceLinked="1"/>
        <c:tickLblPos val="nextTo"/>
        <c:spPr>
          <a:noFill/>
          <a:ln>
            <a:solidFill>
              <a:schemeClr val="bg1">
                <a:lumMod val="65000"/>
              </a:schemeClr>
            </a:solid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lv-LV"/>
          </a:p>
        </c:txPr>
        <c:crossAx val="46627072"/>
        <c:crosses val="max"/>
        <c:crossBetween val="between"/>
      </c:valAx>
      <c:spPr>
        <a:noFill/>
        <a:ln w="25397">
          <a:noFill/>
        </a:ln>
      </c:spPr>
    </c:plotArea>
    <c:legend>
      <c:legendPos val="b"/>
      <c:layout>
        <c:manualLayout>
          <c:xMode val="edge"/>
          <c:yMode val="edge"/>
          <c:x val="0.35239590421567701"/>
          <c:y val="0.92187018995506875"/>
          <c:w val="0.53321878746638141"/>
          <c:h val="7.8129810044930803E-2"/>
        </c:manualLayout>
      </c:layout>
      <c:spPr>
        <a:noFill/>
        <a:ln w="25397">
          <a:noFill/>
        </a:ln>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lv-LV"/>
        </a:p>
      </c:txPr>
    </c:legend>
    <c:plotVisOnly val="1"/>
    <c:dispBlanksAs val="gap"/>
  </c:chart>
  <c:spPr>
    <a:noFill/>
    <a:ln>
      <a:noFill/>
    </a:ln>
  </c:spPr>
  <c:txPr>
    <a:bodyPr/>
    <a:lstStyle/>
    <a:p>
      <a:pPr>
        <a:defRPr/>
      </a:pPr>
      <a:endParaRPr lang="lv-LV"/>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lumMod val="65000"/>
                    <a:lumOff val="35000"/>
                  </a:schemeClr>
                </a:solidFill>
                <a:latin typeface="+mn-lt"/>
                <a:ea typeface="+mn-ea"/>
                <a:cs typeface="+mn-cs"/>
              </a:defRPr>
            </a:pPr>
            <a:r>
              <a:rPr lang="lv-LV" sz="950" b="1" dirty="0" smtClean="0">
                <a:solidFill>
                  <a:schemeClr val="tx1"/>
                </a:solidFill>
                <a:latin typeface="+mn-lt"/>
              </a:rPr>
              <a:t>Jūrmalas dzīvokļu darījumu </a:t>
            </a:r>
            <a:r>
              <a:rPr lang="lv-LV" sz="950" b="1" baseline="0" dirty="0" smtClean="0">
                <a:solidFill>
                  <a:schemeClr val="tx1"/>
                </a:solidFill>
                <a:latin typeface="+mn-lt"/>
              </a:rPr>
              <a:t>skaita sadalījums pa segmentiem un kopējās summas dinamika</a:t>
            </a:r>
            <a:endParaRPr lang="lv-LV" sz="950" b="1" dirty="0" smtClean="0">
              <a:solidFill>
                <a:schemeClr val="tx1"/>
              </a:solidFill>
              <a:latin typeface="+mn-lt"/>
            </a:endParaRPr>
          </a:p>
        </c:rich>
      </c:tx>
      <c:layout>
        <c:manualLayout>
          <c:xMode val="edge"/>
          <c:yMode val="edge"/>
          <c:x val="0.11379004839584926"/>
          <c:y val="0"/>
        </c:manualLayout>
      </c:layout>
      <c:spPr>
        <a:noFill/>
        <a:ln w="25396">
          <a:noFill/>
        </a:ln>
      </c:spPr>
    </c:title>
    <c:plotArea>
      <c:layout>
        <c:manualLayout>
          <c:layoutTarget val="inner"/>
          <c:xMode val="edge"/>
          <c:yMode val="edge"/>
          <c:x val="0.11903709279156401"/>
          <c:y val="0.2007907433321503"/>
          <c:w val="0.77249120579821462"/>
          <c:h val="0.62473192840284963"/>
        </c:manualLayout>
      </c:layout>
      <c:barChart>
        <c:barDir val="col"/>
        <c:grouping val="stacked"/>
        <c:ser>
          <c:idx val="0"/>
          <c:order val="0"/>
          <c:tx>
            <c:strRef>
              <c:f>Sheet1!$A$2</c:f>
              <c:strCache>
                <c:ptCount val="1"/>
                <c:pt idx="0">
                  <c:v>Jaunie dzīvokļi</c:v>
                </c:pt>
              </c:strCache>
            </c:strRef>
          </c:tx>
          <c:spPr>
            <a:solidFill>
              <a:srgbClr val="FFDE00"/>
            </a:solidFill>
            <a:ln w="25396">
              <a:noFill/>
            </a:ln>
          </c:spPr>
          <c:cat>
            <c:strRef>
              <c:f>Sheet1!$E$1:$P$1</c:f>
              <c:strCache>
                <c:ptCount val="12"/>
                <c:pt idx="0">
                  <c:v>Apr.</c:v>
                </c:pt>
                <c:pt idx="1">
                  <c:v>Mai.</c:v>
                </c:pt>
                <c:pt idx="2">
                  <c:v>Jūn.</c:v>
                </c:pt>
                <c:pt idx="3">
                  <c:v>Jūl.</c:v>
                </c:pt>
                <c:pt idx="4">
                  <c:v>Aug.</c:v>
                </c:pt>
                <c:pt idx="5">
                  <c:v>Sep.</c:v>
                </c:pt>
                <c:pt idx="6">
                  <c:v>Okt.</c:v>
                </c:pt>
                <c:pt idx="7">
                  <c:v>Nov.</c:v>
                </c:pt>
                <c:pt idx="8">
                  <c:v>Dec.</c:v>
                </c:pt>
                <c:pt idx="9">
                  <c:v>Jan.</c:v>
                </c:pt>
                <c:pt idx="10">
                  <c:v>Feb.</c:v>
                </c:pt>
                <c:pt idx="11">
                  <c:v>Mar.</c:v>
                </c:pt>
              </c:strCache>
            </c:strRef>
          </c:cat>
          <c:val>
            <c:numRef>
              <c:f>Sheet1!$E$2:$P$2</c:f>
              <c:numCache>
                <c:formatCode>#,##0_);\(#,##0\)</c:formatCode>
                <c:ptCount val="12"/>
                <c:pt idx="0">
                  <c:v>9</c:v>
                </c:pt>
                <c:pt idx="1">
                  <c:v>10</c:v>
                </c:pt>
                <c:pt idx="2">
                  <c:v>11</c:v>
                </c:pt>
                <c:pt idx="3">
                  <c:v>7</c:v>
                </c:pt>
                <c:pt idx="4">
                  <c:v>13</c:v>
                </c:pt>
                <c:pt idx="5">
                  <c:v>9</c:v>
                </c:pt>
                <c:pt idx="6">
                  <c:v>21</c:v>
                </c:pt>
                <c:pt idx="7">
                  <c:v>12</c:v>
                </c:pt>
                <c:pt idx="8">
                  <c:v>12</c:v>
                </c:pt>
                <c:pt idx="9">
                  <c:v>8</c:v>
                </c:pt>
                <c:pt idx="10">
                  <c:v>15</c:v>
                </c:pt>
                <c:pt idx="11">
                  <c:v>13</c:v>
                </c:pt>
              </c:numCache>
            </c:numRef>
          </c:val>
        </c:ser>
        <c:ser>
          <c:idx val="1"/>
          <c:order val="1"/>
          <c:tx>
            <c:strRef>
              <c:f>Sheet1!$A$3</c:f>
              <c:strCache>
                <c:ptCount val="1"/>
                <c:pt idx="0">
                  <c:v>Pārējie dzīvokļi</c:v>
                </c:pt>
              </c:strCache>
            </c:strRef>
          </c:tx>
          <c:spPr>
            <a:solidFill>
              <a:schemeClr val="bg1">
                <a:lumMod val="50000"/>
              </a:schemeClr>
            </a:solidFill>
            <a:ln w="12698">
              <a:noFill/>
            </a:ln>
            <a:effectLst/>
          </c:spPr>
          <c:cat>
            <c:strRef>
              <c:f>Sheet1!$E$1:$P$1</c:f>
              <c:strCache>
                <c:ptCount val="12"/>
                <c:pt idx="0">
                  <c:v>Apr.</c:v>
                </c:pt>
                <c:pt idx="1">
                  <c:v>Mai.</c:v>
                </c:pt>
                <c:pt idx="2">
                  <c:v>Jūn.</c:v>
                </c:pt>
                <c:pt idx="3">
                  <c:v>Jūl.</c:v>
                </c:pt>
                <c:pt idx="4">
                  <c:v>Aug.</c:v>
                </c:pt>
                <c:pt idx="5">
                  <c:v>Sep.</c:v>
                </c:pt>
                <c:pt idx="6">
                  <c:v>Okt.</c:v>
                </c:pt>
                <c:pt idx="7">
                  <c:v>Nov.</c:v>
                </c:pt>
                <c:pt idx="8">
                  <c:v>Dec.</c:v>
                </c:pt>
                <c:pt idx="9">
                  <c:v>Jan.</c:v>
                </c:pt>
                <c:pt idx="10">
                  <c:v>Feb.</c:v>
                </c:pt>
                <c:pt idx="11">
                  <c:v>Mar.</c:v>
                </c:pt>
              </c:strCache>
            </c:strRef>
          </c:cat>
          <c:val>
            <c:numRef>
              <c:f>Sheet1!$E$3:$P$3</c:f>
              <c:numCache>
                <c:formatCode>#,##0_);\(#,##0\)</c:formatCode>
                <c:ptCount val="12"/>
                <c:pt idx="0">
                  <c:v>17</c:v>
                </c:pt>
                <c:pt idx="1">
                  <c:v>54</c:v>
                </c:pt>
                <c:pt idx="2">
                  <c:v>39</c:v>
                </c:pt>
                <c:pt idx="3">
                  <c:v>42</c:v>
                </c:pt>
                <c:pt idx="4">
                  <c:v>36</c:v>
                </c:pt>
                <c:pt idx="5">
                  <c:v>71</c:v>
                </c:pt>
                <c:pt idx="6">
                  <c:v>56</c:v>
                </c:pt>
                <c:pt idx="7">
                  <c:v>35</c:v>
                </c:pt>
                <c:pt idx="8">
                  <c:v>34</c:v>
                </c:pt>
                <c:pt idx="9">
                  <c:v>36</c:v>
                </c:pt>
                <c:pt idx="10">
                  <c:v>54</c:v>
                </c:pt>
                <c:pt idx="11">
                  <c:v>53</c:v>
                </c:pt>
              </c:numCache>
            </c:numRef>
          </c:val>
        </c:ser>
        <c:gapWidth val="80"/>
        <c:overlap val="100"/>
        <c:axId val="80066432"/>
        <c:axId val="80347520"/>
      </c:barChart>
      <c:lineChart>
        <c:grouping val="standard"/>
        <c:ser>
          <c:idx val="3"/>
          <c:order val="2"/>
          <c:tx>
            <c:strRef>
              <c:f>Sheet1!$A$4</c:f>
              <c:strCache>
                <c:ptCount val="1"/>
                <c:pt idx="0">
                  <c:v>Darījumu kopējā summa</c:v>
                </c:pt>
              </c:strCache>
            </c:strRef>
          </c:tx>
          <c:spPr>
            <a:ln w="28570" cap="rnd">
              <a:solidFill>
                <a:schemeClr val="accent2"/>
              </a:solidFill>
              <a:round/>
            </a:ln>
            <a:effectLst/>
          </c:spPr>
          <c:marker>
            <c:symbol val="none"/>
          </c:marker>
          <c:cat>
            <c:strRef>
              <c:f>Sheet1!$E$1:$P$1</c:f>
              <c:strCache>
                <c:ptCount val="12"/>
                <c:pt idx="0">
                  <c:v>Apr.</c:v>
                </c:pt>
                <c:pt idx="1">
                  <c:v>Mai.</c:v>
                </c:pt>
                <c:pt idx="2">
                  <c:v>Jūn.</c:v>
                </c:pt>
                <c:pt idx="3">
                  <c:v>Jūl.</c:v>
                </c:pt>
                <c:pt idx="4">
                  <c:v>Aug.</c:v>
                </c:pt>
                <c:pt idx="5">
                  <c:v>Sep.</c:v>
                </c:pt>
                <c:pt idx="6">
                  <c:v>Okt.</c:v>
                </c:pt>
                <c:pt idx="7">
                  <c:v>Nov.</c:v>
                </c:pt>
                <c:pt idx="8">
                  <c:v>Dec.</c:v>
                </c:pt>
                <c:pt idx="9">
                  <c:v>Jan.</c:v>
                </c:pt>
                <c:pt idx="10">
                  <c:v>Feb.</c:v>
                </c:pt>
                <c:pt idx="11">
                  <c:v>Mar.</c:v>
                </c:pt>
              </c:strCache>
            </c:strRef>
          </c:cat>
          <c:val>
            <c:numRef>
              <c:f>Sheet1!$E$4:$P$4</c:f>
              <c:numCache>
                <c:formatCode>#\ ##0.0;\-#\ ##0.0</c:formatCode>
                <c:ptCount val="12"/>
                <c:pt idx="0">
                  <c:v>3.3512119999999981</c:v>
                </c:pt>
                <c:pt idx="1">
                  <c:v>5.53970495</c:v>
                </c:pt>
                <c:pt idx="2">
                  <c:v>3.3060147099999999</c:v>
                </c:pt>
                <c:pt idx="3">
                  <c:v>2.5959689999999984</c:v>
                </c:pt>
                <c:pt idx="4">
                  <c:v>3.4595452899999981</c:v>
                </c:pt>
                <c:pt idx="5">
                  <c:v>2.8953092899999997</c:v>
                </c:pt>
                <c:pt idx="6">
                  <c:v>10.69599311</c:v>
                </c:pt>
                <c:pt idx="7">
                  <c:v>3.8719511399999988</c:v>
                </c:pt>
                <c:pt idx="8">
                  <c:v>5.6848949999999947</c:v>
                </c:pt>
                <c:pt idx="9">
                  <c:v>4.0180083900000003</c:v>
                </c:pt>
                <c:pt idx="10">
                  <c:v>3.8142920799999982</c:v>
                </c:pt>
                <c:pt idx="11">
                  <c:v>3.9810626699999987</c:v>
                </c:pt>
              </c:numCache>
            </c:numRef>
          </c:val>
        </c:ser>
        <c:marker val="1"/>
        <c:axId val="80349440"/>
        <c:axId val="80569472"/>
      </c:lineChart>
      <c:catAx>
        <c:axId val="80066432"/>
        <c:scaling>
          <c:orientation val="minMax"/>
        </c:scaling>
        <c:axPos val="b"/>
        <c:title>
          <c:tx>
            <c:rich>
              <a:bodyPr/>
              <a:lstStyle/>
              <a:p>
                <a:pPr algn="l">
                  <a:defRPr sz="1100" b="0" i="0" u="none" strike="noStrike" baseline="0">
                    <a:solidFill>
                      <a:srgbClr val="000000"/>
                    </a:solidFill>
                    <a:latin typeface="Calibri"/>
                    <a:ea typeface="Calibri"/>
                    <a:cs typeface="Calibri"/>
                  </a:defRPr>
                </a:pPr>
                <a:r>
                  <a:rPr lang="lv-LV" sz="600" b="0" i="0" u="none" strike="noStrike" baseline="0">
                    <a:solidFill>
                      <a:srgbClr val="000000"/>
                    </a:solidFill>
                    <a:latin typeface="Calibri"/>
                  </a:rPr>
                  <a:t>Avots: ZG,</a:t>
                </a:r>
              </a:p>
              <a:p>
                <a:pPr algn="l">
                  <a:defRPr sz="1100" b="0" i="0" u="none" strike="noStrike" baseline="0">
                    <a:solidFill>
                      <a:srgbClr val="000000"/>
                    </a:solidFill>
                    <a:latin typeface="Calibri"/>
                    <a:ea typeface="Calibri"/>
                    <a:cs typeface="Calibri"/>
                  </a:defRPr>
                </a:pPr>
                <a:r>
                  <a:rPr lang="lv-LV" sz="600" b="0" i="0" u="none" strike="noStrike" baseline="0">
                    <a:solidFill>
                      <a:srgbClr val="000000"/>
                    </a:solidFill>
                    <a:latin typeface="Calibri"/>
                  </a:rPr>
                  <a:t>LATIO</a:t>
                </a:r>
              </a:p>
            </c:rich>
          </c:tx>
          <c:layout>
            <c:manualLayout>
              <c:xMode val="edge"/>
              <c:yMode val="edge"/>
              <c:x val="9.0494700820625273E-3"/>
              <c:y val="0.9054742497363778"/>
            </c:manualLayout>
          </c:layout>
          <c:spPr>
            <a:noFill/>
            <a:ln w="25396">
              <a:noFill/>
            </a:ln>
          </c:spPr>
        </c:title>
        <c:numFmt formatCode="General" sourceLinked="1"/>
        <c:tickLblPos val="nextTo"/>
        <c:spPr>
          <a:noFill/>
          <a:ln w="9523" cap="flat" cmpd="sng" algn="ctr">
            <a:solidFill>
              <a:schemeClr val="bg1">
                <a:lumMod val="65000"/>
              </a:schemeClr>
            </a:solidFill>
            <a:round/>
          </a:ln>
          <a:effectLst/>
        </c:spPr>
        <c:txPr>
          <a:bodyPr rot="-600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lv-LV"/>
          </a:p>
        </c:txPr>
        <c:crossAx val="80347520"/>
        <c:crosses val="autoZero"/>
        <c:auto val="1"/>
        <c:lblAlgn val="ctr"/>
        <c:lblOffset val="100"/>
      </c:catAx>
      <c:valAx>
        <c:axId val="80347520"/>
        <c:scaling>
          <c:orientation val="minMax"/>
          <c:max val="100"/>
          <c:min val="0"/>
        </c:scaling>
        <c:axPos val="l"/>
        <c:majorGridlines>
          <c:spPr>
            <a:ln w="9523" cap="flat" cmpd="sng" algn="ctr">
              <a:solidFill>
                <a:schemeClr val="bg1">
                  <a:lumMod val="65000"/>
                </a:schemeClr>
              </a:solidFill>
              <a:round/>
            </a:ln>
            <a:effectLst/>
          </c:spPr>
        </c:majorGridlines>
        <c:title>
          <c:tx>
            <c:rich>
              <a:bodyPr/>
              <a:lstStyle/>
              <a:p>
                <a:pPr>
                  <a:defRPr sz="600" b="0" i="0" u="none" strike="noStrike" baseline="0">
                    <a:solidFill>
                      <a:srgbClr val="000000"/>
                    </a:solidFill>
                    <a:latin typeface="Calibri"/>
                    <a:ea typeface="Calibri"/>
                    <a:cs typeface="Calibri"/>
                  </a:defRPr>
                </a:pPr>
                <a:r>
                  <a:rPr lang="lv-LV"/>
                  <a:t>Darījumu skaits</a:t>
                </a:r>
              </a:p>
            </c:rich>
          </c:tx>
          <c:layout>
            <c:manualLayout>
              <c:xMode val="edge"/>
              <c:yMode val="edge"/>
              <c:x val="1.1830957839130875E-2"/>
              <c:y val="0.37375358871929881"/>
            </c:manualLayout>
          </c:layout>
          <c:spPr>
            <a:noFill/>
            <a:ln w="25396">
              <a:noFill/>
            </a:ln>
          </c:spPr>
        </c:title>
        <c:numFmt formatCode="#,##0" sourceLinked="0"/>
        <c:tickLblPos val="nextTo"/>
        <c:spPr>
          <a:noFill/>
          <a:ln>
            <a:solidFill>
              <a:schemeClr val="bg1">
                <a:lumMod val="65000"/>
              </a:schemeClr>
            </a:solidFill>
          </a:ln>
          <a:effectLst/>
        </c:spPr>
        <c:txPr>
          <a:bodyPr rot="-600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lv-LV"/>
          </a:p>
        </c:txPr>
        <c:crossAx val="80066432"/>
        <c:crosses val="autoZero"/>
        <c:crossBetween val="between"/>
        <c:majorUnit val="10"/>
      </c:valAx>
      <c:catAx>
        <c:axId val="80349440"/>
        <c:scaling>
          <c:orientation val="minMax"/>
        </c:scaling>
        <c:delete val="1"/>
        <c:axPos val="b"/>
        <c:numFmt formatCode="General" sourceLinked="1"/>
        <c:tickLblPos val="none"/>
        <c:crossAx val="80569472"/>
        <c:crosses val="autoZero"/>
        <c:auto val="1"/>
        <c:lblAlgn val="ctr"/>
        <c:lblOffset val="100"/>
      </c:catAx>
      <c:valAx>
        <c:axId val="80569472"/>
        <c:scaling>
          <c:orientation val="minMax"/>
          <c:max val="12"/>
        </c:scaling>
        <c:axPos val="r"/>
        <c:title>
          <c:tx>
            <c:rich>
              <a:bodyPr rot="-5400000" spcFirstLastPara="1" vertOverflow="ellipsis" vert="horz" wrap="square" anchor="ctr" anchorCtr="1"/>
              <a:lstStyle/>
              <a:p>
                <a:pPr>
                  <a:defRPr lang="en-US" sz="600" b="0" i="0" u="none" strike="noStrike" kern="1200" baseline="0">
                    <a:solidFill>
                      <a:schemeClr val="tx1">
                        <a:lumMod val="85000"/>
                        <a:lumOff val="15000"/>
                      </a:schemeClr>
                    </a:solidFill>
                    <a:latin typeface="+mn-lt"/>
                    <a:ea typeface="+mn-ea"/>
                    <a:cs typeface="+mn-cs"/>
                  </a:defRPr>
                </a:pPr>
                <a:r>
                  <a:rPr lang="lv-LV" sz="600" dirty="0" smtClean="0">
                    <a:solidFill>
                      <a:schemeClr val="tx1">
                        <a:lumMod val="85000"/>
                        <a:lumOff val="15000"/>
                      </a:schemeClr>
                    </a:solidFill>
                  </a:rPr>
                  <a:t>Dzīvokļu darījumu kopējā summa, miljoni EUR</a:t>
                </a:r>
                <a:endParaRPr lang="lv-LV" sz="600" dirty="0">
                  <a:solidFill>
                    <a:schemeClr val="tx1">
                      <a:lumMod val="85000"/>
                      <a:lumOff val="15000"/>
                    </a:schemeClr>
                  </a:solidFill>
                </a:endParaRPr>
              </a:p>
            </c:rich>
          </c:tx>
          <c:layout>
            <c:manualLayout>
              <c:xMode val="edge"/>
              <c:yMode val="edge"/>
              <c:x val="0.9457078308249447"/>
              <c:y val="0.17242262605737341"/>
            </c:manualLayout>
          </c:layout>
          <c:spPr>
            <a:noFill/>
            <a:ln w="25396">
              <a:noFill/>
            </a:ln>
          </c:spPr>
        </c:title>
        <c:numFmt formatCode="#,##0" sourceLinked="0"/>
        <c:tickLblPos val="nextTo"/>
        <c:spPr>
          <a:ln w="9523">
            <a:noFill/>
          </a:ln>
        </c:spPr>
        <c:txPr>
          <a:bodyPr rot="-60000000" spcFirstLastPara="1" vertOverflow="ellipsis" vert="horz" wrap="square" anchor="ctr" anchorCtr="1"/>
          <a:lstStyle/>
          <a:p>
            <a:pPr>
              <a:defRPr lang="en-US" sz="600" b="0" i="0" u="none" strike="noStrike" kern="1200" baseline="0">
                <a:solidFill>
                  <a:schemeClr val="tx1">
                    <a:lumMod val="95000"/>
                    <a:lumOff val="5000"/>
                  </a:schemeClr>
                </a:solidFill>
                <a:latin typeface="+mn-lt"/>
                <a:ea typeface="+mn-ea"/>
                <a:cs typeface="+mn-cs"/>
              </a:defRPr>
            </a:pPr>
            <a:endParaRPr lang="lv-LV"/>
          </a:p>
        </c:txPr>
        <c:crossAx val="80349440"/>
        <c:crosses val="max"/>
        <c:crossBetween val="between"/>
      </c:valAx>
      <c:spPr>
        <a:noFill/>
        <a:ln>
          <a:solidFill>
            <a:schemeClr val="bg1">
              <a:lumMod val="65000"/>
            </a:schemeClr>
          </a:solidFill>
        </a:ln>
        <a:effectLst/>
      </c:spPr>
    </c:plotArea>
    <c:legend>
      <c:legendPos val="b"/>
      <c:layout>
        <c:manualLayout>
          <c:xMode val="edge"/>
          <c:yMode val="edge"/>
          <c:x val="0.21068429737422079"/>
          <c:y val="0.90604721330654825"/>
          <c:w val="0.73647806682392569"/>
          <c:h val="9.3952786693452264E-2"/>
        </c:manualLayout>
      </c:layout>
      <c:spPr>
        <a:noFill/>
        <a:ln w="25396">
          <a:noFill/>
        </a:ln>
      </c:spPr>
      <c:txPr>
        <a:bodyPr rot="0" spcFirstLastPara="1" vertOverflow="ellipsis" vert="horz" wrap="square" anchor="ctr" anchorCtr="1"/>
        <a:lstStyle/>
        <a:p>
          <a:pPr>
            <a:defRPr lang="en-US" sz="500" b="0" i="0" u="none" strike="noStrike" kern="1200" baseline="0">
              <a:solidFill>
                <a:schemeClr val="tx1"/>
              </a:solidFill>
              <a:latin typeface="+mn-lt"/>
              <a:ea typeface="+mn-ea"/>
              <a:cs typeface="+mn-cs"/>
            </a:defRPr>
          </a:pPr>
          <a:endParaRPr lang="lv-LV"/>
        </a:p>
      </c:txPr>
    </c:legend>
    <c:plotVisOnly val="1"/>
    <c:dispBlanksAs val="gap"/>
  </c:chart>
  <c:spPr>
    <a:noFill/>
    <a:ln>
      <a:noFill/>
    </a:ln>
  </c:spPr>
  <c:txPr>
    <a:bodyPr/>
    <a:lstStyle/>
    <a:p>
      <a:pPr>
        <a:defRPr/>
      </a:pPr>
      <a:endParaRPr lang="lv-L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00" b="1" i="0" u="none" strike="noStrike" kern="1200" spc="0" baseline="0">
                <a:solidFill>
                  <a:schemeClr val="tx1">
                    <a:lumMod val="65000"/>
                    <a:lumOff val="35000"/>
                  </a:schemeClr>
                </a:solidFill>
                <a:latin typeface="+mn-lt"/>
                <a:ea typeface="+mn-ea"/>
                <a:cs typeface="+mn-cs"/>
              </a:defRPr>
            </a:pPr>
            <a:r>
              <a:rPr lang="lv-LV" sz="950" b="1" dirty="0" smtClean="0">
                <a:solidFill>
                  <a:schemeClr val="tx1"/>
                </a:solidFill>
                <a:latin typeface="+mn-lt"/>
              </a:rPr>
              <a:t>Jūrmalas dzīvokļu kopējās summas sadalījums pa segmentiem un darījumu skaita dinamika</a:t>
            </a:r>
          </a:p>
        </c:rich>
      </c:tx>
      <c:layout>
        <c:manualLayout>
          <c:xMode val="edge"/>
          <c:yMode val="edge"/>
          <c:x val="0.10972558308260262"/>
          <c:y val="0"/>
        </c:manualLayout>
      </c:layout>
      <c:spPr>
        <a:noFill/>
        <a:ln w="25396">
          <a:noFill/>
        </a:ln>
      </c:spPr>
    </c:title>
    <c:plotArea>
      <c:layout>
        <c:manualLayout>
          <c:layoutTarget val="inner"/>
          <c:xMode val="edge"/>
          <c:yMode val="edge"/>
          <c:x val="0.11903709279156401"/>
          <c:y val="0.2007907433321503"/>
          <c:w val="0.77249120579821462"/>
          <c:h val="0.62473192840284963"/>
        </c:manualLayout>
      </c:layout>
      <c:barChart>
        <c:barDir val="col"/>
        <c:grouping val="stacked"/>
        <c:ser>
          <c:idx val="0"/>
          <c:order val="0"/>
          <c:tx>
            <c:strRef>
              <c:f>Sheet1!$A$2</c:f>
              <c:strCache>
                <c:ptCount val="1"/>
                <c:pt idx="0">
                  <c:v>Jaunie dzīvokļi (summa)</c:v>
                </c:pt>
              </c:strCache>
            </c:strRef>
          </c:tx>
          <c:spPr>
            <a:solidFill>
              <a:srgbClr val="FFDE00"/>
            </a:solidFill>
            <a:ln w="25396">
              <a:noFill/>
            </a:ln>
          </c:spPr>
          <c:cat>
            <c:strRef>
              <c:f>Sheet1!$E$1:$P$1</c:f>
              <c:strCache>
                <c:ptCount val="12"/>
                <c:pt idx="0">
                  <c:v>Apr.</c:v>
                </c:pt>
                <c:pt idx="1">
                  <c:v>Mai.</c:v>
                </c:pt>
                <c:pt idx="2">
                  <c:v>Jūn.</c:v>
                </c:pt>
                <c:pt idx="3">
                  <c:v>Jūl.</c:v>
                </c:pt>
                <c:pt idx="4">
                  <c:v>Aug.</c:v>
                </c:pt>
                <c:pt idx="5">
                  <c:v>Sep.</c:v>
                </c:pt>
                <c:pt idx="6">
                  <c:v>Okt.</c:v>
                </c:pt>
                <c:pt idx="7">
                  <c:v>Nov.</c:v>
                </c:pt>
                <c:pt idx="8">
                  <c:v>Dec.</c:v>
                </c:pt>
                <c:pt idx="9">
                  <c:v>Jan.</c:v>
                </c:pt>
                <c:pt idx="10">
                  <c:v>Feb.</c:v>
                </c:pt>
                <c:pt idx="11">
                  <c:v>Mar.</c:v>
                </c:pt>
              </c:strCache>
            </c:strRef>
          </c:cat>
          <c:val>
            <c:numRef>
              <c:f>Sheet1!$E$2:$P$2</c:f>
              <c:numCache>
                <c:formatCode>#\ ##0.0;\-#\ ##0.0</c:formatCode>
                <c:ptCount val="12"/>
                <c:pt idx="0">
                  <c:v>3.0042119999999999</c:v>
                </c:pt>
                <c:pt idx="1">
                  <c:v>4.4173749999999963</c:v>
                </c:pt>
                <c:pt idx="2">
                  <c:v>2.6702729999999981</c:v>
                </c:pt>
                <c:pt idx="3">
                  <c:v>1.813259</c:v>
                </c:pt>
                <c:pt idx="4">
                  <c:v>2.6033451299999997</c:v>
                </c:pt>
                <c:pt idx="5">
                  <c:v>1.495202399999999</c:v>
                </c:pt>
                <c:pt idx="6">
                  <c:v>9.3865266700000074</c:v>
                </c:pt>
                <c:pt idx="7">
                  <c:v>2.9908921399999988</c:v>
                </c:pt>
                <c:pt idx="8">
                  <c:v>4.8744159999999948</c:v>
                </c:pt>
                <c:pt idx="9">
                  <c:v>3.2483499999999998</c:v>
                </c:pt>
                <c:pt idx="10">
                  <c:v>2.8501310000000002</c:v>
                </c:pt>
                <c:pt idx="11">
                  <c:v>2.7639659999999999</c:v>
                </c:pt>
              </c:numCache>
            </c:numRef>
          </c:val>
        </c:ser>
        <c:ser>
          <c:idx val="1"/>
          <c:order val="1"/>
          <c:tx>
            <c:strRef>
              <c:f>Sheet1!$A$3</c:f>
              <c:strCache>
                <c:ptCount val="1"/>
                <c:pt idx="0">
                  <c:v>Pārējie dzīvokļi (summa)</c:v>
                </c:pt>
              </c:strCache>
            </c:strRef>
          </c:tx>
          <c:spPr>
            <a:solidFill>
              <a:srgbClr val="7F7F7F"/>
            </a:solidFill>
            <a:ln w="25396">
              <a:noFill/>
            </a:ln>
          </c:spPr>
          <c:cat>
            <c:strRef>
              <c:f>Sheet1!$E$1:$P$1</c:f>
              <c:strCache>
                <c:ptCount val="12"/>
                <c:pt idx="0">
                  <c:v>Apr.</c:v>
                </c:pt>
                <c:pt idx="1">
                  <c:v>Mai.</c:v>
                </c:pt>
                <c:pt idx="2">
                  <c:v>Jūn.</c:v>
                </c:pt>
                <c:pt idx="3">
                  <c:v>Jūl.</c:v>
                </c:pt>
                <c:pt idx="4">
                  <c:v>Aug.</c:v>
                </c:pt>
                <c:pt idx="5">
                  <c:v>Sep.</c:v>
                </c:pt>
                <c:pt idx="6">
                  <c:v>Okt.</c:v>
                </c:pt>
                <c:pt idx="7">
                  <c:v>Nov.</c:v>
                </c:pt>
                <c:pt idx="8">
                  <c:v>Dec.</c:v>
                </c:pt>
                <c:pt idx="9">
                  <c:v>Jan.</c:v>
                </c:pt>
                <c:pt idx="10">
                  <c:v>Feb.</c:v>
                </c:pt>
                <c:pt idx="11">
                  <c:v>Mar.</c:v>
                </c:pt>
              </c:strCache>
            </c:strRef>
          </c:cat>
          <c:val>
            <c:numRef>
              <c:f>Sheet1!$E$3:$P$3</c:f>
              <c:numCache>
                <c:formatCode>#\ ##0.0;\-#\ ##0.0</c:formatCode>
                <c:ptCount val="12"/>
                <c:pt idx="0">
                  <c:v>0.3470000000000002</c:v>
                </c:pt>
                <c:pt idx="1">
                  <c:v>1.1223299499999999</c:v>
                </c:pt>
                <c:pt idx="2">
                  <c:v>0.63574171000000101</c:v>
                </c:pt>
                <c:pt idx="3">
                  <c:v>0.78271000000000002</c:v>
                </c:pt>
                <c:pt idx="4">
                  <c:v>0.85620015999999988</c:v>
                </c:pt>
                <c:pt idx="5">
                  <c:v>1.4001068899999998</c:v>
                </c:pt>
                <c:pt idx="6">
                  <c:v>1.3094664399999998</c:v>
                </c:pt>
                <c:pt idx="7">
                  <c:v>0.88105900000000004</c:v>
                </c:pt>
                <c:pt idx="8">
                  <c:v>0.81047899999999951</c:v>
                </c:pt>
                <c:pt idx="9">
                  <c:v>0.76965839000000058</c:v>
                </c:pt>
                <c:pt idx="10">
                  <c:v>0.96416108</c:v>
                </c:pt>
                <c:pt idx="11">
                  <c:v>1.217096669999999</c:v>
                </c:pt>
              </c:numCache>
            </c:numRef>
          </c:val>
        </c:ser>
        <c:gapWidth val="80"/>
        <c:overlap val="100"/>
        <c:axId val="169892096"/>
        <c:axId val="170443904"/>
      </c:barChart>
      <c:lineChart>
        <c:grouping val="standard"/>
        <c:ser>
          <c:idx val="3"/>
          <c:order val="2"/>
          <c:tx>
            <c:strRef>
              <c:f>Sheet1!$A$4</c:f>
              <c:strCache>
                <c:ptCount val="1"/>
                <c:pt idx="0">
                  <c:v>Darījumu kopējais skaits</c:v>
                </c:pt>
              </c:strCache>
            </c:strRef>
          </c:tx>
          <c:spPr>
            <a:ln w="28570" cap="rnd">
              <a:solidFill>
                <a:schemeClr val="accent2"/>
              </a:solidFill>
              <a:round/>
            </a:ln>
            <a:effectLst/>
          </c:spPr>
          <c:marker>
            <c:symbol val="none"/>
          </c:marker>
          <c:cat>
            <c:strRef>
              <c:f>Sheet1!$E$1:$P$1</c:f>
              <c:strCache>
                <c:ptCount val="12"/>
                <c:pt idx="0">
                  <c:v>Apr.</c:v>
                </c:pt>
                <c:pt idx="1">
                  <c:v>Mai.</c:v>
                </c:pt>
                <c:pt idx="2">
                  <c:v>Jūn.</c:v>
                </c:pt>
                <c:pt idx="3">
                  <c:v>Jūl.</c:v>
                </c:pt>
                <c:pt idx="4">
                  <c:v>Aug.</c:v>
                </c:pt>
                <c:pt idx="5">
                  <c:v>Sep.</c:v>
                </c:pt>
                <c:pt idx="6">
                  <c:v>Okt.</c:v>
                </c:pt>
                <c:pt idx="7">
                  <c:v>Nov.</c:v>
                </c:pt>
                <c:pt idx="8">
                  <c:v>Dec.</c:v>
                </c:pt>
                <c:pt idx="9">
                  <c:v>Jan.</c:v>
                </c:pt>
                <c:pt idx="10">
                  <c:v>Feb.</c:v>
                </c:pt>
                <c:pt idx="11">
                  <c:v>Mar.</c:v>
                </c:pt>
              </c:strCache>
            </c:strRef>
          </c:cat>
          <c:val>
            <c:numRef>
              <c:f>Sheet1!$E$4:$P$4</c:f>
              <c:numCache>
                <c:formatCode>#,##0_);\(#,##0\)</c:formatCode>
                <c:ptCount val="12"/>
                <c:pt idx="0">
                  <c:v>26</c:v>
                </c:pt>
                <c:pt idx="1">
                  <c:v>64</c:v>
                </c:pt>
                <c:pt idx="2">
                  <c:v>50</c:v>
                </c:pt>
                <c:pt idx="3">
                  <c:v>49</c:v>
                </c:pt>
                <c:pt idx="4">
                  <c:v>49</c:v>
                </c:pt>
                <c:pt idx="5">
                  <c:v>80</c:v>
                </c:pt>
                <c:pt idx="6">
                  <c:v>77</c:v>
                </c:pt>
                <c:pt idx="7">
                  <c:v>47</c:v>
                </c:pt>
                <c:pt idx="8">
                  <c:v>46</c:v>
                </c:pt>
                <c:pt idx="9">
                  <c:v>44</c:v>
                </c:pt>
                <c:pt idx="10">
                  <c:v>69</c:v>
                </c:pt>
                <c:pt idx="11">
                  <c:v>66</c:v>
                </c:pt>
              </c:numCache>
            </c:numRef>
          </c:val>
        </c:ser>
        <c:marker val="1"/>
        <c:axId val="170446208"/>
        <c:axId val="80041088"/>
      </c:lineChart>
      <c:catAx>
        <c:axId val="169892096"/>
        <c:scaling>
          <c:orientation val="minMax"/>
        </c:scaling>
        <c:axPos val="b"/>
        <c:title>
          <c:tx>
            <c:rich>
              <a:bodyPr/>
              <a:lstStyle/>
              <a:p>
                <a:pPr algn="l">
                  <a:defRPr sz="1100" b="0" i="0" u="none" strike="noStrike" baseline="0">
                    <a:solidFill>
                      <a:srgbClr val="000000"/>
                    </a:solidFill>
                    <a:latin typeface="Calibri"/>
                    <a:ea typeface="Calibri"/>
                    <a:cs typeface="Calibri"/>
                  </a:defRPr>
                </a:pPr>
                <a:r>
                  <a:rPr lang="lv-LV" sz="600" b="0" i="0" u="none" strike="noStrike" baseline="0">
                    <a:solidFill>
                      <a:srgbClr val="000000"/>
                    </a:solidFill>
                    <a:latin typeface="Calibri"/>
                  </a:rPr>
                  <a:t>Avots: ZG,</a:t>
                </a:r>
              </a:p>
              <a:p>
                <a:pPr algn="l">
                  <a:defRPr sz="1100" b="0" i="0" u="none" strike="noStrike" baseline="0">
                    <a:solidFill>
                      <a:srgbClr val="000000"/>
                    </a:solidFill>
                    <a:latin typeface="Calibri"/>
                    <a:ea typeface="Calibri"/>
                    <a:cs typeface="Calibri"/>
                  </a:defRPr>
                </a:pPr>
                <a:r>
                  <a:rPr lang="lv-LV" sz="600" b="0" i="0" u="none" strike="noStrike" baseline="0">
                    <a:solidFill>
                      <a:srgbClr val="000000"/>
                    </a:solidFill>
                    <a:latin typeface="Calibri"/>
                  </a:rPr>
                  <a:t>LATIO</a:t>
                </a:r>
              </a:p>
            </c:rich>
          </c:tx>
          <c:layout>
            <c:manualLayout>
              <c:xMode val="edge"/>
              <c:yMode val="edge"/>
              <c:x val="9.0495700232592971E-3"/>
              <c:y val="0.90547445205712962"/>
            </c:manualLayout>
          </c:layout>
          <c:spPr>
            <a:noFill/>
            <a:ln w="25396">
              <a:noFill/>
            </a:ln>
          </c:spPr>
        </c:title>
        <c:numFmt formatCode="General" sourceLinked="1"/>
        <c:tickLblPos val="nextTo"/>
        <c:spPr>
          <a:noFill/>
          <a:ln w="9523" cap="flat" cmpd="sng" algn="ctr">
            <a:solidFill>
              <a:schemeClr val="bg1">
                <a:lumMod val="65000"/>
              </a:schemeClr>
            </a:solidFill>
            <a:round/>
          </a:ln>
          <a:effectLst/>
        </c:spPr>
        <c:txPr>
          <a:bodyPr rot="-600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lv-LV"/>
          </a:p>
        </c:txPr>
        <c:crossAx val="170443904"/>
        <c:crosses val="autoZero"/>
        <c:auto val="1"/>
        <c:lblAlgn val="ctr"/>
        <c:lblOffset val="100"/>
      </c:catAx>
      <c:valAx>
        <c:axId val="170443904"/>
        <c:scaling>
          <c:orientation val="minMax"/>
          <c:max val="12"/>
          <c:min val="0"/>
        </c:scaling>
        <c:axPos val="l"/>
        <c:majorGridlines>
          <c:spPr>
            <a:ln w="9523" cap="flat" cmpd="sng" algn="ctr">
              <a:solidFill>
                <a:schemeClr val="bg1">
                  <a:lumMod val="65000"/>
                </a:schemeClr>
              </a:solidFill>
              <a:round/>
            </a:ln>
            <a:effectLst/>
          </c:spPr>
        </c:majorGridlines>
        <c:title>
          <c:tx>
            <c:rich>
              <a:bodyPr/>
              <a:lstStyle/>
              <a:p>
                <a:pPr>
                  <a:defRPr sz="600" b="0" i="0" u="none" strike="noStrike" baseline="0">
                    <a:solidFill>
                      <a:srgbClr val="000000"/>
                    </a:solidFill>
                    <a:latin typeface="Calibri"/>
                    <a:ea typeface="Calibri"/>
                    <a:cs typeface="Calibri"/>
                  </a:defRPr>
                </a:pPr>
                <a:r>
                  <a:rPr lang="lv-LV"/>
                  <a:t>Dzīvokļu darījumu summa, miljoni EUR</a:t>
                </a:r>
              </a:p>
            </c:rich>
          </c:tx>
          <c:layout>
            <c:manualLayout>
              <c:xMode val="edge"/>
              <c:yMode val="edge"/>
              <c:x val="1.5895269188912365E-2"/>
              <c:y val="0.20438736067082533"/>
            </c:manualLayout>
          </c:layout>
          <c:spPr>
            <a:noFill/>
            <a:ln w="25396">
              <a:noFill/>
            </a:ln>
          </c:spPr>
        </c:title>
        <c:numFmt formatCode="#,##0" sourceLinked="0"/>
        <c:tickLblPos val="nextTo"/>
        <c:spPr>
          <a:noFill/>
          <a:ln>
            <a:solidFill>
              <a:schemeClr val="bg1">
                <a:lumMod val="65000"/>
              </a:schemeClr>
            </a:solidFill>
          </a:ln>
          <a:effectLst/>
        </c:spPr>
        <c:txPr>
          <a:bodyPr rot="-600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lv-LV"/>
          </a:p>
        </c:txPr>
        <c:crossAx val="169892096"/>
        <c:crosses val="autoZero"/>
        <c:crossBetween val="between"/>
        <c:majorUnit val="1"/>
      </c:valAx>
      <c:catAx>
        <c:axId val="170446208"/>
        <c:scaling>
          <c:orientation val="minMax"/>
        </c:scaling>
        <c:delete val="1"/>
        <c:axPos val="b"/>
        <c:numFmt formatCode="General" sourceLinked="1"/>
        <c:tickLblPos val="none"/>
        <c:crossAx val="80041088"/>
        <c:crosses val="autoZero"/>
        <c:auto val="1"/>
        <c:lblAlgn val="ctr"/>
        <c:lblOffset val="100"/>
      </c:catAx>
      <c:valAx>
        <c:axId val="80041088"/>
        <c:scaling>
          <c:orientation val="minMax"/>
          <c:max val="100"/>
        </c:scaling>
        <c:axPos val="r"/>
        <c:title>
          <c:tx>
            <c:rich>
              <a:bodyPr rot="-5400000" spcFirstLastPara="1" vertOverflow="ellipsis" vert="horz" wrap="square" anchor="ctr" anchorCtr="1"/>
              <a:lstStyle/>
              <a:p>
                <a:pPr>
                  <a:defRPr lang="en-US" sz="600" b="0" i="0" u="none" strike="noStrike" kern="1200" baseline="0">
                    <a:solidFill>
                      <a:schemeClr val="tx1">
                        <a:lumMod val="85000"/>
                        <a:lumOff val="15000"/>
                      </a:schemeClr>
                    </a:solidFill>
                    <a:latin typeface="+mn-lt"/>
                    <a:ea typeface="+mn-ea"/>
                    <a:cs typeface="+mn-cs"/>
                  </a:defRPr>
                </a:pPr>
                <a:r>
                  <a:rPr lang="lv-LV" sz="600" dirty="0" smtClean="0">
                    <a:solidFill>
                      <a:schemeClr val="tx1">
                        <a:lumMod val="85000"/>
                        <a:lumOff val="15000"/>
                      </a:schemeClr>
                    </a:solidFill>
                  </a:rPr>
                  <a:t>Kopējais darījumu skaits</a:t>
                </a:r>
                <a:endParaRPr lang="lv-LV" sz="600" dirty="0">
                  <a:solidFill>
                    <a:schemeClr val="tx1">
                      <a:lumMod val="85000"/>
                      <a:lumOff val="15000"/>
                    </a:schemeClr>
                  </a:solidFill>
                </a:endParaRPr>
              </a:p>
            </c:rich>
          </c:tx>
          <c:layout>
            <c:manualLayout>
              <c:xMode val="edge"/>
              <c:yMode val="edge"/>
              <c:x val="0.94977231504598514"/>
              <c:y val="0.31934689981934145"/>
            </c:manualLayout>
          </c:layout>
          <c:spPr>
            <a:noFill/>
            <a:ln w="25396">
              <a:noFill/>
            </a:ln>
          </c:spPr>
        </c:title>
        <c:numFmt formatCode="#,##0" sourceLinked="0"/>
        <c:tickLblPos val="nextTo"/>
        <c:spPr>
          <a:ln w="9523">
            <a:noFill/>
          </a:ln>
        </c:spPr>
        <c:txPr>
          <a:bodyPr rot="-60000000" spcFirstLastPara="1" vertOverflow="ellipsis" vert="horz" wrap="square" anchor="ctr" anchorCtr="1"/>
          <a:lstStyle/>
          <a:p>
            <a:pPr>
              <a:defRPr lang="en-US" sz="600" b="0" i="0" u="none" strike="noStrike" kern="1200" baseline="0">
                <a:solidFill>
                  <a:schemeClr val="tx1">
                    <a:lumMod val="95000"/>
                    <a:lumOff val="5000"/>
                  </a:schemeClr>
                </a:solidFill>
                <a:latin typeface="+mn-lt"/>
                <a:ea typeface="+mn-ea"/>
                <a:cs typeface="+mn-cs"/>
              </a:defRPr>
            </a:pPr>
            <a:endParaRPr lang="lv-LV"/>
          </a:p>
        </c:txPr>
        <c:crossAx val="170446208"/>
        <c:crosses val="max"/>
        <c:crossBetween val="between"/>
      </c:valAx>
      <c:spPr>
        <a:noFill/>
        <a:ln>
          <a:solidFill>
            <a:schemeClr val="bg1">
              <a:lumMod val="65000"/>
            </a:schemeClr>
          </a:solidFill>
        </a:ln>
        <a:effectLst/>
      </c:spPr>
    </c:plotArea>
    <c:legend>
      <c:legendPos val="b"/>
      <c:layout>
        <c:manualLayout>
          <c:xMode val="edge"/>
          <c:yMode val="edge"/>
          <c:x val="0.21068412180184795"/>
          <c:y val="0.90604710774789521"/>
          <c:w val="0.78931587819815252"/>
          <c:h val="9.3952892252104875E-2"/>
        </c:manualLayout>
      </c:layout>
      <c:spPr>
        <a:noFill/>
        <a:ln w="25396">
          <a:noFill/>
        </a:ln>
      </c:spPr>
      <c:txPr>
        <a:bodyPr rot="0" spcFirstLastPara="1" vertOverflow="ellipsis" vert="horz" wrap="square" anchor="ctr" anchorCtr="1"/>
        <a:lstStyle/>
        <a:p>
          <a:pPr>
            <a:defRPr lang="en-US" sz="500" b="0" i="0" u="none" strike="noStrike" kern="1200" baseline="0">
              <a:solidFill>
                <a:schemeClr val="tx1"/>
              </a:solidFill>
              <a:latin typeface="+mn-lt"/>
              <a:ea typeface="+mn-ea"/>
              <a:cs typeface="+mn-cs"/>
            </a:defRPr>
          </a:pPr>
          <a:endParaRPr lang="lv-LV"/>
        </a:p>
      </c:txPr>
    </c:legend>
    <c:plotVisOnly val="1"/>
    <c:dispBlanksAs val="gap"/>
  </c:chart>
  <c:spPr>
    <a:noFill/>
    <a:ln>
      <a:noFill/>
    </a:ln>
  </c:spPr>
  <c:txPr>
    <a:bodyPr/>
    <a:lstStyle/>
    <a:p>
      <a:pPr>
        <a:defRPr/>
      </a:pPr>
      <a:endParaRPr lang="lv-LV"/>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4</cp:revision>
  <dcterms:created xsi:type="dcterms:W3CDTF">2016-10-06T06:18:00Z</dcterms:created>
  <dcterms:modified xsi:type="dcterms:W3CDTF">2016-10-06T10:50:00Z</dcterms:modified>
</cp:coreProperties>
</file>