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53" w:rsidRPr="00D744D8" w:rsidRDefault="00980E53" w:rsidP="00980E53">
      <w:pPr>
        <w:jc w:val="right"/>
        <w:rPr>
          <w:rFonts w:eastAsia="Calibri" w:cs="Times New Roman"/>
          <w:sz w:val="26"/>
          <w:szCs w:val="26"/>
        </w:rPr>
      </w:pPr>
      <w:r w:rsidRPr="00D744D8">
        <w:rPr>
          <w:rFonts w:eastAsia="Calibri" w:cs="Times New Roman"/>
          <w:sz w:val="26"/>
          <w:szCs w:val="26"/>
        </w:rPr>
        <w:t xml:space="preserve">Informatīvā ziņojuma par Imigrācijas likuma </w:t>
      </w:r>
    </w:p>
    <w:p w:rsidR="00980E53" w:rsidRPr="00D744D8" w:rsidRDefault="00980E53" w:rsidP="00980E53">
      <w:pPr>
        <w:jc w:val="right"/>
        <w:rPr>
          <w:rFonts w:eastAsia="Calibri" w:cs="Times New Roman"/>
          <w:sz w:val="26"/>
          <w:szCs w:val="26"/>
        </w:rPr>
      </w:pPr>
      <w:r w:rsidRPr="00D744D8">
        <w:rPr>
          <w:rFonts w:eastAsia="Calibri" w:cs="Times New Roman"/>
          <w:sz w:val="26"/>
          <w:szCs w:val="26"/>
        </w:rPr>
        <w:t xml:space="preserve">23.panta pirmās daļas 3., 28., 29., 30. un 31.punktā </w:t>
      </w:r>
    </w:p>
    <w:p w:rsidR="00980E53" w:rsidRPr="00D744D8" w:rsidRDefault="00980E53" w:rsidP="00980E53">
      <w:pPr>
        <w:jc w:val="right"/>
        <w:rPr>
          <w:rFonts w:eastAsia="Calibri" w:cs="Times New Roman"/>
          <w:sz w:val="26"/>
          <w:szCs w:val="26"/>
        </w:rPr>
      </w:pPr>
      <w:r w:rsidRPr="00D744D8">
        <w:rPr>
          <w:rFonts w:eastAsia="Calibri" w:cs="Times New Roman"/>
          <w:sz w:val="26"/>
          <w:szCs w:val="26"/>
        </w:rPr>
        <w:t>paredzēto noteikumu īstenošanas gaitu un rezultātiem</w:t>
      </w:r>
    </w:p>
    <w:p w:rsidR="00A2102B" w:rsidRDefault="00FF4B32" w:rsidP="00980E53">
      <w:pPr>
        <w:jc w:val="right"/>
        <w:rPr>
          <w:sz w:val="26"/>
          <w:szCs w:val="26"/>
        </w:rPr>
      </w:pPr>
      <w:r>
        <w:rPr>
          <w:sz w:val="26"/>
          <w:szCs w:val="26"/>
        </w:rPr>
        <w:t>2</w:t>
      </w:r>
      <w:r w:rsidR="00980E53" w:rsidRPr="00D744D8">
        <w:rPr>
          <w:sz w:val="26"/>
          <w:szCs w:val="26"/>
        </w:rPr>
        <w:t>.pielikums</w:t>
      </w:r>
    </w:p>
    <w:p w:rsidR="00157BF8" w:rsidRDefault="00157BF8" w:rsidP="00980E53">
      <w:pPr>
        <w:jc w:val="right"/>
        <w:rPr>
          <w:sz w:val="26"/>
          <w:szCs w:val="26"/>
        </w:rPr>
      </w:pPr>
    </w:p>
    <w:p w:rsidR="0091282C" w:rsidRDefault="0091282C" w:rsidP="0091282C">
      <w:pPr>
        <w:pStyle w:val="Heading1"/>
        <w:spacing w:before="0" w:after="120" w:line="240" w:lineRule="auto"/>
        <w:jc w:val="center"/>
        <w:rPr>
          <w:rFonts w:ascii="Times New Roman" w:hAnsi="Times New Roman"/>
          <w:color w:val="auto"/>
        </w:rPr>
      </w:pPr>
      <w:r w:rsidRPr="002B4D22">
        <w:rPr>
          <w:rFonts w:ascii="Times New Roman" w:hAnsi="Times New Roman"/>
          <w:color w:val="auto"/>
        </w:rPr>
        <w:t>Investīcijas nekustamajos īpašumos</w:t>
      </w:r>
    </w:p>
    <w:p w:rsidR="00157BF8" w:rsidRPr="0091282C" w:rsidRDefault="00157BF8" w:rsidP="0091282C">
      <w:pPr>
        <w:rPr>
          <w:lang w:eastAsia="lv-LV"/>
        </w:rPr>
      </w:pPr>
    </w:p>
    <w:p w:rsidR="007059F5" w:rsidRDefault="0091282C" w:rsidP="0091282C">
      <w:pPr>
        <w:spacing w:after="120"/>
        <w:ind w:firstLine="567"/>
        <w:jc w:val="both"/>
        <w:rPr>
          <w:i/>
          <w:sz w:val="26"/>
          <w:szCs w:val="26"/>
        </w:rPr>
      </w:pPr>
      <w:r w:rsidRPr="00227660">
        <w:rPr>
          <w:sz w:val="26"/>
          <w:szCs w:val="26"/>
        </w:rPr>
        <w:t xml:space="preserve">Saskaņā ar Imigrācijas likuma 23.panta pirmās daļas 29.punktā noteikto Latvijā TUA var iegūt trešo valstu pilsoņi, kuri iegādājušies un kuriem pieder viens funkcionāli saistīts apbūvēts nekustamais īpašums, kura vērtība ir ne mazāka par 250 000 </w:t>
      </w:r>
      <w:proofErr w:type="spellStart"/>
      <w:r w:rsidRPr="00227660">
        <w:rPr>
          <w:i/>
          <w:sz w:val="26"/>
          <w:szCs w:val="26"/>
        </w:rPr>
        <w:t>euro</w:t>
      </w:r>
      <w:proofErr w:type="spellEnd"/>
      <w:r w:rsidRPr="00227660">
        <w:rPr>
          <w:sz w:val="26"/>
          <w:szCs w:val="26"/>
        </w:rPr>
        <w:t xml:space="preserve"> </w:t>
      </w:r>
      <w:r>
        <w:rPr>
          <w:sz w:val="26"/>
          <w:szCs w:val="26"/>
        </w:rPr>
        <w:t>(n</w:t>
      </w:r>
      <w:r w:rsidRPr="00227660">
        <w:rPr>
          <w:sz w:val="26"/>
          <w:szCs w:val="26"/>
        </w:rPr>
        <w:t>o 2016.gada 1.jūlija spēkā ir nosacījums par to, ka, iegādājoties īpašumu ārpus Rīgas un Pierīgas (ārpus Rīgas vai Jūrmalas, vai Ādažu, Babītes, Baldones, Carnikavas, Garkalnes, Ikšķiles, Ķekavas, Mārupes, Olaines, Ropažu, Salaspils, Saulkrastu vai Stopiņu novada) TUA var pieprasīt</w:t>
      </w:r>
      <w:r>
        <w:rPr>
          <w:sz w:val="26"/>
          <w:szCs w:val="26"/>
        </w:rPr>
        <w:t xml:space="preserve">, iegādājoties </w:t>
      </w:r>
      <w:r w:rsidRPr="00C45BDE">
        <w:rPr>
          <w:sz w:val="26"/>
          <w:szCs w:val="26"/>
          <w:u w:val="single"/>
        </w:rPr>
        <w:t>divus</w:t>
      </w:r>
      <w:r>
        <w:rPr>
          <w:sz w:val="26"/>
          <w:szCs w:val="26"/>
        </w:rPr>
        <w:t xml:space="preserve"> nekustamos īpašumus, kur katra īpašuma vērtība ir vismaz 125 000 </w:t>
      </w:r>
      <w:proofErr w:type="spellStart"/>
      <w:r>
        <w:rPr>
          <w:i/>
          <w:sz w:val="26"/>
          <w:szCs w:val="26"/>
        </w:rPr>
        <w:t>euro</w:t>
      </w:r>
      <w:proofErr w:type="spellEnd"/>
      <w:r>
        <w:rPr>
          <w:sz w:val="26"/>
          <w:szCs w:val="26"/>
        </w:rPr>
        <w:t>)</w:t>
      </w:r>
      <w:r>
        <w:rPr>
          <w:i/>
          <w:sz w:val="26"/>
          <w:szCs w:val="26"/>
        </w:rPr>
        <w:t xml:space="preserve">. </w:t>
      </w:r>
    </w:p>
    <w:p w:rsidR="0091282C" w:rsidRPr="002B4D22" w:rsidRDefault="0091282C" w:rsidP="0091282C">
      <w:pPr>
        <w:spacing w:after="120"/>
        <w:ind w:firstLine="567"/>
        <w:jc w:val="both"/>
        <w:rPr>
          <w:sz w:val="26"/>
          <w:szCs w:val="26"/>
        </w:rPr>
      </w:pPr>
      <w:r>
        <w:rPr>
          <w:sz w:val="26"/>
          <w:szCs w:val="26"/>
        </w:rPr>
        <w:t xml:space="preserve">No 2014.gada 1.septembra spēkā esošais </w:t>
      </w:r>
      <w:r w:rsidRPr="00C45BDE">
        <w:rPr>
          <w:sz w:val="26"/>
          <w:szCs w:val="26"/>
        </w:rPr>
        <w:t>nosacījums, kas paaugstināja iegādājamā nekustamā īpašuma vērtību un noteica to, ka TUA saņemšanai kvalificējas tikai viens, nevis vairāki nekustamie īpašumi, un ka pirms TUA saņemšanas ārzemniekam jāveic maksājums valsts pamatbudžeta programmai „Ekonomikas attīstības programma” atvērtajā valsts pamatbudžeta izdevumu kontā Valsts kasē 5% apjomā no iegādātā nekustamā īpašuma vērtības, ir būtiski samazinājis šī investīciju veida ietvaros iesniegto TUA pieteikumu skaitu un attiecīgi investīciju apjomu.</w:t>
      </w:r>
    </w:p>
    <w:p w:rsidR="0091282C" w:rsidRDefault="0091282C" w:rsidP="0091282C">
      <w:pPr>
        <w:spacing w:after="120"/>
        <w:ind w:firstLine="567"/>
        <w:jc w:val="both"/>
        <w:rPr>
          <w:sz w:val="26"/>
          <w:szCs w:val="26"/>
        </w:rPr>
      </w:pPr>
      <w:r w:rsidRPr="002B4D22">
        <w:rPr>
          <w:sz w:val="26"/>
          <w:szCs w:val="26"/>
        </w:rPr>
        <w:t>No 2010.gada 1.jūlija līdz 201</w:t>
      </w:r>
      <w:r>
        <w:rPr>
          <w:sz w:val="26"/>
          <w:szCs w:val="26"/>
        </w:rPr>
        <w:t>6</w:t>
      </w:r>
      <w:r w:rsidRPr="002B4D22">
        <w:rPr>
          <w:sz w:val="26"/>
          <w:szCs w:val="26"/>
        </w:rPr>
        <w:t>.gada 30.jūnijam</w:t>
      </w:r>
      <w:r>
        <w:rPr>
          <w:sz w:val="26"/>
          <w:szCs w:val="26"/>
        </w:rPr>
        <w:t xml:space="preserve"> Latvijas nekustamo īpašumu tirgū notikuši ar TUA saņemšanu par nekustamā īpašuma iegādi saistīti darījumi ar kopējo 1,</w:t>
      </w:r>
      <w:r w:rsidR="007059F5">
        <w:rPr>
          <w:sz w:val="26"/>
          <w:szCs w:val="26"/>
        </w:rPr>
        <w:t>154</w:t>
      </w:r>
      <w:r>
        <w:rPr>
          <w:sz w:val="26"/>
          <w:szCs w:val="26"/>
        </w:rPr>
        <w:t xml:space="preserve"> </w:t>
      </w:r>
      <w:proofErr w:type="spellStart"/>
      <w:r>
        <w:rPr>
          <w:sz w:val="26"/>
          <w:szCs w:val="26"/>
        </w:rPr>
        <w:t>miljr</w:t>
      </w:r>
      <w:proofErr w:type="spellEnd"/>
      <w:r>
        <w:rPr>
          <w:sz w:val="26"/>
          <w:szCs w:val="26"/>
        </w:rPr>
        <w:t xml:space="preserve">. </w:t>
      </w:r>
      <w:proofErr w:type="spellStart"/>
      <w:r w:rsidRPr="001C75C3">
        <w:rPr>
          <w:i/>
          <w:sz w:val="26"/>
          <w:szCs w:val="26"/>
        </w:rPr>
        <w:t>euro</w:t>
      </w:r>
      <w:proofErr w:type="spellEnd"/>
      <w:r>
        <w:rPr>
          <w:i/>
          <w:sz w:val="26"/>
          <w:szCs w:val="26"/>
        </w:rPr>
        <w:t xml:space="preserve"> </w:t>
      </w:r>
      <w:r w:rsidRPr="00796596">
        <w:rPr>
          <w:sz w:val="26"/>
          <w:szCs w:val="26"/>
        </w:rPr>
        <w:t>apmērā</w:t>
      </w:r>
      <w:r>
        <w:rPr>
          <w:sz w:val="26"/>
          <w:szCs w:val="26"/>
        </w:rPr>
        <w:t>.</w:t>
      </w:r>
      <w:proofErr w:type="gramStart"/>
      <w:r>
        <w:rPr>
          <w:sz w:val="26"/>
          <w:szCs w:val="26"/>
        </w:rPr>
        <w:t xml:space="preserve">  </w:t>
      </w:r>
      <w:proofErr w:type="gramEnd"/>
    </w:p>
    <w:p w:rsidR="0091282C" w:rsidRPr="002B4D22" w:rsidRDefault="007059F5" w:rsidP="0091282C">
      <w:pPr>
        <w:spacing w:after="120"/>
        <w:jc w:val="right"/>
        <w:rPr>
          <w:sz w:val="26"/>
          <w:szCs w:val="26"/>
        </w:rPr>
      </w:pPr>
      <w:r>
        <w:rPr>
          <w:sz w:val="26"/>
          <w:szCs w:val="26"/>
        </w:rPr>
        <w:t>1</w:t>
      </w:r>
      <w:r w:rsidR="0091282C" w:rsidRPr="002B4D22">
        <w:rPr>
          <w:sz w:val="26"/>
          <w:szCs w:val="26"/>
        </w:rPr>
        <w:t>.attēls</w:t>
      </w:r>
    </w:p>
    <w:p w:rsidR="0091282C" w:rsidRDefault="0091282C" w:rsidP="0091282C">
      <w:pPr>
        <w:jc w:val="center"/>
        <w:rPr>
          <w:b/>
          <w:sz w:val="24"/>
          <w:szCs w:val="24"/>
        </w:rPr>
      </w:pPr>
      <w:r>
        <w:rPr>
          <w:b/>
          <w:sz w:val="24"/>
          <w:szCs w:val="24"/>
        </w:rPr>
        <w:t xml:space="preserve">Spēkā esošo </w:t>
      </w:r>
      <w:r w:rsidRPr="002B4D22">
        <w:rPr>
          <w:b/>
          <w:sz w:val="24"/>
          <w:szCs w:val="24"/>
        </w:rPr>
        <w:t xml:space="preserve">TUA </w:t>
      </w:r>
      <w:r>
        <w:rPr>
          <w:b/>
          <w:sz w:val="24"/>
          <w:szCs w:val="24"/>
        </w:rPr>
        <w:t>pieteicēju</w:t>
      </w:r>
      <w:r w:rsidRPr="002B4D22">
        <w:rPr>
          <w:b/>
          <w:sz w:val="24"/>
          <w:szCs w:val="24"/>
        </w:rPr>
        <w:t xml:space="preserve"> – nekustamā īpašuma pircēju</w:t>
      </w:r>
    </w:p>
    <w:p w:rsidR="0091282C" w:rsidRPr="002B4D22" w:rsidRDefault="0091282C" w:rsidP="0091282C">
      <w:pPr>
        <w:jc w:val="center"/>
        <w:rPr>
          <w:sz w:val="26"/>
          <w:szCs w:val="26"/>
        </w:rPr>
      </w:pPr>
      <w:r w:rsidRPr="002B4D22">
        <w:rPr>
          <w:b/>
          <w:sz w:val="24"/>
          <w:szCs w:val="24"/>
        </w:rPr>
        <w:t xml:space="preserve">ar TUA saistīto nekustamā īpašuma iegādes darījumu skaits sadalījumā pēc tā vērtības, </w:t>
      </w:r>
      <w:proofErr w:type="spellStart"/>
      <w:r w:rsidRPr="002B4D22">
        <w:rPr>
          <w:b/>
          <w:i/>
          <w:sz w:val="24"/>
          <w:szCs w:val="24"/>
        </w:rPr>
        <w:t>euro</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4599"/>
      </w:tblGrid>
      <w:tr w:rsidR="0091282C" w:rsidRPr="002B4D22" w:rsidTr="001202EF">
        <w:tc>
          <w:tcPr>
            <w:tcW w:w="4658" w:type="dxa"/>
          </w:tcPr>
          <w:p w:rsidR="0091282C" w:rsidRPr="001C75C3" w:rsidRDefault="0091282C" w:rsidP="001202EF">
            <w:pPr>
              <w:spacing w:after="120"/>
              <w:jc w:val="center"/>
              <w:rPr>
                <w:rFonts w:ascii="Times New Roman" w:hAnsi="Times New Roman"/>
                <w:b/>
                <w:sz w:val="24"/>
                <w:szCs w:val="24"/>
              </w:rPr>
            </w:pPr>
          </w:p>
        </w:tc>
        <w:tc>
          <w:tcPr>
            <w:tcW w:w="4599" w:type="dxa"/>
          </w:tcPr>
          <w:p w:rsidR="0091282C" w:rsidRPr="001C75C3" w:rsidRDefault="0091282C" w:rsidP="001202EF">
            <w:pPr>
              <w:spacing w:after="120"/>
              <w:jc w:val="center"/>
              <w:rPr>
                <w:rFonts w:ascii="Times New Roman" w:hAnsi="Times New Roman"/>
                <w:b/>
                <w:sz w:val="24"/>
                <w:szCs w:val="24"/>
              </w:rPr>
            </w:pPr>
          </w:p>
        </w:tc>
      </w:tr>
      <w:tr w:rsidR="0091282C" w:rsidRPr="002B4D22" w:rsidTr="001202EF">
        <w:tc>
          <w:tcPr>
            <w:tcW w:w="4658" w:type="dxa"/>
          </w:tcPr>
          <w:p w:rsidR="0091282C" w:rsidRPr="001C75C3" w:rsidRDefault="0091282C" w:rsidP="001202EF">
            <w:pPr>
              <w:spacing w:after="120"/>
              <w:jc w:val="center"/>
              <w:rPr>
                <w:rFonts w:ascii="Times New Roman" w:hAnsi="Times New Roman"/>
                <w:b/>
                <w:sz w:val="24"/>
                <w:szCs w:val="24"/>
              </w:rPr>
            </w:pPr>
            <w:r w:rsidRPr="001C75C3">
              <w:rPr>
                <w:rFonts w:ascii="Times New Roman" w:hAnsi="Times New Roman"/>
                <w:b/>
                <w:sz w:val="24"/>
                <w:szCs w:val="24"/>
              </w:rPr>
              <w:t>01.07.2010.-31.12.2013.</w:t>
            </w:r>
          </w:p>
          <w:p w:rsidR="0091282C" w:rsidRPr="001C75C3" w:rsidRDefault="0091282C" w:rsidP="001202EF">
            <w:pPr>
              <w:spacing w:after="120"/>
              <w:jc w:val="center"/>
              <w:rPr>
                <w:rFonts w:ascii="Times New Roman" w:hAnsi="Times New Roman"/>
                <w:b/>
                <w:sz w:val="24"/>
                <w:szCs w:val="24"/>
              </w:rPr>
            </w:pPr>
            <w:r w:rsidRPr="001C75C3">
              <w:rPr>
                <w:b/>
                <w:noProof/>
                <w:sz w:val="24"/>
                <w:szCs w:val="24"/>
              </w:rPr>
              <w:drawing>
                <wp:inline distT="0" distB="0" distL="0" distR="0">
                  <wp:extent cx="2590800" cy="2343150"/>
                  <wp:effectExtent l="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1282C" w:rsidRPr="001C75C3" w:rsidRDefault="0091282C" w:rsidP="001202EF">
            <w:pPr>
              <w:spacing w:after="120"/>
              <w:rPr>
                <w:rFonts w:ascii="Times New Roman" w:hAnsi="Times New Roman"/>
                <w:i/>
                <w:sz w:val="22"/>
                <w:szCs w:val="22"/>
              </w:rPr>
            </w:pPr>
            <w:r w:rsidRPr="001C75C3">
              <w:rPr>
                <w:rFonts w:ascii="Times New Roman" w:hAnsi="Times New Roman"/>
                <w:i/>
                <w:sz w:val="22"/>
                <w:szCs w:val="22"/>
              </w:rPr>
              <w:t>Avots: PMLP</w:t>
            </w:r>
          </w:p>
          <w:p w:rsidR="0091282C" w:rsidRPr="001C75C3" w:rsidRDefault="0091282C" w:rsidP="001202EF">
            <w:pPr>
              <w:spacing w:after="120"/>
              <w:jc w:val="center"/>
              <w:rPr>
                <w:rFonts w:ascii="Times New Roman" w:hAnsi="Times New Roman"/>
                <w:b/>
                <w:sz w:val="24"/>
                <w:szCs w:val="22"/>
              </w:rPr>
            </w:pPr>
            <w:r w:rsidRPr="001C75C3">
              <w:rPr>
                <w:rFonts w:ascii="Times New Roman" w:hAnsi="Times New Roman"/>
                <w:b/>
                <w:sz w:val="24"/>
                <w:szCs w:val="22"/>
              </w:rPr>
              <w:lastRenderedPageBreak/>
              <w:t>01.01.2015.-31.12.2015.</w:t>
            </w:r>
          </w:p>
          <w:p w:rsidR="0091282C" w:rsidRPr="001C75C3" w:rsidRDefault="0091282C" w:rsidP="001202EF">
            <w:pPr>
              <w:spacing w:after="120"/>
              <w:rPr>
                <w:rFonts w:ascii="Times New Roman" w:hAnsi="Times New Roman"/>
                <w:b/>
                <w:sz w:val="22"/>
                <w:szCs w:val="22"/>
              </w:rPr>
            </w:pPr>
            <w:r w:rsidRPr="001C75C3">
              <w:rPr>
                <w:b/>
                <w:noProof/>
                <w:sz w:val="24"/>
                <w:szCs w:val="24"/>
              </w:rPr>
              <w:drawing>
                <wp:inline distT="0" distB="0" distL="0" distR="0">
                  <wp:extent cx="2790825" cy="2628900"/>
                  <wp:effectExtent l="0" t="0" r="9525" b="0"/>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282C" w:rsidRPr="00157BF8" w:rsidRDefault="0091282C" w:rsidP="001202EF">
            <w:pPr>
              <w:spacing w:after="120"/>
              <w:rPr>
                <w:rFonts w:ascii="Times New Roman" w:hAnsi="Times New Roman"/>
                <w:i/>
                <w:sz w:val="22"/>
                <w:szCs w:val="22"/>
              </w:rPr>
            </w:pPr>
            <w:r w:rsidRPr="001C75C3">
              <w:rPr>
                <w:rFonts w:ascii="Times New Roman" w:hAnsi="Times New Roman"/>
                <w:i/>
                <w:sz w:val="22"/>
                <w:szCs w:val="22"/>
              </w:rPr>
              <w:t>Avots: PMLP</w:t>
            </w:r>
          </w:p>
        </w:tc>
        <w:tc>
          <w:tcPr>
            <w:tcW w:w="4599" w:type="dxa"/>
          </w:tcPr>
          <w:p w:rsidR="0091282C" w:rsidRPr="001C75C3" w:rsidRDefault="0091282C" w:rsidP="001202EF">
            <w:pPr>
              <w:spacing w:after="120"/>
              <w:jc w:val="center"/>
              <w:rPr>
                <w:rFonts w:ascii="Times New Roman" w:hAnsi="Times New Roman"/>
                <w:b/>
                <w:sz w:val="22"/>
                <w:szCs w:val="22"/>
              </w:rPr>
            </w:pPr>
            <w:r w:rsidRPr="001C75C3">
              <w:rPr>
                <w:rFonts w:ascii="Times New Roman" w:hAnsi="Times New Roman"/>
                <w:b/>
                <w:sz w:val="22"/>
                <w:szCs w:val="22"/>
              </w:rPr>
              <w:lastRenderedPageBreak/>
              <w:t>01.01.2014.-31.12.2014.</w:t>
            </w:r>
          </w:p>
          <w:p w:rsidR="0091282C" w:rsidRPr="001C75C3" w:rsidRDefault="0091282C" w:rsidP="001202EF">
            <w:pPr>
              <w:spacing w:after="120"/>
              <w:rPr>
                <w:rFonts w:ascii="Times New Roman" w:hAnsi="Times New Roman"/>
                <w:i/>
                <w:sz w:val="22"/>
                <w:szCs w:val="22"/>
              </w:rPr>
            </w:pPr>
            <w:r w:rsidRPr="001C75C3">
              <w:rPr>
                <w:b/>
                <w:noProof/>
                <w:sz w:val="24"/>
                <w:szCs w:val="24"/>
              </w:rPr>
              <w:drawing>
                <wp:inline distT="0" distB="0" distL="0" distR="0">
                  <wp:extent cx="2524125" cy="2362200"/>
                  <wp:effectExtent l="0" t="0" r="9525" b="0"/>
                  <wp:docPr id="4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282C" w:rsidRPr="001C75C3" w:rsidRDefault="0091282C" w:rsidP="001202EF">
            <w:pPr>
              <w:spacing w:after="120"/>
              <w:rPr>
                <w:rFonts w:ascii="Times New Roman" w:hAnsi="Times New Roman"/>
                <w:i/>
                <w:sz w:val="22"/>
                <w:szCs w:val="22"/>
              </w:rPr>
            </w:pPr>
            <w:r w:rsidRPr="001C75C3">
              <w:rPr>
                <w:rFonts w:ascii="Times New Roman" w:hAnsi="Times New Roman"/>
                <w:i/>
                <w:sz w:val="22"/>
                <w:szCs w:val="22"/>
              </w:rPr>
              <w:t>Avots: PMLP</w:t>
            </w:r>
          </w:p>
          <w:p w:rsidR="0091282C" w:rsidRPr="001C75C3" w:rsidRDefault="0091282C" w:rsidP="001202EF">
            <w:pPr>
              <w:spacing w:after="80"/>
              <w:jc w:val="center"/>
              <w:rPr>
                <w:rFonts w:ascii="Times New Roman" w:hAnsi="Times New Roman"/>
                <w:sz w:val="24"/>
                <w:szCs w:val="24"/>
              </w:rPr>
            </w:pPr>
            <w:r w:rsidRPr="001C75C3">
              <w:rPr>
                <w:rFonts w:ascii="Times New Roman" w:hAnsi="Times New Roman"/>
                <w:b/>
                <w:sz w:val="24"/>
                <w:szCs w:val="24"/>
              </w:rPr>
              <w:lastRenderedPageBreak/>
              <w:t>01.01.2016.-30.06.2016</w:t>
            </w:r>
            <w:r w:rsidRPr="001C75C3">
              <w:rPr>
                <w:rFonts w:ascii="Times New Roman" w:hAnsi="Times New Roman"/>
                <w:sz w:val="24"/>
                <w:szCs w:val="24"/>
              </w:rPr>
              <w:t>.</w:t>
            </w:r>
          </w:p>
          <w:p w:rsidR="0091282C" w:rsidRPr="001C75C3" w:rsidRDefault="0091282C" w:rsidP="001202EF">
            <w:pPr>
              <w:spacing w:before="240"/>
              <w:rPr>
                <w:rFonts w:ascii="Times New Roman" w:hAnsi="Times New Roman"/>
                <w:b/>
                <w:sz w:val="24"/>
                <w:szCs w:val="24"/>
              </w:rPr>
            </w:pPr>
            <w:r w:rsidRPr="001C75C3">
              <w:rPr>
                <w:b/>
                <w:noProof/>
                <w:sz w:val="24"/>
                <w:szCs w:val="24"/>
              </w:rPr>
              <w:drawing>
                <wp:inline distT="0" distB="0" distL="0" distR="0">
                  <wp:extent cx="2676525" cy="2562225"/>
                  <wp:effectExtent l="0" t="0" r="9525" b="9525"/>
                  <wp:docPr id="3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282C" w:rsidRPr="00157BF8" w:rsidRDefault="0091282C" w:rsidP="00157BF8">
            <w:pPr>
              <w:spacing w:before="60" w:after="120"/>
              <w:rPr>
                <w:rFonts w:ascii="Times New Roman" w:hAnsi="Times New Roman"/>
                <w:i/>
                <w:sz w:val="22"/>
                <w:szCs w:val="22"/>
              </w:rPr>
            </w:pPr>
            <w:r w:rsidRPr="001C75C3">
              <w:rPr>
                <w:rFonts w:ascii="Times New Roman" w:hAnsi="Times New Roman"/>
                <w:i/>
                <w:sz w:val="22"/>
                <w:szCs w:val="22"/>
              </w:rPr>
              <w:t>Avots: PMLP</w:t>
            </w:r>
          </w:p>
        </w:tc>
      </w:tr>
    </w:tbl>
    <w:p w:rsidR="007059F5" w:rsidRDefault="0091282C" w:rsidP="005376C0">
      <w:pPr>
        <w:spacing w:after="120"/>
        <w:ind w:firstLine="567"/>
        <w:jc w:val="both"/>
        <w:rPr>
          <w:sz w:val="26"/>
          <w:szCs w:val="26"/>
        </w:rPr>
      </w:pPr>
      <w:r w:rsidRPr="00E35F28">
        <w:rPr>
          <w:sz w:val="26"/>
          <w:szCs w:val="26"/>
        </w:rPr>
        <w:lastRenderedPageBreak/>
        <w:t xml:space="preserve">TUA pieteikumu iesniedzēju – nekustamā īpašuma pircēju – ar TUA saistīto nekustamā īpašuma iegādes darījumu skaits sadalījumā pēc tā vērtības parāda, ka laika posmā no 2010.gada jūlija līdz 2013.gada decembrim lielākā daļa darījumu (74%) notika robežās no 125 tūkst. </w:t>
      </w:r>
      <w:proofErr w:type="spellStart"/>
      <w:r w:rsidRPr="00E35F28">
        <w:rPr>
          <w:i/>
          <w:sz w:val="26"/>
          <w:szCs w:val="26"/>
        </w:rPr>
        <w:t>euro</w:t>
      </w:r>
      <w:proofErr w:type="spellEnd"/>
      <w:r w:rsidRPr="00E35F28">
        <w:rPr>
          <w:sz w:val="26"/>
          <w:szCs w:val="26"/>
        </w:rPr>
        <w:t xml:space="preserve"> līdz 250 tūkst. </w:t>
      </w:r>
      <w:proofErr w:type="spellStart"/>
      <w:r w:rsidRPr="00E35F28">
        <w:rPr>
          <w:i/>
          <w:sz w:val="26"/>
          <w:szCs w:val="26"/>
        </w:rPr>
        <w:t>euro</w:t>
      </w:r>
      <w:proofErr w:type="spellEnd"/>
      <w:r w:rsidRPr="00E35F28">
        <w:rPr>
          <w:sz w:val="26"/>
          <w:szCs w:val="26"/>
        </w:rPr>
        <w:t xml:space="preserve">, bet darījumu virs 250 tūkst. </w:t>
      </w:r>
      <w:proofErr w:type="spellStart"/>
      <w:r w:rsidRPr="00E35F28">
        <w:rPr>
          <w:i/>
          <w:sz w:val="26"/>
          <w:szCs w:val="26"/>
        </w:rPr>
        <w:t>euro</w:t>
      </w:r>
      <w:proofErr w:type="spellEnd"/>
      <w:r w:rsidRPr="00E35F28">
        <w:rPr>
          <w:i/>
          <w:sz w:val="26"/>
          <w:szCs w:val="26"/>
        </w:rPr>
        <w:t xml:space="preserve"> </w:t>
      </w:r>
      <w:r w:rsidRPr="00E35F28">
        <w:rPr>
          <w:sz w:val="26"/>
          <w:szCs w:val="26"/>
        </w:rPr>
        <w:t>īpatsvars</w:t>
      </w:r>
      <w:r w:rsidRPr="00E35F28">
        <w:rPr>
          <w:i/>
          <w:sz w:val="26"/>
          <w:szCs w:val="26"/>
        </w:rPr>
        <w:t xml:space="preserve"> </w:t>
      </w:r>
      <w:r w:rsidRPr="00E35F28">
        <w:rPr>
          <w:sz w:val="26"/>
          <w:szCs w:val="26"/>
        </w:rPr>
        <w:t xml:space="preserve">bija 16%. 2014.gadā darījumu īpatsvars par nekustamā īpašuma iegādes summu robežās no 150 tūkst. </w:t>
      </w:r>
      <w:proofErr w:type="spellStart"/>
      <w:r w:rsidRPr="00E35F28">
        <w:rPr>
          <w:i/>
          <w:sz w:val="26"/>
          <w:szCs w:val="26"/>
        </w:rPr>
        <w:t>euro</w:t>
      </w:r>
      <w:proofErr w:type="spellEnd"/>
      <w:r w:rsidRPr="00E35F28">
        <w:rPr>
          <w:sz w:val="26"/>
          <w:szCs w:val="26"/>
        </w:rPr>
        <w:t xml:space="preserve"> līdz 250 tūkst. </w:t>
      </w:r>
      <w:proofErr w:type="spellStart"/>
      <w:r w:rsidRPr="00E35F28">
        <w:rPr>
          <w:i/>
          <w:sz w:val="26"/>
          <w:szCs w:val="26"/>
        </w:rPr>
        <w:t>euro</w:t>
      </w:r>
      <w:proofErr w:type="spellEnd"/>
      <w:r w:rsidRPr="00E35F28">
        <w:rPr>
          <w:sz w:val="26"/>
          <w:szCs w:val="26"/>
        </w:rPr>
        <w:t xml:space="preserve"> samazinājās līdz 71%, vienlaicīgi pieaugot darījumu īpatsvaram virs 250 tūkst. </w:t>
      </w:r>
      <w:proofErr w:type="spellStart"/>
      <w:r w:rsidRPr="00E35F28">
        <w:rPr>
          <w:i/>
          <w:sz w:val="26"/>
          <w:szCs w:val="26"/>
        </w:rPr>
        <w:t>euro</w:t>
      </w:r>
      <w:proofErr w:type="spellEnd"/>
      <w:r w:rsidRPr="00E35F28">
        <w:rPr>
          <w:sz w:val="26"/>
          <w:szCs w:val="26"/>
        </w:rPr>
        <w:t xml:space="preserve"> līdz 20%. 2015.gadā ievērojami pieaudzis darījumu īpatsvars darījumiem robežās no 250 līdz 499 tūkst. </w:t>
      </w:r>
      <w:proofErr w:type="spellStart"/>
      <w:r w:rsidRPr="00E35F28">
        <w:rPr>
          <w:sz w:val="26"/>
          <w:szCs w:val="26"/>
        </w:rPr>
        <w:t>euro</w:t>
      </w:r>
      <w:proofErr w:type="spellEnd"/>
      <w:r w:rsidRPr="00E35F28">
        <w:rPr>
          <w:sz w:val="26"/>
          <w:szCs w:val="26"/>
        </w:rPr>
        <w:t xml:space="preserve"> (vairāk kā 50% no kopējā darījumu skaita). </w:t>
      </w:r>
    </w:p>
    <w:p w:rsidR="0091282C" w:rsidRDefault="0091282C" w:rsidP="005376C0">
      <w:pPr>
        <w:spacing w:after="120"/>
        <w:ind w:firstLine="567"/>
        <w:jc w:val="both"/>
        <w:rPr>
          <w:sz w:val="26"/>
          <w:szCs w:val="26"/>
        </w:rPr>
      </w:pPr>
      <w:r w:rsidRPr="00E35F28">
        <w:rPr>
          <w:sz w:val="26"/>
          <w:szCs w:val="26"/>
        </w:rPr>
        <w:t xml:space="preserve">2015.gada tendence turpinājās arī 2016.gada 1.pusgadā, taču jāatzīmē, ka darījumu skaits ir ievērojami krities (līdz 2016.gada 31.jūnijam fiksēts 51 darījums, salīdzinot ar 143 darījumiem attiecīgajā periodā 2015.gadā). Darījumu īpatsvara pieaugums robežās no 250 līdz 499 tūkst. </w:t>
      </w:r>
      <w:proofErr w:type="spellStart"/>
      <w:r w:rsidRPr="00E35F28">
        <w:rPr>
          <w:i/>
          <w:sz w:val="26"/>
          <w:szCs w:val="26"/>
        </w:rPr>
        <w:t>euro</w:t>
      </w:r>
      <w:proofErr w:type="spellEnd"/>
      <w:r w:rsidRPr="00E35F28">
        <w:rPr>
          <w:i/>
          <w:sz w:val="26"/>
          <w:szCs w:val="26"/>
        </w:rPr>
        <w:t xml:space="preserve"> </w:t>
      </w:r>
      <w:r w:rsidRPr="00E35F28">
        <w:rPr>
          <w:sz w:val="26"/>
          <w:szCs w:val="26"/>
        </w:rPr>
        <w:t xml:space="preserve">saistīts ar grozījumiem Imigrācijas likumā, kas stājās spēkā 2014.gada 1.septembrī un noteica, ka TUA par nekustamā īpašuma iegādi var saņemt, ja ir iegādāts viens nekustamais īpašums par pirkuma summu, kas nav mazāka par 250 tūkst. </w:t>
      </w:r>
      <w:proofErr w:type="spellStart"/>
      <w:r w:rsidRPr="00E35F28">
        <w:rPr>
          <w:i/>
          <w:sz w:val="26"/>
          <w:szCs w:val="26"/>
        </w:rPr>
        <w:t>euro</w:t>
      </w:r>
      <w:proofErr w:type="spellEnd"/>
      <w:r w:rsidRPr="00E35F28">
        <w:rPr>
          <w:sz w:val="26"/>
          <w:szCs w:val="26"/>
        </w:rPr>
        <w:t xml:space="preserve">. Tajā pašā laikā, to darījumu, kuru iegādes summas ir zem 250 tūkst. </w:t>
      </w:r>
      <w:proofErr w:type="spellStart"/>
      <w:r w:rsidRPr="00E35F28">
        <w:rPr>
          <w:i/>
          <w:sz w:val="26"/>
          <w:szCs w:val="26"/>
        </w:rPr>
        <w:t>euro</w:t>
      </w:r>
      <w:proofErr w:type="spellEnd"/>
      <w:r w:rsidRPr="00E35F28">
        <w:rPr>
          <w:sz w:val="26"/>
          <w:szCs w:val="26"/>
        </w:rPr>
        <w:t>, īpatsvars 2015.gada gadā bija 28%. Šis rādītājs ir izskaidrojams ar to, ka šie 2015.gadā TUA saņemšanai uzrādītie darījumi par nekustamā īpašuma iegādi ir notikuši pirms 2014.gada 1.septembra un uz tiem nevar attiecināt iepriekš minētos grozījumus.</w:t>
      </w:r>
      <w:r>
        <w:rPr>
          <w:sz w:val="26"/>
          <w:szCs w:val="26"/>
        </w:rPr>
        <w:t xml:space="preserve"> </w:t>
      </w:r>
    </w:p>
    <w:p w:rsidR="0091282C" w:rsidRPr="002B4D22" w:rsidRDefault="0091282C" w:rsidP="005376C0">
      <w:pPr>
        <w:spacing w:after="120"/>
        <w:ind w:firstLine="426"/>
        <w:jc w:val="both"/>
        <w:rPr>
          <w:sz w:val="26"/>
          <w:szCs w:val="26"/>
        </w:rPr>
      </w:pPr>
      <w:r w:rsidRPr="002B4D22">
        <w:rPr>
          <w:sz w:val="26"/>
          <w:szCs w:val="26"/>
        </w:rPr>
        <w:t>Ārvalstnieki dod priekšroku investīcijām nekustamajā īpašumā vairāku iemeslu dēļ:</w:t>
      </w:r>
    </w:p>
    <w:p w:rsidR="0091282C" w:rsidRPr="002B4D22" w:rsidRDefault="0091282C" w:rsidP="00751F87">
      <w:pPr>
        <w:pStyle w:val="ListParagraph"/>
        <w:numPr>
          <w:ilvl w:val="0"/>
          <w:numId w:val="1"/>
        </w:numPr>
        <w:spacing w:after="120" w:line="240" w:lineRule="auto"/>
        <w:ind w:left="0" w:firstLine="567"/>
        <w:jc w:val="both"/>
        <w:rPr>
          <w:rFonts w:ascii="Times New Roman" w:hAnsi="Times New Roman"/>
          <w:sz w:val="26"/>
          <w:szCs w:val="26"/>
        </w:rPr>
      </w:pPr>
      <w:r w:rsidRPr="002B4D22">
        <w:rPr>
          <w:rFonts w:ascii="Times New Roman" w:hAnsi="Times New Roman"/>
          <w:sz w:val="26"/>
          <w:szCs w:val="26"/>
        </w:rPr>
        <w:t>investīcijas nekustamajā īpašumā tiek uzskatītas par vienu no drošākajiem investīciju veidiem;</w:t>
      </w:r>
    </w:p>
    <w:p w:rsidR="0091282C" w:rsidRPr="002B4D22" w:rsidRDefault="0091282C" w:rsidP="00751F87">
      <w:pPr>
        <w:pStyle w:val="ListParagraph"/>
        <w:numPr>
          <w:ilvl w:val="0"/>
          <w:numId w:val="1"/>
        </w:numPr>
        <w:spacing w:after="120" w:line="240" w:lineRule="auto"/>
        <w:ind w:left="0" w:firstLine="567"/>
        <w:jc w:val="both"/>
        <w:rPr>
          <w:rFonts w:ascii="Times New Roman" w:hAnsi="Times New Roman"/>
          <w:sz w:val="26"/>
          <w:szCs w:val="26"/>
        </w:rPr>
      </w:pPr>
      <w:r w:rsidRPr="002B4D22">
        <w:rPr>
          <w:rFonts w:ascii="Times New Roman" w:hAnsi="Times New Roman"/>
          <w:sz w:val="26"/>
          <w:szCs w:val="26"/>
        </w:rPr>
        <w:t xml:space="preserve">iespēja diferencēt savu aktīvu saglabāšanu; </w:t>
      </w:r>
    </w:p>
    <w:p w:rsidR="0091282C" w:rsidRPr="002B4D22" w:rsidRDefault="0091282C" w:rsidP="00751F87">
      <w:pPr>
        <w:pStyle w:val="ListParagraph"/>
        <w:numPr>
          <w:ilvl w:val="0"/>
          <w:numId w:val="1"/>
        </w:numPr>
        <w:spacing w:after="120" w:line="240" w:lineRule="auto"/>
        <w:ind w:left="0" w:firstLine="567"/>
        <w:jc w:val="both"/>
        <w:rPr>
          <w:rFonts w:ascii="Times New Roman" w:hAnsi="Times New Roman"/>
          <w:sz w:val="26"/>
          <w:szCs w:val="26"/>
        </w:rPr>
      </w:pPr>
      <w:r w:rsidRPr="002B4D22">
        <w:rPr>
          <w:rFonts w:ascii="Times New Roman" w:hAnsi="Times New Roman"/>
          <w:sz w:val="26"/>
          <w:szCs w:val="26"/>
        </w:rPr>
        <w:t>TUA saņemšanas un reģistrācijas process ir vienkāršāks nekā, piemēram, veicot investīcijas kapitālsabiedrības pamatkapitālā, jo nav nepieciešams nodrošināt uzņēmuma sekmīgu darbību; vienīgais priekšnosacījums TUA saglabāšanai ir savlaicīga nekustamā īpašuma nodokļa samaksa.</w:t>
      </w:r>
    </w:p>
    <w:p w:rsidR="0091282C" w:rsidRDefault="0091282C" w:rsidP="00157BF8">
      <w:pPr>
        <w:spacing w:after="120"/>
        <w:ind w:firstLine="567"/>
        <w:jc w:val="both"/>
        <w:rPr>
          <w:sz w:val="26"/>
          <w:szCs w:val="26"/>
        </w:rPr>
      </w:pPr>
      <w:r>
        <w:rPr>
          <w:sz w:val="26"/>
          <w:szCs w:val="26"/>
        </w:rPr>
        <w:lastRenderedPageBreak/>
        <w:t xml:space="preserve">Jāatzīmē, ka vairākas Eiropas Savienības valstis </w:t>
      </w:r>
      <w:r w:rsidRPr="00E35F28">
        <w:rPr>
          <w:sz w:val="26"/>
          <w:szCs w:val="26"/>
        </w:rPr>
        <w:t>piedāvā iespēju piešķirt TUA trešo valstu pilsoņiem, kas iegādājas nekustamo īpašumu (Grieķija, Portugāle, Spānija, Kipra un Malta</w:t>
      </w:r>
      <w:r w:rsidRPr="00E35F28">
        <w:rPr>
          <w:rStyle w:val="FootnoteReference"/>
          <w:sz w:val="26"/>
          <w:szCs w:val="26"/>
        </w:rPr>
        <w:footnoteReference w:id="1"/>
      </w:r>
      <w:r w:rsidRPr="00E35F28">
        <w:rPr>
          <w:sz w:val="26"/>
          <w:szCs w:val="26"/>
        </w:rPr>
        <w:t>).</w:t>
      </w:r>
    </w:p>
    <w:p w:rsidR="0091282C" w:rsidRPr="002B4D22" w:rsidRDefault="007059F5" w:rsidP="0091282C">
      <w:pPr>
        <w:spacing w:after="120"/>
        <w:ind w:firstLine="425"/>
        <w:jc w:val="right"/>
        <w:rPr>
          <w:sz w:val="26"/>
          <w:szCs w:val="26"/>
        </w:rPr>
      </w:pPr>
      <w:r>
        <w:rPr>
          <w:sz w:val="26"/>
          <w:szCs w:val="26"/>
        </w:rPr>
        <w:t>2</w:t>
      </w:r>
      <w:r w:rsidR="0091282C" w:rsidRPr="006D264A">
        <w:rPr>
          <w:sz w:val="26"/>
          <w:szCs w:val="26"/>
        </w:rPr>
        <w:t>.attēls</w:t>
      </w:r>
    </w:p>
    <w:p w:rsidR="0091282C" w:rsidRPr="002B4D22" w:rsidRDefault="0091282C" w:rsidP="0091282C">
      <w:pPr>
        <w:spacing w:after="120"/>
        <w:ind w:firstLine="425"/>
        <w:jc w:val="center"/>
        <w:rPr>
          <w:b/>
          <w:sz w:val="24"/>
          <w:szCs w:val="24"/>
        </w:rPr>
      </w:pPr>
      <w:r w:rsidRPr="002B4D22">
        <w:rPr>
          <w:b/>
          <w:bCs/>
          <w:sz w:val="24"/>
          <w:szCs w:val="24"/>
        </w:rPr>
        <w:t>TUA saņēmušo ārvalstnieku darījumi pret visiem zemesgrāmatā reģistrētajiem pirkuma līgumiem</w:t>
      </w:r>
      <w:r w:rsidRPr="002B4D22">
        <w:rPr>
          <w:b/>
          <w:bCs/>
          <w:sz w:val="24"/>
          <w:szCs w:val="24"/>
        </w:rPr>
        <w:br/>
      </w:r>
      <w:r w:rsidRPr="002B4D22">
        <w:rPr>
          <w:bCs/>
          <w:sz w:val="24"/>
          <w:szCs w:val="24"/>
        </w:rPr>
        <w:t>(kreisā ass – darījumu skaits tūkstošos; labā ass – darījumu summa milj. eiro)</w:t>
      </w:r>
      <w:r w:rsidRPr="002B4D22">
        <w:rPr>
          <w:noProof/>
          <w:color w:val="000000"/>
          <w:sz w:val="21"/>
          <w:szCs w:val="21"/>
          <w:lang w:eastAsia="lv-LV"/>
        </w:rPr>
        <w:drawing>
          <wp:inline distT="0" distB="0" distL="0" distR="0">
            <wp:extent cx="5143500" cy="3248025"/>
            <wp:effectExtent l="0" t="0" r="0" b="0"/>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282C" w:rsidRPr="007059F5" w:rsidRDefault="0091282C" w:rsidP="007059F5">
      <w:pPr>
        <w:spacing w:after="120"/>
        <w:ind w:right="202"/>
        <w:rPr>
          <w:sz w:val="24"/>
          <w:szCs w:val="26"/>
        </w:rPr>
      </w:pPr>
      <w:r w:rsidRPr="007059F5">
        <w:rPr>
          <w:sz w:val="14"/>
          <w:szCs w:val="16"/>
        </w:rPr>
        <w:t xml:space="preserve"> </w:t>
      </w:r>
      <w:r w:rsidRPr="007059F5">
        <w:rPr>
          <w:i/>
          <w:sz w:val="24"/>
        </w:rPr>
        <w:t xml:space="preserve">Avots: PMPL, </w:t>
      </w:r>
      <w:r w:rsidR="007059F5">
        <w:rPr>
          <w:i/>
          <w:sz w:val="24"/>
        </w:rPr>
        <w:t>VVDZ</w:t>
      </w:r>
    </w:p>
    <w:p w:rsidR="0091282C" w:rsidRDefault="0091282C" w:rsidP="005376C0">
      <w:pPr>
        <w:spacing w:after="120"/>
        <w:ind w:firstLine="567"/>
        <w:jc w:val="both"/>
        <w:rPr>
          <w:sz w:val="26"/>
          <w:szCs w:val="26"/>
          <w:highlight w:val="lightGray"/>
        </w:rPr>
      </w:pPr>
      <w:r w:rsidRPr="00A913B2">
        <w:rPr>
          <w:sz w:val="26"/>
          <w:szCs w:val="26"/>
        </w:rPr>
        <w:t xml:space="preserve">2015.gada 1.pusgadā, salīdzinot ar 2014.gada 1.pusgadu, ar TUA saņemšanu saistītās investīcijas nekustamajos īpašumos (NĪ iegādes darījumi) samazinājās par 79%, bet 2016.gada 1.pusgadā šāda tipa investīcijas ir samazinājušās par 61% salīdzinot ar 2015.gada 1.pusgadu un par 92% salīdzinot ar 2014.gada 1.pusgadu, sasniedzot 14,15 milj. </w:t>
      </w:r>
      <w:proofErr w:type="spellStart"/>
      <w:r w:rsidRPr="00A913B2">
        <w:rPr>
          <w:i/>
          <w:sz w:val="26"/>
          <w:szCs w:val="26"/>
        </w:rPr>
        <w:t>euro</w:t>
      </w:r>
      <w:proofErr w:type="spellEnd"/>
      <w:r w:rsidRPr="00A913B2">
        <w:rPr>
          <w:sz w:val="26"/>
          <w:szCs w:val="26"/>
        </w:rPr>
        <w:t>.</w:t>
      </w:r>
      <w:r w:rsidRPr="007A4DA0">
        <w:rPr>
          <w:sz w:val="26"/>
          <w:szCs w:val="26"/>
          <w:highlight w:val="lightGray"/>
        </w:rPr>
        <w:t xml:space="preserve"> </w:t>
      </w:r>
    </w:p>
    <w:p w:rsidR="0091282C" w:rsidRDefault="0091282C" w:rsidP="005376C0">
      <w:pPr>
        <w:spacing w:after="120"/>
        <w:ind w:firstLine="567"/>
        <w:jc w:val="both"/>
        <w:rPr>
          <w:sz w:val="26"/>
          <w:szCs w:val="26"/>
        </w:rPr>
      </w:pPr>
      <w:r>
        <w:rPr>
          <w:sz w:val="26"/>
          <w:szCs w:val="26"/>
        </w:rPr>
        <w:t>Vienlaikus jāmin, ka s</w:t>
      </w:r>
      <w:r w:rsidR="00BD3A79">
        <w:rPr>
          <w:sz w:val="26"/>
          <w:szCs w:val="26"/>
        </w:rPr>
        <w:t>askaņā ar SIA “Latio” 2016.</w:t>
      </w:r>
      <w:r w:rsidRPr="00451797">
        <w:rPr>
          <w:sz w:val="26"/>
          <w:szCs w:val="26"/>
        </w:rPr>
        <w:t>gada</w:t>
      </w:r>
      <w:r w:rsidR="00BD3A79">
        <w:rPr>
          <w:sz w:val="26"/>
          <w:szCs w:val="26"/>
        </w:rPr>
        <w:t xml:space="preserve"> mājokļu tirgus pārskatu, 2016.</w:t>
      </w:r>
      <w:r w:rsidRPr="00451797">
        <w:rPr>
          <w:sz w:val="26"/>
          <w:szCs w:val="26"/>
        </w:rPr>
        <w:t>gada pirmajos mēnešos Rīgas un Latvijas reģionu mājokļu tirgū turpinājās iepriekšējos ceturkšņos iesākusies stabilā izaugsme</w:t>
      </w:r>
      <w:r w:rsidR="00BD3A79">
        <w:rPr>
          <w:sz w:val="26"/>
          <w:szCs w:val="26"/>
        </w:rPr>
        <w:t>. Pēc 2014.gada beigu un 2015.</w:t>
      </w:r>
      <w:r w:rsidRPr="00451797">
        <w:rPr>
          <w:sz w:val="26"/>
          <w:szCs w:val="26"/>
        </w:rPr>
        <w:t>gada sākuma satricinājuma, kas sekoja grozījumiem Imigrācijas likumā, nozare ir pārkārtojusies</w:t>
      </w:r>
      <w:r>
        <w:rPr>
          <w:sz w:val="26"/>
          <w:szCs w:val="26"/>
        </w:rPr>
        <w:t xml:space="preserve"> uz vietējo pieprasījumu un turpina augt. </w:t>
      </w:r>
      <w:r w:rsidRPr="00451797">
        <w:rPr>
          <w:sz w:val="26"/>
          <w:szCs w:val="26"/>
        </w:rPr>
        <w:t xml:space="preserve">Rīgas mājokļu tirgus aktivitāte kopumā ir atgriezusies 2014. gada pirmā pusgada līmenī un ir nemainīgi stabila </w:t>
      </w:r>
      <w:proofErr w:type="gramStart"/>
      <w:r w:rsidRPr="00451797">
        <w:rPr>
          <w:sz w:val="26"/>
          <w:szCs w:val="26"/>
        </w:rPr>
        <w:t>ar apmēram</w:t>
      </w:r>
      <w:proofErr w:type="gramEnd"/>
      <w:r w:rsidRPr="00451797">
        <w:rPr>
          <w:sz w:val="26"/>
          <w:szCs w:val="26"/>
        </w:rPr>
        <w:t xml:space="preserve"> 600 darījumiem mēnesī. Lielākā pircēju interese ir par dzīvokļiem ar platību 70 līdz 80 kvadrātmetriem un cenu ap 100 tūkst</w:t>
      </w:r>
      <w:r>
        <w:rPr>
          <w:sz w:val="26"/>
          <w:szCs w:val="26"/>
        </w:rPr>
        <w:t>.</w:t>
      </w:r>
      <w:r w:rsidRPr="00451797">
        <w:rPr>
          <w:sz w:val="26"/>
          <w:szCs w:val="26"/>
        </w:rPr>
        <w:t xml:space="preserve"> </w:t>
      </w:r>
      <w:proofErr w:type="spellStart"/>
      <w:r w:rsidRPr="00FB5DB6">
        <w:rPr>
          <w:i/>
          <w:sz w:val="26"/>
          <w:szCs w:val="26"/>
        </w:rPr>
        <w:t>euro</w:t>
      </w:r>
      <w:proofErr w:type="spellEnd"/>
      <w:r w:rsidR="00BD3A79">
        <w:rPr>
          <w:sz w:val="26"/>
          <w:szCs w:val="26"/>
        </w:rPr>
        <w:t>. 2016.</w:t>
      </w:r>
      <w:r w:rsidRPr="00451797">
        <w:rPr>
          <w:sz w:val="26"/>
          <w:szCs w:val="26"/>
        </w:rPr>
        <w:t>gada pirmajā ceturksnī par 31% pieaudzis darījumu skaits ar nerezidentiem, kuru interese par dzīvokļiem Rīgas jaunajos projektos pieaug trešo ceturksni pēc kārtas un sasniedz augstāko līmeni kopš Imigrācijas likuma izmaiņu stāšanās spēkā</w:t>
      </w:r>
      <w:r>
        <w:rPr>
          <w:sz w:val="26"/>
          <w:szCs w:val="26"/>
        </w:rPr>
        <w:t xml:space="preserve"> 2014.gada 1.septembrī</w:t>
      </w:r>
      <w:r w:rsidRPr="00451797">
        <w:rPr>
          <w:sz w:val="26"/>
          <w:szCs w:val="26"/>
        </w:rPr>
        <w:t xml:space="preserve">. Nerezidentu skaita </w:t>
      </w:r>
      <w:r w:rsidRPr="00451797">
        <w:rPr>
          <w:sz w:val="26"/>
          <w:szCs w:val="26"/>
        </w:rPr>
        <w:lastRenderedPageBreak/>
        <w:t>īpatsvars jauno dzīvokļu tirgū ir 22%, katru mēnesi darījumiem notiekot par kopējo summu virs 3 milj</w:t>
      </w:r>
      <w:r>
        <w:rPr>
          <w:sz w:val="26"/>
          <w:szCs w:val="26"/>
        </w:rPr>
        <w:t>.</w:t>
      </w:r>
      <w:r w:rsidRPr="00451797">
        <w:rPr>
          <w:sz w:val="26"/>
          <w:szCs w:val="26"/>
        </w:rPr>
        <w:t xml:space="preserve"> </w:t>
      </w:r>
      <w:proofErr w:type="spellStart"/>
      <w:r w:rsidRPr="00FB5DB6">
        <w:rPr>
          <w:i/>
          <w:sz w:val="26"/>
          <w:szCs w:val="26"/>
        </w:rPr>
        <w:t>euro</w:t>
      </w:r>
      <w:proofErr w:type="spellEnd"/>
      <w:r w:rsidRPr="00451797">
        <w:rPr>
          <w:sz w:val="26"/>
          <w:szCs w:val="26"/>
        </w:rPr>
        <w:t>.</w:t>
      </w:r>
      <w:r>
        <w:rPr>
          <w:rStyle w:val="FootnoteReference"/>
          <w:sz w:val="26"/>
          <w:szCs w:val="26"/>
        </w:rPr>
        <w:footnoteReference w:id="2"/>
      </w:r>
    </w:p>
    <w:p w:rsidR="000467CF" w:rsidRDefault="000467CF" w:rsidP="005376C0">
      <w:pPr>
        <w:spacing w:after="120"/>
        <w:ind w:firstLine="567"/>
        <w:jc w:val="both"/>
        <w:rPr>
          <w:sz w:val="26"/>
          <w:szCs w:val="26"/>
        </w:rPr>
      </w:pPr>
      <w:r w:rsidRPr="003014A1">
        <w:rPr>
          <w:sz w:val="26"/>
          <w:szCs w:val="26"/>
        </w:rPr>
        <w:t>Dzīvokļu tirgus jaunajos projektos lielā mērā ir atguvis izaugsmi un spējis pārorientēties uz vietējo pieprasījumu. Lai gan ar investīciju programmu saistīto ieguldījumu nek</w:t>
      </w:r>
      <w:r w:rsidR="00BD3A79">
        <w:rPr>
          <w:sz w:val="26"/>
          <w:szCs w:val="26"/>
        </w:rPr>
        <w:t>ustamajos īpašumos apjomi 2016.gada 1.</w:t>
      </w:r>
      <w:r w:rsidRPr="003014A1">
        <w:rPr>
          <w:sz w:val="26"/>
          <w:szCs w:val="26"/>
        </w:rPr>
        <w:t xml:space="preserve">pusgadā veido tikai 26 milj. </w:t>
      </w:r>
      <w:proofErr w:type="spellStart"/>
      <w:r w:rsidRPr="003014A1">
        <w:rPr>
          <w:i/>
          <w:sz w:val="26"/>
          <w:szCs w:val="26"/>
        </w:rPr>
        <w:t>euro</w:t>
      </w:r>
      <w:proofErr w:type="spellEnd"/>
      <w:r w:rsidRPr="003014A1">
        <w:rPr>
          <w:sz w:val="26"/>
          <w:szCs w:val="26"/>
        </w:rPr>
        <w:t>, apjomu straujā samazināšanās nav dramatiski iespaidojusi nekustamo īpašumu tirgu kopumā.</w:t>
      </w:r>
      <w:r w:rsidRPr="003014A1">
        <w:rPr>
          <w:rStyle w:val="FootnoteReference"/>
          <w:sz w:val="26"/>
          <w:szCs w:val="26"/>
        </w:rPr>
        <w:footnoteReference w:id="3"/>
      </w:r>
    </w:p>
    <w:p w:rsidR="000467CF" w:rsidRPr="003014A1" w:rsidRDefault="000467CF" w:rsidP="005376C0">
      <w:pPr>
        <w:spacing w:after="120"/>
        <w:ind w:firstLine="567"/>
        <w:jc w:val="both"/>
        <w:rPr>
          <w:sz w:val="26"/>
          <w:szCs w:val="26"/>
        </w:rPr>
      </w:pPr>
      <w:r w:rsidRPr="003014A1">
        <w:rPr>
          <w:sz w:val="26"/>
          <w:szCs w:val="26"/>
        </w:rPr>
        <w:t>Jauno mājokļu tirgus 2016.gada 1.pusgadā turpināja uzrādīt stabilu un relatīvi augstu aktivitātes līmeni, taču darījumu kopējā summa jau otro ceturksni pēc kārtas nedaudz samazinās. Pēc trīs ceturkšņus ilguša nozīmīga aktivitātes pieauguma jauno mājokļu pirmreizējā tirgū (projektu attīstītāju realizētie īpašumi) 2016. gads sākās ar nelielu 7% kritumu. Turpretī darījumu skaits otrreizēja tirgū pieauga par 21% un sasniedza augstāko aktivitāti kopš 2014. gada nogales. Darījumu skaita īpatsvars ar dzīvokļiem jaunajos projektos ir pieaudzis no 17% līdz 21%; darījumi ar dzīvokļiem jaunajos projektos</w:t>
      </w:r>
      <w:proofErr w:type="gramStart"/>
      <w:r w:rsidRPr="003014A1">
        <w:rPr>
          <w:sz w:val="26"/>
          <w:szCs w:val="26"/>
        </w:rPr>
        <w:t xml:space="preserve">  </w:t>
      </w:r>
      <w:proofErr w:type="gramEnd"/>
      <w:r w:rsidRPr="003014A1">
        <w:rPr>
          <w:sz w:val="26"/>
          <w:szCs w:val="26"/>
        </w:rPr>
        <w:t>veido 44% no Rīgas dzīvokļu tirgus kopējā apjoma; kopš zemākā tirgus aktivitātes punkta pagājušā gada 1. ceturksnī darījumu skaits ir pieaudzis par 54%; dārgākiem projektiem ar cenu virs 150 000 EUR – kopējie pārdošanas tempi visticamāk neiedrošinās attīstīt jaunus projektus šajā segmentā.</w:t>
      </w:r>
      <w:r w:rsidRPr="003014A1">
        <w:rPr>
          <w:rStyle w:val="FootnoteReference"/>
          <w:sz w:val="26"/>
          <w:szCs w:val="26"/>
        </w:rPr>
        <w:footnoteReference w:id="4"/>
      </w:r>
      <w:r w:rsidRPr="003014A1">
        <w:rPr>
          <w:sz w:val="26"/>
          <w:szCs w:val="26"/>
        </w:rPr>
        <w:t xml:space="preserve"> </w:t>
      </w:r>
    </w:p>
    <w:p w:rsidR="000467CF" w:rsidRPr="003014A1" w:rsidRDefault="000467CF" w:rsidP="005376C0">
      <w:pPr>
        <w:spacing w:after="120"/>
        <w:ind w:firstLine="567"/>
        <w:jc w:val="both"/>
        <w:rPr>
          <w:sz w:val="26"/>
          <w:szCs w:val="26"/>
        </w:rPr>
      </w:pPr>
      <w:r w:rsidRPr="003014A1">
        <w:rPr>
          <w:sz w:val="26"/>
          <w:szCs w:val="26"/>
        </w:rPr>
        <w:t>Vidējās cenas jaunajos projektos saglabājas stabilas visos segmentos – mikrorajonos, centrā un Vecrīgā. Nesen nodoti ekspluatācijā un būvniecības stadijā atrodas vairāki desmiti jauno dzīvokļu nami – palielinās augstvērtīgu mājokļu īpatsvars Rīgas dzīvokļu tirgū. Neskatoties uz tirgus aktivitātes pieaugumu, cenas visticamāk saglabās stabilitāti, jo nav redzami priekšnoteikumi dramatiskām izmaiņām.</w:t>
      </w:r>
      <w:r w:rsidRPr="003014A1">
        <w:rPr>
          <w:rStyle w:val="FootnoteReference"/>
          <w:sz w:val="26"/>
          <w:szCs w:val="26"/>
        </w:rPr>
        <w:footnoteReference w:id="5"/>
      </w:r>
      <w:r w:rsidRPr="003014A1">
        <w:rPr>
          <w:sz w:val="26"/>
          <w:szCs w:val="26"/>
        </w:rPr>
        <w:t xml:space="preserve"> </w:t>
      </w:r>
    </w:p>
    <w:p w:rsidR="0091282C" w:rsidRPr="00451797" w:rsidRDefault="0091282C" w:rsidP="005376C0">
      <w:pPr>
        <w:spacing w:after="120"/>
        <w:ind w:firstLine="567"/>
        <w:jc w:val="both"/>
        <w:rPr>
          <w:sz w:val="26"/>
          <w:szCs w:val="26"/>
        </w:rPr>
      </w:pPr>
      <w:r w:rsidRPr="00451797">
        <w:rPr>
          <w:sz w:val="26"/>
          <w:szCs w:val="26"/>
        </w:rPr>
        <w:t>L</w:t>
      </w:r>
      <w:r w:rsidR="00BD3A79">
        <w:rPr>
          <w:sz w:val="26"/>
          <w:szCs w:val="26"/>
        </w:rPr>
        <w:t>īdzīgi kā 2015.gadā, arī 2016.</w:t>
      </w:r>
      <w:r w:rsidRPr="00451797">
        <w:rPr>
          <w:sz w:val="26"/>
          <w:szCs w:val="26"/>
        </w:rPr>
        <w:t xml:space="preserve">gada sākumā tendences dažādos Rīgas centra dzīvokļa segmentos atšķiras – ja uz vietējo tirgu vērstā segmenta aktivitāte pieaug, tad uz nerezidentu tirgu orientētā – turpina </w:t>
      </w:r>
      <w:proofErr w:type="spellStart"/>
      <w:r w:rsidRPr="00451797">
        <w:rPr>
          <w:sz w:val="26"/>
          <w:szCs w:val="26"/>
        </w:rPr>
        <w:t>stagnēt</w:t>
      </w:r>
      <w:proofErr w:type="spellEnd"/>
      <w:r w:rsidRPr="00451797">
        <w:rPr>
          <w:sz w:val="26"/>
          <w:szCs w:val="26"/>
        </w:rPr>
        <w:t xml:space="preserve">. Uz rezidentiem orientētais centra dzīvokļu tirgus 1. ceturksnī ir piedzīvojis vērā ņemamu kāpumu – par 23% Tuvajā centrā un par 45% Tālajā centrā. Tikmēr ekskluzīvais un uz nerezidentu tirgu vērstais dzīvokļu tirgus Vecrīgā un Klusajā centrā turpina </w:t>
      </w:r>
      <w:proofErr w:type="spellStart"/>
      <w:r w:rsidRPr="00451797">
        <w:rPr>
          <w:sz w:val="26"/>
          <w:szCs w:val="26"/>
        </w:rPr>
        <w:t>stagnēt</w:t>
      </w:r>
      <w:proofErr w:type="spellEnd"/>
      <w:r w:rsidRPr="00451797">
        <w:rPr>
          <w:sz w:val="26"/>
          <w:szCs w:val="26"/>
        </w:rPr>
        <w:t xml:space="preserve"> jau pusotru gadu ar </w:t>
      </w:r>
      <w:r>
        <w:rPr>
          <w:sz w:val="26"/>
          <w:szCs w:val="26"/>
        </w:rPr>
        <w:t>vidēji</w:t>
      </w:r>
      <w:r w:rsidRPr="00451797">
        <w:rPr>
          <w:sz w:val="26"/>
          <w:szCs w:val="26"/>
        </w:rPr>
        <w:t xml:space="preserve"> četriem līdz sešiem darījumiem mēnesī. Pirmajā ceturksnī daļēji darījumu aktivitātes pieaugumu Tālajā centrā nodrošināja ārvalstu investora dzīvokļu portfeļa iegāde Krišjāņa Barona ielā. Pateicoties šim darījumam, nerezidentu darījumu skaits</w:t>
      </w:r>
      <w:r w:rsidR="00BD3A79">
        <w:rPr>
          <w:sz w:val="26"/>
          <w:szCs w:val="26"/>
        </w:rPr>
        <w:t xml:space="preserve"> centra dzīvokļu segmentā 2016.</w:t>
      </w:r>
      <w:r w:rsidRPr="00451797">
        <w:rPr>
          <w:sz w:val="26"/>
          <w:szCs w:val="26"/>
        </w:rPr>
        <w:t xml:space="preserve">gada martā bija 40%, salīdzinot ar </w:t>
      </w:r>
      <w:r>
        <w:rPr>
          <w:sz w:val="26"/>
          <w:szCs w:val="26"/>
        </w:rPr>
        <w:t xml:space="preserve">vidēji </w:t>
      </w:r>
      <w:r w:rsidRPr="00451797">
        <w:rPr>
          <w:sz w:val="26"/>
          <w:szCs w:val="26"/>
        </w:rPr>
        <w:t>10-14% citos mēnešos</w:t>
      </w:r>
      <w:r>
        <w:rPr>
          <w:sz w:val="26"/>
          <w:szCs w:val="26"/>
        </w:rPr>
        <w:t>. Neskatoties uz to,</w:t>
      </w:r>
      <w:r w:rsidRPr="00451797">
        <w:rPr>
          <w:sz w:val="26"/>
          <w:szCs w:val="26"/>
        </w:rPr>
        <w:t xml:space="preserve"> nerezidentu īpatsvars turpina sarukt. Tirgū vērojama tendence, ka pircēji</w:t>
      </w:r>
      <w:r>
        <w:rPr>
          <w:sz w:val="26"/>
          <w:szCs w:val="26"/>
        </w:rPr>
        <w:t xml:space="preserve"> – </w:t>
      </w:r>
      <w:r w:rsidRPr="00451797">
        <w:rPr>
          <w:sz w:val="26"/>
          <w:szCs w:val="26"/>
        </w:rPr>
        <w:t>gan rezidenti, gan nerezidenti</w:t>
      </w:r>
      <w:r>
        <w:rPr>
          <w:sz w:val="26"/>
          <w:szCs w:val="26"/>
        </w:rPr>
        <w:t xml:space="preserve"> –</w:t>
      </w:r>
      <w:r w:rsidRPr="00451797">
        <w:rPr>
          <w:sz w:val="26"/>
          <w:szCs w:val="26"/>
        </w:rPr>
        <w:t xml:space="preserve"> arvien lielāku uzmanību pievērš nekustamā īpašuma nodokļa lielumam, kas atsevišķās apkaimēs </w:t>
      </w:r>
      <w:r>
        <w:rPr>
          <w:sz w:val="26"/>
          <w:szCs w:val="26"/>
        </w:rPr>
        <w:t xml:space="preserve">ar lielāku ekskluzīvo nekustamo īpašumu īpatsvaru </w:t>
      </w:r>
      <w:r w:rsidRPr="00451797">
        <w:rPr>
          <w:sz w:val="26"/>
          <w:szCs w:val="26"/>
        </w:rPr>
        <w:t>sāk veidot būtisku īpašuma lietošanas izdevumu daļu.</w:t>
      </w:r>
      <w:r>
        <w:rPr>
          <w:rStyle w:val="FootnoteReference"/>
          <w:sz w:val="26"/>
          <w:szCs w:val="26"/>
        </w:rPr>
        <w:footnoteReference w:id="6"/>
      </w:r>
      <w:r w:rsidRPr="00451797">
        <w:rPr>
          <w:sz w:val="26"/>
          <w:szCs w:val="26"/>
        </w:rPr>
        <w:t xml:space="preserve"> </w:t>
      </w:r>
    </w:p>
    <w:p w:rsidR="0091282C" w:rsidRPr="00451797" w:rsidRDefault="00BD3A79" w:rsidP="005376C0">
      <w:pPr>
        <w:spacing w:after="120"/>
        <w:ind w:firstLine="567"/>
        <w:jc w:val="both"/>
        <w:rPr>
          <w:sz w:val="26"/>
          <w:szCs w:val="26"/>
        </w:rPr>
      </w:pPr>
      <w:r>
        <w:rPr>
          <w:sz w:val="26"/>
          <w:szCs w:val="26"/>
        </w:rPr>
        <w:lastRenderedPageBreak/>
        <w:t>2016.</w:t>
      </w:r>
      <w:r w:rsidR="0091282C" w:rsidRPr="00451797">
        <w:rPr>
          <w:sz w:val="26"/>
          <w:szCs w:val="26"/>
        </w:rPr>
        <w:t>gada pirmajā ceturksnī Jūrmalas dzīvokļu tirgus aktivitāte pieauga par 5% ar caurmērā 60 darījumiem mēnesī, bet kopējā darījumu summa ir 4 miljoni EUR, kas ir novērojamā tirgus aktivitāte pēc Imigrācijas likuma izmaiņu stāšanās spēkā 2014. gada rudenī. Jūrmalas jauno projektu tirgū vienlīdz daudz darījumu notiek ar dzīvokļiem vērtībā līdz Imigrācijas likumā noteiktā 250 000 EUR ieguldījuma sliekšņa Termiņuzturēšanās atļaujas saņemšanai, gan virs tā.</w:t>
      </w:r>
      <w:r w:rsidR="0091282C">
        <w:rPr>
          <w:rStyle w:val="FootnoteReference"/>
          <w:sz w:val="26"/>
          <w:szCs w:val="26"/>
        </w:rPr>
        <w:footnoteReference w:id="7"/>
      </w:r>
    </w:p>
    <w:p w:rsidR="0091282C" w:rsidRPr="00451797" w:rsidRDefault="0091282C" w:rsidP="005376C0">
      <w:pPr>
        <w:spacing w:after="120"/>
        <w:ind w:firstLine="567"/>
        <w:jc w:val="both"/>
        <w:rPr>
          <w:sz w:val="26"/>
          <w:szCs w:val="26"/>
        </w:rPr>
      </w:pPr>
      <w:r w:rsidRPr="00C90073">
        <w:rPr>
          <w:sz w:val="26"/>
          <w:szCs w:val="26"/>
        </w:rPr>
        <w:t xml:space="preserve">TUA saņemšanai nepieciešamā minimālā ieguldījuma apmēra maiņa nekustamā īpašuma iegādes gadījumā, kas stājās spēkā 2014.gada 1.septembrī, ir samazinājusi darījumu skaitu ārpus Rīgas un Pierīgas (Jūrmala un Babītes, Mārupes, Olaines, Ķekavas, Baldones, Salaspils, Ikšķiles, Stopiņu, Ropažu, Garkalnes, Ādažu, Carnikavas un Saulkrastu novadi). 2015.gadā apstiprināti 32 TUA pieteikumi (13%), kur nekustamais īpašums iegādāts ārpus Rīgas un Pierīgas, salīdzinot ar 415 darījumiem </w:t>
      </w:r>
      <w:r w:rsidR="00BD3A79">
        <w:rPr>
          <w:sz w:val="26"/>
          <w:szCs w:val="26"/>
        </w:rPr>
        <w:t xml:space="preserve">2014.gadā (18,8%). 2016.gada </w:t>
      </w:r>
      <w:proofErr w:type="spellStart"/>
      <w:r w:rsidR="00BD3A79">
        <w:rPr>
          <w:sz w:val="26"/>
          <w:szCs w:val="26"/>
        </w:rPr>
        <w:t>I.</w:t>
      </w:r>
      <w:r w:rsidRPr="00C90073">
        <w:rPr>
          <w:sz w:val="26"/>
          <w:szCs w:val="26"/>
        </w:rPr>
        <w:t>pusgadā</w:t>
      </w:r>
      <w:proofErr w:type="spellEnd"/>
      <w:r w:rsidRPr="00C90073">
        <w:rPr>
          <w:sz w:val="26"/>
          <w:szCs w:val="26"/>
        </w:rPr>
        <w:t xml:space="preserve"> apstiprināti tikai 5 TUA pieteikumi, kas saistīti ar NĪ iegādes darījumiem ārpus Rīgas un Pierīgas.</w:t>
      </w:r>
      <w:r>
        <w:rPr>
          <w:sz w:val="26"/>
          <w:szCs w:val="26"/>
        </w:rPr>
        <w:t xml:space="preserve"> S</w:t>
      </w:r>
      <w:r w:rsidRPr="00C90073">
        <w:rPr>
          <w:sz w:val="26"/>
          <w:szCs w:val="26"/>
        </w:rPr>
        <w:t>aglabājas iepriekšējos gados novērotā tendence, ka galvenokārt īpašums atrodas Rīgā, Jūrmalā un tajā Rīgas plānošanas reģiona teritorijā, kas izvietota tuvāk Rīgai un Jūrmalai, tikmēr pārējos plānošanas reģionos un attālākajā Rīgas plānošanas reģiona teritorijā nekustamo īpašumu iegāde 2015.gadā un 2016.gadā faktiski ir apstājusies. Vienlaikus jāmin, ka arī pirms grozījumiem Imigrācijas likumā, kas stājās spēkā 2014.gada 1.septembrī ārpus Rīgas un Pierīgas aktivitāte, ar atsevišķiem izņēmumiem, nebija būtiska. Vismazāk īpašumu iegādāts Latgales un Kurzemes plānošanas reģionos</w:t>
      </w:r>
      <w:r w:rsidRPr="00647F0E">
        <w:rPr>
          <w:sz w:val="26"/>
          <w:szCs w:val="26"/>
        </w:rPr>
        <w:t xml:space="preserve">. Viena nekustamā īpašuma pirkuma darījuma vidējā vērtība Rīgā un Jūrmalā pārsniedz Imigrācijas likumā noteikto minimālo darījuma vērtību un ir vidēji 300 tūkst. </w:t>
      </w:r>
      <w:proofErr w:type="spellStart"/>
      <w:r w:rsidRPr="00647F0E">
        <w:rPr>
          <w:i/>
          <w:sz w:val="26"/>
          <w:szCs w:val="26"/>
        </w:rPr>
        <w:t>euro</w:t>
      </w:r>
      <w:proofErr w:type="spellEnd"/>
      <w:r w:rsidRPr="00647F0E">
        <w:rPr>
          <w:sz w:val="26"/>
          <w:szCs w:val="26"/>
        </w:rPr>
        <w:t>, kamēr pārējās administratīvajās teritorijās, izņemot atsevišķus gadījumus, ir tuva minimālajai darījuma vērtībai</w:t>
      </w:r>
    </w:p>
    <w:p w:rsidR="0091282C" w:rsidRPr="00C90073" w:rsidRDefault="0091282C" w:rsidP="005376C0">
      <w:pPr>
        <w:spacing w:after="120"/>
        <w:ind w:firstLine="567"/>
        <w:jc w:val="both"/>
        <w:rPr>
          <w:color w:val="000000"/>
          <w:sz w:val="26"/>
          <w:szCs w:val="26"/>
        </w:rPr>
      </w:pPr>
      <w:r w:rsidRPr="00C90073">
        <w:rPr>
          <w:color w:val="000000"/>
          <w:sz w:val="26"/>
          <w:szCs w:val="26"/>
        </w:rPr>
        <w:t xml:space="preserve">Saskaņā ar VZD sniegto informāciju, kopējais nekustamā īpašuma objektu skaits, pret kuriem ir izsniegtas TUA, ir aptuveni 8 000. No tiem aptuveni 78% ir dzīvokļi daudzdzīvokļu mājās, 16% savrupmājās un tikai 6% citos nekustamā īpašuma objektos. </w:t>
      </w:r>
    </w:p>
    <w:p w:rsidR="0091282C" w:rsidRPr="00C90073" w:rsidRDefault="0091282C" w:rsidP="005376C0">
      <w:pPr>
        <w:spacing w:after="120"/>
        <w:ind w:firstLine="567"/>
        <w:jc w:val="both"/>
        <w:rPr>
          <w:color w:val="000000"/>
          <w:sz w:val="26"/>
          <w:szCs w:val="26"/>
        </w:rPr>
      </w:pPr>
      <w:r w:rsidRPr="00C90073">
        <w:rPr>
          <w:color w:val="000000"/>
          <w:sz w:val="26"/>
          <w:szCs w:val="26"/>
        </w:rPr>
        <w:t>Ārvalstnieku īpašumā Latvijā ir 14% dzīvokļu un 2,5% savrupmāju. Jāatzīmē, ka daļa no ārvalstniekiem</w:t>
      </w:r>
      <w:proofErr w:type="gramStart"/>
      <w:r w:rsidRPr="00C90073">
        <w:rPr>
          <w:color w:val="000000"/>
          <w:sz w:val="26"/>
          <w:szCs w:val="26"/>
        </w:rPr>
        <w:t xml:space="preserve">  </w:t>
      </w:r>
      <w:proofErr w:type="gramEnd"/>
      <w:r w:rsidRPr="00C90073">
        <w:rPr>
          <w:color w:val="000000"/>
          <w:sz w:val="26"/>
          <w:szCs w:val="26"/>
        </w:rPr>
        <w:t xml:space="preserve">faktiski ir Latvijas rezidenti, kuri ir pieņēmuši Krievijas pilsonību pārsvarā dēļ Krievijas Federācijā noteiktā agrāka pensionēšanās vecuma. Ārvalstnieku kategorijā ietilpst arī ES pilsoņi. </w:t>
      </w:r>
    </w:p>
    <w:p w:rsidR="0091282C" w:rsidRPr="00C90073" w:rsidRDefault="0091282C" w:rsidP="005376C0">
      <w:pPr>
        <w:spacing w:after="120"/>
        <w:ind w:firstLine="567"/>
        <w:jc w:val="both"/>
        <w:rPr>
          <w:color w:val="000000"/>
          <w:sz w:val="26"/>
          <w:szCs w:val="26"/>
        </w:rPr>
      </w:pPr>
      <w:r w:rsidRPr="00C90073">
        <w:rPr>
          <w:color w:val="000000"/>
          <w:sz w:val="26"/>
          <w:szCs w:val="26"/>
        </w:rPr>
        <w:t>Dzīvokļu skaits, pamatojoties uz kuru iegādi ārvalstnieki ir saņēmuši TUA, ir aptuveni 1% no kopējā dzīvokļu skaita valstī. Jauno mājokļu segmentā šādi dzīvokļi sastāda 13%, veco mājokļu segmentā – 0,3%, bet savrupmāju segmentā – 0,4%. Augstākais šāda tipa nekustamo īpašumu īpatsvars ir jaunajos projektos Jūrmalā, Ozolnieku novadā un Saulkrastu novadā. Virs vidējā rādītāja šāda tipa īpašumu daļa ir arī novados, kas robežojas ar Rīgu. Tā</w:t>
      </w:r>
      <w:proofErr w:type="gramStart"/>
      <w:r w:rsidRPr="00C90073">
        <w:rPr>
          <w:color w:val="000000"/>
          <w:sz w:val="26"/>
          <w:szCs w:val="26"/>
        </w:rPr>
        <w:t xml:space="preserve"> piemēram</w:t>
      </w:r>
      <w:proofErr w:type="gramEnd"/>
      <w:r w:rsidRPr="00C90073">
        <w:rPr>
          <w:color w:val="000000"/>
          <w:sz w:val="26"/>
          <w:szCs w:val="26"/>
        </w:rPr>
        <w:t xml:space="preserve">, Mārupes novadā 9% dzīvokļu pieder ārvalstniekiem, bet dzīvokļu skaits par kuru iegādi ir izsniegtas TUA, ir 2%. Līdzīga situācija novērojama savrupmāju segmentā, kurā ārvalstniekiem pieder 4,2% savrupmāju, bet 2% savrupmāju pieder ārvalstniekiem, kuri ir saņēmuši TUA par konkrēto nekustamo īpašumu iegādi. </w:t>
      </w:r>
    </w:p>
    <w:p w:rsidR="0091282C" w:rsidRPr="00C90073" w:rsidRDefault="0091282C" w:rsidP="005376C0">
      <w:pPr>
        <w:spacing w:after="120"/>
        <w:ind w:firstLine="567"/>
        <w:jc w:val="both"/>
        <w:rPr>
          <w:color w:val="000000"/>
          <w:sz w:val="26"/>
          <w:szCs w:val="26"/>
        </w:rPr>
      </w:pPr>
      <w:r w:rsidRPr="00C90073">
        <w:rPr>
          <w:color w:val="000000"/>
          <w:sz w:val="26"/>
          <w:szCs w:val="26"/>
        </w:rPr>
        <w:lastRenderedPageBreak/>
        <w:t xml:space="preserve">Saskaņā ar VZD sniegto informāciju, ar TUA saņemšanu saistītie investori, iegādājoties nekustamo īpašumu, priekšroku Rīgas un Jūrmalas pilsētām. Vienlaikus, pieprasījums pēc dzīvokļiem iepriekš minētajās pilsētās nav viendabīgs. Lielākais pieprasījums Rīgā un Jūrmalā ir pēc dzīvokļiem pilsētu centros: Rīgā Klusajā centrā un Vecrīgā, bet Jūrmalā – Majoros, Bulduros, Dzintaros un pirmajā apbūves līnijā pie jūras. Gan Rīgā, gan Jūrmalā ar mērķi pēc tam pieprasīt TUA, tiek pirkti dzīvokļi galvenokārt jaunajos projektos praktiski visā pilsētu teritorijā. Atsevišķos rajonos starp pircējiem jaunajos projektos nerezidentu skaits pārsniedz rezidentu skaitu. Īpaši izteikti tas novērojams Jūrmalā, kur starp nekustamā īpašuma ieguvējiem ir liels Krievijas Federācijas un citu NVS valstu pilsoņu īpatsvars. Līdzīga situācija ir arī atsevišķos jaunajos projektos Ozolnieku novadā un Cēsīs, kur pircēji un īpašnieki ir Ķīnas pilsoņi. </w:t>
      </w:r>
    </w:p>
    <w:p w:rsidR="0091282C" w:rsidRPr="00C90073" w:rsidRDefault="0091282C" w:rsidP="005376C0">
      <w:pPr>
        <w:spacing w:after="120"/>
        <w:ind w:firstLine="567"/>
        <w:jc w:val="both"/>
        <w:rPr>
          <w:color w:val="000000"/>
          <w:sz w:val="26"/>
          <w:szCs w:val="26"/>
        </w:rPr>
      </w:pPr>
      <w:r w:rsidRPr="00C90073">
        <w:rPr>
          <w:color w:val="000000"/>
          <w:sz w:val="26"/>
          <w:szCs w:val="26"/>
        </w:rPr>
        <w:t>Vienlaikus jāmin, ka sākot ar 2014.gada otro pusi, nekustamo īpašumu pirkšanas-pārdošanas darījumos samazinājies ārvalstnieku pircēju skaits un īpatsvars. Būtiskākie samazinājumi ir jauno mājokļu projektu segmentā. VZD norāda, ka šī samazinājuma pamatā ir divi būtiski tirgu ietekmējoši faktori:</w:t>
      </w:r>
    </w:p>
    <w:p w:rsidR="0091282C" w:rsidRPr="00C90073" w:rsidRDefault="0091282C" w:rsidP="00157BF8">
      <w:pPr>
        <w:pStyle w:val="ListParagraph"/>
        <w:numPr>
          <w:ilvl w:val="0"/>
          <w:numId w:val="2"/>
        </w:numPr>
        <w:spacing w:after="120" w:line="240" w:lineRule="auto"/>
        <w:ind w:left="0" w:firstLine="567"/>
        <w:jc w:val="both"/>
        <w:rPr>
          <w:rFonts w:ascii="Times New Roman" w:hAnsi="Times New Roman"/>
          <w:color w:val="000000"/>
          <w:sz w:val="26"/>
          <w:szCs w:val="26"/>
        </w:rPr>
      </w:pPr>
      <w:r w:rsidRPr="00C90073">
        <w:rPr>
          <w:rFonts w:ascii="Times New Roman" w:hAnsi="Times New Roman"/>
          <w:color w:val="000000"/>
          <w:sz w:val="26"/>
          <w:szCs w:val="26"/>
        </w:rPr>
        <w:t>2014.gada 1.septembrī spēkā stājušies grozījumi Imigrācijas likumā, kas paredz lielāku minimālo investīciju summu nekustamā īpašuma iegādes gadījumā. Vienlaikus šīs izmaiņas nevar būt galvenais iemesls darījumu skaita kritumā dārgākajos nekustamā īpašuma segmentos, jo, piemēram, Jūrmalā, arī līdz tam vidējā darījumu summa pārsniedza ar 2014.gada 1.septembri n</w:t>
      </w:r>
      <w:r w:rsidR="00157BF8">
        <w:rPr>
          <w:rFonts w:ascii="Times New Roman" w:hAnsi="Times New Roman"/>
          <w:color w:val="000000"/>
          <w:sz w:val="26"/>
          <w:szCs w:val="26"/>
        </w:rPr>
        <w:t>oteikto minimālo darījuma summu;</w:t>
      </w:r>
      <w:r w:rsidRPr="00C90073">
        <w:rPr>
          <w:rFonts w:ascii="Times New Roman" w:hAnsi="Times New Roman"/>
          <w:color w:val="000000"/>
          <w:sz w:val="26"/>
          <w:szCs w:val="26"/>
        </w:rPr>
        <w:t xml:space="preserve"> </w:t>
      </w:r>
    </w:p>
    <w:p w:rsidR="0091282C" w:rsidRPr="00C90073" w:rsidRDefault="00157BF8" w:rsidP="00157BF8">
      <w:pPr>
        <w:pStyle w:val="ListParagraph"/>
        <w:numPr>
          <w:ilvl w:val="0"/>
          <w:numId w:val="2"/>
        </w:numPr>
        <w:spacing w:after="120" w:line="240" w:lineRule="auto"/>
        <w:ind w:left="0" w:firstLine="567"/>
        <w:jc w:val="both"/>
        <w:rPr>
          <w:rFonts w:ascii="Times New Roman" w:hAnsi="Times New Roman"/>
          <w:color w:val="000000"/>
          <w:sz w:val="26"/>
          <w:szCs w:val="26"/>
        </w:rPr>
      </w:pPr>
      <w:r>
        <w:rPr>
          <w:rFonts w:ascii="Times New Roman" w:hAnsi="Times New Roman"/>
          <w:color w:val="000000"/>
          <w:sz w:val="26"/>
          <w:szCs w:val="26"/>
        </w:rPr>
        <w:t>e</w:t>
      </w:r>
      <w:r w:rsidR="0091282C" w:rsidRPr="00C90073">
        <w:rPr>
          <w:rFonts w:ascii="Times New Roman" w:hAnsi="Times New Roman"/>
          <w:color w:val="000000"/>
          <w:sz w:val="26"/>
          <w:szCs w:val="26"/>
        </w:rPr>
        <w:t xml:space="preserve">konomiskā krīze Krievijā. Ņemot vērā to, ka lielākā daļa nekustamā īpašuma pircēju ir no Krievijas, līdz ar ekonomisko krīzi Krievijā, vērojams arī potenciālo pircēju pirktspējas kritums. </w:t>
      </w:r>
    </w:p>
    <w:p w:rsidR="0091282C" w:rsidRPr="00C90073" w:rsidRDefault="0091282C" w:rsidP="00157BF8">
      <w:pPr>
        <w:spacing w:after="120"/>
        <w:ind w:firstLine="709"/>
        <w:jc w:val="both"/>
        <w:rPr>
          <w:color w:val="000000"/>
          <w:sz w:val="26"/>
          <w:szCs w:val="26"/>
        </w:rPr>
      </w:pPr>
      <w:r w:rsidRPr="00C90073">
        <w:rPr>
          <w:color w:val="000000"/>
          <w:sz w:val="26"/>
          <w:szCs w:val="26"/>
        </w:rPr>
        <w:t xml:space="preserve">VZD norāda, ka ņemot vērā augsto nerezidentu īpatsvaru atsevišķos jaunajos projektos Rīgā un Jūrmalā, var apgalvot, ka šāda veida nekustamo īpašumu segments ir pakļauts ārvalstu, galvenokārt Krievijas ekonomiskajam un politiskajam riskam, kas var izsaukt cenu svārstības nākotnē. Līdz ar to, var apgalvot, ka Imigrācijas likuma normas, kas dod iespēju saņemt TUA par nekustamā īpašuma iegādi, ietekmē nekustamā īpašuma tirgu Rīgā un Jūrmalā – centrā un jaunajos projektos neatkarīgi no to atrašanās vietas. Pateicoties tam, ka līdz ar iepriekš minēto tiesību normu spēkā stāšanos konkrēto segmentu pārdevēji paaugstināja cenas orientējot piedāvājumu uz nerezidentiem, Latvijas rezidentiem šis segments kļuva praktiski nepieejams. </w:t>
      </w:r>
    </w:p>
    <w:p w:rsidR="0091282C" w:rsidRDefault="0091282C" w:rsidP="005376C0">
      <w:pPr>
        <w:spacing w:after="120"/>
        <w:jc w:val="both"/>
        <w:rPr>
          <w:color w:val="000000"/>
          <w:sz w:val="26"/>
          <w:szCs w:val="26"/>
        </w:rPr>
      </w:pPr>
      <w:r w:rsidRPr="00C90073">
        <w:rPr>
          <w:color w:val="000000"/>
          <w:sz w:val="26"/>
          <w:szCs w:val="26"/>
        </w:rPr>
        <w:tab/>
        <w:t xml:space="preserve">Kadastrālā vērtība tiek balstīta uz nekustamā īpašuma tirgus informāciju, tirgus datu analīzi, maksimāli tuvinot kadastrālo vērtību tirgus vērtībai. Pircēju-ārvalstnieku darījumi netiek izslēgti no kopējās analīzes un kadastrālās vērtības aprēķina. Tajā pašā laikā, ja novērojamas cenu atšķirības darījumos, kur pircējs ir ārvalstnieks un Latvijas rezidents, darījumi tiek uzskatīti par netipiskiem un netiek izmantoti kadastrālo vērtību noteikšanā. Gadījumā, ja kāda persona, arī ārvalstnieks, veic vienu darījumu par cenu, kas neraksturīga attiecīgam tirgus rajonam un objektam, šāds darījums arī tiek uzskatīts par netipisku un tirgus un kadastrālo vērtību neietekmē. Taču, ja kādā tirgus rajonā pieaug pieprasījums arī ārvalstnieku dēļ, kam seko piedāvājuma un darījumu cenu kāpums, tad attiecīgi šajā rajonā pieaug tirgus vērtības un būtu jāpieaug kadastrālajām vērtībām. Ņemot vērā to, ka ārvalstnieku mērķa objekti ir jaunajos mājokļu projektos, kā arī Rīgas un Jūrmalas centros, šajos tirgus rajonos pieaug tirgus </w:t>
      </w:r>
      <w:r w:rsidRPr="00C90073">
        <w:rPr>
          <w:color w:val="000000"/>
          <w:sz w:val="26"/>
          <w:szCs w:val="26"/>
        </w:rPr>
        <w:lastRenderedPageBreak/>
        <w:t xml:space="preserve">vērtības. Taču kadastrālo vērtību pieaugums gaidāms tikai no 2018.gada, kad spēkā stāsies jauna kadastrālo vērtību bāze, kura tuvināta tirgus vērtībai, uzlabojot vērtēšanas modeļus. Līdz šim esošie vērtēšanas modeļi nenodrošināja atsevišķu jauno mājokļu projektu un ekskluzīvo zonu izdalīšanu, līdz ar to nerezidentu darījumu tendences kadastrālo vērtību praktiski neietekmēja. </w:t>
      </w:r>
    </w:p>
    <w:p w:rsidR="0091282C" w:rsidRPr="00647F0E" w:rsidRDefault="0091282C" w:rsidP="005376C0">
      <w:pPr>
        <w:spacing w:after="120"/>
        <w:ind w:firstLine="567"/>
        <w:jc w:val="both"/>
        <w:rPr>
          <w:sz w:val="26"/>
          <w:szCs w:val="26"/>
        </w:rPr>
      </w:pPr>
      <w:r w:rsidRPr="00647F0E">
        <w:rPr>
          <w:sz w:val="26"/>
          <w:szCs w:val="26"/>
        </w:rPr>
        <w:t xml:space="preserve">Saskaņā ar VZD sniegto informāciju, vislielākais ārvalstnieku-privātmāju īpašnieku īpatsvars ir Jūrmalā (10,3%), Babītes novadā (9,6%), Daugavpilī (8,7%), Rucavas novadā (8,7%), Garkalnes novadā (6,6%), Saulkrastu novadā (4,8%), Olaines novadā (4,4%), Carnikavas novadā (4,4%), Mārupes novadā (4,2%) un Rīgā (4,2%). </w:t>
      </w:r>
    </w:p>
    <w:p w:rsidR="0091282C" w:rsidRPr="00647F0E" w:rsidRDefault="0091282C" w:rsidP="005376C0">
      <w:pPr>
        <w:spacing w:after="120"/>
        <w:ind w:firstLine="567"/>
        <w:jc w:val="both"/>
        <w:rPr>
          <w:sz w:val="26"/>
          <w:szCs w:val="26"/>
        </w:rPr>
      </w:pPr>
      <w:r w:rsidRPr="00647F0E">
        <w:rPr>
          <w:color w:val="000000"/>
          <w:sz w:val="26"/>
          <w:szCs w:val="26"/>
        </w:rPr>
        <w:t>Ņemot vērā datus par ārvalstnieku veikto darījumu skaitu, var secināt, ka ne visos gadījumos ārvalstnieki, kas iegādājušies nekustamo īpašumu Latvijā, ir vērsušies ar lūgumu piešķirt TUA.</w:t>
      </w:r>
    </w:p>
    <w:p w:rsidR="0091282C" w:rsidRDefault="0091282C" w:rsidP="005376C0">
      <w:pPr>
        <w:spacing w:after="120"/>
        <w:ind w:firstLine="567"/>
        <w:jc w:val="both"/>
        <w:rPr>
          <w:sz w:val="26"/>
          <w:szCs w:val="26"/>
        </w:rPr>
      </w:pPr>
      <w:r w:rsidRPr="00AF4610">
        <w:rPr>
          <w:color w:val="000000"/>
          <w:sz w:val="26"/>
          <w:szCs w:val="26"/>
        </w:rPr>
        <w:t xml:space="preserve">Vienlaikus jāatzīmē, ka novērojama netieša TUA saņēmēju ietekme uz tautsaimniecību, viņiem un viņu ģimenes locekļiem iesaistoties uzņēmējdarbībā Latvijā. </w:t>
      </w:r>
      <w:r w:rsidRPr="00AF4610">
        <w:rPr>
          <w:sz w:val="26"/>
          <w:szCs w:val="26"/>
        </w:rPr>
        <w:t>Daļa no nerezidentiem (vai to ģimenes locekļi), kas saņēmuši TUA iegādājoties nekustamo īpašumu Latvijā, veic saimniecisko darbību. Šādi nerezidenti ieņem kādu amatu (valdes loceklis vai prokūrists) 590 Latvijā reģistrētos uzņēmumos</w:t>
      </w:r>
      <w:r>
        <w:rPr>
          <w:sz w:val="26"/>
          <w:szCs w:val="26"/>
        </w:rPr>
        <w:t xml:space="preserve">. </w:t>
      </w:r>
    </w:p>
    <w:p w:rsidR="0091282C" w:rsidRPr="00102C71" w:rsidRDefault="0091282C" w:rsidP="005376C0">
      <w:pPr>
        <w:spacing w:after="120"/>
        <w:ind w:firstLine="567"/>
        <w:jc w:val="both"/>
        <w:rPr>
          <w:sz w:val="26"/>
          <w:szCs w:val="26"/>
          <w:highlight w:val="yellow"/>
        </w:rPr>
      </w:pPr>
      <w:r>
        <w:rPr>
          <w:sz w:val="26"/>
          <w:szCs w:val="26"/>
        </w:rPr>
        <w:t>S</w:t>
      </w:r>
      <w:r w:rsidRPr="00AF4610">
        <w:rPr>
          <w:sz w:val="26"/>
          <w:szCs w:val="26"/>
        </w:rPr>
        <w:t>askaņā ar VID datiem,</w:t>
      </w:r>
      <w:r>
        <w:rPr>
          <w:sz w:val="26"/>
          <w:szCs w:val="26"/>
        </w:rPr>
        <w:t xml:space="preserve"> uzņēmumi, kuros TUA saņēmēji (pieteikuma iesniedzēji), kuriem kā TUA saņemšanas iemesls norādīta nekustamā īpašuma iegāde, ieņem kādu amatu (valdes loceklis vai prokūrists)</w:t>
      </w:r>
      <w:r w:rsidRPr="00AF4610">
        <w:rPr>
          <w:sz w:val="26"/>
          <w:szCs w:val="26"/>
        </w:rPr>
        <w:t xml:space="preserve"> kopumā </w:t>
      </w:r>
      <w:r w:rsidRPr="0035609A">
        <w:rPr>
          <w:sz w:val="26"/>
          <w:szCs w:val="26"/>
        </w:rPr>
        <w:t xml:space="preserve">2014.gadā ir iemaksājuši valsts budžetā nodokļus (atskaitot no valsts budžeta atmaksātos nodokļus) 27,57 milj. </w:t>
      </w:r>
      <w:proofErr w:type="spellStart"/>
      <w:r w:rsidRPr="0035609A">
        <w:rPr>
          <w:i/>
          <w:sz w:val="26"/>
          <w:szCs w:val="26"/>
        </w:rPr>
        <w:t>euro</w:t>
      </w:r>
      <w:proofErr w:type="spellEnd"/>
      <w:r w:rsidRPr="0035609A">
        <w:rPr>
          <w:sz w:val="26"/>
          <w:szCs w:val="26"/>
        </w:rPr>
        <w:t xml:space="preserve"> apmērā, bet 2015.gadā 28,3 milj. </w:t>
      </w:r>
      <w:proofErr w:type="spellStart"/>
      <w:r w:rsidRPr="0035609A">
        <w:rPr>
          <w:i/>
          <w:sz w:val="26"/>
          <w:szCs w:val="26"/>
        </w:rPr>
        <w:t>euro</w:t>
      </w:r>
      <w:proofErr w:type="spellEnd"/>
      <w:r w:rsidR="00BD3A79">
        <w:rPr>
          <w:sz w:val="26"/>
          <w:szCs w:val="26"/>
        </w:rPr>
        <w:t xml:space="preserve"> apmērā. 2016.</w:t>
      </w:r>
      <w:r w:rsidRPr="0035609A">
        <w:rPr>
          <w:sz w:val="26"/>
          <w:szCs w:val="26"/>
        </w:rPr>
        <w:t xml:space="preserve">gada 1.pusgadā šādu nomaksāto nodokļu apmērs ir 17,7 milj. </w:t>
      </w:r>
      <w:proofErr w:type="spellStart"/>
      <w:r w:rsidRPr="0035609A">
        <w:rPr>
          <w:i/>
          <w:sz w:val="26"/>
          <w:szCs w:val="26"/>
        </w:rPr>
        <w:t>euro</w:t>
      </w:r>
      <w:proofErr w:type="spellEnd"/>
      <w:r w:rsidRPr="0035609A">
        <w:rPr>
          <w:sz w:val="26"/>
          <w:szCs w:val="26"/>
        </w:rPr>
        <w:t xml:space="preserve">. Jāņem vērā, ka nozīmīgu daļu no iepriekš minētajām iemaksām valsts budžetā ir veikuši daži uzņēmumi, </w:t>
      </w:r>
      <w:proofErr w:type="gramStart"/>
      <w:r w:rsidRPr="0035609A">
        <w:rPr>
          <w:sz w:val="26"/>
          <w:szCs w:val="26"/>
        </w:rPr>
        <w:t>kā piemēram</w:t>
      </w:r>
      <w:proofErr w:type="gramEnd"/>
      <w:r w:rsidRPr="0035609A">
        <w:rPr>
          <w:sz w:val="26"/>
          <w:szCs w:val="26"/>
        </w:rPr>
        <w:t xml:space="preserve">, AS Olainfarm (5,7 milj. </w:t>
      </w:r>
      <w:proofErr w:type="spellStart"/>
      <w:r w:rsidRPr="0035609A">
        <w:rPr>
          <w:i/>
          <w:sz w:val="26"/>
          <w:szCs w:val="26"/>
        </w:rPr>
        <w:t>euro</w:t>
      </w:r>
      <w:proofErr w:type="spellEnd"/>
      <w:r w:rsidRPr="0035609A">
        <w:rPr>
          <w:i/>
          <w:sz w:val="26"/>
          <w:szCs w:val="26"/>
        </w:rPr>
        <w:t xml:space="preserve"> </w:t>
      </w:r>
      <w:r w:rsidRPr="0035609A">
        <w:rPr>
          <w:sz w:val="26"/>
          <w:szCs w:val="26"/>
        </w:rPr>
        <w:t xml:space="preserve">2016.gada 1.pusgadā) vai AS Rīgas piena kombināts (2,2 milj. </w:t>
      </w:r>
      <w:proofErr w:type="spellStart"/>
      <w:r w:rsidRPr="0035609A">
        <w:rPr>
          <w:i/>
          <w:sz w:val="26"/>
          <w:szCs w:val="26"/>
        </w:rPr>
        <w:t>euro</w:t>
      </w:r>
      <w:proofErr w:type="spellEnd"/>
      <w:r w:rsidRPr="0035609A">
        <w:rPr>
          <w:i/>
          <w:sz w:val="26"/>
          <w:szCs w:val="26"/>
        </w:rPr>
        <w:t xml:space="preserve"> </w:t>
      </w:r>
      <w:r w:rsidRPr="0035609A">
        <w:rPr>
          <w:sz w:val="26"/>
          <w:szCs w:val="26"/>
        </w:rPr>
        <w:t>2016.gada 1.pusgadā).</w:t>
      </w:r>
    </w:p>
    <w:p w:rsidR="0091282C" w:rsidRPr="00423F17" w:rsidRDefault="0091282C" w:rsidP="005376C0">
      <w:pPr>
        <w:spacing w:after="120"/>
        <w:ind w:firstLine="567"/>
        <w:jc w:val="both"/>
        <w:rPr>
          <w:sz w:val="26"/>
          <w:szCs w:val="26"/>
        </w:rPr>
      </w:pPr>
      <w:r w:rsidRPr="00423F17">
        <w:rPr>
          <w:color w:val="000000"/>
          <w:sz w:val="26"/>
          <w:szCs w:val="26"/>
        </w:rPr>
        <w:t xml:space="preserve">Saskaņā ar </w:t>
      </w:r>
      <w:r w:rsidRPr="00423F17">
        <w:rPr>
          <w:sz w:val="26"/>
          <w:szCs w:val="26"/>
        </w:rPr>
        <w:t>LURSOFT</w:t>
      </w:r>
      <w:r w:rsidRPr="00423F17">
        <w:rPr>
          <w:color w:val="FF0000"/>
          <w:sz w:val="26"/>
          <w:szCs w:val="26"/>
        </w:rPr>
        <w:t xml:space="preserve"> </w:t>
      </w:r>
      <w:r w:rsidRPr="00423F17">
        <w:rPr>
          <w:color w:val="000000"/>
          <w:sz w:val="26"/>
          <w:szCs w:val="26"/>
        </w:rPr>
        <w:t xml:space="preserve">datiem, spēkā esošu TUA turētājiem (pieteikuma iesniedzējiem) </w:t>
      </w:r>
      <w:r w:rsidRPr="00423F17">
        <w:rPr>
          <w:sz w:val="26"/>
          <w:szCs w:val="26"/>
        </w:rPr>
        <w:t xml:space="preserve">pieder kapitāla daļas 687 Latvijā reģistrētos uzņēmumos, to kopējais apgrozījums 2014.gadā sasniedza 140 milj. </w:t>
      </w:r>
      <w:proofErr w:type="spellStart"/>
      <w:r w:rsidRPr="00423F17">
        <w:rPr>
          <w:i/>
          <w:sz w:val="26"/>
          <w:szCs w:val="26"/>
        </w:rPr>
        <w:t>euro</w:t>
      </w:r>
      <w:proofErr w:type="spellEnd"/>
      <w:r w:rsidRPr="00423F17">
        <w:rPr>
          <w:sz w:val="26"/>
          <w:szCs w:val="26"/>
        </w:rPr>
        <w:t xml:space="preserve">, bet 2015.gadā 156 milj. </w:t>
      </w:r>
      <w:proofErr w:type="spellStart"/>
      <w:r w:rsidRPr="00423F17">
        <w:rPr>
          <w:i/>
          <w:sz w:val="26"/>
          <w:szCs w:val="26"/>
        </w:rPr>
        <w:t>euro</w:t>
      </w:r>
      <w:proofErr w:type="spellEnd"/>
      <w:r w:rsidRPr="00423F17">
        <w:rPr>
          <w:sz w:val="26"/>
          <w:szCs w:val="26"/>
        </w:rPr>
        <w:t>.</w:t>
      </w:r>
    </w:p>
    <w:p w:rsidR="0091282C" w:rsidRDefault="0091282C" w:rsidP="005376C0">
      <w:pPr>
        <w:spacing w:after="120"/>
        <w:ind w:firstLine="567"/>
        <w:jc w:val="both"/>
        <w:rPr>
          <w:sz w:val="26"/>
          <w:szCs w:val="26"/>
        </w:rPr>
      </w:pPr>
      <w:r w:rsidRPr="00423F17">
        <w:rPr>
          <w:sz w:val="26"/>
          <w:szCs w:val="26"/>
        </w:rPr>
        <w:t>Saskaņā ar VID sniegto informāciju, uzņēmumos, kuros TUA saņēmējiem (pieteicējiem), kuri kā TUA saņemšanas iemeslu ir norādījuši nekustamā īpašuma ie</w:t>
      </w:r>
      <w:r w:rsidR="00BD3A79">
        <w:rPr>
          <w:sz w:val="26"/>
          <w:szCs w:val="26"/>
        </w:rPr>
        <w:t xml:space="preserve">gādi, pieder </w:t>
      </w:r>
      <w:proofErr w:type="spellStart"/>
      <w:r w:rsidR="00BD3A79">
        <w:rPr>
          <w:sz w:val="26"/>
          <w:szCs w:val="26"/>
        </w:rPr>
        <w:t>īpašumdaļas</w:t>
      </w:r>
      <w:proofErr w:type="spellEnd"/>
      <w:r w:rsidR="00BD3A79">
        <w:rPr>
          <w:sz w:val="26"/>
          <w:szCs w:val="26"/>
        </w:rPr>
        <w:t>, 2016.</w:t>
      </w:r>
      <w:r w:rsidRPr="00423F17">
        <w:rPr>
          <w:sz w:val="26"/>
          <w:szCs w:val="26"/>
        </w:rPr>
        <w:t>gada 1.pusgadā tika nodarbināti 1 774 darbinieki</w:t>
      </w:r>
      <w:r w:rsidRPr="00423F17">
        <w:rPr>
          <w:rStyle w:val="FootnoteReference"/>
          <w:sz w:val="26"/>
          <w:szCs w:val="26"/>
        </w:rPr>
        <w:footnoteReference w:id="8"/>
      </w:r>
      <w:proofErr w:type="gramStart"/>
      <w:r w:rsidRPr="00423F17">
        <w:rPr>
          <w:sz w:val="26"/>
          <w:szCs w:val="26"/>
        </w:rPr>
        <w:t xml:space="preserve"> , </w:t>
      </w:r>
      <w:proofErr w:type="gramEnd"/>
      <w:r w:rsidRPr="00423F17">
        <w:rPr>
          <w:sz w:val="26"/>
          <w:szCs w:val="26"/>
        </w:rPr>
        <w:t xml:space="preserve">2014.gadā šie uzņēmumi ir iemaksājuši valsts budžetā nodokļus (atskaitot no valsts budžeta atmaksātos nodokļus) 5,09 milj. </w:t>
      </w:r>
      <w:proofErr w:type="spellStart"/>
      <w:r w:rsidRPr="00423F17">
        <w:rPr>
          <w:i/>
          <w:sz w:val="26"/>
          <w:szCs w:val="26"/>
        </w:rPr>
        <w:t>euro</w:t>
      </w:r>
      <w:proofErr w:type="spellEnd"/>
      <w:r w:rsidRPr="00423F17">
        <w:rPr>
          <w:sz w:val="26"/>
          <w:szCs w:val="26"/>
        </w:rPr>
        <w:t xml:space="preserve"> apmērā, bet 2015.gadā 6,7 milj. </w:t>
      </w:r>
      <w:proofErr w:type="spellStart"/>
      <w:r w:rsidRPr="00423F17">
        <w:rPr>
          <w:i/>
          <w:sz w:val="26"/>
          <w:szCs w:val="26"/>
        </w:rPr>
        <w:t>euro</w:t>
      </w:r>
      <w:proofErr w:type="spellEnd"/>
      <w:r w:rsidRPr="00423F17">
        <w:rPr>
          <w:sz w:val="26"/>
          <w:szCs w:val="26"/>
        </w:rPr>
        <w:t xml:space="preserve"> apmērā. 2016.gada 1.pusgadā nomaksāto nodokļu apmērs ir 3,7 milj. </w:t>
      </w:r>
      <w:proofErr w:type="spellStart"/>
      <w:r w:rsidRPr="00423F17">
        <w:rPr>
          <w:i/>
          <w:sz w:val="26"/>
          <w:szCs w:val="26"/>
        </w:rPr>
        <w:t>euro</w:t>
      </w:r>
      <w:proofErr w:type="spellEnd"/>
      <w:r w:rsidRPr="00423F17">
        <w:rPr>
          <w:sz w:val="26"/>
          <w:szCs w:val="26"/>
        </w:rPr>
        <w:t xml:space="preserve">. </w:t>
      </w:r>
      <w:r>
        <w:rPr>
          <w:sz w:val="26"/>
          <w:szCs w:val="26"/>
        </w:rPr>
        <w:t xml:space="preserve">179 no šiem uzņēmumiem 2016.gada 1.pusgadā iemaksas valsts budžetā nav veikuši. </w:t>
      </w:r>
    </w:p>
    <w:p w:rsidR="0091282C" w:rsidRPr="00423F17" w:rsidRDefault="0091282C" w:rsidP="0091282C">
      <w:pPr>
        <w:ind w:firstLine="567"/>
        <w:jc w:val="both"/>
        <w:rPr>
          <w:sz w:val="26"/>
          <w:szCs w:val="26"/>
        </w:rPr>
      </w:pPr>
    </w:p>
    <w:p w:rsidR="0091282C" w:rsidRPr="002B4D22" w:rsidRDefault="001B41B7" w:rsidP="0091282C">
      <w:pPr>
        <w:keepNext/>
        <w:spacing w:after="120"/>
        <w:jc w:val="right"/>
        <w:rPr>
          <w:sz w:val="26"/>
          <w:szCs w:val="26"/>
        </w:rPr>
      </w:pPr>
      <w:r>
        <w:rPr>
          <w:sz w:val="26"/>
          <w:szCs w:val="26"/>
        </w:rPr>
        <w:lastRenderedPageBreak/>
        <w:t>3</w:t>
      </w:r>
      <w:r w:rsidR="0091282C" w:rsidRPr="002B4D22">
        <w:rPr>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7"/>
        <w:gridCol w:w="4680"/>
      </w:tblGrid>
      <w:tr w:rsidR="0091282C" w:rsidRPr="002B4D22" w:rsidTr="001202EF">
        <w:tc>
          <w:tcPr>
            <w:tcW w:w="9571" w:type="dxa"/>
            <w:gridSpan w:val="2"/>
          </w:tcPr>
          <w:p w:rsidR="0091282C" w:rsidRPr="002B4D22" w:rsidRDefault="0091282C" w:rsidP="001202EF">
            <w:pPr>
              <w:keepNext/>
              <w:spacing w:after="120"/>
              <w:jc w:val="center"/>
              <w:rPr>
                <w:rFonts w:ascii="Times New Roman" w:hAnsi="Times New Roman"/>
                <w:b/>
                <w:sz w:val="24"/>
                <w:szCs w:val="24"/>
              </w:rPr>
            </w:pPr>
            <w:r w:rsidRPr="00632489">
              <w:rPr>
                <w:rFonts w:ascii="Times New Roman" w:hAnsi="Times New Roman"/>
                <w:b/>
                <w:sz w:val="24"/>
                <w:szCs w:val="24"/>
              </w:rPr>
              <w:t xml:space="preserve">Uzņēmumu, kuros </w:t>
            </w:r>
            <w:proofErr w:type="spellStart"/>
            <w:r>
              <w:rPr>
                <w:rFonts w:ascii="Times New Roman" w:hAnsi="Times New Roman"/>
                <w:b/>
                <w:sz w:val="24"/>
                <w:szCs w:val="24"/>
              </w:rPr>
              <w:t>īpašumdaļas</w:t>
            </w:r>
            <w:proofErr w:type="spellEnd"/>
            <w:r>
              <w:rPr>
                <w:rFonts w:ascii="Times New Roman" w:hAnsi="Times New Roman"/>
                <w:b/>
                <w:sz w:val="24"/>
                <w:szCs w:val="24"/>
              </w:rPr>
              <w:t xml:space="preserve"> pieder ārzemniekiem, kuri kā </w:t>
            </w:r>
            <w:r w:rsidRPr="00632489">
              <w:rPr>
                <w:rFonts w:ascii="Times New Roman" w:hAnsi="Times New Roman"/>
                <w:b/>
                <w:sz w:val="24"/>
                <w:szCs w:val="24"/>
              </w:rPr>
              <w:t xml:space="preserve">TUA </w:t>
            </w:r>
            <w:r>
              <w:rPr>
                <w:rFonts w:ascii="Times New Roman" w:hAnsi="Times New Roman"/>
                <w:b/>
                <w:sz w:val="24"/>
                <w:szCs w:val="24"/>
              </w:rPr>
              <w:t>saņemšanas iemeslu norādījuši nekustamā īpašuma iegādi,</w:t>
            </w:r>
            <w:r w:rsidRPr="00632489">
              <w:rPr>
                <w:rFonts w:ascii="Times New Roman" w:hAnsi="Times New Roman"/>
                <w:b/>
                <w:sz w:val="24"/>
                <w:szCs w:val="24"/>
              </w:rPr>
              <w:t xml:space="preserve"> </w:t>
            </w:r>
          </w:p>
          <w:p w:rsidR="0091282C" w:rsidRPr="002B4D22" w:rsidRDefault="0091282C" w:rsidP="001202EF">
            <w:pPr>
              <w:keepNext/>
              <w:spacing w:after="120"/>
              <w:jc w:val="center"/>
              <w:rPr>
                <w:rFonts w:ascii="Times New Roman" w:hAnsi="Times New Roman"/>
                <w:b/>
                <w:sz w:val="24"/>
                <w:szCs w:val="24"/>
              </w:rPr>
            </w:pPr>
          </w:p>
        </w:tc>
      </w:tr>
      <w:tr w:rsidR="0091282C" w:rsidRPr="002B4D22" w:rsidTr="001202EF">
        <w:tc>
          <w:tcPr>
            <w:tcW w:w="4785" w:type="dxa"/>
          </w:tcPr>
          <w:p w:rsidR="0091282C" w:rsidRPr="002B4D22" w:rsidRDefault="0091282C" w:rsidP="001202EF">
            <w:pPr>
              <w:keepNext/>
              <w:spacing w:after="120"/>
              <w:jc w:val="center"/>
              <w:rPr>
                <w:rFonts w:ascii="Times New Roman" w:hAnsi="Times New Roman"/>
                <w:b/>
                <w:sz w:val="24"/>
                <w:szCs w:val="24"/>
              </w:rPr>
            </w:pPr>
            <w:r w:rsidRPr="002B4D22">
              <w:rPr>
                <w:rFonts w:ascii="Times New Roman" w:hAnsi="Times New Roman"/>
                <w:b/>
                <w:sz w:val="24"/>
                <w:szCs w:val="24"/>
              </w:rPr>
              <w:t>sadalījums pēc to dibināšanas gada</w:t>
            </w:r>
          </w:p>
          <w:p w:rsidR="0091282C" w:rsidRPr="002B4D22" w:rsidRDefault="0091282C" w:rsidP="001202EF">
            <w:pPr>
              <w:keepNext/>
              <w:spacing w:after="120"/>
              <w:jc w:val="right"/>
              <w:rPr>
                <w:rFonts w:ascii="Times New Roman" w:hAnsi="Times New Roman"/>
                <w:sz w:val="26"/>
                <w:szCs w:val="26"/>
              </w:rPr>
            </w:pPr>
            <w:r w:rsidRPr="002B4D22">
              <w:rPr>
                <w:noProof/>
                <w:sz w:val="26"/>
                <w:szCs w:val="26"/>
              </w:rPr>
              <w:drawing>
                <wp:inline distT="0" distB="0" distL="0" distR="0">
                  <wp:extent cx="2838450" cy="2676525"/>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282C" w:rsidRPr="002B4D22" w:rsidRDefault="0091282C" w:rsidP="001202EF">
            <w:pPr>
              <w:keepNext/>
              <w:spacing w:after="120"/>
              <w:rPr>
                <w:rFonts w:ascii="Times New Roman" w:hAnsi="Times New Roman"/>
                <w:i/>
                <w:sz w:val="26"/>
                <w:szCs w:val="26"/>
              </w:rPr>
            </w:pPr>
          </w:p>
          <w:p w:rsidR="0091282C" w:rsidRPr="002B4D22" w:rsidRDefault="0091282C" w:rsidP="001202EF">
            <w:pPr>
              <w:keepNext/>
              <w:spacing w:after="120"/>
              <w:rPr>
                <w:rFonts w:ascii="Times New Roman" w:hAnsi="Times New Roman"/>
                <w:sz w:val="22"/>
                <w:szCs w:val="22"/>
              </w:rPr>
            </w:pPr>
            <w:r w:rsidRPr="00632489">
              <w:rPr>
                <w:rFonts w:ascii="Times New Roman" w:hAnsi="Times New Roman"/>
                <w:i/>
                <w:szCs w:val="22"/>
              </w:rPr>
              <w:t>Avots: LURSOFT</w:t>
            </w:r>
          </w:p>
        </w:tc>
        <w:tc>
          <w:tcPr>
            <w:tcW w:w="4786" w:type="dxa"/>
          </w:tcPr>
          <w:p w:rsidR="0091282C" w:rsidRDefault="0091282C" w:rsidP="001202EF">
            <w:pPr>
              <w:keepNext/>
              <w:spacing w:after="120"/>
              <w:jc w:val="center"/>
              <w:rPr>
                <w:rFonts w:ascii="Times New Roman" w:hAnsi="Times New Roman"/>
                <w:b/>
                <w:sz w:val="24"/>
                <w:szCs w:val="24"/>
              </w:rPr>
            </w:pPr>
            <w:r w:rsidRPr="002B4D22">
              <w:rPr>
                <w:rFonts w:ascii="Times New Roman" w:hAnsi="Times New Roman"/>
                <w:b/>
                <w:sz w:val="24"/>
                <w:szCs w:val="24"/>
              </w:rPr>
              <w:t xml:space="preserve">sadalījums pēc darbības jomas </w:t>
            </w:r>
          </w:p>
          <w:p w:rsidR="0091282C" w:rsidRPr="002B4D22" w:rsidRDefault="0091282C" w:rsidP="001202EF">
            <w:pPr>
              <w:keepNext/>
              <w:spacing w:after="120"/>
              <w:jc w:val="center"/>
              <w:rPr>
                <w:rFonts w:ascii="Times New Roman" w:hAnsi="Times New Roman"/>
                <w:b/>
                <w:sz w:val="24"/>
                <w:szCs w:val="24"/>
              </w:rPr>
            </w:pPr>
            <w:r>
              <w:rPr>
                <w:rFonts w:ascii="Times New Roman" w:hAnsi="Times New Roman"/>
                <w:b/>
                <w:sz w:val="24"/>
                <w:szCs w:val="24"/>
              </w:rPr>
              <w:t>(pēc NACE, 2.0)</w:t>
            </w:r>
            <w:r w:rsidRPr="002B4D22">
              <w:rPr>
                <w:noProof/>
                <w:sz w:val="26"/>
                <w:szCs w:val="26"/>
              </w:rPr>
              <w:drawing>
                <wp:inline distT="0" distB="0" distL="0" distR="0">
                  <wp:extent cx="2886075" cy="2752725"/>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282C" w:rsidRPr="002B4D22" w:rsidRDefault="0091282C" w:rsidP="001202EF">
            <w:pPr>
              <w:keepNext/>
              <w:spacing w:after="120"/>
              <w:rPr>
                <w:rFonts w:ascii="Times New Roman" w:hAnsi="Times New Roman"/>
                <w:i/>
                <w:sz w:val="26"/>
                <w:szCs w:val="26"/>
              </w:rPr>
            </w:pPr>
            <w:r w:rsidRPr="00632489">
              <w:rPr>
                <w:rFonts w:ascii="Times New Roman" w:hAnsi="Times New Roman"/>
                <w:i/>
                <w:szCs w:val="22"/>
              </w:rPr>
              <w:t>Avots: LURSOFT</w:t>
            </w:r>
            <w:r w:rsidRPr="00632489">
              <w:rPr>
                <w:rFonts w:ascii="Times New Roman" w:hAnsi="Times New Roman"/>
                <w:i/>
                <w:sz w:val="24"/>
                <w:szCs w:val="26"/>
              </w:rPr>
              <w:t xml:space="preserve"> </w:t>
            </w:r>
          </w:p>
        </w:tc>
      </w:tr>
    </w:tbl>
    <w:p w:rsidR="0091282C" w:rsidRDefault="0091282C" w:rsidP="00157BF8">
      <w:pPr>
        <w:ind w:firstLine="567"/>
        <w:jc w:val="both"/>
        <w:rPr>
          <w:sz w:val="26"/>
          <w:szCs w:val="26"/>
        </w:rPr>
      </w:pPr>
      <w:r w:rsidRPr="0084366C">
        <w:rPr>
          <w:sz w:val="26"/>
          <w:szCs w:val="26"/>
        </w:rPr>
        <w:t xml:space="preserve">No uzņēmumiem, kuros apstiprināto TUA pieteikumu iesniedzējiem (ieguldītāji nekustamajā īpašumā) pieder īpašumtiesību daļas, vairāk kā puse no tiem, kuri norādījuši darbības veidu (85% no visiem uzņēmumiem, kas norādījuši pamatdarbības veidu) sniedz komercpakalpojumus (no tiem 15% ir saistīti ar darījumiem ar nekustamajiem īpašumiem). Savukārt 13% uzņēmumu pamatdarbības veids ir vairumtirdzniecība vai mazumtirdzniecība. Kā pamatdarbības veidu – apstrādes rūpniecību ir norādījuši 36 uzņēmumi (t.i. 8% no tiem uzņēmumiem, kas ir norādījuši pamatdarbības veidu). Jāatzīmē, ka apstrādes uzņēmumu īpatsvars un skaits, salīdzinājumā ar iepriekšējo ziņojuma periodu, ir pieaudzis no 10 uzņēmumiem līdz 36 uzņēmumiem. No tiem uzņēmumiem, kas darbojas apstrādes rūpniecībā, apgrozījums 2015.gadā ir bijis 28 uzņēmumiem par kopsummu 13,2 milj. </w:t>
      </w:r>
      <w:proofErr w:type="spellStart"/>
      <w:r w:rsidRPr="0084366C">
        <w:rPr>
          <w:i/>
          <w:sz w:val="26"/>
          <w:szCs w:val="26"/>
        </w:rPr>
        <w:t>euro</w:t>
      </w:r>
      <w:proofErr w:type="spellEnd"/>
      <w:r w:rsidRPr="0084366C">
        <w:rPr>
          <w:i/>
          <w:sz w:val="26"/>
          <w:szCs w:val="26"/>
        </w:rPr>
        <w:t xml:space="preserve"> </w:t>
      </w:r>
      <w:r w:rsidRPr="0084366C">
        <w:rPr>
          <w:sz w:val="26"/>
          <w:szCs w:val="26"/>
        </w:rPr>
        <w:t>(68% no apgrozījuma pieder vienam uzņēmumam). Pēc apgrozījuma 2015.gadā lielākie no uzņēmumiem darbojās tādās apakšnozarēs kā kravu iekraušana un izkraušana, nespecializētā vairumtirdzniecība, operācijas ar nekustamo īpašumu, datoru, to perifēro iekārtu un programmatūras ražošana.</w:t>
      </w:r>
    </w:p>
    <w:p w:rsidR="00157BF8" w:rsidRDefault="00157BF8" w:rsidP="001B41B7">
      <w:pPr>
        <w:jc w:val="both"/>
        <w:rPr>
          <w:sz w:val="26"/>
          <w:szCs w:val="26"/>
        </w:rPr>
      </w:pPr>
    </w:p>
    <w:p w:rsidR="00157BF8" w:rsidRDefault="00157BF8" w:rsidP="001B41B7">
      <w:pPr>
        <w:jc w:val="both"/>
        <w:rPr>
          <w:sz w:val="26"/>
          <w:szCs w:val="26"/>
        </w:rPr>
      </w:pPr>
    </w:p>
    <w:p w:rsidR="00157BF8" w:rsidRPr="007355EB" w:rsidRDefault="00157BF8" w:rsidP="00157BF8">
      <w:pPr>
        <w:tabs>
          <w:tab w:val="left" w:pos="6431"/>
          <w:tab w:val="left" w:pos="6758"/>
        </w:tabs>
        <w:rPr>
          <w:sz w:val="26"/>
          <w:szCs w:val="26"/>
        </w:rPr>
      </w:pPr>
      <w:r w:rsidRPr="007355EB">
        <w:rPr>
          <w:sz w:val="26"/>
          <w:szCs w:val="26"/>
        </w:rPr>
        <w:t xml:space="preserve">Iekšlietu ministrs </w:t>
      </w:r>
      <w:r w:rsidRPr="007355EB">
        <w:rPr>
          <w:sz w:val="26"/>
          <w:szCs w:val="26"/>
        </w:rPr>
        <w:tab/>
        <w:t>R. Kozlovskis</w:t>
      </w:r>
    </w:p>
    <w:p w:rsidR="00157BF8" w:rsidRDefault="00157BF8" w:rsidP="00157BF8">
      <w:pPr>
        <w:ind w:left="720" w:hanging="720"/>
        <w:rPr>
          <w:sz w:val="26"/>
          <w:szCs w:val="26"/>
        </w:rPr>
      </w:pPr>
    </w:p>
    <w:p w:rsidR="00157BF8" w:rsidRDefault="00157BF8" w:rsidP="00157BF8">
      <w:pPr>
        <w:ind w:left="720" w:hanging="720"/>
        <w:rPr>
          <w:sz w:val="26"/>
          <w:szCs w:val="26"/>
        </w:rPr>
      </w:pPr>
    </w:p>
    <w:p w:rsidR="00157BF8" w:rsidRPr="007355EB" w:rsidRDefault="00157BF8" w:rsidP="00157BF8">
      <w:pPr>
        <w:ind w:left="720" w:hanging="720"/>
        <w:rPr>
          <w:sz w:val="26"/>
          <w:szCs w:val="26"/>
        </w:rPr>
      </w:pPr>
      <w:r w:rsidRPr="007355EB">
        <w:rPr>
          <w:sz w:val="26"/>
          <w:szCs w:val="26"/>
        </w:rPr>
        <w:t>Vīza:</w:t>
      </w:r>
    </w:p>
    <w:p w:rsidR="00157BF8" w:rsidRPr="007355EB" w:rsidRDefault="00157BF8" w:rsidP="00157BF8">
      <w:pPr>
        <w:tabs>
          <w:tab w:val="left" w:pos="6431"/>
        </w:tabs>
        <w:ind w:left="720" w:hanging="720"/>
        <w:rPr>
          <w:sz w:val="26"/>
          <w:szCs w:val="26"/>
        </w:rPr>
      </w:pPr>
      <w:r w:rsidRPr="007355EB">
        <w:rPr>
          <w:sz w:val="26"/>
          <w:szCs w:val="26"/>
        </w:rPr>
        <w:t>Valsts sekretāre</w:t>
      </w:r>
      <w:r>
        <w:rPr>
          <w:sz w:val="26"/>
          <w:szCs w:val="26"/>
        </w:rPr>
        <w:tab/>
      </w:r>
      <w:r>
        <w:rPr>
          <w:sz w:val="26"/>
          <w:szCs w:val="26"/>
        </w:rPr>
        <w:tab/>
        <w:t>I. Pētersone-Godmane</w:t>
      </w:r>
    </w:p>
    <w:p w:rsidR="00157BF8" w:rsidRDefault="00157BF8" w:rsidP="00157BF8">
      <w:pPr>
        <w:ind w:right="-328"/>
        <w:jc w:val="both"/>
        <w:rPr>
          <w:sz w:val="22"/>
        </w:rPr>
      </w:pPr>
    </w:p>
    <w:p w:rsidR="00157BF8" w:rsidRDefault="00157BF8" w:rsidP="00157BF8">
      <w:pPr>
        <w:ind w:right="-328"/>
        <w:jc w:val="both"/>
        <w:rPr>
          <w:sz w:val="22"/>
        </w:rPr>
      </w:pPr>
    </w:p>
    <w:p w:rsidR="00157BF8" w:rsidRPr="007355EB" w:rsidRDefault="00751F87" w:rsidP="00157BF8">
      <w:pPr>
        <w:ind w:right="-328"/>
        <w:jc w:val="both"/>
        <w:rPr>
          <w:sz w:val="22"/>
        </w:rPr>
      </w:pPr>
      <w:r>
        <w:rPr>
          <w:sz w:val="22"/>
        </w:rPr>
        <w:lastRenderedPageBreak/>
        <w:t>0</w:t>
      </w:r>
      <w:r w:rsidR="006269F3">
        <w:rPr>
          <w:sz w:val="22"/>
        </w:rPr>
        <w:t>6</w:t>
      </w:r>
      <w:r>
        <w:rPr>
          <w:sz w:val="22"/>
        </w:rPr>
        <w:t>.10.</w:t>
      </w:r>
      <w:r w:rsidR="00157BF8" w:rsidRPr="007355EB">
        <w:rPr>
          <w:sz w:val="22"/>
        </w:rPr>
        <w:t>201</w:t>
      </w:r>
      <w:r w:rsidR="00157BF8">
        <w:rPr>
          <w:sz w:val="22"/>
        </w:rPr>
        <w:t>6</w:t>
      </w:r>
      <w:r w:rsidR="00157BF8" w:rsidRPr="007355EB">
        <w:rPr>
          <w:sz w:val="22"/>
        </w:rPr>
        <w:t xml:space="preserve">. </w:t>
      </w:r>
      <w:bookmarkStart w:id="0" w:name="_GoBack"/>
      <w:bookmarkEnd w:id="0"/>
      <w:r w:rsidR="008B3052">
        <w:rPr>
          <w:sz w:val="22"/>
        </w:rPr>
        <w:t>13</w:t>
      </w:r>
      <w:r w:rsidR="00F64B8B">
        <w:rPr>
          <w:sz w:val="22"/>
        </w:rPr>
        <w:t>:</w:t>
      </w:r>
      <w:r w:rsidR="008B3052">
        <w:rPr>
          <w:sz w:val="22"/>
        </w:rPr>
        <w:t>31</w:t>
      </w:r>
    </w:p>
    <w:p w:rsidR="00157BF8" w:rsidRPr="007355EB" w:rsidRDefault="00751F87" w:rsidP="00157BF8">
      <w:pPr>
        <w:ind w:right="-328"/>
        <w:rPr>
          <w:sz w:val="22"/>
        </w:rPr>
      </w:pPr>
      <w:r>
        <w:rPr>
          <w:sz w:val="22"/>
        </w:rPr>
        <w:t>2605</w:t>
      </w:r>
    </w:p>
    <w:p w:rsidR="00157BF8" w:rsidRDefault="00157BF8" w:rsidP="00157BF8">
      <w:pPr>
        <w:ind w:right="-328"/>
        <w:rPr>
          <w:sz w:val="22"/>
        </w:rPr>
      </w:pPr>
      <w:r>
        <w:rPr>
          <w:sz w:val="22"/>
        </w:rPr>
        <w:t xml:space="preserve">I. </w:t>
      </w:r>
      <w:proofErr w:type="spellStart"/>
      <w:r w:rsidRPr="007355EB">
        <w:rPr>
          <w:sz w:val="22"/>
        </w:rPr>
        <w:t>Briede</w:t>
      </w:r>
      <w:proofErr w:type="spellEnd"/>
      <w:r w:rsidRPr="007355EB">
        <w:rPr>
          <w:sz w:val="22"/>
        </w:rPr>
        <w:t>, 67219546</w:t>
      </w:r>
    </w:p>
    <w:p w:rsidR="00157BF8" w:rsidRPr="007355EB" w:rsidRDefault="00FA0E71" w:rsidP="00157BF8">
      <w:pPr>
        <w:ind w:right="-328"/>
      </w:pPr>
      <w:hyperlink r:id="rId14" w:history="1">
        <w:r w:rsidR="00157BF8" w:rsidRPr="007355EB">
          <w:rPr>
            <w:rStyle w:val="Hyperlink"/>
            <w:sz w:val="22"/>
          </w:rPr>
          <w:t>ilze.briede@pmlp.gov.lv</w:t>
        </w:r>
      </w:hyperlink>
      <w:r w:rsidR="00157BF8" w:rsidRPr="007355EB">
        <w:rPr>
          <w:sz w:val="22"/>
        </w:rPr>
        <w:t xml:space="preserve"> </w:t>
      </w:r>
    </w:p>
    <w:p w:rsidR="00157BF8" w:rsidRDefault="00157BF8" w:rsidP="001B41B7">
      <w:pPr>
        <w:jc w:val="both"/>
      </w:pPr>
    </w:p>
    <w:sectPr w:rsidR="00157BF8" w:rsidSect="008B3052">
      <w:headerReference w:type="default" r:id="rId15"/>
      <w:footerReference w:type="default" r:id="rId16"/>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816" w:rsidRDefault="00D57816" w:rsidP="0091282C">
      <w:r>
        <w:separator/>
      </w:r>
    </w:p>
  </w:endnote>
  <w:endnote w:type="continuationSeparator" w:id="0">
    <w:p w:rsidR="00D57816" w:rsidRDefault="00D57816" w:rsidP="00912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0F" w:rsidRPr="00801226" w:rsidRDefault="00B2730F" w:rsidP="00B2730F">
    <w:pPr>
      <w:jc w:val="both"/>
      <w:rPr>
        <w:sz w:val="20"/>
        <w:szCs w:val="20"/>
      </w:rPr>
    </w:pPr>
    <w:r>
      <w:rPr>
        <w:sz w:val="20"/>
        <w:szCs w:val="20"/>
      </w:rPr>
      <w:t>IEMZinop2_</w:t>
    </w:r>
    <w:r w:rsidR="00751F87">
      <w:rPr>
        <w:sz w:val="20"/>
        <w:szCs w:val="20"/>
      </w:rPr>
      <w:t>0</w:t>
    </w:r>
    <w:r w:rsidR="006269F3">
      <w:rPr>
        <w:sz w:val="20"/>
        <w:szCs w:val="20"/>
      </w:rPr>
      <w:t>6</w:t>
    </w:r>
    <w:r w:rsidR="00751F87">
      <w:rPr>
        <w:sz w:val="20"/>
        <w:szCs w:val="20"/>
      </w:rPr>
      <w:t>10</w:t>
    </w:r>
    <w:r>
      <w:rPr>
        <w:sz w:val="20"/>
        <w:szCs w:val="20"/>
      </w:rPr>
      <w:t xml:space="preserve">16;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 xml:space="preserve">gaitu un rezultātiem </w:t>
    </w:r>
    <w:r w:rsidR="00761A46">
      <w:rPr>
        <w:sz w:val="20"/>
        <w:szCs w:val="20"/>
      </w:rPr>
      <w:t>2</w:t>
    </w:r>
    <w:r>
      <w:rPr>
        <w:sz w:val="20"/>
        <w:szCs w:val="20"/>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816" w:rsidRDefault="00D57816" w:rsidP="0091282C">
      <w:r>
        <w:separator/>
      </w:r>
    </w:p>
  </w:footnote>
  <w:footnote w:type="continuationSeparator" w:id="0">
    <w:p w:rsidR="00D57816" w:rsidRDefault="00D57816" w:rsidP="0091282C">
      <w:r>
        <w:continuationSeparator/>
      </w:r>
    </w:p>
  </w:footnote>
  <w:footnote w:id="1">
    <w:p w:rsidR="0091282C" w:rsidRPr="005355FA" w:rsidRDefault="0091282C" w:rsidP="0091282C">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w:t>
      </w:r>
      <w:proofErr w:type="spellStart"/>
      <w:r w:rsidR="00165C3A">
        <w:rPr>
          <w:rFonts w:ascii="Times New Roman" w:hAnsi="Times New Roman"/>
        </w:rPr>
        <w:t>European</w:t>
      </w:r>
      <w:proofErr w:type="spellEnd"/>
      <w:r w:rsidR="00165C3A">
        <w:rPr>
          <w:rFonts w:ascii="Times New Roman" w:hAnsi="Times New Roman"/>
        </w:rPr>
        <w:t xml:space="preserve"> </w:t>
      </w:r>
      <w:proofErr w:type="spellStart"/>
      <w:r w:rsidR="00165C3A">
        <w:rPr>
          <w:rFonts w:ascii="Times New Roman" w:hAnsi="Times New Roman"/>
        </w:rPr>
        <w:t>Migration</w:t>
      </w:r>
      <w:proofErr w:type="spellEnd"/>
      <w:r w:rsidR="00165C3A">
        <w:rPr>
          <w:rFonts w:ascii="Times New Roman" w:hAnsi="Times New Roman"/>
        </w:rPr>
        <w:t xml:space="preserve"> </w:t>
      </w:r>
      <w:proofErr w:type="spellStart"/>
      <w:r w:rsidR="00165C3A">
        <w:rPr>
          <w:rFonts w:ascii="Times New Roman" w:hAnsi="Times New Roman"/>
        </w:rPr>
        <w:t>Network</w:t>
      </w:r>
      <w:proofErr w:type="spellEnd"/>
      <w:r w:rsidR="00165C3A">
        <w:rPr>
          <w:rFonts w:ascii="Times New Roman" w:hAnsi="Times New Roman"/>
        </w:rPr>
        <w:t xml:space="preserve">. </w:t>
      </w:r>
      <w:proofErr w:type="spellStart"/>
      <w:r w:rsidR="00165C3A">
        <w:rPr>
          <w:rFonts w:ascii="Times New Roman" w:hAnsi="Times New Roman"/>
        </w:rPr>
        <w:t>Admitting</w:t>
      </w:r>
      <w:proofErr w:type="spellEnd"/>
      <w:r w:rsidR="00165C3A">
        <w:rPr>
          <w:rFonts w:ascii="Times New Roman" w:hAnsi="Times New Roman"/>
        </w:rPr>
        <w:t xml:space="preserve"> </w:t>
      </w:r>
      <w:proofErr w:type="spellStart"/>
      <w:r w:rsidR="00165C3A">
        <w:rPr>
          <w:rFonts w:ascii="Times New Roman" w:hAnsi="Times New Roman"/>
        </w:rPr>
        <w:t>third-country</w:t>
      </w:r>
      <w:proofErr w:type="spellEnd"/>
      <w:r w:rsidR="00165C3A">
        <w:rPr>
          <w:rFonts w:ascii="Times New Roman" w:hAnsi="Times New Roman"/>
        </w:rPr>
        <w:t xml:space="preserve"> </w:t>
      </w:r>
      <w:proofErr w:type="spellStart"/>
      <w:r w:rsidR="00165C3A">
        <w:rPr>
          <w:rFonts w:ascii="Times New Roman" w:hAnsi="Times New Roman"/>
        </w:rPr>
        <w:t>nationals</w:t>
      </w:r>
      <w:proofErr w:type="spellEnd"/>
      <w:r w:rsidR="00165C3A">
        <w:rPr>
          <w:rFonts w:ascii="Times New Roman" w:hAnsi="Times New Roman"/>
        </w:rPr>
        <w:t xml:space="preserve"> </w:t>
      </w:r>
      <w:proofErr w:type="spellStart"/>
      <w:r w:rsidR="00165C3A">
        <w:rPr>
          <w:rFonts w:ascii="Times New Roman" w:hAnsi="Times New Roman"/>
        </w:rPr>
        <w:t>for</w:t>
      </w:r>
      <w:proofErr w:type="spellEnd"/>
      <w:r w:rsidR="00165C3A">
        <w:rPr>
          <w:rFonts w:ascii="Times New Roman" w:hAnsi="Times New Roman"/>
        </w:rPr>
        <w:t xml:space="preserve"> </w:t>
      </w:r>
      <w:proofErr w:type="spellStart"/>
      <w:r w:rsidR="00165C3A">
        <w:rPr>
          <w:rFonts w:ascii="Times New Roman" w:hAnsi="Times New Roman"/>
        </w:rPr>
        <w:t>business</w:t>
      </w:r>
      <w:proofErr w:type="spellEnd"/>
      <w:r w:rsidR="00165C3A">
        <w:rPr>
          <w:rFonts w:ascii="Times New Roman" w:hAnsi="Times New Roman"/>
        </w:rPr>
        <w:t xml:space="preserve"> </w:t>
      </w:r>
      <w:proofErr w:type="spellStart"/>
      <w:r w:rsidR="00165C3A">
        <w:rPr>
          <w:rFonts w:ascii="Times New Roman" w:hAnsi="Times New Roman"/>
        </w:rPr>
        <w:t>purposes</w:t>
      </w:r>
      <w:proofErr w:type="spellEnd"/>
      <w:r w:rsidR="00165C3A">
        <w:rPr>
          <w:rFonts w:ascii="Times New Roman" w:hAnsi="Times New Roman"/>
        </w:rPr>
        <w:t xml:space="preserve">. Pieejams: </w:t>
      </w:r>
      <w:r w:rsidRPr="005355FA">
        <w:rPr>
          <w:rFonts w:ascii="Times New Roman" w:hAnsi="Times New Roman"/>
        </w:rPr>
        <w:t>http://emn.ie/files/p_201505060226492015_emn_synthesis_admitting_tcns_for_business_purposes_04may2015.pdf</w:t>
      </w:r>
      <w:proofErr w:type="gramStart"/>
      <w:r w:rsidRPr="005355FA" w:rsidDel="00C65DE7">
        <w:rPr>
          <w:rFonts w:ascii="Times New Roman" w:hAnsi="Times New Roman"/>
        </w:rPr>
        <w:t xml:space="preserve"> </w:t>
      </w:r>
      <w:r w:rsidRPr="005355FA">
        <w:rPr>
          <w:rFonts w:ascii="Times New Roman" w:hAnsi="Times New Roman"/>
        </w:rPr>
        <w:t xml:space="preserve"> </w:t>
      </w:r>
      <w:proofErr w:type="gramEnd"/>
    </w:p>
  </w:footnote>
  <w:footnote w:id="2">
    <w:p w:rsidR="0091282C" w:rsidRPr="005355FA" w:rsidRDefault="0091282C" w:rsidP="0091282C">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Latio Mājokļu tirgus pārskats. Rīga un reģioni, 2016. gada II ceturksnis</w:t>
      </w:r>
      <w:r w:rsidR="005C563E">
        <w:rPr>
          <w:rFonts w:ascii="Times New Roman" w:hAnsi="Times New Roman"/>
        </w:rPr>
        <w:t>. Pi</w:t>
      </w:r>
      <w:r w:rsidR="00165C3A">
        <w:rPr>
          <w:rFonts w:ascii="Times New Roman" w:hAnsi="Times New Roman"/>
        </w:rPr>
        <w:t>e</w:t>
      </w:r>
      <w:r w:rsidR="005C563E">
        <w:rPr>
          <w:rFonts w:ascii="Times New Roman" w:hAnsi="Times New Roman"/>
        </w:rPr>
        <w:t>ejams</w:t>
      </w:r>
      <w:r w:rsidRPr="005355FA">
        <w:rPr>
          <w:rFonts w:ascii="Times New Roman" w:hAnsi="Times New Roman"/>
        </w:rPr>
        <w:t>: http://latio.lv/lv/pakalpojumi/tirgus-analize/majoklu-tirgus/143/latio-majoklu-tirgus-parskats-2016-q2.pdf</w:t>
      </w:r>
    </w:p>
  </w:footnote>
  <w:footnote w:id="3">
    <w:p w:rsidR="000467CF" w:rsidRPr="005355FA" w:rsidRDefault="000467CF" w:rsidP="000467CF">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Avots: </w:t>
      </w:r>
      <w:r w:rsidR="005C563E">
        <w:rPr>
          <w:rFonts w:ascii="Times New Roman" w:hAnsi="Times New Roman"/>
        </w:rPr>
        <w:t xml:space="preserve">AFI </w:t>
      </w:r>
      <w:r w:rsidRPr="005355FA">
        <w:rPr>
          <w:rFonts w:ascii="Times New Roman" w:hAnsi="Times New Roman"/>
        </w:rPr>
        <w:t>ALTUM</w:t>
      </w:r>
    </w:p>
  </w:footnote>
  <w:footnote w:id="4">
    <w:p w:rsidR="000467CF" w:rsidRPr="005355FA" w:rsidRDefault="000467CF" w:rsidP="000467CF">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Latio Mājokļu tirgus pārskats. Rīga un reģioni, 2016. gada II ceturksnis</w:t>
      </w:r>
      <w:r w:rsidR="005C563E">
        <w:rPr>
          <w:rFonts w:ascii="Times New Roman" w:hAnsi="Times New Roman"/>
        </w:rPr>
        <w:t>. Pi</w:t>
      </w:r>
      <w:r w:rsidR="00165C3A">
        <w:rPr>
          <w:rFonts w:ascii="Times New Roman" w:hAnsi="Times New Roman"/>
        </w:rPr>
        <w:t>e</w:t>
      </w:r>
      <w:r w:rsidR="005C563E">
        <w:rPr>
          <w:rFonts w:ascii="Times New Roman" w:hAnsi="Times New Roman"/>
        </w:rPr>
        <w:t>ejams</w:t>
      </w:r>
      <w:r w:rsidR="005C563E" w:rsidRPr="005355FA">
        <w:rPr>
          <w:rFonts w:ascii="Times New Roman" w:hAnsi="Times New Roman"/>
        </w:rPr>
        <w:t>:</w:t>
      </w:r>
      <w:r w:rsidRPr="005355FA">
        <w:rPr>
          <w:rFonts w:ascii="Times New Roman" w:hAnsi="Times New Roman"/>
        </w:rPr>
        <w:t xml:space="preserve"> http://latio.lv/lv/pakalpojumi/tirgus-analize/majoklu-tirgus/143/latio-majoklu-tirgus-parskats-2016-q2.pdf</w:t>
      </w:r>
    </w:p>
  </w:footnote>
  <w:footnote w:id="5">
    <w:p w:rsidR="000467CF" w:rsidRPr="005355FA" w:rsidRDefault="000467CF" w:rsidP="000467CF">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Turpat.</w:t>
      </w:r>
    </w:p>
  </w:footnote>
  <w:footnote w:id="6">
    <w:p w:rsidR="0091282C" w:rsidRPr="005355FA" w:rsidRDefault="0091282C" w:rsidP="0091282C">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w:t>
      </w:r>
      <w:r w:rsidR="005C563E" w:rsidRPr="005355FA">
        <w:rPr>
          <w:rFonts w:ascii="Times New Roman" w:hAnsi="Times New Roman"/>
        </w:rPr>
        <w:t>Latio Mājokļu tirgus pārskats. Rīga un reģioni, 2016. gada II ceturksnis</w:t>
      </w:r>
      <w:r w:rsidR="005C563E">
        <w:rPr>
          <w:rFonts w:ascii="Times New Roman" w:hAnsi="Times New Roman"/>
        </w:rPr>
        <w:t>. Pi</w:t>
      </w:r>
      <w:r w:rsidR="00165C3A">
        <w:rPr>
          <w:rFonts w:ascii="Times New Roman" w:hAnsi="Times New Roman"/>
        </w:rPr>
        <w:t>e</w:t>
      </w:r>
      <w:r w:rsidR="005C563E">
        <w:rPr>
          <w:rFonts w:ascii="Times New Roman" w:hAnsi="Times New Roman"/>
        </w:rPr>
        <w:t>ejams</w:t>
      </w:r>
      <w:r w:rsidR="005C563E" w:rsidRPr="005355FA">
        <w:rPr>
          <w:rFonts w:ascii="Times New Roman" w:hAnsi="Times New Roman"/>
        </w:rPr>
        <w:t>: http://latio.lv/lv/pakalpojumi/tirgus-analize/majoklu-tirgus/143/latio-majoklu-tirgus-parskats-2016-q2.pdf</w:t>
      </w:r>
    </w:p>
  </w:footnote>
  <w:footnote w:id="7">
    <w:p w:rsidR="0091282C" w:rsidRPr="005355FA" w:rsidRDefault="0091282C" w:rsidP="0091282C">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Turpat</w:t>
      </w:r>
    </w:p>
  </w:footnote>
  <w:footnote w:id="8">
    <w:p w:rsidR="0091282C" w:rsidRPr="005355FA" w:rsidRDefault="0091282C" w:rsidP="0091282C">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Avots: VID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4740"/>
      <w:docPartObj>
        <w:docPartGallery w:val="Page Numbers (Top of Page)"/>
        <w:docPartUnique/>
      </w:docPartObj>
    </w:sdtPr>
    <w:sdtContent>
      <w:p w:rsidR="008B3052" w:rsidRDefault="008B3052">
        <w:pPr>
          <w:pStyle w:val="Header"/>
          <w:jc w:val="center"/>
        </w:pPr>
        <w:fldSimple w:instr=" PAGE   \* MERGEFORMAT ">
          <w:r>
            <w:rPr>
              <w:noProof/>
            </w:rPr>
            <w:t>9</w:t>
          </w:r>
        </w:fldSimple>
      </w:p>
    </w:sdtContent>
  </w:sdt>
  <w:p w:rsidR="008B3052" w:rsidRDefault="008B3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4033"/>
    <w:multiLevelType w:val="hybridMultilevel"/>
    <w:tmpl w:val="47EA5BF4"/>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1024213"/>
    <w:multiLevelType w:val="hybridMultilevel"/>
    <w:tmpl w:val="B64C2100"/>
    <w:lvl w:ilvl="0" w:tplc="E4A652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80E53"/>
    <w:rsid w:val="000467CF"/>
    <w:rsid w:val="00157BF8"/>
    <w:rsid w:val="00165C3A"/>
    <w:rsid w:val="001B41B7"/>
    <w:rsid w:val="00255643"/>
    <w:rsid w:val="00266BD6"/>
    <w:rsid w:val="0031197B"/>
    <w:rsid w:val="003E313E"/>
    <w:rsid w:val="00534F9C"/>
    <w:rsid w:val="005376C0"/>
    <w:rsid w:val="005C563E"/>
    <w:rsid w:val="006269F3"/>
    <w:rsid w:val="006432D1"/>
    <w:rsid w:val="007059F5"/>
    <w:rsid w:val="00746160"/>
    <w:rsid w:val="00751F87"/>
    <w:rsid w:val="00761A46"/>
    <w:rsid w:val="00796596"/>
    <w:rsid w:val="008B3052"/>
    <w:rsid w:val="0091282C"/>
    <w:rsid w:val="00980E53"/>
    <w:rsid w:val="00A2102B"/>
    <w:rsid w:val="00B2730F"/>
    <w:rsid w:val="00BB57E2"/>
    <w:rsid w:val="00BD3A79"/>
    <w:rsid w:val="00D57816"/>
    <w:rsid w:val="00F64B8B"/>
    <w:rsid w:val="00FA0513"/>
    <w:rsid w:val="00FA0E71"/>
    <w:rsid w:val="00FF4B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53"/>
  </w:style>
  <w:style w:type="paragraph" w:styleId="Heading1">
    <w:name w:val="heading 1"/>
    <w:basedOn w:val="Normal"/>
    <w:next w:val="Normal"/>
    <w:link w:val="Heading1Char"/>
    <w:uiPriority w:val="99"/>
    <w:qFormat/>
    <w:rsid w:val="0091282C"/>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82C"/>
    <w:rPr>
      <w:rFonts w:ascii="Cambria" w:eastAsia="SimSun" w:hAnsi="Cambria" w:cs="Times New Roman"/>
      <w:b/>
      <w:bCs/>
      <w:color w:val="365F91"/>
      <w:szCs w:val="28"/>
      <w:lang w:eastAsia="lv-LV"/>
    </w:rPr>
  </w:style>
  <w:style w:type="paragraph" w:styleId="ListParagraph">
    <w:name w:val="List Paragraph"/>
    <w:basedOn w:val="Normal"/>
    <w:link w:val="ListParagraphChar"/>
    <w:uiPriority w:val="34"/>
    <w:qFormat/>
    <w:rsid w:val="0091282C"/>
    <w:pPr>
      <w:spacing w:after="200" w:line="276" w:lineRule="auto"/>
      <w:ind w:left="720"/>
      <w:contextualSpacing/>
    </w:pPr>
    <w:rPr>
      <w:rFonts w:ascii="Calibri" w:eastAsia="Times New Roman" w:hAnsi="Calibri" w:cs="Times New Roman"/>
      <w:sz w:val="22"/>
      <w:szCs w:val="20"/>
    </w:rPr>
  </w:style>
  <w:style w:type="table" w:styleId="TableGrid">
    <w:name w:val="Table Grid"/>
    <w:basedOn w:val="TableNormal"/>
    <w:uiPriority w:val="39"/>
    <w:rsid w:val="0091282C"/>
    <w:rPr>
      <w:rFonts w:ascii="Calibri" w:eastAsia="Times New Roman"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91282C"/>
    <w:rPr>
      <w:rFonts w:ascii="Calibri" w:eastAsia="Calibri" w:hAnsi="Calibri" w:cs="Times New Roman"/>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rsid w:val="0091282C"/>
    <w:rPr>
      <w:rFonts w:ascii="Calibri" w:eastAsia="Calibri" w:hAnsi="Calibri" w:cs="Times New Roman"/>
      <w:sz w:val="20"/>
      <w:szCs w:val="20"/>
      <w:lang w:eastAsia="lv-LV"/>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91282C"/>
    <w:rPr>
      <w:rFonts w:cs="Times New Roman"/>
      <w:vertAlign w:val="superscript"/>
    </w:rPr>
  </w:style>
  <w:style w:type="character" w:styleId="CommentReference">
    <w:name w:val="annotation reference"/>
    <w:basedOn w:val="DefaultParagraphFont"/>
    <w:rsid w:val="0091282C"/>
    <w:rPr>
      <w:rFonts w:cs="Times New Roman"/>
      <w:sz w:val="16"/>
    </w:rPr>
  </w:style>
  <w:style w:type="paragraph" w:styleId="CommentText">
    <w:name w:val="annotation text"/>
    <w:basedOn w:val="Normal"/>
    <w:link w:val="CommentTextChar"/>
    <w:rsid w:val="0091282C"/>
    <w:pPr>
      <w:spacing w:after="200"/>
    </w:pPr>
    <w:rPr>
      <w:rFonts w:ascii="Calibri" w:eastAsia="Calibri" w:hAnsi="Calibri" w:cs="Times New Roman"/>
      <w:sz w:val="20"/>
      <w:szCs w:val="20"/>
      <w:lang w:eastAsia="lv-LV"/>
    </w:rPr>
  </w:style>
  <w:style w:type="character" w:customStyle="1" w:styleId="CommentTextChar">
    <w:name w:val="Comment Text Char"/>
    <w:basedOn w:val="DefaultParagraphFont"/>
    <w:link w:val="CommentText"/>
    <w:rsid w:val="0091282C"/>
    <w:rPr>
      <w:rFonts w:ascii="Calibri" w:eastAsia="Calibri" w:hAnsi="Calibri" w:cs="Times New Roman"/>
      <w:sz w:val="20"/>
      <w:szCs w:val="20"/>
      <w:lang w:eastAsia="lv-LV"/>
    </w:rPr>
  </w:style>
  <w:style w:type="character" w:customStyle="1" w:styleId="ListParagraphChar">
    <w:name w:val="List Paragraph Char"/>
    <w:link w:val="ListParagraph"/>
    <w:uiPriority w:val="34"/>
    <w:locked/>
    <w:rsid w:val="0091282C"/>
    <w:rPr>
      <w:rFonts w:ascii="Calibri" w:eastAsia="Times New Roman" w:hAnsi="Calibri" w:cs="Times New Roman"/>
      <w:sz w:val="22"/>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91282C"/>
    <w:pPr>
      <w:spacing w:after="160" w:line="240" w:lineRule="exact"/>
      <w:jc w:val="both"/>
      <w:textAlignment w:val="baseline"/>
    </w:pPr>
    <w:rPr>
      <w:rFonts w:cs="Times New Roman"/>
      <w:vertAlign w:val="superscript"/>
    </w:rPr>
  </w:style>
  <w:style w:type="paragraph" w:styleId="BalloonText">
    <w:name w:val="Balloon Text"/>
    <w:basedOn w:val="Normal"/>
    <w:link w:val="BalloonTextChar"/>
    <w:uiPriority w:val="99"/>
    <w:semiHidden/>
    <w:unhideWhenUsed/>
    <w:rsid w:val="00912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82C"/>
    <w:rPr>
      <w:rFonts w:ascii="Segoe UI" w:hAnsi="Segoe UI" w:cs="Segoe UI"/>
      <w:sz w:val="18"/>
      <w:szCs w:val="18"/>
    </w:rPr>
  </w:style>
  <w:style w:type="paragraph" w:styleId="Header">
    <w:name w:val="header"/>
    <w:basedOn w:val="Normal"/>
    <w:link w:val="HeaderChar"/>
    <w:uiPriority w:val="99"/>
    <w:unhideWhenUsed/>
    <w:rsid w:val="00B2730F"/>
    <w:pPr>
      <w:tabs>
        <w:tab w:val="center" w:pos="4153"/>
        <w:tab w:val="right" w:pos="8306"/>
      </w:tabs>
    </w:pPr>
  </w:style>
  <w:style w:type="character" w:customStyle="1" w:styleId="HeaderChar">
    <w:name w:val="Header Char"/>
    <w:basedOn w:val="DefaultParagraphFont"/>
    <w:link w:val="Header"/>
    <w:uiPriority w:val="99"/>
    <w:rsid w:val="00B2730F"/>
  </w:style>
  <w:style w:type="paragraph" w:styleId="Footer">
    <w:name w:val="footer"/>
    <w:basedOn w:val="Normal"/>
    <w:link w:val="FooterChar"/>
    <w:uiPriority w:val="99"/>
    <w:unhideWhenUsed/>
    <w:rsid w:val="00B2730F"/>
    <w:pPr>
      <w:tabs>
        <w:tab w:val="center" w:pos="4153"/>
        <w:tab w:val="right" w:pos="8306"/>
      </w:tabs>
    </w:pPr>
  </w:style>
  <w:style w:type="character" w:customStyle="1" w:styleId="FooterChar">
    <w:name w:val="Footer Char"/>
    <w:basedOn w:val="DefaultParagraphFont"/>
    <w:link w:val="Footer"/>
    <w:uiPriority w:val="99"/>
    <w:rsid w:val="00B2730F"/>
  </w:style>
  <w:style w:type="character" w:styleId="Hyperlink">
    <w:name w:val="Hyperlink"/>
    <w:rsid w:val="00157B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53"/>
  </w:style>
  <w:style w:type="paragraph" w:styleId="Heading1">
    <w:name w:val="heading 1"/>
    <w:basedOn w:val="Normal"/>
    <w:next w:val="Normal"/>
    <w:link w:val="Heading1Char"/>
    <w:uiPriority w:val="99"/>
    <w:qFormat/>
    <w:rsid w:val="0091282C"/>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82C"/>
    <w:rPr>
      <w:rFonts w:ascii="Cambria" w:eastAsia="SimSun" w:hAnsi="Cambria" w:cs="Times New Roman"/>
      <w:b/>
      <w:bCs/>
      <w:color w:val="365F91"/>
      <w:szCs w:val="28"/>
      <w:lang w:eastAsia="lv-LV"/>
    </w:rPr>
  </w:style>
  <w:style w:type="paragraph" w:styleId="ListParagraph">
    <w:name w:val="List Paragraph"/>
    <w:basedOn w:val="Normal"/>
    <w:link w:val="ListParagraphChar"/>
    <w:uiPriority w:val="34"/>
    <w:qFormat/>
    <w:rsid w:val="0091282C"/>
    <w:pPr>
      <w:spacing w:after="200" w:line="276" w:lineRule="auto"/>
      <w:ind w:left="720"/>
      <w:contextualSpacing/>
    </w:pPr>
    <w:rPr>
      <w:rFonts w:ascii="Calibri" w:eastAsia="Times New Roman" w:hAnsi="Calibri" w:cs="Times New Roman"/>
      <w:sz w:val="22"/>
      <w:szCs w:val="20"/>
    </w:rPr>
  </w:style>
  <w:style w:type="table" w:styleId="TableGrid">
    <w:name w:val="Table Grid"/>
    <w:basedOn w:val="TableNormal"/>
    <w:uiPriority w:val="39"/>
    <w:rsid w:val="0091282C"/>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91282C"/>
    <w:rPr>
      <w:rFonts w:ascii="Calibri" w:eastAsia="Calibri" w:hAnsi="Calibri" w:cs="Times New Roman"/>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rsid w:val="0091282C"/>
    <w:rPr>
      <w:rFonts w:ascii="Calibri" w:eastAsia="Calibri" w:hAnsi="Calibri" w:cs="Times New Roman"/>
      <w:sz w:val="20"/>
      <w:szCs w:val="20"/>
      <w:lang w:eastAsia="lv-LV"/>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91282C"/>
    <w:rPr>
      <w:rFonts w:cs="Times New Roman"/>
      <w:vertAlign w:val="superscript"/>
    </w:rPr>
  </w:style>
  <w:style w:type="character" w:styleId="CommentReference">
    <w:name w:val="annotation reference"/>
    <w:basedOn w:val="DefaultParagraphFont"/>
    <w:rsid w:val="0091282C"/>
    <w:rPr>
      <w:rFonts w:cs="Times New Roman"/>
      <w:sz w:val="16"/>
    </w:rPr>
  </w:style>
  <w:style w:type="paragraph" w:styleId="CommentText">
    <w:name w:val="annotation text"/>
    <w:basedOn w:val="Normal"/>
    <w:link w:val="CommentTextChar"/>
    <w:rsid w:val="0091282C"/>
    <w:pPr>
      <w:spacing w:after="200"/>
    </w:pPr>
    <w:rPr>
      <w:rFonts w:ascii="Calibri" w:eastAsia="Calibri" w:hAnsi="Calibri" w:cs="Times New Roman"/>
      <w:sz w:val="20"/>
      <w:szCs w:val="20"/>
      <w:lang w:eastAsia="lv-LV"/>
    </w:rPr>
  </w:style>
  <w:style w:type="character" w:customStyle="1" w:styleId="CommentTextChar">
    <w:name w:val="Comment Text Char"/>
    <w:basedOn w:val="DefaultParagraphFont"/>
    <w:link w:val="CommentText"/>
    <w:rsid w:val="0091282C"/>
    <w:rPr>
      <w:rFonts w:ascii="Calibri" w:eastAsia="Calibri" w:hAnsi="Calibri" w:cs="Times New Roman"/>
      <w:sz w:val="20"/>
      <w:szCs w:val="20"/>
      <w:lang w:eastAsia="lv-LV"/>
    </w:rPr>
  </w:style>
  <w:style w:type="character" w:customStyle="1" w:styleId="ListParagraphChar">
    <w:name w:val="List Paragraph Char"/>
    <w:link w:val="ListParagraph"/>
    <w:uiPriority w:val="34"/>
    <w:locked/>
    <w:rsid w:val="0091282C"/>
    <w:rPr>
      <w:rFonts w:ascii="Calibri" w:eastAsia="Times New Roman" w:hAnsi="Calibri" w:cs="Times New Roman"/>
      <w:sz w:val="22"/>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91282C"/>
    <w:pPr>
      <w:spacing w:after="160" w:line="240" w:lineRule="exact"/>
      <w:jc w:val="both"/>
      <w:textAlignment w:val="baseline"/>
    </w:pPr>
    <w:rPr>
      <w:rFonts w:cs="Times New Roman"/>
      <w:vertAlign w:val="superscript"/>
    </w:rPr>
  </w:style>
  <w:style w:type="paragraph" w:styleId="BalloonText">
    <w:name w:val="Balloon Text"/>
    <w:basedOn w:val="Normal"/>
    <w:link w:val="BalloonTextChar"/>
    <w:uiPriority w:val="99"/>
    <w:semiHidden/>
    <w:unhideWhenUsed/>
    <w:rsid w:val="00912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82C"/>
    <w:rPr>
      <w:rFonts w:ascii="Segoe UI" w:hAnsi="Segoe UI" w:cs="Segoe UI"/>
      <w:sz w:val="18"/>
      <w:szCs w:val="18"/>
    </w:rPr>
  </w:style>
  <w:style w:type="paragraph" w:styleId="Header">
    <w:name w:val="header"/>
    <w:basedOn w:val="Normal"/>
    <w:link w:val="HeaderChar"/>
    <w:uiPriority w:val="99"/>
    <w:unhideWhenUsed/>
    <w:rsid w:val="00B2730F"/>
    <w:pPr>
      <w:tabs>
        <w:tab w:val="center" w:pos="4153"/>
        <w:tab w:val="right" w:pos="8306"/>
      </w:tabs>
    </w:pPr>
  </w:style>
  <w:style w:type="character" w:customStyle="1" w:styleId="HeaderChar">
    <w:name w:val="Header Char"/>
    <w:basedOn w:val="DefaultParagraphFont"/>
    <w:link w:val="Header"/>
    <w:uiPriority w:val="99"/>
    <w:rsid w:val="00B2730F"/>
  </w:style>
  <w:style w:type="paragraph" w:styleId="Footer">
    <w:name w:val="footer"/>
    <w:basedOn w:val="Normal"/>
    <w:link w:val="FooterChar"/>
    <w:uiPriority w:val="99"/>
    <w:unhideWhenUsed/>
    <w:rsid w:val="00B2730F"/>
    <w:pPr>
      <w:tabs>
        <w:tab w:val="center" w:pos="4153"/>
        <w:tab w:val="right" w:pos="8306"/>
      </w:tabs>
    </w:pPr>
  </w:style>
  <w:style w:type="character" w:customStyle="1" w:styleId="FooterChar">
    <w:name w:val="Footer Char"/>
    <w:basedOn w:val="DefaultParagraphFont"/>
    <w:link w:val="Footer"/>
    <w:uiPriority w:val="99"/>
    <w:rsid w:val="00B2730F"/>
  </w:style>
  <w:style w:type="character" w:styleId="Hyperlink">
    <w:name w:val="Hyperlink"/>
    <w:rsid w:val="00157BF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mailto:ilze.briede@pmlp.gov.l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extLst>
              <c:ext xmlns:c15="http://schemas.microsoft.com/office/drawing/2012/chart" uri="{CE6537A1-D6FC-4f65-9D91-7224C49458BB}">
                <c15:layout/>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2</c:v>
                </c:pt>
                <c:pt idx="1">
                  <c:v>20</c:v>
                </c:pt>
                <c:pt idx="2">
                  <c:v>73</c:v>
                </c:pt>
                <c:pt idx="3">
                  <c:v>446</c:v>
                </c:pt>
                <c:pt idx="4">
                  <c:v>312</c:v>
                </c:pt>
                <c:pt idx="5">
                  <c:v>1240</c:v>
                </c:pt>
                <c:pt idx="6">
                  <c:v>841</c:v>
                </c:pt>
                <c:pt idx="7">
                  <c:v>34</c:v>
                </c:pt>
                <c:pt idx="8">
                  <c:v>313</c:v>
                </c:pt>
                <c:pt idx="9">
                  <c:v>0</c:v>
                </c:pt>
                <c:pt idx="10">
                  <c:v>0</c:v>
                </c:pt>
              </c:numCache>
            </c:numRef>
          </c:val>
        </c:ser>
        <c:axId val="46662400"/>
        <c:axId val="46682880"/>
      </c:barChart>
      <c:catAx>
        <c:axId val="46662400"/>
        <c:scaling>
          <c:orientation val="minMax"/>
        </c:scaling>
        <c:axPos val="l"/>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46682880"/>
        <c:crosses val="autoZero"/>
        <c:auto val="1"/>
        <c:lblAlgn val="ctr"/>
        <c:lblOffset val="100"/>
      </c:catAx>
      <c:valAx>
        <c:axId val="46682880"/>
        <c:scaling>
          <c:orientation val="minMax"/>
        </c:scaling>
        <c:axPos val="b"/>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lv-LV"/>
          </a:p>
        </c:txPr>
        <c:crossAx val="4666240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extLst>
              <c:ext xmlns:c15="http://schemas.microsoft.com/office/drawing/2012/chart" uri="{CE6537A1-D6FC-4f65-9D91-7224C49458BB}">
                <c15:layout/>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1</c:v>
                </c:pt>
                <c:pt idx="1">
                  <c:v>4</c:v>
                </c:pt>
                <c:pt idx="2">
                  <c:v>10</c:v>
                </c:pt>
                <c:pt idx="3">
                  <c:v>165</c:v>
                </c:pt>
                <c:pt idx="4">
                  <c:v>4</c:v>
                </c:pt>
                <c:pt idx="5">
                  <c:v>21</c:v>
                </c:pt>
                <c:pt idx="6">
                  <c:v>18</c:v>
                </c:pt>
                <c:pt idx="7">
                  <c:v>2</c:v>
                </c:pt>
                <c:pt idx="8">
                  <c:v>26</c:v>
                </c:pt>
                <c:pt idx="9">
                  <c:v>0</c:v>
                </c:pt>
                <c:pt idx="10">
                  <c:v>0</c:v>
                </c:pt>
              </c:numCache>
            </c:numRef>
          </c:val>
        </c:ser>
        <c:axId val="46753280"/>
        <c:axId val="46756224"/>
      </c:barChart>
      <c:catAx>
        <c:axId val="46753280"/>
        <c:scaling>
          <c:orientation val="minMax"/>
        </c:scaling>
        <c:axPos val="l"/>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46756224"/>
        <c:crosses val="autoZero"/>
        <c:auto val="1"/>
        <c:lblAlgn val="ctr"/>
        <c:lblOffset val="100"/>
      </c:catAx>
      <c:valAx>
        <c:axId val="46756224"/>
        <c:scaling>
          <c:orientation val="minMax"/>
        </c:scaling>
        <c:axPos val="b"/>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lv-LV"/>
          </a:p>
        </c:txPr>
        <c:crossAx val="4675328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extLst>
              <c:ext xmlns:c15="http://schemas.microsoft.com/office/drawing/2012/chart" uri="{CE6537A1-D6FC-4f65-9D91-7224C49458BB}">
                <c15:layout/>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1</c:v>
                </c:pt>
                <c:pt idx="1">
                  <c:v>2</c:v>
                </c:pt>
                <c:pt idx="2">
                  <c:v>34</c:v>
                </c:pt>
                <c:pt idx="3">
                  <c:v>271</c:v>
                </c:pt>
                <c:pt idx="4">
                  <c:v>168</c:v>
                </c:pt>
                <c:pt idx="5">
                  <c:v>862</c:v>
                </c:pt>
                <c:pt idx="6">
                  <c:v>496</c:v>
                </c:pt>
                <c:pt idx="7">
                  <c:v>33</c:v>
                </c:pt>
                <c:pt idx="8">
                  <c:v>334</c:v>
                </c:pt>
                <c:pt idx="9">
                  <c:v>0</c:v>
                </c:pt>
                <c:pt idx="10">
                  <c:v>0</c:v>
                </c:pt>
              </c:numCache>
            </c:numRef>
          </c:val>
        </c:ser>
        <c:axId val="46858624"/>
        <c:axId val="46860544"/>
      </c:barChart>
      <c:catAx>
        <c:axId val="46858624"/>
        <c:scaling>
          <c:orientation val="minMax"/>
        </c:scaling>
        <c:axPos val="l"/>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46860544"/>
        <c:crosses val="autoZero"/>
        <c:auto val="1"/>
        <c:lblAlgn val="ctr"/>
        <c:lblOffset val="100"/>
      </c:catAx>
      <c:valAx>
        <c:axId val="46860544"/>
        <c:scaling>
          <c:orientation val="minMax"/>
        </c:scaling>
        <c:axPos val="b"/>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lv-LV"/>
          </a:p>
        </c:txPr>
        <c:crossAx val="4685862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extLst>
              <c:ext xmlns:c15="http://schemas.microsoft.com/office/drawing/2012/chart" uri="{CE6537A1-D6FC-4f65-9D91-7224C49458BB}">
                <c15:layout/>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0</c:v>
                </c:pt>
                <c:pt idx="1">
                  <c:v>0</c:v>
                </c:pt>
                <c:pt idx="2">
                  <c:v>4</c:v>
                </c:pt>
                <c:pt idx="3">
                  <c:v>40</c:v>
                </c:pt>
                <c:pt idx="4">
                  <c:v>2</c:v>
                </c:pt>
                <c:pt idx="5">
                  <c:v>2</c:v>
                </c:pt>
                <c:pt idx="6">
                  <c:v>1</c:v>
                </c:pt>
                <c:pt idx="7">
                  <c:v>1</c:v>
                </c:pt>
                <c:pt idx="8">
                  <c:v>1</c:v>
                </c:pt>
                <c:pt idx="9">
                  <c:v>0</c:v>
                </c:pt>
                <c:pt idx="10">
                  <c:v>0</c:v>
                </c:pt>
              </c:numCache>
            </c:numRef>
          </c:val>
        </c:ser>
        <c:axId val="48119168"/>
        <c:axId val="48137344"/>
      </c:barChart>
      <c:catAx>
        <c:axId val="48119168"/>
        <c:scaling>
          <c:orientation val="minMax"/>
        </c:scaling>
        <c:axPos val="l"/>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48137344"/>
        <c:crosses val="autoZero"/>
        <c:auto val="1"/>
        <c:lblAlgn val="ctr"/>
        <c:lblOffset val="100"/>
      </c:catAx>
      <c:valAx>
        <c:axId val="48137344"/>
        <c:scaling>
          <c:orientation val="minMax"/>
        </c:scaling>
        <c:axPos val="b"/>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lv-LV"/>
          </a:p>
        </c:txPr>
        <c:crossAx val="4811916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9.7354822834645707E-2"/>
          <c:y val="5.4187037037040947E-2"/>
          <c:w val="0.8789631193571017"/>
          <c:h val="0.85253828370790763"/>
        </c:manualLayout>
      </c:layout>
      <c:barChart>
        <c:barDir val="col"/>
        <c:grouping val="clustered"/>
        <c:ser>
          <c:idx val="9"/>
          <c:order val="0"/>
          <c:tx>
            <c:strRef>
              <c:f>Sheet1!$A$2</c:f>
              <c:strCache>
                <c:ptCount val="1"/>
                <c:pt idx="0">
                  <c:v>TUA pieteikumu skaits</c:v>
                </c:pt>
              </c:strCache>
            </c:strRef>
          </c:tx>
          <c:spPr>
            <a:solidFill>
              <a:srgbClr val="C00000"/>
            </a:solidFill>
            <a:ln w="2983">
              <a:noFill/>
              <a:prstDash val="solid"/>
            </a:ln>
          </c:spPr>
          <c:cat>
            <c:strRef>
              <c:f>Sheet1!$B$1:$H$1</c:f>
              <c:strCache>
                <c:ptCount val="7"/>
                <c:pt idx="0">
                  <c:v>2010</c:v>
                </c:pt>
                <c:pt idx="1">
                  <c:v>2011</c:v>
                </c:pt>
                <c:pt idx="2">
                  <c:v>2012</c:v>
                </c:pt>
                <c:pt idx="3">
                  <c:v>2013</c:v>
                </c:pt>
                <c:pt idx="4">
                  <c:v>2014</c:v>
                </c:pt>
                <c:pt idx="5">
                  <c:v>2015</c:v>
                </c:pt>
                <c:pt idx="6">
                  <c:v>2016.I.</c:v>
                </c:pt>
              </c:strCache>
            </c:strRef>
          </c:cat>
          <c:val>
            <c:numRef>
              <c:f>Sheet1!$B$2:$H$2</c:f>
              <c:numCache>
                <c:formatCode>0.0</c:formatCode>
                <c:ptCount val="7"/>
                <c:pt idx="0">
                  <c:v>7.9000000000000056E-2</c:v>
                </c:pt>
                <c:pt idx="1">
                  <c:v>0.66900000000000071</c:v>
                </c:pt>
                <c:pt idx="2">
                  <c:v>1.014</c:v>
                </c:pt>
                <c:pt idx="3">
                  <c:v>1.556</c:v>
                </c:pt>
                <c:pt idx="4">
                  <c:v>2.25</c:v>
                </c:pt>
                <c:pt idx="5">
                  <c:v>0.27200000000000002</c:v>
                </c:pt>
                <c:pt idx="6">
                  <c:v>8.4000000000000047E-2</c:v>
                </c:pt>
              </c:numCache>
            </c:numRef>
          </c:val>
        </c:ser>
        <c:ser>
          <c:idx val="1"/>
          <c:order val="2"/>
          <c:tx>
            <c:strRef>
              <c:f>Sheet1!$A$4</c:f>
              <c:strCache>
                <c:ptCount val="1"/>
                <c:pt idx="0">
                  <c:v>Visu Zemesgrāmatā reģistrēto pirkuma līgumu skaits</c:v>
                </c:pt>
              </c:strCache>
            </c:strRef>
          </c:tx>
          <c:spPr>
            <a:solidFill>
              <a:srgbClr val="4F81BD"/>
            </a:solidFill>
            <a:ln>
              <a:noFill/>
            </a:ln>
          </c:spPr>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Val val="1"/>
            <c:extLst>
              <c:ext xmlns:c15="http://schemas.microsoft.com/office/drawing/2012/chart" uri="{CE6537A1-D6FC-4f65-9D91-7224C49458BB}">
                <c15:layout/>
                <c15:showLeaderLines val="0"/>
              </c:ext>
            </c:extLst>
          </c:dLbls>
          <c:cat>
            <c:strRef>
              <c:f>Sheet1!$B$1:$H$1</c:f>
              <c:strCache>
                <c:ptCount val="7"/>
                <c:pt idx="0">
                  <c:v>2010</c:v>
                </c:pt>
                <c:pt idx="1">
                  <c:v>2011</c:v>
                </c:pt>
                <c:pt idx="2">
                  <c:v>2012</c:v>
                </c:pt>
                <c:pt idx="3">
                  <c:v>2013</c:v>
                </c:pt>
                <c:pt idx="4">
                  <c:v>2014</c:v>
                </c:pt>
                <c:pt idx="5">
                  <c:v>2015</c:v>
                </c:pt>
                <c:pt idx="6">
                  <c:v>2016.I.</c:v>
                </c:pt>
              </c:strCache>
            </c:strRef>
          </c:cat>
          <c:val>
            <c:numRef>
              <c:f>Sheet1!$B$4:$H$4</c:f>
              <c:numCache>
                <c:formatCode>0.0</c:formatCode>
                <c:ptCount val="7"/>
                <c:pt idx="0">
                  <c:v>31.405999999999981</c:v>
                </c:pt>
                <c:pt idx="1">
                  <c:v>35.267000000000003</c:v>
                </c:pt>
                <c:pt idx="2">
                  <c:v>38.638000000000012</c:v>
                </c:pt>
                <c:pt idx="3">
                  <c:v>43.976000000000006</c:v>
                </c:pt>
                <c:pt idx="4">
                  <c:v>44.579000000000001</c:v>
                </c:pt>
                <c:pt idx="5">
                  <c:v>44.160000000000011</c:v>
                </c:pt>
                <c:pt idx="6" formatCode="0">
                  <c:v>24.19</c:v>
                </c:pt>
              </c:numCache>
            </c:numRef>
          </c:val>
        </c:ser>
        <c:gapWidth val="40"/>
        <c:overlap val="-4"/>
        <c:axId val="48881664"/>
        <c:axId val="52048256"/>
      </c:barChart>
      <c:lineChart>
        <c:grouping val="standard"/>
        <c:ser>
          <c:idx val="0"/>
          <c:order val="1"/>
          <c:tx>
            <c:strRef>
              <c:f>Sheet1!$A$3</c:f>
              <c:strCache>
                <c:ptCount val="1"/>
                <c:pt idx="0">
                  <c:v>TUA investīciju summa</c:v>
                </c:pt>
              </c:strCache>
            </c:strRef>
          </c:tx>
          <c:marker>
            <c:symbol val="none"/>
          </c:marker>
          <c:cat>
            <c:strRef>
              <c:f>Sheet1!$B$1:$H$1</c:f>
              <c:strCache>
                <c:ptCount val="7"/>
                <c:pt idx="0">
                  <c:v>2010</c:v>
                </c:pt>
                <c:pt idx="1">
                  <c:v>2011</c:v>
                </c:pt>
                <c:pt idx="2">
                  <c:v>2012</c:v>
                </c:pt>
                <c:pt idx="3">
                  <c:v>2013</c:v>
                </c:pt>
                <c:pt idx="4">
                  <c:v>2014</c:v>
                </c:pt>
                <c:pt idx="5">
                  <c:v>2015</c:v>
                </c:pt>
                <c:pt idx="6">
                  <c:v>2016.I.</c:v>
                </c:pt>
              </c:strCache>
            </c:strRef>
          </c:cat>
          <c:val>
            <c:numRef>
              <c:f>Sheet1!$B$3:$H$3</c:f>
              <c:numCache>
                <c:formatCode>0.0</c:formatCode>
                <c:ptCount val="7"/>
                <c:pt idx="0">
                  <c:v>15.843266</c:v>
                </c:pt>
                <c:pt idx="1">
                  <c:v>138.60153099999999</c:v>
                </c:pt>
                <c:pt idx="2">
                  <c:v>208.04118600000001</c:v>
                </c:pt>
                <c:pt idx="3">
                  <c:v>296.9661129999995</c:v>
                </c:pt>
                <c:pt idx="4">
                  <c:v>397.3</c:v>
                </c:pt>
                <c:pt idx="5">
                  <c:v>72.86999999999999</c:v>
                </c:pt>
                <c:pt idx="6" formatCode="0">
                  <c:v>25.8</c:v>
                </c:pt>
              </c:numCache>
            </c:numRef>
          </c:val>
        </c:ser>
        <c:ser>
          <c:idx val="2"/>
          <c:order val="3"/>
          <c:tx>
            <c:strRef>
              <c:f>Sheet1!$A$5</c:f>
              <c:strCache>
                <c:ptCount val="1"/>
              </c:strCache>
            </c:strRef>
          </c:tx>
          <c:spPr>
            <a:ln>
              <a:solidFill>
                <a:srgbClr val="9BBB59">
                  <a:lumMod val="50000"/>
                </a:srgbClr>
              </a:solidFill>
            </a:ln>
          </c:spPr>
          <c:marker>
            <c:symbol val="none"/>
          </c:marker>
          <c:dLbls>
            <c:dLbl>
              <c:idx val="3"/>
              <c:layout>
                <c:manualLayout>
                  <c:x val="-6.9867841409691933E-2"/>
                  <c:y val="9.1611479028697526E-2"/>
                </c:manualLayout>
              </c:layout>
              <c:dLblPos val="r"/>
              <c:showVal val="1"/>
              <c:extLst>
                <c:ext xmlns:c15="http://schemas.microsoft.com/office/drawing/2012/chart" uri="{CE6537A1-D6FC-4f65-9D91-7224C49458BB}"/>
              </c:extLst>
            </c:dLbl>
            <c:dLbl>
              <c:idx val="4"/>
              <c:layout>
                <c:manualLayout>
                  <c:x val="-8.2261380323054328E-2"/>
                  <c:y val="5.6291390728476817E-2"/>
                </c:manualLayout>
              </c:layout>
              <c:dLblPos val="r"/>
              <c:showVal val="1"/>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dLblPos val="b"/>
            <c:showVal val="1"/>
            <c:extLst>
              <c:ext xmlns:c15="http://schemas.microsoft.com/office/drawing/2012/chart" uri="{CE6537A1-D6FC-4f65-9D91-7224C49458BB}">
                <c15:showLeaderLines val="0"/>
              </c:ext>
            </c:extLst>
          </c:dLbls>
          <c:cat>
            <c:strRef>
              <c:f>Sheet1!$B$1:$H$1</c:f>
              <c:strCache>
                <c:ptCount val="7"/>
                <c:pt idx="0">
                  <c:v>2010</c:v>
                </c:pt>
                <c:pt idx="1">
                  <c:v>2011</c:v>
                </c:pt>
                <c:pt idx="2">
                  <c:v>2012</c:v>
                </c:pt>
                <c:pt idx="3">
                  <c:v>2013</c:v>
                </c:pt>
                <c:pt idx="4">
                  <c:v>2014</c:v>
                </c:pt>
                <c:pt idx="5">
                  <c:v>2015</c:v>
                </c:pt>
                <c:pt idx="6">
                  <c:v>2016.I.</c:v>
                </c:pt>
              </c:strCache>
            </c:strRef>
          </c:cat>
          <c:val>
            <c:numRef>
              <c:f>Sheet1!$B$5:$H$5</c:f>
              <c:numCache>
                <c:formatCode>General</c:formatCode>
                <c:ptCount val="7"/>
              </c:numCache>
            </c:numRef>
          </c:val>
        </c:ser>
        <c:marker val="1"/>
        <c:axId val="52049792"/>
        <c:axId val="52704000"/>
      </c:lineChart>
      <c:catAx>
        <c:axId val="48881664"/>
        <c:scaling>
          <c:orientation val="minMax"/>
        </c:scaling>
        <c:axPos val="b"/>
        <c:numFmt formatCode="General" sourceLinked="1"/>
        <c:tickLblPos val="low"/>
        <c:spPr>
          <a:ln w="2983">
            <a:solidFill>
              <a:sysClr val="window" lastClr="FFFFFF">
                <a:lumMod val="50000"/>
              </a:sysClr>
            </a:solidFill>
            <a:prstDash val="solid"/>
          </a:ln>
        </c:spPr>
        <c:txPr>
          <a:bodyPr rot="0" vert="horz"/>
          <a:lstStyle/>
          <a:p>
            <a:pPr>
              <a:defRPr>
                <a:latin typeface="Times New Roman" panose="02020603050405020304" pitchFamily="18" charset="0"/>
                <a:cs typeface="Times New Roman" panose="02020603050405020304" pitchFamily="18" charset="0"/>
              </a:defRPr>
            </a:pPr>
            <a:endParaRPr lang="lv-LV"/>
          </a:p>
        </c:txPr>
        <c:crossAx val="52048256"/>
        <c:crosses val="autoZero"/>
        <c:lblAlgn val="ctr"/>
        <c:lblOffset val="100"/>
      </c:catAx>
      <c:valAx>
        <c:axId val="52048256"/>
        <c:scaling>
          <c:orientation val="minMax"/>
          <c:max val="60"/>
          <c:min val="0"/>
        </c:scaling>
        <c:axPos val="l"/>
        <c:numFmt formatCode="0" sourceLinked="0"/>
        <c:tickLblPos val="nextTo"/>
        <c:spPr>
          <a:ln w="2983">
            <a:solidFill>
              <a:sysClr val="window" lastClr="FFFFFF">
                <a:lumMod val="50000"/>
              </a:sysClr>
            </a:solidFill>
            <a:prstDash val="solid"/>
          </a:ln>
        </c:spPr>
        <c:txPr>
          <a:bodyPr rot="0" vert="horz"/>
          <a:lstStyle/>
          <a:p>
            <a:pPr>
              <a:defRPr>
                <a:latin typeface="Times New Roman" panose="02020603050405020304" pitchFamily="18" charset="0"/>
                <a:cs typeface="Times New Roman" panose="02020603050405020304" pitchFamily="18" charset="0"/>
              </a:defRPr>
            </a:pPr>
            <a:endParaRPr lang="lv-LV"/>
          </a:p>
        </c:txPr>
        <c:crossAx val="48881664"/>
        <c:crosses val="autoZero"/>
        <c:crossBetween val="between"/>
        <c:majorUnit val="15"/>
      </c:valAx>
      <c:catAx>
        <c:axId val="52049792"/>
        <c:scaling>
          <c:orientation val="minMax"/>
        </c:scaling>
        <c:delete val="1"/>
        <c:axPos val="b"/>
        <c:numFmt formatCode="General" sourceLinked="1"/>
        <c:tickLblPos val="none"/>
        <c:crossAx val="52704000"/>
        <c:crosses val="autoZero"/>
        <c:auto val="1"/>
        <c:lblAlgn val="ctr"/>
        <c:lblOffset val="100"/>
      </c:catAx>
      <c:valAx>
        <c:axId val="52704000"/>
        <c:scaling>
          <c:orientation val="minMax"/>
          <c:max val="2000"/>
          <c:min val="0"/>
        </c:scaling>
        <c:axPos val="r"/>
        <c:numFmt formatCode="0" sourceLinked="0"/>
        <c:tickLblPos val="nextTo"/>
        <c:txPr>
          <a:bodyPr/>
          <a:lstStyle/>
          <a:p>
            <a:pPr>
              <a:defRPr>
                <a:latin typeface="Times New Roman" panose="02020603050405020304" pitchFamily="18" charset="0"/>
                <a:cs typeface="Times New Roman" panose="02020603050405020304" pitchFamily="18" charset="0"/>
              </a:defRPr>
            </a:pPr>
            <a:endParaRPr lang="lv-LV"/>
          </a:p>
        </c:txPr>
        <c:crossAx val="52049792"/>
        <c:crosses val="max"/>
        <c:crossBetween val="between"/>
        <c:majorUnit val="500"/>
      </c:valAx>
      <c:spPr>
        <a:noFill/>
        <a:ln w="23861">
          <a:noFill/>
        </a:ln>
      </c:spPr>
    </c:plotArea>
    <c:legend>
      <c:legendPos val="t"/>
      <c:layout>
        <c:manualLayout>
          <c:xMode val="edge"/>
          <c:yMode val="edge"/>
          <c:x val="5.603202741018655E-2"/>
          <c:y val="7.7926088115991212E-4"/>
          <c:w val="0.57781735398258471"/>
          <c:h val="0.2505519041524768"/>
        </c:manualLayout>
      </c:layout>
      <c:overlay val="1"/>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chart>
  <c:spPr>
    <a:noFill/>
    <a:ln>
      <a:noFill/>
    </a:ln>
  </c:spPr>
  <c:txPr>
    <a:bodyPr/>
    <a:lstStyle/>
    <a:p>
      <a:pPr>
        <a:defRPr sz="1000" b="0" i="0" u="none" strike="noStrike" baseline="0">
          <a:solidFill>
            <a:srgbClr val="000000"/>
          </a:solidFill>
          <a:latin typeface="Arial" panose="020B0604020202020204" pitchFamily="34" charset="0"/>
          <a:ea typeface="Arial"/>
          <a:cs typeface="Arial" panose="020B0604020202020204" pitchFamily="34" charset="0"/>
        </a:defRPr>
      </a:pPr>
      <a:endParaRPr lang="lv-LV"/>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Sales</c:v>
                </c:pt>
              </c:strCache>
            </c:strRef>
          </c:tx>
          <c:dLbls>
            <c:dLbl>
              <c:idx val="0"/>
              <c:layout>
                <c:manualLayout>
                  <c:x val="0.10600750409554505"/>
                  <c:y val="1.8191498304704755E-3"/>
                </c:manualLayout>
              </c:layout>
              <c:showVal val="1"/>
              <c:showCatName val="1"/>
              <c:separator>
</c:separator>
              <c:extLst>
                <c:ext xmlns:c15="http://schemas.microsoft.com/office/drawing/2012/chart" uri="{CE6537A1-D6FC-4f65-9D91-7224C49458BB}">
                  <c15:layout>
                    <c:manualLayout>
                      <c:w val="0.29404921700223713"/>
                      <c:h val="0.17793594306049823"/>
                    </c:manualLayout>
                  </c15:layout>
                </c:ext>
              </c:extLst>
            </c:dLbl>
            <c:dLbl>
              <c:idx val="1"/>
              <c:layout>
                <c:manualLayout>
                  <c:x val="3.5627050522143919E-3"/>
                  <c:y val="5.6145122584253639E-3"/>
                </c:manualLayout>
              </c:layout>
              <c:spPr>
                <a:noFill/>
                <a:ln>
                  <a:noFill/>
                </a:ln>
                <a:effectLst/>
              </c:spPr>
              <c:txPr>
                <a:bodyPr vertOverflow="overflow" horzOverflow="overflow">
                  <a:noAutofit/>
                </a:bodyPr>
                <a:lstStyle/>
                <a:p>
                  <a:pPr>
                    <a:defRPr b="1">
                      <a:latin typeface="Times New Roman" panose="02020603050405020304" pitchFamily="18" charset="0"/>
                      <a:cs typeface="Times New Roman" panose="02020603050405020304" pitchFamily="18" charset="0"/>
                    </a:defRPr>
                  </a:pPr>
                  <a:endParaRPr lang="lv-LV"/>
                </a:p>
              </c:txPr>
              <c:showVal val="1"/>
              <c:showCatName val="1"/>
              <c:separator>
</c:separator>
              <c:extLst>
                <c:ext xmlns:c15="http://schemas.microsoft.com/office/drawing/2012/chart" uri="{CE6537A1-D6FC-4f65-9D91-7224C49458BB}">
                  <c15:layout>
                    <c:manualLayout>
                      <c:w val="0.15738061265831704"/>
                      <c:h val="0.13231559578184399"/>
                    </c:manualLayout>
                  </c15:layout>
                </c:ext>
              </c:extLst>
            </c:dLbl>
            <c:dLbl>
              <c:idx val="2"/>
              <c:layout>
                <c:manualLayout>
                  <c:x val="1.5782390837508903E-2"/>
                  <c:y val="-1.1812626475125911E-2"/>
                </c:manualLayout>
              </c:layout>
              <c:showVal val="1"/>
              <c:showCatName val="1"/>
              <c:separator>
</c:separator>
              <c:extLst>
                <c:ext xmlns:c15="http://schemas.microsoft.com/office/drawing/2012/chart" uri="{CE6537A1-D6FC-4f65-9D91-7224C49458BB}">
                  <c15:layout/>
                </c:ext>
              </c:extLst>
            </c:dLbl>
            <c:dLbl>
              <c:idx val="3"/>
              <c:layout>
                <c:manualLayout>
                  <c:x val="1.5515151515151581E-3"/>
                  <c:y val="3.2222956863216551E-2"/>
                </c:manualLayout>
              </c:layout>
              <c:showVal val="1"/>
              <c:showCatName val="1"/>
              <c:separator>
</c:separator>
              <c:extLst>
                <c:ext xmlns:c15="http://schemas.microsoft.com/office/drawing/2012/chart" uri="{CE6537A1-D6FC-4f65-9D91-7224C49458BB}">
                  <c15:layout/>
                </c:ext>
              </c:extLst>
            </c:dLbl>
            <c:dLbl>
              <c:idx val="4"/>
              <c:layout>
                <c:manualLayout>
                  <c:x val="-1.5328083989501315E-2"/>
                  <c:y val="7.318787441646131E-2"/>
                </c:manualLayout>
              </c:layout>
              <c:showVal val="1"/>
              <c:showCatName val="1"/>
              <c:separator>
</c:separator>
              <c:extLst>
                <c:ext xmlns:c15="http://schemas.microsoft.com/office/drawing/2012/chart" uri="{CE6537A1-D6FC-4f65-9D91-7224C49458BB}">
                  <c15:layout/>
                </c:ext>
              </c:extLst>
            </c:dLbl>
            <c:dLbl>
              <c:idx val="5"/>
              <c:layout>
                <c:manualLayout>
                  <c:x val="-6.3421938029558384E-3"/>
                  <c:y val="1.1063599256498692E-2"/>
                </c:manualLayout>
              </c:layout>
              <c:showVal val="1"/>
              <c:showCatName val="1"/>
              <c:separator>
</c:separator>
              <c:extLst>
                <c:ext xmlns:c15="http://schemas.microsoft.com/office/drawing/2012/chart" uri="{CE6537A1-D6FC-4f65-9D91-7224C49458BB}">
                  <c15:layout/>
                </c:ext>
              </c:extLst>
            </c:dLbl>
            <c:dLbl>
              <c:idx val="6"/>
              <c:layout>
                <c:manualLayout>
                  <c:x val="4.271873733904078E-3"/>
                  <c:y val="-2.8469377270901652E-2"/>
                </c:manualLayout>
              </c:layout>
              <c:showVal val="1"/>
              <c:showCatName val="1"/>
              <c:separator>
</c:separator>
              <c:extLst>
                <c:ext xmlns:c15="http://schemas.microsoft.com/office/drawing/2012/chart" uri="{CE6537A1-D6FC-4f65-9D91-7224C49458BB}">
                  <c15:layout>
                    <c:manualLayout>
                      <c:w val="0.36827317726223813"/>
                      <c:h val="0.17986942023706112"/>
                    </c:manualLayout>
                  </c15:layout>
                </c:ext>
              </c:extLst>
            </c:dLbl>
            <c:dLbl>
              <c:idx val="7"/>
              <c:layout>
                <c:manualLayout>
                  <c:x val="6.1337349609822282E-2"/>
                  <c:y val="2.3724792408066431E-3"/>
                </c:manualLayout>
              </c:layout>
              <c:showVal val="1"/>
              <c:showCatName val="1"/>
              <c:separator>
</c:separator>
              <c:extLst>
                <c:ext xmlns:c15="http://schemas.microsoft.com/office/drawing/2012/chart" uri="{CE6537A1-D6FC-4f65-9D91-7224C49458BB}">
                  <c15:layout/>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Val val="1"/>
            <c:showCatName val="1"/>
            <c:separator>
</c:separator>
            <c:showLeaderLines val="1"/>
            <c:extLst>
              <c:ext xmlns:c15="http://schemas.microsoft.com/office/drawing/2012/chart" uri="{CE6537A1-D6FC-4f65-9D91-7224C49458BB}"/>
            </c:extLst>
          </c:dLbls>
          <c:cat>
            <c:strRef>
              <c:f>Sheet1!$A$2:$A$9</c:f>
              <c:strCache>
                <c:ptCount val="8"/>
                <c:pt idx="0">
                  <c:v>2016. I.-VII.</c:v>
                </c:pt>
                <c:pt idx="1">
                  <c:v>2015.</c:v>
                </c:pt>
                <c:pt idx="2">
                  <c:v>2014.</c:v>
                </c:pt>
                <c:pt idx="3">
                  <c:v>2013.</c:v>
                </c:pt>
                <c:pt idx="4">
                  <c:v>2012.</c:v>
                </c:pt>
                <c:pt idx="5">
                  <c:v>2011.</c:v>
                </c:pt>
                <c:pt idx="6">
                  <c:v>2010.</c:v>
                </c:pt>
                <c:pt idx="7">
                  <c:v>vecāki par 2010.</c:v>
                </c:pt>
              </c:strCache>
            </c:strRef>
          </c:cat>
          <c:val>
            <c:numRef>
              <c:f>Sheet1!$B$2:$B$9</c:f>
              <c:numCache>
                <c:formatCode>General</c:formatCode>
                <c:ptCount val="8"/>
                <c:pt idx="0">
                  <c:v>60</c:v>
                </c:pt>
                <c:pt idx="1">
                  <c:v>113</c:v>
                </c:pt>
                <c:pt idx="2">
                  <c:v>138</c:v>
                </c:pt>
                <c:pt idx="3">
                  <c:v>138</c:v>
                </c:pt>
                <c:pt idx="4">
                  <c:v>78</c:v>
                </c:pt>
                <c:pt idx="5">
                  <c:v>45</c:v>
                </c:pt>
                <c:pt idx="6">
                  <c:v>35</c:v>
                </c:pt>
                <c:pt idx="7">
                  <c:v>80</c:v>
                </c:pt>
              </c:numCache>
            </c:numRef>
          </c:val>
        </c:ser>
        <c:firstSliceAng val="0"/>
      </c:pieChart>
    </c:plotArea>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skaits</c:v>
                </c:pt>
              </c:strCache>
            </c:strRef>
          </c:tx>
          <c:dLbls>
            <c:dLbl>
              <c:idx val="0"/>
              <c:layout>
                <c:manualLayout>
                  <c:x val="-9.0467156951915609E-2"/>
                  <c:y val="0"/>
                </c:manualLayout>
              </c:layout>
              <c:dLblPos val="bestFit"/>
              <c:showCatName val="1"/>
              <c:showPercent val="1"/>
              <c:extLst>
                <c:ext xmlns:c15="http://schemas.microsoft.com/office/drawing/2012/chart" uri="{CE6537A1-D6FC-4f65-9D91-7224C49458BB}">
                  <c15:layout>
                    <c:manualLayout>
                      <c:w val="0.55261498352974336"/>
                      <c:h val="0.15236465684004036"/>
                    </c:manualLayout>
                  </c15:layout>
                </c:ext>
              </c:extLst>
            </c:dLbl>
            <c:dLbl>
              <c:idx val="1"/>
              <c:layout>
                <c:manualLayout>
                  <c:x val="-1.3409214937240941E-3"/>
                  <c:y val="5.8063555204388363E-2"/>
                </c:manualLayout>
              </c:layout>
              <c:dLblPos val="bestFit"/>
              <c:showCatName val="1"/>
              <c:showPercent val="1"/>
              <c:extLst>
                <c:ext xmlns:c15="http://schemas.microsoft.com/office/drawing/2012/chart" uri="{CE6537A1-D6FC-4f65-9D91-7224C49458BB}">
                  <c15:layout>
                    <c:manualLayout>
                      <c:w val="0.29203191185260258"/>
                      <c:h val="0.18276834772816028"/>
                    </c:manualLayout>
                  </c15:layout>
                </c:ext>
              </c:extLst>
            </c:dLbl>
            <c:dLbl>
              <c:idx val="2"/>
              <c:layout>
                <c:manualLayout>
                  <c:x val="-4.8214270245922297E-4"/>
                  <c:y val="-2.9064654115467388E-2"/>
                </c:manualLayout>
              </c:layout>
              <c:dLblPos val="bestFit"/>
              <c:showCatName val="1"/>
              <c:showPercent val="1"/>
              <c:extLst>
                <c:ext xmlns:c15="http://schemas.microsoft.com/office/drawing/2012/chart" uri="{CE6537A1-D6FC-4f65-9D91-7224C49458BB}">
                  <c15:layout>
                    <c:manualLayout>
                      <c:w val="0.35906031548036688"/>
                      <c:h val="0.20184544405997693"/>
                    </c:manualLayout>
                  </c15:layout>
                </c:ext>
              </c:extLst>
            </c:dLbl>
            <c:dLbl>
              <c:idx val="3"/>
              <c:layout>
                <c:manualLayout>
                  <c:x val="-4.8197468904007823E-4"/>
                  <c:y val="7.7866296124749143E-2"/>
                </c:manualLayout>
              </c:layout>
              <c:dLblPos val="bestFit"/>
              <c:showCatName val="1"/>
              <c:showPercent val="1"/>
              <c:extLst>
                <c:ext xmlns:c15="http://schemas.microsoft.com/office/drawing/2012/chart" uri="{CE6537A1-D6FC-4f65-9D91-7224C49458BB}">
                  <c15:layout>
                    <c:manualLayout>
                      <c:w val="0.29642057119097737"/>
                      <c:h val="0.3217993079584775"/>
                    </c:manualLayout>
                  </c15:layout>
                </c:ext>
              </c:extLst>
            </c:dLbl>
            <c:dLbl>
              <c:idx val="4"/>
              <c:layout>
                <c:manualLayout>
                  <c:x val="-7.9944214893930433E-3"/>
                  <c:y val="-2.3066234367762847E-3"/>
                </c:manualLayout>
              </c:layout>
              <c:dLblPos val="bestFit"/>
              <c:showCatName val="1"/>
              <c:showPercent val="1"/>
              <c:extLst>
                <c:ext xmlns:c15="http://schemas.microsoft.com/office/drawing/2012/chart" uri="{CE6537A1-D6FC-4f65-9D91-7224C49458BB}">
                  <c15:layout>
                    <c:manualLayout>
                      <c:w val="0.39161283057439594"/>
                      <c:h val="0.13210473258316757"/>
                    </c:manualLayout>
                  </c15:layout>
                </c:ext>
              </c:extLst>
            </c:dLbl>
            <c:dLbl>
              <c:idx val="5"/>
              <c:layout>
                <c:manualLayout>
                  <c:x val="7.4687941235068417E-2"/>
                  <c:y val="-0.13775295389114434"/>
                </c:manualLayout>
              </c:layout>
              <c:dLblPos val="bestFit"/>
              <c:showCatName val="1"/>
              <c:showPercent val="1"/>
              <c:extLst>
                <c:ext xmlns:c15="http://schemas.microsoft.com/office/drawing/2012/chart" uri="{CE6537A1-D6FC-4f65-9D91-7224C49458BB}">
                  <c15:layout>
                    <c:manualLayout>
                      <c:w val="0.23837183718371832"/>
                      <c:h val="0.14763552479815456"/>
                    </c:manualLayout>
                  </c15:layout>
                </c:ext>
              </c:extLst>
            </c:dLbl>
            <c:spPr>
              <a:noFill/>
              <a:ln>
                <a:noFill/>
              </a:ln>
            </c:spPr>
            <c:txPr>
              <a:bodyPr/>
              <a:lstStyle/>
              <a:p>
                <a:pPr>
                  <a:defRPr b="1">
                    <a:latin typeface="Times New Roman" panose="02020603050405020304" pitchFamily="18" charset="0"/>
                    <a:cs typeface="Times New Roman" panose="02020603050405020304" pitchFamily="18" charset="0"/>
                  </a:defRPr>
                </a:pPr>
                <a:endParaRPr lang="lv-LV"/>
              </a:p>
            </c:txPr>
            <c:dLblPos val="bestFit"/>
            <c:showCatName val="1"/>
            <c:showPercent val="1"/>
            <c:extLst>
              <c:ext xmlns:c15="http://schemas.microsoft.com/office/drawing/2012/chart" uri="{CE6537A1-D6FC-4f65-9D91-7224C49458BB}">
                <c15:spPr xmlns:c15="http://schemas.microsoft.com/office/drawing/2012/chart">
                  <a:prstGeom prst="rect">
                    <a:avLst/>
                  </a:prstGeom>
                </c15:spPr>
              </c:ext>
            </c:extLst>
          </c:dLbls>
          <c:cat>
            <c:strRef>
              <c:f>Sheet1!$A$2:$A$7</c:f>
              <c:strCache>
                <c:ptCount val="6"/>
                <c:pt idx="0">
                  <c:v>Izmitināšana/ēdināšana</c:v>
                </c:pt>
                <c:pt idx="1">
                  <c:v>Operācijas ar NĪ</c:v>
                </c:pt>
                <c:pt idx="2">
                  <c:v>Tirdzniecība</c:v>
                </c:pt>
                <c:pt idx="3">
                  <c:v>Prof., zinātniskie un tehniskie pakalp.</c:v>
                </c:pt>
                <c:pt idx="4">
                  <c:v>Citas nozares</c:v>
                </c:pt>
                <c:pt idx="5">
                  <c:v>Bez koda</c:v>
                </c:pt>
              </c:strCache>
            </c:strRef>
          </c:cat>
          <c:val>
            <c:numRef>
              <c:f>Sheet1!$B$2:$B$7</c:f>
              <c:numCache>
                <c:formatCode>General</c:formatCode>
                <c:ptCount val="6"/>
                <c:pt idx="0">
                  <c:v>39</c:v>
                </c:pt>
                <c:pt idx="1">
                  <c:v>106</c:v>
                </c:pt>
                <c:pt idx="2">
                  <c:v>93</c:v>
                </c:pt>
                <c:pt idx="3">
                  <c:v>32</c:v>
                </c:pt>
                <c:pt idx="4">
                  <c:v>156</c:v>
                </c:pt>
                <c:pt idx="5">
                  <c:v>261</c:v>
                </c:pt>
              </c:numCache>
            </c:numRef>
          </c:val>
        </c:ser>
        <c:firstSliceAng val="0"/>
      </c:pieChart>
      <c:spPr>
        <a:ln>
          <a:noFill/>
        </a:ln>
      </c:spPr>
    </c:plotArea>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9</Pages>
  <Words>12452</Words>
  <Characters>7099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ilzebr</cp:lastModifiedBy>
  <cp:revision>4</cp:revision>
  <dcterms:created xsi:type="dcterms:W3CDTF">2016-10-06T05:15:00Z</dcterms:created>
  <dcterms:modified xsi:type="dcterms:W3CDTF">2016-10-06T10:31:00Z</dcterms:modified>
</cp:coreProperties>
</file>