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C4" w:rsidRPr="00D744D8" w:rsidRDefault="003723C4" w:rsidP="003723C4">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3723C4" w:rsidRPr="00D744D8" w:rsidRDefault="003723C4" w:rsidP="003723C4">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3723C4" w:rsidRPr="00D744D8" w:rsidRDefault="003723C4" w:rsidP="003723C4">
      <w:pPr>
        <w:jc w:val="right"/>
        <w:rPr>
          <w:rFonts w:eastAsia="Calibri" w:cs="Times New Roman"/>
          <w:sz w:val="26"/>
          <w:szCs w:val="26"/>
        </w:rPr>
      </w:pPr>
      <w:r w:rsidRPr="00D744D8">
        <w:rPr>
          <w:rFonts w:eastAsia="Calibri" w:cs="Times New Roman"/>
          <w:sz w:val="26"/>
          <w:szCs w:val="26"/>
        </w:rPr>
        <w:t>paredzēto noteikumu īstenošanas gaitu un rezultātiem</w:t>
      </w:r>
    </w:p>
    <w:p w:rsidR="003723C4" w:rsidRDefault="00F84A2D" w:rsidP="003723C4">
      <w:pPr>
        <w:jc w:val="right"/>
        <w:rPr>
          <w:sz w:val="26"/>
          <w:szCs w:val="26"/>
        </w:rPr>
      </w:pPr>
      <w:r>
        <w:rPr>
          <w:sz w:val="26"/>
          <w:szCs w:val="26"/>
        </w:rPr>
        <w:t>3</w:t>
      </w:r>
      <w:r w:rsidR="003723C4" w:rsidRPr="00D744D8">
        <w:rPr>
          <w:sz w:val="26"/>
          <w:szCs w:val="26"/>
        </w:rPr>
        <w:t>.pielikums</w:t>
      </w:r>
    </w:p>
    <w:p w:rsidR="00A2102B" w:rsidRDefault="00A2102B"/>
    <w:p w:rsidR="003723C4" w:rsidRDefault="003723C4"/>
    <w:p w:rsidR="003723C4" w:rsidRDefault="003723C4" w:rsidP="003723C4">
      <w:pPr>
        <w:pStyle w:val="Heading1"/>
        <w:spacing w:before="0" w:after="120" w:line="240" w:lineRule="auto"/>
        <w:jc w:val="center"/>
        <w:rPr>
          <w:rFonts w:ascii="Times New Roman" w:hAnsi="Times New Roman"/>
          <w:color w:val="auto"/>
        </w:rPr>
      </w:pPr>
      <w:r w:rsidRPr="00EF63A9">
        <w:rPr>
          <w:rFonts w:ascii="Times New Roman" w:hAnsi="Times New Roman"/>
          <w:color w:val="auto"/>
        </w:rPr>
        <w:t>Finanšu investīcijas kredītiestādē</w:t>
      </w:r>
      <w:r>
        <w:rPr>
          <w:rFonts w:ascii="Times New Roman" w:hAnsi="Times New Roman"/>
          <w:color w:val="auto"/>
        </w:rPr>
        <w:t>s</w:t>
      </w:r>
      <w:r w:rsidR="003E6F54">
        <w:rPr>
          <w:rFonts w:ascii="Times New Roman" w:hAnsi="Times New Roman"/>
          <w:color w:val="auto"/>
        </w:rPr>
        <w:t>,</w:t>
      </w:r>
      <w:r>
        <w:rPr>
          <w:rFonts w:ascii="Times New Roman" w:hAnsi="Times New Roman"/>
          <w:color w:val="auto"/>
        </w:rPr>
        <w:t xml:space="preserve"> kapitālsabiedrību pamatkapitālos</w:t>
      </w:r>
      <w:r w:rsidR="006A7095">
        <w:rPr>
          <w:rFonts w:ascii="Times New Roman" w:hAnsi="Times New Roman"/>
          <w:color w:val="auto"/>
        </w:rPr>
        <w:t xml:space="preserve"> un izsniegtās</w:t>
      </w:r>
      <w:r w:rsidR="003E6F54">
        <w:rPr>
          <w:rFonts w:ascii="Times New Roman" w:hAnsi="Times New Roman"/>
          <w:color w:val="auto"/>
        </w:rPr>
        <w:t xml:space="preserve"> TUA saskaņā ar Imigrācijas likuma 23.panta pirmās daļas 3.punktu</w:t>
      </w:r>
    </w:p>
    <w:p w:rsidR="003723C4" w:rsidRPr="003723C4" w:rsidRDefault="003723C4" w:rsidP="003723C4">
      <w:pPr>
        <w:rPr>
          <w:sz w:val="26"/>
          <w:szCs w:val="26"/>
          <w:lang w:eastAsia="lv-LV"/>
        </w:rPr>
      </w:pPr>
    </w:p>
    <w:p w:rsidR="003723C4" w:rsidRPr="003723C4" w:rsidRDefault="003723C4" w:rsidP="003723C4">
      <w:pPr>
        <w:pStyle w:val="ListParagraph"/>
        <w:numPr>
          <w:ilvl w:val="0"/>
          <w:numId w:val="2"/>
        </w:numPr>
        <w:rPr>
          <w:rFonts w:ascii="Times New Roman" w:hAnsi="Times New Roman"/>
          <w:b/>
          <w:sz w:val="26"/>
          <w:szCs w:val="26"/>
          <w:lang w:eastAsia="lv-LV"/>
        </w:rPr>
      </w:pPr>
      <w:r w:rsidRPr="003723C4">
        <w:rPr>
          <w:rFonts w:ascii="Times New Roman" w:hAnsi="Times New Roman"/>
          <w:b/>
          <w:sz w:val="26"/>
          <w:szCs w:val="26"/>
          <w:lang w:eastAsia="lv-LV"/>
        </w:rPr>
        <w:t>Finanšu investīcijas kredītiestādēs</w:t>
      </w:r>
    </w:p>
    <w:p w:rsidR="001A10A6" w:rsidRDefault="003723C4" w:rsidP="00E20B9C">
      <w:pPr>
        <w:spacing w:after="120"/>
        <w:ind w:firstLine="567"/>
        <w:jc w:val="both"/>
        <w:rPr>
          <w:sz w:val="26"/>
          <w:szCs w:val="26"/>
        </w:rPr>
      </w:pPr>
      <w:r w:rsidRPr="000D1354">
        <w:rPr>
          <w:sz w:val="26"/>
          <w:szCs w:val="26"/>
        </w:rPr>
        <w:t xml:space="preserve">Imigrācijas likuma 23.panta pirmās daļas 30.punkts paredz piešķirt TUA trešo valstu pilsoņiem, kuri ieguldījuši vismaz 280 tūkstošus </w:t>
      </w:r>
      <w:proofErr w:type="spellStart"/>
      <w:r w:rsidRPr="000D1354">
        <w:rPr>
          <w:i/>
          <w:sz w:val="26"/>
          <w:szCs w:val="26"/>
        </w:rPr>
        <w:t>euro</w:t>
      </w:r>
      <w:proofErr w:type="spellEnd"/>
      <w:r w:rsidRPr="000D1354">
        <w:rPr>
          <w:sz w:val="26"/>
          <w:szCs w:val="26"/>
        </w:rPr>
        <w:t xml:space="preserve"> Latvijas kredītiestādes pakārtotajās saistībās. </w:t>
      </w:r>
    </w:p>
    <w:p w:rsidR="003723C4" w:rsidRPr="002B4D22" w:rsidRDefault="003723C4" w:rsidP="00E20B9C">
      <w:pPr>
        <w:spacing w:after="120"/>
        <w:ind w:firstLine="567"/>
        <w:jc w:val="both"/>
        <w:rPr>
          <w:sz w:val="26"/>
          <w:szCs w:val="26"/>
        </w:rPr>
      </w:pPr>
      <w:r w:rsidRPr="000D1354">
        <w:rPr>
          <w:sz w:val="26"/>
          <w:szCs w:val="26"/>
        </w:rPr>
        <w:t xml:space="preserve">No 2014.gada 1.septembra papildus šim ieguldījumam TUA pieprasītājiem jāveic maksājums valsts pamatbudžeta programmai “Ekonomikas attīstības programma” atvērtajā valsts pamatbudžeta izdevumu kontā 25 000 </w:t>
      </w:r>
      <w:proofErr w:type="spellStart"/>
      <w:r w:rsidRPr="000D1354">
        <w:rPr>
          <w:i/>
          <w:sz w:val="26"/>
          <w:szCs w:val="26"/>
        </w:rPr>
        <w:t>euro</w:t>
      </w:r>
      <w:proofErr w:type="spellEnd"/>
      <w:r w:rsidRPr="000D1354">
        <w:rPr>
          <w:sz w:val="26"/>
          <w:szCs w:val="26"/>
        </w:rPr>
        <w:t xml:space="preserve"> apmērā</w:t>
      </w:r>
      <w:r w:rsidRPr="0032118E">
        <w:rPr>
          <w:sz w:val="26"/>
          <w:szCs w:val="26"/>
        </w:rPr>
        <w:t>. Jaunā regulējuma ietekmē TUA pieprasītāju skaits saskaņā ar šo Imigrācijas likuma normu ir samazinājies – no 2014.gada 1.septembra līdz 2016.gada 30.jūnijam TUA pieteikumus iesnieguši tikai 48 investori. Salīdzinot ar laikposmu no 2010.gada 1.jūlija līdz 2014.gada 31.augustam, kad pieteikumus iesniedza 427 investori (vidējais pieteikumu skaits gadā – ap 90 pieteikumiem), vērojams būtisks pieteikumu skaita samazinājums  - saņemti ap 20 pieteikumiem gadā.</w:t>
      </w:r>
    </w:p>
    <w:p w:rsidR="003723C4" w:rsidRPr="0032118E" w:rsidRDefault="003723C4" w:rsidP="00E20B9C">
      <w:pPr>
        <w:spacing w:after="120"/>
        <w:ind w:firstLine="567"/>
        <w:jc w:val="both"/>
        <w:rPr>
          <w:sz w:val="26"/>
          <w:szCs w:val="26"/>
        </w:rPr>
      </w:pPr>
      <w:r w:rsidRPr="0032118E">
        <w:rPr>
          <w:sz w:val="26"/>
          <w:szCs w:val="26"/>
        </w:rPr>
        <w:t xml:space="preserve">Attiecīgās Imigrācijas likuma normas ietvaros kopš 2010.gada 1.jūlija Latvijas kredītiestāžu pakārtotajās saistībās veikti 475 ieguldījumi 152,9 milj. </w:t>
      </w:r>
      <w:proofErr w:type="spellStart"/>
      <w:r w:rsidRPr="0032118E">
        <w:rPr>
          <w:i/>
          <w:sz w:val="26"/>
          <w:szCs w:val="26"/>
        </w:rPr>
        <w:t>euro</w:t>
      </w:r>
      <w:proofErr w:type="spellEnd"/>
      <w:r w:rsidRPr="0032118E">
        <w:rPr>
          <w:sz w:val="26"/>
          <w:szCs w:val="26"/>
        </w:rPr>
        <w:t xml:space="preserve"> apmērā, kur </w:t>
      </w:r>
      <w:r>
        <w:rPr>
          <w:sz w:val="26"/>
          <w:szCs w:val="26"/>
        </w:rPr>
        <w:t xml:space="preserve">tikai astoņi </w:t>
      </w:r>
      <w:r w:rsidRPr="0032118E">
        <w:rPr>
          <w:sz w:val="26"/>
          <w:szCs w:val="26"/>
        </w:rPr>
        <w:t>darījum</w:t>
      </w:r>
      <w:r>
        <w:rPr>
          <w:sz w:val="26"/>
          <w:szCs w:val="26"/>
        </w:rPr>
        <w:t xml:space="preserve">i ir veikti par summu, kas pārsniedz </w:t>
      </w:r>
      <w:r w:rsidRPr="0032118E">
        <w:rPr>
          <w:sz w:val="26"/>
          <w:szCs w:val="26"/>
        </w:rPr>
        <w:t xml:space="preserve">500 tūkst. </w:t>
      </w:r>
      <w:proofErr w:type="spellStart"/>
      <w:r w:rsidRPr="0032118E">
        <w:rPr>
          <w:i/>
          <w:sz w:val="26"/>
          <w:szCs w:val="26"/>
        </w:rPr>
        <w:t>euro</w:t>
      </w:r>
      <w:proofErr w:type="spellEnd"/>
      <w:r w:rsidRPr="0032118E">
        <w:rPr>
          <w:rStyle w:val="FootnoteReference"/>
          <w:i/>
          <w:sz w:val="26"/>
          <w:szCs w:val="26"/>
        </w:rPr>
        <w:footnoteReference w:id="1"/>
      </w:r>
      <w:r w:rsidRPr="0032118E">
        <w:rPr>
          <w:sz w:val="26"/>
          <w:szCs w:val="26"/>
        </w:rPr>
        <w:t>.</w:t>
      </w:r>
    </w:p>
    <w:p w:rsidR="003723C4" w:rsidRPr="00023C5C" w:rsidRDefault="003723C4" w:rsidP="00E20B9C">
      <w:pPr>
        <w:spacing w:after="120"/>
        <w:ind w:firstLine="567"/>
        <w:jc w:val="both"/>
        <w:rPr>
          <w:sz w:val="26"/>
          <w:szCs w:val="26"/>
        </w:rPr>
      </w:pPr>
      <w:r w:rsidRPr="00023C5C">
        <w:rPr>
          <w:sz w:val="26"/>
          <w:szCs w:val="26"/>
        </w:rPr>
        <w:t>Investīcijām kredītiestādes pakārtotajās saistībās ir divas svarīgas priekšrocības:</w:t>
      </w:r>
    </w:p>
    <w:p w:rsidR="003723C4" w:rsidRPr="00023C5C" w:rsidRDefault="003723C4" w:rsidP="00E20B9C">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023C5C">
        <w:rPr>
          <w:rFonts w:ascii="Times New Roman" w:hAnsi="Times New Roman"/>
          <w:sz w:val="26"/>
          <w:szCs w:val="26"/>
        </w:rPr>
        <w:t>ļoti ātrs un salīdzinoši vienkāršs variants TUA saņemšanai;</w:t>
      </w:r>
    </w:p>
    <w:p w:rsidR="003723C4" w:rsidRPr="00023C5C" w:rsidRDefault="003723C4" w:rsidP="003723C4">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023C5C">
        <w:rPr>
          <w:rFonts w:ascii="Times New Roman" w:hAnsi="Times New Roman"/>
          <w:sz w:val="26"/>
          <w:szCs w:val="26"/>
        </w:rPr>
        <w:t>procentu likmes – tas nozīmē, ka investors saņem regulāru un stabilu atdevi no saviem ieguldījumiem.</w:t>
      </w: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E20B9C" w:rsidRDefault="00E20B9C" w:rsidP="003723C4">
      <w:pPr>
        <w:pStyle w:val="ListParagraph"/>
        <w:spacing w:after="120" w:line="240" w:lineRule="auto"/>
        <w:jc w:val="right"/>
        <w:rPr>
          <w:rFonts w:ascii="Times New Roman" w:hAnsi="Times New Roman"/>
          <w:sz w:val="26"/>
          <w:szCs w:val="26"/>
        </w:rPr>
      </w:pPr>
    </w:p>
    <w:p w:rsidR="003723C4" w:rsidRPr="00EF63A9" w:rsidRDefault="003723C4" w:rsidP="003723C4">
      <w:pPr>
        <w:pStyle w:val="ListParagraph"/>
        <w:spacing w:after="120" w:line="240" w:lineRule="auto"/>
        <w:jc w:val="right"/>
        <w:rPr>
          <w:rFonts w:ascii="Times New Roman" w:hAnsi="Times New Roman"/>
          <w:sz w:val="26"/>
          <w:szCs w:val="26"/>
        </w:rPr>
      </w:pPr>
      <w:r>
        <w:rPr>
          <w:rFonts w:ascii="Times New Roman" w:hAnsi="Times New Roman"/>
          <w:sz w:val="26"/>
          <w:szCs w:val="26"/>
        </w:rPr>
        <w:lastRenderedPageBreak/>
        <w:t>1</w:t>
      </w:r>
      <w:r w:rsidRPr="00EF63A9">
        <w:rPr>
          <w:rFonts w:ascii="Times New Roman" w:hAnsi="Times New Roman"/>
          <w:sz w:val="26"/>
          <w:szCs w:val="26"/>
        </w:rPr>
        <w:t>.attēls</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781"/>
      </w:tblGrid>
      <w:tr w:rsidR="003723C4" w:rsidRPr="006C4F02" w:rsidTr="001202EF">
        <w:tc>
          <w:tcPr>
            <w:tcW w:w="9571" w:type="dxa"/>
            <w:gridSpan w:val="2"/>
          </w:tcPr>
          <w:p w:rsidR="003723C4" w:rsidRPr="006C4F02" w:rsidRDefault="003723C4" w:rsidP="001A10A6">
            <w:pPr>
              <w:keepNext/>
              <w:spacing w:after="120"/>
              <w:jc w:val="center"/>
              <w:rPr>
                <w:rFonts w:ascii="Times New Roman" w:hAnsi="Times New Roman"/>
                <w:b/>
                <w:sz w:val="24"/>
                <w:szCs w:val="24"/>
              </w:rPr>
            </w:pPr>
            <w:r w:rsidRPr="006C4F02">
              <w:rPr>
                <w:rFonts w:ascii="Times New Roman" w:hAnsi="Times New Roman"/>
                <w:b/>
                <w:sz w:val="24"/>
                <w:szCs w:val="24"/>
              </w:rPr>
              <w:t xml:space="preserve">TUA </w:t>
            </w:r>
            <w:r w:rsidR="001A10A6">
              <w:rPr>
                <w:rFonts w:ascii="Times New Roman" w:hAnsi="Times New Roman"/>
                <w:b/>
                <w:sz w:val="24"/>
                <w:szCs w:val="24"/>
              </w:rPr>
              <w:t>saņēmēju</w:t>
            </w:r>
            <w:r w:rsidRPr="006C4F02">
              <w:rPr>
                <w:rFonts w:ascii="Times New Roman" w:hAnsi="Times New Roman"/>
                <w:b/>
                <w:sz w:val="24"/>
                <w:szCs w:val="24"/>
              </w:rPr>
              <w:t xml:space="preserve"> – ieguldītāju kredītiestādes pakārtotajās saistībās </w:t>
            </w:r>
          </w:p>
        </w:tc>
      </w:tr>
      <w:tr w:rsidR="003723C4" w:rsidRPr="00E20D7C" w:rsidTr="001202EF">
        <w:tc>
          <w:tcPr>
            <w:tcW w:w="4427" w:type="dxa"/>
          </w:tcPr>
          <w:p w:rsidR="003723C4" w:rsidRPr="006C4F02" w:rsidRDefault="003723C4" w:rsidP="001202EF">
            <w:pPr>
              <w:jc w:val="center"/>
              <w:rPr>
                <w:rFonts w:ascii="Times New Roman" w:hAnsi="Times New Roman"/>
                <w:b/>
                <w:sz w:val="24"/>
                <w:szCs w:val="24"/>
              </w:rPr>
            </w:pPr>
            <w:r w:rsidRPr="006C4F02">
              <w:rPr>
                <w:rFonts w:ascii="Times New Roman" w:hAnsi="Times New Roman"/>
                <w:b/>
                <w:sz w:val="24"/>
                <w:szCs w:val="24"/>
              </w:rPr>
              <w:t xml:space="preserve">sadalījums pēc valstiskās piederības </w:t>
            </w:r>
          </w:p>
          <w:p w:rsidR="003723C4" w:rsidRPr="006C4F02" w:rsidRDefault="003723C4" w:rsidP="001202EF">
            <w:pPr>
              <w:spacing w:after="120"/>
              <w:jc w:val="center"/>
              <w:rPr>
                <w:rFonts w:ascii="Times New Roman" w:hAnsi="Times New Roman"/>
                <w:sz w:val="26"/>
                <w:szCs w:val="26"/>
              </w:rPr>
            </w:pPr>
            <w:r w:rsidRPr="006C4F02">
              <w:rPr>
                <w:rFonts w:ascii="Times New Roman" w:hAnsi="Times New Roman"/>
                <w:b/>
                <w:sz w:val="24"/>
                <w:szCs w:val="24"/>
              </w:rPr>
              <w:t>(07.2010.-06.2016.)</w:t>
            </w:r>
          </w:p>
          <w:p w:rsidR="003723C4" w:rsidRPr="006C4F02" w:rsidRDefault="003723C4" w:rsidP="001202EF">
            <w:pPr>
              <w:spacing w:after="120"/>
              <w:jc w:val="center"/>
              <w:rPr>
                <w:rFonts w:ascii="Times New Roman" w:hAnsi="Times New Roman"/>
                <w:noProof/>
              </w:rPr>
            </w:pPr>
            <w:r w:rsidRPr="006C4F02">
              <w:rPr>
                <w:noProof/>
              </w:rPr>
              <w:drawing>
                <wp:inline distT="0" distB="0" distL="0" distR="0">
                  <wp:extent cx="2714625" cy="2552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23C4" w:rsidRPr="006C4F02" w:rsidRDefault="003723C4" w:rsidP="001202EF">
            <w:pPr>
              <w:spacing w:after="120"/>
              <w:rPr>
                <w:rFonts w:ascii="Times New Roman" w:hAnsi="Times New Roman"/>
                <w:b/>
                <w:sz w:val="22"/>
                <w:szCs w:val="22"/>
              </w:rPr>
            </w:pPr>
            <w:r w:rsidRPr="006C4F02">
              <w:rPr>
                <w:rFonts w:ascii="Times New Roman" w:hAnsi="Times New Roman"/>
                <w:i/>
                <w:sz w:val="22"/>
                <w:szCs w:val="22"/>
              </w:rPr>
              <w:t>Avots: PMLP</w:t>
            </w:r>
          </w:p>
        </w:tc>
        <w:tc>
          <w:tcPr>
            <w:tcW w:w="5144" w:type="dxa"/>
          </w:tcPr>
          <w:p w:rsidR="003723C4" w:rsidRPr="006C4F02" w:rsidRDefault="003723C4" w:rsidP="001202EF">
            <w:pPr>
              <w:spacing w:after="120"/>
              <w:ind w:left="-219" w:right="-207"/>
              <w:jc w:val="center"/>
              <w:rPr>
                <w:rFonts w:ascii="Times New Roman" w:hAnsi="Times New Roman"/>
                <w:b/>
                <w:sz w:val="24"/>
                <w:szCs w:val="24"/>
              </w:rPr>
            </w:pPr>
            <w:r w:rsidRPr="006C4F02">
              <w:rPr>
                <w:rFonts w:ascii="Times New Roman" w:hAnsi="Times New Roman"/>
                <w:b/>
                <w:sz w:val="24"/>
                <w:szCs w:val="24"/>
              </w:rPr>
              <w:t>veikto ieguldījumu apjoms sadalījumā pa kredītiestādēm (07.2010.-06.2016.)</w:t>
            </w:r>
          </w:p>
          <w:p w:rsidR="003723C4" w:rsidRPr="006C4F02" w:rsidRDefault="003723C4" w:rsidP="001202EF">
            <w:pPr>
              <w:spacing w:after="120"/>
              <w:jc w:val="center"/>
              <w:rPr>
                <w:rFonts w:ascii="Times New Roman" w:hAnsi="Times New Roman"/>
                <w:b/>
                <w:sz w:val="24"/>
                <w:szCs w:val="24"/>
              </w:rPr>
            </w:pPr>
            <w:r w:rsidRPr="006C4F02">
              <w:rPr>
                <w:b/>
                <w:noProof/>
                <w:sz w:val="24"/>
                <w:szCs w:val="24"/>
              </w:rPr>
              <w:drawing>
                <wp:inline distT="0" distB="0" distL="0" distR="0">
                  <wp:extent cx="2724150" cy="2552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23C4" w:rsidRPr="006C4F02" w:rsidRDefault="003723C4" w:rsidP="001202EF">
            <w:pPr>
              <w:spacing w:after="120"/>
              <w:rPr>
                <w:rFonts w:ascii="Times New Roman" w:hAnsi="Times New Roman"/>
                <w:b/>
                <w:sz w:val="24"/>
                <w:szCs w:val="24"/>
              </w:rPr>
            </w:pPr>
            <w:r w:rsidRPr="006C4F02">
              <w:rPr>
                <w:rFonts w:ascii="Times New Roman" w:hAnsi="Times New Roman"/>
                <w:i/>
                <w:sz w:val="22"/>
                <w:szCs w:val="22"/>
              </w:rPr>
              <w:t>Avots: PMLP</w:t>
            </w:r>
          </w:p>
        </w:tc>
      </w:tr>
    </w:tbl>
    <w:p w:rsidR="003723C4" w:rsidRDefault="003723C4" w:rsidP="003723C4">
      <w:pPr>
        <w:spacing w:after="120"/>
        <w:ind w:firstLine="426"/>
        <w:jc w:val="both"/>
        <w:rPr>
          <w:sz w:val="26"/>
          <w:szCs w:val="26"/>
        </w:rPr>
      </w:pPr>
    </w:p>
    <w:p w:rsidR="003723C4" w:rsidRDefault="003723C4" w:rsidP="003723C4">
      <w:pPr>
        <w:spacing w:after="120"/>
        <w:ind w:firstLine="567"/>
        <w:jc w:val="both"/>
        <w:rPr>
          <w:sz w:val="26"/>
          <w:szCs w:val="26"/>
        </w:rPr>
      </w:pPr>
      <w:r w:rsidRPr="00D52603">
        <w:rPr>
          <w:sz w:val="26"/>
          <w:szCs w:val="26"/>
        </w:rPr>
        <w:t xml:space="preserve">Bez ieguldījumiem kredītiestāžu pakārtotajās saistībās, daļa no šiem nerezidentiem, kas saņēmuši TUA Latvijā, ir iesaistījušies saimnieciskajā darbībā – tie ieņem kādu amatu 29 Latvijā reģistrētos uzņēmumos un tiem </w:t>
      </w:r>
      <w:r>
        <w:rPr>
          <w:sz w:val="26"/>
          <w:szCs w:val="26"/>
        </w:rPr>
        <w:t>pieder īpašumtiesību daļas</w:t>
      </w:r>
      <w:r w:rsidRPr="00D52603">
        <w:rPr>
          <w:sz w:val="26"/>
          <w:szCs w:val="26"/>
        </w:rPr>
        <w:t xml:space="preserve"> </w:t>
      </w:r>
      <w:r>
        <w:rPr>
          <w:sz w:val="26"/>
          <w:szCs w:val="26"/>
        </w:rPr>
        <w:t>40</w:t>
      </w:r>
      <w:r w:rsidRPr="00D52603">
        <w:rPr>
          <w:sz w:val="26"/>
          <w:szCs w:val="26"/>
        </w:rPr>
        <w:t xml:space="preserve"> Latvijā </w:t>
      </w:r>
      <w:r>
        <w:rPr>
          <w:sz w:val="26"/>
          <w:szCs w:val="26"/>
        </w:rPr>
        <w:t>reģistrētos uzņēmumos</w:t>
      </w:r>
      <w:r w:rsidRPr="00D52603">
        <w:rPr>
          <w:sz w:val="26"/>
          <w:szCs w:val="26"/>
        </w:rPr>
        <w:t>. Kopumā, uzņēmumi, kuros īpašum</w:t>
      </w:r>
      <w:r>
        <w:rPr>
          <w:sz w:val="26"/>
          <w:szCs w:val="26"/>
        </w:rPr>
        <w:t xml:space="preserve">tiesību </w:t>
      </w:r>
      <w:r w:rsidRPr="00D52603">
        <w:rPr>
          <w:sz w:val="26"/>
          <w:szCs w:val="26"/>
        </w:rPr>
        <w:t xml:space="preserve">daļas ir ārzemniekiem, kuri kā TUA saņemšanas iemeslu norādījuši ieguldījumu bankas pakārtotajās saistībās, 2016.gada 1.pusgadā ir iemaksājuši valsts budžetā nodokļus (atskaitot no valsts budžeta atmaksātos nodokļus) 240,5 tūkst. </w:t>
      </w:r>
      <w:proofErr w:type="spellStart"/>
      <w:r w:rsidRPr="00D52603">
        <w:rPr>
          <w:i/>
          <w:sz w:val="26"/>
          <w:szCs w:val="26"/>
        </w:rPr>
        <w:t>euro</w:t>
      </w:r>
      <w:proofErr w:type="spellEnd"/>
      <w:r w:rsidRPr="00D52603">
        <w:rPr>
          <w:sz w:val="26"/>
          <w:szCs w:val="26"/>
        </w:rPr>
        <w:t xml:space="preserve"> apmērā, bet 2015.gadā 172,5 tūkst. </w:t>
      </w:r>
      <w:proofErr w:type="spellStart"/>
      <w:r w:rsidRPr="00D52603">
        <w:rPr>
          <w:i/>
          <w:sz w:val="26"/>
          <w:szCs w:val="26"/>
        </w:rPr>
        <w:t>euro</w:t>
      </w:r>
      <w:proofErr w:type="spellEnd"/>
      <w:r w:rsidRPr="00D52603">
        <w:rPr>
          <w:sz w:val="26"/>
          <w:szCs w:val="26"/>
        </w:rPr>
        <w:t xml:space="preserve"> apmērā.</w:t>
      </w:r>
      <w:r w:rsidRPr="002B4D22">
        <w:rPr>
          <w:sz w:val="26"/>
          <w:szCs w:val="26"/>
        </w:rPr>
        <w:t xml:space="preserve">  </w:t>
      </w:r>
    </w:p>
    <w:p w:rsidR="003723C4" w:rsidRPr="002B4D22" w:rsidRDefault="003723C4" w:rsidP="003723C4">
      <w:pPr>
        <w:keepNext/>
        <w:spacing w:after="120"/>
        <w:jc w:val="right"/>
        <w:rPr>
          <w:sz w:val="26"/>
          <w:szCs w:val="26"/>
        </w:rPr>
      </w:pPr>
      <w:r>
        <w:rPr>
          <w:sz w:val="26"/>
          <w:szCs w:val="26"/>
        </w:rPr>
        <w:lastRenderedPageBreak/>
        <w:t>2</w:t>
      </w:r>
      <w:r w:rsidRPr="002B4D22">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76"/>
      </w:tblGrid>
      <w:tr w:rsidR="003723C4" w:rsidRPr="002B4D22" w:rsidTr="001202EF">
        <w:tc>
          <w:tcPr>
            <w:tcW w:w="9571" w:type="dxa"/>
            <w:gridSpan w:val="2"/>
          </w:tcPr>
          <w:p w:rsidR="003723C4" w:rsidRPr="002B4D22" w:rsidRDefault="003723C4" w:rsidP="001202EF">
            <w:pPr>
              <w:keepNext/>
              <w:spacing w:after="120"/>
              <w:jc w:val="center"/>
              <w:rPr>
                <w:rFonts w:ascii="Times New Roman" w:hAnsi="Times New Roman"/>
                <w:b/>
                <w:sz w:val="24"/>
                <w:szCs w:val="24"/>
              </w:rPr>
            </w:pPr>
            <w:r w:rsidRPr="000E567E">
              <w:rPr>
                <w:rFonts w:ascii="Times New Roman" w:hAnsi="Times New Roman"/>
                <w:b/>
                <w:sz w:val="24"/>
                <w:szCs w:val="24"/>
              </w:rPr>
              <w:t>Uz TUA iesniedzējiem – ieguldītājiem kredītiestāžu pakārtotajās saistībās attiecināmo (pieder īpašumtiesību daļas)</w:t>
            </w:r>
          </w:p>
        </w:tc>
      </w:tr>
      <w:tr w:rsidR="003723C4" w:rsidRPr="002B4D22" w:rsidTr="001202EF">
        <w:trPr>
          <w:trHeight w:val="4383"/>
        </w:trPr>
        <w:tc>
          <w:tcPr>
            <w:tcW w:w="4785" w:type="dxa"/>
          </w:tcPr>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uzņēmumu sadalījums pēc to dibināšanas gada</w:t>
            </w:r>
          </w:p>
          <w:p w:rsidR="003723C4" w:rsidRPr="002B4D22" w:rsidRDefault="003723C4" w:rsidP="001202EF">
            <w:pPr>
              <w:keepNext/>
              <w:spacing w:after="120"/>
              <w:jc w:val="right"/>
              <w:rPr>
                <w:rFonts w:ascii="Times New Roman" w:hAnsi="Times New Roman"/>
                <w:sz w:val="26"/>
                <w:szCs w:val="26"/>
              </w:rPr>
            </w:pPr>
            <w:r w:rsidRPr="002B4D22">
              <w:rPr>
                <w:noProof/>
                <w:sz w:val="26"/>
                <w:szCs w:val="26"/>
              </w:rPr>
              <w:drawing>
                <wp:inline distT="0" distB="0" distL="0" distR="0">
                  <wp:extent cx="2619375" cy="21526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3C4" w:rsidRDefault="003723C4" w:rsidP="001202EF">
            <w:pPr>
              <w:keepNext/>
              <w:spacing w:after="120"/>
              <w:rPr>
                <w:rFonts w:ascii="Times New Roman" w:hAnsi="Times New Roman"/>
                <w:i/>
                <w:sz w:val="22"/>
                <w:szCs w:val="22"/>
              </w:rPr>
            </w:pPr>
          </w:p>
          <w:p w:rsidR="003723C4" w:rsidRPr="002B4D22" w:rsidRDefault="003723C4" w:rsidP="001202EF">
            <w:pPr>
              <w:keepNext/>
              <w:spacing w:after="120"/>
              <w:rPr>
                <w:rFonts w:ascii="Times New Roman" w:hAnsi="Times New Roman"/>
                <w:sz w:val="22"/>
                <w:szCs w:val="22"/>
              </w:rPr>
            </w:pPr>
            <w:r w:rsidRPr="002B4D22">
              <w:rPr>
                <w:rFonts w:ascii="Times New Roman" w:hAnsi="Times New Roman"/>
                <w:i/>
                <w:sz w:val="22"/>
                <w:szCs w:val="22"/>
              </w:rPr>
              <w:t xml:space="preserve">Avots: </w:t>
            </w:r>
            <w:r>
              <w:rPr>
                <w:rFonts w:ascii="Times New Roman" w:hAnsi="Times New Roman"/>
                <w:i/>
                <w:sz w:val="22"/>
                <w:szCs w:val="22"/>
              </w:rPr>
              <w:t>LURSOFT</w:t>
            </w:r>
          </w:p>
        </w:tc>
        <w:tc>
          <w:tcPr>
            <w:tcW w:w="4786" w:type="dxa"/>
          </w:tcPr>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 xml:space="preserve">uzņēmumu sadalījums pēc darbības jomas </w:t>
            </w:r>
          </w:p>
          <w:p w:rsidR="003723C4" w:rsidRPr="002B4D22" w:rsidRDefault="003723C4" w:rsidP="001202EF">
            <w:pPr>
              <w:keepNext/>
              <w:spacing w:after="120"/>
              <w:jc w:val="center"/>
              <w:rPr>
                <w:rFonts w:ascii="Times New Roman" w:hAnsi="Times New Roman"/>
                <w:b/>
                <w:sz w:val="24"/>
                <w:szCs w:val="24"/>
              </w:rPr>
            </w:pPr>
            <w:r w:rsidRPr="002B4D22">
              <w:rPr>
                <w:noProof/>
                <w:sz w:val="26"/>
                <w:szCs w:val="26"/>
              </w:rPr>
              <w:drawing>
                <wp:inline distT="0" distB="0" distL="0" distR="0">
                  <wp:extent cx="2724150" cy="23241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23C4" w:rsidRDefault="003723C4" w:rsidP="001202EF">
            <w:pPr>
              <w:keepNext/>
              <w:spacing w:after="120"/>
              <w:rPr>
                <w:rFonts w:ascii="Times New Roman" w:hAnsi="Times New Roman"/>
                <w:i/>
                <w:sz w:val="26"/>
                <w:szCs w:val="26"/>
              </w:rPr>
            </w:pPr>
          </w:p>
          <w:p w:rsidR="003723C4" w:rsidRPr="002B4D22" w:rsidRDefault="003723C4" w:rsidP="001202EF">
            <w:pPr>
              <w:keepNext/>
              <w:spacing w:after="120"/>
              <w:rPr>
                <w:rFonts w:ascii="Times New Roman" w:hAnsi="Times New Roman"/>
                <w:sz w:val="26"/>
                <w:szCs w:val="26"/>
              </w:rPr>
            </w:pPr>
            <w:r>
              <w:rPr>
                <w:rFonts w:ascii="Times New Roman" w:hAnsi="Times New Roman"/>
                <w:i/>
                <w:sz w:val="22"/>
                <w:szCs w:val="22"/>
              </w:rPr>
              <w:t>A</w:t>
            </w:r>
            <w:r w:rsidRPr="002B4D22">
              <w:rPr>
                <w:rFonts w:ascii="Times New Roman" w:hAnsi="Times New Roman"/>
                <w:i/>
                <w:sz w:val="22"/>
                <w:szCs w:val="22"/>
              </w:rPr>
              <w:t xml:space="preserve">vots: </w:t>
            </w:r>
            <w:r>
              <w:rPr>
                <w:rFonts w:ascii="Times New Roman" w:hAnsi="Times New Roman"/>
                <w:i/>
                <w:sz w:val="22"/>
                <w:szCs w:val="22"/>
              </w:rPr>
              <w:t>LURSOFT</w:t>
            </w:r>
            <w:r w:rsidRPr="002B4D22">
              <w:rPr>
                <w:rFonts w:ascii="Times New Roman" w:hAnsi="Times New Roman"/>
                <w:sz w:val="26"/>
                <w:szCs w:val="26"/>
              </w:rPr>
              <w:t xml:space="preserve"> </w:t>
            </w:r>
          </w:p>
        </w:tc>
      </w:tr>
    </w:tbl>
    <w:p w:rsidR="003723C4" w:rsidRPr="002B4D22" w:rsidRDefault="003723C4" w:rsidP="003723C4">
      <w:pPr>
        <w:spacing w:after="120"/>
        <w:ind w:firstLine="426"/>
        <w:jc w:val="both"/>
        <w:rPr>
          <w:sz w:val="26"/>
          <w:szCs w:val="26"/>
        </w:rPr>
      </w:pPr>
    </w:p>
    <w:p w:rsidR="003723C4" w:rsidRDefault="003723C4" w:rsidP="00E20B9C">
      <w:pPr>
        <w:spacing w:after="120"/>
        <w:jc w:val="both"/>
        <w:rPr>
          <w:sz w:val="26"/>
          <w:szCs w:val="26"/>
        </w:rPr>
      </w:pPr>
      <w:r w:rsidRPr="006D3F2D">
        <w:rPr>
          <w:sz w:val="26"/>
          <w:szCs w:val="26"/>
        </w:rPr>
        <w:t xml:space="preserve">To uzņēmumu, kuros TUA iesniedzējiem pieder daļas, apgrozījums 2015.gadā sasniedza 7,5 milj. </w:t>
      </w:r>
      <w:proofErr w:type="spellStart"/>
      <w:r w:rsidRPr="006D3F2D">
        <w:rPr>
          <w:i/>
          <w:sz w:val="26"/>
          <w:szCs w:val="26"/>
        </w:rPr>
        <w:t>euro</w:t>
      </w:r>
      <w:proofErr w:type="spellEnd"/>
      <w:r w:rsidRPr="006D3F2D">
        <w:rPr>
          <w:i/>
          <w:sz w:val="26"/>
          <w:szCs w:val="26"/>
        </w:rPr>
        <w:t xml:space="preserve"> </w:t>
      </w:r>
      <w:r w:rsidRPr="006D3F2D">
        <w:rPr>
          <w:sz w:val="26"/>
          <w:szCs w:val="26"/>
        </w:rPr>
        <w:t xml:space="preserve">(2014.gadā 5,3 milj. </w:t>
      </w:r>
      <w:proofErr w:type="spellStart"/>
      <w:r w:rsidRPr="006D3F2D">
        <w:rPr>
          <w:i/>
          <w:sz w:val="26"/>
          <w:szCs w:val="26"/>
        </w:rPr>
        <w:t>euro</w:t>
      </w:r>
      <w:proofErr w:type="spellEnd"/>
      <w:r w:rsidRPr="006D3F2D">
        <w:rPr>
          <w:sz w:val="26"/>
          <w:szCs w:val="26"/>
        </w:rPr>
        <w:t>)</w:t>
      </w:r>
      <w:r w:rsidRPr="006D3F2D">
        <w:rPr>
          <w:i/>
          <w:sz w:val="26"/>
          <w:szCs w:val="26"/>
        </w:rPr>
        <w:t xml:space="preserve"> </w:t>
      </w:r>
      <w:r w:rsidRPr="006D3F2D">
        <w:rPr>
          <w:sz w:val="26"/>
          <w:szCs w:val="26"/>
        </w:rPr>
        <w:t>un tajos vidēji tika nodarbināti 98 darbinieki</w:t>
      </w:r>
      <w:r w:rsidRPr="006D3F2D">
        <w:rPr>
          <w:rStyle w:val="FootnoteReference"/>
          <w:sz w:val="26"/>
          <w:szCs w:val="26"/>
        </w:rPr>
        <w:footnoteReference w:id="2"/>
      </w:r>
      <w:r w:rsidRPr="006D3F2D">
        <w:rPr>
          <w:sz w:val="26"/>
          <w:szCs w:val="26"/>
        </w:rPr>
        <w:t>, no tiem 14 uzņēmumos (35%) nav bijis neviens darbinieks. Saskaņā ar LURSOFT datiem, 2015.gadu ar peļņu noslēguši tikai 8 uzņēmumi, bet ar zaudējumiem vairāk kā puse – 23 uzņēmumi. Lielākais apgrozījums un darbavietu skaits bija uzņēmumiem, kuru darbība ir saistīta ar transporta palīgdarbībām, citu mašīnu un iekārtu vairumtirdzniecību un apģērbu un apavu vairumtirdzniecību.</w:t>
      </w:r>
    </w:p>
    <w:p w:rsidR="0023107C" w:rsidRPr="006A3784" w:rsidRDefault="0023107C" w:rsidP="00E20B9C">
      <w:pPr>
        <w:spacing w:after="120"/>
        <w:ind w:firstLine="567"/>
        <w:jc w:val="both"/>
        <w:rPr>
          <w:sz w:val="26"/>
          <w:szCs w:val="26"/>
        </w:rPr>
      </w:pPr>
      <w:r w:rsidRPr="006A3784">
        <w:rPr>
          <w:sz w:val="26"/>
          <w:szCs w:val="26"/>
        </w:rPr>
        <w:t xml:space="preserve">Saskaņā ar Nacionālās industriālās politikas pamatnostādnēm 2014.-2020.gadam pieeja apgrozāmajiem un investīciju kapitāla finansējumam ir nozīmīgs faktors gan mazo un vidējo komersantu uzņēmējdarbības aktivitātes un konkurētspējas palielināšanai, uzņēmējdarbības uzsācējiem un inovatīviem, strauji augošiem uzņēmumiem, gan lieliem uzņēmumiem. </w:t>
      </w:r>
    </w:p>
    <w:p w:rsidR="0023107C" w:rsidRPr="006A3784" w:rsidRDefault="0023107C" w:rsidP="00E20B9C">
      <w:pPr>
        <w:spacing w:after="120"/>
        <w:ind w:firstLine="567"/>
        <w:jc w:val="both"/>
        <w:rPr>
          <w:sz w:val="26"/>
          <w:szCs w:val="26"/>
        </w:rPr>
      </w:pPr>
      <w:r w:rsidRPr="006A3784">
        <w:rPr>
          <w:sz w:val="26"/>
          <w:szCs w:val="26"/>
          <w:lang w:eastAsia="lv-LV"/>
        </w:rPr>
        <w:t>Latvijas Komercbanku asociācija</w:t>
      </w:r>
      <w:r w:rsidR="001A10A6">
        <w:rPr>
          <w:sz w:val="26"/>
          <w:szCs w:val="26"/>
          <w:lang w:eastAsia="lv-LV"/>
        </w:rPr>
        <w:t xml:space="preserve"> (turpmāk-LKA)</w:t>
      </w:r>
      <w:r w:rsidRPr="006A3784">
        <w:rPr>
          <w:sz w:val="26"/>
          <w:szCs w:val="26"/>
        </w:rPr>
        <w:t xml:space="preserve"> 2013.gadā ir definējusi “Tipiskos priekšnosacījumus”, kuri uzņēmumiem ir jāizpilda, lai saņemtu aizdevumu. Galvenās prasības attiecas uz uzņēmumu spēju esošās saistības segt ar esošo naudas plūsmu. Vērtējot esošo uzņēmumu spēju uzsākt jaunu projektu, būtiskākais kritērijs ir “pašu kapitāls” (nevis “pašu ieguldījums”) ~30% apjomā. Pēc LKA ekspertu novērtējuma, pašu kapitāla kritēriju izpilda mazāk par 50% no visiem uzņēmumiem, kas būtu vērtējami kā “veselīgi uzņēmumi”</w:t>
      </w:r>
      <w:r w:rsidRPr="006A3784">
        <w:rPr>
          <w:rStyle w:val="FootnoteReference"/>
          <w:sz w:val="26"/>
          <w:szCs w:val="26"/>
        </w:rPr>
        <w:footnoteReference w:id="3"/>
      </w:r>
      <w:r w:rsidRPr="006A3784">
        <w:rPr>
          <w:sz w:val="26"/>
          <w:szCs w:val="26"/>
        </w:rPr>
        <w:t xml:space="preserve">. </w:t>
      </w:r>
    </w:p>
    <w:p w:rsidR="0023107C" w:rsidRPr="004128CD" w:rsidRDefault="0023107C" w:rsidP="00E20B9C">
      <w:pPr>
        <w:spacing w:after="120"/>
        <w:ind w:firstLine="567"/>
        <w:jc w:val="both"/>
        <w:rPr>
          <w:sz w:val="24"/>
          <w:szCs w:val="24"/>
          <w:highlight w:val="yellow"/>
          <w:lang w:eastAsia="lv-LV"/>
        </w:rPr>
      </w:pPr>
      <w:r w:rsidRPr="006A3784">
        <w:rPr>
          <w:sz w:val="26"/>
          <w:szCs w:val="26"/>
        </w:rPr>
        <w:t>Saskaņā ar F</w:t>
      </w:r>
      <w:r w:rsidR="001A10A6">
        <w:rPr>
          <w:sz w:val="26"/>
          <w:szCs w:val="26"/>
        </w:rPr>
        <w:t>inanšu un kapitāla tirgus komisijas (turpmāk-F</w:t>
      </w:r>
      <w:r w:rsidRPr="006A3784">
        <w:rPr>
          <w:sz w:val="26"/>
          <w:szCs w:val="26"/>
        </w:rPr>
        <w:t>KTK</w:t>
      </w:r>
      <w:r w:rsidR="001A10A6">
        <w:rPr>
          <w:sz w:val="26"/>
          <w:szCs w:val="26"/>
        </w:rPr>
        <w:t>)</w:t>
      </w:r>
      <w:r w:rsidRPr="006A3784">
        <w:rPr>
          <w:sz w:val="26"/>
          <w:szCs w:val="26"/>
        </w:rPr>
        <w:t xml:space="preserve"> pārskatu par finanšu un kapitāla tirgu 2016.gada 2.ceturksnī, </w:t>
      </w:r>
      <w:r>
        <w:rPr>
          <w:sz w:val="26"/>
          <w:szCs w:val="26"/>
        </w:rPr>
        <w:t>2</w:t>
      </w:r>
      <w:r w:rsidRPr="00CC29A4">
        <w:rPr>
          <w:sz w:val="26"/>
          <w:szCs w:val="26"/>
        </w:rPr>
        <w:t xml:space="preserve">016. gada 2.ceturksnī noguldījumu piesaistes dinamikā turpinājās iepriekšējā tendence - pieauga rezidentu noguldījumi, </w:t>
      </w:r>
      <w:r w:rsidRPr="00CC29A4">
        <w:rPr>
          <w:sz w:val="26"/>
          <w:szCs w:val="26"/>
        </w:rPr>
        <w:lastRenderedPageBreak/>
        <w:t>bet samazinājās nerezidentu noguldījumi.</w:t>
      </w:r>
      <w:r>
        <w:rPr>
          <w:sz w:val="26"/>
          <w:szCs w:val="26"/>
        </w:rPr>
        <w:t xml:space="preserve"> </w:t>
      </w:r>
      <w:r w:rsidRPr="00CC29A4">
        <w:rPr>
          <w:sz w:val="26"/>
          <w:szCs w:val="26"/>
        </w:rPr>
        <w:t>Rezidentu noguldījumi palielinājās par 5.2% jeb 573 milj. eiro, ko galvenokārt ietekmēja valdības noguldījumu kāpums par 52% jeb</w:t>
      </w:r>
      <w:r>
        <w:rPr>
          <w:sz w:val="26"/>
          <w:szCs w:val="26"/>
        </w:rPr>
        <w:t xml:space="preserve"> </w:t>
      </w:r>
      <w:r w:rsidRPr="00CC29A4">
        <w:rPr>
          <w:sz w:val="26"/>
          <w:szCs w:val="26"/>
        </w:rPr>
        <w:t>327 milj. eiro.</w:t>
      </w:r>
      <w:r>
        <w:rPr>
          <w:sz w:val="26"/>
          <w:szCs w:val="26"/>
        </w:rPr>
        <w:t xml:space="preserve"> </w:t>
      </w:r>
      <w:r w:rsidRPr="00CC29A4">
        <w:rPr>
          <w:sz w:val="26"/>
          <w:szCs w:val="26"/>
        </w:rPr>
        <w:t xml:space="preserve">Nerezidentu noguldījumi pārskata ceturksnī turpināja samazināties (par ~ 6% jeb 665 milj. eiro), gan vājās Krievijas ekonomiskās attīstības ietekmē, gan stingrāku </w:t>
      </w:r>
      <w:r>
        <w:rPr>
          <w:sz w:val="26"/>
          <w:szCs w:val="26"/>
        </w:rPr>
        <w:t>noziedzīgi iegūtu līdzekļu legalizācijas un terorisma finansēšanas (</w:t>
      </w:r>
      <w:r w:rsidRPr="00CC29A4">
        <w:rPr>
          <w:sz w:val="26"/>
          <w:szCs w:val="26"/>
        </w:rPr>
        <w:t>NILLTF</w:t>
      </w:r>
      <w:r>
        <w:rPr>
          <w:sz w:val="26"/>
          <w:szCs w:val="26"/>
        </w:rPr>
        <w:t>)</w:t>
      </w:r>
      <w:r w:rsidRPr="00CC29A4">
        <w:rPr>
          <w:sz w:val="26"/>
          <w:szCs w:val="26"/>
        </w:rPr>
        <w:t xml:space="preserve"> prasību dēļ</w:t>
      </w:r>
      <w:r>
        <w:rPr>
          <w:sz w:val="26"/>
          <w:szCs w:val="26"/>
        </w:rPr>
        <w:t xml:space="preserve">. </w:t>
      </w:r>
      <w:r w:rsidRPr="00CC29A4">
        <w:rPr>
          <w:sz w:val="26"/>
          <w:szCs w:val="26"/>
        </w:rPr>
        <w:t>Sarūkot nerezidentu noguldījumiem NR banku tekošās saistības relatīvā izteiksmē saruka vienādā apmērā ar likvīdajiem aktīviem (saruka atlikums Latvijas Bankā, kā arī likvīdo vērtspapīru portfelis), kā rezultātā likviditātes rādītājs saglabājās nemainīgi augstā līmenī (77.5%).</w:t>
      </w:r>
      <w:r>
        <w:rPr>
          <w:sz w:val="26"/>
          <w:szCs w:val="26"/>
        </w:rPr>
        <w:t xml:space="preserve"> Nerezidentu klientu bāzei sarūkot, bankas, kas iepriekš vairāk orientējušās uz nerezidentu klientu apkalpošanu, arvien vairāk pievērsās rezidentu kreditēšanai. Banku sektors kopumā 2016.gada 1.pusgadā darbojās ar peļņu ~268 milj. </w:t>
      </w:r>
      <w:proofErr w:type="spellStart"/>
      <w:r w:rsidRPr="006A3784">
        <w:rPr>
          <w:i/>
          <w:sz w:val="26"/>
          <w:szCs w:val="26"/>
        </w:rPr>
        <w:t>euro</w:t>
      </w:r>
      <w:proofErr w:type="spellEnd"/>
      <w:r>
        <w:rPr>
          <w:sz w:val="26"/>
          <w:szCs w:val="26"/>
        </w:rPr>
        <w:t xml:space="preserve"> apmērā, t.i. par 22% vairāk nekā iepriekšējā gada attiecīgajā periodā, kad peļņa sasniedza ~220 milj. </w:t>
      </w:r>
      <w:proofErr w:type="spellStart"/>
      <w:r w:rsidRPr="006A3784">
        <w:rPr>
          <w:i/>
          <w:sz w:val="26"/>
          <w:szCs w:val="26"/>
        </w:rPr>
        <w:t>euro</w:t>
      </w:r>
      <w:proofErr w:type="spellEnd"/>
      <w:r>
        <w:rPr>
          <w:sz w:val="26"/>
          <w:szCs w:val="26"/>
        </w:rPr>
        <w:t>.</w:t>
      </w:r>
      <w:r>
        <w:rPr>
          <w:rStyle w:val="FootnoteReference"/>
          <w:sz w:val="26"/>
          <w:szCs w:val="26"/>
        </w:rPr>
        <w:footnoteReference w:id="4"/>
      </w:r>
      <w:r>
        <w:rPr>
          <w:sz w:val="26"/>
          <w:szCs w:val="26"/>
        </w:rPr>
        <w:t xml:space="preserve"> </w:t>
      </w:r>
    </w:p>
    <w:p w:rsidR="0023107C" w:rsidRPr="002B4D22" w:rsidRDefault="0023107C" w:rsidP="0023107C">
      <w:pPr>
        <w:ind w:firstLine="567"/>
        <w:jc w:val="both"/>
        <w:rPr>
          <w:sz w:val="26"/>
          <w:szCs w:val="26"/>
        </w:rPr>
      </w:pPr>
      <w:r w:rsidRPr="00845483">
        <w:rPr>
          <w:sz w:val="26"/>
          <w:szCs w:val="26"/>
        </w:rPr>
        <w:t xml:space="preserve">FKTK norāda, ka tās līdzšinējie novērojumi liecina, ka klientu-nerezidentu subordinēto noguldījumu apmērs kopumā nav būtisks, tomēr tas ir viens no avotiem no kā kredītiestādēm palielināt savu kapitālu. FKTK skatījumā, kritērijs – TUA saņemšana – ir tikai viens no faktoriem, ko klienti izvērtē, pieņemot lēmumu izvietot līdzekļus kredītiestādēs subordinēto noguldījumu veidā. Savukārt attiecībā uz nekustamo īpašumu darījumiem, FKTK norāda, ka tās rīcībā nav precīzas informācijas par to, cik no kredītiestāžu realizētajiem pārņemtajiem nodrošinājumiem vai izsniegtajiem aizdevumiem nekustamā īpašuma iegādei ir izmantoti kā pamatojums uzturēšanās atļauju iegūšanai, tomēr kredītiestāžu pārstāvji, tiekoties ar </w:t>
      </w:r>
      <w:r>
        <w:rPr>
          <w:sz w:val="26"/>
          <w:szCs w:val="26"/>
        </w:rPr>
        <w:t>FKTK</w:t>
      </w:r>
      <w:r w:rsidRPr="00845483">
        <w:rPr>
          <w:sz w:val="26"/>
          <w:szCs w:val="26"/>
        </w:rPr>
        <w:t xml:space="preserve">, norāda, ka klientu – nerezidentu nekustamo īpašumu darījumu skaits ir samazinājies kopš </w:t>
      </w:r>
      <w:r>
        <w:rPr>
          <w:sz w:val="26"/>
          <w:szCs w:val="26"/>
        </w:rPr>
        <w:t xml:space="preserve">grozījumu </w:t>
      </w:r>
      <w:r w:rsidRPr="00845483">
        <w:rPr>
          <w:sz w:val="26"/>
          <w:szCs w:val="26"/>
        </w:rPr>
        <w:t>Imigrācijas likum</w:t>
      </w:r>
      <w:r>
        <w:rPr>
          <w:sz w:val="26"/>
          <w:szCs w:val="26"/>
        </w:rPr>
        <w:t>ā stāšanās spēkā 2014.gada 1.septembrī</w:t>
      </w:r>
      <w:r w:rsidRPr="00845483">
        <w:rPr>
          <w:sz w:val="26"/>
          <w:szCs w:val="26"/>
        </w:rPr>
        <w:t>.</w:t>
      </w:r>
      <w:r w:rsidRPr="00845483">
        <w:rPr>
          <w:rStyle w:val="FootnoteReference"/>
          <w:sz w:val="26"/>
          <w:szCs w:val="26"/>
        </w:rPr>
        <w:t xml:space="preserve"> </w:t>
      </w:r>
      <w:r w:rsidRPr="00845483">
        <w:rPr>
          <w:rStyle w:val="FootnoteReference"/>
          <w:sz w:val="26"/>
          <w:szCs w:val="26"/>
        </w:rPr>
        <w:footnoteReference w:id="5"/>
      </w:r>
    </w:p>
    <w:p w:rsidR="0023107C" w:rsidRDefault="0023107C" w:rsidP="003723C4">
      <w:pPr>
        <w:jc w:val="both"/>
        <w:rPr>
          <w:sz w:val="26"/>
          <w:szCs w:val="26"/>
        </w:rPr>
      </w:pPr>
    </w:p>
    <w:p w:rsidR="003723C4" w:rsidRDefault="003723C4" w:rsidP="003723C4">
      <w:pPr>
        <w:rPr>
          <w:sz w:val="26"/>
          <w:szCs w:val="26"/>
        </w:rPr>
      </w:pPr>
    </w:p>
    <w:p w:rsidR="003723C4" w:rsidRPr="00E20B9C" w:rsidRDefault="003723C4" w:rsidP="003723C4">
      <w:pPr>
        <w:pStyle w:val="Heading1"/>
        <w:numPr>
          <w:ilvl w:val="0"/>
          <w:numId w:val="2"/>
        </w:numPr>
        <w:spacing w:before="0" w:after="120" w:line="240" w:lineRule="auto"/>
        <w:rPr>
          <w:rFonts w:ascii="Times New Roman" w:hAnsi="Times New Roman"/>
          <w:color w:val="auto"/>
          <w:sz w:val="26"/>
          <w:szCs w:val="26"/>
        </w:rPr>
      </w:pPr>
      <w:r w:rsidRPr="00E20B9C">
        <w:rPr>
          <w:rFonts w:ascii="Times New Roman" w:hAnsi="Times New Roman"/>
          <w:color w:val="auto"/>
          <w:sz w:val="26"/>
          <w:szCs w:val="26"/>
        </w:rPr>
        <w:t>Ieguldījumi kapitālsabiedrību pamatkapitālā</w:t>
      </w:r>
    </w:p>
    <w:p w:rsidR="00E20B9C" w:rsidRPr="00E20B9C" w:rsidRDefault="00E20B9C" w:rsidP="00E20B9C">
      <w:pPr>
        <w:rPr>
          <w:lang w:eastAsia="lv-LV"/>
        </w:rPr>
      </w:pPr>
    </w:p>
    <w:p w:rsidR="003723C4" w:rsidRDefault="003723C4" w:rsidP="00E20B9C">
      <w:pPr>
        <w:spacing w:after="120"/>
        <w:ind w:firstLine="567"/>
        <w:jc w:val="both"/>
        <w:rPr>
          <w:sz w:val="26"/>
          <w:szCs w:val="26"/>
        </w:rPr>
      </w:pPr>
      <w:r w:rsidRPr="00835FD9">
        <w:rPr>
          <w:sz w:val="26"/>
          <w:szCs w:val="26"/>
        </w:rPr>
        <w:t xml:space="preserve">Salīdzinājumā ar Imigrācijas likuma normām par nekustamā īpašuma iegādi un ieguldījumiem kredītiestāžu pakārtotajās saistībās, ieguldījumus kapitālsabiedrību pamatkapitālā vai amatu ieņemšanu Latvijā reģistrētos uzņēmumos kā pamatojumu TUA saņemšanai sākotnēji izmantoja retāk, pieprasījumu skaitam palielinoties 2012.-2014.gadā, kad šis ieguldījumu veids pieteikumu skaita ziņā pārsniedza sākotnēji par ieguldījumiem pamatkapitālā biežāk izmantoto investīciju veidu – ieguldījumu kredītiestādes pakārtotajās saistībās. </w:t>
      </w:r>
    </w:p>
    <w:p w:rsidR="003723C4" w:rsidRPr="0033020D" w:rsidRDefault="003723C4" w:rsidP="00E20B9C">
      <w:pPr>
        <w:spacing w:after="120"/>
        <w:ind w:firstLine="567"/>
        <w:jc w:val="both"/>
        <w:rPr>
          <w:sz w:val="26"/>
          <w:szCs w:val="26"/>
        </w:rPr>
      </w:pPr>
      <w:r w:rsidRPr="00835FD9">
        <w:rPr>
          <w:sz w:val="26"/>
          <w:szCs w:val="26"/>
        </w:rPr>
        <w:t>No 2015.gada pieteikumu skaits ir samazinājies, tāpat kā citos ieguldījumu veidos – ja 2014.gada laikā tika saņemti 178 pieteikumi, tad 2015.gadā – 82, bet 2016.gada pirmajā pusgadā - 41</w:t>
      </w:r>
      <w:r w:rsidRPr="0033020D">
        <w:rPr>
          <w:sz w:val="26"/>
          <w:szCs w:val="26"/>
        </w:rPr>
        <w:t>. Attiecīgās Imigrācijas likuma normas ietvaros kopš 2010.gada 1.jūlija kapitālsabiedrību pamatkapitālā veikti ieguldījumi 443 Latvijā reģistrētās kapitālsabiedrībās, sasniedzot tikai 5,4% no kopējiem attiecinātajiem ieguldījumiem, tāpēc TUA izsniegšanu pret ieguldījumiem kapitālsabiedrību pamatkapitālā pašlaik joprojām var vērtēt tikai kā vienu no stimuliem, kas sniedz ieguldījumu ārvalstu investīciju piesaistei reālajā sektorā.</w:t>
      </w:r>
    </w:p>
    <w:p w:rsidR="003723C4" w:rsidRDefault="003723C4" w:rsidP="00E20B9C">
      <w:pPr>
        <w:pStyle w:val="tv213"/>
        <w:spacing w:before="0" w:beforeAutospacing="0" w:after="120" w:afterAutospacing="0"/>
        <w:ind w:firstLine="426"/>
        <w:jc w:val="both"/>
      </w:pPr>
      <w:r w:rsidRPr="00F07B72">
        <w:rPr>
          <w:sz w:val="26"/>
          <w:szCs w:val="26"/>
        </w:rPr>
        <w:lastRenderedPageBreak/>
        <w:t xml:space="preserve">Imigrācijas likuma 23.panta pirmās daļas 28.punkts paredz, ka ārzemnieks ir tiesīgs pieprasīt TUA uz laiku, ja viņš veicis ieguldījumu esošas kapitālsabiedrības pamatkapitālā, to palielinot, vai veicis ieguldījumu jaundibinātas kapitālsabiedrības pamatkapitālā. Imigrācijas likums </w:t>
      </w:r>
      <w:r>
        <w:rPr>
          <w:sz w:val="26"/>
          <w:szCs w:val="26"/>
        </w:rPr>
        <w:t xml:space="preserve">līdz 2016.gada 1.jūlijam paredzēja, ka ārzemnieks-trešās valsts pilsonis var pretendēt uz TUA, ja veicis </w:t>
      </w:r>
      <w:r w:rsidRPr="00F07B72">
        <w:rPr>
          <w:sz w:val="26"/>
          <w:szCs w:val="26"/>
        </w:rPr>
        <w:t xml:space="preserve">ieguldījumu 35 tūkst. </w:t>
      </w:r>
      <w:proofErr w:type="spellStart"/>
      <w:r w:rsidRPr="00F07B72">
        <w:rPr>
          <w:i/>
          <w:sz w:val="26"/>
          <w:szCs w:val="26"/>
        </w:rPr>
        <w:t>euro</w:t>
      </w:r>
      <w:proofErr w:type="spellEnd"/>
      <w:r w:rsidRPr="00F07B72">
        <w:rPr>
          <w:sz w:val="26"/>
          <w:szCs w:val="26"/>
        </w:rPr>
        <w:t xml:space="preserve"> apmērā kapitālsabiedrībā, kura nodarbina ne vairāk kā 50 darbiniekus</w:t>
      </w:r>
      <w:r>
        <w:rPr>
          <w:sz w:val="26"/>
          <w:szCs w:val="26"/>
        </w:rPr>
        <w:t xml:space="preserve"> un </w:t>
      </w:r>
      <w:r w:rsidRPr="00F07B72">
        <w:rPr>
          <w:sz w:val="26"/>
          <w:szCs w:val="26"/>
        </w:rPr>
        <w:t xml:space="preserve">kuras gada apgrozījums vai gada bilance nepārsniedz 10 milj. </w:t>
      </w:r>
      <w:proofErr w:type="spellStart"/>
      <w:r>
        <w:rPr>
          <w:i/>
          <w:sz w:val="26"/>
          <w:szCs w:val="26"/>
        </w:rPr>
        <w:t>euro</w:t>
      </w:r>
      <w:proofErr w:type="spellEnd"/>
      <w:r w:rsidRPr="00F07B72">
        <w:rPr>
          <w:sz w:val="26"/>
          <w:szCs w:val="26"/>
        </w:rPr>
        <w:t xml:space="preserve">. No 2014.gada 1.janvāra līdz 2016.gada 1.jūlijam spēkā bija Imigrācijas likuma regulējums, kas šāda veida ieguldījuma veikšanas gadījumā pieļāva TUA izsniegšanu ne vairāk kā trīs ārzemniekiem, tādējādi izslēdzot iespēju, ka praktiski neierobežots skaits ārzemnieku var saņemt uzturēšanās atļauju, veicot nelielu ieguldījumu uzņēmumā, kurš veic formālu nodokļu nomaksu 40 000 </w:t>
      </w:r>
      <w:proofErr w:type="spellStart"/>
      <w:r w:rsidRPr="00F07B72">
        <w:rPr>
          <w:i/>
          <w:sz w:val="26"/>
          <w:szCs w:val="26"/>
        </w:rPr>
        <w:t>euro</w:t>
      </w:r>
      <w:proofErr w:type="spellEnd"/>
      <w:r w:rsidRPr="00F07B72">
        <w:rPr>
          <w:sz w:val="26"/>
          <w:szCs w:val="26"/>
        </w:rPr>
        <w:t xml:space="preserve"> apjomā gada laikā.</w:t>
      </w:r>
      <w:r w:rsidRPr="00F07B72">
        <w:t xml:space="preserve"> </w:t>
      </w:r>
    </w:p>
    <w:p w:rsidR="003723C4" w:rsidRDefault="003723C4" w:rsidP="003723C4">
      <w:pPr>
        <w:pStyle w:val="tv213"/>
        <w:spacing w:before="0" w:beforeAutospacing="0" w:after="0" w:afterAutospacing="0"/>
        <w:ind w:firstLine="426"/>
        <w:jc w:val="both"/>
        <w:rPr>
          <w:sz w:val="26"/>
          <w:szCs w:val="26"/>
        </w:rPr>
      </w:pPr>
      <w:r>
        <w:rPr>
          <w:sz w:val="26"/>
          <w:szCs w:val="26"/>
        </w:rPr>
        <w:t>Saskaņā ar grozījumiem Imigrācijas likumā, kuri stājās spēkā 2016.gada 1.jūlijā, ieguldījumu var</w:t>
      </w:r>
      <w:r w:rsidRPr="00F07B72">
        <w:rPr>
          <w:sz w:val="26"/>
          <w:szCs w:val="26"/>
        </w:rPr>
        <w:t xml:space="preserve"> veikt līdz</w:t>
      </w:r>
      <w:r>
        <w:rPr>
          <w:sz w:val="26"/>
          <w:szCs w:val="26"/>
        </w:rPr>
        <w:t xml:space="preserve"> pat</w:t>
      </w:r>
      <w:r w:rsidRPr="00F07B72">
        <w:rPr>
          <w:sz w:val="26"/>
          <w:szCs w:val="26"/>
        </w:rPr>
        <w:t xml:space="preserve"> 10 ārzemniekiem, bet tā minimālais apjoms ir palielināts līdz 50 000 </w:t>
      </w:r>
      <w:proofErr w:type="spellStart"/>
      <w:r w:rsidRPr="00F07B72">
        <w:rPr>
          <w:i/>
          <w:sz w:val="26"/>
          <w:szCs w:val="26"/>
        </w:rPr>
        <w:t>euro</w:t>
      </w:r>
      <w:proofErr w:type="spellEnd"/>
      <w:r w:rsidRPr="00F07B72">
        <w:rPr>
          <w:sz w:val="26"/>
          <w:szCs w:val="26"/>
        </w:rPr>
        <w:t xml:space="preserve">, turklāt paredzēts arī maksājums Ekonomiskās attīstības fondā 10 000 </w:t>
      </w:r>
      <w:proofErr w:type="spellStart"/>
      <w:r w:rsidRPr="00F07B72">
        <w:rPr>
          <w:i/>
          <w:sz w:val="26"/>
          <w:szCs w:val="26"/>
        </w:rPr>
        <w:t>euro</w:t>
      </w:r>
      <w:proofErr w:type="spellEnd"/>
      <w:r w:rsidRPr="00F07B72">
        <w:rPr>
          <w:i/>
          <w:sz w:val="26"/>
          <w:szCs w:val="26"/>
        </w:rPr>
        <w:t xml:space="preserve"> </w:t>
      </w:r>
      <w:r w:rsidRPr="00F07B72">
        <w:rPr>
          <w:sz w:val="26"/>
          <w:szCs w:val="26"/>
        </w:rPr>
        <w:t>apmērā.</w:t>
      </w:r>
      <w:r>
        <w:t xml:space="preserve"> </w:t>
      </w:r>
      <w:r w:rsidRPr="00F07B72">
        <w:rPr>
          <w:sz w:val="26"/>
          <w:szCs w:val="26"/>
        </w:rPr>
        <w:t xml:space="preserve">Otra veida ieguldījums attiecas uz kapitālsabiedrībām, kuras nodarbina vairāk nekā 50 darbinieku un kuru gada apgrozījums vai gada bilance pārsniedz 10 milj. </w:t>
      </w:r>
      <w:proofErr w:type="spellStart"/>
      <w:r w:rsidRPr="00F07B72">
        <w:rPr>
          <w:i/>
          <w:sz w:val="26"/>
          <w:szCs w:val="26"/>
        </w:rPr>
        <w:t>euro</w:t>
      </w:r>
      <w:proofErr w:type="spellEnd"/>
      <w:r w:rsidRPr="00F07B72">
        <w:rPr>
          <w:sz w:val="26"/>
          <w:szCs w:val="26"/>
        </w:rPr>
        <w:t xml:space="preserve">. Šādā gadījumā ieguldījumam jābūt vismaz 150 000 </w:t>
      </w:r>
      <w:proofErr w:type="spellStart"/>
      <w:r w:rsidRPr="00F07B72">
        <w:rPr>
          <w:i/>
          <w:sz w:val="26"/>
          <w:szCs w:val="26"/>
        </w:rPr>
        <w:t>euro</w:t>
      </w:r>
      <w:proofErr w:type="spellEnd"/>
      <w:r w:rsidRPr="00F07B72">
        <w:rPr>
          <w:sz w:val="26"/>
          <w:szCs w:val="26"/>
        </w:rPr>
        <w:t xml:space="preserve"> apmērā. Līdz 2016.gada 1.jūlijam šādām kapitālsabiedrībām netika noteikts minimālais valsts budžetā samaksājamo nodokļu apmērs, bet no 2016.gada 1.jūlija katrā pārskata gadā šādai kapitālsabiedrībai būs jāveic nodokļu maksājumi vismaz 100 000 </w:t>
      </w:r>
      <w:proofErr w:type="spellStart"/>
      <w:r w:rsidRPr="00F07B72">
        <w:rPr>
          <w:i/>
          <w:sz w:val="26"/>
          <w:szCs w:val="26"/>
        </w:rPr>
        <w:t>euro</w:t>
      </w:r>
      <w:proofErr w:type="spellEnd"/>
      <w:r w:rsidRPr="00F07B72">
        <w:rPr>
          <w:i/>
          <w:sz w:val="26"/>
          <w:szCs w:val="26"/>
        </w:rPr>
        <w:t xml:space="preserve"> </w:t>
      </w:r>
      <w:r w:rsidRPr="00F07B72">
        <w:rPr>
          <w:sz w:val="26"/>
          <w:szCs w:val="26"/>
        </w:rPr>
        <w:t>apmērā. Jaunie likuma grozījumi paredzēs arī iespēju investēt tādā uzņēmumā, kurš nodokļu samaksas kritēriju izpilda, ņemot vērā arī meitas uzņēmumu saimnieciskās darbības rezultātus.</w:t>
      </w:r>
    </w:p>
    <w:p w:rsidR="003723C4" w:rsidRDefault="003723C4" w:rsidP="003723C4">
      <w:pPr>
        <w:pStyle w:val="tv213"/>
        <w:spacing w:before="0" w:beforeAutospacing="0" w:after="120" w:afterAutospacing="0"/>
        <w:ind w:firstLine="426"/>
        <w:jc w:val="right"/>
        <w:rPr>
          <w:sz w:val="26"/>
          <w:szCs w:val="26"/>
        </w:rPr>
      </w:pPr>
    </w:p>
    <w:p w:rsidR="003723C4" w:rsidRPr="000A333D" w:rsidRDefault="003723C4" w:rsidP="003723C4">
      <w:pPr>
        <w:pStyle w:val="tv213"/>
        <w:spacing w:before="0" w:beforeAutospacing="0" w:after="120" w:afterAutospacing="0"/>
        <w:ind w:firstLine="426"/>
        <w:jc w:val="right"/>
        <w:rPr>
          <w:sz w:val="26"/>
          <w:szCs w:val="26"/>
        </w:rPr>
      </w:pPr>
      <w:r w:rsidRPr="000A333D">
        <w:rPr>
          <w:sz w:val="26"/>
          <w:szCs w:val="26"/>
        </w:rPr>
        <w:t>3.attēls</w:t>
      </w:r>
    </w:p>
    <w:p w:rsidR="000A333D" w:rsidRPr="004413C3" w:rsidRDefault="000A333D" w:rsidP="000A333D">
      <w:pPr>
        <w:pStyle w:val="tv213"/>
        <w:spacing w:before="0" w:beforeAutospacing="0" w:after="120" w:afterAutospacing="0"/>
        <w:ind w:firstLine="426"/>
        <w:jc w:val="center"/>
        <w:rPr>
          <w:b/>
          <w:sz w:val="26"/>
          <w:szCs w:val="26"/>
        </w:rPr>
      </w:pPr>
      <w:r w:rsidRPr="004413C3">
        <w:rPr>
          <w:b/>
        </w:rPr>
        <w:t>Ar TUA saistītie ieguldījumi kapitālsabiedrību pamatkapitālā</w:t>
      </w:r>
    </w:p>
    <w:p w:rsidR="000A333D" w:rsidRPr="00E20D7C" w:rsidRDefault="000A333D" w:rsidP="000A333D">
      <w:pPr>
        <w:pStyle w:val="tv213"/>
        <w:spacing w:before="0" w:beforeAutospacing="0" w:after="0" w:afterAutospacing="0"/>
        <w:ind w:firstLine="426"/>
        <w:jc w:val="center"/>
        <w:rPr>
          <w:sz w:val="26"/>
          <w:szCs w:val="26"/>
          <w:highlight w:val="lightGray"/>
        </w:rPr>
      </w:pPr>
      <w:r w:rsidRPr="00E20D7C">
        <w:rPr>
          <w:noProof/>
          <w:highlight w:val="lightGray"/>
        </w:rPr>
        <w:drawing>
          <wp:inline distT="0" distB="0" distL="0" distR="0">
            <wp:extent cx="3971925" cy="2562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33D" w:rsidRPr="004413C3" w:rsidRDefault="000A333D" w:rsidP="000A333D">
      <w:pPr>
        <w:pStyle w:val="tv213"/>
        <w:spacing w:before="0" w:beforeAutospacing="0" w:after="0" w:afterAutospacing="0"/>
        <w:ind w:firstLine="425"/>
        <w:rPr>
          <w:sz w:val="22"/>
          <w:szCs w:val="22"/>
        </w:rPr>
      </w:pPr>
      <w:r>
        <w:rPr>
          <w:sz w:val="22"/>
          <w:szCs w:val="22"/>
        </w:rPr>
        <w:t xml:space="preserve">                      </w:t>
      </w:r>
      <w:r w:rsidRPr="004413C3">
        <w:rPr>
          <w:sz w:val="22"/>
          <w:szCs w:val="22"/>
        </w:rPr>
        <w:t>*TUA pieteicējiem un to ģimenes locekļiem kopā</w:t>
      </w:r>
    </w:p>
    <w:p w:rsidR="000A333D" w:rsidRPr="004413C3" w:rsidRDefault="000A333D" w:rsidP="000A333D">
      <w:pPr>
        <w:pStyle w:val="tv213"/>
        <w:spacing w:before="0" w:beforeAutospacing="0" w:after="0" w:afterAutospacing="0"/>
        <w:ind w:firstLine="425"/>
        <w:rPr>
          <w:i/>
          <w:sz w:val="22"/>
          <w:szCs w:val="22"/>
        </w:rPr>
      </w:pPr>
      <w:r>
        <w:rPr>
          <w:i/>
          <w:sz w:val="22"/>
          <w:szCs w:val="22"/>
        </w:rPr>
        <w:t xml:space="preserve">                      </w:t>
      </w:r>
      <w:r w:rsidRPr="004413C3">
        <w:rPr>
          <w:i/>
          <w:sz w:val="22"/>
          <w:szCs w:val="22"/>
        </w:rPr>
        <w:t>Avots: PMLP</w:t>
      </w:r>
    </w:p>
    <w:p w:rsidR="003723C4" w:rsidRPr="002B4D22" w:rsidRDefault="003723C4" w:rsidP="003723C4">
      <w:pPr>
        <w:pStyle w:val="tv213"/>
        <w:spacing w:before="0" w:beforeAutospacing="0" w:after="0" w:afterAutospacing="0"/>
        <w:ind w:firstLine="425"/>
        <w:jc w:val="both"/>
        <w:rPr>
          <w:sz w:val="26"/>
          <w:szCs w:val="26"/>
        </w:rPr>
      </w:pPr>
    </w:p>
    <w:p w:rsidR="003723C4" w:rsidRPr="004128CD" w:rsidRDefault="003723C4" w:rsidP="00E20B9C">
      <w:pPr>
        <w:pStyle w:val="tv213"/>
        <w:spacing w:before="0" w:beforeAutospacing="0" w:after="120" w:afterAutospacing="0"/>
        <w:ind w:firstLine="567"/>
        <w:jc w:val="both"/>
        <w:rPr>
          <w:sz w:val="26"/>
          <w:szCs w:val="26"/>
          <w:highlight w:val="yellow"/>
        </w:rPr>
      </w:pPr>
      <w:r w:rsidRPr="00835FD9">
        <w:rPr>
          <w:sz w:val="26"/>
          <w:szCs w:val="26"/>
        </w:rPr>
        <w:t xml:space="preserve">Ar TUA saistīto ieguldījumu kapitālsabiedrībās apjoms, tāpat kā pieteikumu skaits, pakāpeniski pieauga sākot no 2010.gada, augstāko līmeni sasniedzot 2013.gadā, </w:t>
      </w:r>
      <w:r w:rsidRPr="00835FD9">
        <w:rPr>
          <w:sz w:val="26"/>
          <w:szCs w:val="26"/>
        </w:rPr>
        <w:lastRenderedPageBreak/>
        <w:t xml:space="preserve">kad investīciju apjoms bija 29,3 milj. </w:t>
      </w:r>
      <w:proofErr w:type="spellStart"/>
      <w:r w:rsidRPr="00835FD9">
        <w:rPr>
          <w:i/>
          <w:sz w:val="26"/>
          <w:szCs w:val="26"/>
        </w:rPr>
        <w:t>euro</w:t>
      </w:r>
      <w:proofErr w:type="spellEnd"/>
      <w:r w:rsidRPr="00835FD9">
        <w:rPr>
          <w:sz w:val="26"/>
          <w:szCs w:val="26"/>
        </w:rPr>
        <w:t xml:space="preserve">. Pēc grozījumiem Imigrācijas likumā, kas stājās spēkā 2014.gada 1.janvārī un noteica, ka turpmāk par šāda ieguldījuma veikšanu kapitālsabiedrību pamatkapitālā TUA var izsniegt ne vairāk kā trīs ārzemniekiem, investīciju kopējais apjoms 2014.gadā samazinājās līdz 18,8 milj. </w:t>
      </w:r>
      <w:proofErr w:type="spellStart"/>
      <w:r w:rsidRPr="00835FD9">
        <w:rPr>
          <w:i/>
          <w:sz w:val="26"/>
          <w:szCs w:val="26"/>
        </w:rPr>
        <w:t>euro</w:t>
      </w:r>
      <w:proofErr w:type="spellEnd"/>
      <w:r w:rsidRPr="00835FD9">
        <w:rPr>
          <w:sz w:val="26"/>
          <w:szCs w:val="26"/>
        </w:rPr>
        <w:t xml:space="preserve">, 2015.gadā investīciju apjoms bija 7,4 milj. </w:t>
      </w:r>
      <w:proofErr w:type="spellStart"/>
      <w:r w:rsidRPr="00835FD9">
        <w:rPr>
          <w:i/>
          <w:sz w:val="26"/>
          <w:szCs w:val="26"/>
        </w:rPr>
        <w:t>euro</w:t>
      </w:r>
      <w:proofErr w:type="spellEnd"/>
      <w:r w:rsidRPr="00835FD9">
        <w:rPr>
          <w:i/>
          <w:sz w:val="26"/>
          <w:szCs w:val="26"/>
        </w:rPr>
        <w:t xml:space="preserve">, </w:t>
      </w:r>
      <w:r w:rsidRPr="00835FD9">
        <w:rPr>
          <w:sz w:val="26"/>
          <w:szCs w:val="26"/>
        </w:rPr>
        <w:t xml:space="preserve">bet 2016.gada pirmajā pusgadā – 2,5 milj. </w:t>
      </w:r>
      <w:proofErr w:type="spellStart"/>
      <w:r w:rsidRPr="00835FD9">
        <w:rPr>
          <w:i/>
          <w:sz w:val="26"/>
          <w:szCs w:val="26"/>
        </w:rPr>
        <w:t>euro</w:t>
      </w:r>
      <w:proofErr w:type="spellEnd"/>
      <w:r w:rsidRPr="00835FD9">
        <w:rPr>
          <w:i/>
          <w:sz w:val="26"/>
          <w:szCs w:val="26"/>
        </w:rPr>
        <w:t>.</w:t>
      </w:r>
    </w:p>
    <w:p w:rsidR="003723C4" w:rsidRPr="00FE5E10" w:rsidRDefault="003723C4" w:rsidP="00E20B9C">
      <w:pPr>
        <w:pStyle w:val="tv213"/>
        <w:spacing w:before="0" w:beforeAutospacing="0" w:after="120" w:afterAutospacing="0"/>
        <w:ind w:firstLine="567"/>
        <w:jc w:val="both"/>
        <w:rPr>
          <w:sz w:val="26"/>
          <w:szCs w:val="26"/>
        </w:rPr>
      </w:pPr>
      <w:r w:rsidRPr="00343D78">
        <w:rPr>
          <w:sz w:val="26"/>
          <w:szCs w:val="26"/>
        </w:rPr>
        <w:t xml:space="preserve">Ja salīdzina pieteikumu skaitu, kas saistīti ar ieguldījumiem mazajās un vidējās kapitālsabiedrībās </w:t>
      </w:r>
      <w:r w:rsidR="001A10A6">
        <w:rPr>
          <w:sz w:val="26"/>
          <w:szCs w:val="26"/>
        </w:rPr>
        <w:t>un lielajās kapitālsabiedrībās</w:t>
      </w:r>
      <w:r w:rsidRPr="00343D78">
        <w:rPr>
          <w:sz w:val="26"/>
          <w:szCs w:val="26"/>
        </w:rPr>
        <w:t xml:space="preserve">, jāsecina, ka absolūti lielākajā vairumā gadījumu ieguldījumu apmērs ir mazāks par 150 000 </w:t>
      </w:r>
      <w:proofErr w:type="spellStart"/>
      <w:r w:rsidRPr="00343D78">
        <w:rPr>
          <w:i/>
          <w:sz w:val="26"/>
          <w:szCs w:val="26"/>
        </w:rPr>
        <w:t>euro</w:t>
      </w:r>
      <w:proofErr w:type="spellEnd"/>
      <w:r w:rsidRPr="00343D78">
        <w:rPr>
          <w:sz w:val="26"/>
          <w:szCs w:val="26"/>
        </w:rPr>
        <w:t xml:space="preserve"> (2016.gadā – 95%, 2015.gadā – 95%, 2014.gadā – 87%). Vairumā gadījumu ieguldījuma apmērs ir vienāds vai tuvu likumā noteiktajam minimālajam ieguldījuma apmēram</w:t>
      </w:r>
      <w:r>
        <w:rPr>
          <w:sz w:val="26"/>
          <w:szCs w:val="26"/>
        </w:rPr>
        <w:t xml:space="preserve"> (skatīt </w:t>
      </w:r>
      <w:r w:rsidR="001A10A6">
        <w:rPr>
          <w:sz w:val="26"/>
          <w:szCs w:val="26"/>
        </w:rPr>
        <w:t>4</w:t>
      </w:r>
      <w:r>
        <w:rPr>
          <w:sz w:val="26"/>
          <w:szCs w:val="26"/>
        </w:rPr>
        <w:t>.attēlu)</w:t>
      </w:r>
      <w:r w:rsidRPr="00343D78">
        <w:rPr>
          <w:sz w:val="26"/>
          <w:szCs w:val="26"/>
        </w:rPr>
        <w:t>.</w:t>
      </w:r>
    </w:p>
    <w:p w:rsidR="003723C4" w:rsidRPr="002B4D22" w:rsidRDefault="003723C4" w:rsidP="00E20B9C">
      <w:pPr>
        <w:pStyle w:val="tv213"/>
        <w:spacing w:before="0" w:beforeAutospacing="0" w:after="120" w:afterAutospacing="0"/>
        <w:ind w:firstLine="567"/>
        <w:jc w:val="both"/>
        <w:rPr>
          <w:sz w:val="26"/>
          <w:szCs w:val="26"/>
        </w:rPr>
      </w:pPr>
      <w:r w:rsidRPr="002B4D22">
        <w:rPr>
          <w:sz w:val="26"/>
          <w:szCs w:val="26"/>
        </w:rPr>
        <w:t xml:space="preserve">Kopumā visā pārskata periodā no investīcijām kapitālsabiedrību pamatkapitālā 67% gadījumu ieguldījumu veicis viens TUA pieteicējs, </w:t>
      </w:r>
      <w:r>
        <w:rPr>
          <w:sz w:val="26"/>
          <w:szCs w:val="26"/>
        </w:rPr>
        <w:t>20</w:t>
      </w:r>
      <w:r w:rsidRPr="002B4D22">
        <w:rPr>
          <w:sz w:val="26"/>
          <w:szCs w:val="26"/>
        </w:rPr>
        <w:t xml:space="preserve">% gadījumu – divi TUA pieteicēji, </w:t>
      </w:r>
      <w:r>
        <w:rPr>
          <w:sz w:val="26"/>
          <w:szCs w:val="26"/>
        </w:rPr>
        <w:t>8</w:t>
      </w:r>
      <w:r w:rsidRPr="002B4D22">
        <w:rPr>
          <w:sz w:val="26"/>
          <w:szCs w:val="26"/>
        </w:rPr>
        <w:t>% gadījumu –</w:t>
      </w:r>
      <w:r>
        <w:rPr>
          <w:sz w:val="26"/>
          <w:szCs w:val="26"/>
        </w:rPr>
        <w:t xml:space="preserve"> </w:t>
      </w:r>
      <w:r w:rsidRPr="002B4D22">
        <w:rPr>
          <w:sz w:val="26"/>
          <w:szCs w:val="26"/>
        </w:rPr>
        <w:t>trīs TUA pieteicēji. Lielāks TUA pieteicēju skaits (virs 3) vienā uzņēmumā ir 5% gadījumu, tai skaitā vienā uzņēmumā ir investējuši 27 TUA pieteicēju, bet divos uzņēmumos – 12 TUA pieteicēji.</w:t>
      </w:r>
    </w:p>
    <w:p w:rsidR="003723C4" w:rsidRPr="004128CD" w:rsidRDefault="000A333D" w:rsidP="00E20B9C">
      <w:pPr>
        <w:spacing w:after="120"/>
        <w:ind w:firstLine="567"/>
        <w:jc w:val="both"/>
        <w:rPr>
          <w:i/>
          <w:sz w:val="26"/>
          <w:szCs w:val="26"/>
          <w:highlight w:val="yellow"/>
        </w:rPr>
      </w:pPr>
      <w:r w:rsidRPr="000A333D">
        <w:rPr>
          <w:sz w:val="26"/>
          <w:szCs w:val="26"/>
        </w:rPr>
        <w:t>K</w:t>
      </w:r>
      <w:r w:rsidR="003723C4" w:rsidRPr="000A333D">
        <w:rPr>
          <w:sz w:val="26"/>
          <w:szCs w:val="26"/>
        </w:rPr>
        <w:t xml:space="preserve">opējais investīciju apjoms, kas tiek ieguldīts uzņēmumu pamatkapitālā, sākotnēji katru gadu palielinājās – no 3,6 milj. </w:t>
      </w:r>
      <w:proofErr w:type="spellStart"/>
      <w:r w:rsidR="003723C4" w:rsidRPr="000A333D">
        <w:rPr>
          <w:i/>
          <w:sz w:val="26"/>
          <w:szCs w:val="26"/>
        </w:rPr>
        <w:t>euro</w:t>
      </w:r>
      <w:proofErr w:type="spellEnd"/>
      <w:r w:rsidR="003723C4" w:rsidRPr="000A333D">
        <w:rPr>
          <w:sz w:val="26"/>
          <w:szCs w:val="26"/>
        </w:rPr>
        <w:t xml:space="preserve"> 2011.gadā līdz 29,3 milj. </w:t>
      </w:r>
      <w:proofErr w:type="spellStart"/>
      <w:r w:rsidR="003723C4" w:rsidRPr="000A333D">
        <w:rPr>
          <w:i/>
          <w:sz w:val="26"/>
          <w:szCs w:val="26"/>
        </w:rPr>
        <w:t>euro</w:t>
      </w:r>
      <w:proofErr w:type="spellEnd"/>
      <w:r w:rsidR="003723C4" w:rsidRPr="000A333D">
        <w:rPr>
          <w:sz w:val="26"/>
          <w:szCs w:val="26"/>
        </w:rPr>
        <w:t xml:space="preserve"> 2013.gadā. Savukārt, no 2014.gada vērojams ieguldījumu līmeņa samazinājums, ko var izskaidrot ar vairākiem grozījumiem Imigrācijas likumā, kas paredzēja ierobežot investoru skaitu uzņēmumos, kuru bilance un/vai apgrozījums nepārsniedz 10 milj. </w:t>
      </w:r>
      <w:proofErr w:type="spellStart"/>
      <w:r w:rsidR="003723C4" w:rsidRPr="000A333D">
        <w:rPr>
          <w:i/>
          <w:sz w:val="26"/>
          <w:szCs w:val="26"/>
        </w:rPr>
        <w:t>euro</w:t>
      </w:r>
      <w:proofErr w:type="spellEnd"/>
      <w:r w:rsidR="003723C4" w:rsidRPr="000A333D">
        <w:rPr>
          <w:i/>
          <w:sz w:val="26"/>
          <w:szCs w:val="26"/>
        </w:rPr>
        <w:t xml:space="preserve"> </w:t>
      </w:r>
      <w:r w:rsidR="003723C4" w:rsidRPr="000A333D">
        <w:rPr>
          <w:sz w:val="26"/>
          <w:szCs w:val="26"/>
        </w:rPr>
        <w:t xml:space="preserve">un kuros nodarbināti ne vairāk kā 50 darbinieki, kā arī – noteikt nodokļu samaksas kritēriju, kas nav atkarīgs no veiktās investīcijas summas (iepriekš ieguldījumiem, kas sasniedza vismaz 150 000 </w:t>
      </w:r>
      <w:proofErr w:type="spellStart"/>
      <w:r w:rsidR="003723C4" w:rsidRPr="000A333D">
        <w:rPr>
          <w:i/>
          <w:sz w:val="26"/>
          <w:szCs w:val="26"/>
        </w:rPr>
        <w:t>euro</w:t>
      </w:r>
      <w:proofErr w:type="spellEnd"/>
      <w:r w:rsidR="003723C4" w:rsidRPr="000A333D">
        <w:rPr>
          <w:sz w:val="26"/>
          <w:szCs w:val="26"/>
        </w:rPr>
        <w:t xml:space="preserve">, netika noteikts nodokļu samaksas kritērijs). Ievērojot iepriekš minēto, 2014.gadā kopējās investīcijas uzņēmumu pamatkapitālā samazinājās līdz 18,8 milj. </w:t>
      </w:r>
      <w:proofErr w:type="spellStart"/>
      <w:r w:rsidR="003723C4" w:rsidRPr="000A333D">
        <w:rPr>
          <w:i/>
          <w:sz w:val="26"/>
          <w:szCs w:val="26"/>
        </w:rPr>
        <w:t>euro</w:t>
      </w:r>
      <w:proofErr w:type="spellEnd"/>
      <w:r w:rsidR="003723C4" w:rsidRPr="000A333D">
        <w:rPr>
          <w:i/>
          <w:sz w:val="26"/>
          <w:szCs w:val="26"/>
        </w:rPr>
        <w:t xml:space="preserve"> </w:t>
      </w:r>
      <w:r w:rsidR="003723C4" w:rsidRPr="000A333D">
        <w:rPr>
          <w:sz w:val="26"/>
          <w:szCs w:val="26"/>
        </w:rPr>
        <w:t>jeb par 35,8%, salīdzinot ar 2013.gadu), 2015.gad</w:t>
      </w:r>
      <w:r w:rsidRPr="000A333D">
        <w:rPr>
          <w:sz w:val="26"/>
          <w:szCs w:val="26"/>
        </w:rPr>
        <w:t>ā</w:t>
      </w:r>
      <w:r w:rsidR="003723C4" w:rsidRPr="000A333D">
        <w:rPr>
          <w:sz w:val="26"/>
          <w:szCs w:val="26"/>
        </w:rPr>
        <w:t xml:space="preserve"> </w:t>
      </w:r>
      <w:r w:rsidRPr="000A333D">
        <w:rPr>
          <w:sz w:val="26"/>
          <w:szCs w:val="26"/>
        </w:rPr>
        <w:t xml:space="preserve">līdz 7,4 milj. </w:t>
      </w:r>
      <w:proofErr w:type="spellStart"/>
      <w:r w:rsidRPr="000A333D">
        <w:rPr>
          <w:sz w:val="26"/>
          <w:szCs w:val="26"/>
        </w:rPr>
        <w:t>euro</w:t>
      </w:r>
      <w:proofErr w:type="spellEnd"/>
      <w:r w:rsidRPr="000A333D">
        <w:rPr>
          <w:sz w:val="26"/>
          <w:szCs w:val="26"/>
        </w:rPr>
        <w:t xml:space="preserve">, bet 2016.gada 1.pusgadā veikti ieguldījumi 2,5 milj. </w:t>
      </w:r>
      <w:proofErr w:type="spellStart"/>
      <w:r w:rsidRPr="000A333D">
        <w:rPr>
          <w:i/>
          <w:sz w:val="26"/>
          <w:szCs w:val="26"/>
        </w:rPr>
        <w:t>euro</w:t>
      </w:r>
      <w:proofErr w:type="spellEnd"/>
      <w:r w:rsidRPr="000A333D">
        <w:rPr>
          <w:sz w:val="26"/>
          <w:szCs w:val="26"/>
        </w:rPr>
        <w:t xml:space="preserve"> apmērā</w:t>
      </w:r>
      <w:r w:rsidR="003723C4" w:rsidRPr="000A333D">
        <w:rPr>
          <w:i/>
          <w:sz w:val="26"/>
          <w:szCs w:val="26"/>
        </w:rPr>
        <w:t>.</w:t>
      </w:r>
    </w:p>
    <w:p w:rsidR="003723C4" w:rsidRPr="002B4D22" w:rsidRDefault="003723C4" w:rsidP="003723C4">
      <w:pPr>
        <w:keepNext/>
        <w:spacing w:after="120"/>
        <w:jc w:val="right"/>
        <w:rPr>
          <w:sz w:val="26"/>
          <w:szCs w:val="26"/>
        </w:rPr>
      </w:pPr>
      <w:r>
        <w:rPr>
          <w:sz w:val="26"/>
          <w:szCs w:val="26"/>
        </w:rPr>
        <w:lastRenderedPageBreak/>
        <w:t>4</w:t>
      </w:r>
      <w:r w:rsidRPr="002B4D22">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5"/>
        <w:gridCol w:w="5132"/>
      </w:tblGrid>
      <w:tr w:rsidR="003723C4" w:rsidRPr="002B4D22" w:rsidTr="001202EF">
        <w:tc>
          <w:tcPr>
            <w:tcW w:w="9571" w:type="dxa"/>
            <w:gridSpan w:val="2"/>
          </w:tcPr>
          <w:p w:rsidR="003723C4" w:rsidRPr="002B4D22" w:rsidRDefault="003723C4" w:rsidP="001202EF">
            <w:pPr>
              <w:keepNext/>
              <w:spacing w:after="120"/>
              <w:jc w:val="center"/>
              <w:rPr>
                <w:rFonts w:ascii="Times New Roman" w:hAnsi="Times New Roman"/>
                <w:b/>
                <w:sz w:val="24"/>
                <w:szCs w:val="24"/>
              </w:rPr>
            </w:pPr>
            <w:r w:rsidRPr="007C5CAF">
              <w:rPr>
                <w:rFonts w:ascii="Times New Roman" w:hAnsi="Times New Roman"/>
                <w:b/>
                <w:sz w:val="24"/>
                <w:szCs w:val="24"/>
              </w:rPr>
              <w:t>TUA iesniedzēju – ieguldītāju kapitālsabiedrību pamatkapitālā</w:t>
            </w:r>
          </w:p>
        </w:tc>
      </w:tr>
      <w:tr w:rsidR="003723C4" w:rsidRPr="002B4D22" w:rsidTr="001202EF">
        <w:tc>
          <w:tcPr>
            <w:tcW w:w="4785" w:type="dxa"/>
          </w:tcPr>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veikto ieguldījumu skaits sadalījumā pēc to apjoma (07.2010.-06.2015.)</w:t>
            </w:r>
          </w:p>
          <w:p w:rsidR="003723C4" w:rsidRPr="002B4D22" w:rsidRDefault="003723C4" w:rsidP="001202EF">
            <w:pPr>
              <w:keepNext/>
              <w:spacing w:after="120"/>
              <w:rPr>
                <w:rFonts w:ascii="Times New Roman" w:hAnsi="Times New Roman"/>
                <w:i/>
                <w:sz w:val="26"/>
                <w:szCs w:val="26"/>
              </w:rPr>
            </w:pPr>
            <w:r w:rsidRPr="002B4D22">
              <w:rPr>
                <w:i/>
                <w:noProof/>
                <w:sz w:val="26"/>
                <w:szCs w:val="26"/>
              </w:rPr>
              <w:drawing>
                <wp:inline distT="0" distB="0" distL="0" distR="0">
                  <wp:extent cx="2524125" cy="2905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23C4" w:rsidRPr="002B4D22" w:rsidRDefault="003723C4" w:rsidP="001202EF">
            <w:pPr>
              <w:keepNext/>
              <w:spacing w:after="120"/>
              <w:rPr>
                <w:rFonts w:ascii="Times New Roman" w:hAnsi="Times New Roman"/>
                <w:sz w:val="22"/>
                <w:szCs w:val="22"/>
              </w:rPr>
            </w:pPr>
            <w:r w:rsidRPr="002B4D22">
              <w:rPr>
                <w:rFonts w:ascii="Times New Roman" w:hAnsi="Times New Roman"/>
                <w:i/>
                <w:sz w:val="22"/>
                <w:szCs w:val="22"/>
              </w:rPr>
              <w:t>Avots: PMLP</w:t>
            </w:r>
          </w:p>
        </w:tc>
        <w:tc>
          <w:tcPr>
            <w:tcW w:w="4786" w:type="dxa"/>
          </w:tcPr>
          <w:p w:rsidR="003723C4" w:rsidRPr="002B4D22" w:rsidRDefault="003723C4" w:rsidP="001202EF">
            <w:pPr>
              <w:keepNext/>
              <w:jc w:val="center"/>
              <w:rPr>
                <w:rFonts w:ascii="Times New Roman" w:hAnsi="Times New Roman"/>
                <w:b/>
                <w:sz w:val="24"/>
                <w:szCs w:val="24"/>
              </w:rPr>
            </w:pPr>
            <w:r w:rsidRPr="002B4D22">
              <w:rPr>
                <w:rFonts w:ascii="Times New Roman" w:hAnsi="Times New Roman"/>
                <w:b/>
                <w:sz w:val="24"/>
                <w:szCs w:val="24"/>
              </w:rPr>
              <w:t xml:space="preserve">sadalījums pēc valstiskās piederības </w:t>
            </w:r>
          </w:p>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(07.2010.-06.2015.)</w:t>
            </w:r>
          </w:p>
          <w:p w:rsidR="003723C4" w:rsidRPr="002B4D22" w:rsidRDefault="003723C4" w:rsidP="001202EF">
            <w:pPr>
              <w:keepNext/>
              <w:spacing w:after="120"/>
              <w:jc w:val="center"/>
              <w:rPr>
                <w:rFonts w:ascii="Times New Roman" w:hAnsi="Times New Roman"/>
                <w:noProof/>
              </w:rPr>
            </w:pPr>
            <w:r w:rsidRPr="002B4D22">
              <w:rPr>
                <w:noProof/>
              </w:rPr>
              <w:drawing>
                <wp:inline distT="0" distB="0" distL="0" distR="0">
                  <wp:extent cx="3162300" cy="2905125"/>
                  <wp:effectExtent l="0" t="0" r="0" b="9525"/>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23C4" w:rsidRPr="002B4D22" w:rsidRDefault="003723C4" w:rsidP="001202EF">
            <w:pPr>
              <w:keepNext/>
              <w:spacing w:after="120"/>
              <w:rPr>
                <w:rFonts w:ascii="Times New Roman" w:hAnsi="Times New Roman"/>
                <w:sz w:val="26"/>
                <w:szCs w:val="26"/>
              </w:rPr>
            </w:pPr>
            <w:r w:rsidRPr="002B4D22">
              <w:rPr>
                <w:rFonts w:ascii="Times New Roman" w:hAnsi="Times New Roman"/>
                <w:i/>
                <w:sz w:val="22"/>
                <w:szCs w:val="22"/>
              </w:rPr>
              <w:t>Avots: PMLP</w:t>
            </w:r>
          </w:p>
        </w:tc>
      </w:tr>
    </w:tbl>
    <w:p w:rsidR="003723C4" w:rsidRPr="002B4D22" w:rsidRDefault="003723C4" w:rsidP="003723C4">
      <w:pPr>
        <w:spacing w:after="120"/>
        <w:ind w:firstLine="567"/>
        <w:jc w:val="both"/>
        <w:rPr>
          <w:sz w:val="26"/>
          <w:szCs w:val="26"/>
        </w:rPr>
      </w:pPr>
      <w:r w:rsidRPr="00776802">
        <w:rPr>
          <w:sz w:val="26"/>
          <w:szCs w:val="26"/>
        </w:rPr>
        <w:t>Nerezidentiem, kuri veikuši ieguldījumu kapitālsabiedrībās un pieteikušies TUA, pieder īpašumtiesību daļas 349 Latvijā reģistrētos uzņēmumos</w:t>
      </w:r>
      <w:r w:rsidRPr="00776802">
        <w:rPr>
          <w:rStyle w:val="FootnoteReference"/>
          <w:sz w:val="26"/>
          <w:szCs w:val="26"/>
        </w:rPr>
        <w:footnoteReference w:id="6"/>
      </w:r>
      <w:r w:rsidRPr="00776802">
        <w:rPr>
          <w:sz w:val="26"/>
          <w:szCs w:val="26"/>
        </w:rPr>
        <w:t xml:space="preserve">. No šiem uzņēmumiem, 93 uzņēmumi 2015.gadu ir noslēguši ar peļņu, bet 157  – ar zaudējumiem. Kopējais uzņēmumu apgrozījums 2015.gadā bija 201,1 milj. </w:t>
      </w:r>
      <w:proofErr w:type="spellStart"/>
      <w:r w:rsidRPr="00776802">
        <w:rPr>
          <w:i/>
          <w:iCs/>
          <w:sz w:val="26"/>
          <w:szCs w:val="26"/>
        </w:rPr>
        <w:t>euro</w:t>
      </w:r>
      <w:proofErr w:type="spellEnd"/>
      <w:r w:rsidRPr="00776802">
        <w:rPr>
          <w:sz w:val="26"/>
          <w:szCs w:val="26"/>
        </w:rPr>
        <w:t xml:space="preserve"> un kopā nodarbināti tika 2 184 darbinieki</w:t>
      </w:r>
      <w:r w:rsidRPr="00776802">
        <w:rPr>
          <w:rStyle w:val="FootnoteReference"/>
          <w:sz w:val="26"/>
          <w:szCs w:val="26"/>
        </w:rPr>
        <w:footnoteReference w:id="7"/>
      </w:r>
      <w:r w:rsidRPr="00776802">
        <w:rPr>
          <w:sz w:val="26"/>
          <w:szCs w:val="26"/>
        </w:rPr>
        <w:t>.</w:t>
      </w:r>
      <w:r w:rsidRPr="002B4D22">
        <w:rPr>
          <w:sz w:val="26"/>
          <w:szCs w:val="26"/>
        </w:rPr>
        <w:t xml:space="preserve"> </w:t>
      </w:r>
    </w:p>
    <w:p w:rsidR="003723C4" w:rsidRPr="002B4D22" w:rsidRDefault="003723C4" w:rsidP="003723C4">
      <w:pPr>
        <w:keepNext/>
        <w:spacing w:after="120"/>
        <w:jc w:val="right"/>
        <w:rPr>
          <w:sz w:val="26"/>
          <w:szCs w:val="26"/>
        </w:rPr>
      </w:pPr>
      <w:r>
        <w:rPr>
          <w:sz w:val="26"/>
          <w:szCs w:val="26"/>
        </w:rPr>
        <w:lastRenderedPageBreak/>
        <w:t>5</w:t>
      </w:r>
      <w:r w:rsidRPr="002B4D22">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5"/>
        <w:gridCol w:w="4722"/>
      </w:tblGrid>
      <w:tr w:rsidR="003723C4" w:rsidRPr="002B4D22" w:rsidTr="001202EF">
        <w:tc>
          <w:tcPr>
            <w:tcW w:w="9571" w:type="dxa"/>
            <w:gridSpan w:val="2"/>
          </w:tcPr>
          <w:p w:rsidR="003723C4" w:rsidRPr="00A119B2" w:rsidRDefault="003723C4" w:rsidP="001202EF">
            <w:pPr>
              <w:keepNext/>
              <w:spacing w:after="120"/>
              <w:jc w:val="center"/>
              <w:rPr>
                <w:rFonts w:ascii="Times New Roman" w:hAnsi="Times New Roman"/>
                <w:b/>
                <w:sz w:val="24"/>
                <w:szCs w:val="24"/>
              </w:rPr>
            </w:pPr>
            <w:r w:rsidRPr="00A119B2">
              <w:rPr>
                <w:rFonts w:ascii="Times New Roman" w:hAnsi="Times New Roman"/>
                <w:b/>
                <w:sz w:val="24"/>
                <w:szCs w:val="24"/>
              </w:rPr>
              <w:t>Uz TUA iesniedzējiem – ieguldītājiem kapitālsabiedrību pamatkapitālā</w:t>
            </w:r>
            <w:r w:rsidRPr="00A119B2">
              <w:rPr>
                <w:rFonts w:ascii="Times New Roman" w:hAnsi="Times New Roman"/>
                <w:sz w:val="26"/>
                <w:szCs w:val="26"/>
              </w:rPr>
              <w:t xml:space="preserve"> </w:t>
            </w:r>
            <w:r w:rsidRPr="00A119B2">
              <w:rPr>
                <w:rFonts w:ascii="Times New Roman" w:hAnsi="Times New Roman"/>
                <w:b/>
                <w:sz w:val="24"/>
                <w:szCs w:val="24"/>
              </w:rPr>
              <w:t xml:space="preserve">attiecināmo </w:t>
            </w:r>
          </w:p>
          <w:p w:rsidR="003723C4" w:rsidRPr="002B4D22" w:rsidRDefault="003723C4" w:rsidP="001202EF">
            <w:pPr>
              <w:keepNext/>
              <w:spacing w:after="120"/>
              <w:jc w:val="center"/>
              <w:rPr>
                <w:rFonts w:ascii="Times New Roman" w:hAnsi="Times New Roman"/>
                <w:b/>
                <w:sz w:val="24"/>
                <w:szCs w:val="24"/>
              </w:rPr>
            </w:pPr>
            <w:r w:rsidRPr="00A119B2">
              <w:rPr>
                <w:rFonts w:ascii="Times New Roman" w:hAnsi="Times New Roman"/>
                <w:b/>
                <w:sz w:val="24"/>
                <w:szCs w:val="24"/>
              </w:rPr>
              <w:t>(pieder īpašumtiesību daļas)</w:t>
            </w:r>
          </w:p>
        </w:tc>
      </w:tr>
      <w:tr w:rsidR="003723C4" w:rsidRPr="002B4D22" w:rsidTr="001202EF">
        <w:tc>
          <w:tcPr>
            <w:tcW w:w="4785" w:type="dxa"/>
          </w:tcPr>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uzņēmumu sadalījums pēc to dibināšanas gada</w:t>
            </w:r>
          </w:p>
          <w:p w:rsidR="003723C4" w:rsidRPr="002B4D22" w:rsidRDefault="003723C4" w:rsidP="001202EF">
            <w:pPr>
              <w:keepNext/>
              <w:spacing w:after="120"/>
              <w:jc w:val="right"/>
              <w:rPr>
                <w:rFonts w:ascii="Times New Roman" w:hAnsi="Times New Roman"/>
                <w:sz w:val="26"/>
                <w:szCs w:val="26"/>
              </w:rPr>
            </w:pPr>
            <w:r w:rsidRPr="002B4D22">
              <w:rPr>
                <w:noProof/>
                <w:sz w:val="26"/>
                <w:szCs w:val="26"/>
              </w:rPr>
              <w:drawing>
                <wp:inline distT="0" distB="0" distL="0" distR="0">
                  <wp:extent cx="2619375" cy="21526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23C4" w:rsidRPr="002B4D22" w:rsidRDefault="003723C4" w:rsidP="001202EF">
            <w:pPr>
              <w:keepNext/>
              <w:spacing w:after="120"/>
              <w:rPr>
                <w:rFonts w:ascii="Times New Roman" w:hAnsi="Times New Roman"/>
                <w:sz w:val="22"/>
                <w:szCs w:val="22"/>
              </w:rPr>
            </w:pPr>
            <w:r w:rsidRPr="002B4D22">
              <w:rPr>
                <w:rFonts w:ascii="Times New Roman" w:hAnsi="Times New Roman"/>
                <w:i/>
                <w:sz w:val="22"/>
                <w:szCs w:val="22"/>
              </w:rPr>
              <w:t xml:space="preserve">Avots: </w:t>
            </w:r>
            <w:r>
              <w:rPr>
                <w:rFonts w:ascii="Times New Roman" w:hAnsi="Times New Roman"/>
                <w:i/>
                <w:sz w:val="22"/>
                <w:szCs w:val="22"/>
              </w:rPr>
              <w:t>LURSOFT</w:t>
            </w:r>
          </w:p>
        </w:tc>
        <w:tc>
          <w:tcPr>
            <w:tcW w:w="4786" w:type="dxa"/>
          </w:tcPr>
          <w:p w:rsidR="003723C4" w:rsidRPr="002B4D22" w:rsidRDefault="003723C4" w:rsidP="001202EF">
            <w:pPr>
              <w:keepNext/>
              <w:spacing w:after="120"/>
              <w:jc w:val="center"/>
              <w:rPr>
                <w:rFonts w:ascii="Times New Roman" w:hAnsi="Times New Roman"/>
                <w:b/>
                <w:sz w:val="24"/>
                <w:szCs w:val="24"/>
              </w:rPr>
            </w:pPr>
            <w:r w:rsidRPr="002B4D22">
              <w:rPr>
                <w:rFonts w:ascii="Times New Roman" w:hAnsi="Times New Roman"/>
                <w:b/>
                <w:sz w:val="24"/>
                <w:szCs w:val="24"/>
              </w:rPr>
              <w:t>uzņēmumu sadalījums pēc darbības jomas</w:t>
            </w:r>
            <w:r>
              <w:rPr>
                <w:rFonts w:ascii="Times New Roman" w:hAnsi="Times New Roman"/>
                <w:b/>
                <w:sz w:val="24"/>
                <w:szCs w:val="24"/>
              </w:rPr>
              <w:t xml:space="preserve"> (pēc NACE koda, versija 2.0)</w:t>
            </w:r>
            <w:r w:rsidRPr="002B4D22">
              <w:rPr>
                <w:rFonts w:ascii="Times New Roman" w:hAnsi="Times New Roman"/>
                <w:b/>
                <w:sz w:val="24"/>
                <w:szCs w:val="24"/>
              </w:rPr>
              <w:t xml:space="preserve"> </w:t>
            </w:r>
          </w:p>
          <w:p w:rsidR="003723C4" w:rsidRPr="002B4D22" w:rsidRDefault="003723C4" w:rsidP="001202EF">
            <w:pPr>
              <w:keepNext/>
              <w:spacing w:after="120"/>
              <w:jc w:val="center"/>
              <w:rPr>
                <w:rFonts w:ascii="Times New Roman" w:hAnsi="Times New Roman"/>
                <w:b/>
                <w:sz w:val="24"/>
                <w:szCs w:val="24"/>
              </w:rPr>
            </w:pPr>
            <w:r w:rsidRPr="002B4D22">
              <w:rPr>
                <w:noProof/>
                <w:sz w:val="26"/>
                <w:szCs w:val="26"/>
              </w:rPr>
              <w:drawing>
                <wp:inline distT="0" distB="0" distL="0" distR="0">
                  <wp:extent cx="2819400" cy="244792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23C4" w:rsidRPr="002B4D22" w:rsidRDefault="003723C4" w:rsidP="001202EF">
            <w:pPr>
              <w:keepNext/>
              <w:spacing w:after="120"/>
              <w:rPr>
                <w:rFonts w:ascii="Times New Roman" w:hAnsi="Times New Roman"/>
                <w:sz w:val="26"/>
                <w:szCs w:val="26"/>
              </w:rPr>
            </w:pPr>
            <w:r w:rsidRPr="002B4D22">
              <w:rPr>
                <w:rFonts w:ascii="Times New Roman" w:hAnsi="Times New Roman"/>
                <w:i/>
                <w:sz w:val="22"/>
                <w:szCs w:val="22"/>
              </w:rPr>
              <w:t xml:space="preserve">Avots: </w:t>
            </w:r>
            <w:r>
              <w:rPr>
                <w:rFonts w:ascii="Times New Roman" w:hAnsi="Times New Roman"/>
                <w:i/>
                <w:sz w:val="22"/>
                <w:szCs w:val="22"/>
              </w:rPr>
              <w:t>LURSOFT</w:t>
            </w:r>
            <w:r w:rsidRPr="002B4D22">
              <w:rPr>
                <w:rFonts w:ascii="Times New Roman" w:hAnsi="Times New Roman"/>
                <w:sz w:val="26"/>
                <w:szCs w:val="26"/>
              </w:rPr>
              <w:t xml:space="preserve"> </w:t>
            </w:r>
          </w:p>
        </w:tc>
      </w:tr>
    </w:tbl>
    <w:p w:rsidR="003723C4" w:rsidRPr="002B4D22" w:rsidRDefault="003723C4" w:rsidP="003723C4">
      <w:pPr>
        <w:spacing w:after="120"/>
        <w:ind w:firstLine="426"/>
        <w:jc w:val="both"/>
        <w:rPr>
          <w:sz w:val="26"/>
          <w:szCs w:val="26"/>
        </w:rPr>
      </w:pPr>
    </w:p>
    <w:p w:rsidR="003723C4" w:rsidRPr="00A119B2" w:rsidRDefault="003723C4" w:rsidP="00E20B9C">
      <w:pPr>
        <w:spacing w:after="120"/>
        <w:ind w:firstLine="567"/>
        <w:jc w:val="both"/>
        <w:rPr>
          <w:sz w:val="26"/>
          <w:szCs w:val="26"/>
        </w:rPr>
      </w:pPr>
      <w:r w:rsidRPr="00A119B2">
        <w:rPr>
          <w:sz w:val="26"/>
          <w:szCs w:val="26"/>
        </w:rPr>
        <w:t xml:space="preserve">No šiem uzņēmumiem, kuros TUA saņēmējiem pieder daļas, vairums darbojas pakalpojumu sfērā – vairumtirdzniecībā, restorānu biznesā, izmitināšanas pakalpojumos, finanšu starpniecībā, operācijās ar nekustamo īpašumu, profesionālajos un tehniskajos pakalpojumos (juridiskie pakalpojumi, grāmatvedība). Periodā no 2015.gada 1.jūlija līdz 2016.gada 1.jūlijam audzis to uzņēmumu skaits, kuri darbojas apstrādes rūpniecībā (no 17 uz 33), bet vienlaikus samazinājies to īpatsvars no 12% uz 9%. </w:t>
      </w:r>
    </w:p>
    <w:p w:rsidR="003723C4" w:rsidRPr="00F94FF6" w:rsidRDefault="003723C4" w:rsidP="00E20B9C">
      <w:pPr>
        <w:spacing w:after="120"/>
        <w:ind w:firstLine="567"/>
        <w:jc w:val="both"/>
        <w:rPr>
          <w:sz w:val="26"/>
          <w:szCs w:val="26"/>
        </w:rPr>
      </w:pPr>
      <w:r w:rsidRPr="00F94FF6">
        <w:rPr>
          <w:sz w:val="26"/>
          <w:szCs w:val="26"/>
        </w:rPr>
        <w:t xml:space="preserve">Minētie TUA pieteicēji 2016.gada 1.jūlijā ieņēma kādu amatu 177 Latvijā reģistrētos uzņēmumos (iepriekšējā periodā 137 uzņēmumos). Šie uzņēmumi kopumā 2016.gada 1.pusgadā iemaksājuši valsts budžetā nodokļus (atskaitot no valsts budžeta atmaksātos nodokļus) 5,3 milj. </w:t>
      </w:r>
      <w:proofErr w:type="spellStart"/>
      <w:r w:rsidRPr="00F94FF6">
        <w:rPr>
          <w:i/>
          <w:sz w:val="26"/>
          <w:szCs w:val="26"/>
        </w:rPr>
        <w:t>euro</w:t>
      </w:r>
      <w:proofErr w:type="spellEnd"/>
      <w:r w:rsidRPr="00F94FF6">
        <w:rPr>
          <w:sz w:val="26"/>
          <w:szCs w:val="26"/>
        </w:rPr>
        <w:t xml:space="preserve"> apmērā, kas ir par 36% vairāk nekā tādā pašā laika periodā 2015.gadā. </w:t>
      </w:r>
    </w:p>
    <w:p w:rsidR="003723C4" w:rsidRDefault="003723C4" w:rsidP="00E20B9C">
      <w:pPr>
        <w:spacing w:after="120"/>
        <w:ind w:firstLine="567"/>
        <w:jc w:val="both"/>
        <w:rPr>
          <w:sz w:val="26"/>
          <w:szCs w:val="26"/>
        </w:rPr>
      </w:pPr>
      <w:r w:rsidRPr="00F94FF6">
        <w:rPr>
          <w:sz w:val="26"/>
          <w:szCs w:val="26"/>
        </w:rPr>
        <w:t xml:space="preserve">Uzņēmumi, kuros īpašumtiesību daļas pieder ārzemniekiem, kuri kā TUA saņemšanas iemeslu ir norādījuši ieguldījumu kapitālsabiedrības pamatkapitālā, 2015.gadā iemaksājuši valsts budžetā nodokļus (atskaitot no valsts budžeta atmaksātos nodokļus) 15,9 milj. </w:t>
      </w:r>
      <w:proofErr w:type="spellStart"/>
      <w:r w:rsidRPr="00F94FF6">
        <w:rPr>
          <w:i/>
          <w:sz w:val="26"/>
          <w:szCs w:val="26"/>
        </w:rPr>
        <w:t>euro</w:t>
      </w:r>
      <w:proofErr w:type="spellEnd"/>
      <w:r w:rsidRPr="00F94FF6">
        <w:rPr>
          <w:sz w:val="26"/>
          <w:szCs w:val="26"/>
        </w:rPr>
        <w:t xml:space="preserve"> apmērā, bet 2016.gada 1.pusgadā 7,4 milj. </w:t>
      </w:r>
      <w:proofErr w:type="spellStart"/>
      <w:r w:rsidRPr="00F94FF6">
        <w:rPr>
          <w:i/>
          <w:sz w:val="26"/>
          <w:szCs w:val="26"/>
        </w:rPr>
        <w:t>euro</w:t>
      </w:r>
      <w:proofErr w:type="spellEnd"/>
      <w:r w:rsidRPr="00F94FF6">
        <w:rPr>
          <w:sz w:val="26"/>
          <w:szCs w:val="26"/>
        </w:rPr>
        <w:t xml:space="preserve"> apmērā. </w:t>
      </w:r>
    </w:p>
    <w:p w:rsidR="000A333D" w:rsidRDefault="000A333D" w:rsidP="003723C4">
      <w:pPr>
        <w:ind w:firstLine="567"/>
        <w:jc w:val="both"/>
        <w:rPr>
          <w:sz w:val="26"/>
          <w:szCs w:val="26"/>
        </w:rPr>
      </w:pPr>
    </w:p>
    <w:p w:rsidR="000A333D" w:rsidRDefault="000A333D" w:rsidP="003723C4">
      <w:pPr>
        <w:ind w:firstLine="567"/>
        <w:jc w:val="both"/>
        <w:rPr>
          <w:sz w:val="26"/>
          <w:szCs w:val="26"/>
        </w:rPr>
      </w:pPr>
    </w:p>
    <w:p w:rsidR="000A333D" w:rsidRPr="000A333D" w:rsidRDefault="000A333D" w:rsidP="000A333D">
      <w:pPr>
        <w:pStyle w:val="ListParagraph"/>
        <w:numPr>
          <w:ilvl w:val="0"/>
          <w:numId w:val="2"/>
        </w:numPr>
        <w:rPr>
          <w:rFonts w:ascii="Times New Roman" w:hAnsi="Times New Roman"/>
          <w:b/>
          <w:sz w:val="26"/>
          <w:szCs w:val="26"/>
        </w:rPr>
      </w:pPr>
      <w:r w:rsidRPr="000A333D">
        <w:rPr>
          <w:rFonts w:ascii="Times New Roman" w:hAnsi="Times New Roman"/>
          <w:b/>
          <w:sz w:val="26"/>
          <w:szCs w:val="26"/>
        </w:rPr>
        <w:t>Piešķirtās TUA saskaņā ar Imigrācijas likuma 23.panta pirmās daļas 3.punktu</w:t>
      </w:r>
    </w:p>
    <w:p w:rsidR="003723C4" w:rsidRPr="002B4D22" w:rsidRDefault="003723C4" w:rsidP="00E20B9C">
      <w:pPr>
        <w:spacing w:after="120"/>
        <w:ind w:firstLine="567"/>
        <w:jc w:val="both"/>
        <w:rPr>
          <w:sz w:val="26"/>
          <w:szCs w:val="26"/>
        </w:rPr>
      </w:pPr>
      <w:r w:rsidRPr="002B4D22">
        <w:rPr>
          <w:sz w:val="26"/>
          <w:szCs w:val="26"/>
        </w:rPr>
        <w:t xml:space="preserve">Imigrācijas likuma </w:t>
      </w:r>
      <w:r w:rsidRPr="002B4D22">
        <w:rPr>
          <w:b/>
          <w:sz w:val="26"/>
          <w:szCs w:val="26"/>
          <w:u w:val="single"/>
        </w:rPr>
        <w:t>23.panta pirmās daļas 3.punktā</w:t>
      </w:r>
      <w:r w:rsidRPr="002B4D22">
        <w:rPr>
          <w:sz w:val="26"/>
          <w:szCs w:val="26"/>
        </w:rPr>
        <w:t xml:space="preserve"> noteikts, ka ārzemnieks var pieprasīt termiņuzturēšanās atļauju uz pilnvaru termiņu, bet ne ilgāk kā uz pieciem gadiem, ja viņš ir komercreģistrā reģistrēts valdes vai padomes loceklis, prokūrists, </w:t>
      </w:r>
      <w:r w:rsidRPr="002B4D22">
        <w:rPr>
          <w:sz w:val="26"/>
          <w:szCs w:val="26"/>
        </w:rPr>
        <w:lastRenderedPageBreak/>
        <w:t xml:space="preserve">administrators, likvidators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2 800 </w:t>
      </w:r>
      <w:proofErr w:type="spellStart"/>
      <w:r w:rsidRPr="002B4D22">
        <w:rPr>
          <w:i/>
          <w:sz w:val="26"/>
          <w:szCs w:val="26"/>
        </w:rPr>
        <w:t>euro</w:t>
      </w:r>
      <w:proofErr w:type="spellEnd"/>
      <w:r w:rsidRPr="002B4D22">
        <w:rPr>
          <w:sz w:val="26"/>
          <w:szCs w:val="26"/>
        </w:rPr>
        <w:t xml:space="preserve">. </w:t>
      </w:r>
    </w:p>
    <w:p w:rsidR="003723C4" w:rsidRDefault="003723C4" w:rsidP="00E20B9C">
      <w:pPr>
        <w:spacing w:after="120"/>
        <w:ind w:firstLine="567"/>
        <w:jc w:val="both"/>
        <w:rPr>
          <w:sz w:val="26"/>
          <w:szCs w:val="26"/>
        </w:rPr>
      </w:pPr>
      <w:r w:rsidRPr="002B4D22">
        <w:rPr>
          <w:sz w:val="26"/>
          <w:szCs w:val="26"/>
        </w:rPr>
        <w:t>201</w:t>
      </w:r>
      <w:r w:rsidR="006A7095">
        <w:rPr>
          <w:sz w:val="26"/>
          <w:szCs w:val="26"/>
        </w:rPr>
        <w:t>6</w:t>
      </w:r>
      <w:r w:rsidRPr="002B4D22">
        <w:rPr>
          <w:sz w:val="26"/>
          <w:szCs w:val="26"/>
        </w:rPr>
        <w:t xml:space="preserve">.gada 1.jūlijā Latvijas Republikā uzturējās </w:t>
      </w:r>
      <w:r w:rsidR="001128B4">
        <w:rPr>
          <w:sz w:val="26"/>
          <w:szCs w:val="26"/>
        </w:rPr>
        <w:t>306</w:t>
      </w:r>
      <w:r w:rsidR="001128B4" w:rsidRPr="002B4D22">
        <w:rPr>
          <w:sz w:val="26"/>
          <w:szCs w:val="26"/>
        </w:rPr>
        <w:t xml:space="preserve"> </w:t>
      </w:r>
      <w:r w:rsidRPr="002B4D22">
        <w:rPr>
          <w:sz w:val="26"/>
          <w:szCs w:val="26"/>
        </w:rPr>
        <w:t xml:space="preserve">personas ar derīgām TUA, kas izsniegtas personām kā komercreģistrā reģistrētām amatpersonām. </w:t>
      </w:r>
    </w:p>
    <w:p w:rsidR="001128B4" w:rsidRPr="001128B4" w:rsidRDefault="001128B4" w:rsidP="001128B4">
      <w:pPr>
        <w:spacing w:after="120"/>
        <w:ind w:firstLine="567"/>
        <w:jc w:val="both"/>
        <w:rPr>
          <w:color w:val="000000" w:themeColor="text1"/>
          <w:sz w:val="26"/>
          <w:szCs w:val="26"/>
        </w:rPr>
      </w:pPr>
      <w:r w:rsidRPr="001128B4">
        <w:rPr>
          <w:color w:val="000000" w:themeColor="text1"/>
          <w:sz w:val="26"/>
          <w:szCs w:val="26"/>
        </w:rPr>
        <w:t xml:space="preserve">Minētie TUA pieteicēji 2016.gada 1.jūlijā ieņēma kādu amatu 311 Latvijā reģistrētos uzņēmumos. Šie uzņēmumi kopumā 2016.gada 1.pusgadā iemaksājuši valsts budžetā nodokļus (atskaitot no valsts budžeta atmaksātos nodokļus) 102,8 milj. </w:t>
      </w:r>
      <w:proofErr w:type="spellStart"/>
      <w:r w:rsidR="00E02817" w:rsidRPr="00E02817">
        <w:rPr>
          <w:i/>
          <w:color w:val="000000" w:themeColor="text1"/>
          <w:sz w:val="26"/>
          <w:szCs w:val="26"/>
        </w:rPr>
        <w:t>euro</w:t>
      </w:r>
      <w:proofErr w:type="spellEnd"/>
      <w:r w:rsidRPr="001128B4">
        <w:rPr>
          <w:color w:val="000000" w:themeColor="text1"/>
          <w:sz w:val="26"/>
          <w:szCs w:val="26"/>
        </w:rPr>
        <w:t xml:space="preserve"> apmērā (31% nomaksājis viens uzņēmums), bet 2015.gadā 195,3 milj. </w:t>
      </w:r>
      <w:proofErr w:type="spellStart"/>
      <w:r w:rsidR="00E02817" w:rsidRPr="00E02817">
        <w:rPr>
          <w:i/>
          <w:color w:val="000000" w:themeColor="text1"/>
          <w:sz w:val="26"/>
          <w:szCs w:val="26"/>
        </w:rPr>
        <w:t>euro</w:t>
      </w:r>
      <w:proofErr w:type="spellEnd"/>
      <w:r w:rsidRPr="001128B4">
        <w:rPr>
          <w:color w:val="000000" w:themeColor="text1"/>
          <w:sz w:val="26"/>
          <w:szCs w:val="26"/>
        </w:rPr>
        <w:t xml:space="preserve">. </w:t>
      </w:r>
    </w:p>
    <w:p w:rsidR="001128B4" w:rsidRPr="002B4D22" w:rsidRDefault="001128B4" w:rsidP="001128B4">
      <w:pPr>
        <w:spacing w:after="120"/>
        <w:ind w:firstLine="567"/>
        <w:jc w:val="both"/>
        <w:rPr>
          <w:color w:val="000000" w:themeColor="text1"/>
          <w:sz w:val="26"/>
          <w:szCs w:val="26"/>
        </w:rPr>
      </w:pPr>
      <w:r w:rsidRPr="001128B4">
        <w:rPr>
          <w:color w:val="000000" w:themeColor="text1"/>
          <w:sz w:val="26"/>
          <w:szCs w:val="26"/>
        </w:rPr>
        <w:t xml:space="preserve">Uzņēmumi (140 uzņēmumi) , kuros īpašumtiesību daļas pieder ārzemniekiem, </w:t>
      </w:r>
      <w:bookmarkStart w:id="0" w:name="_GoBack"/>
      <w:bookmarkEnd w:id="0"/>
      <w:r w:rsidRPr="001128B4">
        <w:rPr>
          <w:color w:val="000000" w:themeColor="text1"/>
          <w:sz w:val="26"/>
          <w:szCs w:val="26"/>
        </w:rPr>
        <w:t xml:space="preserve">kuri kā TUA saņemšanas iemeslu ir Imigrācijas likuma 23.panta pirmās daļas 3.punktu, 2015.gadā iemaksājuši valsts budžetā nodokļus (atskaitot no valsts budžeta atmaksātos nodokļus) 9,2 milj. </w:t>
      </w:r>
      <w:proofErr w:type="spellStart"/>
      <w:r w:rsidR="00E02817" w:rsidRPr="00E02817">
        <w:rPr>
          <w:i/>
          <w:color w:val="000000" w:themeColor="text1"/>
          <w:sz w:val="26"/>
          <w:szCs w:val="26"/>
        </w:rPr>
        <w:t>euro</w:t>
      </w:r>
      <w:proofErr w:type="spellEnd"/>
      <w:r w:rsidRPr="001128B4">
        <w:rPr>
          <w:color w:val="000000" w:themeColor="text1"/>
          <w:sz w:val="26"/>
          <w:szCs w:val="26"/>
        </w:rPr>
        <w:t xml:space="preserve"> apmērā, bet 2016.gada 1.pusgadā 6,3 milj. </w:t>
      </w:r>
      <w:proofErr w:type="spellStart"/>
      <w:r w:rsidR="00E02817" w:rsidRPr="00E02817">
        <w:rPr>
          <w:i/>
          <w:color w:val="000000" w:themeColor="text1"/>
          <w:sz w:val="26"/>
          <w:szCs w:val="26"/>
        </w:rPr>
        <w:t>euro</w:t>
      </w:r>
      <w:proofErr w:type="spellEnd"/>
      <w:r w:rsidRPr="001128B4">
        <w:rPr>
          <w:color w:val="000000" w:themeColor="text1"/>
          <w:sz w:val="26"/>
          <w:szCs w:val="26"/>
        </w:rPr>
        <w:t xml:space="preserve"> apmērā.</w:t>
      </w:r>
    </w:p>
    <w:p w:rsidR="003723C4" w:rsidRDefault="003723C4" w:rsidP="003723C4">
      <w:pPr>
        <w:spacing w:after="120"/>
        <w:ind w:firstLine="425"/>
        <w:jc w:val="both"/>
        <w:rPr>
          <w:color w:val="FF0000"/>
          <w:sz w:val="26"/>
          <w:szCs w:val="26"/>
        </w:rPr>
      </w:pPr>
    </w:p>
    <w:p w:rsidR="006A7095" w:rsidRDefault="006A7095" w:rsidP="003723C4">
      <w:pPr>
        <w:spacing w:after="120"/>
        <w:ind w:firstLine="425"/>
        <w:jc w:val="both"/>
        <w:rPr>
          <w:color w:val="FF0000"/>
          <w:sz w:val="26"/>
          <w:szCs w:val="26"/>
        </w:rPr>
      </w:pPr>
    </w:p>
    <w:p w:rsidR="006A7095" w:rsidRPr="007355EB" w:rsidRDefault="006A7095" w:rsidP="006A7095">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6A7095" w:rsidRDefault="006A7095" w:rsidP="006A7095">
      <w:pPr>
        <w:ind w:left="720" w:hanging="720"/>
        <w:rPr>
          <w:sz w:val="26"/>
          <w:szCs w:val="26"/>
        </w:rPr>
      </w:pPr>
    </w:p>
    <w:p w:rsidR="006A7095" w:rsidRDefault="006A7095" w:rsidP="006A7095">
      <w:pPr>
        <w:ind w:left="720" w:hanging="720"/>
        <w:rPr>
          <w:sz w:val="26"/>
          <w:szCs w:val="26"/>
        </w:rPr>
      </w:pPr>
    </w:p>
    <w:p w:rsidR="006A7095" w:rsidRPr="007355EB" w:rsidRDefault="006A7095" w:rsidP="006A7095">
      <w:pPr>
        <w:ind w:left="720" w:hanging="720"/>
        <w:rPr>
          <w:sz w:val="26"/>
          <w:szCs w:val="26"/>
        </w:rPr>
      </w:pPr>
      <w:r w:rsidRPr="007355EB">
        <w:rPr>
          <w:sz w:val="26"/>
          <w:szCs w:val="26"/>
        </w:rPr>
        <w:t>Vīza:</w:t>
      </w:r>
    </w:p>
    <w:p w:rsidR="006A7095" w:rsidRPr="007355EB" w:rsidRDefault="006A7095" w:rsidP="006A7095">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6A7095" w:rsidRDefault="006A7095" w:rsidP="006A7095">
      <w:pPr>
        <w:ind w:right="-328"/>
        <w:jc w:val="both"/>
        <w:rPr>
          <w:sz w:val="22"/>
        </w:rPr>
      </w:pPr>
    </w:p>
    <w:p w:rsidR="006A7095" w:rsidRDefault="006A7095" w:rsidP="006A7095">
      <w:pPr>
        <w:ind w:right="-328"/>
        <w:jc w:val="both"/>
        <w:rPr>
          <w:sz w:val="22"/>
        </w:rPr>
      </w:pPr>
    </w:p>
    <w:p w:rsidR="006A7095" w:rsidRDefault="006A7095" w:rsidP="006A7095">
      <w:pPr>
        <w:ind w:right="-328"/>
        <w:jc w:val="both"/>
        <w:rPr>
          <w:sz w:val="22"/>
        </w:rPr>
      </w:pPr>
    </w:p>
    <w:p w:rsidR="006A7095" w:rsidRPr="007355EB" w:rsidRDefault="006A7095" w:rsidP="006A7095">
      <w:pPr>
        <w:ind w:right="-328"/>
        <w:jc w:val="both"/>
        <w:rPr>
          <w:sz w:val="22"/>
        </w:rPr>
      </w:pPr>
      <w:r>
        <w:rPr>
          <w:sz w:val="22"/>
        </w:rPr>
        <w:t>0</w:t>
      </w:r>
      <w:r w:rsidR="000033AF">
        <w:rPr>
          <w:sz w:val="22"/>
        </w:rPr>
        <w:t>6</w:t>
      </w:r>
      <w:r>
        <w:rPr>
          <w:sz w:val="22"/>
        </w:rPr>
        <w:t>.10</w:t>
      </w:r>
      <w:r w:rsidRPr="007355EB">
        <w:rPr>
          <w:sz w:val="22"/>
        </w:rPr>
        <w:t>.201</w:t>
      </w:r>
      <w:r>
        <w:rPr>
          <w:sz w:val="22"/>
        </w:rPr>
        <w:t>6</w:t>
      </w:r>
      <w:r w:rsidRPr="007355EB">
        <w:rPr>
          <w:sz w:val="22"/>
        </w:rPr>
        <w:t xml:space="preserve">. </w:t>
      </w:r>
      <w:r w:rsidR="000033AF">
        <w:rPr>
          <w:sz w:val="22"/>
        </w:rPr>
        <w:t>13:18</w:t>
      </w:r>
    </w:p>
    <w:p w:rsidR="006A7095" w:rsidRPr="007355EB" w:rsidRDefault="000033AF" w:rsidP="006A7095">
      <w:pPr>
        <w:ind w:right="-328"/>
        <w:rPr>
          <w:sz w:val="22"/>
        </w:rPr>
      </w:pPr>
      <w:r>
        <w:rPr>
          <w:sz w:val="22"/>
        </w:rPr>
        <w:t>1974</w:t>
      </w:r>
    </w:p>
    <w:p w:rsidR="006A7095" w:rsidRDefault="006A7095" w:rsidP="006A7095">
      <w:pPr>
        <w:ind w:right="-328"/>
        <w:rPr>
          <w:sz w:val="22"/>
        </w:rPr>
      </w:pPr>
      <w:r>
        <w:rPr>
          <w:sz w:val="22"/>
        </w:rPr>
        <w:t xml:space="preserve">I. </w:t>
      </w:r>
      <w:r w:rsidRPr="007355EB">
        <w:rPr>
          <w:sz w:val="22"/>
        </w:rPr>
        <w:t>Briede, 67219546</w:t>
      </w:r>
    </w:p>
    <w:p w:rsidR="006A7095" w:rsidRPr="007355EB" w:rsidRDefault="00E02817" w:rsidP="006A7095">
      <w:pPr>
        <w:ind w:right="-328"/>
      </w:pPr>
      <w:hyperlink r:id="rId16" w:history="1">
        <w:r w:rsidR="006A7095" w:rsidRPr="007355EB">
          <w:rPr>
            <w:rStyle w:val="Hyperlink"/>
            <w:sz w:val="22"/>
          </w:rPr>
          <w:t>ilze.briede@pmlp.gov.lv</w:t>
        </w:r>
      </w:hyperlink>
      <w:r w:rsidR="006A7095" w:rsidRPr="007355EB">
        <w:rPr>
          <w:sz w:val="22"/>
        </w:rPr>
        <w:t xml:space="preserve"> </w:t>
      </w:r>
    </w:p>
    <w:p w:rsidR="006A7095" w:rsidRPr="002B4D22" w:rsidRDefault="006A7095" w:rsidP="003723C4">
      <w:pPr>
        <w:spacing w:after="120"/>
        <w:ind w:firstLine="425"/>
        <w:jc w:val="both"/>
        <w:rPr>
          <w:color w:val="FF0000"/>
          <w:sz w:val="26"/>
          <w:szCs w:val="26"/>
        </w:rPr>
      </w:pPr>
    </w:p>
    <w:p w:rsidR="003723C4" w:rsidRDefault="003723C4" w:rsidP="003723C4"/>
    <w:sectPr w:rsidR="003723C4" w:rsidSect="000033AF">
      <w:headerReference w:type="default" r:id="rId17"/>
      <w:footerReference w:type="default" r:id="rId18"/>
      <w:pgSz w:w="11906" w:h="16838" w:code="9"/>
      <w:pgMar w:top="1418"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689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D8" w:rsidRDefault="000E1AD8" w:rsidP="003723C4">
      <w:r>
        <w:separator/>
      </w:r>
    </w:p>
  </w:endnote>
  <w:endnote w:type="continuationSeparator" w:id="0">
    <w:p w:rsidR="000E1AD8" w:rsidRDefault="000E1AD8" w:rsidP="00372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9C" w:rsidRPr="00801226" w:rsidRDefault="00E20B9C" w:rsidP="00E20B9C">
    <w:pPr>
      <w:jc w:val="both"/>
      <w:rPr>
        <w:sz w:val="20"/>
        <w:szCs w:val="20"/>
      </w:rPr>
    </w:pPr>
    <w:r>
      <w:rPr>
        <w:sz w:val="20"/>
        <w:szCs w:val="20"/>
      </w:rPr>
      <w:t>IEMZinop3_</w:t>
    </w:r>
    <w:r w:rsidR="000033AF">
      <w:rPr>
        <w:sz w:val="20"/>
        <w:szCs w:val="20"/>
      </w:rPr>
      <w:t>0</w:t>
    </w:r>
    <w:r w:rsidR="000033AF">
      <w:rPr>
        <w:sz w:val="20"/>
        <w:szCs w:val="20"/>
      </w:rPr>
      <w:t>6</w:t>
    </w:r>
    <w:r w:rsidR="000033AF">
      <w:rPr>
        <w:sz w:val="20"/>
        <w:szCs w:val="20"/>
      </w:rPr>
      <w:t>1016</w:t>
    </w:r>
    <w:r>
      <w:rPr>
        <w:sz w:val="20"/>
        <w:szCs w:val="20"/>
      </w:rPr>
      <w:t xml:space="preserve">;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3.pielikums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D8" w:rsidRDefault="000E1AD8" w:rsidP="003723C4">
      <w:r>
        <w:separator/>
      </w:r>
    </w:p>
  </w:footnote>
  <w:footnote w:type="continuationSeparator" w:id="0">
    <w:p w:rsidR="000E1AD8" w:rsidRDefault="000E1AD8" w:rsidP="003723C4">
      <w:r>
        <w:continuationSeparator/>
      </w:r>
    </w:p>
  </w:footnote>
  <w:footnote w:id="1">
    <w:p w:rsidR="003723C4" w:rsidRPr="005355FA" w:rsidRDefault="003723C4" w:rsidP="003723C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PMLP dati</w:t>
      </w:r>
    </w:p>
  </w:footnote>
  <w:footnote w:id="2">
    <w:p w:rsidR="003723C4" w:rsidRPr="005355FA" w:rsidRDefault="003723C4" w:rsidP="003723C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LURSOFT</w:t>
      </w:r>
    </w:p>
  </w:footnote>
  <w:footnote w:id="3">
    <w:p w:rsidR="0023107C" w:rsidRPr="005355FA" w:rsidRDefault="0023107C" w:rsidP="0023107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Latvijas Komercbanku asociācija</w:t>
      </w:r>
    </w:p>
  </w:footnote>
  <w:footnote w:id="4">
    <w:p w:rsidR="0023107C" w:rsidRPr="005355FA" w:rsidRDefault="0023107C" w:rsidP="0023107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FKTK “Pārskats par finanšu un kapitāla tirgu 2016.gada 2.ceturksnī”</w:t>
      </w:r>
    </w:p>
  </w:footnote>
  <w:footnote w:id="5">
    <w:p w:rsidR="0023107C" w:rsidRPr="005355FA" w:rsidRDefault="0023107C" w:rsidP="0023107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FKTK vērtējums</w:t>
      </w:r>
    </w:p>
  </w:footnote>
  <w:footnote w:id="6">
    <w:p w:rsidR="003723C4" w:rsidRPr="005355FA" w:rsidRDefault="003723C4" w:rsidP="003723C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LURSOFT</w:t>
      </w:r>
    </w:p>
  </w:footnote>
  <w:footnote w:id="7">
    <w:p w:rsidR="003723C4" w:rsidRPr="005355FA" w:rsidRDefault="003723C4" w:rsidP="003723C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Turpat.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39"/>
      <w:docPartObj>
        <w:docPartGallery w:val="Page Numbers (Top of Page)"/>
        <w:docPartUnique/>
      </w:docPartObj>
    </w:sdtPr>
    <w:sdtContent>
      <w:p w:rsidR="000033AF" w:rsidRDefault="000033AF">
        <w:pPr>
          <w:pStyle w:val="Header"/>
          <w:jc w:val="center"/>
        </w:pPr>
        <w:fldSimple w:instr=" PAGE   \* MERGEFORMAT ">
          <w:r>
            <w:rPr>
              <w:noProof/>
            </w:rPr>
            <w:t>9</w:t>
          </w:r>
        </w:fldSimple>
      </w:p>
    </w:sdtContent>
  </w:sdt>
  <w:p w:rsidR="000033AF" w:rsidRDefault="00003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CB4"/>
    <w:multiLevelType w:val="hybridMultilevel"/>
    <w:tmpl w:val="17CEA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is Bukšs">
    <w15:presenceInfo w15:providerId="AD" w15:userId="S-1-5-21-734147818-1251574435-2103723179-73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723C4"/>
    <w:rsid w:val="000033AF"/>
    <w:rsid w:val="000A333D"/>
    <w:rsid w:val="000E1AD8"/>
    <w:rsid w:val="001128B4"/>
    <w:rsid w:val="001417F2"/>
    <w:rsid w:val="001A10A6"/>
    <w:rsid w:val="00202ED4"/>
    <w:rsid w:val="0023107C"/>
    <w:rsid w:val="003723C4"/>
    <w:rsid w:val="003E6F54"/>
    <w:rsid w:val="004B39D3"/>
    <w:rsid w:val="00534F9C"/>
    <w:rsid w:val="006A7095"/>
    <w:rsid w:val="00A2102B"/>
    <w:rsid w:val="00AD4563"/>
    <w:rsid w:val="00E02817"/>
    <w:rsid w:val="00E20B9C"/>
    <w:rsid w:val="00F84A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C4"/>
  </w:style>
  <w:style w:type="paragraph" w:styleId="Heading1">
    <w:name w:val="heading 1"/>
    <w:basedOn w:val="Normal"/>
    <w:next w:val="Normal"/>
    <w:link w:val="Heading1Char"/>
    <w:uiPriority w:val="99"/>
    <w:qFormat/>
    <w:rsid w:val="003723C4"/>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3C4"/>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3723C4"/>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3723C4"/>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3723C4"/>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3723C4"/>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3723C4"/>
    <w:rPr>
      <w:rFonts w:cs="Times New Roman"/>
      <w:vertAlign w:val="superscript"/>
    </w:rPr>
  </w:style>
  <w:style w:type="character" w:customStyle="1" w:styleId="ListParagraphChar">
    <w:name w:val="List Paragraph Char"/>
    <w:link w:val="ListParagraph"/>
    <w:uiPriority w:val="34"/>
    <w:locked/>
    <w:rsid w:val="003723C4"/>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723C4"/>
    <w:pPr>
      <w:spacing w:after="160" w:line="240" w:lineRule="exact"/>
      <w:jc w:val="both"/>
      <w:textAlignment w:val="baseline"/>
    </w:pPr>
    <w:rPr>
      <w:rFonts w:cs="Times New Roman"/>
      <w:vertAlign w:val="superscript"/>
    </w:rPr>
  </w:style>
  <w:style w:type="character" w:styleId="CommentReference">
    <w:name w:val="annotation reference"/>
    <w:basedOn w:val="DefaultParagraphFont"/>
    <w:rsid w:val="003723C4"/>
    <w:rPr>
      <w:rFonts w:cs="Times New Roman"/>
      <w:sz w:val="16"/>
    </w:rPr>
  </w:style>
  <w:style w:type="paragraph" w:styleId="CommentText">
    <w:name w:val="annotation text"/>
    <w:basedOn w:val="Normal"/>
    <w:link w:val="CommentTextChar"/>
    <w:rsid w:val="003723C4"/>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3723C4"/>
    <w:rPr>
      <w:rFonts w:ascii="Calibri" w:eastAsia="Calibri" w:hAnsi="Calibri" w:cs="Times New Roman"/>
      <w:sz w:val="20"/>
      <w:szCs w:val="20"/>
      <w:lang w:eastAsia="lv-LV"/>
    </w:rPr>
  </w:style>
  <w:style w:type="paragraph" w:customStyle="1" w:styleId="tv213">
    <w:name w:val="tv213"/>
    <w:basedOn w:val="Normal"/>
    <w:rsid w:val="003723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72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C4"/>
    <w:rPr>
      <w:rFonts w:ascii="Segoe UI" w:hAnsi="Segoe UI" w:cs="Segoe UI"/>
      <w:sz w:val="18"/>
      <w:szCs w:val="18"/>
    </w:rPr>
  </w:style>
  <w:style w:type="paragraph" w:styleId="Header">
    <w:name w:val="header"/>
    <w:basedOn w:val="Normal"/>
    <w:link w:val="HeaderChar"/>
    <w:uiPriority w:val="99"/>
    <w:unhideWhenUsed/>
    <w:rsid w:val="00E20B9C"/>
    <w:pPr>
      <w:tabs>
        <w:tab w:val="center" w:pos="4153"/>
        <w:tab w:val="right" w:pos="8306"/>
      </w:tabs>
    </w:pPr>
  </w:style>
  <w:style w:type="character" w:customStyle="1" w:styleId="HeaderChar">
    <w:name w:val="Header Char"/>
    <w:basedOn w:val="DefaultParagraphFont"/>
    <w:link w:val="Header"/>
    <w:uiPriority w:val="99"/>
    <w:rsid w:val="00E20B9C"/>
  </w:style>
  <w:style w:type="paragraph" w:styleId="Footer">
    <w:name w:val="footer"/>
    <w:basedOn w:val="Normal"/>
    <w:link w:val="FooterChar"/>
    <w:uiPriority w:val="99"/>
    <w:unhideWhenUsed/>
    <w:rsid w:val="00E20B9C"/>
    <w:pPr>
      <w:tabs>
        <w:tab w:val="center" w:pos="4153"/>
        <w:tab w:val="right" w:pos="8306"/>
      </w:tabs>
    </w:pPr>
  </w:style>
  <w:style w:type="character" w:customStyle="1" w:styleId="FooterChar">
    <w:name w:val="Footer Char"/>
    <w:basedOn w:val="DefaultParagraphFont"/>
    <w:link w:val="Footer"/>
    <w:uiPriority w:val="99"/>
    <w:rsid w:val="00E20B9C"/>
  </w:style>
  <w:style w:type="character" w:styleId="Hyperlink">
    <w:name w:val="Hyperlink"/>
    <w:rsid w:val="006A7095"/>
    <w:rPr>
      <w:color w:val="0000FF"/>
      <w:u w:val="single"/>
    </w:rPr>
  </w:style>
  <w:style w:type="paragraph" w:styleId="CommentSubject">
    <w:name w:val="annotation subject"/>
    <w:basedOn w:val="CommentText"/>
    <w:next w:val="CommentText"/>
    <w:link w:val="CommentSubjectChar"/>
    <w:uiPriority w:val="99"/>
    <w:semiHidden/>
    <w:unhideWhenUsed/>
    <w:rsid w:val="001128B4"/>
    <w:pPr>
      <w:spacing w:after="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1128B4"/>
    <w:rPr>
      <w:rFonts w:ascii="Calibri" w:eastAsia="Calibri" w:hAnsi="Calibri"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lze.briede@pmlp.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Column1</c:v>
                </c:pt>
              </c:strCache>
            </c:strRef>
          </c:tx>
          <c:dLbls>
            <c:dLbl>
              <c:idx val="2"/>
              <c:layout>
                <c:manualLayout>
                  <c:x val="-4.7000598609384353E-2"/>
                  <c:y val="2.9851039390350647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17777777777777778"/>
                      <c:h val="0.14335683785795431"/>
                    </c:manualLayout>
                  </c15:layout>
                </c:ext>
              </c:extLst>
            </c:dLbl>
            <c:dLbl>
              <c:idx val="3"/>
              <c:layout>
                <c:manualLayout>
                  <c:x val="-1.2936593452134272E-2"/>
                  <c:y val="2.1055353155482438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20935672514619882"/>
                      <c:h val="0.12937047048223449"/>
                    </c:manualLayout>
                  </c15:layout>
                </c:ext>
              </c:extLst>
            </c:dLbl>
            <c:dLbl>
              <c:idx val="4"/>
              <c:layout>
                <c:manualLayout>
                  <c:x val="3.9765713496339311E-2"/>
                  <c:y val="1.9587103850824632E-7"/>
                </c:manualLayout>
              </c:layout>
              <c:showVal val="1"/>
              <c:showCatName val="1"/>
              <c:separator>
</c:separator>
              <c:extLst>
                <c:ext xmlns:c15="http://schemas.microsoft.com/office/drawing/2012/chart" uri="{CE6537A1-D6FC-4f65-9D91-7224C49458BB}">
                  <c15:layout>
                    <c:manualLayout>
                      <c:w val="0.21403508771929824"/>
                      <c:h val="0.17132878912523991"/>
                    </c:manualLayout>
                  </c15:layout>
                </c:ext>
              </c:extLst>
            </c:dLbl>
            <c:dLbl>
              <c:idx val="5"/>
              <c:layout>
                <c:manualLayout>
                  <c:x val="5.1747847308560073E-2"/>
                  <c:y val="3.7313432835820921E-3"/>
                </c:manualLayout>
              </c:layout>
              <c:showVal val="1"/>
              <c:showCatName val="1"/>
              <c:separator>
</c:separator>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c:ext xmlns:c15="http://schemas.microsoft.com/office/drawing/2012/chart" uri="{CE6537A1-D6FC-4f65-9D91-7224C49458BB}">
                <c15:layout/>
              </c:ext>
            </c:extLst>
          </c:dLbls>
          <c:cat>
            <c:strRef>
              <c:f>Sheet1!$A$2:$A$7</c:f>
              <c:strCache>
                <c:ptCount val="6"/>
                <c:pt idx="0">
                  <c:v>RUS</c:v>
                </c:pt>
                <c:pt idx="1">
                  <c:v>UKR</c:v>
                </c:pt>
                <c:pt idx="2">
                  <c:v>KAZ</c:v>
                </c:pt>
                <c:pt idx="3">
                  <c:v>UZB</c:v>
                </c:pt>
                <c:pt idx="4">
                  <c:v>BLR</c:v>
                </c:pt>
                <c:pt idx="5">
                  <c:v>Citi </c:v>
                </c:pt>
              </c:strCache>
            </c:strRef>
          </c:cat>
          <c:val>
            <c:numRef>
              <c:f>Sheet1!$B$2:$B$7</c:f>
              <c:numCache>
                <c:formatCode>General</c:formatCode>
                <c:ptCount val="6"/>
                <c:pt idx="0">
                  <c:v>280</c:v>
                </c:pt>
                <c:pt idx="1">
                  <c:v>93</c:v>
                </c:pt>
                <c:pt idx="2">
                  <c:v>36</c:v>
                </c:pt>
                <c:pt idx="3">
                  <c:v>29</c:v>
                </c:pt>
                <c:pt idx="4">
                  <c:v>16</c:v>
                </c:pt>
                <c:pt idx="5">
                  <c:v>21</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20301125910663151"/>
          <c:y val="0.13194444444444636"/>
          <c:w val="0.69366562824506761"/>
          <c:h val="0.77314814814815302"/>
        </c:manualLayout>
      </c:layout>
      <c:pieChart>
        <c:varyColors val="1"/>
        <c:ser>
          <c:idx val="0"/>
          <c:order val="0"/>
          <c:tx>
            <c:strRef>
              <c:f>Sheet1!$B$1</c:f>
              <c:strCache>
                <c:ptCount val="1"/>
                <c:pt idx="0">
                  <c:v>Sales</c:v>
                </c:pt>
              </c:strCache>
            </c:strRef>
          </c:tx>
          <c:dLbls>
            <c:dLbl>
              <c:idx val="4"/>
              <c:layout>
                <c:manualLayout>
                  <c:x val="-5.8490636305597386E-2"/>
                  <c:y val="-2.2398605283828591E-2"/>
                </c:manualLayout>
              </c:layout>
              <c:showVal val="1"/>
              <c:showCatName val="1"/>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Sheet1!$A$2:$A$8</c:f>
              <c:strCache>
                <c:ptCount val="7"/>
                <c:pt idx="0">
                  <c:v>Rietumu banka</c:v>
                </c:pt>
                <c:pt idx="1">
                  <c:v>ABLV Bank</c:v>
                </c:pt>
                <c:pt idx="2">
                  <c:v>BIB</c:v>
                </c:pt>
                <c:pt idx="3">
                  <c:v>Norvik banka</c:v>
                </c:pt>
                <c:pt idx="4">
                  <c:v>Trasta komerc-banka</c:v>
                </c:pt>
                <c:pt idx="5">
                  <c:v>Privat-bank</c:v>
                </c:pt>
                <c:pt idx="6">
                  <c:v>Citas</c:v>
                </c:pt>
              </c:strCache>
            </c:strRef>
          </c:cat>
          <c:val>
            <c:numRef>
              <c:f>Sheet1!$B$2:$B$8</c:f>
              <c:numCache>
                <c:formatCode>General</c:formatCode>
                <c:ptCount val="7"/>
                <c:pt idx="0">
                  <c:v>241</c:v>
                </c:pt>
                <c:pt idx="1">
                  <c:v>72</c:v>
                </c:pt>
                <c:pt idx="2">
                  <c:v>40</c:v>
                </c:pt>
                <c:pt idx="3">
                  <c:v>27</c:v>
                </c:pt>
                <c:pt idx="4">
                  <c:v>25</c:v>
                </c:pt>
                <c:pt idx="5">
                  <c:v>23</c:v>
                </c:pt>
                <c:pt idx="6">
                  <c:v>47</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Val val="1"/>
              <c:showCatName val="1"/>
              <c:extLst>
                <c:ext xmlns:c15="http://schemas.microsoft.com/office/drawing/2012/chart" uri="{CE6537A1-D6FC-4f65-9D91-7224C49458BB}">
                  <c15:layout/>
                </c:ext>
              </c:extLst>
            </c:dLbl>
            <c:dLbl>
              <c:idx val="1"/>
              <c:layout>
                <c:manualLayout>
                  <c:x val="-1.2097298246641099E-2"/>
                  <c:y val="5.6144751817527334E-3"/>
                </c:manualLayout>
              </c:layout>
              <c:showVal val="1"/>
              <c:showCatName val="1"/>
              <c:extLst>
                <c:ext xmlns:c15="http://schemas.microsoft.com/office/drawing/2012/chart" uri="{CE6537A1-D6FC-4f65-9D91-7224C49458BB}">
                  <c15:layout/>
                </c:ext>
              </c:extLst>
            </c:dLbl>
            <c:dLbl>
              <c:idx val="2"/>
              <c:layout>
                <c:manualLayout>
                  <c:x val="4.4873303476470644E-2"/>
                  <c:y val="-2.7079646017699542E-2"/>
                </c:manualLayout>
              </c:layout>
              <c:showVal val="1"/>
              <c:showCatName val="1"/>
              <c:extLst>
                <c:ext xmlns:c15="http://schemas.microsoft.com/office/drawing/2012/chart" uri="{CE6537A1-D6FC-4f65-9D91-7224C49458BB}">
                  <c15:layout/>
                </c:ext>
              </c:extLst>
            </c:dLbl>
            <c:dLbl>
              <c:idx val="3"/>
              <c:layout>
                <c:manualLayout>
                  <c:x val="-3.0173991887378016E-2"/>
                  <c:y val="-1.2877151418019777E-2"/>
                </c:manualLayout>
              </c:layout>
              <c:showVal val="1"/>
              <c:showCatName val="1"/>
              <c:extLst>
                <c:ext xmlns:c15="http://schemas.microsoft.com/office/drawing/2012/chart" uri="{CE6537A1-D6FC-4f65-9D91-7224C49458BB}">
                  <c15:layout/>
                </c:ext>
              </c:extLst>
            </c:dLbl>
            <c:dLbl>
              <c:idx val="5"/>
              <c:layout>
                <c:manualLayout>
                  <c:x val="-2.4954873205905032E-2"/>
                  <c:y val="7.9646017699115113E-2"/>
                </c:manualLayout>
              </c:layout>
              <c:showVal val="1"/>
              <c:showCatName val="1"/>
              <c:extLst>
                <c:ext xmlns:c15="http://schemas.microsoft.com/office/drawing/2012/chart" uri="{CE6537A1-D6FC-4f65-9D91-7224C49458BB}">
                  <c15:layout/>
                </c:ext>
              </c:extLst>
            </c:dLbl>
            <c:dLbl>
              <c:idx val="7"/>
              <c:layout>
                <c:manualLayout>
                  <c:x val="-1.2929801956573611E-2"/>
                  <c:y val="4.4247787610619486E-3"/>
                </c:manualLayout>
              </c:layout>
              <c:showVal val="1"/>
              <c:showCatName val="1"/>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Sheet1!$A$2:$A$9</c:f>
              <c:strCache>
                <c:ptCount val="8"/>
                <c:pt idx="0">
                  <c:v>2016.</c:v>
                </c:pt>
                <c:pt idx="1">
                  <c:v>2015.</c:v>
                </c:pt>
                <c:pt idx="2">
                  <c:v>2014.</c:v>
                </c:pt>
                <c:pt idx="3">
                  <c:v>2013.</c:v>
                </c:pt>
                <c:pt idx="4">
                  <c:v>2012.</c:v>
                </c:pt>
                <c:pt idx="5">
                  <c:v>2011.</c:v>
                </c:pt>
                <c:pt idx="6">
                  <c:v>2010.</c:v>
                </c:pt>
                <c:pt idx="7">
                  <c:v>vecāki par 2010.</c:v>
                </c:pt>
              </c:strCache>
            </c:strRef>
          </c:cat>
          <c:val>
            <c:numRef>
              <c:f>Sheet1!$B$2:$B$9</c:f>
              <c:numCache>
                <c:formatCode>General</c:formatCode>
                <c:ptCount val="8"/>
                <c:pt idx="0">
                  <c:v>2</c:v>
                </c:pt>
                <c:pt idx="1">
                  <c:v>11</c:v>
                </c:pt>
                <c:pt idx="2">
                  <c:v>7</c:v>
                </c:pt>
                <c:pt idx="3">
                  <c:v>6</c:v>
                </c:pt>
                <c:pt idx="4">
                  <c:v>2</c:v>
                </c:pt>
                <c:pt idx="5">
                  <c:v>3</c:v>
                </c:pt>
                <c:pt idx="6">
                  <c:v>2</c:v>
                </c:pt>
                <c:pt idx="7">
                  <c:v>8</c:v>
                </c:pt>
              </c:numCache>
            </c:numRef>
          </c:val>
        </c:ser>
        <c:firstSliceAng val="0"/>
      </c:pie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CatName val="1"/>
              <c:showPercent val="1"/>
              <c:extLst>
                <c:ext xmlns:c15="http://schemas.microsoft.com/office/drawing/2012/chart" uri="{CE6537A1-D6FC-4f65-9D91-7224C49458BB}">
                  <c15:layout/>
                </c:ext>
              </c:extLst>
            </c:dLbl>
            <c:dLbl>
              <c:idx val="1"/>
              <c:layout>
                <c:manualLayout>
                  <c:x val="-3.5744727713231658E-2"/>
                  <c:y val="-9.1347873551204228E-3"/>
                </c:manualLayout>
              </c:layout>
              <c:showCatName val="1"/>
              <c:showPercent val="1"/>
              <c:extLst>
                <c:ext xmlns:c15="http://schemas.microsoft.com/office/drawing/2012/chart" uri="{CE6537A1-D6FC-4f65-9D91-7224C49458BB}">
                  <c15:layout>
                    <c:manualLayout>
                      <c:w val="0.26173191637758569"/>
                      <c:h val="0.40707964601769914"/>
                    </c:manualLayout>
                  </c15:layout>
                </c:ext>
              </c:extLst>
            </c:dLbl>
            <c:dLbl>
              <c:idx val="2"/>
              <c:layout>
                <c:manualLayout>
                  <c:x val="-4.6620046620046617E-2"/>
                  <c:y val="-6.2863043758874424E-4"/>
                </c:manualLayout>
              </c:layout>
              <c:showCatName val="1"/>
              <c:showPercent val="1"/>
              <c:extLst>
                <c:ext xmlns:c15="http://schemas.microsoft.com/office/drawing/2012/chart" uri="{CE6537A1-D6FC-4f65-9D91-7224C49458BB}">
                  <c15:layout>
                    <c:manualLayout>
                      <c:w val="0.31293247434979721"/>
                      <c:h val="0.22123893805309738"/>
                    </c:manualLayout>
                  </c15:layout>
                </c:ext>
              </c:extLst>
            </c:dLbl>
            <c:dLbl>
              <c:idx val="3"/>
              <c:layout>
                <c:manualLayout>
                  <c:x val="2.7858965181799825E-2"/>
                  <c:y val="7.1829955681769163E-3"/>
                </c:manualLayout>
              </c:layout>
              <c:showCatName val="1"/>
              <c:showPercent val="1"/>
              <c:extLst>
                <c:ext xmlns:c15="http://schemas.microsoft.com/office/drawing/2012/chart" uri="{CE6537A1-D6FC-4f65-9D91-7224C49458BB}">
                  <c15:layout>
                    <c:manualLayout>
                      <c:w val="0.48536130536130534"/>
                      <c:h val="0.25373822124693429"/>
                    </c:manualLayout>
                  </c15:layout>
                </c:ext>
              </c:extLst>
            </c:dLbl>
            <c:dLbl>
              <c:idx val="4"/>
              <c:layout>
                <c:manualLayout>
                  <c:x val="1.398619752950462E-2"/>
                  <c:y val="-6.9319951809302671E-2"/>
                </c:manualLayout>
              </c:layout>
              <c:showCatName val="1"/>
              <c:showPercent val="1"/>
              <c:extLst>
                <c:ext xmlns:c15="http://schemas.microsoft.com/office/drawing/2012/chart" uri="{CE6537A1-D6FC-4f65-9D91-7224C49458BB}">
                  <c15:layout>
                    <c:manualLayout>
                      <c:w val="0.29417249417249414"/>
                      <c:h val="0.2271386773374639"/>
                    </c:manualLayout>
                  </c15:layout>
                </c:ext>
              </c:extLst>
            </c:dLbl>
            <c:dLbl>
              <c:idx val="5"/>
              <c:layout>
                <c:manualLayout>
                  <c:x val="-6.3069214250316662E-3"/>
                  <c:y val="-2.3213286863732197E-3"/>
                </c:manualLayout>
              </c:layout>
              <c:showCatName val="1"/>
              <c:showPercent val="1"/>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CatName val="1"/>
            <c:showPercent val="1"/>
            <c:showLeaderLines val="1"/>
            <c:extLst>
              <c:ext xmlns:c15="http://schemas.microsoft.com/office/drawing/2012/chart" uri="{CE6537A1-D6FC-4f65-9D91-7224C49458BB}"/>
            </c:extLst>
          </c:dLbls>
          <c:cat>
            <c:strRef>
              <c:f>Sheet1!$A$2:$A$7</c:f>
              <c:strCache>
                <c:ptCount val="6"/>
                <c:pt idx="0">
                  <c:v>Cits</c:v>
                </c:pt>
                <c:pt idx="1">
                  <c:v>Prof., zinātn. un tehn.pakalp.</c:v>
                </c:pt>
                <c:pt idx="2">
                  <c:v>Operācijas ar NĪ</c:v>
                </c:pt>
                <c:pt idx="3">
                  <c:v>Vairumtirdz. un mazumtirdz.</c:v>
                </c:pt>
                <c:pt idx="4">
                  <c:v>Apstrādes rūpniecība</c:v>
                </c:pt>
                <c:pt idx="5">
                  <c:v>Bez koda</c:v>
                </c:pt>
              </c:strCache>
            </c:strRef>
          </c:cat>
          <c:val>
            <c:numRef>
              <c:f>Sheet1!$B$2:$B$7</c:f>
              <c:numCache>
                <c:formatCode>General</c:formatCode>
                <c:ptCount val="6"/>
                <c:pt idx="0">
                  <c:v>11</c:v>
                </c:pt>
                <c:pt idx="1">
                  <c:v>4</c:v>
                </c:pt>
                <c:pt idx="2">
                  <c:v>7</c:v>
                </c:pt>
                <c:pt idx="3">
                  <c:v>5</c:v>
                </c:pt>
                <c:pt idx="4">
                  <c:v>1</c:v>
                </c:pt>
                <c:pt idx="5">
                  <c:v>12</c:v>
                </c:pt>
              </c:numCache>
            </c:numRef>
          </c:val>
        </c:ser>
        <c:firstSliceAng val="0"/>
      </c:pie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Investīciju apjoms (tūkst., euro)</c:v>
                </c:pt>
              </c:strCache>
            </c:strRef>
          </c:tx>
          <c:spPr>
            <a:solidFill>
              <a:schemeClr val="accent1"/>
            </a:solidFill>
            <a:ln>
              <a:noFill/>
            </a:ln>
            <a:effectLst/>
          </c:spPr>
          <c:cat>
            <c:strRef>
              <c:f>Sheet1!$A$2:$A$8</c:f>
              <c:strCache>
                <c:ptCount val="7"/>
                <c:pt idx="0">
                  <c:v>2010.</c:v>
                </c:pt>
                <c:pt idx="1">
                  <c:v>2011.</c:v>
                </c:pt>
                <c:pt idx="2">
                  <c:v>2012.</c:v>
                </c:pt>
                <c:pt idx="3">
                  <c:v>2013.</c:v>
                </c:pt>
                <c:pt idx="4">
                  <c:v>2014.</c:v>
                </c:pt>
                <c:pt idx="5">
                  <c:v>2015</c:v>
                </c:pt>
                <c:pt idx="6">
                  <c:v>2016.I.-VI.</c:v>
                </c:pt>
              </c:strCache>
            </c:strRef>
          </c:cat>
          <c:val>
            <c:numRef>
              <c:f>Sheet1!$B$2:$B$8</c:f>
              <c:numCache>
                <c:formatCode>#,##0</c:formatCode>
                <c:ptCount val="7"/>
                <c:pt idx="0">
                  <c:v>304.7</c:v>
                </c:pt>
                <c:pt idx="1">
                  <c:v>3641</c:v>
                </c:pt>
                <c:pt idx="2">
                  <c:v>13335</c:v>
                </c:pt>
                <c:pt idx="3">
                  <c:v>29300</c:v>
                </c:pt>
                <c:pt idx="4">
                  <c:v>18825</c:v>
                </c:pt>
                <c:pt idx="5">
                  <c:v>7433</c:v>
                </c:pt>
                <c:pt idx="6">
                  <c:v>5421</c:v>
                </c:pt>
              </c:numCache>
            </c:numRef>
          </c:val>
        </c:ser>
        <c:gapWidth val="219"/>
        <c:axId val="83976576"/>
        <c:axId val="84086784"/>
      </c:barChart>
      <c:lineChart>
        <c:grouping val="standard"/>
        <c:ser>
          <c:idx val="1"/>
          <c:order val="1"/>
          <c:tx>
            <c:strRef>
              <c:f>Sheet1!$C$1</c:f>
              <c:strCache>
                <c:ptCount val="1"/>
                <c:pt idx="0">
                  <c:v>Izsniegtās TUA*</c:v>
                </c:pt>
              </c:strCache>
            </c:strRef>
          </c:tx>
          <c:spPr>
            <a:ln w="28575" cap="rnd">
              <a:solidFill>
                <a:schemeClr val="accent2"/>
              </a:solidFill>
              <a:round/>
            </a:ln>
            <a:effectLst/>
          </c:spPr>
          <c:marker>
            <c:symbol val="none"/>
          </c:marker>
          <c:cat>
            <c:strRef>
              <c:f>Sheet1!$A$2:$A$8</c:f>
              <c:strCache>
                <c:ptCount val="7"/>
                <c:pt idx="0">
                  <c:v>2010.</c:v>
                </c:pt>
                <c:pt idx="1">
                  <c:v>2011.</c:v>
                </c:pt>
                <c:pt idx="2">
                  <c:v>2012.</c:v>
                </c:pt>
                <c:pt idx="3">
                  <c:v>2013.</c:v>
                </c:pt>
                <c:pt idx="4">
                  <c:v>2014.</c:v>
                </c:pt>
                <c:pt idx="5">
                  <c:v>2015</c:v>
                </c:pt>
                <c:pt idx="6">
                  <c:v>2016.I.-VI.</c:v>
                </c:pt>
              </c:strCache>
            </c:strRef>
          </c:cat>
          <c:val>
            <c:numRef>
              <c:f>Sheet1!$C$2:$C$8</c:f>
              <c:numCache>
                <c:formatCode>General</c:formatCode>
                <c:ptCount val="7"/>
                <c:pt idx="0">
                  <c:v>14</c:v>
                </c:pt>
                <c:pt idx="1">
                  <c:v>118</c:v>
                </c:pt>
                <c:pt idx="2">
                  <c:v>265</c:v>
                </c:pt>
                <c:pt idx="3">
                  <c:v>557</c:v>
                </c:pt>
                <c:pt idx="4">
                  <c:v>357</c:v>
                </c:pt>
                <c:pt idx="5">
                  <c:v>137</c:v>
                </c:pt>
                <c:pt idx="6">
                  <c:v>62</c:v>
                </c:pt>
              </c:numCache>
            </c:numRef>
          </c:val>
        </c:ser>
        <c:ser>
          <c:idx val="2"/>
          <c:order val="2"/>
          <c:tx>
            <c:strRef>
              <c:f>Sheet1!$D$1</c:f>
              <c:strCache>
                <c:ptCount val="1"/>
                <c:pt idx="0">
                  <c:v>Pieteikumu skaits</c:v>
                </c:pt>
              </c:strCache>
            </c:strRef>
          </c:tx>
          <c:spPr>
            <a:ln w="28575" cap="rnd">
              <a:solidFill>
                <a:schemeClr val="accent3"/>
              </a:solidFill>
              <a:round/>
            </a:ln>
            <a:effectLst/>
          </c:spPr>
          <c:marker>
            <c:symbol val="none"/>
          </c:marker>
          <c:cat>
            <c:strRef>
              <c:f>Sheet1!$A$2:$A$8</c:f>
              <c:strCache>
                <c:ptCount val="7"/>
                <c:pt idx="0">
                  <c:v>2010.</c:v>
                </c:pt>
                <c:pt idx="1">
                  <c:v>2011.</c:v>
                </c:pt>
                <c:pt idx="2">
                  <c:v>2012.</c:v>
                </c:pt>
                <c:pt idx="3">
                  <c:v>2013.</c:v>
                </c:pt>
                <c:pt idx="4">
                  <c:v>2014.</c:v>
                </c:pt>
                <c:pt idx="5">
                  <c:v>2015</c:v>
                </c:pt>
                <c:pt idx="6">
                  <c:v>2016.I.-VI.</c:v>
                </c:pt>
              </c:strCache>
            </c:strRef>
          </c:cat>
          <c:val>
            <c:numRef>
              <c:f>Sheet1!$D$2:$D$8</c:f>
              <c:numCache>
                <c:formatCode>General</c:formatCode>
                <c:ptCount val="7"/>
                <c:pt idx="0">
                  <c:v>8</c:v>
                </c:pt>
                <c:pt idx="1">
                  <c:v>55</c:v>
                </c:pt>
                <c:pt idx="2">
                  <c:v>127</c:v>
                </c:pt>
                <c:pt idx="3">
                  <c:v>272</c:v>
                </c:pt>
                <c:pt idx="4">
                  <c:v>178</c:v>
                </c:pt>
                <c:pt idx="5">
                  <c:v>82</c:v>
                </c:pt>
                <c:pt idx="6">
                  <c:v>41</c:v>
                </c:pt>
              </c:numCache>
            </c:numRef>
          </c:val>
        </c:ser>
        <c:marker val="1"/>
        <c:axId val="84131200"/>
        <c:axId val="84129664"/>
      </c:lineChart>
      <c:catAx>
        <c:axId val="8397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4086784"/>
        <c:crosses val="autoZero"/>
        <c:auto val="1"/>
        <c:lblAlgn val="ctr"/>
        <c:lblOffset val="100"/>
      </c:catAx>
      <c:valAx>
        <c:axId val="840867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3976576"/>
        <c:crosses val="autoZero"/>
        <c:crossBetween val="between"/>
      </c:valAx>
      <c:valAx>
        <c:axId val="8412966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4131200"/>
        <c:crosses val="max"/>
        <c:crossBetween val="between"/>
      </c:valAx>
      <c:catAx>
        <c:axId val="84131200"/>
        <c:scaling>
          <c:orientation val="minMax"/>
        </c:scaling>
        <c:delete val="1"/>
        <c:axPos val="b"/>
        <c:numFmt formatCode="General" sourceLinked="1"/>
        <c:tickLblPos val="none"/>
        <c:crossAx val="8412966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showVal val="1"/>
            <c:extLst>
              <c:ext xmlns:c15="http://schemas.microsoft.com/office/drawing/2012/chart" uri="{CE6537A1-D6FC-4f65-9D91-7224C49458BB}">
                <c15:layout/>
                <c15:showLeaderLines val="0"/>
              </c:ext>
            </c:extLst>
          </c:dLbls>
          <c:cat>
            <c:strRef>
              <c:f>Sheet1!$A$2:$A$11</c:f>
              <c:strCache>
                <c:ptCount val="10"/>
                <c:pt idx="0">
                  <c:v>&lt;2mln</c:v>
                </c:pt>
                <c:pt idx="1">
                  <c:v>1-2 mln</c:v>
                </c:pt>
                <c:pt idx="2">
                  <c:v>500 tk-999 tk</c:v>
                </c:pt>
                <c:pt idx="3">
                  <c:v>250-499 tk</c:v>
                </c:pt>
                <c:pt idx="4">
                  <c:v>200-249 tk</c:v>
                </c:pt>
                <c:pt idx="5">
                  <c:v>150-199 tk</c:v>
                </c:pt>
                <c:pt idx="6">
                  <c:v>100 -149 tk</c:v>
                </c:pt>
                <c:pt idx="7">
                  <c:v>50 -99 tk</c:v>
                </c:pt>
                <c:pt idx="8">
                  <c:v>35 -49 tk</c:v>
                </c:pt>
                <c:pt idx="9">
                  <c:v>&gt;35 tk</c:v>
                </c:pt>
              </c:strCache>
            </c:strRef>
          </c:cat>
          <c:val>
            <c:numRef>
              <c:f>Sheet1!$B$2:$B$11</c:f>
              <c:numCache>
                <c:formatCode>General</c:formatCode>
                <c:ptCount val="10"/>
                <c:pt idx="0">
                  <c:v>3</c:v>
                </c:pt>
                <c:pt idx="1">
                  <c:v>0</c:v>
                </c:pt>
                <c:pt idx="2">
                  <c:v>1</c:v>
                </c:pt>
                <c:pt idx="3">
                  <c:v>10</c:v>
                </c:pt>
                <c:pt idx="4">
                  <c:v>11</c:v>
                </c:pt>
                <c:pt idx="5">
                  <c:v>36</c:v>
                </c:pt>
                <c:pt idx="6">
                  <c:v>213</c:v>
                </c:pt>
                <c:pt idx="7">
                  <c:v>20</c:v>
                </c:pt>
                <c:pt idx="8">
                  <c:v>418</c:v>
                </c:pt>
                <c:pt idx="9">
                  <c:v>1</c:v>
                </c:pt>
              </c:numCache>
            </c:numRef>
          </c:val>
        </c:ser>
        <c:axId val="117550464"/>
        <c:axId val="118258304"/>
      </c:barChart>
      <c:catAx>
        <c:axId val="117550464"/>
        <c:scaling>
          <c:orientation val="minMax"/>
        </c:scaling>
        <c:axPos val="l"/>
        <c:numFmt formatCode="General" sourceLinked="0"/>
        <c:tickLblPos val="nextTo"/>
        <c:crossAx val="118258304"/>
        <c:crosses val="autoZero"/>
        <c:auto val="1"/>
        <c:lblAlgn val="ctr"/>
        <c:lblOffset val="100"/>
      </c:catAx>
      <c:valAx>
        <c:axId val="118258304"/>
        <c:scaling>
          <c:orientation val="minMax"/>
        </c:scaling>
        <c:axPos val="b"/>
        <c:majorGridlines/>
        <c:numFmt formatCode="General" sourceLinked="1"/>
        <c:tickLblPos val="nextTo"/>
        <c:crossAx val="11755046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6.1364522417153997E-2"/>
                  <c:y val="0.18213473315835521"/>
                </c:manualLayout>
              </c:layout>
              <c:showVal val="1"/>
              <c:showCatName val="1"/>
              <c:separator>
</c:separator>
              <c:extLst>
                <c:ext xmlns:c15="http://schemas.microsoft.com/office/drawing/2012/chart" uri="{CE6537A1-D6FC-4f65-9D91-7224C49458BB}">
                  <c15:layout/>
                </c:ext>
              </c:extLst>
            </c:dLbl>
            <c:dLbl>
              <c:idx val="1"/>
              <c:layout>
                <c:manualLayout>
                  <c:x val="1.4847047627818461E-2"/>
                  <c:y val="1.4132506164002226E-2"/>
                </c:manualLayout>
              </c:layout>
              <c:showVal val="1"/>
              <c:showCatName val="1"/>
              <c:separator>
</c:separator>
              <c:extLst>
                <c:ext xmlns:c15="http://schemas.microsoft.com/office/drawing/2012/chart" uri="{CE6537A1-D6FC-4f65-9D91-7224C49458BB}">
                  <c15:layout/>
                </c:ext>
              </c:extLst>
            </c:dLbl>
            <c:dLbl>
              <c:idx val="2"/>
              <c:layout>
                <c:manualLayout>
                  <c:x val="1.0526315789473701E-3"/>
                  <c:y val="7.7069911715581287E-3"/>
                </c:manualLayout>
              </c:layout>
              <c:showVal val="1"/>
              <c:showCatName val="1"/>
              <c:separator>
</c:separator>
              <c:extLst>
                <c:ext xmlns:c15="http://schemas.microsoft.com/office/drawing/2012/chart" uri="{CE6537A1-D6FC-4f65-9D91-7224C49458BB}">
                  <c15:layout/>
                </c:ext>
              </c:extLst>
            </c:dLbl>
            <c:dLbl>
              <c:idx val="3"/>
              <c:layout>
                <c:manualLayout>
                  <c:x val="-2.5341130604288511E-2"/>
                  <c:y val="2.8841096651914488E-2"/>
                </c:manualLayout>
              </c:layout>
              <c:showVal val="1"/>
              <c:showCatName val="1"/>
              <c:separator>
</c:separator>
              <c:extLst>
                <c:ext xmlns:c15="http://schemas.microsoft.com/office/drawing/2012/chart" uri="{CE6537A1-D6FC-4f65-9D91-7224C49458BB}">
                  <c15:layout>
                    <c:manualLayout>
                      <c:w val="0.22514619883040934"/>
                      <c:h val="0.10606046420178453"/>
                    </c:manualLayout>
                  </c15:layout>
                </c:ext>
              </c:extLst>
            </c:dLbl>
            <c:dLbl>
              <c:idx val="4"/>
              <c:layout>
                <c:manualLayout>
                  <c:x val="1.9493177387914239E-2"/>
                  <c:y val="3.958354789480089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25146198830409355"/>
                      <c:h val="0.12323232323232323"/>
                    </c:manualLayout>
                  </c15:layout>
                </c:ext>
              </c:extLst>
            </c:dLbl>
            <c:dLbl>
              <c:idx val="5"/>
              <c:layout>
                <c:manualLayout>
                  <c:x val="5.9908213227732529E-2"/>
                  <c:y val="-5.8086080500341771E-3"/>
                </c:manualLayout>
              </c:layout>
              <c:showVal val="1"/>
              <c:showCatName val="1"/>
              <c:separator>
</c:separator>
              <c:extLst>
                <c:ext xmlns:c15="http://schemas.microsoft.com/office/drawing/2012/chart" uri="{CE6537A1-D6FC-4f65-9D91-7224C49458BB}">
                  <c15:layout>
                    <c:manualLayout>
                      <c:w val="0.25204678362573102"/>
                      <c:h val="0.14863258026159337"/>
                    </c:manualLayout>
                  </c15:layout>
                </c:ext>
              </c:extLst>
            </c:dLbl>
            <c:dLbl>
              <c:idx val="6"/>
              <c:layout>
                <c:manualLayout>
                  <c:x val="0.11268345842734567"/>
                  <c:y val="-4.4995802397470815E-2"/>
                </c:manualLayout>
              </c:layout>
              <c:showVal val="1"/>
              <c:showCatName val="1"/>
              <c:separator>
</c:separator>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ext>
            </c:extLst>
          </c:dLbls>
          <c:cat>
            <c:strRef>
              <c:f>Sheet1!$A$2:$A$9</c:f>
              <c:strCache>
                <c:ptCount val="8"/>
                <c:pt idx="0">
                  <c:v>Krievija</c:v>
                </c:pt>
                <c:pt idx="1">
                  <c:v>Ķīna</c:v>
                </c:pt>
                <c:pt idx="2">
                  <c:v>Ukraina</c:v>
                </c:pt>
                <c:pt idx="3">
                  <c:v>Uzbekistāna</c:v>
                </c:pt>
                <c:pt idx="4">
                  <c:v>Baltkrievija</c:v>
                </c:pt>
                <c:pt idx="5">
                  <c:v>Kazahstāna </c:v>
                </c:pt>
                <c:pt idx="6">
                  <c:v>Izraēla</c:v>
                </c:pt>
                <c:pt idx="7">
                  <c:v>Citas</c:v>
                </c:pt>
              </c:strCache>
            </c:strRef>
          </c:cat>
          <c:val>
            <c:numRef>
              <c:f>Sheet1!$B$2:$B$9</c:f>
              <c:numCache>
                <c:formatCode>0.00%</c:formatCode>
                <c:ptCount val="8"/>
                <c:pt idx="0">
                  <c:v>0.5778000000000002</c:v>
                </c:pt>
                <c:pt idx="1">
                  <c:v>0.10800000000000003</c:v>
                </c:pt>
                <c:pt idx="2">
                  <c:v>9.8200000000000051E-2</c:v>
                </c:pt>
                <c:pt idx="3">
                  <c:v>6.3100000000000003E-2</c:v>
                </c:pt>
                <c:pt idx="4">
                  <c:v>3.2300000000000002E-2</c:v>
                </c:pt>
                <c:pt idx="5">
                  <c:v>2.81E-2</c:v>
                </c:pt>
                <c:pt idx="6">
                  <c:v>1.4E-2</c:v>
                </c:pt>
                <c:pt idx="7">
                  <c:v>7.85E-2</c:v>
                </c:pt>
              </c:numCache>
            </c:numRef>
          </c:val>
        </c:ser>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Val val="1"/>
              <c:showCatName val="1"/>
              <c:extLst>
                <c:ext xmlns:c15="http://schemas.microsoft.com/office/drawing/2012/chart" uri="{CE6537A1-D6FC-4f65-9D91-7224C49458BB}">
                  <c15:layout/>
                </c:ext>
              </c:extLst>
            </c:dLbl>
            <c:dLbl>
              <c:idx val="1"/>
              <c:layout>
                <c:manualLayout>
                  <c:x val="-1.2097298246641099E-2"/>
                  <c:y val="5.6144751817527334E-3"/>
                </c:manualLayout>
              </c:layout>
              <c:showVal val="1"/>
              <c:showCatName val="1"/>
              <c:extLst>
                <c:ext xmlns:c15="http://schemas.microsoft.com/office/drawing/2012/chart" uri="{CE6537A1-D6FC-4f65-9D91-7224C49458BB}">
                  <c15:layout/>
                </c:ext>
              </c:extLst>
            </c:dLbl>
            <c:dLbl>
              <c:idx val="2"/>
              <c:layout>
                <c:manualLayout>
                  <c:x val="4.4873303476470644E-2"/>
                  <c:y val="-2.7079646017699542E-2"/>
                </c:manualLayout>
              </c:layout>
              <c:showVal val="1"/>
              <c:showCatName val="1"/>
              <c:extLst>
                <c:ext xmlns:c15="http://schemas.microsoft.com/office/drawing/2012/chart" uri="{CE6537A1-D6FC-4f65-9D91-7224C49458BB}">
                  <c15:layout/>
                </c:ext>
              </c:extLst>
            </c:dLbl>
            <c:dLbl>
              <c:idx val="3"/>
              <c:layout>
                <c:manualLayout>
                  <c:x val="7.9200954426151424E-2"/>
                  <c:y val="-1.5563607646389477E-2"/>
                </c:manualLayout>
              </c:layout>
              <c:showVal val="1"/>
              <c:showCatName val="1"/>
              <c:extLst>
                <c:ext xmlns:c15="http://schemas.microsoft.com/office/drawing/2012/chart" uri="{CE6537A1-D6FC-4f65-9D91-7224C49458BB}">
                  <c15:layout>
                    <c:manualLayout>
                      <c:w val="0.20741818181818186"/>
                      <c:h val="0.15339233038348082"/>
                    </c:manualLayout>
                  </c15:layout>
                </c:ext>
              </c:extLst>
            </c:dLbl>
            <c:dLbl>
              <c:idx val="4"/>
              <c:layout>
                <c:manualLayout>
                  <c:x val="4.4766404199475989E-3"/>
                  <c:y val="-1.5251434278679766E-2"/>
                </c:manualLayout>
              </c:layout>
              <c:showVal val="1"/>
              <c:showCatName val="1"/>
              <c:extLst>
                <c:ext xmlns:c15="http://schemas.microsoft.com/office/drawing/2012/chart" uri="{CE6537A1-D6FC-4f65-9D91-7224C49458BB}">
                  <c15:layout/>
                </c:ext>
              </c:extLst>
            </c:dLbl>
            <c:dLbl>
              <c:idx val="5"/>
              <c:layout>
                <c:manualLayout>
                  <c:x val="1.3832689095681342E-2"/>
                  <c:y val="4.4247787610619468E-2"/>
                </c:manualLayout>
              </c:layout>
              <c:showVal val="1"/>
              <c:showCatName val="1"/>
              <c:extLst>
                <c:ext xmlns:c15="http://schemas.microsoft.com/office/drawing/2012/chart" uri="{CE6537A1-D6FC-4f65-9D91-7224C49458BB}">
                  <c15:layout/>
                </c:ext>
              </c:extLst>
            </c:dLbl>
            <c:dLbl>
              <c:idx val="6"/>
              <c:layout>
                <c:manualLayout>
                  <c:x val="7.02457647339537E-3"/>
                  <c:y val="7.0488003158897181E-2"/>
                </c:manualLayout>
              </c:layout>
              <c:showVal val="1"/>
              <c:showCatName val="1"/>
              <c:extLst>
                <c:ext xmlns:c15="http://schemas.microsoft.com/office/drawing/2012/chart" uri="{CE6537A1-D6FC-4f65-9D91-7224C49458BB}">
                  <c15:layout>
                    <c:manualLayout>
                      <c:w val="0.18472727272727274"/>
                      <c:h val="0.28908554572271389"/>
                    </c:manualLayout>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Sheet1!$A$2:$A$9</c:f>
              <c:strCache>
                <c:ptCount val="8"/>
                <c:pt idx="0">
                  <c:v>2016.</c:v>
                </c:pt>
                <c:pt idx="1">
                  <c:v>2015.</c:v>
                </c:pt>
                <c:pt idx="2">
                  <c:v>2014.</c:v>
                </c:pt>
                <c:pt idx="3">
                  <c:v>2013.</c:v>
                </c:pt>
                <c:pt idx="4">
                  <c:v>2012.</c:v>
                </c:pt>
                <c:pt idx="5">
                  <c:v>2011.</c:v>
                </c:pt>
                <c:pt idx="6">
                  <c:v>2010.</c:v>
                </c:pt>
                <c:pt idx="7">
                  <c:v>vecāki par 2010.</c:v>
                </c:pt>
              </c:strCache>
            </c:strRef>
          </c:cat>
          <c:val>
            <c:numRef>
              <c:f>Sheet1!$B$2:$B$9</c:f>
              <c:numCache>
                <c:formatCode>General</c:formatCode>
                <c:ptCount val="8"/>
                <c:pt idx="0">
                  <c:v>11</c:v>
                </c:pt>
                <c:pt idx="1">
                  <c:v>37</c:v>
                </c:pt>
                <c:pt idx="2">
                  <c:v>53</c:v>
                </c:pt>
                <c:pt idx="3">
                  <c:v>64</c:v>
                </c:pt>
                <c:pt idx="4">
                  <c:v>45</c:v>
                </c:pt>
                <c:pt idx="5">
                  <c:v>26</c:v>
                </c:pt>
                <c:pt idx="6">
                  <c:v>22</c:v>
                </c:pt>
                <c:pt idx="7">
                  <c:v>91</c:v>
                </c:pt>
              </c:numCache>
            </c:numRef>
          </c:val>
        </c:ser>
        <c:firstSliceAng val="0"/>
      </c:pieChart>
    </c:plotArea>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CatName val="1"/>
              <c:showPercent val="1"/>
              <c:extLst>
                <c:ext xmlns:c15="http://schemas.microsoft.com/office/drawing/2012/chart" uri="{CE6537A1-D6FC-4f65-9D91-7224C49458BB}">
                  <c15:layout/>
                </c:ext>
              </c:extLst>
            </c:dLbl>
            <c:dLbl>
              <c:idx val="1"/>
              <c:layout>
                <c:manualLayout>
                  <c:x val="-1.7462935376320382E-3"/>
                  <c:y val="-6.7018393128874476E-2"/>
                </c:manualLayout>
              </c:layout>
              <c:showCatName val="1"/>
              <c:showPercent val="1"/>
              <c:extLst>
                <c:ext xmlns:c15="http://schemas.microsoft.com/office/drawing/2012/chart" uri="{CE6537A1-D6FC-4f65-9D91-7224C49458BB}">
                  <c15:layout>
                    <c:manualLayout>
                      <c:w val="0.25490494431439309"/>
                      <c:h val="0.28349561363195358"/>
                    </c:manualLayout>
                  </c15:layout>
                </c:ext>
              </c:extLst>
            </c:dLbl>
            <c:dLbl>
              <c:idx val="2"/>
              <c:layout>
                <c:manualLayout>
                  <c:x val="-2.1635809037383855E-5"/>
                  <c:y val="-5.770315675521117E-2"/>
                </c:manualLayout>
              </c:layout>
              <c:showCatName val="1"/>
              <c:showPercent val="1"/>
              <c:extLst>
                <c:ext xmlns:c15="http://schemas.microsoft.com/office/drawing/2012/chart" uri="{CE6537A1-D6FC-4f65-9D91-7224C49458BB}">
                  <c15:layout>
                    <c:manualLayout>
                      <c:w val="0.27703128325175569"/>
                      <c:h val="0.37768436532982014"/>
                    </c:manualLayout>
                  </c15:layout>
                </c:ext>
              </c:extLst>
            </c:dLbl>
            <c:dLbl>
              <c:idx val="3"/>
              <c:layout>
                <c:manualLayout>
                  <c:x val="-5.4167553380151813E-2"/>
                  <c:y val="4.1504539559014272E-2"/>
                </c:manualLayout>
              </c:layout>
              <c:showCatName val="1"/>
              <c:showPercent val="1"/>
              <c:extLst>
                <c:ext xmlns:c15="http://schemas.microsoft.com/office/drawing/2012/chart" uri="{CE6537A1-D6FC-4f65-9D91-7224C49458BB}">
                  <c15:layout>
                    <c:manualLayout>
                      <c:w val="0.41532169965240834"/>
                      <c:h val="0.13802342800535147"/>
                    </c:manualLayout>
                  </c15:layout>
                </c:ext>
              </c:extLst>
            </c:dLbl>
            <c:dLbl>
              <c:idx val="4"/>
              <c:layout>
                <c:manualLayout>
                  <c:x val="5.7579449528268413E-2"/>
                  <c:y val="-1.2059192989981307E-3"/>
                </c:manualLayout>
              </c:layout>
              <c:showCatName val="1"/>
              <c:showPercent val="1"/>
              <c:extLst>
                <c:ext xmlns:c15="http://schemas.microsoft.com/office/drawing/2012/chart" uri="{CE6537A1-D6FC-4f65-9D91-7224C49458BB}">
                  <c15:layout>
                    <c:manualLayout>
                      <c:w val="0.35375291375291373"/>
                      <c:h val="0.15552319234431977"/>
                    </c:manualLayout>
                  </c15:layout>
                </c:ext>
              </c:extLst>
            </c:dLbl>
            <c:dLbl>
              <c:idx val="5"/>
              <c:layout>
                <c:manualLayout>
                  <c:x val="1.4737178123004895E-3"/>
                  <c:y val="5.1880674448767761E-2"/>
                </c:manualLayout>
              </c:layout>
              <c:showCatName val="1"/>
              <c:showPercent val="1"/>
              <c:extLst>
                <c:ext xmlns:c15="http://schemas.microsoft.com/office/drawing/2012/chart" uri="{CE6537A1-D6FC-4f65-9D91-7224C49458BB}">
                  <c15:layout>
                    <c:manualLayout>
                      <c:w val="0.29571095571095574"/>
                      <c:h val="0.22123893805309738"/>
                    </c:manualLayout>
                  </c15:layout>
                </c:ext>
              </c:extLst>
            </c:dLbl>
            <c:dLbl>
              <c:idx val="6"/>
              <c:layout>
                <c:manualLayout>
                  <c:x val="2.1222766734577746E-2"/>
                  <c:y val="2.0840359556825429E-2"/>
                </c:manualLayout>
              </c:layout>
              <c:showCatName val="1"/>
              <c:showPercent val="1"/>
              <c:extLst>
                <c:ext xmlns:c15="http://schemas.microsoft.com/office/drawing/2012/chart" uri="{CE6537A1-D6FC-4f65-9D91-7224C49458BB}">
                  <c15:layout>
                    <c:manualLayout>
                      <c:w val="0.18386946386946385"/>
                      <c:h val="0.22123893805309738"/>
                    </c:manualLayout>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CatName val="1"/>
            <c:showPercent val="1"/>
            <c:showLeaderLines val="1"/>
            <c:extLst>
              <c:ext xmlns:c15="http://schemas.microsoft.com/office/drawing/2012/chart" uri="{CE6537A1-D6FC-4f65-9D91-7224C49458BB}"/>
            </c:extLst>
          </c:dLbls>
          <c:cat>
            <c:strRef>
              <c:f>Sheet1!$A$2:$A$8</c:f>
              <c:strCache>
                <c:ptCount val="7"/>
                <c:pt idx="0">
                  <c:v>Citas nozares</c:v>
                </c:pt>
                <c:pt idx="1">
                  <c:v>Būvniecība</c:v>
                </c:pt>
                <c:pt idx="2">
                  <c:v>Izmitināšana un ēdināšana</c:v>
                </c:pt>
                <c:pt idx="3">
                  <c:v>Apstrādes rūpniecība</c:v>
                </c:pt>
                <c:pt idx="4">
                  <c:v>Tirdzniecība</c:v>
                </c:pt>
                <c:pt idx="5">
                  <c:v>Operācijas ar NĪ</c:v>
                </c:pt>
                <c:pt idx="6">
                  <c:v>Bez koda</c:v>
                </c:pt>
              </c:strCache>
            </c:strRef>
          </c:cat>
          <c:val>
            <c:numRef>
              <c:f>Sheet1!$B$2:$B$8</c:f>
              <c:numCache>
                <c:formatCode>General</c:formatCode>
                <c:ptCount val="7"/>
                <c:pt idx="0">
                  <c:v>73</c:v>
                </c:pt>
                <c:pt idx="1">
                  <c:v>23</c:v>
                </c:pt>
                <c:pt idx="2">
                  <c:v>27</c:v>
                </c:pt>
                <c:pt idx="3">
                  <c:v>33</c:v>
                </c:pt>
                <c:pt idx="4">
                  <c:v>63</c:v>
                </c:pt>
                <c:pt idx="5">
                  <c:v>42</c:v>
                </c:pt>
                <c:pt idx="6">
                  <c:v>88</c:v>
                </c:pt>
              </c:numCache>
            </c:numRef>
          </c:val>
        </c:ser>
        <c:firstSliceAng val="0"/>
      </c:pie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10086</Words>
  <Characters>5750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2</cp:revision>
  <dcterms:created xsi:type="dcterms:W3CDTF">2016-10-06T10:18:00Z</dcterms:created>
  <dcterms:modified xsi:type="dcterms:W3CDTF">2016-10-06T10:18:00Z</dcterms:modified>
</cp:coreProperties>
</file>