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ECC" w:rsidRPr="00D744D8" w:rsidRDefault="00AF1ECC" w:rsidP="00AF1ECC">
      <w:pPr>
        <w:jc w:val="right"/>
        <w:rPr>
          <w:rFonts w:eastAsia="Calibri" w:cs="Times New Roman"/>
          <w:sz w:val="26"/>
          <w:szCs w:val="26"/>
        </w:rPr>
      </w:pPr>
      <w:r w:rsidRPr="00D744D8">
        <w:rPr>
          <w:rFonts w:eastAsia="Calibri" w:cs="Times New Roman"/>
          <w:sz w:val="26"/>
          <w:szCs w:val="26"/>
        </w:rPr>
        <w:t xml:space="preserve">Informatīvā ziņojuma par Imigrācijas likuma </w:t>
      </w:r>
    </w:p>
    <w:p w:rsidR="00AF1ECC" w:rsidRPr="00D744D8" w:rsidRDefault="00AF1ECC" w:rsidP="00AF1ECC">
      <w:pPr>
        <w:jc w:val="right"/>
        <w:rPr>
          <w:rFonts w:eastAsia="Calibri" w:cs="Times New Roman"/>
          <w:sz w:val="26"/>
          <w:szCs w:val="26"/>
        </w:rPr>
      </w:pPr>
      <w:r w:rsidRPr="00D744D8">
        <w:rPr>
          <w:rFonts w:eastAsia="Calibri" w:cs="Times New Roman"/>
          <w:sz w:val="26"/>
          <w:szCs w:val="26"/>
        </w:rPr>
        <w:t xml:space="preserve">23.panta pirmās daļas 3., 28., 29., 30. un 31.punktā </w:t>
      </w:r>
    </w:p>
    <w:p w:rsidR="00AF1ECC" w:rsidRPr="00D744D8" w:rsidRDefault="00AF1ECC" w:rsidP="00AF1ECC">
      <w:pPr>
        <w:jc w:val="right"/>
        <w:rPr>
          <w:rFonts w:eastAsia="Calibri" w:cs="Times New Roman"/>
          <w:sz w:val="26"/>
          <w:szCs w:val="26"/>
        </w:rPr>
      </w:pPr>
      <w:r w:rsidRPr="00D744D8">
        <w:rPr>
          <w:rFonts w:eastAsia="Calibri" w:cs="Times New Roman"/>
          <w:sz w:val="26"/>
          <w:szCs w:val="26"/>
        </w:rPr>
        <w:t>paredzēto noteikumu īstenošanas gaitu un rezultātiem</w:t>
      </w:r>
    </w:p>
    <w:p w:rsidR="00A2102B" w:rsidRDefault="00C77864" w:rsidP="00AF1ECC">
      <w:pPr>
        <w:jc w:val="right"/>
        <w:rPr>
          <w:sz w:val="26"/>
          <w:szCs w:val="26"/>
        </w:rPr>
      </w:pPr>
      <w:r>
        <w:rPr>
          <w:sz w:val="26"/>
          <w:szCs w:val="26"/>
        </w:rPr>
        <w:t>4</w:t>
      </w:r>
      <w:r w:rsidR="00AF1ECC" w:rsidRPr="00D744D8">
        <w:rPr>
          <w:sz w:val="26"/>
          <w:szCs w:val="26"/>
        </w:rPr>
        <w:t>.pielikums</w:t>
      </w:r>
    </w:p>
    <w:p w:rsidR="00AF1ECC" w:rsidRDefault="00AF1ECC" w:rsidP="00AF1ECC">
      <w:pPr>
        <w:jc w:val="right"/>
        <w:rPr>
          <w:sz w:val="26"/>
          <w:szCs w:val="26"/>
        </w:rPr>
      </w:pPr>
    </w:p>
    <w:p w:rsidR="00747E72" w:rsidRDefault="00747E72" w:rsidP="00AF1ECC">
      <w:pPr>
        <w:pStyle w:val="Heading1"/>
        <w:spacing w:before="0" w:after="120" w:line="240" w:lineRule="auto"/>
        <w:jc w:val="center"/>
        <w:rPr>
          <w:rFonts w:ascii="Times New Roman" w:hAnsi="Times New Roman"/>
          <w:color w:val="auto"/>
        </w:rPr>
      </w:pPr>
    </w:p>
    <w:p w:rsidR="00AF1ECC" w:rsidRDefault="00AF1ECC" w:rsidP="00AF1ECC">
      <w:pPr>
        <w:pStyle w:val="Heading1"/>
        <w:spacing w:before="0" w:after="120" w:line="240" w:lineRule="auto"/>
        <w:jc w:val="center"/>
        <w:rPr>
          <w:rFonts w:ascii="Times New Roman" w:hAnsi="Times New Roman"/>
          <w:color w:val="auto"/>
        </w:rPr>
      </w:pPr>
      <w:r w:rsidRPr="00BD4C8C">
        <w:rPr>
          <w:rFonts w:ascii="Times New Roman" w:hAnsi="Times New Roman"/>
          <w:color w:val="auto"/>
        </w:rPr>
        <w:t>Ieguldījumi valsts vērtspapīros</w:t>
      </w:r>
    </w:p>
    <w:p w:rsidR="00210A2E" w:rsidRPr="00210A2E" w:rsidRDefault="00210A2E" w:rsidP="00210A2E">
      <w:pPr>
        <w:rPr>
          <w:lang w:eastAsia="lv-LV"/>
        </w:rPr>
      </w:pPr>
    </w:p>
    <w:p w:rsidR="00AF1ECC" w:rsidRPr="00BD4C8C" w:rsidRDefault="00AF1ECC" w:rsidP="00AF1ECC">
      <w:pPr>
        <w:ind w:firstLine="567"/>
        <w:jc w:val="both"/>
        <w:rPr>
          <w:i/>
          <w:sz w:val="26"/>
          <w:szCs w:val="26"/>
        </w:rPr>
      </w:pPr>
      <w:r w:rsidRPr="00BD4C8C">
        <w:rPr>
          <w:sz w:val="26"/>
          <w:szCs w:val="26"/>
        </w:rPr>
        <w:t xml:space="preserve">No 2015.gada 1.janvāra spēkā stājies Imigrācijas likuma 23.panta pirmās daļas 31.punkts – iespēja pieprasīt termiņuzturēšanās atļauju uz laiku līdz pieciem gadiem, ja ārzemnieks iegādājas īpašam mērķim noteiktus bezprocentu valsts vērtspapīrus par nominālvērtību 250 000 </w:t>
      </w:r>
      <w:proofErr w:type="spellStart"/>
      <w:r w:rsidRPr="00BD4C8C">
        <w:rPr>
          <w:i/>
          <w:sz w:val="26"/>
          <w:szCs w:val="26"/>
        </w:rPr>
        <w:t>euro</w:t>
      </w:r>
      <w:proofErr w:type="spellEnd"/>
      <w:r w:rsidRPr="00BD4C8C">
        <w:rPr>
          <w:i/>
          <w:sz w:val="26"/>
          <w:szCs w:val="26"/>
        </w:rPr>
        <w:t xml:space="preserve"> </w:t>
      </w:r>
      <w:r w:rsidRPr="00BD4C8C">
        <w:rPr>
          <w:sz w:val="26"/>
          <w:szCs w:val="26"/>
        </w:rPr>
        <w:t xml:space="preserve">un samaksā valsts budžetā 25 000 </w:t>
      </w:r>
      <w:proofErr w:type="spellStart"/>
      <w:r w:rsidRPr="00BD4C8C">
        <w:rPr>
          <w:i/>
          <w:sz w:val="26"/>
          <w:szCs w:val="26"/>
        </w:rPr>
        <w:t>euro</w:t>
      </w:r>
      <w:proofErr w:type="spellEnd"/>
      <w:r w:rsidRPr="00BD4C8C">
        <w:rPr>
          <w:i/>
          <w:sz w:val="26"/>
          <w:szCs w:val="26"/>
        </w:rPr>
        <w:t xml:space="preserve">. </w:t>
      </w:r>
    </w:p>
    <w:p w:rsidR="00AF1ECC" w:rsidRDefault="00AF1ECC" w:rsidP="00AF1ECC">
      <w:pPr>
        <w:spacing w:after="120"/>
        <w:ind w:firstLine="567"/>
        <w:jc w:val="both"/>
        <w:rPr>
          <w:sz w:val="26"/>
          <w:szCs w:val="26"/>
        </w:rPr>
      </w:pPr>
      <w:r w:rsidRPr="00BD4C8C">
        <w:rPr>
          <w:sz w:val="26"/>
          <w:szCs w:val="26"/>
        </w:rPr>
        <w:t>No 2015.gada 1.janvāra līdz 2016.gada 30.jūnijam termiņuzturēšanās atļaujas saskaņā ar īpašam mērķim noteiktu bezprocentu valsts vērtspapīru iegādi pieprasījuši 22 investori un 36 viņu ģimenes locekļi. TUA pieprasītāju pilsonības – Krievijas Federācija – 13, Ukraina – 4, Baltkrievija – 3, Kazahstāna – 1, Irāka – 1.</w:t>
      </w:r>
      <w:r>
        <w:rPr>
          <w:sz w:val="26"/>
          <w:szCs w:val="26"/>
        </w:rPr>
        <w:t xml:space="preserve"> </w:t>
      </w:r>
    </w:p>
    <w:p w:rsidR="00AF1ECC" w:rsidRDefault="00AF1ECC" w:rsidP="00AF1ECC">
      <w:pPr>
        <w:spacing w:after="120"/>
        <w:ind w:firstLine="567"/>
        <w:jc w:val="both"/>
        <w:rPr>
          <w:sz w:val="26"/>
          <w:szCs w:val="26"/>
        </w:rPr>
      </w:pPr>
      <w:r w:rsidRPr="002313C3">
        <w:rPr>
          <w:sz w:val="26"/>
          <w:szCs w:val="26"/>
        </w:rPr>
        <w:t>Pārskata periodā (no 2015.gada 1.janvāra līdz 2016.gada 30.jūnijam) īpašam mērķim noteikto bezprocentu valsts vērtspapīru emisijas rezultātā valsts parāds palielinājies par 3,5 milj. EUR, līdz ar to var uzskatīt, ka šis investīciju veids nav būtiski ietekmējis valsts parāda palielināšanos</w:t>
      </w:r>
      <w:r>
        <w:rPr>
          <w:sz w:val="26"/>
          <w:szCs w:val="26"/>
        </w:rPr>
        <w:t xml:space="preserve">, tomēr jāņem vērā, ka </w:t>
      </w:r>
      <w:r w:rsidRPr="002313C3">
        <w:rPr>
          <w:sz w:val="26"/>
          <w:szCs w:val="26"/>
        </w:rPr>
        <w:t>pārskata periodā Valsts kases piesaistīto resursu cena sākotnējās izvietošanas izsolēs vidēja termiņa obligācijām ir strauji pietuvojusies nulles līmenim. Šāda tendence norāda uz piecu gadu bezprocentu obligāciju kā finansēšanas instrumenta ļoti zemo pienesumu no valsts parāda apkalpošanas izdevumu samazinājuma viedokļa. Ja tirgus situācijas attīstība finanšu tirgos turpināsies likmju samazināšanas virzienā, tad būs nepieciešams pārskatīt šāda instrumenta parametrus vai turpmākos piedāvājuma nosacījumus.</w:t>
      </w:r>
    </w:p>
    <w:p w:rsidR="00AF1ECC" w:rsidRPr="00862873" w:rsidRDefault="00AF1ECC" w:rsidP="00AF1ECC">
      <w:pPr>
        <w:tabs>
          <w:tab w:val="left" w:pos="9356"/>
        </w:tabs>
        <w:spacing w:after="120"/>
        <w:ind w:right="11" w:firstLine="567"/>
        <w:jc w:val="both"/>
        <w:rPr>
          <w:sz w:val="26"/>
          <w:szCs w:val="26"/>
          <w:highlight w:val="lightGray"/>
        </w:rPr>
      </w:pPr>
      <w:r w:rsidRPr="00862873">
        <w:rPr>
          <w:sz w:val="26"/>
          <w:szCs w:val="26"/>
        </w:rPr>
        <w:t xml:space="preserve">Eiropas Centrālās bankas (turpmāk – ECB) Padome 2014.gada 5.jūlijā pieņēma lēmumu par negatīvas procentu likmes piemērošanu </w:t>
      </w:r>
      <w:proofErr w:type="spellStart"/>
      <w:r w:rsidRPr="00210A2E">
        <w:rPr>
          <w:i/>
          <w:sz w:val="26"/>
          <w:szCs w:val="26"/>
        </w:rPr>
        <w:t>Euro</w:t>
      </w:r>
      <w:proofErr w:type="spellEnd"/>
      <w:r w:rsidR="0046303A">
        <w:rPr>
          <w:sz w:val="26"/>
          <w:szCs w:val="26"/>
        </w:rPr>
        <w:t xml:space="preserve"> </w:t>
      </w:r>
      <w:r w:rsidRPr="00862873">
        <w:rPr>
          <w:sz w:val="26"/>
          <w:szCs w:val="26"/>
        </w:rPr>
        <w:t xml:space="preserve">sistēmas noguldījumiem. Līdz ar to, iestājoties negatīvu procentu likmju situācijai finanšu tirgos, Valsts kase likviditātes nodrošināšanai uzsāka īstermiņa aizņēmumu veikšanu naudas tirgū par negatīvām procentu likmēm. Tomēr, izvērtējot finanšu tirgus situāciju bezprocentu obligāciju ieviešanai sākot ar 2015.gadu, finanšu tirgus prognozes neliecināja, ka līdzīga situācija strauji attīstīsies arī garāka termiņa resursiem </w:t>
      </w:r>
      <w:r w:rsidRPr="0046303A">
        <w:rPr>
          <w:sz w:val="26"/>
          <w:szCs w:val="26"/>
        </w:rPr>
        <w:t xml:space="preserve">(1. un </w:t>
      </w:r>
      <w:proofErr w:type="gramStart"/>
      <w:r w:rsidRPr="0046303A">
        <w:rPr>
          <w:sz w:val="26"/>
          <w:szCs w:val="26"/>
        </w:rPr>
        <w:t>2.attēli</w:t>
      </w:r>
      <w:proofErr w:type="gramEnd"/>
      <w:r w:rsidRPr="0046303A">
        <w:rPr>
          <w:sz w:val="26"/>
          <w:szCs w:val="26"/>
        </w:rPr>
        <w:t xml:space="preserve">). </w:t>
      </w:r>
    </w:p>
    <w:p w:rsidR="0046303A" w:rsidRDefault="0046303A" w:rsidP="00AF1ECC">
      <w:pPr>
        <w:tabs>
          <w:tab w:val="left" w:pos="9356"/>
        </w:tabs>
        <w:ind w:right="12"/>
        <w:jc w:val="right"/>
        <w:rPr>
          <w:rFonts w:asciiTheme="majorBidi" w:hAnsiTheme="majorBidi" w:cstheme="majorBidi"/>
          <w:color w:val="000000" w:themeColor="text1"/>
          <w:sz w:val="24"/>
          <w:szCs w:val="24"/>
          <w:highlight w:val="lightGray"/>
        </w:rPr>
      </w:pPr>
    </w:p>
    <w:p w:rsidR="0046303A" w:rsidRDefault="0046303A" w:rsidP="00AF1ECC">
      <w:pPr>
        <w:tabs>
          <w:tab w:val="left" w:pos="9356"/>
        </w:tabs>
        <w:ind w:right="12"/>
        <w:jc w:val="right"/>
        <w:rPr>
          <w:rFonts w:asciiTheme="majorBidi" w:hAnsiTheme="majorBidi" w:cstheme="majorBidi"/>
          <w:color w:val="000000" w:themeColor="text1"/>
          <w:sz w:val="24"/>
          <w:szCs w:val="24"/>
          <w:highlight w:val="lightGray"/>
        </w:rPr>
      </w:pPr>
    </w:p>
    <w:p w:rsidR="0046303A" w:rsidRDefault="0046303A" w:rsidP="00AF1ECC">
      <w:pPr>
        <w:tabs>
          <w:tab w:val="left" w:pos="9356"/>
        </w:tabs>
        <w:ind w:right="12"/>
        <w:jc w:val="right"/>
        <w:rPr>
          <w:rFonts w:asciiTheme="majorBidi" w:hAnsiTheme="majorBidi" w:cstheme="majorBidi"/>
          <w:color w:val="000000" w:themeColor="text1"/>
          <w:sz w:val="24"/>
          <w:szCs w:val="24"/>
          <w:highlight w:val="lightGray"/>
        </w:rPr>
      </w:pPr>
    </w:p>
    <w:p w:rsidR="0046303A" w:rsidRDefault="0046303A" w:rsidP="00AF1ECC">
      <w:pPr>
        <w:tabs>
          <w:tab w:val="left" w:pos="9356"/>
        </w:tabs>
        <w:ind w:right="12"/>
        <w:jc w:val="right"/>
        <w:rPr>
          <w:rFonts w:asciiTheme="majorBidi" w:hAnsiTheme="majorBidi" w:cstheme="majorBidi"/>
          <w:color w:val="000000" w:themeColor="text1"/>
          <w:sz w:val="24"/>
          <w:szCs w:val="24"/>
          <w:highlight w:val="lightGray"/>
        </w:rPr>
      </w:pPr>
    </w:p>
    <w:p w:rsidR="0046303A" w:rsidRDefault="0046303A" w:rsidP="00AF1ECC">
      <w:pPr>
        <w:tabs>
          <w:tab w:val="left" w:pos="9356"/>
        </w:tabs>
        <w:ind w:right="12"/>
        <w:jc w:val="right"/>
        <w:rPr>
          <w:rFonts w:asciiTheme="majorBidi" w:hAnsiTheme="majorBidi" w:cstheme="majorBidi"/>
          <w:color w:val="000000" w:themeColor="text1"/>
          <w:sz w:val="24"/>
          <w:szCs w:val="24"/>
          <w:highlight w:val="lightGray"/>
        </w:rPr>
      </w:pPr>
    </w:p>
    <w:p w:rsidR="0046303A" w:rsidRDefault="0046303A" w:rsidP="00AF1ECC">
      <w:pPr>
        <w:tabs>
          <w:tab w:val="left" w:pos="9356"/>
        </w:tabs>
        <w:ind w:right="12"/>
        <w:jc w:val="right"/>
        <w:rPr>
          <w:rFonts w:asciiTheme="majorBidi" w:hAnsiTheme="majorBidi" w:cstheme="majorBidi"/>
          <w:color w:val="000000" w:themeColor="text1"/>
          <w:sz w:val="24"/>
          <w:szCs w:val="24"/>
          <w:highlight w:val="lightGray"/>
        </w:rPr>
      </w:pPr>
    </w:p>
    <w:p w:rsidR="0046303A" w:rsidRDefault="0046303A" w:rsidP="00AF1ECC">
      <w:pPr>
        <w:tabs>
          <w:tab w:val="left" w:pos="9356"/>
        </w:tabs>
        <w:ind w:right="12"/>
        <w:jc w:val="right"/>
        <w:rPr>
          <w:rFonts w:asciiTheme="majorBidi" w:hAnsiTheme="majorBidi" w:cstheme="majorBidi"/>
          <w:color w:val="000000" w:themeColor="text1"/>
          <w:sz w:val="24"/>
          <w:szCs w:val="24"/>
          <w:highlight w:val="lightGray"/>
        </w:rPr>
      </w:pPr>
    </w:p>
    <w:p w:rsidR="0046303A" w:rsidRDefault="0046303A" w:rsidP="00AF1ECC">
      <w:pPr>
        <w:tabs>
          <w:tab w:val="left" w:pos="9356"/>
        </w:tabs>
        <w:ind w:right="12"/>
        <w:jc w:val="right"/>
        <w:rPr>
          <w:rFonts w:asciiTheme="majorBidi" w:hAnsiTheme="majorBidi" w:cstheme="majorBidi"/>
          <w:color w:val="000000" w:themeColor="text1"/>
          <w:sz w:val="24"/>
          <w:szCs w:val="24"/>
          <w:highlight w:val="lightGray"/>
        </w:rPr>
      </w:pPr>
    </w:p>
    <w:p w:rsidR="0046303A" w:rsidRDefault="0046303A" w:rsidP="00AF1ECC">
      <w:pPr>
        <w:tabs>
          <w:tab w:val="left" w:pos="9356"/>
        </w:tabs>
        <w:ind w:right="12"/>
        <w:jc w:val="right"/>
        <w:rPr>
          <w:rFonts w:asciiTheme="majorBidi" w:hAnsiTheme="majorBidi" w:cstheme="majorBidi"/>
          <w:color w:val="000000" w:themeColor="text1"/>
          <w:sz w:val="24"/>
          <w:szCs w:val="24"/>
          <w:highlight w:val="lightGray"/>
        </w:rPr>
      </w:pPr>
    </w:p>
    <w:p w:rsidR="0046303A" w:rsidRDefault="0046303A" w:rsidP="00AF1ECC">
      <w:pPr>
        <w:tabs>
          <w:tab w:val="left" w:pos="9356"/>
        </w:tabs>
        <w:ind w:right="12"/>
        <w:jc w:val="right"/>
        <w:rPr>
          <w:rFonts w:asciiTheme="majorBidi" w:hAnsiTheme="majorBidi" w:cstheme="majorBidi"/>
          <w:color w:val="000000" w:themeColor="text1"/>
          <w:sz w:val="24"/>
          <w:szCs w:val="24"/>
          <w:highlight w:val="lightGray"/>
        </w:rPr>
      </w:pPr>
    </w:p>
    <w:p w:rsidR="0046303A" w:rsidRDefault="0046303A" w:rsidP="00AF1ECC">
      <w:pPr>
        <w:tabs>
          <w:tab w:val="left" w:pos="9356"/>
        </w:tabs>
        <w:ind w:right="12"/>
        <w:jc w:val="right"/>
        <w:rPr>
          <w:rFonts w:asciiTheme="majorBidi" w:hAnsiTheme="majorBidi" w:cstheme="majorBidi"/>
          <w:color w:val="000000" w:themeColor="text1"/>
          <w:sz w:val="24"/>
          <w:szCs w:val="24"/>
          <w:highlight w:val="lightGray"/>
        </w:rPr>
      </w:pPr>
    </w:p>
    <w:p w:rsidR="0046303A" w:rsidRDefault="0046303A" w:rsidP="00AF1ECC">
      <w:pPr>
        <w:tabs>
          <w:tab w:val="left" w:pos="9356"/>
        </w:tabs>
        <w:ind w:right="12"/>
        <w:jc w:val="right"/>
        <w:rPr>
          <w:rFonts w:asciiTheme="majorBidi" w:hAnsiTheme="majorBidi" w:cstheme="majorBidi"/>
          <w:color w:val="000000" w:themeColor="text1"/>
          <w:sz w:val="24"/>
          <w:szCs w:val="24"/>
          <w:highlight w:val="lightGray"/>
        </w:rPr>
      </w:pPr>
    </w:p>
    <w:p w:rsidR="0046303A" w:rsidRDefault="0046303A" w:rsidP="00AF1ECC">
      <w:pPr>
        <w:tabs>
          <w:tab w:val="left" w:pos="9356"/>
        </w:tabs>
        <w:ind w:right="12"/>
        <w:jc w:val="right"/>
        <w:rPr>
          <w:rFonts w:asciiTheme="majorBidi" w:hAnsiTheme="majorBidi" w:cstheme="majorBidi"/>
          <w:color w:val="000000" w:themeColor="text1"/>
          <w:sz w:val="24"/>
          <w:szCs w:val="24"/>
          <w:highlight w:val="lightGray"/>
        </w:rPr>
      </w:pPr>
    </w:p>
    <w:p w:rsidR="0046303A" w:rsidRDefault="0046303A" w:rsidP="00AF1ECC">
      <w:pPr>
        <w:tabs>
          <w:tab w:val="left" w:pos="9356"/>
        </w:tabs>
        <w:ind w:right="12"/>
        <w:jc w:val="right"/>
        <w:rPr>
          <w:rFonts w:asciiTheme="majorBidi" w:hAnsiTheme="majorBidi" w:cstheme="majorBidi"/>
          <w:color w:val="000000" w:themeColor="text1"/>
          <w:sz w:val="24"/>
          <w:szCs w:val="24"/>
          <w:highlight w:val="lightGray"/>
        </w:rPr>
      </w:pPr>
    </w:p>
    <w:p w:rsidR="00AF1ECC" w:rsidRDefault="00AF1ECC" w:rsidP="00AF1ECC">
      <w:pPr>
        <w:tabs>
          <w:tab w:val="left" w:pos="9356"/>
        </w:tabs>
        <w:ind w:right="12"/>
        <w:jc w:val="right"/>
        <w:rPr>
          <w:rFonts w:asciiTheme="majorBidi" w:hAnsiTheme="majorBidi" w:cstheme="majorBidi"/>
          <w:color w:val="000000" w:themeColor="text1"/>
          <w:sz w:val="24"/>
          <w:szCs w:val="24"/>
        </w:rPr>
      </w:pPr>
      <w:r w:rsidRPr="0046303A">
        <w:rPr>
          <w:rFonts w:asciiTheme="majorBidi" w:hAnsiTheme="majorBidi" w:cstheme="majorBidi"/>
          <w:color w:val="000000" w:themeColor="text1"/>
          <w:sz w:val="24"/>
          <w:szCs w:val="24"/>
        </w:rPr>
        <w:t>1.attēls</w:t>
      </w:r>
    </w:p>
    <w:p w:rsidR="00AF1ECC" w:rsidRDefault="00AF1ECC" w:rsidP="00AF1ECC">
      <w:pPr>
        <w:tabs>
          <w:tab w:val="left" w:pos="9356"/>
        </w:tabs>
        <w:ind w:right="11"/>
        <w:jc w:val="center"/>
        <w:rPr>
          <w:rFonts w:asciiTheme="majorBidi" w:hAnsiTheme="majorBidi" w:cstheme="majorBidi"/>
          <w:b/>
          <w:color w:val="000000" w:themeColor="text1"/>
          <w:sz w:val="24"/>
          <w:szCs w:val="24"/>
        </w:rPr>
      </w:pPr>
      <w:r>
        <w:rPr>
          <w:rFonts w:asciiTheme="majorBidi" w:hAnsiTheme="majorBidi" w:cstheme="majorBidi"/>
          <w:b/>
          <w:color w:val="000000" w:themeColor="text1"/>
          <w:sz w:val="24"/>
          <w:szCs w:val="24"/>
        </w:rPr>
        <w:t xml:space="preserve">Starpbanku noguldījumu likmes </w:t>
      </w:r>
      <w:proofErr w:type="spellStart"/>
      <w:r w:rsidRPr="00BF3774">
        <w:rPr>
          <w:rFonts w:asciiTheme="majorBidi" w:hAnsiTheme="majorBidi" w:cstheme="majorBidi"/>
          <w:b/>
          <w:i/>
          <w:color w:val="000000" w:themeColor="text1"/>
          <w:sz w:val="24"/>
          <w:szCs w:val="24"/>
        </w:rPr>
        <w:t>euro</w:t>
      </w:r>
      <w:proofErr w:type="spellEnd"/>
      <w:r>
        <w:rPr>
          <w:rFonts w:asciiTheme="majorBidi" w:hAnsiTheme="majorBidi" w:cstheme="majorBidi"/>
          <w:b/>
          <w:color w:val="000000" w:themeColor="text1"/>
          <w:sz w:val="24"/>
          <w:szCs w:val="24"/>
        </w:rPr>
        <w:t xml:space="preserve"> valūtā </w:t>
      </w:r>
      <w:r w:rsidRPr="00BF3774">
        <w:rPr>
          <w:rFonts w:asciiTheme="majorBidi" w:hAnsiTheme="majorBidi" w:cstheme="majorBidi"/>
          <w:b/>
          <w:color w:val="000000" w:themeColor="text1"/>
          <w:sz w:val="24"/>
          <w:szCs w:val="24"/>
        </w:rPr>
        <w:t>EONIA un ECB noguldījumu likme</w:t>
      </w:r>
      <w:r>
        <w:rPr>
          <w:rFonts w:asciiTheme="majorBidi" w:hAnsiTheme="majorBidi" w:cstheme="majorBidi"/>
          <w:b/>
          <w:color w:val="000000" w:themeColor="text1"/>
          <w:sz w:val="24"/>
          <w:szCs w:val="24"/>
        </w:rPr>
        <w:t>s</w:t>
      </w:r>
    </w:p>
    <w:p w:rsidR="00AF1ECC" w:rsidRDefault="00AF1ECC" w:rsidP="00AF1ECC">
      <w:pPr>
        <w:tabs>
          <w:tab w:val="left" w:pos="9356"/>
        </w:tabs>
        <w:ind w:right="11"/>
        <w:jc w:val="center"/>
        <w:rPr>
          <w:rFonts w:asciiTheme="majorBidi" w:hAnsiTheme="majorBidi" w:cstheme="majorBidi"/>
          <w:b/>
          <w:color w:val="000000" w:themeColor="text1"/>
          <w:sz w:val="24"/>
          <w:szCs w:val="24"/>
        </w:rPr>
      </w:pPr>
      <w:r>
        <w:rPr>
          <w:rFonts w:asciiTheme="majorBidi" w:hAnsiTheme="majorBidi" w:cstheme="majorBidi"/>
          <w:b/>
          <w:color w:val="000000" w:themeColor="text1"/>
          <w:sz w:val="24"/>
          <w:szCs w:val="24"/>
        </w:rPr>
        <w:t>2014. – 2016.gadā</w:t>
      </w:r>
    </w:p>
    <w:p w:rsidR="00AF1ECC" w:rsidRPr="00BF3774" w:rsidRDefault="00AF1ECC" w:rsidP="00AF1ECC">
      <w:pPr>
        <w:tabs>
          <w:tab w:val="left" w:pos="9356"/>
        </w:tabs>
        <w:ind w:right="12"/>
        <w:jc w:val="center"/>
        <w:rPr>
          <w:rFonts w:asciiTheme="majorBidi" w:hAnsiTheme="majorBidi" w:cstheme="majorBidi"/>
          <w:b/>
          <w:color w:val="000000" w:themeColor="text1"/>
          <w:sz w:val="24"/>
          <w:szCs w:val="24"/>
        </w:rPr>
      </w:pPr>
      <w:r w:rsidRPr="007F278B">
        <w:rPr>
          <w:rFonts w:ascii="Arial" w:hAnsi="Arial" w:cs="Arial"/>
          <w:sz w:val="20"/>
          <w:szCs w:val="20"/>
          <w:lang w:eastAsia="lv-LV"/>
        </w:rPr>
        <w:t xml:space="preserve"> </w:t>
      </w:r>
      <w:r>
        <w:rPr>
          <w:rFonts w:ascii="Arial" w:hAnsi="Arial" w:cs="Arial"/>
          <w:noProof/>
          <w:sz w:val="20"/>
          <w:szCs w:val="20"/>
          <w:lang w:eastAsia="lv-LV"/>
        </w:rPr>
        <w:drawing>
          <wp:inline distT="0" distB="0" distL="0" distR="0">
            <wp:extent cx="4585531" cy="2479853"/>
            <wp:effectExtent l="0" t="0" r="5715" b="0"/>
            <wp:docPr id="2" name="Picture 9" descr="cid:image001.png@01D214D1.09724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14D1.097245D0"/>
                    <pic:cNvPicPr>
                      <a:picLocks noChangeAspect="1" noChangeArrowheads="1"/>
                    </pic:cNvPicPr>
                  </pic:nvPicPr>
                  <pic:blipFill>
                    <a:blip r:embed="rId7"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05459" cy="2490630"/>
                    </a:xfrm>
                    <a:prstGeom prst="rect">
                      <a:avLst/>
                    </a:prstGeom>
                    <a:noFill/>
                    <a:ln>
                      <a:noFill/>
                    </a:ln>
                  </pic:spPr>
                </pic:pic>
              </a:graphicData>
            </a:graphic>
          </wp:inline>
        </w:drawing>
      </w:r>
    </w:p>
    <w:p w:rsidR="00AF1ECC" w:rsidRDefault="00AF1ECC" w:rsidP="00AF1ECC">
      <w:pPr>
        <w:ind w:right="113"/>
        <w:jc w:val="right"/>
        <w:rPr>
          <w:rFonts w:asciiTheme="majorBidi" w:hAnsiTheme="majorBidi" w:cstheme="majorBidi"/>
          <w:color w:val="000000" w:themeColor="text1"/>
          <w:sz w:val="24"/>
          <w:szCs w:val="24"/>
        </w:rPr>
      </w:pPr>
    </w:p>
    <w:p w:rsidR="00AF1ECC" w:rsidRDefault="00AF1ECC" w:rsidP="00AF1ECC">
      <w:pPr>
        <w:ind w:right="113"/>
        <w:jc w:val="right"/>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2.attēls</w:t>
      </w:r>
    </w:p>
    <w:p w:rsidR="00AF1ECC" w:rsidRDefault="00AF1ECC" w:rsidP="00AF1ECC">
      <w:pPr>
        <w:ind w:right="113"/>
        <w:jc w:val="center"/>
        <w:rPr>
          <w:rFonts w:asciiTheme="majorBidi" w:hAnsiTheme="majorBidi" w:cstheme="majorBidi"/>
          <w:color w:val="000000" w:themeColor="text1"/>
          <w:sz w:val="24"/>
          <w:szCs w:val="24"/>
        </w:rPr>
      </w:pPr>
      <w:r w:rsidRPr="00BF3774">
        <w:rPr>
          <w:rFonts w:asciiTheme="majorBidi" w:hAnsiTheme="majorBidi" w:cstheme="majorBidi"/>
          <w:b/>
          <w:color w:val="000000" w:themeColor="text1"/>
          <w:sz w:val="24"/>
          <w:szCs w:val="24"/>
        </w:rPr>
        <w:t>Latvijas valsts aizņēmuma 5 gadu obligāciju vidējās svērtās ienesīguma likmes</w:t>
      </w:r>
      <w:r>
        <w:rPr>
          <w:rFonts w:asciiTheme="majorBidi" w:hAnsiTheme="majorBidi" w:cstheme="majorBidi"/>
          <w:b/>
          <w:color w:val="000000" w:themeColor="text1"/>
          <w:sz w:val="24"/>
          <w:szCs w:val="24"/>
        </w:rPr>
        <w:t xml:space="preserve"> </w:t>
      </w:r>
      <w:r w:rsidRPr="00BF3774">
        <w:rPr>
          <w:rFonts w:asciiTheme="majorBidi" w:hAnsiTheme="majorBidi" w:cstheme="majorBidi"/>
          <w:b/>
          <w:color w:val="000000" w:themeColor="text1"/>
          <w:sz w:val="24"/>
          <w:szCs w:val="24"/>
        </w:rPr>
        <w:t>sākotnējā</w:t>
      </w:r>
      <w:r>
        <w:rPr>
          <w:rFonts w:asciiTheme="majorBidi" w:hAnsiTheme="majorBidi" w:cstheme="majorBidi"/>
          <w:b/>
          <w:color w:val="000000" w:themeColor="text1"/>
          <w:sz w:val="24"/>
          <w:szCs w:val="24"/>
        </w:rPr>
        <w:t>s</w:t>
      </w:r>
      <w:r w:rsidRPr="00BF3774">
        <w:rPr>
          <w:rFonts w:asciiTheme="majorBidi" w:hAnsiTheme="majorBidi" w:cstheme="majorBidi"/>
          <w:b/>
          <w:color w:val="000000" w:themeColor="text1"/>
          <w:sz w:val="24"/>
          <w:szCs w:val="24"/>
        </w:rPr>
        <w:t xml:space="preserve"> izvietošanas izsolēs 2013</w:t>
      </w:r>
      <w:r>
        <w:rPr>
          <w:rFonts w:asciiTheme="majorBidi" w:hAnsiTheme="majorBidi" w:cstheme="majorBidi"/>
          <w:b/>
          <w:color w:val="000000" w:themeColor="text1"/>
          <w:sz w:val="24"/>
          <w:szCs w:val="24"/>
        </w:rPr>
        <w:t>. –</w:t>
      </w:r>
      <w:r w:rsidRPr="00BF3774">
        <w:rPr>
          <w:rFonts w:asciiTheme="majorBidi" w:hAnsiTheme="majorBidi" w:cstheme="majorBidi"/>
          <w:b/>
          <w:color w:val="000000" w:themeColor="text1"/>
          <w:sz w:val="24"/>
          <w:szCs w:val="24"/>
        </w:rPr>
        <w:t>2016</w:t>
      </w:r>
      <w:r>
        <w:rPr>
          <w:rFonts w:asciiTheme="majorBidi" w:hAnsiTheme="majorBidi" w:cstheme="majorBidi"/>
          <w:b/>
          <w:color w:val="000000" w:themeColor="text1"/>
          <w:sz w:val="24"/>
          <w:szCs w:val="24"/>
        </w:rPr>
        <w:t>.gadā</w:t>
      </w:r>
      <w:r>
        <w:rPr>
          <w:noProof/>
          <w:lang w:eastAsia="lv-LV"/>
        </w:rPr>
        <w:drawing>
          <wp:inline distT="0" distB="0" distL="0" distR="0">
            <wp:extent cx="4273895" cy="2357567"/>
            <wp:effectExtent l="0" t="0" r="0" b="508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4278788" cy="2360266"/>
                    </a:xfrm>
                    <a:prstGeom prst="rect">
                      <a:avLst/>
                    </a:prstGeom>
                  </pic:spPr>
                </pic:pic>
              </a:graphicData>
            </a:graphic>
          </wp:inline>
        </w:drawing>
      </w:r>
    </w:p>
    <w:p w:rsidR="00AF1ECC" w:rsidRPr="00862873" w:rsidRDefault="00AF1ECC" w:rsidP="00AF1ECC">
      <w:pPr>
        <w:spacing w:after="120"/>
        <w:ind w:right="11" w:firstLine="567"/>
        <w:jc w:val="both"/>
        <w:rPr>
          <w:sz w:val="26"/>
          <w:szCs w:val="26"/>
        </w:rPr>
      </w:pPr>
      <w:r w:rsidRPr="00862873">
        <w:rPr>
          <w:sz w:val="26"/>
          <w:szCs w:val="26"/>
        </w:rPr>
        <w:t xml:space="preserve">Tā kā ECB veiktie bezprecedenta kvantitatīvās monetārās politikas pasākumi laika gaitā tika paplašināti un </w:t>
      </w:r>
      <w:proofErr w:type="spellStart"/>
      <w:r w:rsidRPr="00862873">
        <w:rPr>
          <w:i/>
          <w:sz w:val="26"/>
          <w:szCs w:val="26"/>
        </w:rPr>
        <w:t>euro</w:t>
      </w:r>
      <w:proofErr w:type="spellEnd"/>
      <w:r w:rsidRPr="00862873">
        <w:rPr>
          <w:i/>
          <w:sz w:val="26"/>
          <w:szCs w:val="26"/>
        </w:rPr>
        <w:t xml:space="preserve"> </w:t>
      </w:r>
      <w:r w:rsidRPr="00862873">
        <w:rPr>
          <w:sz w:val="26"/>
          <w:szCs w:val="26"/>
        </w:rPr>
        <w:t xml:space="preserve">procentu likmes turpināja samazināties arī garākiem termiņiem, attiecīgi arī finanšu resursu cena, ar kurus Valsts kase piesaista valsts vērtspapīru sākotnējā izvietošanā, sasniedza jaunus, vēsturiski zemākos līmeņus. </w:t>
      </w:r>
      <w:proofErr w:type="gramStart"/>
      <w:r w:rsidRPr="00862873">
        <w:rPr>
          <w:sz w:val="26"/>
          <w:szCs w:val="26"/>
        </w:rPr>
        <w:t>Tā, piemēram,</w:t>
      </w:r>
      <w:proofErr w:type="gramEnd"/>
      <w:r w:rsidRPr="00862873">
        <w:rPr>
          <w:sz w:val="26"/>
          <w:szCs w:val="26"/>
        </w:rPr>
        <w:t xml:space="preserve"> š.g. 14.septembrī rīkotajā valsts iekšējā aizņēmuma vērtspapīru izsolē vidējā svērtā likme obligācijām ar dzēšanas termiņu 2019.gada 12.februārī pirmo reizi sasniedza negatīvu atzīmi -0,04% apmērā. Lai arī garāka termiņa obligāciju, kas precīzāk reprezentē bezprocentu obligācijas, likme š.g. 7.septembra izsolē vēl bija pozitīva 0,089% apmērā, nevar izslēgt situāciju, ka tuvākajā laikā arī piecu gadu obligāciju likmes sasniegs negatīvus līmeņus. Salīdzinājumam Vācijas valsts obligāciju, kas kalpo kā etalona parāda vērtspapīri, ienesīgums svārstās pie negatīvu likmju atzīmes arī desmit gadu termiņam (3.attēls).</w:t>
      </w:r>
    </w:p>
    <w:p w:rsidR="0046303A" w:rsidRDefault="0046303A" w:rsidP="00AF1ECC">
      <w:pPr>
        <w:ind w:right="12" w:firstLine="720"/>
        <w:jc w:val="right"/>
        <w:rPr>
          <w:sz w:val="26"/>
          <w:szCs w:val="26"/>
        </w:rPr>
      </w:pPr>
    </w:p>
    <w:p w:rsidR="0046303A" w:rsidRDefault="0046303A" w:rsidP="00AF1ECC">
      <w:pPr>
        <w:ind w:right="12" w:firstLine="720"/>
        <w:jc w:val="right"/>
        <w:rPr>
          <w:sz w:val="26"/>
          <w:szCs w:val="26"/>
        </w:rPr>
      </w:pPr>
    </w:p>
    <w:p w:rsidR="0046303A" w:rsidRDefault="0046303A" w:rsidP="00AF1ECC">
      <w:pPr>
        <w:ind w:right="12" w:firstLine="720"/>
        <w:jc w:val="right"/>
        <w:rPr>
          <w:sz w:val="26"/>
          <w:szCs w:val="26"/>
        </w:rPr>
      </w:pPr>
    </w:p>
    <w:p w:rsidR="00AF1ECC" w:rsidRPr="00862873" w:rsidRDefault="00AF1ECC" w:rsidP="00AF1ECC">
      <w:pPr>
        <w:ind w:right="12" w:firstLine="720"/>
        <w:jc w:val="right"/>
        <w:rPr>
          <w:sz w:val="26"/>
          <w:szCs w:val="26"/>
        </w:rPr>
      </w:pPr>
      <w:r w:rsidRPr="00862873">
        <w:rPr>
          <w:sz w:val="26"/>
          <w:szCs w:val="26"/>
        </w:rPr>
        <w:t>3.attēls</w:t>
      </w:r>
    </w:p>
    <w:p w:rsidR="00AF1ECC" w:rsidRPr="00BF3774" w:rsidRDefault="00AF1ECC" w:rsidP="00AF1ECC">
      <w:pPr>
        <w:ind w:right="12"/>
        <w:jc w:val="center"/>
        <w:rPr>
          <w:rFonts w:asciiTheme="majorBidi" w:hAnsiTheme="majorBidi" w:cstheme="majorBidi"/>
          <w:b/>
          <w:color w:val="000000" w:themeColor="text1"/>
          <w:sz w:val="24"/>
          <w:szCs w:val="24"/>
        </w:rPr>
      </w:pPr>
      <w:r>
        <w:rPr>
          <w:rFonts w:asciiTheme="majorBidi" w:hAnsiTheme="majorBidi" w:cstheme="majorBidi"/>
          <w:b/>
          <w:color w:val="000000" w:themeColor="text1"/>
          <w:sz w:val="24"/>
          <w:szCs w:val="24"/>
        </w:rPr>
        <w:t>Vācijas valsts 5 un 10 gadu obligāciju ienesīgums 2015 – 2016</w:t>
      </w:r>
    </w:p>
    <w:p w:rsidR="00AF1ECC" w:rsidRDefault="00AF1ECC" w:rsidP="00AF1ECC">
      <w:pPr>
        <w:ind w:right="12"/>
        <w:jc w:val="center"/>
        <w:rPr>
          <w:rFonts w:asciiTheme="majorBidi" w:hAnsiTheme="majorBidi" w:cstheme="majorBidi"/>
          <w:color w:val="000000" w:themeColor="text1"/>
          <w:sz w:val="24"/>
          <w:szCs w:val="24"/>
        </w:rPr>
      </w:pPr>
      <w:r>
        <w:rPr>
          <w:rFonts w:ascii="Arial" w:hAnsi="Arial" w:cs="Arial"/>
          <w:noProof/>
          <w:sz w:val="20"/>
          <w:szCs w:val="20"/>
          <w:lang w:eastAsia="lv-LV"/>
        </w:rPr>
        <w:drawing>
          <wp:inline distT="0" distB="0" distL="0" distR="0">
            <wp:extent cx="3577132" cy="1953383"/>
            <wp:effectExtent l="0" t="0" r="4445" b="8890"/>
            <wp:docPr id="5" name="Picture 10" descr="cid:image002.jpg@01D214D1.09724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214D1.097245D0"/>
                    <pic:cNvPicPr>
                      <a:picLocks noChangeAspect="1" noChangeArrowheads="1"/>
                    </pic:cNvPicPr>
                  </pic:nvPicPr>
                  <pic:blipFill>
                    <a:blip r:embed="rId10" r:link="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83572" cy="1956900"/>
                    </a:xfrm>
                    <a:prstGeom prst="rect">
                      <a:avLst/>
                    </a:prstGeom>
                    <a:noFill/>
                    <a:ln>
                      <a:noFill/>
                    </a:ln>
                  </pic:spPr>
                </pic:pic>
              </a:graphicData>
            </a:graphic>
          </wp:inline>
        </w:drawing>
      </w:r>
    </w:p>
    <w:p w:rsidR="00210A2E" w:rsidRDefault="00210A2E" w:rsidP="00172DC3">
      <w:pPr>
        <w:spacing w:after="120"/>
        <w:ind w:right="11" w:firstLine="567"/>
        <w:jc w:val="both"/>
        <w:rPr>
          <w:color w:val="000000" w:themeColor="text1"/>
          <w:sz w:val="26"/>
          <w:szCs w:val="26"/>
        </w:rPr>
      </w:pPr>
    </w:p>
    <w:p w:rsidR="00AF1ECC" w:rsidRPr="00862873" w:rsidRDefault="00AF1ECC" w:rsidP="00172DC3">
      <w:pPr>
        <w:spacing w:after="120"/>
        <w:ind w:right="11" w:firstLine="567"/>
        <w:jc w:val="both"/>
        <w:rPr>
          <w:color w:val="000000" w:themeColor="text1"/>
          <w:sz w:val="26"/>
          <w:szCs w:val="26"/>
          <w:shd w:val="clear" w:color="auto" w:fill="FFFF00"/>
        </w:rPr>
      </w:pPr>
      <w:r w:rsidRPr="00862873">
        <w:rPr>
          <w:color w:val="000000" w:themeColor="text1"/>
          <w:sz w:val="26"/>
          <w:szCs w:val="26"/>
        </w:rPr>
        <w:t>Iestājoties šādai finanšu tirgus situācijai, valsts ieguvums no bezprocentu obligāciju turpmākā piedāvājuma vairs nebūtu ekonomiski pamatots, jo finanšu tirgū resursus būs iespējams piesaistīt lētāk (ar negatīvu likmi).</w:t>
      </w:r>
      <w:r w:rsidRPr="00862873">
        <w:rPr>
          <w:sz w:val="26"/>
          <w:szCs w:val="26"/>
        </w:rPr>
        <w:t xml:space="preserve"> </w:t>
      </w:r>
      <w:r w:rsidRPr="00862873">
        <w:rPr>
          <w:color w:val="000000" w:themeColor="text1"/>
          <w:sz w:val="26"/>
          <w:szCs w:val="26"/>
        </w:rPr>
        <w:t xml:space="preserve">Jāatzīmē, ka finanšu tirgos notiekošo procesu rezultātā arī privātpersonām piemērojamās procentu likmes ir strauji sarukušas un atkarībā no pārvaldāmo līdzekļu apjoma </w:t>
      </w:r>
      <w:proofErr w:type="spellStart"/>
      <w:r w:rsidRPr="00862873">
        <w:rPr>
          <w:i/>
          <w:color w:val="000000" w:themeColor="text1"/>
          <w:sz w:val="26"/>
          <w:szCs w:val="26"/>
        </w:rPr>
        <w:t>euro</w:t>
      </w:r>
      <w:proofErr w:type="spellEnd"/>
      <w:r w:rsidRPr="00862873">
        <w:rPr>
          <w:color w:val="000000" w:themeColor="text1"/>
          <w:sz w:val="26"/>
          <w:szCs w:val="26"/>
        </w:rPr>
        <w:t xml:space="preserve"> valūtā komercbankas var tām piemērot arī negatīvas likmes.</w:t>
      </w:r>
      <w:r w:rsidRPr="00862873">
        <w:rPr>
          <w:b/>
          <w:color w:val="000000" w:themeColor="text1"/>
          <w:sz w:val="26"/>
          <w:szCs w:val="26"/>
        </w:rPr>
        <w:t xml:space="preserve"> </w:t>
      </w:r>
      <w:r w:rsidRPr="00862873">
        <w:rPr>
          <w:color w:val="000000" w:themeColor="text1"/>
          <w:sz w:val="26"/>
          <w:szCs w:val="26"/>
        </w:rPr>
        <w:t xml:space="preserve">Iestājoties šādai situācijai, bezprocentu obligāciju piedāvājums, ārzemniekiem veicot </w:t>
      </w:r>
      <w:proofErr w:type="spellStart"/>
      <w:r w:rsidRPr="00862873">
        <w:rPr>
          <w:color w:val="000000" w:themeColor="text1"/>
          <w:sz w:val="26"/>
          <w:szCs w:val="26"/>
        </w:rPr>
        <w:t>bezriska</w:t>
      </w:r>
      <w:proofErr w:type="spellEnd"/>
      <w:r w:rsidRPr="00862873">
        <w:rPr>
          <w:color w:val="000000" w:themeColor="text1"/>
          <w:sz w:val="26"/>
          <w:szCs w:val="26"/>
        </w:rPr>
        <w:t xml:space="preserve"> ieguldījumus Latvijas valsts bezprocentu obligācijās, radītu negatīvu ietekmi uz valsts budžeta bilanci.</w:t>
      </w:r>
    </w:p>
    <w:p w:rsidR="00210A2E" w:rsidRDefault="00AF1ECC" w:rsidP="00172DC3">
      <w:pPr>
        <w:spacing w:after="120"/>
        <w:ind w:firstLine="567"/>
        <w:jc w:val="both"/>
      </w:pPr>
      <w:r w:rsidRPr="00862873">
        <w:rPr>
          <w:color w:val="000000" w:themeColor="text1"/>
          <w:sz w:val="26"/>
          <w:szCs w:val="26"/>
        </w:rPr>
        <w:t>Līdz ar to</w:t>
      </w:r>
      <w:r w:rsidR="00A34864">
        <w:rPr>
          <w:color w:val="000000" w:themeColor="text1"/>
          <w:sz w:val="26"/>
          <w:szCs w:val="26"/>
        </w:rPr>
        <w:t>, Valsts kase norāda, ka</w:t>
      </w:r>
      <w:r w:rsidRPr="00862873">
        <w:rPr>
          <w:color w:val="000000" w:themeColor="text1"/>
          <w:sz w:val="26"/>
          <w:szCs w:val="26"/>
        </w:rPr>
        <w:t xml:space="preserve"> iespējami ātrā laikā nepieciešams veikt piecu gadu bezprocentu valsts vērtspapīru emisijas parametru maiņu atbilstoši aktuāla</w:t>
      </w:r>
      <w:r>
        <w:rPr>
          <w:color w:val="000000" w:themeColor="text1"/>
          <w:sz w:val="26"/>
          <w:szCs w:val="26"/>
        </w:rPr>
        <w:t>ja</w:t>
      </w:r>
      <w:r w:rsidRPr="00862873">
        <w:rPr>
          <w:color w:val="000000" w:themeColor="text1"/>
          <w:sz w:val="26"/>
          <w:szCs w:val="26"/>
        </w:rPr>
        <w:t>i situācijai finanšu tirgos, lai šī instrumenta izmantošana neradītu negatīvu ietekmi uz valsts budžeta bilanci</w:t>
      </w:r>
      <w:r w:rsidRPr="00862873">
        <w:rPr>
          <w:sz w:val="26"/>
          <w:szCs w:val="26"/>
        </w:rPr>
        <w:t xml:space="preserve"> </w:t>
      </w:r>
      <w:r w:rsidRPr="00862873">
        <w:rPr>
          <w:color w:val="000000" w:themeColor="text1"/>
          <w:sz w:val="26"/>
          <w:szCs w:val="26"/>
        </w:rPr>
        <w:t>un saglabātu pievienotu ekonomisko ieguvumu.</w:t>
      </w:r>
    </w:p>
    <w:p w:rsidR="00210A2E" w:rsidRDefault="00210A2E" w:rsidP="00210A2E"/>
    <w:p w:rsidR="00571957" w:rsidRDefault="00571957" w:rsidP="00210A2E">
      <w:bookmarkStart w:id="0" w:name="_GoBack"/>
      <w:bookmarkEnd w:id="0"/>
    </w:p>
    <w:p w:rsidR="00210A2E" w:rsidRPr="007355EB" w:rsidRDefault="00210A2E" w:rsidP="00210A2E">
      <w:pPr>
        <w:tabs>
          <w:tab w:val="left" w:pos="6431"/>
          <w:tab w:val="left" w:pos="6758"/>
        </w:tabs>
        <w:rPr>
          <w:sz w:val="26"/>
          <w:szCs w:val="26"/>
        </w:rPr>
      </w:pPr>
      <w:r w:rsidRPr="007355EB">
        <w:rPr>
          <w:sz w:val="26"/>
          <w:szCs w:val="26"/>
        </w:rPr>
        <w:t xml:space="preserve">Iekšlietu ministrs </w:t>
      </w:r>
      <w:r w:rsidRPr="007355EB">
        <w:rPr>
          <w:sz w:val="26"/>
          <w:szCs w:val="26"/>
        </w:rPr>
        <w:tab/>
        <w:t>R. Kozlovskis</w:t>
      </w:r>
    </w:p>
    <w:p w:rsidR="00210A2E" w:rsidRDefault="00210A2E" w:rsidP="00210A2E">
      <w:pPr>
        <w:ind w:left="720" w:hanging="720"/>
        <w:rPr>
          <w:sz w:val="26"/>
          <w:szCs w:val="26"/>
        </w:rPr>
      </w:pPr>
    </w:p>
    <w:p w:rsidR="00210A2E" w:rsidRDefault="00210A2E" w:rsidP="00210A2E">
      <w:pPr>
        <w:ind w:left="720" w:hanging="720"/>
        <w:rPr>
          <w:sz w:val="26"/>
          <w:szCs w:val="26"/>
        </w:rPr>
      </w:pPr>
    </w:p>
    <w:p w:rsidR="00210A2E" w:rsidRPr="007355EB" w:rsidRDefault="00210A2E" w:rsidP="00210A2E">
      <w:pPr>
        <w:ind w:left="720" w:hanging="720"/>
        <w:rPr>
          <w:sz w:val="26"/>
          <w:szCs w:val="26"/>
        </w:rPr>
      </w:pPr>
      <w:r w:rsidRPr="007355EB">
        <w:rPr>
          <w:sz w:val="26"/>
          <w:szCs w:val="26"/>
        </w:rPr>
        <w:t>Vīza:</w:t>
      </w:r>
    </w:p>
    <w:p w:rsidR="00210A2E" w:rsidRPr="007355EB" w:rsidRDefault="00210A2E" w:rsidP="00210A2E">
      <w:pPr>
        <w:tabs>
          <w:tab w:val="left" w:pos="6431"/>
        </w:tabs>
        <w:ind w:left="720" w:hanging="720"/>
        <w:rPr>
          <w:sz w:val="26"/>
          <w:szCs w:val="26"/>
        </w:rPr>
      </w:pPr>
      <w:r w:rsidRPr="007355EB">
        <w:rPr>
          <w:sz w:val="26"/>
          <w:szCs w:val="26"/>
        </w:rPr>
        <w:t>Valsts sekretāre</w:t>
      </w:r>
      <w:r>
        <w:rPr>
          <w:sz w:val="26"/>
          <w:szCs w:val="26"/>
        </w:rPr>
        <w:tab/>
      </w:r>
      <w:r>
        <w:rPr>
          <w:sz w:val="26"/>
          <w:szCs w:val="26"/>
        </w:rPr>
        <w:tab/>
        <w:t>I. Pētersone-Godmane</w:t>
      </w:r>
    </w:p>
    <w:p w:rsidR="00210A2E" w:rsidRDefault="00210A2E" w:rsidP="00210A2E">
      <w:pPr>
        <w:ind w:right="-328"/>
        <w:jc w:val="both"/>
        <w:rPr>
          <w:sz w:val="22"/>
        </w:rPr>
      </w:pPr>
    </w:p>
    <w:p w:rsidR="00210A2E" w:rsidRDefault="00210A2E" w:rsidP="00210A2E">
      <w:pPr>
        <w:ind w:right="-328"/>
        <w:jc w:val="both"/>
        <w:rPr>
          <w:sz w:val="22"/>
        </w:rPr>
      </w:pPr>
    </w:p>
    <w:p w:rsidR="00210A2E" w:rsidRDefault="00210A2E" w:rsidP="00210A2E">
      <w:pPr>
        <w:ind w:right="-328"/>
        <w:jc w:val="both"/>
        <w:rPr>
          <w:sz w:val="22"/>
        </w:rPr>
      </w:pPr>
    </w:p>
    <w:p w:rsidR="00210A2E" w:rsidRPr="007355EB" w:rsidRDefault="00210A2E" w:rsidP="00210A2E">
      <w:pPr>
        <w:ind w:right="-328"/>
        <w:jc w:val="both"/>
        <w:rPr>
          <w:sz w:val="22"/>
        </w:rPr>
      </w:pPr>
      <w:r>
        <w:rPr>
          <w:sz w:val="22"/>
        </w:rPr>
        <w:t>0</w:t>
      </w:r>
      <w:r w:rsidR="00A15324">
        <w:rPr>
          <w:sz w:val="22"/>
        </w:rPr>
        <w:t>6</w:t>
      </w:r>
      <w:r>
        <w:rPr>
          <w:sz w:val="22"/>
        </w:rPr>
        <w:t>.10</w:t>
      </w:r>
      <w:r w:rsidRPr="007355EB">
        <w:rPr>
          <w:sz w:val="22"/>
        </w:rPr>
        <w:t>.201</w:t>
      </w:r>
      <w:r>
        <w:rPr>
          <w:sz w:val="22"/>
        </w:rPr>
        <w:t>6</w:t>
      </w:r>
      <w:r w:rsidRPr="007355EB">
        <w:rPr>
          <w:sz w:val="22"/>
        </w:rPr>
        <w:t xml:space="preserve">. </w:t>
      </w:r>
      <w:r w:rsidR="00A774AD">
        <w:rPr>
          <w:sz w:val="22"/>
        </w:rPr>
        <w:t>13:40</w:t>
      </w:r>
    </w:p>
    <w:p w:rsidR="00210A2E" w:rsidRPr="007355EB" w:rsidRDefault="00210A2E" w:rsidP="00210A2E">
      <w:pPr>
        <w:ind w:right="-328"/>
        <w:rPr>
          <w:sz w:val="22"/>
        </w:rPr>
      </w:pPr>
      <w:r>
        <w:rPr>
          <w:sz w:val="22"/>
        </w:rPr>
        <w:t>571</w:t>
      </w:r>
    </w:p>
    <w:p w:rsidR="00210A2E" w:rsidRDefault="00210A2E" w:rsidP="00210A2E">
      <w:pPr>
        <w:ind w:right="-328"/>
        <w:rPr>
          <w:sz w:val="22"/>
        </w:rPr>
      </w:pPr>
      <w:r>
        <w:rPr>
          <w:sz w:val="22"/>
        </w:rPr>
        <w:t xml:space="preserve">I. </w:t>
      </w:r>
      <w:proofErr w:type="spellStart"/>
      <w:r w:rsidRPr="007355EB">
        <w:rPr>
          <w:sz w:val="22"/>
        </w:rPr>
        <w:t>Briede</w:t>
      </w:r>
      <w:proofErr w:type="spellEnd"/>
      <w:r w:rsidRPr="007355EB">
        <w:rPr>
          <w:sz w:val="22"/>
        </w:rPr>
        <w:t>, 67219546</w:t>
      </w:r>
    </w:p>
    <w:p w:rsidR="00210A2E" w:rsidRPr="007355EB" w:rsidRDefault="00B353F8" w:rsidP="00210A2E">
      <w:pPr>
        <w:ind w:right="-328"/>
      </w:pPr>
      <w:hyperlink r:id="rId12" w:history="1">
        <w:r w:rsidR="00210A2E" w:rsidRPr="007355EB">
          <w:rPr>
            <w:rStyle w:val="Hyperlink"/>
            <w:sz w:val="22"/>
          </w:rPr>
          <w:t>ilze.briede@pmlp.gov.lv</w:t>
        </w:r>
      </w:hyperlink>
      <w:r w:rsidR="00210A2E" w:rsidRPr="007355EB">
        <w:rPr>
          <w:sz w:val="22"/>
        </w:rPr>
        <w:t xml:space="preserve"> </w:t>
      </w:r>
    </w:p>
    <w:p w:rsidR="00210A2E" w:rsidRPr="002B4D22" w:rsidRDefault="00210A2E" w:rsidP="00210A2E">
      <w:pPr>
        <w:spacing w:after="120"/>
        <w:ind w:firstLine="425"/>
        <w:jc w:val="both"/>
        <w:rPr>
          <w:color w:val="FF0000"/>
          <w:sz w:val="26"/>
          <w:szCs w:val="26"/>
        </w:rPr>
      </w:pPr>
    </w:p>
    <w:p w:rsidR="00AF1ECC" w:rsidRPr="00210A2E" w:rsidRDefault="00AF1ECC" w:rsidP="00210A2E"/>
    <w:sectPr w:rsidR="00AF1ECC" w:rsidRPr="00210A2E" w:rsidSect="00A774AD">
      <w:headerReference w:type="default" r:id="rId13"/>
      <w:footerReference w:type="default" r:id="rId14"/>
      <w:pgSz w:w="11906" w:h="16838" w:code="9"/>
      <w:pgMar w:top="1418" w:right="1134" w:bottom="1134" w:left="1701" w:header="709" w:footer="709" w:gutter="0"/>
      <w:cols w:space="708"/>
      <w:titlePg/>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01AD9E" w15:done="0"/>
  <w15:commentEx w15:paraId="62D4123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E32" w:rsidRDefault="00D70E32" w:rsidP="004E4C2F">
      <w:r>
        <w:separator/>
      </w:r>
    </w:p>
  </w:endnote>
  <w:endnote w:type="continuationSeparator" w:id="0">
    <w:p w:rsidR="00D70E32" w:rsidRDefault="00D70E32" w:rsidP="004E4C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C2F" w:rsidRPr="00801226" w:rsidRDefault="004E4C2F" w:rsidP="004E4C2F">
    <w:pPr>
      <w:jc w:val="both"/>
      <w:rPr>
        <w:sz w:val="20"/>
        <w:szCs w:val="20"/>
      </w:rPr>
    </w:pPr>
    <w:r>
      <w:rPr>
        <w:sz w:val="20"/>
        <w:szCs w:val="20"/>
      </w:rPr>
      <w:t>IEMZinop4_</w:t>
    </w:r>
    <w:r w:rsidR="00210A2E">
      <w:rPr>
        <w:sz w:val="20"/>
        <w:szCs w:val="20"/>
      </w:rPr>
      <w:t>0</w:t>
    </w:r>
    <w:r w:rsidR="00A15324">
      <w:rPr>
        <w:sz w:val="20"/>
        <w:szCs w:val="20"/>
      </w:rPr>
      <w:t>6</w:t>
    </w:r>
    <w:r w:rsidR="00210A2E">
      <w:rPr>
        <w:sz w:val="20"/>
        <w:szCs w:val="20"/>
      </w:rPr>
      <w:t>101</w:t>
    </w:r>
    <w:r>
      <w:rPr>
        <w:sz w:val="20"/>
        <w:szCs w:val="20"/>
      </w:rPr>
      <w:t xml:space="preserve">6; Informatīvā ziņojuma par </w:t>
    </w:r>
    <w:r w:rsidRPr="00282BC6">
      <w:rPr>
        <w:sz w:val="20"/>
        <w:szCs w:val="20"/>
      </w:rPr>
      <w:t>Imigrācijas likuma 23.panta pirmās daļas 3., 28., 29.</w:t>
    </w:r>
    <w:r>
      <w:rPr>
        <w:sz w:val="20"/>
        <w:szCs w:val="20"/>
      </w:rPr>
      <w:t>,</w:t>
    </w:r>
    <w:r w:rsidRPr="00282BC6">
      <w:rPr>
        <w:sz w:val="20"/>
        <w:szCs w:val="20"/>
      </w:rPr>
      <w:t xml:space="preserve"> 30.</w:t>
    </w:r>
    <w:r>
      <w:rPr>
        <w:sz w:val="20"/>
        <w:szCs w:val="20"/>
      </w:rPr>
      <w:t xml:space="preserve"> un 31.</w:t>
    </w:r>
    <w:r w:rsidRPr="00282BC6">
      <w:rPr>
        <w:sz w:val="20"/>
        <w:szCs w:val="20"/>
      </w:rPr>
      <w:t xml:space="preserve">punktā paredzēto noteikumu īstenošanas </w:t>
    </w:r>
    <w:r>
      <w:rPr>
        <w:sz w:val="20"/>
        <w:szCs w:val="20"/>
      </w:rPr>
      <w:t>gaitu un rezultātiem 4.pielikums</w:t>
    </w:r>
  </w:p>
  <w:p w:rsidR="004E4C2F" w:rsidRDefault="004E4C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E32" w:rsidRDefault="00D70E32" w:rsidP="004E4C2F">
      <w:r>
        <w:separator/>
      </w:r>
    </w:p>
  </w:footnote>
  <w:footnote w:type="continuationSeparator" w:id="0">
    <w:p w:rsidR="00D70E32" w:rsidRDefault="00D70E32" w:rsidP="004E4C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24775"/>
      <w:docPartObj>
        <w:docPartGallery w:val="Page Numbers (Top of Page)"/>
        <w:docPartUnique/>
      </w:docPartObj>
    </w:sdtPr>
    <w:sdtContent>
      <w:p w:rsidR="00A774AD" w:rsidRDefault="00A774AD">
        <w:pPr>
          <w:pStyle w:val="Header"/>
          <w:jc w:val="center"/>
        </w:pPr>
        <w:fldSimple w:instr=" PAGE   \* MERGEFORMAT ">
          <w:r>
            <w:rPr>
              <w:noProof/>
            </w:rPr>
            <w:t>3</w:t>
          </w:r>
        </w:fldSimple>
      </w:p>
    </w:sdtContent>
  </w:sdt>
  <w:p w:rsidR="00A774AD" w:rsidRDefault="00A774AD">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dis Bukšs">
    <w15:presenceInfo w15:providerId="AD" w15:userId="S-1-5-21-734147818-1251574435-2103723179-734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AF1ECC"/>
    <w:rsid w:val="00125144"/>
    <w:rsid w:val="00172DC3"/>
    <w:rsid w:val="00174821"/>
    <w:rsid w:val="001D25EB"/>
    <w:rsid w:val="001F04E5"/>
    <w:rsid w:val="00210A2E"/>
    <w:rsid w:val="00242CD5"/>
    <w:rsid w:val="0046303A"/>
    <w:rsid w:val="004E4C2F"/>
    <w:rsid w:val="00534F9C"/>
    <w:rsid w:val="005662AD"/>
    <w:rsid w:val="00571957"/>
    <w:rsid w:val="0071164D"/>
    <w:rsid w:val="00747E72"/>
    <w:rsid w:val="00777B31"/>
    <w:rsid w:val="007E1591"/>
    <w:rsid w:val="00A15324"/>
    <w:rsid w:val="00A2102B"/>
    <w:rsid w:val="00A34864"/>
    <w:rsid w:val="00A774AD"/>
    <w:rsid w:val="00AF1ECC"/>
    <w:rsid w:val="00B353F8"/>
    <w:rsid w:val="00C77864"/>
    <w:rsid w:val="00D70E3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ECC"/>
  </w:style>
  <w:style w:type="paragraph" w:styleId="Heading1">
    <w:name w:val="heading 1"/>
    <w:basedOn w:val="Normal"/>
    <w:next w:val="Normal"/>
    <w:link w:val="Heading1Char"/>
    <w:uiPriority w:val="99"/>
    <w:qFormat/>
    <w:rsid w:val="00AF1ECC"/>
    <w:pPr>
      <w:keepNext/>
      <w:keepLines/>
      <w:spacing w:before="480" w:line="276" w:lineRule="auto"/>
      <w:outlineLvl w:val="0"/>
    </w:pPr>
    <w:rPr>
      <w:rFonts w:ascii="Cambria" w:eastAsia="SimSun" w:hAnsi="Cambria" w:cs="Times New Roman"/>
      <w:b/>
      <w:bCs/>
      <w:color w:val="365F91"/>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F1ECC"/>
    <w:rPr>
      <w:rFonts w:ascii="Cambria" w:eastAsia="SimSun" w:hAnsi="Cambria" w:cs="Times New Roman"/>
      <w:b/>
      <w:bCs/>
      <w:color w:val="365F91"/>
      <w:szCs w:val="28"/>
      <w:lang w:eastAsia="lv-LV"/>
    </w:rPr>
  </w:style>
  <w:style w:type="character" w:styleId="CommentReference">
    <w:name w:val="annotation reference"/>
    <w:basedOn w:val="DefaultParagraphFont"/>
    <w:uiPriority w:val="99"/>
    <w:semiHidden/>
    <w:unhideWhenUsed/>
    <w:rsid w:val="0046303A"/>
    <w:rPr>
      <w:sz w:val="16"/>
      <w:szCs w:val="16"/>
    </w:rPr>
  </w:style>
  <w:style w:type="paragraph" w:styleId="CommentText">
    <w:name w:val="annotation text"/>
    <w:basedOn w:val="Normal"/>
    <w:link w:val="CommentTextChar"/>
    <w:uiPriority w:val="99"/>
    <w:semiHidden/>
    <w:unhideWhenUsed/>
    <w:rsid w:val="0046303A"/>
    <w:rPr>
      <w:sz w:val="20"/>
      <w:szCs w:val="20"/>
    </w:rPr>
  </w:style>
  <w:style w:type="character" w:customStyle="1" w:styleId="CommentTextChar">
    <w:name w:val="Comment Text Char"/>
    <w:basedOn w:val="DefaultParagraphFont"/>
    <w:link w:val="CommentText"/>
    <w:uiPriority w:val="99"/>
    <w:semiHidden/>
    <w:rsid w:val="0046303A"/>
    <w:rPr>
      <w:sz w:val="20"/>
      <w:szCs w:val="20"/>
    </w:rPr>
  </w:style>
  <w:style w:type="paragraph" w:styleId="CommentSubject">
    <w:name w:val="annotation subject"/>
    <w:basedOn w:val="CommentText"/>
    <w:next w:val="CommentText"/>
    <w:link w:val="CommentSubjectChar"/>
    <w:uiPriority w:val="99"/>
    <w:semiHidden/>
    <w:unhideWhenUsed/>
    <w:rsid w:val="0046303A"/>
    <w:rPr>
      <w:b/>
      <w:bCs/>
    </w:rPr>
  </w:style>
  <w:style w:type="character" w:customStyle="1" w:styleId="CommentSubjectChar">
    <w:name w:val="Comment Subject Char"/>
    <w:basedOn w:val="CommentTextChar"/>
    <w:link w:val="CommentSubject"/>
    <w:uiPriority w:val="99"/>
    <w:semiHidden/>
    <w:rsid w:val="0046303A"/>
    <w:rPr>
      <w:b/>
      <w:bCs/>
      <w:sz w:val="20"/>
      <w:szCs w:val="20"/>
    </w:rPr>
  </w:style>
  <w:style w:type="paragraph" w:styleId="BalloonText">
    <w:name w:val="Balloon Text"/>
    <w:basedOn w:val="Normal"/>
    <w:link w:val="BalloonTextChar"/>
    <w:uiPriority w:val="99"/>
    <w:semiHidden/>
    <w:unhideWhenUsed/>
    <w:rsid w:val="004630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03A"/>
    <w:rPr>
      <w:rFonts w:ascii="Segoe UI" w:hAnsi="Segoe UI" w:cs="Segoe UI"/>
      <w:sz w:val="18"/>
      <w:szCs w:val="18"/>
    </w:rPr>
  </w:style>
  <w:style w:type="paragraph" w:styleId="Header">
    <w:name w:val="header"/>
    <w:basedOn w:val="Normal"/>
    <w:link w:val="HeaderChar"/>
    <w:uiPriority w:val="99"/>
    <w:unhideWhenUsed/>
    <w:rsid w:val="004E4C2F"/>
    <w:pPr>
      <w:tabs>
        <w:tab w:val="center" w:pos="4153"/>
        <w:tab w:val="right" w:pos="8306"/>
      </w:tabs>
    </w:pPr>
  </w:style>
  <w:style w:type="character" w:customStyle="1" w:styleId="HeaderChar">
    <w:name w:val="Header Char"/>
    <w:basedOn w:val="DefaultParagraphFont"/>
    <w:link w:val="Header"/>
    <w:uiPriority w:val="99"/>
    <w:rsid w:val="004E4C2F"/>
  </w:style>
  <w:style w:type="paragraph" w:styleId="Footer">
    <w:name w:val="footer"/>
    <w:basedOn w:val="Normal"/>
    <w:link w:val="FooterChar"/>
    <w:uiPriority w:val="99"/>
    <w:unhideWhenUsed/>
    <w:rsid w:val="004E4C2F"/>
    <w:pPr>
      <w:tabs>
        <w:tab w:val="center" w:pos="4153"/>
        <w:tab w:val="right" w:pos="8306"/>
      </w:tabs>
    </w:pPr>
  </w:style>
  <w:style w:type="character" w:customStyle="1" w:styleId="FooterChar">
    <w:name w:val="Footer Char"/>
    <w:basedOn w:val="DefaultParagraphFont"/>
    <w:link w:val="Footer"/>
    <w:uiPriority w:val="99"/>
    <w:rsid w:val="004E4C2F"/>
  </w:style>
  <w:style w:type="character" w:styleId="Hyperlink">
    <w:name w:val="Hyperlink"/>
    <w:rsid w:val="00210A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ECC"/>
  </w:style>
  <w:style w:type="paragraph" w:styleId="Heading1">
    <w:name w:val="heading 1"/>
    <w:basedOn w:val="Normal"/>
    <w:next w:val="Normal"/>
    <w:link w:val="Heading1Char"/>
    <w:uiPriority w:val="99"/>
    <w:qFormat/>
    <w:rsid w:val="00AF1ECC"/>
    <w:pPr>
      <w:keepNext/>
      <w:keepLines/>
      <w:spacing w:before="480" w:line="276" w:lineRule="auto"/>
      <w:outlineLvl w:val="0"/>
    </w:pPr>
    <w:rPr>
      <w:rFonts w:ascii="Cambria" w:eastAsia="SimSun" w:hAnsi="Cambria" w:cs="Times New Roman"/>
      <w:b/>
      <w:bCs/>
      <w:color w:val="365F91"/>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F1ECC"/>
    <w:rPr>
      <w:rFonts w:ascii="Cambria" w:eastAsia="SimSun" w:hAnsi="Cambria" w:cs="Times New Roman"/>
      <w:b/>
      <w:bCs/>
      <w:color w:val="365F91"/>
      <w:szCs w:val="28"/>
      <w:lang w:eastAsia="lv-LV"/>
    </w:rPr>
  </w:style>
  <w:style w:type="character" w:styleId="CommentReference">
    <w:name w:val="annotation reference"/>
    <w:basedOn w:val="DefaultParagraphFont"/>
    <w:uiPriority w:val="99"/>
    <w:semiHidden/>
    <w:unhideWhenUsed/>
    <w:rsid w:val="0046303A"/>
    <w:rPr>
      <w:sz w:val="16"/>
      <w:szCs w:val="16"/>
    </w:rPr>
  </w:style>
  <w:style w:type="paragraph" w:styleId="CommentText">
    <w:name w:val="annotation text"/>
    <w:basedOn w:val="Normal"/>
    <w:link w:val="CommentTextChar"/>
    <w:uiPriority w:val="99"/>
    <w:semiHidden/>
    <w:unhideWhenUsed/>
    <w:rsid w:val="0046303A"/>
    <w:rPr>
      <w:sz w:val="20"/>
      <w:szCs w:val="20"/>
    </w:rPr>
  </w:style>
  <w:style w:type="character" w:customStyle="1" w:styleId="CommentTextChar">
    <w:name w:val="Comment Text Char"/>
    <w:basedOn w:val="DefaultParagraphFont"/>
    <w:link w:val="CommentText"/>
    <w:uiPriority w:val="99"/>
    <w:semiHidden/>
    <w:rsid w:val="0046303A"/>
    <w:rPr>
      <w:sz w:val="20"/>
      <w:szCs w:val="20"/>
    </w:rPr>
  </w:style>
  <w:style w:type="paragraph" w:styleId="CommentSubject">
    <w:name w:val="annotation subject"/>
    <w:basedOn w:val="CommentText"/>
    <w:next w:val="CommentText"/>
    <w:link w:val="CommentSubjectChar"/>
    <w:uiPriority w:val="99"/>
    <w:semiHidden/>
    <w:unhideWhenUsed/>
    <w:rsid w:val="0046303A"/>
    <w:rPr>
      <w:b/>
      <w:bCs/>
    </w:rPr>
  </w:style>
  <w:style w:type="character" w:customStyle="1" w:styleId="CommentSubjectChar">
    <w:name w:val="Comment Subject Char"/>
    <w:basedOn w:val="CommentTextChar"/>
    <w:link w:val="CommentSubject"/>
    <w:uiPriority w:val="99"/>
    <w:semiHidden/>
    <w:rsid w:val="0046303A"/>
    <w:rPr>
      <w:b/>
      <w:bCs/>
      <w:sz w:val="20"/>
      <w:szCs w:val="20"/>
    </w:rPr>
  </w:style>
  <w:style w:type="paragraph" w:styleId="BalloonText">
    <w:name w:val="Balloon Text"/>
    <w:basedOn w:val="Normal"/>
    <w:link w:val="BalloonTextChar"/>
    <w:uiPriority w:val="99"/>
    <w:semiHidden/>
    <w:unhideWhenUsed/>
    <w:rsid w:val="004630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03A"/>
    <w:rPr>
      <w:rFonts w:ascii="Segoe UI" w:hAnsi="Segoe UI" w:cs="Segoe UI"/>
      <w:sz w:val="18"/>
      <w:szCs w:val="18"/>
    </w:rPr>
  </w:style>
  <w:style w:type="paragraph" w:styleId="Header">
    <w:name w:val="header"/>
    <w:basedOn w:val="Normal"/>
    <w:link w:val="HeaderChar"/>
    <w:uiPriority w:val="99"/>
    <w:unhideWhenUsed/>
    <w:rsid w:val="004E4C2F"/>
    <w:pPr>
      <w:tabs>
        <w:tab w:val="center" w:pos="4153"/>
        <w:tab w:val="right" w:pos="8306"/>
      </w:tabs>
    </w:pPr>
  </w:style>
  <w:style w:type="character" w:customStyle="1" w:styleId="HeaderChar">
    <w:name w:val="Header Char"/>
    <w:basedOn w:val="DefaultParagraphFont"/>
    <w:link w:val="Header"/>
    <w:uiPriority w:val="99"/>
    <w:rsid w:val="004E4C2F"/>
  </w:style>
  <w:style w:type="paragraph" w:styleId="Footer">
    <w:name w:val="footer"/>
    <w:basedOn w:val="Normal"/>
    <w:link w:val="FooterChar"/>
    <w:uiPriority w:val="99"/>
    <w:unhideWhenUsed/>
    <w:rsid w:val="004E4C2F"/>
    <w:pPr>
      <w:tabs>
        <w:tab w:val="center" w:pos="4153"/>
        <w:tab w:val="right" w:pos="8306"/>
      </w:tabs>
    </w:pPr>
  </w:style>
  <w:style w:type="character" w:customStyle="1" w:styleId="FooterChar">
    <w:name w:val="Footer Char"/>
    <w:basedOn w:val="DefaultParagraphFont"/>
    <w:link w:val="Footer"/>
    <w:uiPriority w:val="99"/>
    <w:rsid w:val="004E4C2F"/>
  </w:style>
  <w:style w:type="character" w:styleId="Hyperlink">
    <w:name w:val="Hyperlink"/>
    <w:rsid w:val="00210A2E"/>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214D1.097245D0" TargetMode="Externa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lze.briede@pmlp.gov.lv"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cid:image002.jpg@01D214D1.097245D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19"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A538AD-785D-47DB-AC25-BDC12ACDE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2988</Words>
  <Characters>1704</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Aldis Bukšs</dc:creator>
  <cp:lastModifiedBy>ilzebr</cp:lastModifiedBy>
  <cp:revision>4</cp:revision>
  <dcterms:created xsi:type="dcterms:W3CDTF">2016-10-06T05:26:00Z</dcterms:created>
  <dcterms:modified xsi:type="dcterms:W3CDTF">2016-10-06T10:40:00Z</dcterms:modified>
</cp:coreProperties>
</file>