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96" w:rsidRPr="001A3088" w:rsidRDefault="00180196" w:rsidP="00180196">
      <w:pPr>
        <w:pStyle w:val="Title"/>
        <w:jc w:val="left"/>
        <w:rPr>
          <w:i/>
          <w:sz w:val="26"/>
          <w:szCs w:val="26"/>
        </w:rPr>
      </w:pPr>
      <w:bookmarkStart w:id="0" w:name="_GoBack"/>
      <w:bookmarkEnd w:id="0"/>
      <w:r>
        <w:rPr>
          <w:b w:val="0"/>
          <w:sz w:val="26"/>
          <w:szCs w:val="26"/>
        </w:rPr>
        <w:t xml:space="preserve">Budžeta un finanšu (nodokļu) komisija </w:t>
      </w:r>
      <w:r>
        <w:rPr>
          <w:b w:val="0"/>
          <w:sz w:val="26"/>
          <w:szCs w:val="26"/>
        </w:rPr>
        <w:tab/>
      </w:r>
      <w:r>
        <w:rPr>
          <w:b w:val="0"/>
          <w:sz w:val="26"/>
          <w:szCs w:val="26"/>
        </w:rPr>
        <w:tab/>
      </w:r>
    </w:p>
    <w:p w:rsidR="00180196" w:rsidRDefault="00180196" w:rsidP="00180196">
      <w:pPr>
        <w:pStyle w:val="Title"/>
        <w:jc w:val="right"/>
        <w:rPr>
          <w:b w:val="0"/>
          <w:sz w:val="26"/>
          <w:szCs w:val="26"/>
        </w:rPr>
      </w:pPr>
      <w:r>
        <w:rPr>
          <w:b w:val="0"/>
          <w:sz w:val="26"/>
          <w:szCs w:val="26"/>
        </w:rPr>
        <w:tab/>
        <w:t>Likumprojekts (steidzams) otrajam lasījumam</w:t>
      </w:r>
    </w:p>
    <w:p w:rsidR="00180196" w:rsidRDefault="00180196" w:rsidP="00180196">
      <w:pPr>
        <w:pStyle w:val="Title"/>
        <w:jc w:val="right"/>
        <w:rPr>
          <w:b w:val="0"/>
          <w:sz w:val="26"/>
          <w:szCs w:val="26"/>
        </w:rPr>
      </w:pPr>
    </w:p>
    <w:p w:rsidR="00180196" w:rsidRPr="00180196" w:rsidRDefault="00180196" w:rsidP="000268A2">
      <w:pPr>
        <w:suppressAutoHyphens/>
        <w:autoSpaceDN w:val="0"/>
        <w:jc w:val="center"/>
        <w:textAlignment w:val="baseline"/>
        <w:rPr>
          <w:b/>
          <w:sz w:val="28"/>
          <w:szCs w:val="28"/>
        </w:rPr>
      </w:pPr>
      <w:bookmarkStart w:id="1" w:name="mainRow"/>
      <w:r w:rsidRPr="00180196">
        <w:rPr>
          <w:b/>
          <w:sz w:val="28"/>
          <w:szCs w:val="28"/>
        </w:rPr>
        <w:t xml:space="preserve">Grozījumi likumā </w:t>
      </w:r>
      <w:r>
        <w:rPr>
          <w:b/>
          <w:sz w:val="28"/>
          <w:szCs w:val="28"/>
        </w:rPr>
        <w:t>“</w:t>
      </w:r>
      <w:r w:rsidRPr="00180196">
        <w:rPr>
          <w:b/>
          <w:sz w:val="28"/>
          <w:szCs w:val="28"/>
        </w:rPr>
        <w:t>Par obligāto sociālo apdrošināšanu pret nelaimes gadījumiem darbā un arodslimībām</w:t>
      </w:r>
      <w:bookmarkEnd w:id="1"/>
      <w:r>
        <w:rPr>
          <w:b/>
          <w:sz w:val="28"/>
          <w:szCs w:val="28"/>
        </w:rPr>
        <w:t>”</w:t>
      </w:r>
    </w:p>
    <w:p w:rsidR="00180196" w:rsidRPr="001B01A3" w:rsidRDefault="00180196" w:rsidP="00180196">
      <w:pPr>
        <w:suppressAutoHyphens/>
        <w:autoSpaceDN w:val="0"/>
        <w:jc w:val="center"/>
        <w:textAlignment w:val="baseline"/>
        <w:rPr>
          <w:b/>
          <w:i/>
          <w:sz w:val="26"/>
          <w:szCs w:val="26"/>
          <w:lang w:val="lv-LV"/>
        </w:rPr>
      </w:pPr>
      <w:r w:rsidRPr="001B01A3">
        <w:rPr>
          <w:b/>
          <w:i/>
          <w:sz w:val="26"/>
          <w:szCs w:val="26"/>
          <w:lang w:val="lv-LV"/>
        </w:rPr>
        <w:t xml:space="preserve"> </w:t>
      </w:r>
      <w:r>
        <w:rPr>
          <w:b/>
          <w:i/>
          <w:sz w:val="26"/>
          <w:szCs w:val="26"/>
          <w:lang w:val="lv-LV"/>
        </w:rPr>
        <w:t>(Nr.682</w:t>
      </w:r>
      <w:r w:rsidRPr="001B01A3">
        <w:rPr>
          <w:b/>
          <w:i/>
          <w:sz w:val="26"/>
          <w:szCs w:val="26"/>
          <w:lang w:val="lv-LV"/>
        </w:rPr>
        <w:t>/Lp</w:t>
      </w:r>
      <w:r>
        <w:rPr>
          <w:b/>
          <w:i/>
          <w:sz w:val="26"/>
          <w:szCs w:val="26"/>
          <w:lang w:val="lv-LV"/>
        </w:rPr>
        <w:t>12</w:t>
      </w:r>
      <w:r w:rsidRPr="001B01A3">
        <w:rPr>
          <w:b/>
          <w:i/>
          <w:sz w:val="26"/>
          <w:szCs w:val="26"/>
          <w:lang w:val="lv-LV"/>
        </w:rPr>
        <w:t>)</w:t>
      </w:r>
    </w:p>
    <w:p w:rsidR="00180196" w:rsidRPr="00E96C04" w:rsidRDefault="00180196" w:rsidP="00180196">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180196" w:rsidTr="007E28B2">
        <w:tc>
          <w:tcPr>
            <w:tcW w:w="3528" w:type="dxa"/>
            <w:vAlign w:val="center"/>
          </w:tcPr>
          <w:p w:rsidR="00180196" w:rsidRDefault="00180196" w:rsidP="007E28B2">
            <w:pPr>
              <w:jc w:val="center"/>
              <w:rPr>
                <w:b/>
                <w:bCs/>
                <w:iCs/>
                <w:lang w:val="lv-LV"/>
              </w:rPr>
            </w:pPr>
            <w:r>
              <w:rPr>
                <w:b/>
                <w:bCs/>
                <w:iCs/>
                <w:lang w:val="lv-LV"/>
              </w:rPr>
              <w:t>Spēkā esošā redakcija</w:t>
            </w:r>
          </w:p>
        </w:tc>
        <w:tc>
          <w:tcPr>
            <w:tcW w:w="3600" w:type="dxa"/>
            <w:vAlign w:val="center"/>
          </w:tcPr>
          <w:p w:rsidR="00180196" w:rsidRDefault="00180196" w:rsidP="007E28B2">
            <w:pPr>
              <w:pStyle w:val="Heading1"/>
            </w:pPr>
            <w:r>
              <w:t>Pirmā lasījuma redakcija</w:t>
            </w:r>
          </w:p>
        </w:tc>
        <w:tc>
          <w:tcPr>
            <w:tcW w:w="556" w:type="dxa"/>
            <w:vAlign w:val="center"/>
          </w:tcPr>
          <w:p w:rsidR="00180196" w:rsidRPr="001C14B1" w:rsidRDefault="00180196" w:rsidP="007E28B2">
            <w:pPr>
              <w:jc w:val="center"/>
              <w:rPr>
                <w:b/>
                <w:bCs/>
                <w:iCs/>
                <w:lang w:val="lv-LV"/>
              </w:rPr>
            </w:pPr>
            <w:r w:rsidRPr="001C14B1">
              <w:rPr>
                <w:b/>
                <w:bCs/>
                <w:iCs/>
                <w:lang w:val="lv-LV"/>
              </w:rPr>
              <w:t>Nr.</w:t>
            </w:r>
          </w:p>
        </w:tc>
        <w:tc>
          <w:tcPr>
            <w:tcW w:w="4048" w:type="dxa"/>
            <w:vAlign w:val="center"/>
          </w:tcPr>
          <w:p w:rsidR="00180196" w:rsidRDefault="00180196" w:rsidP="007E28B2">
            <w:pPr>
              <w:jc w:val="center"/>
              <w:rPr>
                <w:b/>
                <w:bCs/>
                <w:iCs/>
                <w:lang w:val="lv-LV"/>
              </w:rPr>
            </w:pPr>
            <w:r>
              <w:rPr>
                <w:b/>
                <w:bCs/>
                <w:iCs/>
                <w:lang w:val="lv-LV"/>
              </w:rPr>
              <w:t>Priekšlikumi</w:t>
            </w:r>
          </w:p>
          <w:p w:rsidR="00180196" w:rsidRDefault="00F35201" w:rsidP="007E28B2">
            <w:pPr>
              <w:jc w:val="center"/>
              <w:rPr>
                <w:b/>
                <w:bCs/>
                <w:iCs/>
                <w:lang w:val="lv-LV"/>
              </w:rPr>
            </w:pPr>
            <w:r>
              <w:rPr>
                <w:b/>
                <w:bCs/>
                <w:iCs/>
                <w:lang w:val="lv-LV"/>
              </w:rPr>
              <w:t>(5</w:t>
            </w:r>
            <w:r w:rsidR="00180196">
              <w:rPr>
                <w:b/>
                <w:bCs/>
                <w:iCs/>
                <w:lang w:val="lv-LV"/>
              </w:rPr>
              <w:t>)</w:t>
            </w:r>
          </w:p>
        </w:tc>
        <w:tc>
          <w:tcPr>
            <w:tcW w:w="1418" w:type="dxa"/>
            <w:vAlign w:val="center"/>
          </w:tcPr>
          <w:p w:rsidR="00180196" w:rsidRDefault="00180196" w:rsidP="007E28B2">
            <w:pPr>
              <w:jc w:val="center"/>
              <w:rPr>
                <w:b/>
                <w:bCs/>
                <w:iCs/>
                <w:lang w:val="lv-LV"/>
              </w:rPr>
            </w:pPr>
            <w:r>
              <w:rPr>
                <w:b/>
                <w:bCs/>
                <w:iCs/>
                <w:lang w:val="lv-LV"/>
              </w:rPr>
              <w:t>Ministru kabineta atzinums</w:t>
            </w:r>
          </w:p>
        </w:tc>
        <w:tc>
          <w:tcPr>
            <w:tcW w:w="1418" w:type="dxa"/>
            <w:vAlign w:val="center"/>
          </w:tcPr>
          <w:p w:rsidR="00180196" w:rsidRDefault="00180196" w:rsidP="007E28B2">
            <w:pPr>
              <w:jc w:val="center"/>
              <w:rPr>
                <w:b/>
                <w:bCs/>
                <w:iCs/>
                <w:lang w:val="lv-LV"/>
              </w:rPr>
            </w:pPr>
            <w:r>
              <w:rPr>
                <w:b/>
                <w:bCs/>
                <w:iCs/>
                <w:lang w:val="lv-LV"/>
              </w:rPr>
              <w:t>Komisijas atzinums</w:t>
            </w:r>
          </w:p>
        </w:tc>
      </w:tr>
      <w:tr w:rsidR="00180196" w:rsidRPr="00B160D4" w:rsidTr="007E28B2">
        <w:tc>
          <w:tcPr>
            <w:tcW w:w="3528" w:type="dxa"/>
          </w:tcPr>
          <w:p w:rsidR="00180196" w:rsidRPr="00B160D4" w:rsidRDefault="00180196" w:rsidP="007E28B2">
            <w:pPr>
              <w:ind w:firstLine="567"/>
              <w:jc w:val="both"/>
              <w:rPr>
                <w:sz w:val="22"/>
                <w:szCs w:val="22"/>
                <w:lang w:val="lv-LV"/>
              </w:rPr>
            </w:pPr>
          </w:p>
        </w:tc>
        <w:tc>
          <w:tcPr>
            <w:tcW w:w="3600" w:type="dxa"/>
          </w:tcPr>
          <w:p w:rsidR="00180196" w:rsidRPr="000268A2" w:rsidRDefault="00180196" w:rsidP="000268A2">
            <w:pPr>
              <w:ind w:firstLine="567"/>
              <w:contextualSpacing/>
              <w:jc w:val="both"/>
              <w:rPr>
                <w:rFonts w:eastAsia="Calibri"/>
                <w:sz w:val="22"/>
                <w:szCs w:val="22"/>
                <w:lang w:val="lv-LV" w:eastAsia="lv-LV"/>
              </w:rPr>
            </w:pPr>
            <w:r w:rsidRPr="000268A2">
              <w:rPr>
                <w:sz w:val="22"/>
                <w:szCs w:val="22"/>
              </w:rPr>
              <w:t>Izdarīt likumā "Par obligāto sociālo apdrošināšanu pret nelaimes gadījumiem darbā un arodslimībām" (Latvijas Republikas Saeimas un Ministru Kabineta Ziņotājs, 1996, 1. nr.; 1997, 3. nr.; 1998, 21. nr.; 2000, 2. nr.; 2001, 1. nr.; 2005, 2. nr.; 2009, 1., 15. nr.; Latvijas Vēstnesis, 2009, 200. nr.; 2010, 205. nr.; 2013, 137. nr.; 2014, 75., 225. nr.) šādus grozījumus:</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0268A2" w:rsidRDefault="000268A2" w:rsidP="000268A2">
            <w:pPr>
              <w:pStyle w:val="tv213"/>
              <w:spacing w:before="0" w:beforeAutospacing="0" w:after="0" w:afterAutospacing="0"/>
              <w:ind w:firstLine="567"/>
              <w:jc w:val="both"/>
              <w:rPr>
                <w:b/>
                <w:bCs/>
                <w:sz w:val="22"/>
                <w:szCs w:val="22"/>
              </w:rPr>
            </w:pPr>
            <w:r w:rsidRPr="000268A2">
              <w:rPr>
                <w:b/>
                <w:bCs/>
                <w:sz w:val="22"/>
                <w:szCs w:val="22"/>
              </w:rPr>
              <w:t>12. pants. Vidējās apdrošināšanas iemaksu algas aprēķināšana</w:t>
            </w:r>
          </w:p>
          <w:p w:rsidR="000268A2" w:rsidRPr="00B160D4" w:rsidRDefault="000268A2" w:rsidP="000268A2">
            <w:pPr>
              <w:pStyle w:val="tv213"/>
              <w:spacing w:before="0" w:beforeAutospacing="0" w:after="0" w:afterAutospacing="0"/>
              <w:ind w:firstLine="567"/>
              <w:jc w:val="both"/>
              <w:rPr>
                <w:sz w:val="22"/>
                <w:szCs w:val="22"/>
              </w:rPr>
            </w:pPr>
            <w:r w:rsidRPr="000268A2">
              <w:rPr>
                <w:sz w:val="22"/>
                <w:szCs w:val="22"/>
              </w:rPr>
              <w:t>(2) Vidējās apdrošināšanas iemaksu algas aprēķināšanas kārtību apdrošināšanas atlīdzības noteikšanai nosaka Ministru kabinets.</w:t>
            </w:r>
          </w:p>
        </w:tc>
        <w:tc>
          <w:tcPr>
            <w:tcW w:w="3600" w:type="dxa"/>
          </w:tcPr>
          <w:p w:rsidR="00180196" w:rsidRPr="000268A2" w:rsidRDefault="00180196" w:rsidP="000268A2">
            <w:pPr>
              <w:shd w:val="clear" w:color="auto" w:fill="FFFFFF"/>
              <w:tabs>
                <w:tab w:val="left" w:pos="1134"/>
              </w:tabs>
              <w:ind w:firstLine="567"/>
              <w:jc w:val="both"/>
              <w:rPr>
                <w:sz w:val="22"/>
                <w:szCs w:val="22"/>
                <w:lang w:val="lv-LV"/>
              </w:rPr>
            </w:pPr>
            <w:r w:rsidRPr="000268A2">
              <w:rPr>
                <w:sz w:val="22"/>
                <w:szCs w:val="22"/>
              </w:rPr>
              <w:t>1.  12. pantā:</w:t>
            </w:r>
          </w:p>
          <w:p w:rsidR="00180196" w:rsidRPr="000268A2" w:rsidRDefault="00180196" w:rsidP="000268A2">
            <w:pPr>
              <w:ind w:firstLine="567"/>
              <w:jc w:val="both"/>
              <w:rPr>
                <w:sz w:val="22"/>
                <w:szCs w:val="22"/>
              </w:rPr>
            </w:pPr>
            <w:r w:rsidRPr="000268A2">
              <w:rPr>
                <w:sz w:val="22"/>
                <w:szCs w:val="22"/>
              </w:rPr>
              <w:t>izteikt otro daļu šādā redakcijā:</w:t>
            </w:r>
          </w:p>
          <w:p w:rsidR="00180196" w:rsidRPr="000268A2" w:rsidRDefault="00180196" w:rsidP="000268A2">
            <w:pPr>
              <w:ind w:firstLine="567"/>
              <w:jc w:val="both"/>
              <w:rPr>
                <w:sz w:val="22"/>
                <w:szCs w:val="22"/>
              </w:rPr>
            </w:pPr>
            <w:r w:rsidRPr="000268A2">
              <w:rPr>
                <w:sz w:val="22"/>
                <w:szCs w:val="22"/>
              </w:rPr>
              <w:t> "(2) Ministru kabinets nosaka vidējās apdrošināšanas iemaksu algas aprēķināšanas nosacījumus un kārtību.";</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0268A2" w:rsidRPr="000268A2" w:rsidRDefault="000268A2" w:rsidP="000268A2">
            <w:pPr>
              <w:pStyle w:val="tv213"/>
              <w:spacing w:before="0" w:beforeAutospacing="0" w:after="0" w:afterAutospacing="0"/>
              <w:ind w:firstLine="567"/>
              <w:jc w:val="both"/>
              <w:rPr>
                <w:sz w:val="22"/>
                <w:szCs w:val="22"/>
              </w:rPr>
            </w:pPr>
            <w:r w:rsidRPr="000268A2">
              <w:rPr>
                <w:sz w:val="22"/>
                <w:szCs w:val="22"/>
              </w:rPr>
              <w:t xml:space="preserve">(3) Ja apdrošinātā persona šā panta pirmajā daļā noteiktajā periodā nav bijusi reģistrēta kā obligāto iemaksu veicēja vai apdrošināšanas iemaksu alga tai nav bijusi atvaļinājuma bez darba algas saglabāšanas dēļ, mēneša vidējo apdrošināšanas iemaksu algu nosaka 40 procentu apmērā no valstī noteiktās vidējās apdrošināšanas iemaksu algas kalendārajā gadā, kas </w:t>
            </w:r>
            <w:r w:rsidRPr="000268A2">
              <w:rPr>
                <w:sz w:val="22"/>
                <w:szCs w:val="22"/>
              </w:rPr>
              <w:lastRenderedPageBreak/>
              <w:t>beidzas gadu pirms tā gada, kurā iestājies apdrošināšanas gadījums.</w:t>
            </w:r>
          </w:p>
          <w:p w:rsidR="000268A2" w:rsidRPr="000268A2" w:rsidRDefault="000268A2" w:rsidP="000268A2">
            <w:pPr>
              <w:pStyle w:val="tv213"/>
              <w:spacing w:before="0" w:beforeAutospacing="0" w:after="0" w:afterAutospacing="0"/>
              <w:ind w:firstLine="567"/>
              <w:jc w:val="both"/>
              <w:rPr>
                <w:sz w:val="22"/>
                <w:szCs w:val="22"/>
              </w:rPr>
            </w:pPr>
            <w:r w:rsidRPr="000268A2">
              <w:rPr>
                <w:sz w:val="22"/>
                <w:szCs w:val="22"/>
              </w:rPr>
              <w:t>(4) Ja apdrošinātajai personai šā panta pirmajā daļā noteiktajā periodā nav bijusi apdrošināšanas iemaksu alga pārejošas darba nespējas, grūtniecības un dzemdību atvaļinājuma vai bērna kopšanas atvaļinājuma dēļ, vidējo apdrošināšanas iemaksu algu aprēķina no apdrošināšanas iemaksu algas par 12 kalendāro mēnešu periodu pirms šā perioda, kas sākas ne agrāk kā 32 mēnešus pirms mēneša, kurā iestājies apdrošināšanas gadījums, taču šī alga nedrīkst būt mazāka par 40 procentiem no valstī noteiktās vidējās apdrošināšanas iemaksu algas kalendārajā gadā, kas beidzas gadu pirms tā gada, kurā iestājies apdrošināšanas gadījums.</w:t>
            </w:r>
          </w:p>
          <w:p w:rsidR="00180196" w:rsidRPr="000268A2" w:rsidRDefault="000268A2" w:rsidP="000268A2">
            <w:pPr>
              <w:pStyle w:val="tv213"/>
              <w:spacing w:before="0" w:beforeAutospacing="0" w:after="0" w:afterAutospacing="0"/>
              <w:ind w:firstLine="567"/>
              <w:jc w:val="both"/>
            </w:pPr>
            <w:r w:rsidRPr="000268A2">
              <w:rPr>
                <w:sz w:val="22"/>
                <w:szCs w:val="22"/>
              </w:rPr>
              <w:t>(5) Ja arī šā panta ceturtajā daļā noteiktajā periodā apdrošinātajai personai nav bijusi apdrošināšanas iemaksu alga, mēneša vidējo apdrošināšanas iemaksu algu nosaka 40 procentu apmērā no valstī noteiktās vidējās apdrošināšanas iemaksu algas kalendārajā gadā, kas beidzas gadu pirms tā gada, kurā iestājies apdrošināšanas gadījums.</w:t>
            </w:r>
          </w:p>
        </w:tc>
        <w:tc>
          <w:tcPr>
            <w:tcW w:w="3600" w:type="dxa"/>
          </w:tcPr>
          <w:p w:rsidR="00180196" w:rsidRPr="000268A2" w:rsidRDefault="00180196" w:rsidP="000268A2">
            <w:pPr>
              <w:ind w:firstLine="567"/>
              <w:jc w:val="both"/>
              <w:rPr>
                <w:sz w:val="22"/>
                <w:szCs w:val="22"/>
                <w:lang w:val="lv-LV" w:eastAsia="lv-LV"/>
              </w:rPr>
            </w:pPr>
            <w:r w:rsidRPr="000268A2">
              <w:rPr>
                <w:sz w:val="22"/>
                <w:szCs w:val="22"/>
              </w:rPr>
              <w:lastRenderedPageBreak/>
              <w:t>izslēgt trešo, ceturto un piekto daļu.</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0268A2" w:rsidRDefault="000268A2" w:rsidP="007E28B2">
            <w:pPr>
              <w:ind w:firstLine="567"/>
              <w:jc w:val="both"/>
              <w:rPr>
                <w:b/>
                <w:bCs/>
                <w:sz w:val="22"/>
                <w:szCs w:val="22"/>
              </w:rPr>
            </w:pPr>
            <w:r w:rsidRPr="000268A2">
              <w:rPr>
                <w:b/>
                <w:bCs/>
                <w:sz w:val="22"/>
                <w:szCs w:val="22"/>
              </w:rPr>
              <w:t>19. pants. Slimības pabalsts</w:t>
            </w:r>
          </w:p>
          <w:p w:rsidR="000268A2" w:rsidRPr="00B160D4" w:rsidRDefault="000268A2" w:rsidP="007E28B2">
            <w:pPr>
              <w:ind w:firstLine="567"/>
              <w:jc w:val="both"/>
              <w:rPr>
                <w:sz w:val="22"/>
                <w:szCs w:val="22"/>
                <w:lang w:val="lv-LV"/>
              </w:rPr>
            </w:pPr>
            <w:r w:rsidRPr="000268A2">
              <w:rPr>
                <w:sz w:val="22"/>
                <w:szCs w:val="22"/>
              </w:rPr>
              <w:t xml:space="preserve">(2) Apdrošinātajai personai slimības pabalstu piešķir un izmaksā par pārejošas darba nespējas periodu, kas nav ilgāks par 26 kalendārajām nedēļām, skaitot no darba nespējas pirmās dienas, ja darba nespēja ir nepārtraukta, vai nav ilgāks par 52 </w:t>
            </w:r>
            <w:r w:rsidRPr="000268A2">
              <w:rPr>
                <w:sz w:val="22"/>
                <w:szCs w:val="22"/>
              </w:rPr>
              <w:lastRenderedPageBreak/>
              <w:t>nedēļām triju gadu periodā, ja darba nespēja atkārtojas ar pārtraukumiem. Ja darbspēju atgūšanas periods ilgst vairāk par 26 kalendārajām nedēļām, pamatojoties uz VDEĀVK atzinumu, slimības pabalsta izmaksas periodu var pagarināt, bet ne ilgāk kā līdz 52 kalendārajām nedēļām.</w:t>
            </w:r>
          </w:p>
        </w:tc>
        <w:tc>
          <w:tcPr>
            <w:tcW w:w="3600" w:type="dxa"/>
          </w:tcPr>
          <w:p w:rsidR="00180196" w:rsidRPr="000268A2" w:rsidRDefault="00180196" w:rsidP="000268A2">
            <w:pPr>
              <w:ind w:firstLine="567"/>
              <w:jc w:val="both"/>
              <w:rPr>
                <w:rFonts w:eastAsia="Calibri"/>
                <w:sz w:val="22"/>
                <w:szCs w:val="22"/>
                <w:lang w:val="lv-LV"/>
              </w:rPr>
            </w:pPr>
            <w:r w:rsidRPr="000268A2">
              <w:rPr>
                <w:sz w:val="22"/>
                <w:szCs w:val="22"/>
              </w:rPr>
              <w:lastRenderedPageBreak/>
              <w:t>2. Papildināt 19. panta otrās daļas pirmo teikumu pēc vārdiem "Apdrošinātajai personai" ar vārdiem "ja viņa neierodas darbā un tādējādi zaudē algotā darbā gūstamos ienākumus".</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9E2F43" w:rsidRDefault="000268A2" w:rsidP="007E28B2">
            <w:pPr>
              <w:ind w:firstLine="567"/>
              <w:jc w:val="both"/>
              <w:rPr>
                <w:b/>
                <w:bCs/>
                <w:sz w:val="22"/>
                <w:szCs w:val="22"/>
              </w:rPr>
            </w:pPr>
            <w:r w:rsidRPr="009E2F43">
              <w:rPr>
                <w:b/>
                <w:bCs/>
                <w:sz w:val="22"/>
                <w:szCs w:val="22"/>
              </w:rPr>
              <w:t>20. pants. Atlīdzība par darbspēju zaudējumu</w:t>
            </w:r>
          </w:p>
          <w:p w:rsidR="000268A2" w:rsidRPr="009E2F43" w:rsidRDefault="009E2F43" w:rsidP="007E28B2">
            <w:pPr>
              <w:ind w:firstLine="567"/>
              <w:jc w:val="both"/>
              <w:rPr>
                <w:sz w:val="22"/>
                <w:szCs w:val="22"/>
                <w:lang w:val="lv-LV"/>
              </w:rPr>
            </w:pPr>
            <w:r w:rsidRPr="009E2F43">
              <w:rPr>
                <w:sz w:val="22"/>
                <w:szCs w:val="22"/>
              </w:rPr>
              <w:t>(5) Ja apdrošinātā persona saņem atlīdzību par darbspēju zaudējumu un ar šo personu notiek atkārtots nelaimes gadījums darbā vai tiek konstatēta arodslimība, šo atlīdzību pārrēķina atbilstoši no jauna noteiktajam darbspēju zaudējumam. Šādā gadījumā mēneša vidējā apdrošināšanas iemaksu alga ir vienāda ar to, kas šai personai tika noteikta, piešķirot iepriekšējo atlīdzību par darbspēju zaudējumu, izņemot gadījumu, kad mēneša vidējā apdrošināšanas iemaksu alga, ko aprēķina pēc atkārtota nelaimes gadījuma darbā vai saslimšanas ar arodslimību, ir lielāka par to, kas tika aprēķināta iepriekš. Šādā gadījumā jauno atlīdzību nosaka pēc lielākās mēneša vidējās apdrošināšanas iemaksu algas.</w:t>
            </w:r>
          </w:p>
        </w:tc>
        <w:tc>
          <w:tcPr>
            <w:tcW w:w="3600" w:type="dxa"/>
          </w:tcPr>
          <w:p w:rsidR="00180196" w:rsidRPr="000268A2" w:rsidRDefault="00180196" w:rsidP="000268A2">
            <w:pPr>
              <w:shd w:val="clear" w:color="auto" w:fill="FFFFFF"/>
              <w:tabs>
                <w:tab w:val="left" w:pos="993"/>
              </w:tabs>
              <w:ind w:firstLine="567"/>
              <w:jc w:val="both"/>
              <w:rPr>
                <w:sz w:val="22"/>
                <w:szCs w:val="22"/>
                <w:lang w:val="lv-LV"/>
              </w:rPr>
            </w:pPr>
            <w:r w:rsidRPr="000268A2">
              <w:rPr>
                <w:sz w:val="22"/>
                <w:szCs w:val="22"/>
              </w:rPr>
              <w:t>3.  20. pantā:</w:t>
            </w:r>
          </w:p>
          <w:p w:rsidR="00180196" w:rsidRPr="000268A2" w:rsidRDefault="00180196" w:rsidP="000268A2">
            <w:pPr>
              <w:pStyle w:val="ListParagraph"/>
              <w:spacing w:before="0" w:beforeAutospacing="0" w:after="0" w:afterAutospacing="0"/>
              <w:ind w:firstLine="567"/>
              <w:contextualSpacing/>
              <w:jc w:val="both"/>
              <w:rPr>
                <w:sz w:val="22"/>
                <w:szCs w:val="22"/>
              </w:rPr>
            </w:pPr>
            <w:r w:rsidRPr="000268A2">
              <w:rPr>
                <w:sz w:val="22"/>
                <w:szCs w:val="22"/>
              </w:rPr>
              <w:t>aizstāt piektās daļas pirmajā teikumā vārdus "konstatēta arodslimība" ar vārdiem "konstatēta jauna arodslimība";</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9E2F43" w:rsidRDefault="009E2F43" w:rsidP="007E28B2">
            <w:pPr>
              <w:ind w:firstLine="567"/>
              <w:jc w:val="both"/>
              <w:rPr>
                <w:sz w:val="22"/>
                <w:szCs w:val="22"/>
                <w:lang w:val="lv-LV"/>
              </w:rPr>
            </w:pPr>
            <w:r w:rsidRPr="009E2F43">
              <w:rPr>
                <w:sz w:val="22"/>
                <w:szCs w:val="22"/>
              </w:rPr>
              <w:t xml:space="preserve">(11) Ja apdrošināšanas gadījums iestājas personai, kura saņem atlīdzību par darbā nodarīto kaitējumu, kas iegūts līdz 1997. gada 1. janvārim, un darbspēju zaudējums attiecībā uz katru gadījumu ir noteikts atsevišķi, personai pārtrauc izmaksāt atlīdzību par darbā nodarīto </w:t>
            </w:r>
            <w:r w:rsidRPr="009E2F43">
              <w:rPr>
                <w:sz w:val="22"/>
                <w:szCs w:val="22"/>
              </w:rPr>
              <w:lastRenderedPageBreak/>
              <w:t>kaitējumu un piešķir atlīdzību par darbspēju zaudējumu. Šīs atlīdzības apmērs nedrīkst būt mazāks par atlīdzību, kas saņemta par darbā nodarīto kaitējumu.</w:t>
            </w:r>
          </w:p>
        </w:tc>
        <w:tc>
          <w:tcPr>
            <w:tcW w:w="3600" w:type="dxa"/>
          </w:tcPr>
          <w:p w:rsidR="00180196" w:rsidRPr="000268A2" w:rsidRDefault="00180196" w:rsidP="000268A2">
            <w:pPr>
              <w:pStyle w:val="ListParagraph"/>
              <w:shd w:val="clear" w:color="auto" w:fill="FFFFFF"/>
              <w:tabs>
                <w:tab w:val="left" w:pos="3750"/>
              </w:tabs>
              <w:spacing w:before="0" w:beforeAutospacing="0" w:after="0" w:afterAutospacing="0"/>
              <w:ind w:firstLine="567"/>
              <w:contextualSpacing/>
              <w:jc w:val="both"/>
              <w:rPr>
                <w:sz w:val="22"/>
                <w:szCs w:val="22"/>
              </w:rPr>
            </w:pPr>
            <w:r w:rsidRPr="000268A2">
              <w:rPr>
                <w:sz w:val="22"/>
                <w:szCs w:val="22"/>
              </w:rPr>
              <w:lastRenderedPageBreak/>
              <w:t>papildināt pantu ar divpadsmito daļu šādā redakcijā:</w:t>
            </w:r>
          </w:p>
          <w:p w:rsidR="00180196" w:rsidRPr="000268A2" w:rsidRDefault="00180196" w:rsidP="000268A2">
            <w:pPr>
              <w:pStyle w:val="ListParagraph"/>
              <w:shd w:val="clear" w:color="auto" w:fill="FFFFFF"/>
              <w:tabs>
                <w:tab w:val="left" w:pos="3750"/>
              </w:tabs>
              <w:spacing w:before="0" w:beforeAutospacing="0" w:after="0" w:afterAutospacing="0"/>
              <w:ind w:firstLine="567"/>
              <w:contextualSpacing/>
              <w:jc w:val="both"/>
              <w:rPr>
                <w:sz w:val="22"/>
                <w:szCs w:val="22"/>
              </w:rPr>
            </w:pPr>
            <w:r w:rsidRPr="000268A2">
              <w:rPr>
                <w:sz w:val="22"/>
                <w:szCs w:val="22"/>
              </w:rPr>
              <w:t xml:space="preserve"> "(12) Atlīdzības par darbspēju zaudējumu saņēmējam ar dienu, kad sasniegts likumā "Par valsts pensijām" vecuma pensijas piešķiršanai noteiktais vecums, līdz vecuma pensijas piešķiršanai tiek pārtraukta </w:t>
            </w:r>
            <w:r w:rsidRPr="000268A2">
              <w:rPr>
                <w:sz w:val="22"/>
                <w:szCs w:val="22"/>
              </w:rPr>
              <w:lastRenderedPageBreak/>
              <w:t>atlīdzības par darbspēju zaudējumu izmaksa. Pēc vecuma pensijas piešķiršanas atlīdzību par darbspēju zaudējumu izmaksā saskaņā ar šā panta devīto daļu."</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9E2F43" w:rsidRDefault="009E2F43" w:rsidP="007E28B2">
            <w:pPr>
              <w:ind w:firstLine="567"/>
              <w:jc w:val="both"/>
              <w:rPr>
                <w:b/>
                <w:bCs/>
                <w:sz w:val="22"/>
                <w:szCs w:val="22"/>
              </w:rPr>
            </w:pPr>
            <w:r w:rsidRPr="009E2F43">
              <w:rPr>
                <w:b/>
                <w:bCs/>
                <w:sz w:val="22"/>
                <w:szCs w:val="22"/>
              </w:rPr>
              <w:t>23. pants. Atlīdzība par apgādnieka zaudējumu</w:t>
            </w:r>
          </w:p>
          <w:p w:rsidR="009E2F43" w:rsidRPr="00B160D4" w:rsidRDefault="009E2F43" w:rsidP="007E28B2">
            <w:pPr>
              <w:ind w:firstLine="567"/>
              <w:jc w:val="both"/>
              <w:rPr>
                <w:sz w:val="22"/>
                <w:szCs w:val="22"/>
                <w:lang w:val="lv-LV"/>
              </w:rPr>
            </w:pPr>
            <w:r w:rsidRPr="009E2F43">
              <w:rPr>
                <w:sz w:val="22"/>
                <w:szCs w:val="22"/>
              </w:rPr>
              <w:t>(5) Šā panta otrajā daļā minētajām personām aprēķinātā atlīdzība nedrīkst būt lielāka par 80 procentiem no apdrošinātās personas mēneša vidējās apdrošināšanas iemaksu algas un tā nedrīkst būt mazāka par valsts sociālā nodrošinājuma pabalstu, ievērojot to, ka atlīdzības apmērs katram mirušā apgādnieka bērnam nedrīkst būt mazāks par 65 procentiem no valsts sociālā nodrošinājuma pabalsta.</w:t>
            </w:r>
          </w:p>
        </w:tc>
        <w:tc>
          <w:tcPr>
            <w:tcW w:w="3600" w:type="dxa"/>
          </w:tcPr>
          <w:p w:rsidR="00180196" w:rsidRPr="000268A2" w:rsidRDefault="00180196" w:rsidP="000268A2">
            <w:pPr>
              <w:ind w:firstLine="567"/>
              <w:jc w:val="both"/>
              <w:rPr>
                <w:sz w:val="22"/>
                <w:szCs w:val="22"/>
                <w:lang w:val="lv-LV"/>
              </w:rPr>
            </w:pPr>
            <w:r w:rsidRPr="000268A2">
              <w:rPr>
                <w:sz w:val="22"/>
                <w:szCs w:val="22"/>
              </w:rPr>
              <w:t>4.  23. pantā:</w:t>
            </w:r>
          </w:p>
          <w:p w:rsidR="00180196" w:rsidRPr="000268A2" w:rsidRDefault="00180196" w:rsidP="000268A2">
            <w:pPr>
              <w:pStyle w:val="ListParagraph"/>
              <w:spacing w:before="0" w:beforeAutospacing="0" w:after="0" w:afterAutospacing="0"/>
              <w:ind w:firstLine="567"/>
              <w:contextualSpacing/>
              <w:jc w:val="both"/>
              <w:rPr>
                <w:sz w:val="22"/>
                <w:szCs w:val="22"/>
              </w:rPr>
            </w:pPr>
            <w:r w:rsidRPr="000268A2">
              <w:rPr>
                <w:sz w:val="22"/>
                <w:szCs w:val="22"/>
              </w:rPr>
              <w:t>aizstāt piektajā daļā vārdus un skaitli "nedrīkst būt mazāks par 65 procentiem no valsts sociālā nodrošinājuma pabalsta" ar vārdiem "nedrīkst būt mazāks par Ministru kabineta noteikto minimālo apmēru";</w:t>
            </w:r>
          </w:p>
        </w:tc>
        <w:tc>
          <w:tcPr>
            <w:tcW w:w="556" w:type="dxa"/>
          </w:tcPr>
          <w:p w:rsidR="00180196" w:rsidRPr="00B160D4" w:rsidRDefault="00180196" w:rsidP="007E28B2">
            <w:pPr>
              <w:ind w:firstLine="567"/>
              <w:jc w:val="both"/>
              <w:rPr>
                <w:sz w:val="22"/>
                <w:szCs w:val="22"/>
                <w:lang w:val="lv-LV"/>
              </w:rPr>
            </w:pPr>
          </w:p>
        </w:tc>
        <w:tc>
          <w:tcPr>
            <w:tcW w:w="4048" w:type="dxa"/>
          </w:tcPr>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180196" w:rsidRPr="00B160D4" w:rsidTr="007E28B2">
        <w:tc>
          <w:tcPr>
            <w:tcW w:w="3528" w:type="dxa"/>
          </w:tcPr>
          <w:p w:rsidR="00180196" w:rsidRPr="009E2F43" w:rsidRDefault="009E2F43" w:rsidP="007E28B2">
            <w:pPr>
              <w:ind w:firstLine="567"/>
              <w:jc w:val="both"/>
              <w:rPr>
                <w:sz w:val="22"/>
                <w:szCs w:val="22"/>
                <w:lang w:val="lv-LV"/>
              </w:rPr>
            </w:pPr>
            <w:r w:rsidRPr="009E2F43">
              <w:rPr>
                <w:sz w:val="22"/>
                <w:szCs w:val="22"/>
              </w:rPr>
              <w:t>(8) Tiesības uz atlīdzību par apgādnieka zaudējumu rodas ar apgādnieka nāves dienu. Šo atlīdzību aprēķina, sākot ar tiesību rašanās dienu, un izmaksā, kad dokumentāri apliecinātas tiesības uz to.</w:t>
            </w:r>
          </w:p>
        </w:tc>
        <w:tc>
          <w:tcPr>
            <w:tcW w:w="3600" w:type="dxa"/>
          </w:tcPr>
          <w:p w:rsidR="000268A2" w:rsidRPr="000268A2" w:rsidRDefault="000268A2" w:rsidP="000268A2">
            <w:pPr>
              <w:pStyle w:val="ListParagraph"/>
              <w:spacing w:before="0" w:beforeAutospacing="0" w:after="0" w:afterAutospacing="0"/>
              <w:ind w:firstLine="567"/>
              <w:contextualSpacing/>
              <w:jc w:val="both"/>
              <w:rPr>
                <w:sz w:val="22"/>
                <w:szCs w:val="22"/>
              </w:rPr>
            </w:pPr>
            <w:r w:rsidRPr="000268A2">
              <w:rPr>
                <w:sz w:val="22"/>
                <w:szCs w:val="22"/>
              </w:rPr>
              <w:t>papildināt pantu ar devīto un desmito daļu šādā redakcijā:</w:t>
            </w:r>
          </w:p>
          <w:p w:rsidR="000268A2" w:rsidRPr="000268A2" w:rsidRDefault="000268A2" w:rsidP="000268A2">
            <w:pPr>
              <w:pStyle w:val="ListParagraph"/>
              <w:spacing w:before="0" w:beforeAutospacing="0" w:after="0" w:afterAutospacing="0"/>
              <w:ind w:firstLine="567"/>
              <w:contextualSpacing/>
              <w:jc w:val="both"/>
              <w:rPr>
                <w:sz w:val="22"/>
                <w:szCs w:val="22"/>
              </w:rPr>
            </w:pPr>
            <w:r w:rsidRPr="000268A2">
              <w:rPr>
                <w:sz w:val="22"/>
                <w:szCs w:val="22"/>
              </w:rPr>
              <w:t xml:space="preserve"> "(9) Ja atlīdzības par apgādnieka zaudējumu apmērs, kas aprēķināts, ņemot vērā apdrošinātās personas mēneša vidējo apdrošināšanas iemaksu algu, nesasniedz Ministru kabineta noteikto minimālo apmēru katram bērnam, starpība starp šo noteikto minimālo apmēru un katram bērnam aprēķināto atlīdzību par apgādnieka zaudējumu tiek segta no valsts pamatbudžeta, ievērojot šā likuma 13. panta ceturto daļu, un tās izmaksa nodrošināma </w:t>
            </w:r>
            <w:r w:rsidRPr="00DE4B3A">
              <w:rPr>
                <w:sz w:val="22"/>
                <w:szCs w:val="22"/>
                <w:u w:val="single"/>
              </w:rPr>
              <w:t>saskaņā ar likumu par valsts budžetu kārtējam gadam no valsts pamatbudžeta dotācijas, kura tiek ieskaitīta darba negadījumu speciālajā budžetā</w:t>
            </w:r>
            <w:r w:rsidRPr="000268A2">
              <w:rPr>
                <w:sz w:val="22"/>
                <w:szCs w:val="22"/>
              </w:rPr>
              <w:t>.</w:t>
            </w:r>
          </w:p>
          <w:p w:rsidR="00180196" w:rsidRPr="000268A2" w:rsidRDefault="000268A2" w:rsidP="000268A2">
            <w:pPr>
              <w:pStyle w:val="ListParagraph"/>
              <w:spacing w:before="0" w:beforeAutospacing="0" w:after="0" w:afterAutospacing="0"/>
              <w:ind w:firstLine="567"/>
              <w:contextualSpacing/>
              <w:jc w:val="both"/>
              <w:rPr>
                <w:sz w:val="22"/>
                <w:szCs w:val="22"/>
              </w:rPr>
            </w:pPr>
            <w:r w:rsidRPr="000268A2">
              <w:rPr>
                <w:sz w:val="22"/>
                <w:szCs w:val="22"/>
              </w:rPr>
              <w:lastRenderedPageBreak/>
              <w:t>(10) Ministru kabinets nosaka atlīdzības par apgādnieka zaudējumu minimālo apmēru katram bērnam un tā pārskatīšanas kārtību."</w:t>
            </w:r>
          </w:p>
        </w:tc>
        <w:tc>
          <w:tcPr>
            <w:tcW w:w="556" w:type="dxa"/>
          </w:tcPr>
          <w:p w:rsidR="00180196" w:rsidRPr="00F35201" w:rsidRDefault="00F35201" w:rsidP="00F35201">
            <w:pPr>
              <w:jc w:val="center"/>
              <w:rPr>
                <w:b/>
                <w:sz w:val="22"/>
                <w:szCs w:val="22"/>
                <w:lang w:val="lv-LV"/>
              </w:rPr>
            </w:pPr>
            <w:r w:rsidRPr="00F35201">
              <w:rPr>
                <w:b/>
                <w:sz w:val="22"/>
                <w:szCs w:val="22"/>
                <w:lang w:val="lv-LV"/>
              </w:rPr>
              <w:lastRenderedPageBreak/>
              <w:t>1</w:t>
            </w:r>
          </w:p>
        </w:tc>
        <w:tc>
          <w:tcPr>
            <w:tcW w:w="4048" w:type="dxa"/>
          </w:tcPr>
          <w:p w:rsidR="00DE4B3A" w:rsidRPr="00DE4B3A" w:rsidRDefault="00DE4B3A" w:rsidP="00DE4B3A">
            <w:pPr>
              <w:overflowPunct w:val="0"/>
              <w:autoSpaceDE w:val="0"/>
              <w:autoSpaceDN w:val="0"/>
              <w:adjustRightInd w:val="0"/>
              <w:ind w:firstLine="567"/>
              <w:contextualSpacing/>
              <w:jc w:val="both"/>
              <w:rPr>
                <w:b/>
                <w:sz w:val="22"/>
                <w:szCs w:val="22"/>
                <w:u w:val="single"/>
              </w:rPr>
            </w:pPr>
            <w:r w:rsidRPr="00DE4B3A">
              <w:rPr>
                <w:b/>
                <w:sz w:val="22"/>
                <w:szCs w:val="22"/>
                <w:u w:val="single"/>
              </w:rPr>
              <w:t>Juridiskais birojs</w:t>
            </w:r>
          </w:p>
          <w:p w:rsidR="00DE4B3A" w:rsidRPr="00DE4B3A" w:rsidRDefault="00DE4B3A" w:rsidP="00DE4B3A">
            <w:pPr>
              <w:overflowPunct w:val="0"/>
              <w:autoSpaceDE w:val="0"/>
              <w:autoSpaceDN w:val="0"/>
              <w:adjustRightInd w:val="0"/>
              <w:ind w:firstLine="567"/>
              <w:contextualSpacing/>
              <w:jc w:val="both"/>
              <w:rPr>
                <w:sz w:val="22"/>
                <w:szCs w:val="22"/>
              </w:rPr>
            </w:pPr>
            <w:r w:rsidRPr="00DE4B3A">
              <w:rPr>
                <w:sz w:val="22"/>
                <w:szCs w:val="22"/>
              </w:rPr>
              <w:t>Aizstāt 23</w:t>
            </w:r>
            <w:r>
              <w:rPr>
                <w:sz w:val="22"/>
                <w:szCs w:val="22"/>
              </w:rPr>
              <w:t>.</w:t>
            </w:r>
            <w:r w:rsidRPr="00DE4B3A">
              <w:rPr>
                <w:sz w:val="22"/>
                <w:szCs w:val="22"/>
              </w:rPr>
              <w:t>panta devītajā daļā (likumprojekta 4. pants) vārdus ”saskaņā ar likumu par valsts budžetu kārtējam gadam no valsts pamatbudžeta dotācijas, kura tiek ieskaitīta darba negadījumu speciālajā budžetā” ar vārdiem “</w:t>
            </w:r>
            <w:r w:rsidRPr="00DE4B3A">
              <w:rPr>
                <w:sz w:val="22"/>
                <w:szCs w:val="22"/>
                <w:u w:val="single"/>
              </w:rPr>
              <w:t>no gadskārtējā valsts budžeta likumā paredzētās valsts pamatbudžeta dotācijas, kura tiek ieskaitīta darba negadījumu speciālajā budžetā</w:t>
            </w:r>
            <w:r w:rsidRPr="00DE4B3A">
              <w:rPr>
                <w:sz w:val="22"/>
                <w:szCs w:val="22"/>
              </w:rPr>
              <w:t>”.</w:t>
            </w:r>
          </w:p>
          <w:p w:rsidR="00180196" w:rsidRPr="00B160D4" w:rsidRDefault="00180196" w:rsidP="007E28B2">
            <w:pPr>
              <w:tabs>
                <w:tab w:val="left" w:pos="2816"/>
              </w:tabs>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DE4B3A" w:rsidRPr="00B160D4" w:rsidTr="007E28B2">
        <w:tc>
          <w:tcPr>
            <w:tcW w:w="3528" w:type="dxa"/>
          </w:tcPr>
          <w:p w:rsidR="00DE4B3A" w:rsidRPr="009E2F43" w:rsidRDefault="00DE4B3A" w:rsidP="007E28B2">
            <w:pPr>
              <w:ind w:firstLine="567"/>
              <w:jc w:val="both"/>
              <w:rPr>
                <w:sz w:val="22"/>
                <w:szCs w:val="22"/>
              </w:rPr>
            </w:pPr>
            <w:r w:rsidRPr="000268A2">
              <w:rPr>
                <w:b/>
                <w:sz w:val="22"/>
                <w:szCs w:val="22"/>
                <w:lang w:val="lv-LV"/>
              </w:rPr>
              <w:t>Pārejas noteikumi</w:t>
            </w:r>
          </w:p>
        </w:tc>
        <w:tc>
          <w:tcPr>
            <w:tcW w:w="3600" w:type="dxa"/>
          </w:tcPr>
          <w:p w:rsidR="00DE4B3A" w:rsidRPr="000268A2" w:rsidRDefault="00DE4B3A" w:rsidP="00DE4B3A">
            <w:pPr>
              <w:ind w:firstLine="567"/>
              <w:jc w:val="both"/>
              <w:rPr>
                <w:noProof/>
                <w:sz w:val="22"/>
                <w:szCs w:val="22"/>
                <w:lang w:val="lv-LV"/>
              </w:rPr>
            </w:pPr>
            <w:r w:rsidRPr="000268A2">
              <w:rPr>
                <w:noProof/>
                <w:sz w:val="22"/>
                <w:szCs w:val="22"/>
              </w:rPr>
              <w:t>5. Papildināt pārejas noteikumus ar 19., 20., 21. un 22. punktu šādā redakcijā:</w:t>
            </w:r>
          </w:p>
          <w:p w:rsidR="00DE4B3A" w:rsidRPr="00DE4B3A" w:rsidRDefault="00DE4B3A" w:rsidP="00DE4B3A">
            <w:pPr>
              <w:ind w:firstLine="567"/>
              <w:jc w:val="both"/>
              <w:rPr>
                <w:sz w:val="22"/>
                <w:szCs w:val="22"/>
              </w:rPr>
            </w:pPr>
            <w:r w:rsidRPr="000268A2">
              <w:rPr>
                <w:noProof/>
                <w:sz w:val="22"/>
                <w:szCs w:val="22"/>
              </w:rPr>
              <w:t xml:space="preserve"> "19. Atlīdzības par apgādnieka zaudējumu apmērs atbilstoši šā likuma 23. panta devītajā daļā noteiktajam minimālajam apmēram katram bērnam tiek pārskatīts no 2017. gada 1. aprīļa un </w:t>
            </w:r>
            <w:r w:rsidRPr="00DE4B3A">
              <w:rPr>
                <w:noProof/>
                <w:sz w:val="22"/>
                <w:szCs w:val="22"/>
                <w:u w:val="single"/>
              </w:rPr>
              <w:t>par periodu no 1. aprīļa</w:t>
            </w:r>
            <w:r w:rsidRPr="000268A2">
              <w:rPr>
                <w:noProof/>
                <w:sz w:val="22"/>
                <w:szCs w:val="22"/>
              </w:rPr>
              <w:t xml:space="preserve"> to izmaksā līdz 2017. gada 30. septembrim</w:t>
            </w:r>
            <w:r w:rsidRPr="000268A2">
              <w:rPr>
                <w:sz w:val="22"/>
                <w:szCs w:val="22"/>
              </w:rPr>
              <w:t>.</w:t>
            </w:r>
          </w:p>
        </w:tc>
        <w:tc>
          <w:tcPr>
            <w:tcW w:w="556" w:type="dxa"/>
          </w:tcPr>
          <w:p w:rsidR="00DE4B3A" w:rsidRDefault="00F35201" w:rsidP="00F35201">
            <w:pPr>
              <w:jc w:val="center"/>
              <w:rPr>
                <w:b/>
                <w:sz w:val="22"/>
                <w:szCs w:val="22"/>
                <w:lang w:val="lv-LV"/>
              </w:rPr>
            </w:pPr>
            <w:r w:rsidRPr="00F35201">
              <w:rPr>
                <w:b/>
                <w:sz w:val="22"/>
                <w:szCs w:val="22"/>
                <w:lang w:val="lv-LV"/>
              </w:rPr>
              <w:t>2</w:t>
            </w: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Default="00F35201" w:rsidP="00F35201">
            <w:pPr>
              <w:jc w:val="center"/>
              <w:rPr>
                <w:b/>
                <w:sz w:val="22"/>
                <w:szCs w:val="22"/>
                <w:lang w:val="lv-LV"/>
              </w:rPr>
            </w:pPr>
          </w:p>
          <w:p w:rsidR="00F35201" w:rsidRPr="00F35201" w:rsidRDefault="00F35201" w:rsidP="00F35201">
            <w:pPr>
              <w:jc w:val="center"/>
              <w:rPr>
                <w:b/>
                <w:sz w:val="22"/>
                <w:szCs w:val="22"/>
                <w:lang w:val="lv-LV"/>
              </w:rPr>
            </w:pPr>
            <w:r>
              <w:rPr>
                <w:b/>
                <w:sz w:val="22"/>
                <w:szCs w:val="22"/>
                <w:lang w:val="lv-LV"/>
              </w:rPr>
              <w:t>3</w:t>
            </w:r>
          </w:p>
        </w:tc>
        <w:tc>
          <w:tcPr>
            <w:tcW w:w="4048" w:type="dxa"/>
          </w:tcPr>
          <w:p w:rsidR="00DE4B3A" w:rsidRDefault="00DE4B3A" w:rsidP="00DE4B3A">
            <w:pPr>
              <w:overflowPunct w:val="0"/>
              <w:autoSpaceDE w:val="0"/>
              <w:autoSpaceDN w:val="0"/>
              <w:adjustRightInd w:val="0"/>
              <w:ind w:firstLine="567"/>
              <w:contextualSpacing/>
              <w:jc w:val="both"/>
              <w:rPr>
                <w:b/>
                <w:sz w:val="22"/>
                <w:szCs w:val="22"/>
                <w:u w:val="single"/>
              </w:rPr>
            </w:pPr>
            <w:r>
              <w:rPr>
                <w:b/>
                <w:sz w:val="22"/>
                <w:szCs w:val="22"/>
                <w:u w:val="single"/>
              </w:rPr>
              <w:t>Juridiskais birojs</w:t>
            </w:r>
          </w:p>
          <w:p w:rsidR="00DE4B3A" w:rsidRPr="00DE4B3A" w:rsidRDefault="00DE4B3A" w:rsidP="00DE4B3A">
            <w:pPr>
              <w:overflowPunct w:val="0"/>
              <w:autoSpaceDE w:val="0"/>
              <w:autoSpaceDN w:val="0"/>
              <w:adjustRightInd w:val="0"/>
              <w:ind w:firstLine="567"/>
              <w:contextualSpacing/>
              <w:jc w:val="both"/>
              <w:rPr>
                <w:sz w:val="22"/>
                <w:szCs w:val="22"/>
              </w:rPr>
            </w:pPr>
            <w:r w:rsidRPr="00DE4B3A">
              <w:rPr>
                <w:sz w:val="22"/>
                <w:szCs w:val="22"/>
              </w:rPr>
              <w:t>Pārejas noteikumu 19. punktā (likumprojekta 5. pants):</w:t>
            </w:r>
          </w:p>
          <w:p w:rsidR="00DE4B3A" w:rsidRPr="00DE4B3A" w:rsidRDefault="00DE4B3A" w:rsidP="00DE4B3A">
            <w:pPr>
              <w:overflowPunct w:val="0"/>
              <w:autoSpaceDE w:val="0"/>
              <w:autoSpaceDN w:val="0"/>
              <w:adjustRightInd w:val="0"/>
              <w:ind w:firstLine="567"/>
              <w:jc w:val="both"/>
              <w:rPr>
                <w:rFonts w:eastAsia="Calibri"/>
                <w:color w:val="000000"/>
                <w:sz w:val="22"/>
                <w:szCs w:val="22"/>
                <w:lang w:val="lv-LV" w:eastAsia="lv-LV"/>
              </w:rPr>
            </w:pPr>
            <w:r w:rsidRPr="00DE4B3A">
              <w:rPr>
                <w:sz w:val="22"/>
                <w:szCs w:val="22"/>
                <w:lang w:val="lv-LV"/>
              </w:rPr>
              <w:t>papildināt ar jaunu pirmo teikumu šādā redakcijā:</w:t>
            </w:r>
            <w:r w:rsidRPr="00DE4B3A">
              <w:rPr>
                <w:rFonts w:eastAsia="Calibri"/>
                <w:color w:val="000000"/>
                <w:sz w:val="22"/>
                <w:szCs w:val="22"/>
                <w:lang w:val="lv-LV" w:eastAsia="lv-LV"/>
              </w:rPr>
              <w:t xml:space="preserve"> </w:t>
            </w:r>
          </w:p>
          <w:p w:rsidR="00DE4B3A" w:rsidRDefault="00DE4B3A" w:rsidP="00DE4B3A">
            <w:pPr>
              <w:overflowPunct w:val="0"/>
              <w:autoSpaceDE w:val="0"/>
              <w:autoSpaceDN w:val="0"/>
              <w:adjustRightInd w:val="0"/>
              <w:ind w:firstLine="567"/>
              <w:jc w:val="both"/>
              <w:rPr>
                <w:rFonts w:eastAsia="Calibri"/>
                <w:color w:val="000000"/>
                <w:sz w:val="22"/>
                <w:szCs w:val="22"/>
                <w:lang w:val="lv-LV" w:eastAsia="lv-LV"/>
              </w:rPr>
            </w:pPr>
            <w:r w:rsidRPr="00DE4B3A">
              <w:rPr>
                <w:rFonts w:eastAsia="Calibri"/>
                <w:color w:val="000000"/>
                <w:sz w:val="22"/>
                <w:szCs w:val="22"/>
                <w:lang w:val="lv-LV" w:eastAsia="lv-LV"/>
              </w:rPr>
              <w:t>“Grozījumi šā likuma 23. panta piektajā daļā par vārda un skaitļa “nedrīkst būt mazāks par 65 procentiem no valsts sociālā nodrošinājuma pabalsta” aizstāšanu ar vārdiem “nedrīkst būt mazāks par Ministru kabineta noteikto minimālo apmēru apgādnieku zaudējušam bērnam”, kā arī 23. panta devītā un desmitā daļa stājas spēkā 2017. gada 1. aprīlī.”;</w:t>
            </w:r>
          </w:p>
          <w:p w:rsidR="00DE4B3A" w:rsidRDefault="00DE4B3A" w:rsidP="00DE4B3A">
            <w:pPr>
              <w:overflowPunct w:val="0"/>
              <w:autoSpaceDE w:val="0"/>
              <w:autoSpaceDN w:val="0"/>
              <w:adjustRightInd w:val="0"/>
              <w:ind w:firstLine="567"/>
              <w:jc w:val="both"/>
              <w:rPr>
                <w:rFonts w:eastAsia="Calibri"/>
                <w:color w:val="000000"/>
                <w:sz w:val="22"/>
                <w:szCs w:val="22"/>
                <w:lang w:val="lv-LV" w:eastAsia="lv-LV"/>
              </w:rPr>
            </w:pPr>
          </w:p>
          <w:p w:rsidR="00DE4B3A" w:rsidRDefault="00DE4B3A" w:rsidP="00DE4B3A">
            <w:pPr>
              <w:overflowPunct w:val="0"/>
              <w:autoSpaceDE w:val="0"/>
              <w:autoSpaceDN w:val="0"/>
              <w:adjustRightInd w:val="0"/>
              <w:ind w:firstLine="567"/>
              <w:contextualSpacing/>
              <w:jc w:val="both"/>
              <w:rPr>
                <w:b/>
                <w:sz w:val="22"/>
                <w:szCs w:val="22"/>
                <w:u w:val="single"/>
              </w:rPr>
            </w:pPr>
            <w:r>
              <w:rPr>
                <w:b/>
                <w:sz w:val="22"/>
                <w:szCs w:val="22"/>
                <w:u w:val="single"/>
              </w:rPr>
              <w:t>Juridiskais birojs</w:t>
            </w:r>
          </w:p>
          <w:p w:rsidR="00DE4B3A" w:rsidRPr="00DE4B3A" w:rsidRDefault="00DE4B3A" w:rsidP="00DE4B3A">
            <w:pPr>
              <w:overflowPunct w:val="0"/>
              <w:autoSpaceDE w:val="0"/>
              <w:autoSpaceDN w:val="0"/>
              <w:adjustRightInd w:val="0"/>
              <w:ind w:firstLine="567"/>
              <w:jc w:val="both"/>
              <w:rPr>
                <w:rFonts w:eastAsia="Calibri"/>
                <w:color w:val="000000"/>
                <w:sz w:val="22"/>
                <w:szCs w:val="22"/>
                <w:lang w:val="lv-LV" w:eastAsia="lv-LV"/>
              </w:rPr>
            </w:pPr>
            <w:r w:rsidRPr="00DE4B3A">
              <w:rPr>
                <w:rFonts w:eastAsia="Calibri"/>
                <w:color w:val="000000"/>
                <w:sz w:val="22"/>
                <w:szCs w:val="22"/>
                <w:lang w:val="lv-LV" w:eastAsia="lv-LV"/>
              </w:rPr>
              <w:t>aizstāt vārdu “par periodu no 1.aprīļa to” ar vārdu “</w:t>
            </w:r>
            <w:r w:rsidRPr="00DE4B3A">
              <w:rPr>
                <w:rFonts w:eastAsia="Calibri"/>
                <w:color w:val="000000"/>
                <w:sz w:val="22"/>
                <w:szCs w:val="22"/>
                <w:u w:val="single"/>
                <w:lang w:val="lv-LV" w:eastAsia="lv-LV"/>
              </w:rPr>
              <w:t>starpību</w:t>
            </w:r>
            <w:r w:rsidRPr="00DE4B3A">
              <w:rPr>
                <w:rFonts w:eastAsia="Calibri"/>
                <w:color w:val="000000"/>
                <w:sz w:val="22"/>
                <w:szCs w:val="22"/>
                <w:lang w:val="lv-LV" w:eastAsia="lv-LV"/>
              </w:rPr>
              <w:t xml:space="preserve">”. </w:t>
            </w:r>
          </w:p>
          <w:p w:rsidR="00DE4B3A" w:rsidRPr="00DE4B3A" w:rsidRDefault="00DE4B3A" w:rsidP="00DE4B3A">
            <w:pPr>
              <w:overflowPunct w:val="0"/>
              <w:autoSpaceDE w:val="0"/>
              <w:autoSpaceDN w:val="0"/>
              <w:adjustRightInd w:val="0"/>
              <w:ind w:firstLine="567"/>
              <w:jc w:val="both"/>
              <w:rPr>
                <w:rFonts w:eastAsia="Calibri"/>
                <w:color w:val="000000"/>
                <w:sz w:val="22"/>
                <w:szCs w:val="22"/>
                <w:lang w:val="lv-LV" w:eastAsia="lv-LV"/>
              </w:rPr>
            </w:pPr>
          </w:p>
        </w:tc>
        <w:tc>
          <w:tcPr>
            <w:tcW w:w="1418" w:type="dxa"/>
          </w:tcPr>
          <w:p w:rsidR="00DE4B3A" w:rsidRPr="00B160D4" w:rsidRDefault="00DE4B3A" w:rsidP="007E28B2">
            <w:pPr>
              <w:ind w:firstLine="567"/>
              <w:jc w:val="both"/>
              <w:rPr>
                <w:sz w:val="22"/>
                <w:szCs w:val="22"/>
                <w:lang w:val="lv-LV"/>
              </w:rPr>
            </w:pPr>
          </w:p>
        </w:tc>
        <w:tc>
          <w:tcPr>
            <w:tcW w:w="1418" w:type="dxa"/>
          </w:tcPr>
          <w:p w:rsidR="00DE4B3A" w:rsidRPr="00B160D4" w:rsidRDefault="00DE4B3A" w:rsidP="007E28B2">
            <w:pPr>
              <w:ind w:firstLine="567"/>
              <w:jc w:val="both"/>
              <w:rPr>
                <w:sz w:val="22"/>
                <w:szCs w:val="22"/>
                <w:lang w:val="lv-LV"/>
              </w:rPr>
            </w:pPr>
          </w:p>
        </w:tc>
      </w:tr>
      <w:tr w:rsidR="00DE4B3A" w:rsidRPr="00B160D4" w:rsidTr="007E28B2">
        <w:tc>
          <w:tcPr>
            <w:tcW w:w="3528" w:type="dxa"/>
          </w:tcPr>
          <w:p w:rsidR="00DE4B3A" w:rsidRPr="000268A2" w:rsidRDefault="00DE4B3A" w:rsidP="007E28B2">
            <w:pPr>
              <w:ind w:firstLine="567"/>
              <w:jc w:val="both"/>
              <w:rPr>
                <w:b/>
                <w:sz w:val="22"/>
                <w:szCs w:val="22"/>
                <w:lang w:val="lv-LV"/>
              </w:rPr>
            </w:pPr>
          </w:p>
        </w:tc>
        <w:tc>
          <w:tcPr>
            <w:tcW w:w="3600" w:type="dxa"/>
          </w:tcPr>
          <w:p w:rsidR="00DE4B3A" w:rsidRPr="00DE4B3A" w:rsidRDefault="00DE4B3A" w:rsidP="00DE4B3A">
            <w:pPr>
              <w:ind w:firstLine="567"/>
              <w:jc w:val="both"/>
              <w:rPr>
                <w:noProof/>
                <w:sz w:val="22"/>
                <w:szCs w:val="22"/>
              </w:rPr>
            </w:pPr>
            <w:r w:rsidRPr="00DE4B3A">
              <w:rPr>
                <w:noProof/>
                <w:sz w:val="22"/>
                <w:szCs w:val="22"/>
              </w:rPr>
              <w:t xml:space="preserve"> 20. Šā likuma 20. panta divpadsmitā daļa saistībā ar atlīdzības par darbspēju zaudējumu pārtraukšanu, sasniedzot vecuma pensijas piešķiršanai nepieciešamo vecumu, </w:t>
            </w:r>
            <w:r w:rsidRPr="00DE4B3A">
              <w:rPr>
                <w:noProof/>
                <w:sz w:val="22"/>
                <w:szCs w:val="22"/>
                <w:u w:val="single"/>
              </w:rPr>
              <w:t>attiecas uz personām</w:t>
            </w:r>
            <w:r w:rsidRPr="00DE4B3A">
              <w:rPr>
                <w:noProof/>
                <w:sz w:val="22"/>
                <w:szCs w:val="22"/>
              </w:rPr>
              <w:t>, kuras likumā "Par valsts pensijām" noteikto vecumu sasniegušas pēc 2017. gada 1. janvāra.</w:t>
            </w:r>
          </w:p>
        </w:tc>
        <w:tc>
          <w:tcPr>
            <w:tcW w:w="556" w:type="dxa"/>
          </w:tcPr>
          <w:p w:rsidR="00DE4B3A" w:rsidRPr="00F35201" w:rsidRDefault="00F35201" w:rsidP="00F35201">
            <w:pPr>
              <w:jc w:val="center"/>
              <w:rPr>
                <w:b/>
                <w:sz w:val="22"/>
                <w:szCs w:val="22"/>
                <w:lang w:val="lv-LV"/>
              </w:rPr>
            </w:pPr>
            <w:r w:rsidRPr="00F35201">
              <w:rPr>
                <w:b/>
                <w:sz w:val="22"/>
                <w:szCs w:val="22"/>
                <w:lang w:val="lv-LV"/>
              </w:rPr>
              <w:t>4</w:t>
            </w:r>
          </w:p>
        </w:tc>
        <w:tc>
          <w:tcPr>
            <w:tcW w:w="4048" w:type="dxa"/>
          </w:tcPr>
          <w:p w:rsidR="00DE4B3A" w:rsidRDefault="00DE4B3A" w:rsidP="00DE4B3A">
            <w:pPr>
              <w:overflowPunct w:val="0"/>
              <w:autoSpaceDE w:val="0"/>
              <w:autoSpaceDN w:val="0"/>
              <w:adjustRightInd w:val="0"/>
              <w:ind w:firstLine="567"/>
              <w:contextualSpacing/>
              <w:jc w:val="both"/>
              <w:rPr>
                <w:b/>
                <w:sz w:val="22"/>
                <w:szCs w:val="22"/>
                <w:u w:val="single"/>
              </w:rPr>
            </w:pPr>
            <w:r>
              <w:rPr>
                <w:b/>
                <w:sz w:val="22"/>
                <w:szCs w:val="22"/>
                <w:u w:val="single"/>
              </w:rPr>
              <w:t>Juridiskais birojs</w:t>
            </w:r>
          </w:p>
          <w:p w:rsidR="00DE4B3A" w:rsidRPr="00DE4B3A" w:rsidRDefault="00DE4B3A" w:rsidP="00DE4B3A">
            <w:pPr>
              <w:ind w:firstLine="567"/>
              <w:contextualSpacing/>
              <w:jc w:val="both"/>
              <w:rPr>
                <w:sz w:val="22"/>
                <w:szCs w:val="22"/>
              </w:rPr>
            </w:pPr>
            <w:r w:rsidRPr="00DE4B3A">
              <w:rPr>
                <w:sz w:val="22"/>
                <w:szCs w:val="22"/>
              </w:rPr>
              <w:t>Aizstāt pārejas noteikumu 20. punktā (likumprojekta 5. pants) vārdus “attiecas uz personām” ar vārdiem “</w:t>
            </w:r>
            <w:r w:rsidRPr="00DE4B3A">
              <w:rPr>
                <w:sz w:val="22"/>
                <w:szCs w:val="22"/>
                <w:u w:val="single"/>
              </w:rPr>
              <w:t>piemērojama tām personām</w:t>
            </w:r>
            <w:r w:rsidRPr="00DE4B3A">
              <w:rPr>
                <w:sz w:val="22"/>
                <w:szCs w:val="22"/>
              </w:rPr>
              <w:t>”</w:t>
            </w:r>
            <w:r>
              <w:rPr>
                <w:sz w:val="22"/>
                <w:szCs w:val="22"/>
              </w:rPr>
              <w:t>.</w:t>
            </w:r>
          </w:p>
          <w:p w:rsidR="00DE4B3A" w:rsidRPr="00DE4B3A" w:rsidRDefault="00DE4B3A" w:rsidP="00DE4B3A">
            <w:pPr>
              <w:overflowPunct w:val="0"/>
              <w:autoSpaceDE w:val="0"/>
              <w:autoSpaceDN w:val="0"/>
              <w:adjustRightInd w:val="0"/>
              <w:ind w:firstLine="567"/>
              <w:contextualSpacing/>
              <w:jc w:val="both"/>
              <w:rPr>
                <w:b/>
                <w:sz w:val="22"/>
                <w:szCs w:val="22"/>
                <w:u w:val="single"/>
              </w:rPr>
            </w:pPr>
          </w:p>
        </w:tc>
        <w:tc>
          <w:tcPr>
            <w:tcW w:w="1418" w:type="dxa"/>
          </w:tcPr>
          <w:p w:rsidR="00DE4B3A" w:rsidRPr="00B160D4" w:rsidRDefault="00DE4B3A" w:rsidP="007E28B2">
            <w:pPr>
              <w:ind w:firstLine="567"/>
              <w:jc w:val="both"/>
              <w:rPr>
                <w:sz w:val="22"/>
                <w:szCs w:val="22"/>
                <w:lang w:val="lv-LV"/>
              </w:rPr>
            </w:pPr>
          </w:p>
        </w:tc>
        <w:tc>
          <w:tcPr>
            <w:tcW w:w="1418" w:type="dxa"/>
          </w:tcPr>
          <w:p w:rsidR="00DE4B3A" w:rsidRPr="00B160D4" w:rsidRDefault="00DE4B3A" w:rsidP="007E28B2">
            <w:pPr>
              <w:ind w:firstLine="567"/>
              <w:jc w:val="both"/>
              <w:rPr>
                <w:sz w:val="22"/>
                <w:szCs w:val="22"/>
                <w:lang w:val="lv-LV"/>
              </w:rPr>
            </w:pPr>
          </w:p>
        </w:tc>
      </w:tr>
      <w:tr w:rsidR="00DE4B3A" w:rsidRPr="00B160D4" w:rsidTr="007E28B2">
        <w:tc>
          <w:tcPr>
            <w:tcW w:w="3528" w:type="dxa"/>
          </w:tcPr>
          <w:p w:rsidR="00DE4B3A" w:rsidRPr="000268A2" w:rsidRDefault="00DE4B3A" w:rsidP="007E28B2">
            <w:pPr>
              <w:ind w:firstLine="567"/>
              <w:jc w:val="both"/>
              <w:rPr>
                <w:b/>
                <w:sz w:val="22"/>
                <w:szCs w:val="22"/>
                <w:lang w:val="lv-LV"/>
              </w:rPr>
            </w:pPr>
          </w:p>
        </w:tc>
        <w:tc>
          <w:tcPr>
            <w:tcW w:w="3600" w:type="dxa"/>
          </w:tcPr>
          <w:p w:rsidR="00DE4B3A" w:rsidRPr="00DE4B3A" w:rsidRDefault="00DE4B3A" w:rsidP="00DE4B3A">
            <w:pPr>
              <w:ind w:firstLine="567"/>
              <w:jc w:val="both"/>
              <w:rPr>
                <w:noProof/>
                <w:sz w:val="22"/>
                <w:szCs w:val="22"/>
              </w:rPr>
            </w:pPr>
            <w:r w:rsidRPr="00DE4B3A">
              <w:rPr>
                <w:noProof/>
                <w:sz w:val="22"/>
                <w:szCs w:val="22"/>
              </w:rPr>
              <w:t>21. Grozījumi šā likuma 12. pantā saistībā ar trešās, ceturtās un piektās daļas izslēgšanu stājas spēkā 2020. gada 1. janvārī.</w:t>
            </w:r>
          </w:p>
        </w:tc>
        <w:tc>
          <w:tcPr>
            <w:tcW w:w="556" w:type="dxa"/>
          </w:tcPr>
          <w:p w:rsidR="00DE4B3A" w:rsidRPr="00B160D4" w:rsidRDefault="00DE4B3A" w:rsidP="007E28B2">
            <w:pPr>
              <w:ind w:firstLine="567"/>
              <w:jc w:val="both"/>
              <w:rPr>
                <w:sz w:val="22"/>
                <w:szCs w:val="22"/>
                <w:lang w:val="lv-LV"/>
              </w:rPr>
            </w:pPr>
          </w:p>
        </w:tc>
        <w:tc>
          <w:tcPr>
            <w:tcW w:w="4048" w:type="dxa"/>
          </w:tcPr>
          <w:p w:rsidR="00DE4B3A" w:rsidRPr="00DE4B3A" w:rsidRDefault="00DE4B3A" w:rsidP="00DE4B3A">
            <w:pPr>
              <w:overflowPunct w:val="0"/>
              <w:autoSpaceDE w:val="0"/>
              <w:autoSpaceDN w:val="0"/>
              <w:adjustRightInd w:val="0"/>
              <w:ind w:firstLine="567"/>
              <w:contextualSpacing/>
              <w:jc w:val="both"/>
              <w:rPr>
                <w:b/>
                <w:sz w:val="22"/>
                <w:szCs w:val="22"/>
                <w:u w:val="single"/>
              </w:rPr>
            </w:pPr>
          </w:p>
        </w:tc>
        <w:tc>
          <w:tcPr>
            <w:tcW w:w="1418" w:type="dxa"/>
          </w:tcPr>
          <w:p w:rsidR="00DE4B3A" w:rsidRPr="00B160D4" w:rsidRDefault="00DE4B3A" w:rsidP="007E28B2">
            <w:pPr>
              <w:ind w:firstLine="567"/>
              <w:jc w:val="both"/>
              <w:rPr>
                <w:sz w:val="22"/>
                <w:szCs w:val="22"/>
                <w:lang w:val="lv-LV"/>
              </w:rPr>
            </w:pPr>
          </w:p>
        </w:tc>
        <w:tc>
          <w:tcPr>
            <w:tcW w:w="1418" w:type="dxa"/>
          </w:tcPr>
          <w:p w:rsidR="00DE4B3A" w:rsidRPr="00B160D4" w:rsidRDefault="00DE4B3A" w:rsidP="007E28B2">
            <w:pPr>
              <w:ind w:firstLine="567"/>
              <w:jc w:val="both"/>
              <w:rPr>
                <w:sz w:val="22"/>
                <w:szCs w:val="22"/>
                <w:lang w:val="lv-LV"/>
              </w:rPr>
            </w:pPr>
          </w:p>
        </w:tc>
      </w:tr>
      <w:tr w:rsidR="00180196" w:rsidRPr="00B160D4" w:rsidTr="007E28B2">
        <w:tc>
          <w:tcPr>
            <w:tcW w:w="3528" w:type="dxa"/>
          </w:tcPr>
          <w:p w:rsidR="00180196" w:rsidRPr="000268A2" w:rsidRDefault="00180196" w:rsidP="007E28B2">
            <w:pPr>
              <w:ind w:firstLine="567"/>
              <w:jc w:val="both"/>
              <w:rPr>
                <w:b/>
                <w:sz w:val="22"/>
                <w:szCs w:val="22"/>
                <w:lang w:val="lv-LV"/>
              </w:rPr>
            </w:pPr>
          </w:p>
        </w:tc>
        <w:tc>
          <w:tcPr>
            <w:tcW w:w="3600" w:type="dxa"/>
          </w:tcPr>
          <w:p w:rsidR="00180196" w:rsidRPr="00DE4B3A" w:rsidRDefault="000268A2" w:rsidP="00DE4B3A">
            <w:pPr>
              <w:ind w:firstLine="567"/>
              <w:jc w:val="both"/>
              <w:rPr>
                <w:noProof/>
                <w:sz w:val="22"/>
                <w:szCs w:val="22"/>
              </w:rPr>
            </w:pPr>
            <w:r w:rsidRPr="00DE4B3A">
              <w:rPr>
                <w:noProof/>
                <w:sz w:val="22"/>
                <w:szCs w:val="22"/>
              </w:rPr>
              <w:t xml:space="preserve"> 22. Ministru kabinets līdz 2019. gada 31. decembrim izdod šā likuma 12. panta otrajā daļā minētos </w:t>
            </w:r>
            <w:r w:rsidRPr="00DE4B3A">
              <w:rPr>
                <w:noProof/>
                <w:sz w:val="22"/>
                <w:szCs w:val="22"/>
              </w:rPr>
              <w:lastRenderedPageBreak/>
              <w:t xml:space="preserve">noteikumus par vidējās apdrošināšanas iemaksu algas aprēķināšanas nosacījumiem un kārtību. </w:t>
            </w:r>
            <w:r w:rsidRPr="00DE4B3A">
              <w:rPr>
                <w:noProof/>
                <w:sz w:val="22"/>
                <w:szCs w:val="22"/>
                <w:u w:val="single"/>
              </w:rPr>
              <w:t>Līdz attiecīgo noteikumu spēkā stāšanās dienai, bet ne ilgāk kā līdz 2019. gada 31. decembrim ir spēkā Ministru kabineta 1999. gada 16. februāra noteikumi Nr. 50 "Obligātās sociālās apdrošināšanas pret nelaimes gadījumiem darbā un arodslimībām apdrošināšanas atlīdzības piešķiršanas un aprēķināšanas kārtība", ciktāl tie nav pretrunā ar šo likumu</w:t>
            </w:r>
            <w:r w:rsidRPr="00DE4B3A">
              <w:rPr>
                <w:noProof/>
                <w:sz w:val="22"/>
                <w:szCs w:val="22"/>
              </w:rPr>
              <w:t>."</w:t>
            </w:r>
          </w:p>
        </w:tc>
        <w:tc>
          <w:tcPr>
            <w:tcW w:w="556" w:type="dxa"/>
          </w:tcPr>
          <w:p w:rsidR="00180196" w:rsidRPr="00F35201" w:rsidRDefault="00F35201" w:rsidP="00F35201">
            <w:pPr>
              <w:jc w:val="center"/>
              <w:rPr>
                <w:b/>
                <w:sz w:val="22"/>
                <w:szCs w:val="22"/>
                <w:lang w:val="lv-LV"/>
              </w:rPr>
            </w:pPr>
            <w:r w:rsidRPr="00F35201">
              <w:rPr>
                <w:b/>
                <w:sz w:val="22"/>
                <w:szCs w:val="22"/>
                <w:lang w:val="lv-LV"/>
              </w:rPr>
              <w:lastRenderedPageBreak/>
              <w:t>5</w:t>
            </w:r>
          </w:p>
        </w:tc>
        <w:tc>
          <w:tcPr>
            <w:tcW w:w="4048" w:type="dxa"/>
          </w:tcPr>
          <w:p w:rsidR="00DE4B3A" w:rsidRDefault="00DE4B3A" w:rsidP="00DE4B3A">
            <w:pPr>
              <w:overflowPunct w:val="0"/>
              <w:autoSpaceDE w:val="0"/>
              <w:autoSpaceDN w:val="0"/>
              <w:adjustRightInd w:val="0"/>
              <w:ind w:firstLine="567"/>
              <w:contextualSpacing/>
              <w:jc w:val="both"/>
              <w:rPr>
                <w:b/>
                <w:sz w:val="22"/>
                <w:szCs w:val="22"/>
                <w:u w:val="single"/>
              </w:rPr>
            </w:pPr>
            <w:r>
              <w:rPr>
                <w:b/>
                <w:sz w:val="22"/>
                <w:szCs w:val="22"/>
                <w:u w:val="single"/>
              </w:rPr>
              <w:t>Juridiskais birojs</w:t>
            </w:r>
          </w:p>
          <w:p w:rsidR="00180196" w:rsidRPr="00DE4B3A" w:rsidRDefault="00DE4B3A" w:rsidP="007E28B2">
            <w:pPr>
              <w:tabs>
                <w:tab w:val="left" w:pos="2816"/>
              </w:tabs>
              <w:ind w:firstLine="567"/>
              <w:jc w:val="both"/>
              <w:rPr>
                <w:sz w:val="22"/>
                <w:szCs w:val="22"/>
                <w:lang w:val="lv-LV"/>
              </w:rPr>
            </w:pPr>
            <w:r w:rsidRPr="00DE4B3A">
              <w:rPr>
                <w:sz w:val="22"/>
                <w:szCs w:val="22"/>
                <w:lang w:val="lv-LV"/>
              </w:rPr>
              <w:t>Izslēgt pārejas noteikumu 22. punkta otro teikumu.</w:t>
            </w:r>
          </w:p>
        </w:tc>
        <w:tc>
          <w:tcPr>
            <w:tcW w:w="1418" w:type="dxa"/>
          </w:tcPr>
          <w:p w:rsidR="00180196" w:rsidRPr="00B160D4" w:rsidRDefault="00180196" w:rsidP="007E28B2">
            <w:pPr>
              <w:ind w:firstLine="567"/>
              <w:jc w:val="both"/>
              <w:rPr>
                <w:sz w:val="22"/>
                <w:szCs w:val="22"/>
                <w:lang w:val="lv-LV"/>
              </w:rPr>
            </w:pPr>
          </w:p>
        </w:tc>
        <w:tc>
          <w:tcPr>
            <w:tcW w:w="1418" w:type="dxa"/>
          </w:tcPr>
          <w:p w:rsidR="00180196" w:rsidRPr="00B160D4" w:rsidRDefault="00180196" w:rsidP="007E28B2">
            <w:pPr>
              <w:ind w:firstLine="567"/>
              <w:jc w:val="both"/>
              <w:rPr>
                <w:sz w:val="22"/>
                <w:szCs w:val="22"/>
                <w:lang w:val="lv-LV"/>
              </w:rPr>
            </w:pPr>
          </w:p>
        </w:tc>
      </w:tr>
      <w:tr w:rsidR="000268A2" w:rsidRPr="00B160D4" w:rsidTr="007E28B2">
        <w:tc>
          <w:tcPr>
            <w:tcW w:w="3528" w:type="dxa"/>
          </w:tcPr>
          <w:p w:rsidR="000268A2" w:rsidRPr="00B160D4" w:rsidRDefault="000268A2" w:rsidP="007E28B2">
            <w:pPr>
              <w:ind w:firstLine="567"/>
              <w:jc w:val="both"/>
              <w:rPr>
                <w:sz w:val="22"/>
                <w:szCs w:val="22"/>
                <w:lang w:val="lv-LV"/>
              </w:rPr>
            </w:pPr>
          </w:p>
        </w:tc>
        <w:tc>
          <w:tcPr>
            <w:tcW w:w="3600" w:type="dxa"/>
          </w:tcPr>
          <w:p w:rsidR="000268A2" w:rsidRPr="000268A2" w:rsidRDefault="000268A2" w:rsidP="000268A2">
            <w:pPr>
              <w:ind w:firstLine="567"/>
              <w:jc w:val="both"/>
              <w:rPr>
                <w:sz w:val="22"/>
                <w:szCs w:val="22"/>
              </w:rPr>
            </w:pPr>
            <w:r w:rsidRPr="000268A2">
              <w:rPr>
                <w:sz w:val="22"/>
                <w:szCs w:val="22"/>
              </w:rPr>
              <w:t>Likums stājas spēkā 2017. gada 1. janvārī.</w:t>
            </w:r>
          </w:p>
        </w:tc>
        <w:tc>
          <w:tcPr>
            <w:tcW w:w="556" w:type="dxa"/>
          </w:tcPr>
          <w:p w:rsidR="000268A2" w:rsidRPr="00B160D4" w:rsidRDefault="000268A2" w:rsidP="007E28B2">
            <w:pPr>
              <w:ind w:firstLine="567"/>
              <w:jc w:val="both"/>
              <w:rPr>
                <w:sz w:val="22"/>
                <w:szCs w:val="22"/>
                <w:lang w:val="lv-LV"/>
              </w:rPr>
            </w:pPr>
          </w:p>
        </w:tc>
        <w:tc>
          <w:tcPr>
            <w:tcW w:w="4048" w:type="dxa"/>
          </w:tcPr>
          <w:p w:rsidR="000268A2" w:rsidRPr="00B160D4" w:rsidRDefault="000268A2" w:rsidP="007E28B2">
            <w:pPr>
              <w:tabs>
                <w:tab w:val="left" w:pos="2816"/>
              </w:tabs>
              <w:ind w:firstLine="567"/>
              <w:jc w:val="both"/>
              <w:rPr>
                <w:sz w:val="22"/>
                <w:szCs w:val="22"/>
                <w:lang w:val="lv-LV"/>
              </w:rPr>
            </w:pPr>
          </w:p>
        </w:tc>
        <w:tc>
          <w:tcPr>
            <w:tcW w:w="1418" w:type="dxa"/>
          </w:tcPr>
          <w:p w:rsidR="000268A2" w:rsidRPr="00B160D4" w:rsidRDefault="000268A2" w:rsidP="007E28B2">
            <w:pPr>
              <w:ind w:firstLine="567"/>
              <w:jc w:val="both"/>
              <w:rPr>
                <w:sz w:val="22"/>
                <w:szCs w:val="22"/>
                <w:lang w:val="lv-LV"/>
              </w:rPr>
            </w:pPr>
          </w:p>
        </w:tc>
        <w:tc>
          <w:tcPr>
            <w:tcW w:w="1418" w:type="dxa"/>
          </w:tcPr>
          <w:p w:rsidR="000268A2" w:rsidRPr="00B160D4" w:rsidRDefault="000268A2" w:rsidP="007E28B2">
            <w:pPr>
              <w:ind w:firstLine="567"/>
              <w:jc w:val="both"/>
              <w:rPr>
                <w:sz w:val="22"/>
                <w:szCs w:val="22"/>
                <w:lang w:val="lv-LV"/>
              </w:rPr>
            </w:pPr>
          </w:p>
        </w:tc>
      </w:tr>
    </w:tbl>
    <w:p w:rsidR="00180196" w:rsidRPr="00713B94" w:rsidRDefault="00180196" w:rsidP="00180196">
      <w:pPr>
        <w:rPr>
          <w:lang w:val="lv-LV"/>
        </w:rPr>
      </w:pPr>
    </w:p>
    <w:p w:rsidR="007A4333" w:rsidRDefault="007A4333"/>
    <w:sectPr w:rsidR="007A4333" w:rsidSect="00480EFF">
      <w:footerReference w:type="even" r:id="rId7"/>
      <w:footerReference w:type="default" r:id="rId8"/>
      <w:footerReference w:type="first" r:id="rId9"/>
      <w:pgSz w:w="15840" w:h="12240" w:orient="landscape"/>
      <w:pgMar w:top="1134" w:right="851" w:bottom="1135"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EB" w:rsidRDefault="00F35201">
      <w:r>
        <w:separator/>
      </w:r>
    </w:p>
  </w:endnote>
  <w:endnote w:type="continuationSeparator" w:id="0">
    <w:p w:rsidR="00D938EB" w:rsidRDefault="00F3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020BFE"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190" w:rsidRDefault="00D16D2A"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020BFE"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D2A">
      <w:rPr>
        <w:rStyle w:val="PageNumber"/>
        <w:noProof/>
      </w:rPr>
      <w:t>5</w:t>
    </w:r>
    <w:r>
      <w:rPr>
        <w:rStyle w:val="PageNumber"/>
      </w:rPr>
      <w:fldChar w:fldCharType="end"/>
    </w:r>
  </w:p>
  <w:p w:rsidR="00592190" w:rsidRPr="00DE7779" w:rsidRDefault="00D16D2A" w:rsidP="00DE7779">
    <w:pPr>
      <w:pStyle w:val="Footer"/>
      <w:rPr>
        <w:sz w:val="18"/>
        <w:szCs w:val="18"/>
        <w:lang w:val="lv-LV"/>
      </w:rPr>
    </w:pPr>
  </w:p>
  <w:p w:rsidR="00592190" w:rsidRDefault="00D16D2A" w:rsidP="00630E45">
    <w:pPr>
      <w:pStyle w:val="Footer"/>
      <w:ind w:right="360"/>
    </w:pPr>
  </w:p>
  <w:p w:rsidR="00592190" w:rsidRDefault="00D16D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D16D2A" w:rsidP="000F59A0">
    <w:pPr>
      <w:pStyle w:val="Footer"/>
      <w:ind w:right="360"/>
      <w:rPr>
        <w:sz w:val="18"/>
        <w:szCs w:val="18"/>
        <w:lang w:val="lv-LV"/>
      </w:rPr>
    </w:pPr>
  </w:p>
  <w:p w:rsidR="00592190" w:rsidRDefault="00D16D2A" w:rsidP="000F59A0">
    <w:pPr>
      <w:pStyle w:val="Footer"/>
      <w:ind w:right="360"/>
    </w:pPr>
  </w:p>
  <w:p w:rsidR="00592190" w:rsidRPr="00DE7779" w:rsidRDefault="00D16D2A">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EB" w:rsidRDefault="00F35201">
      <w:r>
        <w:separator/>
      </w:r>
    </w:p>
  </w:footnote>
  <w:footnote w:type="continuationSeparator" w:id="0">
    <w:p w:rsidR="00D938EB" w:rsidRDefault="00F3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06C6"/>
    <w:multiLevelType w:val="hybridMultilevel"/>
    <w:tmpl w:val="7DE4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96"/>
    <w:rsid w:val="00020BFE"/>
    <w:rsid w:val="000268A2"/>
    <w:rsid w:val="00180196"/>
    <w:rsid w:val="00405509"/>
    <w:rsid w:val="004D7945"/>
    <w:rsid w:val="007A4333"/>
    <w:rsid w:val="009E2F43"/>
    <w:rsid w:val="00AA55B8"/>
    <w:rsid w:val="00D16D2A"/>
    <w:rsid w:val="00D938EB"/>
    <w:rsid w:val="00DE4B3A"/>
    <w:rsid w:val="00F35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0D657-5AD0-4325-B232-83090DE2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196"/>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196"/>
    <w:rPr>
      <w:rFonts w:ascii="Times New Roman" w:eastAsia="Times New Roman" w:hAnsi="Times New Roman" w:cs="Times New Roman"/>
      <w:b/>
      <w:bCs/>
      <w:iCs/>
      <w:sz w:val="24"/>
      <w:szCs w:val="24"/>
    </w:rPr>
  </w:style>
  <w:style w:type="paragraph" w:styleId="Title">
    <w:name w:val="Title"/>
    <w:basedOn w:val="Normal"/>
    <w:link w:val="TitleChar"/>
    <w:qFormat/>
    <w:rsid w:val="00180196"/>
    <w:pPr>
      <w:jc w:val="center"/>
    </w:pPr>
    <w:rPr>
      <w:b/>
      <w:szCs w:val="20"/>
      <w:lang w:val="lv-LV"/>
    </w:rPr>
  </w:style>
  <w:style w:type="character" w:customStyle="1" w:styleId="TitleChar">
    <w:name w:val="Title Char"/>
    <w:basedOn w:val="DefaultParagraphFont"/>
    <w:link w:val="Title"/>
    <w:rsid w:val="00180196"/>
    <w:rPr>
      <w:rFonts w:ascii="Times New Roman" w:eastAsia="Times New Roman" w:hAnsi="Times New Roman" w:cs="Times New Roman"/>
      <w:b/>
      <w:sz w:val="24"/>
      <w:szCs w:val="20"/>
    </w:rPr>
  </w:style>
  <w:style w:type="paragraph" w:styleId="Footer">
    <w:name w:val="footer"/>
    <w:basedOn w:val="Normal"/>
    <w:link w:val="FooterChar"/>
    <w:rsid w:val="00180196"/>
    <w:pPr>
      <w:tabs>
        <w:tab w:val="center" w:pos="4320"/>
        <w:tab w:val="right" w:pos="8640"/>
      </w:tabs>
    </w:pPr>
  </w:style>
  <w:style w:type="character" w:customStyle="1" w:styleId="FooterChar">
    <w:name w:val="Footer Char"/>
    <w:basedOn w:val="DefaultParagraphFont"/>
    <w:link w:val="Footer"/>
    <w:rsid w:val="00180196"/>
    <w:rPr>
      <w:rFonts w:ascii="Times New Roman" w:eastAsia="Times New Roman" w:hAnsi="Times New Roman" w:cs="Times New Roman"/>
      <w:sz w:val="24"/>
      <w:szCs w:val="24"/>
      <w:lang w:val="en-GB"/>
    </w:rPr>
  </w:style>
  <w:style w:type="character" w:styleId="PageNumber">
    <w:name w:val="page number"/>
    <w:basedOn w:val="DefaultParagraphFont"/>
    <w:rsid w:val="00180196"/>
  </w:style>
  <w:style w:type="paragraph" w:customStyle="1" w:styleId="tv213">
    <w:name w:val="tv213"/>
    <w:basedOn w:val="Normal"/>
    <w:rsid w:val="00180196"/>
    <w:pPr>
      <w:spacing w:before="100" w:beforeAutospacing="1" w:after="100" w:afterAutospacing="1"/>
    </w:pPr>
    <w:rPr>
      <w:lang w:val="lv-LV" w:eastAsia="lv-LV"/>
    </w:rPr>
  </w:style>
  <w:style w:type="paragraph" w:customStyle="1" w:styleId="labojumupamats">
    <w:name w:val="labojumu_pamats"/>
    <w:basedOn w:val="Normal"/>
    <w:rsid w:val="00180196"/>
    <w:pPr>
      <w:spacing w:before="100" w:beforeAutospacing="1" w:after="100" w:afterAutospacing="1"/>
    </w:pPr>
    <w:rPr>
      <w:lang w:val="lv-LV" w:eastAsia="lv-LV"/>
    </w:rPr>
  </w:style>
  <w:style w:type="character" w:styleId="Hyperlink">
    <w:name w:val="Hyperlink"/>
    <w:basedOn w:val="DefaultParagraphFont"/>
    <w:uiPriority w:val="99"/>
    <w:semiHidden/>
    <w:unhideWhenUsed/>
    <w:rsid w:val="00180196"/>
    <w:rPr>
      <w:color w:val="0000FF"/>
      <w:u w:val="single"/>
    </w:rPr>
  </w:style>
  <w:style w:type="character" w:styleId="FollowedHyperlink">
    <w:name w:val="FollowedHyperlink"/>
    <w:basedOn w:val="DefaultParagraphFont"/>
    <w:uiPriority w:val="99"/>
    <w:semiHidden/>
    <w:unhideWhenUsed/>
    <w:rsid w:val="00180196"/>
    <w:rPr>
      <w:color w:val="954F72" w:themeColor="followedHyperlink"/>
      <w:u w:val="single"/>
    </w:rPr>
  </w:style>
  <w:style w:type="paragraph" w:styleId="ListParagraph">
    <w:name w:val="List Paragraph"/>
    <w:basedOn w:val="Normal"/>
    <w:uiPriority w:val="34"/>
    <w:qFormat/>
    <w:rsid w:val="00180196"/>
    <w:pPr>
      <w:spacing w:before="100" w:beforeAutospacing="1" w:after="100" w:afterAutospacing="1"/>
    </w:pPr>
    <w:rPr>
      <w:lang w:val="lv-LV" w:eastAsia="lv-LV"/>
    </w:rPr>
  </w:style>
  <w:style w:type="paragraph" w:customStyle="1" w:styleId="naisf">
    <w:name w:val="naisf"/>
    <w:basedOn w:val="Normal"/>
    <w:rsid w:val="000268A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5429">
      <w:bodyDiv w:val="1"/>
      <w:marLeft w:val="0"/>
      <w:marRight w:val="0"/>
      <w:marTop w:val="0"/>
      <w:marBottom w:val="0"/>
      <w:divBdr>
        <w:top w:val="none" w:sz="0" w:space="0" w:color="auto"/>
        <w:left w:val="none" w:sz="0" w:space="0" w:color="auto"/>
        <w:bottom w:val="none" w:sz="0" w:space="0" w:color="auto"/>
        <w:right w:val="none" w:sz="0" w:space="0" w:color="auto"/>
      </w:divBdr>
    </w:div>
    <w:div w:id="341469852">
      <w:bodyDiv w:val="1"/>
      <w:marLeft w:val="0"/>
      <w:marRight w:val="0"/>
      <w:marTop w:val="0"/>
      <w:marBottom w:val="0"/>
      <w:divBdr>
        <w:top w:val="none" w:sz="0" w:space="0" w:color="auto"/>
        <w:left w:val="none" w:sz="0" w:space="0" w:color="auto"/>
        <w:bottom w:val="none" w:sz="0" w:space="0" w:color="auto"/>
        <w:right w:val="none" w:sz="0" w:space="0" w:color="auto"/>
      </w:divBdr>
    </w:div>
    <w:div w:id="943003814">
      <w:bodyDiv w:val="1"/>
      <w:marLeft w:val="0"/>
      <w:marRight w:val="0"/>
      <w:marTop w:val="0"/>
      <w:marBottom w:val="0"/>
      <w:divBdr>
        <w:top w:val="none" w:sz="0" w:space="0" w:color="auto"/>
        <w:left w:val="none" w:sz="0" w:space="0" w:color="auto"/>
        <w:bottom w:val="none" w:sz="0" w:space="0" w:color="auto"/>
        <w:right w:val="none" w:sz="0" w:space="0" w:color="auto"/>
      </w:divBdr>
    </w:div>
    <w:div w:id="985888942">
      <w:bodyDiv w:val="1"/>
      <w:marLeft w:val="0"/>
      <w:marRight w:val="0"/>
      <w:marTop w:val="0"/>
      <w:marBottom w:val="0"/>
      <w:divBdr>
        <w:top w:val="none" w:sz="0" w:space="0" w:color="auto"/>
        <w:left w:val="none" w:sz="0" w:space="0" w:color="auto"/>
        <w:bottom w:val="none" w:sz="0" w:space="0" w:color="auto"/>
        <w:right w:val="none" w:sz="0" w:space="0" w:color="auto"/>
      </w:divBdr>
    </w:div>
    <w:div w:id="994919964">
      <w:bodyDiv w:val="1"/>
      <w:marLeft w:val="0"/>
      <w:marRight w:val="0"/>
      <w:marTop w:val="0"/>
      <w:marBottom w:val="0"/>
      <w:divBdr>
        <w:top w:val="none" w:sz="0" w:space="0" w:color="auto"/>
        <w:left w:val="none" w:sz="0" w:space="0" w:color="auto"/>
        <w:bottom w:val="none" w:sz="0" w:space="0" w:color="auto"/>
        <w:right w:val="none" w:sz="0" w:space="0" w:color="auto"/>
      </w:divBdr>
    </w:div>
    <w:div w:id="1416827792">
      <w:bodyDiv w:val="1"/>
      <w:marLeft w:val="0"/>
      <w:marRight w:val="0"/>
      <w:marTop w:val="0"/>
      <w:marBottom w:val="0"/>
      <w:divBdr>
        <w:top w:val="none" w:sz="0" w:space="0" w:color="auto"/>
        <w:left w:val="none" w:sz="0" w:space="0" w:color="auto"/>
        <w:bottom w:val="none" w:sz="0" w:space="0" w:color="auto"/>
        <w:right w:val="none" w:sz="0" w:space="0" w:color="auto"/>
      </w:divBdr>
    </w:div>
    <w:div w:id="205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5770</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2016-11-04T16:34:00Z</dcterms:created>
  <dcterms:modified xsi:type="dcterms:W3CDTF">2016-11-04T16:34:00Z</dcterms:modified>
</cp:coreProperties>
</file>