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14B" w:rsidRPr="00035F85" w:rsidRDefault="0039514B" w:rsidP="0039514B">
      <w:pPr>
        <w:pStyle w:val="Title"/>
        <w:jc w:val="left"/>
        <w:rPr>
          <w:b w:val="0"/>
          <w:szCs w:val="24"/>
        </w:rPr>
      </w:pPr>
      <w:bookmarkStart w:id="0" w:name="_GoBack"/>
      <w:bookmarkEnd w:id="0"/>
      <w:r w:rsidRPr="00035F85">
        <w:rPr>
          <w:b w:val="0"/>
          <w:szCs w:val="24"/>
        </w:rPr>
        <w:t>Budžeta un finanšu (nodokļu) komisija</w:t>
      </w:r>
    </w:p>
    <w:p w:rsidR="0039514B" w:rsidRPr="00035F85" w:rsidRDefault="0039514B" w:rsidP="0039514B">
      <w:pPr>
        <w:pStyle w:val="Title"/>
        <w:jc w:val="right"/>
        <w:rPr>
          <w:b w:val="0"/>
          <w:szCs w:val="24"/>
        </w:rPr>
      </w:pPr>
      <w:r w:rsidRPr="00035F85">
        <w:rPr>
          <w:b w:val="0"/>
          <w:szCs w:val="24"/>
        </w:rPr>
        <w:tab/>
        <w:t>Likumprojekts (steidzams) otrajam lasījumam</w:t>
      </w:r>
    </w:p>
    <w:p w:rsidR="0039514B" w:rsidRPr="0069123E" w:rsidRDefault="0069123E" w:rsidP="0039514B">
      <w:pPr>
        <w:tabs>
          <w:tab w:val="center" w:pos="7568"/>
          <w:tab w:val="left" w:pos="10455"/>
        </w:tabs>
        <w:jc w:val="center"/>
        <w:rPr>
          <w:b/>
          <w:i/>
          <w:sz w:val="28"/>
          <w:szCs w:val="28"/>
        </w:rPr>
      </w:pPr>
      <w:r w:rsidRPr="0069123E">
        <w:rPr>
          <w:rFonts w:eastAsia="Times New Roman"/>
          <w:b/>
          <w:sz w:val="28"/>
          <w:szCs w:val="28"/>
          <w:lang w:eastAsia="lv-LV"/>
        </w:rPr>
        <w:t>Grozījumi Elektroenerģijas tirgus likumā</w:t>
      </w:r>
      <w:r w:rsidR="0039514B" w:rsidRPr="0069123E">
        <w:rPr>
          <w:b/>
          <w:i/>
          <w:sz w:val="28"/>
          <w:szCs w:val="28"/>
        </w:rPr>
        <w:t xml:space="preserve"> </w:t>
      </w:r>
    </w:p>
    <w:p w:rsidR="0039514B" w:rsidRPr="00035F85" w:rsidRDefault="0039514B" w:rsidP="0039514B">
      <w:pPr>
        <w:tabs>
          <w:tab w:val="center" w:pos="7568"/>
          <w:tab w:val="left" w:pos="10455"/>
        </w:tabs>
        <w:jc w:val="center"/>
        <w:rPr>
          <w:b/>
          <w:i/>
          <w:sz w:val="26"/>
          <w:szCs w:val="26"/>
        </w:rPr>
      </w:pPr>
      <w:r w:rsidRPr="00035F85">
        <w:rPr>
          <w:b/>
          <w:i/>
          <w:sz w:val="26"/>
          <w:szCs w:val="26"/>
        </w:rPr>
        <w:t>(Nr.</w:t>
      </w:r>
      <w:r w:rsidR="0069123E">
        <w:rPr>
          <w:b/>
          <w:i/>
          <w:sz w:val="26"/>
          <w:szCs w:val="26"/>
        </w:rPr>
        <w:t>724</w:t>
      </w:r>
      <w:r w:rsidRPr="00035F85">
        <w:rPr>
          <w:b/>
          <w:i/>
          <w:sz w:val="26"/>
          <w:szCs w:val="26"/>
        </w:rPr>
        <w:t>/Lp12)</w:t>
      </w:r>
    </w:p>
    <w:p w:rsidR="0039514B" w:rsidRPr="00035F85" w:rsidRDefault="0039514B" w:rsidP="0039514B">
      <w:pPr>
        <w:tabs>
          <w:tab w:val="center" w:pos="7568"/>
          <w:tab w:val="left" w:pos="10455"/>
        </w:tabs>
        <w:rPr>
          <w:b/>
          <w:i/>
          <w:sz w:val="22"/>
        </w:rPr>
      </w:pPr>
      <w:r w:rsidRPr="00035F85">
        <w:rPr>
          <w:b/>
          <w:i/>
          <w:sz w:val="22"/>
        </w:rPr>
        <w:tab/>
      </w:r>
    </w:p>
    <w:tbl>
      <w:tblPr>
        <w:tblW w:w="15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3960"/>
        <w:gridCol w:w="567"/>
        <w:gridCol w:w="3960"/>
        <w:gridCol w:w="1420"/>
        <w:gridCol w:w="1420"/>
      </w:tblGrid>
      <w:tr w:rsidR="00035F85" w:rsidRPr="00035F85" w:rsidTr="001A7D73">
        <w:tc>
          <w:tcPr>
            <w:tcW w:w="3960" w:type="dxa"/>
            <w:vAlign w:val="center"/>
          </w:tcPr>
          <w:p w:rsidR="0039514B" w:rsidRPr="00C045B2" w:rsidRDefault="0039514B" w:rsidP="00C045B2">
            <w:pPr>
              <w:jc w:val="center"/>
              <w:rPr>
                <w:b/>
                <w:bCs/>
                <w:iCs/>
                <w:sz w:val="22"/>
              </w:rPr>
            </w:pPr>
            <w:r w:rsidRPr="00C045B2">
              <w:rPr>
                <w:b/>
                <w:bCs/>
                <w:iCs/>
                <w:sz w:val="22"/>
              </w:rPr>
              <w:t>Spēkā esošā redakcija</w:t>
            </w:r>
          </w:p>
        </w:tc>
        <w:tc>
          <w:tcPr>
            <w:tcW w:w="3960" w:type="dxa"/>
            <w:vAlign w:val="center"/>
          </w:tcPr>
          <w:p w:rsidR="0039514B" w:rsidRPr="00035F85" w:rsidRDefault="0039514B" w:rsidP="001A7D73">
            <w:pPr>
              <w:pStyle w:val="Heading1"/>
            </w:pPr>
            <w:r w:rsidRPr="00035F85">
              <w:t>Pirmā lasījuma redakcija</w:t>
            </w:r>
          </w:p>
        </w:tc>
        <w:tc>
          <w:tcPr>
            <w:tcW w:w="567" w:type="dxa"/>
            <w:vAlign w:val="center"/>
          </w:tcPr>
          <w:p w:rsidR="0039514B" w:rsidRPr="00035F85" w:rsidRDefault="0039514B" w:rsidP="001A7D73">
            <w:pPr>
              <w:jc w:val="center"/>
              <w:rPr>
                <w:b/>
                <w:bCs/>
                <w:iCs/>
                <w:szCs w:val="24"/>
              </w:rPr>
            </w:pPr>
            <w:r w:rsidRPr="00035F85">
              <w:rPr>
                <w:b/>
                <w:bCs/>
                <w:iCs/>
                <w:szCs w:val="24"/>
              </w:rPr>
              <w:t>Nr.</w:t>
            </w:r>
          </w:p>
        </w:tc>
        <w:tc>
          <w:tcPr>
            <w:tcW w:w="3960" w:type="dxa"/>
            <w:vAlign w:val="center"/>
          </w:tcPr>
          <w:p w:rsidR="0039514B" w:rsidRPr="00035F85" w:rsidRDefault="0039514B" w:rsidP="001A7D73">
            <w:pPr>
              <w:ind w:firstLine="10"/>
              <w:jc w:val="center"/>
              <w:rPr>
                <w:b/>
                <w:bCs/>
                <w:iCs/>
                <w:szCs w:val="24"/>
              </w:rPr>
            </w:pPr>
            <w:r w:rsidRPr="00035F85">
              <w:rPr>
                <w:b/>
                <w:bCs/>
                <w:iCs/>
                <w:szCs w:val="24"/>
              </w:rPr>
              <w:t>Priekšlikumi</w:t>
            </w:r>
          </w:p>
          <w:p w:rsidR="0039514B" w:rsidRPr="00035F85" w:rsidRDefault="0039514B" w:rsidP="0069123E">
            <w:pPr>
              <w:jc w:val="center"/>
              <w:rPr>
                <w:b/>
                <w:bCs/>
                <w:iCs/>
                <w:szCs w:val="24"/>
              </w:rPr>
            </w:pPr>
            <w:r w:rsidRPr="00035F85">
              <w:rPr>
                <w:b/>
                <w:bCs/>
                <w:iCs/>
                <w:szCs w:val="24"/>
              </w:rPr>
              <w:t>(</w:t>
            </w:r>
            <w:r w:rsidR="00EC73B4">
              <w:rPr>
                <w:b/>
                <w:bCs/>
                <w:iCs/>
                <w:szCs w:val="24"/>
              </w:rPr>
              <w:t>9</w:t>
            </w:r>
            <w:r w:rsidRPr="00035F85">
              <w:rPr>
                <w:b/>
                <w:bCs/>
                <w:iCs/>
                <w:szCs w:val="24"/>
              </w:rPr>
              <w:t>)</w:t>
            </w:r>
          </w:p>
        </w:tc>
        <w:tc>
          <w:tcPr>
            <w:tcW w:w="1420" w:type="dxa"/>
            <w:vAlign w:val="center"/>
          </w:tcPr>
          <w:p w:rsidR="0039514B" w:rsidRPr="00035F85" w:rsidRDefault="0039514B" w:rsidP="001A7D73">
            <w:pPr>
              <w:jc w:val="center"/>
              <w:rPr>
                <w:b/>
                <w:bCs/>
                <w:iCs/>
                <w:szCs w:val="24"/>
              </w:rPr>
            </w:pPr>
            <w:r w:rsidRPr="00035F85">
              <w:rPr>
                <w:b/>
                <w:bCs/>
                <w:iCs/>
                <w:szCs w:val="24"/>
              </w:rPr>
              <w:t>Ministru kabineta atzinums</w:t>
            </w:r>
          </w:p>
        </w:tc>
        <w:tc>
          <w:tcPr>
            <w:tcW w:w="1420" w:type="dxa"/>
            <w:vAlign w:val="center"/>
          </w:tcPr>
          <w:p w:rsidR="0039514B" w:rsidRPr="00035F85" w:rsidRDefault="0039514B" w:rsidP="001A7D73">
            <w:pPr>
              <w:jc w:val="center"/>
              <w:rPr>
                <w:b/>
                <w:bCs/>
                <w:iCs/>
                <w:szCs w:val="24"/>
              </w:rPr>
            </w:pPr>
            <w:r w:rsidRPr="00035F85">
              <w:rPr>
                <w:b/>
                <w:bCs/>
                <w:iCs/>
                <w:szCs w:val="24"/>
              </w:rPr>
              <w:t>Komisijas atzinums</w:t>
            </w:r>
          </w:p>
        </w:tc>
      </w:tr>
      <w:tr w:rsidR="00035F85" w:rsidRPr="00035F85" w:rsidTr="001A7D73">
        <w:tc>
          <w:tcPr>
            <w:tcW w:w="3960" w:type="dxa"/>
          </w:tcPr>
          <w:p w:rsidR="0039514B" w:rsidRPr="00C045B2" w:rsidRDefault="0039514B" w:rsidP="00C045B2">
            <w:pPr>
              <w:ind w:firstLine="454"/>
              <w:jc w:val="both"/>
              <w:rPr>
                <w:sz w:val="22"/>
              </w:rPr>
            </w:pPr>
          </w:p>
        </w:tc>
        <w:tc>
          <w:tcPr>
            <w:tcW w:w="3960" w:type="dxa"/>
          </w:tcPr>
          <w:p w:rsidR="0039514B" w:rsidRPr="000C5081" w:rsidRDefault="0069123E" w:rsidP="004B4DC6">
            <w:pPr>
              <w:ind w:firstLine="567"/>
              <w:jc w:val="both"/>
              <w:rPr>
                <w:sz w:val="22"/>
              </w:rPr>
            </w:pPr>
            <w:r w:rsidRPr="000C5081">
              <w:rPr>
                <w:rFonts w:eastAsia="Times New Roman"/>
                <w:sz w:val="22"/>
                <w:lang w:eastAsia="lv-LV"/>
              </w:rPr>
              <w:t>Izdarīt </w:t>
            </w:r>
            <w:hyperlink r:id="rId8" w:tgtFrame="_blank" w:history="1">
              <w:r w:rsidRPr="000C5081">
                <w:rPr>
                  <w:rFonts w:eastAsia="Times New Roman"/>
                  <w:sz w:val="22"/>
                  <w:lang w:eastAsia="lv-LV"/>
                </w:rPr>
                <w:t>Elektroenerģijas tirgus likumā</w:t>
              </w:r>
            </w:hyperlink>
            <w:r w:rsidRPr="000C5081">
              <w:rPr>
                <w:rFonts w:eastAsia="Times New Roman"/>
                <w:sz w:val="22"/>
                <w:lang w:eastAsia="lv-LV"/>
              </w:rPr>
              <w:t> (Latvijas Republikas Saeimas un Ministru Kabineta Ziņotājs, 2005, 12. nr.; 2008, 10. nr.; Latvijas Vēstnesis, 2011, 117. nr.; 2013, 211., 232. nr.; 2014, 60., 189., 257. nr.; 2015, 118., 190., 248. nr.; 2016, 110. nr.) šādus grozījumus:</w:t>
            </w:r>
          </w:p>
        </w:tc>
        <w:tc>
          <w:tcPr>
            <w:tcW w:w="567" w:type="dxa"/>
          </w:tcPr>
          <w:p w:rsidR="0039514B" w:rsidRPr="00035F85" w:rsidRDefault="0039514B" w:rsidP="001A7D73">
            <w:pPr>
              <w:jc w:val="center"/>
              <w:rPr>
                <w:b/>
                <w:sz w:val="22"/>
              </w:rPr>
            </w:pPr>
          </w:p>
        </w:tc>
        <w:tc>
          <w:tcPr>
            <w:tcW w:w="3960" w:type="dxa"/>
          </w:tcPr>
          <w:p w:rsidR="00035F85" w:rsidRPr="00035F85" w:rsidRDefault="00035F85" w:rsidP="00035F85">
            <w:pPr>
              <w:ind w:firstLine="567"/>
              <w:jc w:val="both"/>
              <w:rPr>
                <w:i/>
                <w:sz w:val="22"/>
              </w:rPr>
            </w:pPr>
            <w:r w:rsidRPr="00035F85">
              <w:rPr>
                <w:i/>
                <w:sz w:val="22"/>
              </w:rPr>
              <w:t xml:space="preserve"> </w:t>
            </w:r>
          </w:p>
        </w:tc>
        <w:tc>
          <w:tcPr>
            <w:tcW w:w="1420" w:type="dxa"/>
          </w:tcPr>
          <w:p w:rsidR="0039514B" w:rsidRPr="00035F85" w:rsidRDefault="0039514B" w:rsidP="001A7D73">
            <w:pPr>
              <w:jc w:val="center"/>
              <w:rPr>
                <w:sz w:val="22"/>
              </w:rPr>
            </w:pPr>
          </w:p>
        </w:tc>
        <w:tc>
          <w:tcPr>
            <w:tcW w:w="1420" w:type="dxa"/>
          </w:tcPr>
          <w:p w:rsidR="0039514B" w:rsidRPr="00035F85" w:rsidRDefault="0039514B" w:rsidP="001A7D73">
            <w:pPr>
              <w:jc w:val="center"/>
              <w:rPr>
                <w:sz w:val="22"/>
              </w:rPr>
            </w:pPr>
          </w:p>
        </w:tc>
      </w:tr>
      <w:tr w:rsidR="0069123E" w:rsidRPr="00035F85" w:rsidTr="001A7D73">
        <w:tc>
          <w:tcPr>
            <w:tcW w:w="3960" w:type="dxa"/>
          </w:tcPr>
          <w:p w:rsidR="000C5081" w:rsidRPr="00C045B2" w:rsidRDefault="000C5081" w:rsidP="00C045B2">
            <w:pPr>
              <w:pStyle w:val="tv213"/>
              <w:spacing w:before="0" w:beforeAutospacing="0" w:after="0" w:afterAutospacing="0"/>
              <w:ind w:firstLine="454"/>
              <w:jc w:val="both"/>
              <w:rPr>
                <w:sz w:val="22"/>
                <w:szCs w:val="22"/>
              </w:rPr>
            </w:pPr>
            <w:r w:rsidRPr="00C045B2">
              <w:rPr>
                <w:b/>
                <w:bCs/>
                <w:sz w:val="22"/>
                <w:szCs w:val="22"/>
              </w:rPr>
              <w:t>28.</w:t>
            </w:r>
            <w:r w:rsidRPr="00C045B2">
              <w:rPr>
                <w:b/>
                <w:bCs/>
                <w:sz w:val="22"/>
                <w:szCs w:val="22"/>
                <w:vertAlign w:val="superscript"/>
              </w:rPr>
              <w:t>1</w:t>
            </w:r>
            <w:r w:rsidRPr="00C045B2">
              <w:rPr>
                <w:b/>
                <w:bCs/>
                <w:sz w:val="22"/>
                <w:szCs w:val="22"/>
              </w:rPr>
              <w:t xml:space="preserve"> pants. Elektroenerģijas ražošana koģenerācijas stacijās, kuru uzstādītā elektriskā jauda ir lielāka par četriem megavatiem</w:t>
            </w:r>
          </w:p>
          <w:p w:rsidR="000C5081" w:rsidRPr="00C045B2" w:rsidRDefault="000C5081" w:rsidP="00C045B2">
            <w:pPr>
              <w:pStyle w:val="tv213"/>
              <w:spacing w:before="0" w:beforeAutospacing="0" w:after="0" w:afterAutospacing="0"/>
              <w:ind w:firstLine="454"/>
              <w:jc w:val="both"/>
              <w:rPr>
                <w:sz w:val="22"/>
                <w:szCs w:val="22"/>
              </w:rPr>
            </w:pPr>
            <w:r w:rsidRPr="00C045B2">
              <w:rPr>
                <w:sz w:val="22"/>
                <w:szCs w:val="22"/>
              </w:rPr>
              <w:t xml:space="preserve">(1) </w:t>
            </w:r>
            <w:r w:rsidRPr="00C045B2">
              <w:rPr>
                <w:rStyle w:val="fontsize2"/>
                <w:sz w:val="22"/>
                <w:szCs w:val="22"/>
              </w:rPr>
              <w:t xml:space="preserve">(Izslēgta ar </w:t>
            </w:r>
            <w:hyperlink r:id="rId9" w:tgtFrame="_blank" w:history="1">
              <w:r w:rsidRPr="00C045B2">
                <w:rPr>
                  <w:rStyle w:val="Hyperlink"/>
                  <w:color w:val="auto"/>
                  <w:sz w:val="22"/>
                  <w:szCs w:val="22"/>
                  <w:u w:val="none"/>
                </w:rPr>
                <w:t>19.05.2016</w:t>
              </w:r>
            </w:hyperlink>
            <w:r w:rsidRPr="00C045B2">
              <w:rPr>
                <w:rStyle w:val="fontsize2"/>
                <w:sz w:val="22"/>
                <w:szCs w:val="22"/>
              </w:rPr>
              <w:t>. likumu)</w:t>
            </w:r>
          </w:p>
          <w:p w:rsidR="000C5081" w:rsidRPr="00C045B2" w:rsidRDefault="000C5081" w:rsidP="00C045B2">
            <w:pPr>
              <w:pStyle w:val="tv213"/>
              <w:spacing w:before="0" w:beforeAutospacing="0" w:after="0" w:afterAutospacing="0"/>
              <w:ind w:firstLine="454"/>
              <w:jc w:val="both"/>
              <w:rPr>
                <w:sz w:val="22"/>
                <w:szCs w:val="22"/>
              </w:rPr>
            </w:pPr>
            <w:r w:rsidRPr="00C045B2">
              <w:rPr>
                <w:sz w:val="22"/>
                <w:szCs w:val="22"/>
              </w:rPr>
              <w:t>(2) Kritērijus, pēc kādiem koģenerācijas stacijas tiek kvalificētas tiesību iegūšanai saņemt garantēto maksu par koģenerācijas stacijā uzstādīto elektrisko jaudu, kārtību, kādā nosakāma maksa par uzstādīto elektrisko jaudu atkarībā no ražošanas tehnoloģijas un izmantojamā kurināmā, koģenerācijas stacijas uzstādītās elektriskās jaudas, un kārtību, kādā šī maksa veicama, kā arī kārtību, kādā var atteikties no tiesībām saņemt garantētu maksu par koģenerācijas stacijā uzstādīto elektrisko jaudu, nosaka Ministru kabinets.</w:t>
            </w:r>
          </w:p>
          <w:p w:rsidR="000C5081" w:rsidRPr="00C045B2" w:rsidRDefault="000C5081" w:rsidP="00C045B2">
            <w:pPr>
              <w:pStyle w:val="tv213"/>
              <w:spacing w:before="0" w:beforeAutospacing="0" w:after="0" w:afterAutospacing="0"/>
              <w:ind w:firstLine="454"/>
              <w:jc w:val="both"/>
              <w:rPr>
                <w:sz w:val="22"/>
                <w:szCs w:val="22"/>
              </w:rPr>
            </w:pPr>
            <w:r w:rsidRPr="00C045B2">
              <w:rPr>
                <w:sz w:val="22"/>
                <w:szCs w:val="22"/>
              </w:rPr>
              <w:lastRenderedPageBreak/>
              <w:t>(2</w:t>
            </w:r>
            <w:r w:rsidRPr="00C045B2">
              <w:rPr>
                <w:sz w:val="22"/>
                <w:szCs w:val="22"/>
                <w:vertAlign w:val="superscript"/>
              </w:rPr>
              <w:t>1</w:t>
            </w:r>
            <w:r w:rsidRPr="00C045B2">
              <w:rPr>
                <w:sz w:val="22"/>
                <w:szCs w:val="22"/>
              </w:rPr>
              <w:t xml:space="preserve">) Ražotājs, kas elektroenerģiju ražo koģenerācijas stacijā, kuras uzstādītā elektriskā jauda ir lielāka par četriem megavatiem, un kas līdz 2013.gada 31.decembrim ir izmantojis šā likuma </w:t>
            </w:r>
            <w:hyperlink r:id="rId10" w:anchor="p28" w:tgtFrame="_blank" w:history="1">
              <w:r w:rsidRPr="00C045B2">
                <w:rPr>
                  <w:rStyle w:val="Hyperlink"/>
                  <w:color w:val="auto"/>
                  <w:sz w:val="22"/>
                  <w:szCs w:val="22"/>
                  <w:u w:val="none"/>
                </w:rPr>
                <w:t>28.pantā</w:t>
              </w:r>
            </w:hyperlink>
            <w:r w:rsidRPr="00C045B2">
              <w:rPr>
                <w:sz w:val="22"/>
                <w:szCs w:val="22"/>
              </w:rPr>
              <w:t xml:space="preserve"> noteiktajā kārtībā iegūtās tiesības pārdot saražoto elektroenerģiju obligātā iepirkuma ietvaros, no 2014.gada 1.janvāra saņem garantēto maksu par koģenerācijas stacijā uzstādīto elektrisko jaudu atbilstoši tiem pašiem nosacījumiem par darbības režīmu, termiņiem un jaudas komponentes aprēķinu, kādi uz koģenerācijas staciju attiecās līdz 2013.gada 31.decembrim.</w:t>
            </w:r>
          </w:p>
          <w:p w:rsidR="000C5081" w:rsidRPr="00C045B2" w:rsidRDefault="000C5081" w:rsidP="00C045B2">
            <w:pPr>
              <w:pStyle w:val="tv213"/>
              <w:spacing w:before="0" w:beforeAutospacing="0" w:after="0" w:afterAutospacing="0"/>
              <w:ind w:firstLine="454"/>
              <w:jc w:val="both"/>
              <w:rPr>
                <w:sz w:val="22"/>
                <w:szCs w:val="22"/>
              </w:rPr>
            </w:pPr>
            <w:r w:rsidRPr="00C045B2">
              <w:rPr>
                <w:sz w:val="22"/>
                <w:szCs w:val="22"/>
              </w:rPr>
              <w:t>(2</w:t>
            </w:r>
            <w:r w:rsidRPr="00C045B2">
              <w:rPr>
                <w:sz w:val="22"/>
                <w:szCs w:val="22"/>
                <w:vertAlign w:val="superscript"/>
              </w:rPr>
              <w:t>2</w:t>
            </w:r>
            <w:r w:rsidRPr="00C045B2">
              <w:rPr>
                <w:sz w:val="22"/>
                <w:szCs w:val="22"/>
              </w:rPr>
              <w:t>) Ražotājs, kas līdz 2013.gada 31.decembrim ir ieguvis tiesības elektroenerģiju, kas saražota koģenerācijas stacijā, kuras uzstādītā elektriskā jauda ir lielāka par četriem megavatiem, pārdot obligātā iepirkuma ietvaros, bet nav uzsācis elektroenerģijas pārdošanu publiskajam tirgotājam, ir tiesīgs saņemt garantēto maksu par koģenerācijas stacijā uzstādīto elektrisko jaudu atbilstoši tiem normatīvo aktu nosacījumiem par darbības režīmu, termiņiem un jaudas komponentes aprēķinu, kādi uz koģenerācijas staciju attiektos, ja tā darbu būtu uzsākusi līdz 2013.gada 31.decembrim.</w:t>
            </w:r>
          </w:p>
          <w:p w:rsidR="000C5081" w:rsidRPr="00C045B2" w:rsidRDefault="000C5081" w:rsidP="00C045B2">
            <w:pPr>
              <w:pStyle w:val="tv213"/>
              <w:spacing w:before="0" w:beforeAutospacing="0" w:after="0" w:afterAutospacing="0"/>
              <w:ind w:firstLine="454"/>
              <w:jc w:val="both"/>
              <w:rPr>
                <w:sz w:val="22"/>
                <w:szCs w:val="22"/>
              </w:rPr>
            </w:pPr>
            <w:r w:rsidRPr="00C045B2">
              <w:rPr>
                <w:sz w:val="22"/>
                <w:szCs w:val="22"/>
              </w:rPr>
              <w:t xml:space="preserve">(3) Ja ražotājs vēlas izmantot tiesības saņemt garantēto maksu par koģenerācijas stacijā uzstādīto elektrisko jaudu un tā koģenerācijas stacija atbilst Ministru kabineta noteiktajiem kritērijiem, garantēto maksu par koģenerācijas stacijā </w:t>
            </w:r>
            <w:r w:rsidRPr="00C045B2">
              <w:rPr>
                <w:sz w:val="22"/>
                <w:szCs w:val="22"/>
              </w:rPr>
              <w:lastRenderedPageBreak/>
              <w:t>uzstādīto elektrisko jaudu maksā publiskais tirgotājs šā panta otrajā daļā paredzētajā kārtībā.</w:t>
            </w:r>
          </w:p>
          <w:p w:rsidR="000C5081" w:rsidRPr="00C045B2" w:rsidRDefault="000C5081" w:rsidP="00C045B2">
            <w:pPr>
              <w:pStyle w:val="tv213"/>
              <w:spacing w:before="0" w:beforeAutospacing="0" w:after="0" w:afterAutospacing="0"/>
              <w:ind w:firstLine="454"/>
              <w:jc w:val="both"/>
              <w:rPr>
                <w:sz w:val="22"/>
                <w:szCs w:val="22"/>
                <w:u w:val="single"/>
              </w:rPr>
            </w:pPr>
            <w:r w:rsidRPr="00C045B2">
              <w:rPr>
                <w:sz w:val="22"/>
                <w:szCs w:val="22"/>
              </w:rPr>
              <w:t xml:space="preserve">(4) Publiskais tirgotājs atsevišķi uzskaita šā panta trešajā daļā noteiktajā kārtībā veiktos maksājumus. Izmaksas, ko veido maksājumi par uzstādīto elektrisko jaudu, sedz visi Latvijas elektroenerģijas galalietotāji </w:t>
            </w:r>
            <w:r w:rsidRPr="00C045B2">
              <w:rPr>
                <w:sz w:val="22"/>
                <w:szCs w:val="22"/>
                <w:u w:val="single"/>
              </w:rPr>
              <w:t>proporcionāli savam elektroenerģijas patēriņam</w:t>
            </w:r>
            <w:r w:rsidRPr="00C045B2">
              <w:rPr>
                <w:sz w:val="22"/>
                <w:szCs w:val="22"/>
              </w:rPr>
              <w:t xml:space="preserve">, kompensējot publiskajam tirgotājam iepirkuma izdevumus. </w:t>
            </w:r>
            <w:r w:rsidRPr="00C045B2">
              <w:rPr>
                <w:sz w:val="22"/>
                <w:szCs w:val="22"/>
                <w:u w:val="single"/>
              </w:rPr>
              <w:t xml:space="preserve">Kompensējamo izmaksu aprēķinā ņem vērā likumā par vidēja termiņa budžeta ietvaru noteikto valsts budžeta dotāciju obligātā iepirkuma komponenšu apmēra mazināšanai. Valsts budžeta dotāciju attiecina uz kompensējamām izmaksām, kurām netiek piemērota samazinātā līdzdalība izdevumu kompensēšanai publiskajam tirgotājam šā likuma </w:t>
            </w:r>
            <w:hyperlink r:id="rId11" w:anchor="p30.2" w:tgtFrame="_blank" w:history="1">
              <w:r w:rsidRPr="00C045B2">
                <w:rPr>
                  <w:rStyle w:val="Hyperlink"/>
                  <w:color w:val="auto"/>
                  <w:sz w:val="22"/>
                  <w:szCs w:val="22"/>
                </w:rPr>
                <w:t>30.</w:t>
              </w:r>
              <w:r w:rsidRPr="00C045B2">
                <w:rPr>
                  <w:rStyle w:val="Hyperlink"/>
                  <w:color w:val="auto"/>
                  <w:sz w:val="22"/>
                  <w:szCs w:val="22"/>
                  <w:vertAlign w:val="superscript"/>
                </w:rPr>
                <w:t>2</w:t>
              </w:r>
              <w:r w:rsidRPr="00C045B2">
                <w:rPr>
                  <w:rStyle w:val="Hyperlink"/>
                  <w:color w:val="auto"/>
                  <w:sz w:val="22"/>
                  <w:szCs w:val="22"/>
                </w:rPr>
                <w:t xml:space="preserve"> panta</w:t>
              </w:r>
            </w:hyperlink>
            <w:r w:rsidRPr="00C045B2">
              <w:rPr>
                <w:sz w:val="22"/>
                <w:szCs w:val="22"/>
                <w:u w:val="single"/>
              </w:rPr>
              <w:t xml:space="preserve"> pirmajā daļā noteiktajā kārtībā.</w:t>
            </w:r>
          </w:p>
          <w:p w:rsidR="0069123E" w:rsidRPr="00C045B2" w:rsidRDefault="000C5081" w:rsidP="00C045B2">
            <w:pPr>
              <w:pStyle w:val="tv213"/>
              <w:spacing w:before="0" w:beforeAutospacing="0" w:after="0" w:afterAutospacing="0"/>
              <w:ind w:firstLine="454"/>
              <w:jc w:val="both"/>
              <w:rPr>
                <w:sz w:val="22"/>
                <w:szCs w:val="22"/>
              </w:rPr>
            </w:pPr>
            <w:r w:rsidRPr="00C045B2">
              <w:rPr>
                <w:sz w:val="22"/>
                <w:szCs w:val="22"/>
              </w:rPr>
              <w:t xml:space="preserve">(5) </w:t>
            </w:r>
            <w:r w:rsidRPr="00C045B2">
              <w:rPr>
                <w:rStyle w:val="fontsize2"/>
                <w:sz w:val="22"/>
                <w:szCs w:val="22"/>
              </w:rPr>
              <w:t xml:space="preserve">(Izslēgta no </w:t>
            </w:r>
            <w:hyperlink r:id="rId12" w:tgtFrame="_blank" w:history="1">
              <w:r w:rsidRPr="00C045B2">
                <w:rPr>
                  <w:rStyle w:val="Hyperlink"/>
                  <w:color w:val="auto"/>
                  <w:sz w:val="22"/>
                  <w:szCs w:val="22"/>
                  <w:u w:val="none"/>
                </w:rPr>
                <w:t>01.10.2016.</w:t>
              </w:r>
            </w:hyperlink>
            <w:r w:rsidRPr="00C045B2">
              <w:rPr>
                <w:rStyle w:val="fontsize2"/>
                <w:sz w:val="22"/>
                <w:szCs w:val="22"/>
              </w:rPr>
              <w:t xml:space="preserve"> ar </w:t>
            </w:r>
            <w:hyperlink r:id="rId13" w:tgtFrame="_blank" w:history="1">
              <w:r w:rsidRPr="00C045B2">
                <w:rPr>
                  <w:rStyle w:val="Hyperlink"/>
                  <w:color w:val="auto"/>
                  <w:sz w:val="22"/>
                  <w:szCs w:val="22"/>
                  <w:u w:val="none"/>
                </w:rPr>
                <w:t>19.05.2016</w:t>
              </w:r>
            </w:hyperlink>
            <w:r w:rsidRPr="00C045B2">
              <w:rPr>
                <w:rStyle w:val="fontsize2"/>
                <w:sz w:val="22"/>
                <w:szCs w:val="22"/>
              </w:rPr>
              <w:t>. likumu)</w:t>
            </w:r>
          </w:p>
        </w:tc>
        <w:tc>
          <w:tcPr>
            <w:tcW w:w="3960" w:type="dxa"/>
          </w:tcPr>
          <w:p w:rsidR="000C5081" w:rsidRPr="000C5081" w:rsidRDefault="000C5081" w:rsidP="004B4DC6">
            <w:pPr>
              <w:ind w:firstLine="567"/>
              <w:jc w:val="both"/>
              <w:rPr>
                <w:sz w:val="22"/>
              </w:rPr>
            </w:pPr>
          </w:p>
          <w:p w:rsidR="000C5081" w:rsidRPr="000C5081" w:rsidRDefault="000C5081" w:rsidP="004B4DC6">
            <w:pPr>
              <w:ind w:firstLine="567"/>
              <w:jc w:val="both"/>
              <w:rPr>
                <w:sz w:val="22"/>
              </w:rPr>
            </w:pPr>
          </w:p>
          <w:p w:rsidR="000C5081" w:rsidRPr="000C5081" w:rsidRDefault="000C5081" w:rsidP="004B4DC6">
            <w:pPr>
              <w:ind w:firstLine="567"/>
              <w:jc w:val="both"/>
              <w:rPr>
                <w:sz w:val="22"/>
              </w:rPr>
            </w:pPr>
          </w:p>
          <w:p w:rsidR="000C5081" w:rsidRPr="000C5081" w:rsidRDefault="000C5081" w:rsidP="004B4DC6">
            <w:pPr>
              <w:ind w:firstLine="567"/>
              <w:jc w:val="both"/>
              <w:rPr>
                <w:sz w:val="22"/>
              </w:rPr>
            </w:pPr>
          </w:p>
          <w:p w:rsidR="000C5081" w:rsidRPr="000C5081" w:rsidRDefault="000C5081" w:rsidP="004B4DC6">
            <w:pPr>
              <w:ind w:firstLine="567"/>
              <w:jc w:val="both"/>
              <w:rPr>
                <w:sz w:val="22"/>
              </w:rPr>
            </w:pPr>
          </w:p>
          <w:p w:rsidR="000C5081" w:rsidRPr="000C5081" w:rsidRDefault="000C5081" w:rsidP="004B4DC6">
            <w:pPr>
              <w:ind w:firstLine="567"/>
              <w:jc w:val="both"/>
              <w:rPr>
                <w:sz w:val="22"/>
              </w:rPr>
            </w:pPr>
          </w:p>
          <w:p w:rsidR="000C5081" w:rsidRPr="000C5081" w:rsidRDefault="000C5081" w:rsidP="004B4DC6">
            <w:pPr>
              <w:ind w:firstLine="567"/>
              <w:jc w:val="both"/>
              <w:rPr>
                <w:sz w:val="22"/>
              </w:rPr>
            </w:pPr>
          </w:p>
          <w:p w:rsidR="000C5081" w:rsidRPr="000C5081" w:rsidRDefault="000C5081" w:rsidP="004B4DC6">
            <w:pPr>
              <w:ind w:firstLine="567"/>
              <w:jc w:val="both"/>
              <w:rPr>
                <w:sz w:val="22"/>
              </w:rPr>
            </w:pPr>
          </w:p>
          <w:p w:rsidR="000C5081" w:rsidRPr="000C5081" w:rsidRDefault="000C5081" w:rsidP="004B4DC6">
            <w:pPr>
              <w:ind w:firstLine="567"/>
              <w:jc w:val="both"/>
              <w:rPr>
                <w:sz w:val="22"/>
              </w:rPr>
            </w:pPr>
          </w:p>
          <w:p w:rsidR="000C5081" w:rsidRPr="000C5081" w:rsidRDefault="000C5081" w:rsidP="004B4DC6">
            <w:pPr>
              <w:ind w:firstLine="567"/>
              <w:jc w:val="both"/>
              <w:rPr>
                <w:sz w:val="22"/>
              </w:rPr>
            </w:pPr>
          </w:p>
          <w:p w:rsidR="000C5081" w:rsidRPr="000C5081" w:rsidRDefault="000C5081" w:rsidP="004B4DC6">
            <w:pPr>
              <w:ind w:firstLine="567"/>
              <w:jc w:val="both"/>
              <w:rPr>
                <w:sz w:val="22"/>
              </w:rPr>
            </w:pPr>
          </w:p>
          <w:p w:rsidR="000C5081" w:rsidRPr="000C5081" w:rsidRDefault="000C5081" w:rsidP="004B4DC6">
            <w:pPr>
              <w:ind w:firstLine="567"/>
              <w:jc w:val="both"/>
              <w:rPr>
                <w:sz w:val="22"/>
              </w:rPr>
            </w:pPr>
          </w:p>
          <w:p w:rsidR="000C5081" w:rsidRPr="000C5081" w:rsidRDefault="000C5081" w:rsidP="004B4DC6">
            <w:pPr>
              <w:ind w:firstLine="567"/>
              <w:jc w:val="both"/>
              <w:rPr>
                <w:sz w:val="22"/>
              </w:rPr>
            </w:pPr>
          </w:p>
          <w:p w:rsidR="000C5081" w:rsidRPr="000C5081" w:rsidRDefault="000C5081" w:rsidP="004B4DC6">
            <w:pPr>
              <w:ind w:firstLine="567"/>
              <w:jc w:val="both"/>
              <w:rPr>
                <w:sz w:val="22"/>
              </w:rPr>
            </w:pPr>
          </w:p>
          <w:p w:rsidR="000C5081" w:rsidRPr="000C5081" w:rsidRDefault="000C5081" w:rsidP="004B4DC6">
            <w:pPr>
              <w:ind w:firstLine="567"/>
              <w:jc w:val="both"/>
              <w:rPr>
                <w:sz w:val="22"/>
              </w:rPr>
            </w:pPr>
          </w:p>
          <w:p w:rsidR="000C5081" w:rsidRPr="000C5081" w:rsidRDefault="000C5081" w:rsidP="004B4DC6">
            <w:pPr>
              <w:ind w:firstLine="567"/>
              <w:jc w:val="both"/>
              <w:rPr>
                <w:sz w:val="22"/>
              </w:rPr>
            </w:pPr>
          </w:p>
          <w:p w:rsidR="000C5081" w:rsidRPr="000C5081" w:rsidRDefault="000C5081" w:rsidP="004B4DC6">
            <w:pPr>
              <w:ind w:firstLine="567"/>
              <w:jc w:val="both"/>
              <w:rPr>
                <w:sz w:val="22"/>
              </w:rPr>
            </w:pPr>
          </w:p>
          <w:p w:rsidR="000C5081" w:rsidRPr="000C5081" w:rsidRDefault="000C5081" w:rsidP="004B4DC6">
            <w:pPr>
              <w:ind w:firstLine="567"/>
              <w:jc w:val="both"/>
              <w:rPr>
                <w:sz w:val="22"/>
              </w:rPr>
            </w:pPr>
          </w:p>
          <w:p w:rsidR="000C5081" w:rsidRPr="000C5081" w:rsidRDefault="000C5081" w:rsidP="004B4DC6">
            <w:pPr>
              <w:ind w:firstLine="567"/>
              <w:jc w:val="both"/>
              <w:rPr>
                <w:sz w:val="22"/>
              </w:rPr>
            </w:pPr>
          </w:p>
          <w:p w:rsidR="000C5081" w:rsidRPr="000C5081" w:rsidRDefault="000C5081" w:rsidP="004B4DC6">
            <w:pPr>
              <w:ind w:firstLine="567"/>
              <w:jc w:val="both"/>
              <w:rPr>
                <w:sz w:val="22"/>
              </w:rPr>
            </w:pPr>
          </w:p>
          <w:p w:rsidR="000C5081" w:rsidRPr="000C5081" w:rsidRDefault="000C5081" w:rsidP="004B4DC6">
            <w:pPr>
              <w:ind w:firstLine="567"/>
              <w:jc w:val="both"/>
              <w:rPr>
                <w:sz w:val="22"/>
              </w:rPr>
            </w:pPr>
          </w:p>
          <w:p w:rsidR="000C5081" w:rsidRPr="000C5081" w:rsidRDefault="000C5081" w:rsidP="004B4DC6">
            <w:pPr>
              <w:ind w:firstLine="567"/>
              <w:jc w:val="both"/>
              <w:rPr>
                <w:sz w:val="22"/>
              </w:rPr>
            </w:pPr>
          </w:p>
          <w:p w:rsidR="000C5081" w:rsidRPr="000C5081" w:rsidRDefault="000C5081" w:rsidP="004B4DC6">
            <w:pPr>
              <w:ind w:firstLine="567"/>
              <w:jc w:val="both"/>
              <w:rPr>
                <w:sz w:val="22"/>
              </w:rPr>
            </w:pPr>
          </w:p>
          <w:p w:rsidR="000C5081" w:rsidRPr="000C5081" w:rsidRDefault="000C5081" w:rsidP="004B4DC6">
            <w:pPr>
              <w:ind w:firstLine="567"/>
              <w:jc w:val="both"/>
              <w:rPr>
                <w:sz w:val="22"/>
              </w:rPr>
            </w:pPr>
          </w:p>
          <w:p w:rsidR="000C5081" w:rsidRPr="000C5081" w:rsidRDefault="000C5081" w:rsidP="004B4DC6">
            <w:pPr>
              <w:ind w:firstLine="567"/>
              <w:jc w:val="both"/>
              <w:rPr>
                <w:sz w:val="22"/>
              </w:rPr>
            </w:pPr>
          </w:p>
          <w:p w:rsidR="000C5081" w:rsidRPr="000C5081" w:rsidRDefault="000C5081" w:rsidP="004B4DC6">
            <w:pPr>
              <w:ind w:firstLine="567"/>
              <w:jc w:val="both"/>
              <w:rPr>
                <w:sz w:val="22"/>
              </w:rPr>
            </w:pPr>
          </w:p>
          <w:p w:rsidR="000C5081" w:rsidRPr="000C5081" w:rsidRDefault="000C5081" w:rsidP="004B4DC6">
            <w:pPr>
              <w:ind w:firstLine="567"/>
              <w:jc w:val="both"/>
              <w:rPr>
                <w:sz w:val="22"/>
              </w:rPr>
            </w:pPr>
          </w:p>
          <w:p w:rsidR="000C5081" w:rsidRPr="000C5081" w:rsidRDefault="000C5081" w:rsidP="004B4DC6">
            <w:pPr>
              <w:ind w:firstLine="567"/>
              <w:jc w:val="both"/>
              <w:rPr>
                <w:sz w:val="22"/>
              </w:rPr>
            </w:pPr>
          </w:p>
          <w:p w:rsidR="000C5081" w:rsidRPr="000C5081" w:rsidRDefault="000C5081" w:rsidP="004B4DC6">
            <w:pPr>
              <w:ind w:firstLine="567"/>
              <w:jc w:val="both"/>
              <w:rPr>
                <w:sz w:val="22"/>
              </w:rPr>
            </w:pPr>
          </w:p>
          <w:p w:rsidR="000C5081" w:rsidRPr="000C5081" w:rsidRDefault="000C5081" w:rsidP="004B4DC6">
            <w:pPr>
              <w:ind w:firstLine="567"/>
              <w:jc w:val="both"/>
              <w:rPr>
                <w:sz w:val="22"/>
              </w:rPr>
            </w:pPr>
          </w:p>
          <w:p w:rsidR="000C5081" w:rsidRPr="000C5081" w:rsidRDefault="000C5081" w:rsidP="004B4DC6">
            <w:pPr>
              <w:ind w:firstLine="567"/>
              <w:jc w:val="both"/>
              <w:rPr>
                <w:sz w:val="22"/>
              </w:rPr>
            </w:pPr>
          </w:p>
          <w:p w:rsidR="000C5081" w:rsidRPr="000C5081" w:rsidRDefault="000C5081" w:rsidP="004B4DC6">
            <w:pPr>
              <w:ind w:firstLine="567"/>
              <w:jc w:val="both"/>
              <w:rPr>
                <w:sz w:val="22"/>
              </w:rPr>
            </w:pPr>
          </w:p>
          <w:p w:rsidR="000C5081" w:rsidRPr="000C5081" w:rsidRDefault="000C5081" w:rsidP="004B4DC6">
            <w:pPr>
              <w:ind w:firstLine="567"/>
              <w:jc w:val="both"/>
              <w:rPr>
                <w:sz w:val="22"/>
              </w:rPr>
            </w:pPr>
          </w:p>
          <w:p w:rsidR="000C5081" w:rsidRPr="000C5081" w:rsidRDefault="000C5081" w:rsidP="004B4DC6">
            <w:pPr>
              <w:ind w:firstLine="567"/>
              <w:jc w:val="both"/>
              <w:rPr>
                <w:sz w:val="22"/>
              </w:rPr>
            </w:pPr>
          </w:p>
          <w:p w:rsidR="000C5081" w:rsidRPr="000C5081" w:rsidRDefault="000C5081" w:rsidP="004B4DC6">
            <w:pPr>
              <w:ind w:firstLine="567"/>
              <w:jc w:val="both"/>
              <w:rPr>
                <w:sz w:val="22"/>
              </w:rPr>
            </w:pPr>
          </w:p>
          <w:p w:rsidR="000C5081" w:rsidRPr="000C5081" w:rsidRDefault="000C5081" w:rsidP="004B4DC6">
            <w:pPr>
              <w:ind w:firstLine="567"/>
              <w:jc w:val="both"/>
              <w:rPr>
                <w:sz w:val="22"/>
              </w:rPr>
            </w:pPr>
          </w:p>
          <w:p w:rsidR="000C5081" w:rsidRPr="000C5081" w:rsidRDefault="000C5081" w:rsidP="004B4DC6">
            <w:pPr>
              <w:ind w:firstLine="567"/>
              <w:jc w:val="both"/>
              <w:rPr>
                <w:sz w:val="22"/>
              </w:rPr>
            </w:pPr>
          </w:p>
          <w:p w:rsidR="000C5081" w:rsidRPr="000C5081" w:rsidRDefault="000C5081" w:rsidP="004B4DC6">
            <w:pPr>
              <w:ind w:firstLine="567"/>
              <w:jc w:val="both"/>
              <w:rPr>
                <w:sz w:val="22"/>
              </w:rPr>
            </w:pPr>
          </w:p>
          <w:p w:rsidR="000C5081" w:rsidRPr="000C5081" w:rsidRDefault="000C5081" w:rsidP="004B4DC6">
            <w:pPr>
              <w:ind w:firstLine="567"/>
              <w:jc w:val="both"/>
              <w:rPr>
                <w:sz w:val="22"/>
              </w:rPr>
            </w:pPr>
          </w:p>
          <w:p w:rsidR="000C5081" w:rsidRPr="000C5081" w:rsidRDefault="000C5081" w:rsidP="004B4DC6">
            <w:pPr>
              <w:ind w:firstLine="567"/>
              <w:jc w:val="both"/>
              <w:rPr>
                <w:sz w:val="22"/>
              </w:rPr>
            </w:pPr>
          </w:p>
          <w:p w:rsidR="000C5081" w:rsidRPr="000C5081" w:rsidRDefault="000C5081" w:rsidP="004B4DC6">
            <w:pPr>
              <w:ind w:firstLine="567"/>
              <w:jc w:val="both"/>
              <w:rPr>
                <w:sz w:val="22"/>
              </w:rPr>
            </w:pPr>
          </w:p>
          <w:p w:rsidR="000C5081" w:rsidRPr="000C5081" w:rsidRDefault="000C5081" w:rsidP="004B4DC6">
            <w:pPr>
              <w:ind w:firstLine="567"/>
              <w:jc w:val="both"/>
              <w:rPr>
                <w:sz w:val="22"/>
              </w:rPr>
            </w:pPr>
          </w:p>
          <w:p w:rsidR="000C5081" w:rsidRPr="000C5081" w:rsidRDefault="000C5081" w:rsidP="004B4DC6">
            <w:pPr>
              <w:ind w:firstLine="567"/>
              <w:jc w:val="both"/>
              <w:rPr>
                <w:sz w:val="22"/>
              </w:rPr>
            </w:pPr>
          </w:p>
          <w:p w:rsidR="000C5081" w:rsidRPr="000C5081" w:rsidRDefault="000C5081" w:rsidP="004B4DC6">
            <w:pPr>
              <w:ind w:firstLine="567"/>
              <w:jc w:val="both"/>
              <w:rPr>
                <w:sz w:val="22"/>
              </w:rPr>
            </w:pPr>
          </w:p>
          <w:p w:rsidR="000C5081" w:rsidRPr="000C5081" w:rsidRDefault="000C5081" w:rsidP="004B4DC6">
            <w:pPr>
              <w:ind w:firstLine="567"/>
              <w:jc w:val="both"/>
              <w:rPr>
                <w:sz w:val="22"/>
              </w:rPr>
            </w:pPr>
          </w:p>
          <w:p w:rsidR="000C5081" w:rsidRPr="000C5081" w:rsidRDefault="000C5081" w:rsidP="004B4DC6">
            <w:pPr>
              <w:ind w:firstLine="567"/>
              <w:jc w:val="both"/>
              <w:rPr>
                <w:sz w:val="22"/>
              </w:rPr>
            </w:pPr>
          </w:p>
          <w:p w:rsidR="000C5081" w:rsidRPr="000C5081" w:rsidRDefault="000C5081" w:rsidP="004B4DC6">
            <w:pPr>
              <w:ind w:firstLine="567"/>
              <w:jc w:val="both"/>
              <w:rPr>
                <w:sz w:val="22"/>
              </w:rPr>
            </w:pPr>
          </w:p>
          <w:p w:rsidR="000C5081" w:rsidRPr="000C5081" w:rsidRDefault="000C5081" w:rsidP="004B4DC6">
            <w:pPr>
              <w:ind w:firstLine="567"/>
              <w:jc w:val="both"/>
              <w:rPr>
                <w:sz w:val="22"/>
              </w:rPr>
            </w:pPr>
          </w:p>
          <w:p w:rsidR="000C5081" w:rsidRDefault="000C5081" w:rsidP="004B4DC6">
            <w:pPr>
              <w:ind w:firstLine="567"/>
              <w:jc w:val="both"/>
              <w:rPr>
                <w:sz w:val="22"/>
              </w:rPr>
            </w:pPr>
          </w:p>
          <w:p w:rsidR="000C5081" w:rsidRDefault="000C5081" w:rsidP="004B4DC6">
            <w:pPr>
              <w:ind w:firstLine="567"/>
              <w:jc w:val="both"/>
              <w:rPr>
                <w:sz w:val="22"/>
              </w:rPr>
            </w:pPr>
          </w:p>
          <w:p w:rsidR="000C5081" w:rsidRDefault="000C5081" w:rsidP="004B4DC6">
            <w:pPr>
              <w:ind w:firstLine="567"/>
              <w:jc w:val="both"/>
              <w:rPr>
                <w:sz w:val="22"/>
              </w:rPr>
            </w:pPr>
          </w:p>
          <w:p w:rsidR="000C5081" w:rsidRDefault="000C5081" w:rsidP="004B4DC6">
            <w:pPr>
              <w:ind w:firstLine="567"/>
              <w:jc w:val="both"/>
              <w:rPr>
                <w:sz w:val="22"/>
              </w:rPr>
            </w:pPr>
          </w:p>
          <w:p w:rsidR="000C5081" w:rsidRDefault="000C5081" w:rsidP="004B4DC6">
            <w:pPr>
              <w:ind w:firstLine="567"/>
              <w:jc w:val="both"/>
              <w:rPr>
                <w:sz w:val="22"/>
              </w:rPr>
            </w:pPr>
          </w:p>
          <w:p w:rsidR="000C5081" w:rsidRDefault="000C5081" w:rsidP="004B4DC6">
            <w:pPr>
              <w:ind w:firstLine="567"/>
              <w:jc w:val="both"/>
              <w:rPr>
                <w:sz w:val="22"/>
              </w:rPr>
            </w:pPr>
          </w:p>
          <w:p w:rsidR="000C5081" w:rsidRDefault="000C5081" w:rsidP="004B4DC6">
            <w:pPr>
              <w:ind w:firstLine="567"/>
              <w:jc w:val="both"/>
              <w:rPr>
                <w:sz w:val="22"/>
              </w:rPr>
            </w:pPr>
          </w:p>
          <w:p w:rsidR="000C5081" w:rsidRDefault="000C5081" w:rsidP="004B4DC6">
            <w:pPr>
              <w:ind w:firstLine="567"/>
              <w:jc w:val="both"/>
              <w:rPr>
                <w:sz w:val="22"/>
              </w:rPr>
            </w:pPr>
          </w:p>
          <w:p w:rsidR="0069123E" w:rsidRPr="000C5081" w:rsidRDefault="0069123E" w:rsidP="004B4DC6">
            <w:pPr>
              <w:ind w:firstLine="567"/>
              <w:jc w:val="both"/>
              <w:rPr>
                <w:sz w:val="22"/>
              </w:rPr>
            </w:pPr>
            <w:r w:rsidRPr="000C5081">
              <w:rPr>
                <w:sz w:val="22"/>
              </w:rPr>
              <w:lastRenderedPageBreak/>
              <w:t>1. Izteikt 28.</w:t>
            </w:r>
            <w:r w:rsidRPr="000C5081">
              <w:rPr>
                <w:sz w:val="22"/>
                <w:vertAlign w:val="superscript"/>
              </w:rPr>
              <w:t>1</w:t>
            </w:r>
            <w:r w:rsidRPr="000C5081">
              <w:rPr>
                <w:sz w:val="22"/>
              </w:rPr>
              <w:t> panta ceturto daļu šādā redakcijā:</w:t>
            </w:r>
          </w:p>
          <w:p w:rsidR="000C5081" w:rsidRPr="000C5081" w:rsidRDefault="0069123E" w:rsidP="00163887">
            <w:pPr>
              <w:ind w:firstLine="567"/>
              <w:jc w:val="both"/>
              <w:rPr>
                <w:spacing w:val="-2"/>
                <w:sz w:val="22"/>
                <w:shd w:val="clear" w:color="auto" w:fill="FEFEFE"/>
              </w:rPr>
            </w:pPr>
            <w:r w:rsidRPr="000C5081">
              <w:rPr>
                <w:sz w:val="22"/>
              </w:rPr>
              <w:t xml:space="preserve">"(4) </w:t>
            </w:r>
            <w:r w:rsidRPr="000C5081">
              <w:rPr>
                <w:rFonts w:eastAsia="Times New Roman"/>
                <w:sz w:val="22"/>
              </w:rPr>
              <w:t xml:space="preserve">Publiskais tirgotājs atsevišķi uzskaita šā panta trešajā daļā noteiktajā kārtībā veiktos maksājumus. Izmaksas, ko veido maksājumi par uzstādīto elektrisko jaudu, sedz visi Latvijas elektroenerģijas galalietotāji, </w:t>
            </w:r>
            <w:r w:rsidRPr="000C5081">
              <w:rPr>
                <w:rFonts w:eastAsia="Times New Roman"/>
                <w:sz w:val="22"/>
                <w:u w:val="single"/>
              </w:rPr>
              <w:t xml:space="preserve">un tās tiek sadalītas pa sprieguma pakāpēm </w:t>
            </w:r>
            <w:r w:rsidRPr="000C5081">
              <w:rPr>
                <w:rStyle w:val="Strong"/>
                <w:rFonts w:eastAsia="Times New Roman"/>
                <w:b w:val="0"/>
                <w:sz w:val="22"/>
                <w:u w:val="single"/>
              </w:rPr>
              <w:t>un lietotāju grupām</w:t>
            </w:r>
            <w:r w:rsidRPr="000C5081">
              <w:rPr>
                <w:rStyle w:val="Strong"/>
                <w:rFonts w:eastAsia="Times New Roman"/>
                <w:sz w:val="22"/>
              </w:rPr>
              <w:t xml:space="preserve"> </w:t>
            </w:r>
            <w:r w:rsidRPr="000C5081">
              <w:rPr>
                <w:rFonts w:eastAsia="Times New Roman"/>
                <w:sz w:val="22"/>
                <w:u w:val="single"/>
              </w:rPr>
              <w:t>proporcionāli ieņēmumu fiksētajai daļai no sistēmas pakalpojumiem</w:t>
            </w:r>
            <w:r w:rsidRPr="000C5081">
              <w:rPr>
                <w:rFonts w:eastAsia="Times New Roman"/>
                <w:sz w:val="22"/>
              </w:rPr>
              <w:t xml:space="preserve">, kompensējot publiskajam tirgotājam iepirkuma izdevumus. </w:t>
            </w:r>
            <w:r w:rsidRPr="000D534D">
              <w:rPr>
                <w:sz w:val="22"/>
                <w:u w:val="single"/>
              </w:rPr>
              <w:t xml:space="preserve">Galalietotāji, kas ir pieslēgti sadales sistēmām, kurām ir mazāk par simt tūkstošiem lietotāju, sedz publiskā tirgotāja izmaksas par uzstādīto elektrisko jaudu, piemērojot tās sadales sistēmas operatora attiecīgai sprieguma pakāpei un lietotāju grupai noteiktos maksājumus, kurai ir pieslēgti vairāk par simt tūkstošiem lietotāju. </w:t>
            </w:r>
            <w:r w:rsidRPr="000D534D">
              <w:rPr>
                <w:rFonts w:eastAsia="Times New Roman"/>
                <w:sz w:val="22"/>
                <w:u w:val="single"/>
              </w:rPr>
              <w:t xml:space="preserve"> Izmaksu attiecināšanas aprēķina metodiku nosaka regulators</w:t>
            </w:r>
            <w:r w:rsidRPr="000C5081">
              <w:rPr>
                <w:rFonts w:eastAsia="Times New Roman"/>
                <w:sz w:val="22"/>
              </w:rPr>
              <w:t xml:space="preserve">. </w:t>
            </w:r>
            <w:r w:rsidRPr="000D534D">
              <w:rPr>
                <w:rFonts w:eastAsia="Times New Roman"/>
                <w:sz w:val="22"/>
                <w:u w:val="single"/>
              </w:rPr>
              <w:t>Kompensējamo izmaksu un attiecīgo publiskā tirgotāja ieņēmumu starpību pārskata gadā publiskais tirgotājs atzīst aktīvos vai saistībās.</w:t>
            </w:r>
            <w:r w:rsidRPr="000D534D">
              <w:rPr>
                <w:sz w:val="22"/>
                <w:u w:val="single"/>
              </w:rPr>
              <w:t>"</w:t>
            </w:r>
          </w:p>
        </w:tc>
        <w:tc>
          <w:tcPr>
            <w:tcW w:w="567" w:type="dxa"/>
          </w:tcPr>
          <w:p w:rsidR="0069123E" w:rsidRDefault="0069123E"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Pr="00035F85" w:rsidRDefault="00BF5690" w:rsidP="001A7D73">
            <w:pPr>
              <w:jc w:val="center"/>
              <w:rPr>
                <w:b/>
                <w:sz w:val="22"/>
              </w:rPr>
            </w:pPr>
            <w:r>
              <w:rPr>
                <w:b/>
                <w:sz w:val="22"/>
              </w:rPr>
              <w:lastRenderedPageBreak/>
              <w:t>1</w:t>
            </w:r>
          </w:p>
        </w:tc>
        <w:tc>
          <w:tcPr>
            <w:tcW w:w="3960" w:type="dxa"/>
          </w:tcPr>
          <w:p w:rsidR="0069123E" w:rsidRPr="00C045B2" w:rsidRDefault="0069123E" w:rsidP="00035F85">
            <w:pPr>
              <w:ind w:firstLine="567"/>
              <w:jc w:val="both"/>
              <w:rPr>
                <w:i/>
                <w:sz w:val="22"/>
              </w:rPr>
            </w:pPr>
          </w:p>
          <w:p w:rsidR="00C045B2" w:rsidRPr="00C045B2" w:rsidRDefault="00C045B2" w:rsidP="00035F85">
            <w:pPr>
              <w:ind w:firstLine="567"/>
              <w:jc w:val="both"/>
              <w:rPr>
                <w:i/>
                <w:sz w:val="22"/>
              </w:rPr>
            </w:pPr>
          </w:p>
          <w:p w:rsidR="00C045B2" w:rsidRPr="00C045B2" w:rsidRDefault="00C045B2" w:rsidP="00035F85">
            <w:pPr>
              <w:ind w:firstLine="567"/>
              <w:jc w:val="both"/>
              <w:rPr>
                <w:i/>
                <w:sz w:val="22"/>
              </w:rPr>
            </w:pPr>
          </w:p>
          <w:p w:rsidR="00C045B2" w:rsidRPr="00C045B2" w:rsidRDefault="00C045B2" w:rsidP="00035F85">
            <w:pPr>
              <w:ind w:firstLine="567"/>
              <w:jc w:val="both"/>
              <w:rPr>
                <w:i/>
                <w:sz w:val="22"/>
              </w:rPr>
            </w:pPr>
          </w:p>
          <w:p w:rsidR="00C045B2" w:rsidRPr="00C045B2" w:rsidRDefault="00C045B2" w:rsidP="00035F85">
            <w:pPr>
              <w:ind w:firstLine="567"/>
              <w:jc w:val="both"/>
              <w:rPr>
                <w:i/>
                <w:sz w:val="22"/>
              </w:rPr>
            </w:pPr>
          </w:p>
          <w:p w:rsidR="00C045B2" w:rsidRPr="00C045B2" w:rsidRDefault="00C045B2" w:rsidP="00035F85">
            <w:pPr>
              <w:ind w:firstLine="567"/>
              <w:jc w:val="both"/>
              <w:rPr>
                <w:i/>
                <w:sz w:val="22"/>
              </w:rPr>
            </w:pPr>
          </w:p>
          <w:p w:rsidR="00C045B2" w:rsidRPr="00C045B2" w:rsidRDefault="00C045B2" w:rsidP="00035F85">
            <w:pPr>
              <w:ind w:firstLine="567"/>
              <w:jc w:val="both"/>
              <w:rPr>
                <w:i/>
                <w:sz w:val="22"/>
              </w:rPr>
            </w:pPr>
          </w:p>
          <w:p w:rsidR="00C045B2" w:rsidRPr="00C045B2" w:rsidRDefault="00C045B2" w:rsidP="00035F85">
            <w:pPr>
              <w:ind w:firstLine="567"/>
              <w:jc w:val="both"/>
              <w:rPr>
                <w:i/>
                <w:sz w:val="22"/>
              </w:rPr>
            </w:pPr>
          </w:p>
          <w:p w:rsidR="00C045B2" w:rsidRPr="00C045B2" w:rsidRDefault="00C045B2" w:rsidP="00035F85">
            <w:pPr>
              <w:ind w:firstLine="567"/>
              <w:jc w:val="both"/>
              <w:rPr>
                <w:i/>
                <w:sz w:val="22"/>
              </w:rPr>
            </w:pPr>
          </w:p>
          <w:p w:rsidR="00C045B2" w:rsidRPr="00C045B2" w:rsidRDefault="00C045B2" w:rsidP="00035F85">
            <w:pPr>
              <w:ind w:firstLine="567"/>
              <w:jc w:val="both"/>
              <w:rPr>
                <w:i/>
                <w:sz w:val="22"/>
              </w:rPr>
            </w:pPr>
          </w:p>
          <w:p w:rsidR="00C045B2" w:rsidRPr="00C045B2" w:rsidRDefault="00C045B2" w:rsidP="00035F85">
            <w:pPr>
              <w:ind w:firstLine="567"/>
              <w:jc w:val="both"/>
              <w:rPr>
                <w:i/>
                <w:sz w:val="22"/>
              </w:rPr>
            </w:pPr>
          </w:p>
          <w:p w:rsidR="00C045B2" w:rsidRPr="00C045B2" w:rsidRDefault="00C045B2" w:rsidP="00035F85">
            <w:pPr>
              <w:ind w:firstLine="567"/>
              <w:jc w:val="both"/>
              <w:rPr>
                <w:i/>
                <w:sz w:val="22"/>
              </w:rPr>
            </w:pPr>
          </w:p>
          <w:p w:rsidR="00C045B2" w:rsidRPr="00C045B2" w:rsidRDefault="00C045B2" w:rsidP="00035F85">
            <w:pPr>
              <w:ind w:firstLine="567"/>
              <w:jc w:val="both"/>
              <w:rPr>
                <w:i/>
                <w:sz w:val="22"/>
              </w:rPr>
            </w:pPr>
          </w:p>
          <w:p w:rsidR="00C045B2" w:rsidRPr="00C045B2" w:rsidRDefault="00C045B2" w:rsidP="00035F85">
            <w:pPr>
              <w:ind w:firstLine="567"/>
              <w:jc w:val="both"/>
              <w:rPr>
                <w:i/>
                <w:sz w:val="22"/>
              </w:rPr>
            </w:pPr>
          </w:p>
          <w:p w:rsidR="00C045B2" w:rsidRPr="00C045B2" w:rsidRDefault="00C045B2" w:rsidP="00035F85">
            <w:pPr>
              <w:ind w:firstLine="567"/>
              <w:jc w:val="both"/>
              <w:rPr>
                <w:i/>
                <w:sz w:val="22"/>
              </w:rPr>
            </w:pPr>
          </w:p>
          <w:p w:rsidR="00C045B2" w:rsidRPr="00C045B2" w:rsidRDefault="00C045B2" w:rsidP="00035F85">
            <w:pPr>
              <w:ind w:firstLine="567"/>
              <w:jc w:val="both"/>
              <w:rPr>
                <w:i/>
                <w:sz w:val="22"/>
              </w:rPr>
            </w:pPr>
          </w:p>
          <w:p w:rsidR="00C045B2" w:rsidRPr="00C045B2" w:rsidRDefault="00C045B2" w:rsidP="00035F85">
            <w:pPr>
              <w:ind w:firstLine="567"/>
              <w:jc w:val="both"/>
              <w:rPr>
                <w:i/>
                <w:sz w:val="22"/>
              </w:rPr>
            </w:pPr>
          </w:p>
          <w:p w:rsidR="00C045B2" w:rsidRPr="00C045B2" w:rsidRDefault="00C045B2" w:rsidP="00035F85">
            <w:pPr>
              <w:ind w:firstLine="567"/>
              <w:jc w:val="both"/>
              <w:rPr>
                <w:i/>
                <w:sz w:val="22"/>
              </w:rPr>
            </w:pPr>
          </w:p>
          <w:p w:rsidR="00C045B2" w:rsidRPr="00C045B2" w:rsidRDefault="00C045B2" w:rsidP="00035F85">
            <w:pPr>
              <w:ind w:firstLine="567"/>
              <w:jc w:val="both"/>
              <w:rPr>
                <w:i/>
                <w:sz w:val="22"/>
              </w:rPr>
            </w:pPr>
          </w:p>
          <w:p w:rsidR="00C045B2" w:rsidRPr="00C045B2" w:rsidRDefault="00C045B2" w:rsidP="00035F85">
            <w:pPr>
              <w:ind w:firstLine="567"/>
              <w:jc w:val="both"/>
              <w:rPr>
                <w:i/>
                <w:sz w:val="22"/>
              </w:rPr>
            </w:pPr>
          </w:p>
          <w:p w:rsidR="00C045B2" w:rsidRPr="00C045B2" w:rsidRDefault="00C045B2" w:rsidP="00035F85">
            <w:pPr>
              <w:ind w:firstLine="567"/>
              <w:jc w:val="both"/>
              <w:rPr>
                <w:i/>
                <w:sz w:val="22"/>
              </w:rPr>
            </w:pPr>
          </w:p>
          <w:p w:rsidR="00C045B2" w:rsidRPr="00C045B2" w:rsidRDefault="00C045B2" w:rsidP="00035F85">
            <w:pPr>
              <w:ind w:firstLine="567"/>
              <w:jc w:val="both"/>
              <w:rPr>
                <w:i/>
                <w:sz w:val="22"/>
              </w:rPr>
            </w:pPr>
          </w:p>
          <w:p w:rsidR="00C045B2" w:rsidRPr="00C045B2" w:rsidRDefault="00C045B2" w:rsidP="00035F85">
            <w:pPr>
              <w:ind w:firstLine="567"/>
              <w:jc w:val="both"/>
              <w:rPr>
                <w:i/>
                <w:sz w:val="22"/>
              </w:rPr>
            </w:pPr>
          </w:p>
          <w:p w:rsidR="00C045B2" w:rsidRPr="00C045B2" w:rsidRDefault="00C045B2" w:rsidP="00035F85">
            <w:pPr>
              <w:ind w:firstLine="567"/>
              <w:jc w:val="both"/>
              <w:rPr>
                <w:i/>
                <w:sz w:val="22"/>
              </w:rPr>
            </w:pPr>
          </w:p>
          <w:p w:rsidR="00C045B2" w:rsidRPr="00C045B2" w:rsidRDefault="00C045B2" w:rsidP="00035F85">
            <w:pPr>
              <w:ind w:firstLine="567"/>
              <w:jc w:val="both"/>
              <w:rPr>
                <w:i/>
                <w:sz w:val="22"/>
              </w:rPr>
            </w:pPr>
          </w:p>
          <w:p w:rsidR="00C045B2" w:rsidRPr="00C045B2" w:rsidRDefault="00C045B2" w:rsidP="00035F85">
            <w:pPr>
              <w:ind w:firstLine="567"/>
              <w:jc w:val="both"/>
              <w:rPr>
                <w:i/>
                <w:sz w:val="22"/>
              </w:rPr>
            </w:pPr>
          </w:p>
          <w:p w:rsidR="00C045B2" w:rsidRPr="00C045B2" w:rsidRDefault="00C045B2" w:rsidP="00035F85">
            <w:pPr>
              <w:ind w:firstLine="567"/>
              <w:jc w:val="both"/>
              <w:rPr>
                <w:i/>
                <w:sz w:val="22"/>
              </w:rPr>
            </w:pPr>
          </w:p>
          <w:p w:rsidR="00C045B2" w:rsidRPr="00C045B2" w:rsidRDefault="00C045B2" w:rsidP="00035F85">
            <w:pPr>
              <w:ind w:firstLine="567"/>
              <w:jc w:val="both"/>
              <w:rPr>
                <w:i/>
                <w:sz w:val="22"/>
              </w:rPr>
            </w:pPr>
          </w:p>
          <w:p w:rsidR="00C045B2" w:rsidRPr="00C045B2" w:rsidRDefault="00C045B2" w:rsidP="00035F85">
            <w:pPr>
              <w:ind w:firstLine="567"/>
              <w:jc w:val="both"/>
              <w:rPr>
                <w:i/>
                <w:sz w:val="22"/>
              </w:rPr>
            </w:pPr>
          </w:p>
          <w:p w:rsidR="00C045B2" w:rsidRPr="00C045B2" w:rsidRDefault="00C045B2" w:rsidP="00035F85">
            <w:pPr>
              <w:ind w:firstLine="567"/>
              <w:jc w:val="both"/>
              <w:rPr>
                <w:i/>
                <w:sz w:val="22"/>
              </w:rPr>
            </w:pPr>
          </w:p>
          <w:p w:rsidR="00C045B2" w:rsidRPr="00C045B2" w:rsidRDefault="00C045B2" w:rsidP="00035F85">
            <w:pPr>
              <w:ind w:firstLine="567"/>
              <w:jc w:val="both"/>
              <w:rPr>
                <w:i/>
                <w:sz w:val="22"/>
              </w:rPr>
            </w:pPr>
          </w:p>
          <w:p w:rsidR="00C045B2" w:rsidRPr="00C045B2" w:rsidRDefault="00C045B2" w:rsidP="00035F85">
            <w:pPr>
              <w:ind w:firstLine="567"/>
              <w:jc w:val="both"/>
              <w:rPr>
                <w:i/>
                <w:sz w:val="22"/>
              </w:rPr>
            </w:pPr>
          </w:p>
          <w:p w:rsidR="00C045B2" w:rsidRPr="00C045B2" w:rsidRDefault="00C045B2" w:rsidP="00035F85">
            <w:pPr>
              <w:ind w:firstLine="567"/>
              <w:jc w:val="both"/>
              <w:rPr>
                <w:i/>
                <w:sz w:val="22"/>
              </w:rPr>
            </w:pPr>
          </w:p>
          <w:p w:rsidR="00C045B2" w:rsidRPr="00C045B2" w:rsidRDefault="00C045B2" w:rsidP="00035F85">
            <w:pPr>
              <w:ind w:firstLine="567"/>
              <w:jc w:val="both"/>
              <w:rPr>
                <w:i/>
                <w:sz w:val="22"/>
              </w:rPr>
            </w:pPr>
          </w:p>
          <w:p w:rsidR="00C045B2" w:rsidRPr="00C045B2" w:rsidRDefault="00C045B2" w:rsidP="00035F85">
            <w:pPr>
              <w:ind w:firstLine="567"/>
              <w:jc w:val="both"/>
              <w:rPr>
                <w:i/>
                <w:sz w:val="22"/>
              </w:rPr>
            </w:pPr>
          </w:p>
          <w:p w:rsidR="00C045B2" w:rsidRPr="00C045B2" w:rsidRDefault="00C045B2" w:rsidP="00035F85">
            <w:pPr>
              <w:ind w:firstLine="567"/>
              <w:jc w:val="both"/>
              <w:rPr>
                <w:i/>
                <w:sz w:val="22"/>
              </w:rPr>
            </w:pPr>
          </w:p>
          <w:p w:rsidR="00C045B2" w:rsidRPr="00C045B2" w:rsidRDefault="00C045B2" w:rsidP="00035F85">
            <w:pPr>
              <w:ind w:firstLine="567"/>
              <w:jc w:val="both"/>
              <w:rPr>
                <w:i/>
                <w:sz w:val="22"/>
              </w:rPr>
            </w:pPr>
          </w:p>
          <w:p w:rsidR="00C045B2" w:rsidRPr="00C045B2" w:rsidRDefault="00C045B2" w:rsidP="00035F85">
            <w:pPr>
              <w:ind w:firstLine="567"/>
              <w:jc w:val="both"/>
              <w:rPr>
                <w:i/>
                <w:sz w:val="22"/>
              </w:rPr>
            </w:pPr>
          </w:p>
          <w:p w:rsidR="00C045B2" w:rsidRPr="00C045B2" w:rsidRDefault="00C045B2" w:rsidP="00035F85">
            <w:pPr>
              <w:ind w:firstLine="567"/>
              <w:jc w:val="both"/>
              <w:rPr>
                <w:i/>
                <w:sz w:val="22"/>
              </w:rPr>
            </w:pPr>
          </w:p>
          <w:p w:rsidR="00C045B2" w:rsidRPr="00C045B2" w:rsidRDefault="00C045B2" w:rsidP="00035F85">
            <w:pPr>
              <w:ind w:firstLine="567"/>
              <w:jc w:val="both"/>
              <w:rPr>
                <w:i/>
                <w:sz w:val="22"/>
              </w:rPr>
            </w:pPr>
          </w:p>
          <w:p w:rsidR="00C045B2" w:rsidRPr="00C045B2" w:rsidRDefault="00C045B2" w:rsidP="00035F85">
            <w:pPr>
              <w:ind w:firstLine="567"/>
              <w:jc w:val="both"/>
              <w:rPr>
                <w:i/>
                <w:sz w:val="22"/>
              </w:rPr>
            </w:pPr>
          </w:p>
          <w:p w:rsidR="00C045B2" w:rsidRPr="00C045B2" w:rsidRDefault="00C045B2" w:rsidP="00035F85">
            <w:pPr>
              <w:ind w:firstLine="567"/>
              <w:jc w:val="both"/>
              <w:rPr>
                <w:i/>
                <w:sz w:val="22"/>
              </w:rPr>
            </w:pPr>
          </w:p>
          <w:p w:rsidR="00C045B2" w:rsidRPr="00C045B2" w:rsidRDefault="00C045B2" w:rsidP="00035F85">
            <w:pPr>
              <w:ind w:firstLine="567"/>
              <w:jc w:val="both"/>
              <w:rPr>
                <w:i/>
                <w:sz w:val="22"/>
              </w:rPr>
            </w:pPr>
          </w:p>
          <w:p w:rsidR="00C045B2" w:rsidRPr="00C045B2" w:rsidRDefault="00C045B2" w:rsidP="00035F85">
            <w:pPr>
              <w:ind w:firstLine="567"/>
              <w:jc w:val="both"/>
              <w:rPr>
                <w:i/>
                <w:sz w:val="22"/>
              </w:rPr>
            </w:pPr>
          </w:p>
          <w:p w:rsidR="00C045B2" w:rsidRPr="00C045B2" w:rsidRDefault="00C045B2" w:rsidP="00035F85">
            <w:pPr>
              <w:ind w:firstLine="567"/>
              <w:jc w:val="both"/>
              <w:rPr>
                <w:i/>
                <w:sz w:val="22"/>
              </w:rPr>
            </w:pPr>
          </w:p>
          <w:p w:rsidR="00C045B2" w:rsidRPr="00C045B2" w:rsidRDefault="00C045B2" w:rsidP="00035F85">
            <w:pPr>
              <w:ind w:firstLine="567"/>
              <w:jc w:val="both"/>
              <w:rPr>
                <w:i/>
                <w:sz w:val="22"/>
              </w:rPr>
            </w:pPr>
          </w:p>
          <w:p w:rsidR="00C045B2" w:rsidRPr="00C045B2" w:rsidRDefault="00C045B2" w:rsidP="00035F85">
            <w:pPr>
              <w:ind w:firstLine="567"/>
              <w:jc w:val="both"/>
              <w:rPr>
                <w:i/>
                <w:sz w:val="22"/>
              </w:rPr>
            </w:pPr>
          </w:p>
          <w:p w:rsidR="00C045B2" w:rsidRPr="00C045B2" w:rsidRDefault="00C045B2" w:rsidP="00035F85">
            <w:pPr>
              <w:ind w:firstLine="567"/>
              <w:jc w:val="both"/>
              <w:rPr>
                <w:i/>
                <w:sz w:val="22"/>
              </w:rPr>
            </w:pPr>
          </w:p>
          <w:p w:rsidR="00C045B2" w:rsidRPr="00C045B2" w:rsidRDefault="00C045B2" w:rsidP="00035F85">
            <w:pPr>
              <w:ind w:firstLine="567"/>
              <w:jc w:val="both"/>
              <w:rPr>
                <w:i/>
                <w:sz w:val="22"/>
              </w:rPr>
            </w:pPr>
          </w:p>
          <w:p w:rsidR="00C045B2" w:rsidRPr="00C045B2" w:rsidRDefault="00C045B2" w:rsidP="00035F85">
            <w:pPr>
              <w:ind w:firstLine="567"/>
              <w:jc w:val="both"/>
              <w:rPr>
                <w:i/>
                <w:sz w:val="22"/>
              </w:rPr>
            </w:pPr>
          </w:p>
          <w:p w:rsidR="00C045B2" w:rsidRPr="00C045B2" w:rsidRDefault="00C045B2" w:rsidP="00035F85">
            <w:pPr>
              <w:ind w:firstLine="567"/>
              <w:jc w:val="both"/>
              <w:rPr>
                <w:i/>
                <w:sz w:val="22"/>
              </w:rPr>
            </w:pPr>
          </w:p>
          <w:p w:rsidR="00C045B2" w:rsidRPr="00C045B2" w:rsidRDefault="00C045B2" w:rsidP="00035F85">
            <w:pPr>
              <w:ind w:firstLine="567"/>
              <w:jc w:val="both"/>
              <w:rPr>
                <w:i/>
                <w:sz w:val="22"/>
              </w:rPr>
            </w:pPr>
          </w:p>
          <w:p w:rsidR="00C045B2" w:rsidRPr="00C045B2" w:rsidRDefault="00C045B2" w:rsidP="00035F85">
            <w:pPr>
              <w:ind w:firstLine="567"/>
              <w:jc w:val="both"/>
              <w:rPr>
                <w:i/>
                <w:sz w:val="22"/>
              </w:rPr>
            </w:pPr>
          </w:p>
          <w:p w:rsidR="00C045B2" w:rsidRPr="00C045B2" w:rsidRDefault="00C045B2" w:rsidP="00035F85">
            <w:pPr>
              <w:ind w:firstLine="567"/>
              <w:jc w:val="both"/>
              <w:rPr>
                <w:i/>
                <w:sz w:val="22"/>
              </w:rPr>
            </w:pPr>
          </w:p>
          <w:p w:rsidR="00C045B2" w:rsidRPr="00C045B2" w:rsidRDefault="00C045B2" w:rsidP="00035F85">
            <w:pPr>
              <w:ind w:firstLine="567"/>
              <w:jc w:val="both"/>
              <w:rPr>
                <w:i/>
                <w:sz w:val="22"/>
              </w:rPr>
            </w:pPr>
          </w:p>
          <w:p w:rsidR="00C045B2" w:rsidRPr="00C045B2" w:rsidRDefault="00C045B2" w:rsidP="00035F85">
            <w:pPr>
              <w:ind w:firstLine="567"/>
              <w:jc w:val="both"/>
              <w:rPr>
                <w:i/>
                <w:sz w:val="22"/>
              </w:rPr>
            </w:pPr>
          </w:p>
          <w:p w:rsidR="00C045B2" w:rsidRPr="00911F82" w:rsidRDefault="00C045B2" w:rsidP="00C045B2">
            <w:pPr>
              <w:ind w:firstLine="567"/>
              <w:jc w:val="both"/>
              <w:rPr>
                <w:b/>
                <w:sz w:val="22"/>
                <w:u w:val="single"/>
              </w:rPr>
            </w:pPr>
            <w:r w:rsidRPr="00911F82">
              <w:rPr>
                <w:b/>
                <w:sz w:val="22"/>
                <w:u w:val="single"/>
              </w:rPr>
              <w:lastRenderedPageBreak/>
              <w:t xml:space="preserve">Juridiskais birojs </w:t>
            </w:r>
          </w:p>
          <w:p w:rsidR="00C045B2" w:rsidRPr="00911F82" w:rsidRDefault="00C045B2" w:rsidP="00C045B2">
            <w:pPr>
              <w:ind w:firstLine="567"/>
              <w:jc w:val="both"/>
              <w:rPr>
                <w:i/>
                <w:sz w:val="22"/>
              </w:rPr>
            </w:pPr>
            <w:r w:rsidRPr="00911F82">
              <w:rPr>
                <w:i/>
                <w:sz w:val="22"/>
              </w:rPr>
              <w:t>Likumprojekta 1. pantā (likuma 28.</w:t>
            </w:r>
            <w:r w:rsidRPr="00911F82">
              <w:rPr>
                <w:i/>
                <w:sz w:val="22"/>
                <w:vertAlign w:val="superscript"/>
              </w:rPr>
              <w:t>1</w:t>
            </w:r>
            <w:r w:rsidRPr="00911F82">
              <w:rPr>
                <w:i/>
                <w:sz w:val="22"/>
              </w:rPr>
              <w:t xml:space="preserve"> ceturtās daļas jaunajā redakcijā) lietoti jēdzieni </w:t>
            </w:r>
            <w:r w:rsidRPr="00911F82">
              <w:rPr>
                <w:i/>
                <w:sz w:val="22"/>
                <w:u w:val="single"/>
              </w:rPr>
              <w:t>„sprieguma pakāpes”</w:t>
            </w:r>
            <w:r w:rsidRPr="00911F82">
              <w:rPr>
                <w:i/>
                <w:sz w:val="22"/>
              </w:rPr>
              <w:t xml:space="preserve"> un </w:t>
            </w:r>
            <w:r w:rsidRPr="00911F82">
              <w:rPr>
                <w:i/>
                <w:sz w:val="22"/>
                <w:u w:val="single"/>
              </w:rPr>
              <w:t>„lietotāju grupas</w:t>
            </w:r>
            <w:r w:rsidRPr="00911F82">
              <w:rPr>
                <w:i/>
                <w:sz w:val="22"/>
              </w:rPr>
              <w:t>”. Ne Elektroenerģijas tirgus likumā ne arī citos normatīvajos aktos enerģētikas jomā nav skaidrots šo terminu saturs. Tādējādi no likumprojekta panta nav saprotams pēc kādiem kritērijiem publiskais tirgotājs sadalīs izmaksas par uzstādīto elektrisko jaudu, kā arī kādās grupās un pēc kādiem principiem tiks iedalīti elektroenerģijas galalietotāji.</w:t>
            </w:r>
          </w:p>
          <w:p w:rsidR="00C045B2" w:rsidRPr="00911F82" w:rsidRDefault="00C045B2" w:rsidP="00C045B2">
            <w:pPr>
              <w:ind w:firstLine="567"/>
              <w:jc w:val="both"/>
              <w:rPr>
                <w:i/>
                <w:sz w:val="22"/>
              </w:rPr>
            </w:pPr>
            <w:r w:rsidRPr="00911F82">
              <w:rPr>
                <w:i/>
                <w:sz w:val="22"/>
              </w:rPr>
              <w:t>Attiecīgajā pantā noteikts, ka izmaksu attiecināšanas aprēķina metodiku nosaka regulators. Juridiskā biroja ieskatā nepieciešams precizēt vai attiecīgā metodika piemērojama visos pantā minētajos gadījumos, vai tikai attiecībā uz izmaksu noteikšanu galalietotājiem, kas pieslēgti sadales sistēmām, kurām ir mazāk par simt tūkstošiem lietotāju.</w:t>
            </w:r>
          </w:p>
          <w:p w:rsidR="00C045B2" w:rsidRPr="00C045B2" w:rsidRDefault="00C045B2" w:rsidP="00C045B2">
            <w:pPr>
              <w:ind w:firstLine="567"/>
              <w:jc w:val="both"/>
              <w:rPr>
                <w:i/>
                <w:sz w:val="22"/>
              </w:rPr>
            </w:pPr>
          </w:p>
        </w:tc>
        <w:tc>
          <w:tcPr>
            <w:tcW w:w="1420" w:type="dxa"/>
          </w:tcPr>
          <w:p w:rsidR="0069123E" w:rsidRPr="00035F85" w:rsidRDefault="0069123E" w:rsidP="001A7D73">
            <w:pPr>
              <w:jc w:val="center"/>
              <w:rPr>
                <w:sz w:val="22"/>
              </w:rPr>
            </w:pPr>
          </w:p>
        </w:tc>
        <w:tc>
          <w:tcPr>
            <w:tcW w:w="1420" w:type="dxa"/>
          </w:tcPr>
          <w:p w:rsidR="0069123E" w:rsidRPr="00035F85" w:rsidRDefault="0069123E" w:rsidP="001A7D73">
            <w:pPr>
              <w:jc w:val="center"/>
              <w:rPr>
                <w:sz w:val="22"/>
              </w:rPr>
            </w:pPr>
          </w:p>
        </w:tc>
      </w:tr>
      <w:tr w:rsidR="00163887" w:rsidRPr="000D534D" w:rsidTr="001A7D73">
        <w:tc>
          <w:tcPr>
            <w:tcW w:w="3960" w:type="dxa"/>
          </w:tcPr>
          <w:p w:rsidR="00163887" w:rsidRPr="00C045B2" w:rsidRDefault="00163887" w:rsidP="00C045B2">
            <w:pPr>
              <w:pStyle w:val="tv213"/>
              <w:spacing w:before="0" w:beforeAutospacing="0" w:after="0" w:afterAutospacing="0"/>
              <w:ind w:firstLine="454"/>
              <w:jc w:val="both"/>
              <w:rPr>
                <w:b/>
                <w:bCs/>
                <w:sz w:val="22"/>
                <w:szCs w:val="22"/>
              </w:rPr>
            </w:pPr>
          </w:p>
        </w:tc>
        <w:tc>
          <w:tcPr>
            <w:tcW w:w="3960" w:type="dxa"/>
          </w:tcPr>
          <w:p w:rsidR="00163887" w:rsidRDefault="00163887" w:rsidP="004B4DC6">
            <w:pPr>
              <w:ind w:firstLine="567"/>
              <w:jc w:val="both"/>
              <w:rPr>
                <w:sz w:val="22"/>
              </w:rPr>
            </w:pPr>
          </w:p>
        </w:tc>
        <w:tc>
          <w:tcPr>
            <w:tcW w:w="567" w:type="dxa"/>
          </w:tcPr>
          <w:p w:rsidR="00163887" w:rsidRPr="000D534D" w:rsidRDefault="00BF5690" w:rsidP="001A7D73">
            <w:pPr>
              <w:jc w:val="center"/>
              <w:rPr>
                <w:b/>
                <w:sz w:val="22"/>
              </w:rPr>
            </w:pPr>
            <w:r>
              <w:rPr>
                <w:b/>
                <w:sz w:val="22"/>
              </w:rPr>
              <w:t>2</w:t>
            </w:r>
          </w:p>
        </w:tc>
        <w:tc>
          <w:tcPr>
            <w:tcW w:w="3960" w:type="dxa"/>
          </w:tcPr>
          <w:p w:rsidR="00163887" w:rsidRPr="00163887" w:rsidRDefault="00163887" w:rsidP="00163887">
            <w:pPr>
              <w:ind w:firstLine="471"/>
              <w:jc w:val="both"/>
              <w:rPr>
                <w:b/>
                <w:sz w:val="22"/>
                <w:u w:val="single"/>
              </w:rPr>
            </w:pPr>
            <w:r w:rsidRPr="00163887">
              <w:rPr>
                <w:b/>
                <w:sz w:val="22"/>
                <w:u w:val="single"/>
              </w:rPr>
              <w:t>Deputāti E.Putra, I.Līdaka</w:t>
            </w:r>
          </w:p>
          <w:p w:rsidR="00163887" w:rsidRPr="00163887" w:rsidRDefault="00163887" w:rsidP="00163887">
            <w:pPr>
              <w:ind w:firstLine="471"/>
              <w:jc w:val="both"/>
              <w:rPr>
                <w:sz w:val="22"/>
              </w:rPr>
            </w:pPr>
            <w:r w:rsidRPr="00163887">
              <w:rPr>
                <w:sz w:val="22"/>
              </w:rPr>
              <w:t>Papildināt likumu ar 30.</w:t>
            </w:r>
            <w:r w:rsidRPr="00EC73B4">
              <w:rPr>
                <w:sz w:val="22"/>
                <w:vertAlign w:val="superscript"/>
              </w:rPr>
              <w:t>4</w:t>
            </w:r>
            <w:r w:rsidRPr="00163887">
              <w:rPr>
                <w:sz w:val="22"/>
              </w:rPr>
              <w:t xml:space="preserve"> pantu šādā redakcijā:</w:t>
            </w:r>
          </w:p>
          <w:p w:rsidR="00163887" w:rsidRPr="00163887" w:rsidRDefault="00163887" w:rsidP="00163887">
            <w:pPr>
              <w:ind w:firstLine="471"/>
              <w:jc w:val="both"/>
              <w:rPr>
                <w:sz w:val="22"/>
              </w:rPr>
            </w:pPr>
            <w:r w:rsidRPr="00163887">
              <w:rPr>
                <w:sz w:val="22"/>
              </w:rPr>
              <w:t>“</w:t>
            </w:r>
            <w:r w:rsidRPr="00EC73B4">
              <w:rPr>
                <w:b/>
                <w:sz w:val="22"/>
              </w:rPr>
              <w:t>30.</w:t>
            </w:r>
            <w:r w:rsidRPr="00EC73B4">
              <w:rPr>
                <w:b/>
                <w:sz w:val="22"/>
                <w:vertAlign w:val="superscript"/>
              </w:rPr>
              <w:t>4</w:t>
            </w:r>
            <w:r w:rsidRPr="00EC73B4">
              <w:rPr>
                <w:b/>
                <w:sz w:val="22"/>
              </w:rPr>
              <w:t xml:space="preserve"> pants. No atjaunojamiem energoresursiem saražotās enerģijas statistiskā pārdale citai Eiropas Savienības dalībvalstij</w:t>
            </w:r>
            <w:r w:rsidRPr="00163887">
              <w:rPr>
                <w:sz w:val="22"/>
              </w:rPr>
              <w:t xml:space="preserve"> </w:t>
            </w:r>
          </w:p>
          <w:p w:rsidR="00163887" w:rsidRPr="00163887" w:rsidRDefault="00163887" w:rsidP="00163887">
            <w:pPr>
              <w:ind w:firstLine="471"/>
              <w:jc w:val="both"/>
              <w:rPr>
                <w:sz w:val="22"/>
              </w:rPr>
            </w:pPr>
            <w:r w:rsidRPr="00163887">
              <w:rPr>
                <w:sz w:val="22"/>
              </w:rPr>
              <w:t xml:space="preserve">(1) Ja Latvija ir sasniegusi tai noteikto mērķi saražot noteiktu daļu elektroenerģijas no atjaunojamajiem </w:t>
            </w:r>
            <w:r w:rsidRPr="00163887">
              <w:rPr>
                <w:sz w:val="22"/>
              </w:rPr>
              <w:lastRenderedPageBreak/>
              <w:t>energoresursiem, Ministru kabineta noteiktajā kārtībā atbildīgā ministrija var pārdot konkrētu statistisku daudzumu (rādītājus) no atjaunojamajiem energoresursiem saražotas enerģijas citai Eiropas Savienības dalībvalstij noslēdzot attiecīgu līgumu.</w:t>
            </w:r>
          </w:p>
          <w:p w:rsidR="00163887" w:rsidRPr="00163887" w:rsidRDefault="00163887" w:rsidP="00163887">
            <w:pPr>
              <w:ind w:firstLine="471"/>
              <w:jc w:val="both"/>
              <w:rPr>
                <w:sz w:val="22"/>
              </w:rPr>
            </w:pPr>
            <w:r w:rsidRPr="00163887">
              <w:rPr>
                <w:sz w:val="22"/>
              </w:rPr>
              <w:t>(2) Ministru kabinets nosaka:</w:t>
            </w:r>
          </w:p>
          <w:p w:rsidR="00163887" w:rsidRPr="00163887" w:rsidRDefault="00163887" w:rsidP="00163887">
            <w:pPr>
              <w:ind w:firstLine="471"/>
              <w:jc w:val="both"/>
              <w:rPr>
                <w:sz w:val="22"/>
              </w:rPr>
            </w:pPr>
            <w:r w:rsidRPr="00163887">
              <w:rPr>
                <w:sz w:val="22"/>
              </w:rPr>
              <w:t>1)</w:t>
            </w:r>
            <w:r w:rsidR="00EC73B4">
              <w:rPr>
                <w:sz w:val="22"/>
              </w:rPr>
              <w:t xml:space="preserve"> </w:t>
            </w:r>
            <w:r w:rsidRPr="00163887">
              <w:rPr>
                <w:sz w:val="22"/>
              </w:rPr>
              <w:t>kārtību, kādā atbildīgā ministrija Ministru kabinetā sniedz informāciju par statistisku enerģijas daudzumu (rādītājiem), kas saražota no atjaunojamajiem energoresursiem un kurus iespējams pārdot citai Eiropas Savienības valstij, kā arī kārtību kādā ieņēmumus no attiecīga darījuma sadala atbalstam elektroenerģijas obligātā iepirkuma izmaksu samazināšanai galalietotājam un elektroenerģijas ražošanai no atjaunojamajiem energoresursiem;</w:t>
            </w:r>
          </w:p>
          <w:p w:rsidR="00163887" w:rsidRPr="00163887" w:rsidRDefault="00163887" w:rsidP="00163887">
            <w:pPr>
              <w:ind w:firstLine="471"/>
              <w:jc w:val="both"/>
              <w:rPr>
                <w:sz w:val="22"/>
              </w:rPr>
            </w:pPr>
            <w:r w:rsidRPr="00163887">
              <w:rPr>
                <w:sz w:val="22"/>
              </w:rPr>
              <w:t>2)</w:t>
            </w:r>
            <w:r w:rsidR="00EC73B4">
              <w:rPr>
                <w:sz w:val="22"/>
              </w:rPr>
              <w:t xml:space="preserve"> </w:t>
            </w:r>
            <w:r w:rsidRPr="00163887">
              <w:rPr>
                <w:sz w:val="22"/>
              </w:rPr>
              <w:t>kārtību, kādā piešķirams atbalsts elektroenerģijas ražošanai no atjaunojamajiem energoresursiem, un kritērijus atbalsta piešķiršanai no līdzekļiem, kas iegūti darījuma rezultātā.</w:t>
            </w:r>
          </w:p>
          <w:p w:rsidR="00163887" w:rsidRPr="00163887" w:rsidRDefault="00163887" w:rsidP="00163887">
            <w:pPr>
              <w:ind w:firstLine="471"/>
              <w:jc w:val="both"/>
              <w:rPr>
                <w:sz w:val="22"/>
              </w:rPr>
            </w:pPr>
            <w:r w:rsidRPr="00163887">
              <w:rPr>
                <w:sz w:val="22"/>
              </w:rPr>
              <w:t>(3) Ministru kabinets apstiprina līguma projektu par elektroenerģijas, kas saražota no atjaunojamajiem energoresursiem statistiska daudzuma (rādītāju) tirdzniecību.</w:t>
            </w:r>
          </w:p>
          <w:p w:rsidR="00163887" w:rsidRPr="00C045B2" w:rsidRDefault="00163887" w:rsidP="00163887">
            <w:pPr>
              <w:ind w:firstLine="471"/>
              <w:jc w:val="both"/>
              <w:rPr>
                <w:i/>
                <w:sz w:val="22"/>
              </w:rPr>
            </w:pPr>
            <w:r w:rsidRPr="00163887">
              <w:rPr>
                <w:sz w:val="22"/>
              </w:rPr>
              <w:t>(4) Līgumu par elektroenerģijas, kas saražota no atjaunojamajiem energoresursiem, statistiska daudzuma (rādītāju) tirdzniecību paraksta ekonomikas ministrs.</w:t>
            </w:r>
            <w:r w:rsidR="00EC73B4">
              <w:rPr>
                <w:sz w:val="22"/>
              </w:rPr>
              <w:t>”</w:t>
            </w:r>
          </w:p>
        </w:tc>
        <w:tc>
          <w:tcPr>
            <w:tcW w:w="1420" w:type="dxa"/>
          </w:tcPr>
          <w:p w:rsidR="00163887" w:rsidRPr="000D534D" w:rsidRDefault="00163887" w:rsidP="001A7D73">
            <w:pPr>
              <w:jc w:val="center"/>
              <w:rPr>
                <w:sz w:val="22"/>
              </w:rPr>
            </w:pPr>
          </w:p>
        </w:tc>
        <w:tc>
          <w:tcPr>
            <w:tcW w:w="1420" w:type="dxa"/>
          </w:tcPr>
          <w:p w:rsidR="00163887" w:rsidRPr="000D534D" w:rsidRDefault="00163887" w:rsidP="001A7D73">
            <w:pPr>
              <w:jc w:val="center"/>
              <w:rPr>
                <w:sz w:val="22"/>
              </w:rPr>
            </w:pPr>
          </w:p>
        </w:tc>
      </w:tr>
      <w:tr w:rsidR="0069123E" w:rsidRPr="000D534D" w:rsidTr="001A7D73">
        <w:tc>
          <w:tcPr>
            <w:tcW w:w="3960" w:type="dxa"/>
          </w:tcPr>
          <w:p w:rsidR="000D534D" w:rsidRPr="00C045B2" w:rsidRDefault="000D534D" w:rsidP="00C045B2">
            <w:pPr>
              <w:pStyle w:val="tv213"/>
              <w:spacing w:before="0" w:beforeAutospacing="0" w:after="0" w:afterAutospacing="0"/>
              <w:ind w:firstLine="454"/>
              <w:jc w:val="both"/>
              <w:rPr>
                <w:sz w:val="22"/>
                <w:szCs w:val="22"/>
              </w:rPr>
            </w:pPr>
            <w:r w:rsidRPr="00C045B2">
              <w:rPr>
                <w:b/>
                <w:bCs/>
                <w:sz w:val="22"/>
                <w:szCs w:val="22"/>
              </w:rPr>
              <w:t>33.</w:t>
            </w:r>
            <w:r w:rsidRPr="00C045B2">
              <w:rPr>
                <w:b/>
                <w:bCs/>
                <w:sz w:val="22"/>
                <w:szCs w:val="22"/>
                <w:vertAlign w:val="superscript"/>
              </w:rPr>
              <w:t xml:space="preserve">1 </w:t>
            </w:r>
            <w:r w:rsidRPr="00C045B2">
              <w:rPr>
                <w:b/>
                <w:bCs/>
                <w:sz w:val="22"/>
                <w:szCs w:val="22"/>
              </w:rPr>
              <w:t>pants. Elektroenerģijas tirdzniecība aizsargātajam lietotājam</w:t>
            </w:r>
          </w:p>
          <w:p w:rsidR="000D534D" w:rsidRPr="00C045B2" w:rsidRDefault="000D534D" w:rsidP="00C045B2">
            <w:pPr>
              <w:pStyle w:val="tv213"/>
              <w:spacing w:before="0" w:beforeAutospacing="0" w:after="0" w:afterAutospacing="0"/>
              <w:ind w:firstLine="454"/>
              <w:jc w:val="both"/>
              <w:rPr>
                <w:sz w:val="22"/>
                <w:szCs w:val="22"/>
              </w:rPr>
            </w:pPr>
            <w:r w:rsidRPr="00C045B2">
              <w:rPr>
                <w:sz w:val="22"/>
                <w:szCs w:val="22"/>
              </w:rPr>
              <w:t>(1) Aizsargātajam lietotājam viena elektroenerģijas tirdzniecības līguma ietvaros ir tiesības saņemt aizsargātā lietotāja tirdzniecības pakalpojumu.</w:t>
            </w:r>
          </w:p>
          <w:p w:rsidR="0069123E" w:rsidRPr="00C045B2" w:rsidRDefault="000D534D" w:rsidP="00C045B2">
            <w:pPr>
              <w:pStyle w:val="tv213"/>
              <w:spacing w:before="0" w:beforeAutospacing="0" w:after="0" w:afterAutospacing="0"/>
              <w:ind w:firstLine="454"/>
              <w:jc w:val="both"/>
              <w:rPr>
                <w:sz w:val="22"/>
                <w:szCs w:val="22"/>
              </w:rPr>
            </w:pPr>
            <w:r w:rsidRPr="00C045B2">
              <w:rPr>
                <w:sz w:val="22"/>
                <w:szCs w:val="22"/>
              </w:rPr>
              <w:t>(2) Aizsargātā lietotāja tirdzniecības pakalpojuma sniegšanas un sadales sistēmas pakalpojuma maksas kompensēšanas nosacījumus, kā arī finansēšanas apjomu un kārtību nosaka Ministru kabinets.</w:t>
            </w:r>
          </w:p>
        </w:tc>
        <w:tc>
          <w:tcPr>
            <w:tcW w:w="3960" w:type="dxa"/>
          </w:tcPr>
          <w:p w:rsidR="000D534D" w:rsidRDefault="000D534D" w:rsidP="004B4DC6">
            <w:pPr>
              <w:ind w:firstLine="567"/>
              <w:jc w:val="both"/>
              <w:rPr>
                <w:sz w:val="22"/>
              </w:rPr>
            </w:pPr>
          </w:p>
          <w:p w:rsidR="000D534D" w:rsidRDefault="000D534D" w:rsidP="004B4DC6">
            <w:pPr>
              <w:ind w:firstLine="567"/>
              <w:jc w:val="both"/>
              <w:rPr>
                <w:sz w:val="22"/>
              </w:rPr>
            </w:pPr>
          </w:p>
          <w:p w:rsidR="000D534D" w:rsidRDefault="000D534D" w:rsidP="004B4DC6">
            <w:pPr>
              <w:ind w:firstLine="567"/>
              <w:jc w:val="both"/>
              <w:rPr>
                <w:sz w:val="22"/>
              </w:rPr>
            </w:pPr>
          </w:p>
          <w:p w:rsidR="0069123E" w:rsidRPr="000D534D" w:rsidRDefault="0069123E" w:rsidP="004B4DC6">
            <w:pPr>
              <w:ind w:firstLine="567"/>
              <w:jc w:val="both"/>
              <w:rPr>
                <w:sz w:val="22"/>
              </w:rPr>
            </w:pPr>
            <w:r w:rsidRPr="000D534D">
              <w:rPr>
                <w:sz w:val="22"/>
              </w:rPr>
              <w:t>2. Izteikt 33.</w:t>
            </w:r>
            <w:r w:rsidRPr="000D534D">
              <w:rPr>
                <w:sz w:val="22"/>
                <w:vertAlign w:val="superscript"/>
              </w:rPr>
              <w:t>1</w:t>
            </w:r>
            <w:r w:rsidRPr="000D534D">
              <w:rPr>
                <w:sz w:val="22"/>
              </w:rPr>
              <w:t> panta otro daļu šādā redakcijā:</w:t>
            </w:r>
          </w:p>
          <w:p w:rsidR="0069123E" w:rsidRPr="000D534D" w:rsidRDefault="0069123E" w:rsidP="004B4DC6">
            <w:pPr>
              <w:ind w:firstLine="567"/>
              <w:jc w:val="both"/>
              <w:rPr>
                <w:spacing w:val="-2"/>
                <w:sz w:val="22"/>
                <w:shd w:val="clear" w:color="auto" w:fill="FEFEFE"/>
              </w:rPr>
            </w:pPr>
            <w:r w:rsidRPr="000D534D">
              <w:rPr>
                <w:sz w:val="22"/>
              </w:rPr>
              <w:t xml:space="preserve">"(2) Aizsargātā lietotāja tirdzniecības pakalpojuma sniegšanas, </w:t>
            </w:r>
            <w:r w:rsidRPr="004B4DC6">
              <w:rPr>
                <w:sz w:val="22"/>
                <w:u w:val="single"/>
              </w:rPr>
              <w:t>obligātā iepirkuma komponentes</w:t>
            </w:r>
            <w:r w:rsidRPr="000D534D">
              <w:rPr>
                <w:sz w:val="22"/>
              </w:rPr>
              <w:t xml:space="preserve"> un sadales sistēmas pakalpojuma maksas kompensēšanas nosacījumus, kā arī finansēšanas apjomu un kārtību nosaka Ministru kabinets."</w:t>
            </w:r>
          </w:p>
        </w:tc>
        <w:tc>
          <w:tcPr>
            <w:tcW w:w="567" w:type="dxa"/>
          </w:tcPr>
          <w:p w:rsidR="0069123E" w:rsidRPr="000D534D" w:rsidRDefault="0069123E" w:rsidP="001A7D73">
            <w:pPr>
              <w:jc w:val="center"/>
              <w:rPr>
                <w:b/>
                <w:sz w:val="22"/>
              </w:rPr>
            </w:pPr>
          </w:p>
        </w:tc>
        <w:tc>
          <w:tcPr>
            <w:tcW w:w="3960" w:type="dxa"/>
          </w:tcPr>
          <w:p w:rsidR="0069123E" w:rsidRPr="00C045B2" w:rsidRDefault="0069123E" w:rsidP="00035F85">
            <w:pPr>
              <w:ind w:firstLine="567"/>
              <w:jc w:val="both"/>
              <w:rPr>
                <w:i/>
                <w:sz w:val="22"/>
              </w:rPr>
            </w:pPr>
          </w:p>
        </w:tc>
        <w:tc>
          <w:tcPr>
            <w:tcW w:w="1420" w:type="dxa"/>
          </w:tcPr>
          <w:p w:rsidR="0069123E" w:rsidRPr="000D534D" w:rsidRDefault="0069123E" w:rsidP="001A7D73">
            <w:pPr>
              <w:jc w:val="center"/>
              <w:rPr>
                <w:sz w:val="22"/>
              </w:rPr>
            </w:pPr>
          </w:p>
        </w:tc>
        <w:tc>
          <w:tcPr>
            <w:tcW w:w="1420" w:type="dxa"/>
          </w:tcPr>
          <w:p w:rsidR="0069123E" w:rsidRPr="000D534D" w:rsidRDefault="0069123E" w:rsidP="001A7D73">
            <w:pPr>
              <w:jc w:val="center"/>
              <w:rPr>
                <w:sz w:val="22"/>
              </w:rPr>
            </w:pPr>
          </w:p>
        </w:tc>
      </w:tr>
      <w:tr w:rsidR="0069123E" w:rsidRPr="00163887" w:rsidTr="001A7D73">
        <w:tc>
          <w:tcPr>
            <w:tcW w:w="3960" w:type="dxa"/>
          </w:tcPr>
          <w:p w:rsidR="0069123E" w:rsidRPr="00163887" w:rsidRDefault="00B52F34" w:rsidP="00C045B2">
            <w:pPr>
              <w:jc w:val="both"/>
              <w:rPr>
                <w:b/>
                <w:sz w:val="22"/>
              </w:rPr>
            </w:pPr>
            <w:r w:rsidRPr="00163887">
              <w:rPr>
                <w:b/>
                <w:sz w:val="22"/>
              </w:rPr>
              <w:t>Pārejas noteikumi</w:t>
            </w:r>
          </w:p>
        </w:tc>
        <w:tc>
          <w:tcPr>
            <w:tcW w:w="3960" w:type="dxa"/>
          </w:tcPr>
          <w:p w:rsidR="0069123E" w:rsidRPr="00163887" w:rsidRDefault="0069123E" w:rsidP="004B4DC6">
            <w:pPr>
              <w:ind w:firstLine="567"/>
              <w:jc w:val="both"/>
              <w:rPr>
                <w:sz w:val="22"/>
                <w:shd w:val="clear" w:color="auto" w:fill="FFFFFF"/>
              </w:rPr>
            </w:pPr>
            <w:r w:rsidRPr="00163887">
              <w:rPr>
                <w:sz w:val="22"/>
                <w:shd w:val="clear" w:color="auto" w:fill="FFFFFF"/>
              </w:rPr>
              <w:t>3. Papildināt pārejas noteikumus ar 67. punktu šādā redakcijā:</w:t>
            </w:r>
          </w:p>
          <w:p w:rsidR="0069123E" w:rsidRPr="00163887" w:rsidRDefault="0069123E" w:rsidP="004B4DC6">
            <w:pPr>
              <w:ind w:firstLine="567"/>
              <w:jc w:val="both"/>
              <w:rPr>
                <w:sz w:val="22"/>
                <w:shd w:val="clear" w:color="auto" w:fill="FFFFFF"/>
              </w:rPr>
            </w:pPr>
          </w:p>
          <w:p w:rsidR="0069123E" w:rsidRPr="00163887" w:rsidRDefault="0069123E" w:rsidP="004B4DC6">
            <w:pPr>
              <w:ind w:firstLine="567"/>
              <w:jc w:val="both"/>
              <w:rPr>
                <w:spacing w:val="-2"/>
                <w:sz w:val="22"/>
                <w:shd w:val="clear" w:color="auto" w:fill="FEFEFE"/>
              </w:rPr>
            </w:pPr>
            <w:r w:rsidRPr="00163887">
              <w:rPr>
                <w:sz w:val="22"/>
                <w:shd w:val="clear" w:color="auto" w:fill="FFFFFF"/>
              </w:rPr>
              <w:t xml:space="preserve">"67. </w:t>
            </w:r>
            <w:r w:rsidRPr="00163887">
              <w:rPr>
                <w:sz w:val="22"/>
              </w:rPr>
              <w:t xml:space="preserve">Regulators līdz 2017. gada </w:t>
            </w:r>
            <w:r w:rsidRPr="00163887">
              <w:rPr>
                <w:sz w:val="22"/>
                <w:u w:val="single"/>
              </w:rPr>
              <w:t>15. janvārim</w:t>
            </w:r>
            <w:r w:rsidRPr="00163887">
              <w:rPr>
                <w:sz w:val="22"/>
              </w:rPr>
              <w:t xml:space="preserve"> izdod šā likuma 28.</w:t>
            </w:r>
            <w:r w:rsidRPr="00163887">
              <w:rPr>
                <w:sz w:val="22"/>
                <w:vertAlign w:val="superscript"/>
              </w:rPr>
              <w:t>1</w:t>
            </w:r>
            <w:r w:rsidRPr="00163887">
              <w:rPr>
                <w:sz w:val="22"/>
              </w:rPr>
              <w:t> panta ceturtajā daļā minēto metodiku."</w:t>
            </w:r>
          </w:p>
        </w:tc>
        <w:tc>
          <w:tcPr>
            <w:tcW w:w="567" w:type="dxa"/>
          </w:tcPr>
          <w:p w:rsidR="0069123E" w:rsidRDefault="00BF5690" w:rsidP="001A7D73">
            <w:pPr>
              <w:jc w:val="center"/>
              <w:rPr>
                <w:b/>
                <w:sz w:val="22"/>
              </w:rPr>
            </w:pPr>
            <w:r>
              <w:rPr>
                <w:b/>
                <w:sz w:val="22"/>
              </w:rPr>
              <w:t>3</w:t>
            </w: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r>
              <w:rPr>
                <w:b/>
                <w:sz w:val="22"/>
              </w:rPr>
              <w:t>4</w:t>
            </w: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3A6676" w:rsidRDefault="003A6676" w:rsidP="001A7D73">
            <w:pPr>
              <w:jc w:val="center"/>
              <w:rPr>
                <w:b/>
                <w:sz w:val="22"/>
              </w:rPr>
            </w:pPr>
          </w:p>
          <w:p w:rsidR="003A6676" w:rsidRDefault="003A6676" w:rsidP="001A7D73">
            <w:pPr>
              <w:jc w:val="center"/>
              <w:rPr>
                <w:b/>
                <w:sz w:val="22"/>
              </w:rPr>
            </w:pPr>
          </w:p>
          <w:p w:rsidR="00BF5690" w:rsidRDefault="00BF5690" w:rsidP="001A7D73">
            <w:pPr>
              <w:jc w:val="center"/>
              <w:rPr>
                <w:b/>
                <w:sz w:val="22"/>
              </w:rPr>
            </w:pPr>
            <w:r>
              <w:rPr>
                <w:b/>
                <w:sz w:val="22"/>
              </w:rPr>
              <w:t>5</w:t>
            </w: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5729EB" w:rsidRDefault="005729EB" w:rsidP="001A7D73">
            <w:pPr>
              <w:jc w:val="center"/>
              <w:rPr>
                <w:b/>
                <w:sz w:val="22"/>
              </w:rPr>
            </w:pPr>
          </w:p>
          <w:p w:rsidR="005729EB" w:rsidRDefault="005729EB" w:rsidP="001A7D73">
            <w:pPr>
              <w:jc w:val="center"/>
              <w:rPr>
                <w:b/>
                <w:sz w:val="22"/>
              </w:rPr>
            </w:pPr>
          </w:p>
          <w:p w:rsidR="005729EB" w:rsidRDefault="005729EB" w:rsidP="001A7D73">
            <w:pPr>
              <w:jc w:val="center"/>
              <w:rPr>
                <w:b/>
                <w:sz w:val="22"/>
              </w:rPr>
            </w:pPr>
          </w:p>
          <w:p w:rsidR="005729EB" w:rsidRDefault="005729EB" w:rsidP="001A7D73">
            <w:pPr>
              <w:jc w:val="center"/>
              <w:rPr>
                <w:b/>
                <w:sz w:val="22"/>
              </w:rPr>
            </w:pPr>
          </w:p>
          <w:p w:rsidR="005729EB" w:rsidRDefault="005729EB" w:rsidP="001A7D73">
            <w:pPr>
              <w:jc w:val="center"/>
              <w:rPr>
                <w:b/>
                <w:sz w:val="22"/>
              </w:rPr>
            </w:pPr>
          </w:p>
          <w:p w:rsidR="00BF5690" w:rsidRDefault="00BF5690" w:rsidP="001A7D73">
            <w:pPr>
              <w:jc w:val="center"/>
              <w:rPr>
                <w:b/>
                <w:sz w:val="22"/>
              </w:rPr>
            </w:pPr>
            <w:r>
              <w:rPr>
                <w:b/>
                <w:sz w:val="22"/>
              </w:rPr>
              <w:t>6</w:t>
            </w: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r>
              <w:rPr>
                <w:b/>
                <w:sz w:val="22"/>
              </w:rPr>
              <w:t>7</w:t>
            </w: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Pr="00163887" w:rsidRDefault="00BF5690" w:rsidP="00BF5690">
            <w:pPr>
              <w:rPr>
                <w:b/>
                <w:sz w:val="22"/>
              </w:rPr>
            </w:pPr>
          </w:p>
        </w:tc>
        <w:tc>
          <w:tcPr>
            <w:tcW w:w="3960" w:type="dxa"/>
          </w:tcPr>
          <w:p w:rsidR="00BF5690" w:rsidRPr="00BF5690" w:rsidRDefault="00BF5690" w:rsidP="00BF5690">
            <w:pPr>
              <w:ind w:firstLine="471"/>
              <w:jc w:val="both"/>
              <w:rPr>
                <w:b/>
                <w:sz w:val="22"/>
                <w:u w:val="single"/>
              </w:rPr>
            </w:pPr>
            <w:r w:rsidRPr="00BF5690">
              <w:rPr>
                <w:b/>
                <w:sz w:val="22"/>
                <w:u w:val="single"/>
              </w:rPr>
              <w:t>Deputāti E.Putra, I.Līdaka</w:t>
            </w:r>
          </w:p>
          <w:p w:rsidR="00BF5690" w:rsidRPr="00BF5690" w:rsidRDefault="00BF5690" w:rsidP="00163887">
            <w:pPr>
              <w:ind w:firstLine="471"/>
              <w:jc w:val="both"/>
              <w:rPr>
                <w:b/>
                <w:sz w:val="22"/>
                <w:u w:val="single"/>
              </w:rPr>
            </w:pPr>
            <w:r w:rsidRPr="00BF5690">
              <w:rPr>
                <w:sz w:val="22"/>
              </w:rPr>
              <w:t>Aizstāt likumprojekta 3. pantā skaitļus un vārdus „2017. gada 15. janvārim” ar skaitļiem un vārdiem „</w:t>
            </w:r>
            <w:r w:rsidRPr="00BF5690">
              <w:rPr>
                <w:sz w:val="22"/>
                <w:u w:val="single"/>
              </w:rPr>
              <w:t>2018. gada 15. janvārim</w:t>
            </w:r>
            <w:r w:rsidRPr="00BF5690">
              <w:rPr>
                <w:sz w:val="22"/>
              </w:rPr>
              <w:t>”.</w:t>
            </w:r>
          </w:p>
          <w:p w:rsidR="00BF5690" w:rsidRDefault="00BF5690" w:rsidP="00163887">
            <w:pPr>
              <w:ind w:firstLine="471"/>
              <w:jc w:val="both"/>
              <w:rPr>
                <w:b/>
                <w:sz w:val="22"/>
                <w:u w:val="single"/>
              </w:rPr>
            </w:pPr>
          </w:p>
          <w:p w:rsidR="00163887" w:rsidRPr="00163887" w:rsidRDefault="00163887" w:rsidP="00163887">
            <w:pPr>
              <w:ind w:firstLine="471"/>
              <w:jc w:val="both"/>
              <w:rPr>
                <w:b/>
                <w:sz w:val="22"/>
                <w:u w:val="single"/>
              </w:rPr>
            </w:pPr>
            <w:r w:rsidRPr="00163887">
              <w:rPr>
                <w:b/>
                <w:sz w:val="22"/>
                <w:u w:val="single"/>
              </w:rPr>
              <w:t>Ministru prezidenta biedrs,</w:t>
            </w:r>
            <w:r w:rsidRPr="00163887">
              <w:rPr>
                <w:b/>
                <w:sz w:val="22"/>
                <w:u w:val="single"/>
              </w:rPr>
              <w:br/>
              <w:t xml:space="preserve">ekonomikas ministrs A.Ašeradens </w:t>
            </w:r>
          </w:p>
          <w:p w:rsidR="00163887" w:rsidRPr="00163887" w:rsidRDefault="00163887" w:rsidP="00163887">
            <w:pPr>
              <w:ind w:firstLine="471"/>
              <w:jc w:val="both"/>
              <w:rPr>
                <w:sz w:val="22"/>
              </w:rPr>
            </w:pPr>
            <w:r w:rsidRPr="00163887">
              <w:rPr>
                <w:sz w:val="22"/>
              </w:rPr>
              <w:t>Izteikt Likumprojekta 3.pantu šādā redakcijā:</w:t>
            </w:r>
          </w:p>
          <w:p w:rsidR="00163887" w:rsidRPr="00163887" w:rsidRDefault="00163887" w:rsidP="00163887">
            <w:pPr>
              <w:ind w:firstLine="471"/>
              <w:jc w:val="both"/>
              <w:rPr>
                <w:sz w:val="22"/>
              </w:rPr>
            </w:pPr>
            <w:r w:rsidRPr="00163887">
              <w:rPr>
                <w:sz w:val="22"/>
              </w:rPr>
              <w:t>“Papildināt pārejas noteikumus ar 67.punktu šādā redakcijā:</w:t>
            </w:r>
          </w:p>
          <w:p w:rsidR="0069123E" w:rsidRDefault="00163887" w:rsidP="00163887">
            <w:pPr>
              <w:ind w:firstLine="471"/>
              <w:jc w:val="both"/>
              <w:rPr>
                <w:sz w:val="22"/>
                <w:u w:val="single"/>
              </w:rPr>
            </w:pPr>
            <w:r w:rsidRPr="00163887">
              <w:rPr>
                <w:sz w:val="22"/>
              </w:rPr>
              <w:t xml:space="preserve">“67. Regulators līdz 2017.gada </w:t>
            </w:r>
            <w:r w:rsidRPr="00163887">
              <w:rPr>
                <w:sz w:val="22"/>
                <w:u w:val="single"/>
              </w:rPr>
              <w:t>1.oktobrim</w:t>
            </w:r>
            <w:r w:rsidRPr="00163887">
              <w:rPr>
                <w:sz w:val="22"/>
              </w:rPr>
              <w:t xml:space="preserve"> izdod šā likuma 28.</w:t>
            </w:r>
            <w:r w:rsidRPr="00163887">
              <w:rPr>
                <w:sz w:val="22"/>
                <w:vertAlign w:val="superscript"/>
              </w:rPr>
              <w:t>1</w:t>
            </w:r>
            <w:r w:rsidRPr="00163887">
              <w:rPr>
                <w:sz w:val="22"/>
              </w:rPr>
              <w:t xml:space="preserve"> panta ceturtajā daļā minēto metodiku</w:t>
            </w:r>
            <w:r w:rsidRPr="00163887">
              <w:rPr>
                <w:sz w:val="22"/>
                <w:u w:val="single"/>
              </w:rPr>
              <w:t>. Līdz  attiecīgā normatīvā akta spēkā stāšanās dienai, bet ne ilgāk kā līdz 2017.gada 1.septembrim piemērojama ar regulatora padomes 2014.gada 26.februāra lēmumu Nr.1/5 apstiprinātā Obligātā iepirkuma komponenšu aprēķināšanas metodika.””.</w:t>
            </w:r>
          </w:p>
          <w:p w:rsidR="003A6676" w:rsidRPr="00163887" w:rsidRDefault="003A6676" w:rsidP="00163887">
            <w:pPr>
              <w:ind w:firstLine="471"/>
              <w:jc w:val="both"/>
              <w:rPr>
                <w:sz w:val="22"/>
              </w:rPr>
            </w:pPr>
          </w:p>
          <w:p w:rsidR="00163887" w:rsidRPr="00163887" w:rsidRDefault="00163887" w:rsidP="00163887">
            <w:pPr>
              <w:ind w:firstLine="471"/>
              <w:jc w:val="both"/>
              <w:rPr>
                <w:sz w:val="22"/>
              </w:rPr>
            </w:pPr>
          </w:p>
          <w:p w:rsidR="00163887" w:rsidRDefault="00163887" w:rsidP="00163887">
            <w:pPr>
              <w:ind w:firstLine="471"/>
              <w:jc w:val="both"/>
              <w:rPr>
                <w:sz w:val="22"/>
              </w:rPr>
            </w:pPr>
          </w:p>
          <w:p w:rsidR="00BF5690" w:rsidRPr="00BF5690" w:rsidRDefault="00BF5690" w:rsidP="00BF5690">
            <w:pPr>
              <w:ind w:firstLine="471"/>
              <w:jc w:val="both"/>
              <w:rPr>
                <w:b/>
                <w:sz w:val="22"/>
                <w:u w:val="single"/>
              </w:rPr>
            </w:pPr>
            <w:r w:rsidRPr="00BF5690">
              <w:rPr>
                <w:b/>
                <w:sz w:val="22"/>
                <w:u w:val="single"/>
              </w:rPr>
              <w:t>Deputāti E.Putra, I.Līdaka</w:t>
            </w:r>
          </w:p>
          <w:p w:rsidR="00BF5690" w:rsidRPr="00BF5690" w:rsidRDefault="00BF5690" w:rsidP="00BF5690">
            <w:pPr>
              <w:ind w:firstLine="471"/>
              <w:jc w:val="both"/>
              <w:rPr>
                <w:sz w:val="22"/>
              </w:rPr>
            </w:pPr>
            <w:r w:rsidRPr="00BF5690">
              <w:rPr>
                <w:sz w:val="22"/>
              </w:rPr>
              <w:t>Papildināt likuma pārejas noteikumus ar 67. un 68. punktu šādā redakcijā:</w:t>
            </w:r>
          </w:p>
          <w:p w:rsidR="00BF5690" w:rsidRPr="00BF5690" w:rsidRDefault="00EC73B4" w:rsidP="00BF5690">
            <w:pPr>
              <w:ind w:firstLine="471"/>
              <w:jc w:val="both"/>
              <w:rPr>
                <w:sz w:val="22"/>
              </w:rPr>
            </w:pPr>
            <w:r>
              <w:rPr>
                <w:sz w:val="22"/>
              </w:rPr>
              <w:t>“</w:t>
            </w:r>
            <w:r w:rsidR="00BF5690" w:rsidRPr="00BF5690">
              <w:rPr>
                <w:sz w:val="22"/>
              </w:rPr>
              <w:t>67.</w:t>
            </w:r>
            <w:r>
              <w:rPr>
                <w:sz w:val="22"/>
              </w:rPr>
              <w:t xml:space="preserve"> </w:t>
            </w:r>
            <w:r w:rsidR="00BF5690" w:rsidRPr="00BF5690">
              <w:rPr>
                <w:sz w:val="22"/>
              </w:rPr>
              <w:t>Ministru kabinets līdz 2017. gada 30. jūnijam izstrādā nosacījumus šī likuma 28.1 pantā noteiktā atbalsta samazināšanai ik gadu piecu gadu periodā sākot ar 2018. gada 1. janvāri elektroenerģijas ražošanai koģenerācijas stacijās, kuru uzstādītā elektriskā jauda ir lielāka par simts megavatiem.</w:t>
            </w:r>
          </w:p>
          <w:p w:rsidR="00163887" w:rsidRPr="00BF5690" w:rsidRDefault="00BF5690" w:rsidP="00BF5690">
            <w:pPr>
              <w:ind w:firstLine="471"/>
              <w:jc w:val="both"/>
              <w:rPr>
                <w:sz w:val="22"/>
              </w:rPr>
            </w:pPr>
            <w:r w:rsidRPr="00BF5690">
              <w:rPr>
                <w:sz w:val="22"/>
              </w:rPr>
              <w:t>68.</w:t>
            </w:r>
            <w:r w:rsidR="00EC73B4">
              <w:rPr>
                <w:sz w:val="22"/>
              </w:rPr>
              <w:t xml:space="preserve"> </w:t>
            </w:r>
            <w:r w:rsidRPr="00BF5690">
              <w:rPr>
                <w:sz w:val="22"/>
              </w:rPr>
              <w:t>Šā likuma 1.pants (par 28.prim panta ceturtās daļas izteikšanu jaunā redakcijā) un 2.pants (par 33.prim panta otrās daļas izteikšanu jaunā redakcijā) stājas spēkā 2018.gada 1.janvārī.</w:t>
            </w:r>
            <w:r w:rsidR="00EC73B4">
              <w:rPr>
                <w:sz w:val="22"/>
              </w:rPr>
              <w:t>”</w:t>
            </w:r>
          </w:p>
          <w:p w:rsidR="005729EB" w:rsidRDefault="005729EB" w:rsidP="005729EB">
            <w:pPr>
              <w:ind w:firstLine="471"/>
              <w:jc w:val="both"/>
              <w:rPr>
                <w:b/>
                <w:sz w:val="22"/>
                <w:u w:val="single"/>
              </w:rPr>
            </w:pPr>
          </w:p>
          <w:p w:rsidR="005729EB" w:rsidRPr="00163887" w:rsidRDefault="005729EB" w:rsidP="005729EB">
            <w:pPr>
              <w:ind w:firstLine="471"/>
              <w:jc w:val="both"/>
              <w:rPr>
                <w:b/>
                <w:sz w:val="22"/>
                <w:u w:val="single"/>
              </w:rPr>
            </w:pPr>
            <w:r w:rsidRPr="00163887">
              <w:rPr>
                <w:b/>
                <w:sz w:val="22"/>
                <w:u w:val="single"/>
              </w:rPr>
              <w:t>Ministru prezidenta biedrs,</w:t>
            </w:r>
            <w:r w:rsidRPr="00163887">
              <w:rPr>
                <w:b/>
                <w:sz w:val="22"/>
                <w:u w:val="single"/>
              </w:rPr>
              <w:br/>
              <w:t xml:space="preserve">ekonomikas ministrs A.Ašeradens </w:t>
            </w:r>
          </w:p>
          <w:p w:rsidR="005729EB" w:rsidRPr="00163887" w:rsidRDefault="005729EB" w:rsidP="005729EB">
            <w:pPr>
              <w:ind w:firstLine="471"/>
              <w:jc w:val="both"/>
              <w:rPr>
                <w:sz w:val="22"/>
              </w:rPr>
            </w:pPr>
            <w:r w:rsidRPr="00163887">
              <w:rPr>
                <w:sz w:val="22"/>
              </w:rPr>
              <w:t>Papildināt Elektroenerģijas tirgus likuma pārejas noteikumus ar 68.punktu šādā redakcijā:</w:t>
            </w:r>
          </w:p>
          <w:p w:rsidR="005729EB" w:rsidRDefault="005729EB" w:rsidP="005729EB">
            <w:pPr>
              <w:ind w:firstLine="471"/>
              <w:jc w:val="both"/>
              <w:rPr>
                <w:sz w:val="22"/>
              </w:rPr>
            </w:pPr>
            <w:r w:rsidRPr="00163887">
              <w:rPr>
                <w:sz w:val="22"/>
              </w:rPr>
              <w:t>“Publiskais tirgotājs iesniedz šā likuma 28.panta ceturtajā daļā, 28.</w:t>
            </w:r>
            <w:r w:rsidRPr="00163887">
              <w:rPr>
                <w:sz w:val="22"/>
                <w:vertAlign w:val="superscript"/>
              </w:rPr>
              <w:t>1</w:t>
            </w:r>
            <w:r w:rsidRPr="00163887">
              <w:rPr>
                <w:sz w:val="22"/>
              </w:rPr>
              <w:t xml:space="preserve"> panta ceturtajā daļā, 30.panta trešajā daļā, 30.</w:t>
            </w:r>
            <w:r w:rsidRPr="00163887">
              <w:rPr>
                <w:sz w:val="22"/>
                <w:vertAlign w:val="superscript"/>
              </w:rPr>
              <w:t>2</w:t>
            </w:r>
            <w:r w:rsidRPr="00163887">
              <w:rPr>
                <w:sz w:val="22"/>
              </w:rPr>
              <w:t xml:space="preserve"> panta trešajā daļā un pārejas noteikumu 53.punktā noteikto izmaksu attiecināšanu pārrēķinu līdz 2017.gada 20.oktobrim, un kas stājas spēkā 2018.gada 1.janvārī.”.</w:t>
            </w:r>
          </w:p>
          <w:p w:rsidR="005729EB" w:rsidRDefault="005729EB" w:rsidP="00163887">
            <w:pPr>
              <w:ind w:firstLine="471"/>
              <w:jc w:val="both"/>
              <w:rPr>
                <w:b/>
                <w:sz w:val="22"/>
                <w:u w:val="single"/>
              </w:rPr>
            </w:pPr>
          </w:p>
          <w:p w:rsidR="005729EB" w:rsidRDefault="005729EB" w:rsidP="00163887">
            <w:pPr>
              <w:ind w:firstLine="471"/>
              <w:jc w:val="both"/>
              <w:rPr>
                <w:b/>
                <w:sz w:val="22"/>
                <w:u w:val="single"/>
              </w:rPr>
            </w:pPr>
          </w:p>
          <w:p w:rsidR="005729EB" w:rsidRDefault="005729EB" w:rsidP="00163887">
            <w:pPr>
              <w:ind w:firstLine="471"/>
              <w:jc w:val="both"/>
              <w:rPr>
                <w:b/>
                <w:sz w:val="22"/>
                <w:u w:val="single"/>
              </w:rPr>
            </w:pPr>
          </w:p>
          <w:p w:rsidR="005729EB" w:rsidRDefault="005729EB" w:rsidP="00163887">
            <w:pPr>
              <w:ind w:firstLine="471"/>
              <w:jc w:val="both"/>
              <w:rPr>
                <w:b/>
                <w:sz w:val="22"/>
                <w:u w:val="single"/>
              </w:rPr>
            </w:pPr>
          </w:p>
          <w:p w:rsidR="005729EB" w:rsidRDefault="005729EB" w:rsidP="00163887">
            <w:pPr>
              <w:ind w:firstLine="471"/>
              <w:jc w:val="both"/>
              <w:rPr>
                <w:b/>
                <w:sz w:val="22"/>
                <w:u w:val="single"/>
              </w:rPr>
            </w:pPr>
          </w:p>
          <w:p w:rsidR="00163887" w:rsidRPr="00163887" w:rsidRDefault="00163887" w:rsidP="00163887">
            <w:pPr>
              <w:ind w:firstLine="471"/>
              <w:jc w:val="both"/>
              <w:rPr>
                <w:b/>
                <w:sz w:val="22"/>
                <w:u w:val="single"/>
              </w:rPr>
            </w:pPr>
            <w:r w:rsidRPr="00163887">
              <w:rPr>
                <w:b/>
                <w:sz w:val="22"/>
                <w:u w:val="single"/>
              </w:rPr>
              <w:t>Ministru prezidenta biedrs,</w:t>
            </w:r>
            <w:r w:rsidRPr="00163887">
              <w:rPr>
                <w:b/>
                <w:sz w:val="22"/>
                <w:u w:val="single"/>
              </w:rPr>
              <w:br/>
              <w:t xml:space="preserve">ekonomikas ministrs A.Ašeradens </w:t>
            </w:r>
          </w:p>
          <w:p w:rsidR="00163887" w:rsidRPr="00163887" w:rsidRDefault="00163887" w:rsidP="00163887">
            <w:pPr>
              <w:ind w:firstLine="471"/>
              <w:jc w:val="both"/>
              <w:rPr>
                <w:sz w:val="22"/>
              </w:rPr>
            </w:pPr>
            <w:r w:rsidRPr="00163887">
              <w:rPr>
                <w:sz w:val="22"/>
              </w:rPr>
              <w:t>Papildināt Elektroenerģijas tirgus likuma pārejas noteikumus ar 69.punktu šādā redakcijā:</w:t>
            </w:r>
          </w:p>
          <w:p w:rsidR="00163887" w:rsidRPr="00163887" w:rsidRDefault="00163887" w:rsidP="00163887">
            <w:pPr>
              <w:ind w:firstLine="471"/>
              <w:jc w:val="both"/>
              <w:rPr>
                <w:i/>
                <w:sz w:val="22"/>
              </w:rPr>
            </w:pPr>
            <w:r w:rsidRPr="00163887">
              <w:rPr>
                <w:sz w:val="22"/>
              </w:rPr>
              <w:t>“Līdz 2017.gada 31.decembrim spēku saglabā regulatora lēmumi, kuri pieņemti pamatojoties uz obligātā iepirkuma komponenšu aprēķināšanas metodiku, kas bija spēkā līdz 2017.gada 31.augustam.”.</w:t>
            </w:r>
          </w:p>
        </w:tc>
        <w:tc>
          <w:tcPr>
            <w:tcW w:w="1420" w:type="dxa"/>
          </w:tcPr>
          <w:p w:rsidR="0069123E" w:rsidRPr="00163887" w:rsidRDefault="0069123E" w:rsidP="001A7D73">
            <w:pPr>
              <w:jc w:val="center"/>
              <w:rPr>
                <w:sz w:val="22"/>
              </w:rPr>
            </w:pPr>
          </w:p>
        </w:tc>
        <w:tc>
          <w:tcPr>
            <w:tcW w:w="1420" w:type="dxa"/>
          </w:tcPr>
          <w:p w:rsidR="0069123E" w:rsidRPr="00163887" w:rsidRDefault="0069123E" w:rsidP="001A7D73">
            <w:pPr>
              <w:jc w:val="center"/>
              <w:rPr>
                <w:sz w:val="22"/>
              </w:rPr>
            </w:pPr>
          </w:p>
        </w:tc>
      </w:tr>
      <w:tr w:rsidR="0069123E" w:rsidRPr="00163887" w:rsidTr="001A7D73">
        <w:tc>
          <w:tcPr>
            <w:tcW w:w="3960" w:type="dxa"/>
          </w:tcPr>
          <w:p w:rsidR="0069123E" w:rsidRPr="00163887" w:rsidRDefault="0069123E" w:rsidP="00C045B2">
            <w:pPr>
              <w:jc w:val="both"/>
              <w:rPr>
                <w:sz w:val="22"/>
              </w:rPr>
            </w:pPr>
          </w:p>
        </w:tc>
        <w:tc>
          <w:tcPr>
            <w:tcW w:w="3960" w:type="dxa"/>
          </w:tcPr>
          <w:p w:rsidR="00965359" w:rsidRDefault="00965359" w:rsidP="004B4DC6">
            <w:pPr>
              <w:ind w:firstLine="567"/>
              <w:jc w:val="both"/>
              <w:rPr>
                <w:sz w:val="22"/>
              </w:rPr>
            </w:pPr>
          </w:p>
          <w:p w:rsidR="00965359" w:rsidRDefault="00965359" w:rsidP="004B4DC6">
            <w:pPr>
              <w:ind w:firstLine="567"/>
              <w:jc w:val="both"/>
              <w:rPr>
                <w:sz w:val="22"/>
              </w:rPr>
            </w:pPr>
          </w:p>
          <w:p w:rsidR="00965359" w:rsidRDefault="00965359" w:rsidP="004B4DC6">
            <w:pPr>
              <w:ind w:firstLine="567"/>
              <w:jc w:val="both"/>
              <w:rPr>
                <w:sz w:val="22"/>
              </w:rPr>
            </w:pPr>
          </w:p>
          <w:p w:rsidR="00965359" w:rsidRDefault="00965359" w:rsidP="004B4DC6">
            <w:pPr>
              <w:ind w:firstLine="567"/>
              <w:jc w:val="both"/>
              <w:rPr>
                <w:sz w:val="22"/>
              </w:rPr>
            </w:pPr>
          </w:p>
          <w:p w:rsidR="00965359" w:rsidRDefault="00965359" w:rsidP="004B4DC6">
            <w:pPr>
              <w:ind w:firstLine="567"/>
              <w:jc w:val="both"/>
              <w:rPr>
                <w:sz w:val="22"/>
              </w:rPr>
            </w:pPr>
          </w:p>
          <w:p w:rsidR="00965359" w:rsidRDefault="00965359" w:rsidP="004B4DC6">
            <w:pPr>
              <w:ind w:firstLine="567"/>
              <w:jc w:val="both"/>
              <w:rPr>
                <w:sz w:val="22"/>
              </w:rPr>
            </w:pPr>
          </w:p>
          <w:p w:rsidR="00965359" w:rsidRDefault="00965359" w:rsidP="004B4DC6">
            <w:pPr>
              <w:ind w:firstLine="567"/>
              <w:jc w:val="both"/>
              <w:rPr>
                <w:sz w:val="22"/>
              </w:rPr>
            </w:pPr>
          </w:p>
          <w:p w:rsidR="00965359" w:rsidRDefault="00965359" w:rsidP="004B4DC6">
            <w:pPr>
              <w:ind w:firstLine="567"/>
              <w:jc w:val="both"/>
              <w:rPr>
                <w:sz w:val="22"/>
              </w:rPr>
            </w:pPr>
          </w:p>
          <w:p w:rsidR="00965359" w:rsidRDefault="00965359" w:rsidP="004B4DC6">
            <w:pPr>
              <w:ind w:firstLine="567"/>
              <w:jc w:val="both"/>
              <w:rPr>
                <w:sz w:val="22"/>
              </w:rPr>
            </w:pPr>
          </w:p>
          <w:p w:rsidR="00965359" w:rsidRDefault="00965359" w:rsidP="004B4DC6">
            <w:pPr>
              <w:ind w:firstLine="567"/>
              <w:jc w:val="both"/>
              <w:rPr>
                <w:sz w:val="22"/>
              </w:rPr>
            </w:pPr>
          </w:p>
          <w:p w:rsidR="00965359" w:rsidRDefault="00965359" w:rsidP="004B4DC6">
            <w:pPr>
              <w:ind w:firstLine="567"/>
              <w:jc w:val="both"/>
              <w:rPr>
                <w:sz w:val="22"/>
              </w:rPr>
            </w:pPr>
          </w:p>
          <w:p w:rsidR="00965359" w:rsidRDefault="00965359" w:rsidP="004B4DC6">
            <w:pPr>
              <w:ind w:firstLine="567"/>
              <w:jc w:val="both"/>
              <w:rPr>
                <w:sz w:val="22"/>
              </w:rPr>
            </w:pPr>
          </w:p>
          <w:p w:rsidR="00965359" w:rsidRDefault="00965359" w:rsidP="004B4DC6">
            <w:pPr>
              <w:ind w:firstLine="567"/>
              <w:jc w:val="both"/>
              <w:rPr>
                <w:sz w:val="22"/>
              </w:rPr>
            </w:pPr>
          </w:p>
          <w:p w:rsidR="00965359" w:rsidRDefault="00965359" w:rsidP="004B4DC6">
            <w:pPr>
              <w:ind w:firstLine="567"/>
              <w:jc w:val="both"/>
              <w:rPr>
                <w:sz w:val="22"/>
              </w:rPr>
            </w:pPr>
          </w:p>
          <w:p w:rsidR="00965359" w:rsidRDefault="00965359" w:rsidP="004B4DC6">
            <w:pPr>
              <w:ind w:firstLine="567"/>
              <w:jc w:val="both"/>
              <w:rPr>
                <w:sz w:val="22"/>
              </w:rPr>
            </w:pPr>
          </w:p>
          <w:p w:rsidR="00965359" w:rsidRDefault="00965359" w:rsidP="004B4DC6">
            <w:pPr>
              <w:ind w:firstLine="567"/>
              <w:jc w:val="both"/>
              <w:rPr>
                <w:sz w:val="22"/>
              </w:rPr>
            </w:pPr>
          </w:p>
          <w:p w:rsidR="00965359" w:rsidRDefault="00965359" w:rsidP="004B4DC6">
            <w:pPr>
              <w:ind w:firstLine="567"/>
              <w:jc w:val="both"/>
              <w:rPr>
                <w:sz w:val="22"/>
              </w:rPr>
            </w:pPr>
          </w:p>
          <w:p w:rsidR="00965359" w:rsidRDefault="00965359" w:rsidP="004B4DC6">
            <w:pPr>
              <w:ind w:firstLine="567"/>
              <w:jc w:val="both"/>
              <w:rPr>
                <w:sz w:val="22"/>
              </w:rPr>
            </w:pPr>
          </w:p>
          <w:p w:rsidR="0069123E" w:rsidRPr="00163887" w:rsidRDefault="00965359" w:rsidP="00965359">
            <w:pPr>
              <w:ind w:firstLine="567"/>
              <w:jc w:val="both"/>
              <w:rPr>
                <w:spacing w:val="-2"/>
                <w:sz w:val="22"/>
                <w:shd w:val="clear" w:color="auto" w:fill="FEFEFE"/>
              </w:rPr>
            </w:pPr>
            <w:r>
              <w:rPr>
                <w:sz w:val="22"/>
              </w:rPr>
              <w:t>Likums stājas spēkā 2017.</w:t>
            </w:r>
            <w:r w:rsidR="0069123E" w:rsidRPr="00163887">
              <w:rPr>
                <w:sz w:val="22"/>
              </w:rPr>
              <w:t xml:space="preserve">gada </w:t>
            </w:r>
            <w:r w:rsidR="0069123E" w:rsidRPr="00965359">
              <w:rPr>
                <w:sz w:val="22"/>
                <w:u w:val="single"/>
              </w:rPr>
              <w:t>1.janvārī.</w:t>
            </w:r>
          </w:p>
        </w:tc>
        <w:tc>
          <w:tcPr>
            <w:tcW w:w="567" w:type="dxa"/>
          </w:tcPr>
          <w:p w:rsidR="0069123E" w:rsidRDefault="00BF5690" w:rsidP="001A7D73">
            <w:pPr>
              <w:jc w:val="center"/>
              <w:rPr>
                <w:b/>
                <w:sz w:val="22"/>
              </w:rPr>
            </w:pPr>
            <w:r>
              <w:rPr>
                <w:b/>
                <w:sz w:val="22"/>
              </w:rPr>
              <w:t>8</w:t>
            </w: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Default="00BF5690" w:rsidP="001A7D73">
            <w:pPr>
              <w:jc w:val="center"/>
              <w:rPr>
                <w:b/>
                <w:sz w:val="22"/>
              </w:rPr>
            </w:pPr>
          </w:p>
          <w:p w:rsidR="00BF5690" w:rsidRPr="00163887" w:rsidRDefault="00BF5690" w:rsidP="001A7D73">
            <w:pPr>
              <w:jc w:val="center"/>
              <w:rPr>
                <w:b/>
                <w:sz w:val="22"/>
              </w:rPr>
            </w:pPr>
            <w:r>
              <w:rPr>
                <w:b/>
                <w:sz w:val="22"/>
              </w:rPr>
              <w:t>9</w:t>
            </w:r>
          </w:p>
        </w:tc>
        <w:tc>
          <w:tcPr>
            <w:tcW w:w="3960" w:type="dxa"/>
          </w:tcPr>
          <w:p w:rsidR="00911F82" w:rsidRPr="00163887" w:rsidRDefault="00911F82" w:rsidP="00163887">
            <w:pPr>
              <w:ind w:firstLine="471"/>
              <w:jc w:val="both"/>
              <w:rPr>
                <w:b/>
                <w:sz w:val="22"/>
                <w:u w:val="single"/>
              </w:rPr>
            </w:pPr>
            <w:r w:rsidRPr="00163887">
              <w:rPr>
                <w:b/>
                <w:sz w:val="22"/>
                <w:u w:val="single"/>
              </w:rPr>
              <w:t xml:space="preserve">Juridiskais birojs </w:t>
            </w:r>
          </w:p>
          <w:p w:rsidR="0069123E" w:rsidRPr="00163887" w:rsidRDefault="00C045B2" w:rsidP="00163887">
            <w:pPr>
              <w:ind w:firstLine="471"/>
              <w:jc w:val="both"/>
              <w:rPr>
                <w:i/>
                <w:sz w:val="22"/>
                <w:u w:val="single"/>
              </w:rPr>
            </w:pPr>
            <w:r w:rsidRPr="00163887">
              <w:rPr>
                <w:i/>
                <w:sz w:val="22"/>
              </w:rPr>
              <w:t xml:space="preserve">Vienlaikus jāņem vērā, ka likumprojektā ietvertais regulējums skar visus elektroenerģijas galalietotājus un var ietekmēt maksājumu apmēru par elektroenerģiju. Tādēļ Juridiskā biroja ieskatā būtu jānodrošina saudzīga pāreja uz jauno regulējumu, lai elektroenerģijas lietotāji varētu saņemt pietiekamu informāciju un sagatavoties plānotajām izmaiņām elektroenerģijas maksājumos. Ievērojot minēto </w:t>
            </w:r>
            <w:r w:rsidRPr="00163887">
              <w:rPr>
                <w:i/>
                <w:sz w:val="22"/>
                <w:u w:val="single"/>
              </w:rPr>
              <w:t>aicinām pārskatīt likumprojektā „Grozījumi Elektroenerģijas tirgus likumā” paredzēto spēkā stāšanās termiņu.</w:t>
            </w:r>
          </w:p>
          <w:p w:rsidR="00163887" w:rsidRPr="00163887" w:rsidRDefault="00163887" w:rsidP="00163887">
            <w:pPr>
              <w:ind w:firstLine="471"/>
              <w:jc w:val="both"/>
              <w:rPr>
                <w:i/>
                <w:sz w:val="22"/>
                <w:u w:val="single"/>
              </w:rPr>
            </w:pPr>
          </w:p>
          <w:p w:rsidR="00163887" w:rsidRPr="00163887" w:rsidRDefault="00163887" w:rsidP="00163887">
            <w:pPr>
              <w:ind w:firstLine="471"/>
              <w:jc w:val="both"/>
              <w:rPr>
                <w:b/>
                <w:sz w:val="22"/>
                <w:u w:val="single"/>
              </w:rPr>
            </w:pPr>
            <w:r w:rsidRPr="00163887">
              <w:rPr>
                <w:b/>
                <w:sz w:val="22"/>
                <w:u w:val="single"/>
              </w:rPr>
              <w:t>Ministru prezidenta biedrs,</w:t>
            </w:r>
            <w:r w:rsidRPr="00163887">
              <w:rPr>
                <w:b/>
                <w:sz w:val="22"/>
                <w:u w:val="single"/>
              </w:rPr>
              <w:br/>
              <w:t xml:space="preserve">ekonomikas ministrs A.Ašeradens </w:t>
            </w:r>
          </w:p>
          <w:p w:rsidR="00163887" w:rsidRPr="00163887" w:rsidRDefault="00163887" w:rsidP="00163887">
            <w:pPr>
              <w:ind w:firstLine="471"/>
              <w:jc w:val="both"/>
              <w:rPr>
                <w:i/>
                <w:sz w:val="22"/>
              </w:rPr>
            </w:pPr>
            <w:r w:rsidRPr="00163887">
              <w:rPr>
                <w:sz w:val="22"/>
              </w:rPr>
              <w:t xml:space="preserve">Noteikt, ka Likumprojekts stājas spēkā 2017.gada </w:t>
            </w:r>
            <w:r w:rsidRPr="00163887">
              <w:rPr>
                <w:sz w:val="22"/>
                <w:u w:val="single"/>
              </w:rPr>
              <w:t>1.septembrī</w:t>
            </w:r>
            <w:r w:rsidRPr="00163887">
              <w:rPr>
                <w:sz w:val="22"/>
              </w:rPr>
              <w:t>.</w:t>
            </w:r>
          </w:p>
        </w:tc>
        <w:tc>
          <w:tcPr>
            <w:tcW w:w="1420" w:type="dxa"/>
          </w:tcPr>
          <w:p w:rsidR="0069123E" w:rsidRPr="00163887" w:rsidRDefault="0069123E" w:rsidP="001A7D73">
            <w:pPr>
              <w:jc w:val="center"/>
              <w:rPr>
                <w:sz w:val="22"/>
              </w:rPr>
            </w:pPr>
          </w:p>
        </w:tc>
        <w:tc>
          <w:tcPr>
            <w:tcW w:w="1420" w:type="dxa"/>
          </w:tcPr>
          <w:p w:rsidR="0069123E" w:rsidRPr="00163887" w:rsidRDefault="0069123E" w:rsidP="001A7D73">
            <w:pPr>
              <w:jc w:val="center"/>
              <w:rPr>
                <w:sz w:val="22"/>
              </w:rPr>
            </w:pPr>
          </w:p>
        </w:tc>
      </w:tr>
    </w:tbl>
    <w:p w:rsidR="0039514B" w:rsidRPr="00163887" w:rsidRDefault="0039514B" w:rsidP="0039514B">
      <w:pPr>
        <w:rPr>
          <w:sz w:val="22"/>
        </w:rPr>
      </w:pPr>
    </w:p>
    <w:sectPr w:rsidR="0039514B" w:rsidRPr="00163887" w:rsidSect="00C71E28">
      <w:footerReference w:type="even" r:id="rId14"/>
      <w:footerReference w:type="default" r:id="rId15"/>
      <w:pgSz w:w="16838" w:h="11906" w:orient="landscape"/>
      <w:pgMar w:top="1418"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66F" w:rsidRDefault="00DC566F">
      <w:r>
        <w:separator/>
      </w:r>
    </w:p>
  </w:endnote>
  <w:endnote w:type="continuationSeparator" w:id="0">
    <w:p w:rsidR="00DC566F" w:rsidRDefault="00DC5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28" w:rsidRDefault="0039514B" w:rsidP="00C71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1E28" w:rsidRDefault="007271BF" w:rsidP="00C71E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28" w:rsidRDefault="0039514B" w:rsidP="00C71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71BF">
      <w:rPr>
        <w:rStyle w:val="PageNumber"/>
        <w:noProof/>
      </w:rPr>
      <w:t>2</w:t>
    </w:r>
    <w:r>
      <w:rPr>
        <w:rStyle w:val="PageNumber"/>
      </w:rPr>
      <w:fldChar w:fldCharType="end"/>
    </w:r>
  </w:p>
  <w:p w:rsidR="00C71E28" w:rsidRDefault="007271BF" w:rsidP="00C71E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66F" w:rsidRDefault="00DC566F">
      <w:r>
        <w:separator/>
      </w:r>
    </w:p>
  </w:footnote>
  <w:footnote w:type="continuationSeparator" w:id="0">
    <w:p w:rsidR="00DC566F" w:rsidRDefault="00DC5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065985"/>
    <w:multiLevelType w:val="hybridMultilevel"/>
    <w:tmpl w:val="F4BA3184"/>
    <w:lvl w:ilvl="0" w:tplc="D326DC84">
      <w:start w:val="1"/>
      <w:numFmt w:val="decimal"/>
      <w:lvlText w:val="%1."/>
      <w:lvlJc w:val="left"/>
      <w:pPr>
        <w:ind w:left="3196" w:hanging="36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69CE482F"/>
    <w:multiLevelType w:val="hybridMultilevel"/>
    <w:tmpl w:val="A99EC2E8"/>
    <w:lvl w:ilvl="0" w:tplc="30407B94">
      <w:start w:val="1"/>
      <w:numFmt w:val="decimal"/>
      <w:lvlText w:val="%1."/>
      <w:lvlJc w:val="left"/>
      <w:pPr>
        <w:ind w:left="927"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14B"/>
    <w:rsid w:val="00035F85"/>
    <w:rsid w:val="000C179F"/>
    <w:rsid w:val="000C5081"/>
    <w:rsid w:val="000D534D"/>
    <w:rsid w:val="00163887"/>
    <w:rsid w:val="00175C0E"/>
    <w:rsid w:val="002164F7"/>
    <w:rsid w:val="00264574"/>
    <w:rsid w:val="002F64B8"/>
    <w:rsid w:val="0039514B"/>
    <w:rsid w:val="003A6676"/>
    <w:rsid w:val="00405509"/>
    <w:rsid w:val="004B4DC6"/>
    <w:rsid w:val="004D7945"/>
    <w:rsid w:val="005729EB"/>
    <w:rsid w:val="0069123E"/>
    <w:rsid w:val="007271BF"/>
    <w:rsid w:val="007A4333"/>
    <w:rsid w:val="007D26F0"/>
    <w:rsid w:val="00863BE0"/>
    <w:rsid w:val="00911F82"/>
    <w:rsid w:val="00965359"/>
    <w:rsid w:val="009F3627"/>
    <w:rsid w:val="00AA55B8"/>
    <w:rsid w:val="00AF5BB1"/>
    <w:rsid w:val="00B52F34"/>
    <w:rsid w:val="00BE7E65"/>
    <w:rsid w:val="00BF4C7F"/>
    <w:rsid w:val="00BF5690"/>
    <w:rsid w:val="00C045B2"/>
    <w:rsid w:val="00DA4EC0"/>
    <w:rsid w:val="00DB29C6"/>
    <w:rsid w:val="00DC566F"/>
    <w:rsid w:val="00DE0D38"/>
    <w:rsid w:val="00E1023B"/>
    <w:rsid w:val="00EC73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A2BE5-0413-414B-9FD8-9960FB98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14B"/>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39514B"/>
    <w:pPr>
      <w:keepNext/>
      <w:jc w:val="center"/>
      <w:outlineLvl w:val="0"/>
    </w:pPr>
    <w:rPr>
      <w:rFonts w:eastAsia="Times New Roman"/>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514B"/>
    <w:rPr>
      <w:rFonts w:ascii="Times New Roman" w:eastAsia="Times New Roman" w:hAnsi="Times New Roman" w:cs="Times New Roman"/>
      <w:b/>
      <w:bCs/>
      <w:iCs/>
      <w:sz w:val="24"/>
      <w:szCs w:val="24"/>
    </w:rPr>
  </w:style>
  <w:style w:type="paragraph" w:styleId="Title">
    <w:name w:val="Title"/>
    <w:basedOn w:val="Normal"/>
    <w:link w:val="TitleChar"/>
    <w:qFormat/>
    <w:rsid w:val="0039514B"/>
    <w:pPr>
      <w:jc w:val="center"/>
    </w:pPr>
    <w:rPr>
      <w:rFonts w:eastAsia="Times New Roman"/>
      <w:b/>
      <w:szCs w:val="20"/>
    </w:rPr>
  </w:style>
  <w:style w:type="character" w:customStyle="1" w:styleId="TitleChar">
    <w:name w:val="Title Char"/>
    <w:basedOn w:val="DefaultParagraphFont"/>
    <w:link w:val="Title"/>
    <w:rsid w:val="0039514B"/>
    <w:rPr>
      <w:rFonts w:ascii="Times New Roman" w:eastAsia="Times New Roman" w:hAnsi="Times New Roman" w:cs="Times New Roman"/>
      <w:b/>
      <w:sz w:val="24"/>
      <w:szCs w:val="20"/>
    </w:rPr>
  </w:style>
  <w:style w:type="paragraph" w:styleId="Footer">
    <w:name w:val="footer"/>
    <w:basedOn w:val="Normal"/>
    <w:link w:val="FooterChar"/>
    <w:rsid w:val="0039514B"/>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39514B"/>
    <w:rPr>
      <w:rFonts w:ascii="Times New Roman" w:eastAsia="Times New Roman" w:hAnsi="Times New Roman" w:cs="Times New Roman"/>
      <w:sz w:val="24"/>
      <w:szCs w:val="24"/>
      <w:lang w:val="en-GB"/>
    </w:rPr>
  </w:style>
  <w:style w:type="character" w:styleId="PageNumber">
    <w:name w:val="page number"/>
    <w:rsid w:val="0039514B"/>
  </w:style>
  <w:style w:type="paragraph" w:customStyle="1" w:styleId="tv2132">
    <w:name w:val="tv2132"/>
    <w:basedOn w:val="Normal"/>
    <w:rsid w:val="009F3627"/>
    <w:pPr>
      <w:spacing w:line="360" w:lineRule="auto"/>
      <w:ind w:firstLine="300"/>
    </w:pPr>
    <w:rPr>
      <w:rFonts w:eastAsia="Times New Roman"/>
      <w:color w:val="414142"/>
      <w:sz w:val="20"/>
      <w:szCs w:val="20"/>
      <w:lang w:eastAsia="lv-LV"/>
    </w:rPr>
  </w:style>
  <w:style w:type="paragraph" w:styleId="ListParagraph">
    <w:name w:val="List Paragraph"/>
    <w:basedOn w:val="Normal"/>
    <w:uiPriority w:val="34"/>
    <w:qFormat/>
    <w:rsid w:val="00863BE0"/>
    <w:pPr>
      <w:widowControl w:val="0"/>
      <w:spacing w:after="200" w:line="276" w:lineRule="auto"/>
      <w:ind w:left="720"/>
      <w:contextualSpacing/>
    </w:pPr>
    <w:rPr>
      <w:rFonts w:ascii="Calibri" w:hAnsi="Calibri"/>
      <w:sz w:val="22"/>
    </w:rPr>
  </w:style>
  <w:style w:type="paragraph" w:styleId="EndnoteText">
    <w:name w:val="endnote text"/>
    <w:basedOn w:val="Normal"/>
    <w:link w:val="EndnoteTextChar"/>
    <w:uiPriority w:val="99"/>
    <w:semiHidden/>
    <w:unhideWhenUsed/>
    <w:rsid w:val="00BE7E65"/>
    <w:rPr>
      <w:sz w:val="20"/>
      <w:szCs w:val="20"/>
    </w:rPr>
  </w:style>
  <w:style w:type="character" w:customStyle="1" w:styleId="EndnoteTextChar">
    <w:name w:val="Endnote Text Char"/>
    <w:basedOn w:val="DefaultParagraphFont"/>
    <w:link w:val="EndnoteText"/>
    <w:uiPriority w:val="99"/>
    <w:semiHidden/>
    <w:rsid w:val="00BE7E65"/>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BE7E65"/>
    <w:rPr>
      <w:vertAlign w:val="superscript"/>
    </w:rPr>
  </w:style>
  <w:style w:type="character" w:styleId="Strong">
    <w:name w:val="Strong"/>
    <w:uiPriority w:val="22"/>
    <w:qFormat/>
    <w:rsid w:val="0069123E"/>
    <w:rPr>
      <w:b/>
      <w:bCs/>
    </w:rPr>
  </w:style>
  <w:style w:type="paragraph" w:customStyle="1" w:styleId="tv213">
    <w:name w:val="tv213"/>
    <w:basedOn w:val="Normal"/>
    <w:rsid w:val="000C5081"/>
    <w:pPr>
      <w:spacing w:before="100" w:beforeAutospacing="1" w:after="100" w:afterAutospacing="1"/>
    </w:pPr>
    <w:rPr>
      <w:rFonts w:eastAsia="Times New Roman"/>
      <w:szCs w:val="24"/>
      <w:lang w:eastAsia="lv-LV"/>
    </w:rPr>
  </w:style>
  <w:style w:type="character" w:customStyle="1" w:styleId="fontsize2">
    <w:name w:val="fontsize2"/>
    <w:basedOn w:val="DefaultParagraphFont"/>
    <w:rsid w:val="000C5081"/>
  </w:style>
  <w:style w:type="character" w:styleId="Hyperlink">
    <w:name w:val="Hyperlink"/>
    <w:basedOn w:val="DefaultParagraphFont"/>
    <w:uiPriority w:val="99"/>
    <w:semiHidden/>
    <w:unhideWhenUsed/>
    <w:rsid w:val="000C5081"/>
    <w:rPr>
      <w:color w:val="0000FF"/>
      <w:u w:val="single"/>
    </w:rPr>
  </w:style>
  <w:style w:type="paragraph" w:styleId="BalloonText">
    <w:name w:val="Balloon Text"/>
    <w:basedOn w:val="Normal"/>
    <w:link w:val="BalloonTextChar"/>
    <w:uiPriority w:val="99"/>
    <w:semiHidden/>
    <w:unhideWhenUsed/>
    <w:rsid w:val="007271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1B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65160">
      <w:bodyDiv w:val="1"/>
      <w:marLeft w:val="0"/>
      <w:marRight w:val="0"/>
      <w:marTop w:val="0"/>
      <w:marBottom w:val="0"/>
      <w:divBdr>
        <w:top w:val="none" w:sz="0" w:space="0" w:color="auto"/>
        <w:left w:val="none" w:sz="0" w:space="0" w:color="auto"/>
        <w:bottom w:val="none" w:sz="0" w:space="0" w:color="auto"/>
        <w:right w:val="none" w:sz="0" w:space="0" w:color="auto"/>
      </w:divBdr>
      <w:divsChild>
        <w:div w:id="497698758">
          <w:marLeft w:val="0"/>
          <w:marRight w:val="0"/>
          <w:marTop w:val="0"/>
          <w:marBottom w:val="0"/>
          <w:divBdr>
            <w:top w:val="none" w:sz="0" w:space="0" w:color="auto"/>
            <w:left w:val="none" w:sz="0" w:space="0" w:color="auto"/>
            <w:bottom w:val="none" w:sz="0" w:space="0" w:color="auto"/>
            <w:right w:val="none" w:sz="0" w:space="0" w:color="auto"/>
          </w:divBdr>
          <w:divsChild>
            <w:div w:id="58132855">
              <w:marLeft w:val="0"/>
              <w:marRight w:val="0"/>
              <w:marTop w:val="0"/>
              <w:marBottom w:val="0"/>
              <w:divBdr>
                <w:top w:val="none" w:sz="0" w:space="0" w:color="auto"/>
                <w:left w:val="none" w:sz="0" w:space="0" w:color="auto"/>
                <w:bottom w:val="none" w:sz="0" w:space="0" w:color="auto"/>
                <w:right w:val="none" w:sz="0" w:space="0" w:color="auto"/>
              </w:divBdr>
              <w:divsChild>
                <w:div w:id="1116018660">
                  <w:marLeft w:val="0"/>
                  <w:marRight w:val="0"/>
                  <w:marTop w:val="0"/>
                  <w:marBottom w:val="0"/>
                  <w:divBdr>
                    <w:top w:val="none" w:sz="0" w:space="0" w:color="auto"/>
                    <w:left w:val="none" w:sz="0" w:space="0" w:color="auto"/>
                    <w:bottom w:val="none" w:sz="0" w:space="0" w:color="auto"/>
                    <w:right w:val="none" w:sz="0" w:space="0" w:color="auto"/>
                  </w:divBdr>
                  <w:divsChild>
                    <w:div w:id="1139499106">
                      <w:marLeft w:val="0"/>
                      <w:marRight w:val="0"/>
                      <w:marTop w:val="0"/>
                      <w:marBottom w:val="0"/>
                      <w:divBdr>
                        <w:top w:val="none" w:sz="0" w:space="0" w:color="auto"/>
                        <w:left w:val="none" w:sz="0" w:space="0" w:color="auto"/>
                        <w:bottom w:val="none" w:sz="0" w:space="0" w:color="auto"/>
                        <w:right w:val="none" w:sz="0" w:space="0" w:color="auto"/>
                      </w:divBdr>
                      <w:divsChild>
                        <w:div w:id="585923058">
                          <w:marLeft w:val="0"/>
                          <w:marRight w:val="0"/>
                          <w:marTop w:val="0"/>
                          <w:marBottom w:val="0"/>
                          <w:divBdr>
                            <w:top w:val="none" w:sz="0" w:space="0" w:color="auto"/>
                            <w:left w:val="none" w:sz="0" w:space="0" w:color="auto"/>
                            <w:bottom w:val="none" w:sz="0" w:space="0" w:color="auto"/>
                            <w:right w:val="none" w:sz="0" w:space="0" w:color="auto"/>
                          </w:divBdr>
                          <w:divsChild>
                            <w:div w:id="2041661916">
                              <w:marLeft w:val="0"/>
                              <w:marRight w:val="0"/>
                              <w:marTop w:val="0"/>
                              <w:marBottom w:val="0"/>
                              <w:divBdr>
                                <w:top w:val="none" w:sz="0" w:space="0" w:color="auto"/>
                                <w:left w:val="none" w:sz="0" w:space="0" w:color="auto"/>
                                <w:bottom w:val="none" w:sz="0" w:space="0" w:color="auto"/>
                                <w:right w:val="none" w:sz="0" w:space="0" w:color="auto"/>
                              </w:divBdr>
                              <w:divsChild>
                                <w:div w:id="15523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262979">
      <w:bodyDiv w:val="1"/>
      <w:marLeft w:val="0"/>
      <w:marRight w:val="0"/>
      <w:marTop w:val="0"/>
      <w:marBottom w:val="0"/>
      <w:divBdr>
        <w:top w:val="none" w:sz="0" w:space="0" w:color="auto"/>
        <w:left w:val="none" w:sz="0" w:space="0" w:color="auto"/>
        <w:bottom w:val="none" w:sz="0" w:space="0" w:color="auto"/>
        <w:right w:val="none" w:sz="0" w:space="0" w:color="auto"/>
      </w:divBdr>
      <w:divsChild>
        <w:div w:id="1999722780">
          <w:marLeft w:val="0"/>
          <w:marRight w:val="0"/>
          <w:marTop w:val="0"/>
          <w:marBottom w:val="0"/>
          <w:divBdr>
            <w:top w:val="none" w:sz="0" w:space="0" w:color="auto"/>
            <w:left w:val="none" w:sz="0" w:space="0" w:color="auto"/>
            <w:bottom w:val="none" w:sz="0" w:space="0" w:color="auto"/>
            <w:right w:val="none" w:sz="0" w:space="0" w:color="auto"/>
          </w:divBdr>
          <w:divsChild>
            <w:div w:id="5670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9232">
      <w:bodyDiv w:val="1"/>
      <w:marLeft w:val="0"/>
      <w:marRight w:val="0"/>
      <w:marTop w:val="0"/>
      <w:marBottom w:val="0"/>
      <w:divBdr>
        <w:top w:val="none" w:sz="0" w:space="0" w:color="auto"/>
        <w:left w:val="none" w:sz="0" w:space="0" w:color="auto"/>
        <w:bottom w:val="none" w:sz="0" w:space="0" w:color="auto"/>
        <w:right w:val="none" w:sz="0" w:space="0" w:color="auto"/>
      </w:divBdr>
      <w:divsChild>
        <w:div w:id="1979262283">
          <w:marLeft w:val="0"/>
          <w:marRight w:val="0"/>
          <w:marTop w:val="0"/>
          <w:marBottom w:val="0"/>
          <w:divBdr>
            <w:top w:val="none" w:sz="0" w:space="0" w:color="auto"/>
            <w:left w:val="none" w:sz="0" w:space="0" w:color="auto"/>
            <w:bottom w:val="none" w:sz="0" w:space="0" w:color="auto"/>
            <w:right w:val="none" w:sz="0" w:space="0" w:color="auto"/>
          </w:divBdr>
          <w:divsChild>
            <w:div w:id="10501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09137">
      <w:bodyDiv w:val="1"/>
      <w:marLeft w:val="0"/>
      <w:marRight w:val="0"/>
      <w:marTop w:val="0"/>
      <w:marBottom w:val="0"/>
      <w:divBdr>
        <w:top w:val="none" w:sz="0" w:space="0" w:color="auto"/>
        <w:left w:val="none" w:sz="0" w:space="0" w:color="auto"/>
        <w:bottom w:val="none" w:sz="0" w:space="0" w:color="auto"/>
        <w:right w:val="none" w:sz="0" w:space="0" w:color="auto"/>
      </w:divBdr>
    </w:div>
    <w:div w:id="199144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08834-elektroenergijas-tirgus-likums" TargetMode="External"/><Relationship Id="rId13" Type="http://schemas.openxmlformats.org/officeDocument/2006/relationships/hyperlink" Target="http://likumi.lv/ta/id/282649-grozijumi-elektroenergijas-tirgus-liku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ta/id/108834-elektroenergijas-tirgus-likums/redakcijas-datums/2016/10/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10883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ikumi.lv/doc.php?id=108834" TargetMode="External"/><Relationship Id="rId4" Type="http://schemas.openxmlformats.org/officeDocument/2006/relationships/settings" Target="settings.xml"/><Relationship Id="rId9" Type="http://schemas.openxmlformats.org/officeDocument/2006/relationships/hyperlink" Target="http://likumi.lv/ta/id/282649-grozijumi-elektroenergijas-tirgus-likum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B1855-434B-4DF8-8459-0AD9C1DC8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7162</Words>
  <Characters>4083</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B-782</dc:creator>
  <cp:keywords/>
  <dc:description/>
  <cp:lastModifiedBy>Arnis Krustiņš</cp:lastModifiedBy>
  <cp:revision>2</cp:revision>
  <cp:lastPrinted>2016-11-04T16:08:00Z</cp:lastPrinted>
  <dcterms:created xsi:type="dcterms:W3CDTF">2016-11-04T16:08:00Z</dcterms:created>
  <dcterms:modified xsi:type="dcterms:W3CDTF">2016-11-04T16:08:00Z</dcterms:modified>
</cp:coreProperties>
</file>