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D3" w:rsidRPr="000B7A35" w:rsidRDefault="00F941D3" w:rsidP="00657576">
      <w:pPr>
        <w:pStyle w:val="tv213"/>
        <w:spacing w:before="0" w:beforeAutospacing="0" w:after="0" w:afterAutospacing="0" w:line="293" w:lineRule="atLeast"/>
        <w:jc w:val="center"/>
        <w:rPr>
          <w:b/>
          <w:bCs/>
        </w:rPr>
      </w:pPr>
      <w:bookmarkStart w:id="0" w:name="OLE_LINK1"/>
      <w:bookmarkStart w:id="1" w:name="OLE_LINK2"/>
      <w:r w:rsidRPr="000B7A35">
        <w:rPr>
          <w:b/>
          <w:bCs/>
        </w:rPr>
        <w:t xml:space="preserve">Informatīvais ziņojums par </w:t>
      </w:r>
      <w:r w:rsidR="00BF435F">
        <w:rPr>
          <w:b/>
          <w:bCs/>
        </w:rPr>
        <w:t>papildus līdzekļu piešķiršanu veselības aprūpes nozarei</w:t>
      </w:r>
    </w:p>
    <w:bookmarkEnd w:id="0"/>
    <w:bookmarkEnd w:id="1"/>
    <w:p w:rsidR="00F941D3" w:rsidRPr="000B7A35" w:rsidRDefault="00F941D3" w:rsidP="00F941D3">
      <w:pPr>
        <w:pStyle w:val="tv213"/>
        <w:spacing w:before="0" w:beforeAutospacing="0" w:after="0" w:afterAutospacing="0" w:line="293" w:lineRule="atLeast"/>
        <w:jc w:val="center"/>
        <w:rPr>
          <w:b/>
          <w:bCs/>
        </w:rPr>
      </w:pPr>
    </w:p>
    <w:p w:rsidR="00D50CDA" w:rsidRPr="00881A38" w:rsidRDefault="00F941D3" w:rsidP="00D50CDA">
      <w:pPr>
        <w:pStyle w:val="tv213"/>
        <w:spacing w:before="0" w:beforeAutospacing="0" w:after="0" w:afterAutospacing="0" w:line="293" w:lineRule="atLeast"/>
        <w:ind w:firstLine="720"/>
        <w:jc w:val="both"/>
        <w:rPr>
          <w:b/>
        </w:rPr>
      </w:pPr>
      <w:r w:rsidRPr="00881A38">
        <w:t xml:space="preserve">Informatīvais ziņojums sagatavots </w:t>
      </w:r>
      <w:r w:rsidR="00BE4F20" w:rsidRPr="00881A38">
        <w:t>atbilstoši 2015</w:t>
      </w:r>
      <w:r w:rsidR="00D50CDA" w:rsidRPr="00881A38">
        <w:t>.gada 31.marta Ministru kabineta sēdes protokola Nr.17</w:t>
      </w:r>
      <w:r w:rsidR="00CE2FDB" w:rsidRPr="00881A38">
        <w:t xml:space="preserve"> </w:t>
      </w:r>
      <w:r w:rsidR="00D50CDA" w:rsidRPr="00881A38">
        <w:t>4</w:t>
      </w:r>
      <w:r w:rsidR="00CE2FDB" w:rsidRPr="00881A38">
        <w:t>3.§</w:t>
      </w:r>
      <w:r w:rsidR="00DA38D7" w:rsidRPr="00881A38">
        <w:t xml:space="preserve"> „Informatīvajam ziņojumam "</w:t>
      </w:r>
      <w:r w:rsidR="00D50CDA" w:rsidRPr="00881A38">
        <w:t xml:space="preserve"> Par VSIA „Paula Stradiņa klīniskā universitātes slimnīca” jaunā korpusa būvniecības un iekārtošanas finansējuma jautājumiem”</w:t>
      </w:r>
      <w:r w:rsidR="00DA38D7" w:rsidRPr="00881A38">
        <w:t xml:space="preserve">" </w:t>
      </w:r>
      <w:r w:rsidR="00D50CDA" w:rsidRPr="00881A38">
        <w:t xml:space="preserve"> (turpmāk – </w:t>
      </w:r>
      <w:r w:rsidR="00451F75" w:rsidRPr="00881A38">
        <w:t>2015.gada 31.marta Informatīvais ziņojums</w:t>
      </w:r>
      <w:r w:rsidR="00D50CDA" w:rsidRPr="00881A38">
        <w:t>)</w:t>
      </w:r>
      <w:r w:rsidR="00451F75" w:rsidRPr="00881A38">
        <w:t xml:space="preserve"> </w:t>
      </w:r>
      <w:r w:rsidR="00DA38D7" w:rsidRPr="00881A38">
        <w:t xml:space="preserve">un </w:t>
      </w:r>
      <w:r w:rsidR="00D50CDA" w:rsidRPr="00881A38">
        <w:t xml:space="preserve">šobrīd pastāvošo situāciju veselības aprūpes nozarē. </w:t>
      </w:r>
    </w:p>
    <w:p w:rsidR="003674CF" w:rsidRPr="00881A38" w:rsidRDefault="003674CF" w:rsidP="00AC359A">
      <w:pPr>
        <w:pStyle w:val="tv213"/>
        <w:spacing w:before="0" w:beforeAutospacing="0" w:after="0" w:afterAutospacing="0" w:line="293" w:lineRule="atLeast"/>
        <w:jc w:val="both"/>
      </w:pPr>
    </w:p>
    <w:p w:rsidR="00D50CDA" w:rsidRPr="00881A38" w:rsidRDefault="003674CF" w:rsidP="003674CF">
      <w:pPr>
        <w:pStyle w:val="tv213"/>
        <w:spacing w:before="0" w:beforeAutospacing="0" w:after="0" w:afterAutospacing="0" w:line="293" w:lineRule="atLeast"/>
        <w:ind w:left="720"/>
        <w:rPr>
          <w:b/>
        </w:rPr>
      </w:pPr>
      <w:r>
        <w:rPr>
          <w:b/>
        </w:rPr>
        <w:t xml:space="preserve">I </w:t>
      </w:r>
      <w:r w:rsidR="001033D6">
        <w:rPr>
          <w:b/>
        </w:rPr>
        <w:t>Jaunā korpusa būvniecībai un iekārtošanai</w:t>
      </w:r>
      <w:r w:rsidR="00D50CDA" w:rsidRPr="00881A38">
        <w:rPr>
          <w:b/>
        </w:rPr>
        <w:t xml:space="preserve"> </w:t>
      </w:r>
      <w:r w:rsidR="001033D6">
        <w:rPr>
          <w:b/>
        </w:rPr>
        <w:t>nepieciešamais finansējums</w:t>
      </w:r>
    </w:p>
    <w:p w:rsidR="00D50CDA" w:rsidRPr="00881A38" w:rsidRDefault="00D50CDA" w:rsidP="00D50CDA">
      <w:pPr>
        <w:pStyle w:val="tv213"/>
        <w:spacing w:before="0" w:beforeAutospacing="0" w:after="0" w:afterAutospacing="0" w:line="293" w:lineRule="atLeast"/>
        <w:jc w:val="center"/>
      </w:pPr>
    </w:p>
    <w:p w:rsidR="00D23409" w:rsidRDefault="00D23409" w:rsidP="00D23409">
      <w:pPr>
        <w:pStyle w:val="tv213"/>
        <w:spacing w:before="0" w:beforeAutospacing="0" w:after="0" w:afterAutospacing="0" w:line="293" w:lineRule="atLeast"/>
        <w:ind w:firstLine="720"/>
        <w:jc w:val="both"/>
      </w:pPr>
      <w:r w:rsidRPr="00275E71">
        <w:t xml:space="preserve">Jaunā </w:t>
      </w:r>
      <w:r>
        <w:t xml:space="preserve">A </w:t>
      </w:r>
      <w:r w:rsidRPr="00275E71">
        <w:t xml:space="preserve">korpusa </w:t>
      </w:r>
      <w:r>
        <w:t xml:space="preserve">1.kārtas </w:t>
      </w:r>
      <w:r w:rsidRPr="00275E71">
        <w:t>būvniecīb</w:t>
      </w:r>
      <w:r>
        <w:t>a</w:t>
      </w:r>
      <w:r w:rsidRPr="00275E71">
        <w:t xml:space="preserve"> un iekārtošan</w:t>
      </w:r>
      <w:r>
        <w:t>a</w:t>
      </w:r>
      <w:r w:rsidRPr="00275E71">
        <w:t xml:space="preserve"> saskaņā ar 2015.gada 31.marta Informatīvo ziņojumu </w:t>
      </w:r>
      <w:r>
        <w:t>tiek realizēta</w:t>
      </w:r>
      <w:r w:rsidRPr="00275E71">
        <w:t xml:space="preserve"> VSIA „Paula Stradiņa klīniskā universitātes slimnīca”</w:t>
      </w:r>
      <w:r>
        <w:t xml:space="preserve"> (turpmāk – Slimnīca)</w:t>
      </w:r>
      <w:r w:rsidRPr="00275E71">
        <w:t xml:space="preserve"> ilgtermiņa attīstības plāna ietvaros, kas paredz daļēju ēku nojaukšanu, divu jaunu korpusu A un B būvniecību, kā arī vēsturiskā mantojuma – </w:t>
      </w:r>
      <w:proofErr w:type="spellStart"/>
      <w:r w:rsidRPr="00275E71">
        <w:t>Šmēlinga</w:t>
      </w:r>
      <w:proofErr w:type="spellEnd"/>
      <w:r w:rsidRPr="00275E71">
        <w:t xml:space="preserve"> arhitektūras pieminekļu - restaurēšanu, izvietojot tur mācību un zinātnes parku</w:t>
      </w:r>
      <w:r>
        <w:t>.</w:t>
      </w:r>
      <w:r w:rsidRPr="00275E71">
        <w:t xml:space="preserve"> </w:t>
      </w:r>
      <w:r>
        <w:t>Pasākuma</w:t>
      </w:r>
      <w:r w:rsidRPr="00275E71">
        <w:t xml:space="preserve"> īstenošanai piesaistot finansējumu no valsts galvotā aizdevuma, Eiropas Reģionālā attīstības fonda (</w:t>
      </w:r>
      <w:r w:rsidRPr="00275E71">
        <w:rPr>
          <w:iCs/>
        </w:rPr>
        <w:t>turpmāk – ERAF)</w:t>
      </w:r>
      <w:r w:rsidRPr="00275E71">
        <w:t xml:space="preserve"> un no valsts budžeta līdzekļiem 16 062 374 EUR apmērā - jaunā A korpusa 1.kārtas būvniecības darbu veikšanai un iekārtošanai 2017.gadā (2015.gada 31.marta Ministru kabineta sēdes protokola Nr.17 43.§ 2.punkts). </w:t>
      </w:r>
    </w:p>
    <w:p w:rsidR="00D23409" w:rsidRDefault="00D23409" w:rsidP="00D23409">
      <w:pPr>
        <w:pStyle w:val="tv213"/>
        <w:spacing w:before="0" w:beforeAutospacing="0" w:after="0" w:afterAutospacing="0" w:line="293" w:lineRule="atLeast"/>
        <w:ind w:firstLine="720"/>
        <w:jc w:val="both"/>
      </w:pPr>
      <w:r w:rsidRPr="00275E71">
        <w:t xml:space="preserve">Atbilstoši </w:t>
      </w:r>
      <w:r>
        <w:t xml:space="preserve">Slimnīcas </w:t>
      </w:r>
      <w:r w:rsidRPr="00275E71">
        <w:t xml:space="preserve">iesniegtajai informācijai ar „SBRE” pilnsabiedrību, kuras dalībnieki ir SIA „RE&amp;RE” un SIA „Skonto būve” noslēgtā „A korpusa projektēšanas, autoruzraudzības, būvniecības darbu veikšanas un iebūvējamo iekārtu piegādes, uzstādīšanas un apkalpošanas garantijas laikā” iepirkuma līguma paveikto darbu apjoms </w:t>
      </w:r>
      <w:r w:rsidR="00AF1BEA">
        <w:t xml:space="preserve">saskaņā ar pieņemšanas – nodošanas aktu, par ko dotajā brīdī norit pārbaudes procedūras,  </w:t>
      </w:r>
      <w:r w:rsidRPr="00275E71">
        <w:t xml:space="preserve">uz 2016.gada </w:t>
      </w:r>
      <w:r w:rsidR="00AF1BEA">
        <w:t xml:space="preserve">17.oktobri </w:t>
      </w:r>
      <w:r w:rsidRPr="00275E71">
        <w:t xml:space="preserve">sastāda </w:t>
      </w:r>
      <w:r w:rsidR="00AF1BEA">
        <w:t>99</w:t>
      </w:r>
      <w:r w:rsidRPr="00275E71">
        <w:t>,</w:t>
      </w:r>
      <w:r w:rsidR="00AF1BEA">
        <w:t>24</w:t>
      </w:r>
      <w:r w:rsidRPr="00275E71">
        <w:t xml:space="preserve"> % par ko Slimnīcai </w:t>
      </w:r>
      <w:r w:rsidR="00AF1BEA">
        <w:t>būs</w:t>
      </w:r>
      <w:r w:rsidRPr="00275E71">
        <w:t xml:space="preserve"> savlaicīgi jānorēķinās atbilstoši noslēgtajam līgumam. Papildus tam saskaņā ar noslēgtā līguma nosacījumiem 1.kārtas būvniecības darbu nodošanas termiņš paredzēts 2016.gada 17.oktobris, pēc kura Slimnīcai pilnībā jānorēķinās ar būvnieku. Turpat līgumā n</w:t>
      </w:r>
      <w:r>
        <w:t>oteikts nosacījums, ka maksājuma kavējuma</w:t>
      </w:r>
      <w:r w:rsidRPr="00275E71">
        <w:t xml:space="preserve"> Slimnīcas vainas dēļ, </w:t>
      </w:r>
      <w:r>
        <w:t>„</w:t>
      </w:r>
      <w:r w:rsidRPr="00275E71">
        <w:t>SBRE” pilnsabiedrībai ir tiesības pieprasīt līgumsodu 0,1% apmērā no termiņā neveiktā maksājuma summas par katru kavējuma dienu, bet ne vairāk kā 10% no termiņā neveiktā maksājuma summas</w:t>
      </w:r>
      <w:r>
        <w:t xml:space="preserve">. </w:t>
      </w:r>
    </w:p>
    <w:p w:rsidR="00D23409" w:rsidRPr="00275E71" w:rsidRDefault="00D23409" w:rsidP="00D23409">
      <w:pPr>
        <w:pStyle w:val="tv213"/>
        <w:spacing w:before="0" w:beforeAutospacing="0" w:after="0" w:afterAutospacing="0" w:line="293" w:lineRule="atLeast"/>
        <w:ind w:firstLine="720"/>
        <w:jc w:val="both"/>
      </w:pPr>
      <w:r>
        <w:t>Atbilstoši minētajam</w:t>
      </w:r>
      <w:r w:rsidRPr="00275E71">
        <w:t xml:space="preserve">, lai 2016.gadā </w:t>
      </w:r>
      <w:r>
        <w:t>neapdraudētu</w:t>
      </w:r>
      <w:r w:rsidRPr="00275E71">
        <w:t xml:space="preserve"> Slimnīcas finansiālo stāvokli, attiecīgi Slimnīcai meklējot iespējas esošos vai aizņemtos resursus novirzīt būvniecības līguma segšanai, tādējādi pasliktinot slimnīcas šā brīža situāciju, nepieciešams 2017.gada valsts budžetā paredzēto finansējumu piešķirt 2016.gadā. Ar šāda lēmuma pieņemšanu tiktu uzlabota Slimnīcas naudas plūsma, kā arī segtas saistības noteiktajos termiņos, neradot risku nākotnē papildus līdzekļu nepieciešamībai soda </w:t>
      </w:r>
      <w:r w:rsidRPr="00C435F9">
        <w:t xml:space="preserve">procentu nomaksai. Ar minēto valsts budžeta piešķīrumu plānots arī veicināt 1.kārtas jaunā A korpusa </w:t>
      </w:r>
      <w:r w:rsidR="008576B6" w:rsidRPr="00C435F9">
        <w:t xml:space="preserve">lielā projekta Nr.CCI2015 LV161PR002 "Paula Stradiņa slimnīcas būve „A1”" </w:t>
      </w:r>
      <w:r w:rsidRPr="00C435F9">
        <w:t>pabeigšanu</w:t>
      </w:r>
      <w:r w:rsidR="00AF1BEA" w:rsidRPr="00C435F9">
        <w:t>, kas ietver gan iepriekšminētā būvniecības procesa izpildi, gan infrastruktūras at</w:t>
      </w:r>
      <w:r w:rsidR="00C435F9" w:rsidRPr="00C435F9">
        <w:t xml:space="preserve">tīstību iekārtu </w:t>
      </w:r>
      <w:r w:rsidR="00C435F9">
        <w:t xml:space="preserve">seguma </w:t>
      </w:r>
      <w:r w:rsidR="00C435F9" w:rsidRPr="00C435F9">
        <w:t xml:space="preserve">ziņā. Lielā projekta izpildi plānots realizēt </w:t>
      </w:r>
      <w:r w:rsidRPr="00C435F9">
        <w:t xml:space="preserve">līdz </w:t>
      </w:r>
      <w:r w:rsidR="00DA51AD" w:rsidRPr="00C435F9">
        <w:t>2</w:t>
      </w:r>
      <w:r w:rsidR="00C435F9" w:rsidRPr="00C435F9">
        <w:t xml:space="preserve">017.gada 31.martam. Līdz ar minēto ar būvniecības procesa </w:t>
      </w:r>
      <w:r w:rsidR="00C435F9">
        <w:t>izpildi</w:t>
      </w:r>
      <w:r w:rsidR="00C435F9" w:rsidRPr="00C435F9">
        <w:t xml:space="preserve"> tiks veicināta </w:t>
      </w:r>
      <w:r w:rsidR="00DA51AD" w:rsidRPr="00C435F9">
        <w:t xml:space="preserve">Slimnīcas jaunā A korpusa </w:t>
      </w:r>
      <w:r w:rsidR="00C435F9" w:rsidRPr="00C435F9">
        <w:t xml:space="preserve">lielā projekta pabeigšana </w:t>
      </w:r>
      <w:r w:rsidR="00DA51AD" w:rsidRPr="00C435F9">
        <w:t>noteiktajos termiņos.</w:t>
      </w:r>
      <w:r w:rsidR="00AF1BEA">
        <w:t xml:space="preserve"> </w:t>
      </w:r>
    </w:p>
    <w:p w:rsidR="00D23409" w:rsidRDefault="00C435F9" w:rsidP="00D23409">
      <w:pPr>
        <w:pStyle w:val="tv213"/>
        <w:spacing w:before="0" w:beforeAutospacing="0" w:after="0" w:afterAutospacing="0" w:line="293" w:lineRule="atLeast"/>
        <w:ind w:firstLine="720"/>
        <w:jc w:val="both"/>
      </w:pPr>
      <w:r>
        <w:t>Ievērojot to</w:t>
      </w:r>
      <w:r w:rsidR="00D23409" w:rsidRPr="00275E71">
        <w:t xml:space="preserve">, ka 1.kārtas būvniecības </w:t>
      </w:r>
      <w:r>
        <w:t xml:space="preserve">un infrastruktūras uzlabošanas </w:t>
      </w:r>
      <w:r w:rsidR="00D23409" w:rsidRPr="00275E71">
        <w:t xml:space="preserve">pabeigšanas process paredz </w:t>
      </w:r>
      <w:r w:rsidR="00D23409">
        <w:t xml:space="preserve">arī </w:t>
      </w:r>
      <w:r w:rsidR="00D23409" w:rsidRPr="00275E71">
        <w:t>iekārtu un aprīkojuma iegādi 2017.gadam, kas</w:t>
      </w:r>
      <w:r w:rsidR="00227ABC">
        <w:t>,</w:t>
      </w:r>
      <w:r w:rsidR="00D23409" w:rsidRPr="00275E71">
        <w:t xml:space="preserve"> izvērtējot esošo situāciju</w:t>
      </w:r>
      <w:r w:rsidR="00227ABC">
        <w:t>,</w:t>
      </w:r>
      <w:r w:rsidR="00D23409" w:rsidRPr="00275E71">
        <w:t xml:space="preserve"> plānojama segt no Valsts galvotā aizdevu</w:t>
      </w:r>
      <w:r>
        <w:t>ma finanšu līdzekļiem 2017.gadā, a</w:t>
      </w:r>
      <w:r w:rsidR="00D23409">
        <w:t xml:space="preserve">ttiecīgi ar no valsts budžeta piešķirto finansējumu plānots segt: </w:t>
      </w:r>
    </w:p>
    <w:p w:rsidR="003674CF" w:rsidRPr="00681BFE" w:rsidRDefault="003674CF" w:rsidP="00D23409">
      <w:pPr>
        <w:pStyle w:val="tv213"/>
        <w:spacing w:before="0" w:beforeAutospacing="0" w:after="0" w:afterAutospacing="0" w:line="293" w:lineRule="atLeast"/>
        <w:ind w:firstLine="720"/>
        <w:jc w:val="both"/>
        <w:rPr>
          <w:sz w:val="22"/>
          <w:szCs w:val="22"/>
        </w:rPr>
      </w:pPr>
      <w:r>
        <w:lastRenderedPageBreak/>
        <w:tab/>
      </w:r>
      <w:r>
        <w:tab/>
      </w:r>
      <w:r>
        <w:tab/>
      </w:r>
      <w:r>
        <w:tab/>
      </w:r>
      <w:r>
        <w:tab/>
      </w:r>
      <w:r>
        <w:tab/>
      </w:r>
      <w:r>
        <w:tab/>
      </w:r>
      <w:r>
        <w:tab/>
      </w:r>
      <w:r>
        <w:tab/>
      </w:r>
      <w:r>
        <w:tab/>
      </w:r>
      <w:r w:rsidRPr="00681BFE">
        <w:rPr>
          <w:sz w:val="22"/>
          <w:szCs w:val="22"/>
        </w:rPr>
        <w:t>1.tabula</w:t>
      </w:r>
    </w:p>
    <w:tbl>
      <w:tblPr>
        <w:tblpPr w:leftFromText="180" w:rightFromText="180" w:vertAnchor="text" w:horzAnchor="margin" w:tblpY="33"/>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46"/>
        <w:gridCol w:w="1716"/>
      </w:tblGrid>
      <w:tr w:rsidR="00681BFE" w:rsidRPr="007479FB" w:rsidTr="00681BFE">
        <w:trPr>
          <w:trHeight w:val="510"/>
          <w:tblHeader/>
        </w:trPr>
        <w:tc>
          <w:tcPr>
            <w:tcW w:w="534" w:type="dxa"/>
            <w:shd w:val="clear" w:color="auto" w:fill="FABF8F"/>
          </w:tcPr>
          <w:p w:rsidR="00681BFE" w:rsidRPr="007479FB" w:rsidRDefault="00681BFE" w:rsidP="00EB67E3">
            <w:pPr>
              <w:spacing w:before="60" w:after="60"/>
              <w:jc w:val="center"/>
              <w:rPr>
                <w:rFonts w:ascii="Times New Roman" w:hAnsi="Times New Roman" w:cs="Times New Roman"/>
                <w:b/>
              </w:rPr>
            </w:pPr>
            <w:proofErr w:type="spellStart"/>
            <w:r>
              <w:rPr>
                <w:rFonts w:ascii="Times New Roman" w:hAnsi="Times New Roman" w:cs="Times New Roman"/>
                <w:b/>
              </w:rPr>
              <w:t>N.p.k</w:t>
            </w:r>
            <w:proofErr w:type="spellEnd"/>
            <w:r>
              <w:rPr>
                <w:rFonts w:ascii="Times New Roman" w:hAnsi="Times New Roman" w:cs="Times New Roman"/>
                <w:b/>
              </w:rPr>
              <w:t>.</w:t>
            </w:r>
          </w:p>
        </w:tc>
        <w:tc>
          <w:tcPr>
            <w:tcW w:w="6946" w:type="dxa"/>
            <w:shd w:val="clear" w:color="auto" w:fill="FABF8F"/>
            <w:vAlign w:val="center"/>
            <w:hideMark/>
          </w:tcPr>
          <w:p w:rsidR="00681BFE" w:rsidRPr="007479FB" w:rsidRDefault="00681BFE" w:rsidP="00EB67E3">
            <w:pPr>
              <w:spacing w:before="60" w:after="60"/>
              <w:jc w:val="center"/>
              <w:rPr>
                <w:rFonts w:ascii="Times New Roman" w:hAnsi="Times New Roman" w:cs="Times New Roman"/>
                <w:b/>
              </w:rPr>
            </w:pPr>
            <w:r w:rsidRPr="007479FB">
              <w:rPr>
                <w:rFonts w:ascii="Times New Roman" w:hAnsi="Times New Roman" w:cs="Times New Roman"/>
                <w:b/>
              </w:rPr>
              <w:t>Struktūrvienība / aktivitāte</w:t>
            </w:r>
          </w:p>
        </w:tc>
        <w:tc>
          <w:tcPr>
            <w:tcW w:w="1716" w:type="dxa"/>
            <w:shd w:val="clear" w:color="auto" w:fill="FABF8F"/>
            <w:vAlign w:val="center"/>
            <w:hideMark/>
          </w:tcPr>
          <w:p w:rsidR="00681BFE" w:rsidRPr="007479FB" w:rsidRDefault="00681BFE" w:rsidP="00EB67E3">
            <w:pPr>
              <w:spacing w:before="60" w:after="60"/>
              <w:jc w:val="center"/>
              <w:rPr>
                <w:rFonts w:ascii="Times New Roman" w:hAnsi="Times New Roman" w:cs="Times New Roman"/>
                <w:b/>
              </w:rPr>
            </w:pPr>
            <w:r w:rsidRPr="007479FB">
              <w:rPr>
                <w:rFonts w:ascii="Times New Roman" w:hAnsi="Times New Roman" w:cs="Times New Roman"/>
                <w:b/>
              </w:rPr>
              <w:t>Izmaksas [</w:t>
            </w:r>
            <w:proofErr w:type="spellStart"/>
            <w:r w:rsidRPr="007479FB">
              <w:rPr>
                <w:rFonts w:ascii="Times New Roman" w:hAnsi="Times New Roman" w:cs="Times New Roman"/>
                <w:b/>
                <w:i/>
              </w:rPr>
              <w:t>euro</w:t>
            </w:r>
            <w:proofErr w:type="spellEnd"/>
            <w:r w:rsidRPr="007479FB">
              <w:rPr>
                <w:rFonts w:ascii="Times New Roman" w:hAnsi="Times New Roman" w:cs="Times New Roman"/>
                <w:b/>
              </w:rPr>
              <w:t>]</w:t>
            </w:r>
          </w:p>
        </w:tc>
      </w:tr>
      <w:tr w:rsidR="00681BFE" w:rsidRPr="007479FB" w:rsidTr="00681BFE">
        <w:trPr>
          <w:trHeight w:val="266"/>
          <w:tblHeader/>
        </w:trPr>
        <w:tc>
          <w:tcPr>
            <w:tcW w:w="534" w:type="dxa"/>
          </w:tcPr>
          <w:p w:rsidR="00681BFE" w:rsidRPr="00681BFE" w:rsidRDefault="00681BFE" w:rsidP="00681BFE">
            <w:pPr>
              <w:spacing w:before="60" w:after="60"/>
              <w:jc w:val="center"/>
              <w:rPr>
                <w:rFonts w:ascii="Times New Roman" w:hAnsi="Times New Roman" w:cs="Times New Roman"/>
              </w:rPr>
            </w:pPr>
            <w:r w:rsidRPr="00681BFE">
              <w:rPr>
                <w:rFonts w:ascii="Times New Roman" w:hAnsi="Times New Roman" w:cs="Times New Roman"/>
              </w:rPr>
              <w:t>1</w:t>
            </w:r>
          </w:p>
        </w:tc>
        <w:tc>
          <w:tcPr>
            <w:tcW w:w="6946" w:type="dxa"/>
            <w:shd w:val="clear" w:color="auto" w:fill="auto"/>
            <w:vAlign w:val="center"/>
            <w:hideMark/>
          </w:tcPr>
          <w:p w:rsidR="00681BFE" w:rsidRPr="00C435F9" w:rsidRDefault="00681BFE" w:rsidP="00EB67E3">
            <w:pPr>
              <w:spacing w:before="60" w:after="60"/>
              <w:jc w:val="center"/>
              <w:rPr>
                <w:rFonts w:ascii="Times New Roman" w:hAnsi="Times New Roman" w:cs="Times New Roman"/>
              </w:rPr>
            </w:pPr>
            <w:r>
              <w:rPr>
                <w:rFonts w:ascii="Times New Roman" w:hAnsi="Times New Roman" w:cs="Times New Roman"/>
              </w:rPr>
              <w:t>2</w:t>
            </w:r>
          </w:p>
        </w:tc>
        <w:tc>
          <w:tcPr>
            <w:tcW w:w="1716" w:type="dxa"/>
            <w:shd w:val="clear" w:color="auto" w:fill="auto"/>
            <w:vAlign w:val="center"/>
            <w:hideMark/>
          </w:tcPr>
          <w:p w:rsidR="00681BFE" w:rsidRPr="00C435F9" w:rsidRDefault="00681BFE" w:rsidP="00681BFE">
            <w:pPr>
              <w:spacing w:before="60" w:after="60"/>
              <w:jc w:val="center"/>
              <w:rPr>
                <w:rFonts w:ascii="Times New Roman" w:hAnsi="Times New Roman" w:cs="Times New Roman"/>
              </w:rPr>
            </w:pPr>
            <w:r>
              <w:rPr>
                <w:rFonts w:ascii="Times New Roman" w:hAnsi="Times New Roman" w:cs="Times New Roman"/>
              </w:rPr>
              <w:t>3</w:t>
            </w:r>
          </w:p>
        </w:tc>
      </w:tr>
      <w:tr w:rsidR="00681BFE" w:rsidRPr="007479FB" w:rsidTr="00681BFE">
        <w:trPr>
          <w:trHeight w:val="510"/>
        </w:trPr>
        <w:tc>
          <w:tcPr>
            <w:tcW w:w="534" w:type="dxa"/>
          </w:tcPr>
          <w:p w:rsidR="00681BFE" w:rsidRPr="00681BFE" w:rsidRDefault="00681BFE" w:rsidP="00681BFE">
            <w:pPr>
              <w:spacing w:before="60" w:after="60"/>
              <w:jc w:val="center"/>
              <w:rPr>
                <w:rFonts w:ascii="Times New Roman" w:hAnsi="Times New Roman" w:cs="Times New Roman"/>
              </w:rPr>
            </w:pPr>
            <w:r w:rsidRPr="00681BFE">
              <w:rPr>
                <w:rFonts w:ascii="Times New Roman" w:hAnsi="Times New Roman" w:cs="Times New Roman"/>
              </w:rPr>
              <w:t>1</w:t>
            </w:r>
          </w:p>
        </w:tc>
        <w:tc>
          <w:tcPr>
            <w:tcW w:w="6946" w:type="dxa"/>
            <w:shd w:val="clear" w:color="auto" w:fill="auto"/>
            <w:vAlign w:val="center"/>
            <w:hideMark/>
          </w:tcPr>
          <w:p w:rsidR="00681BFE" w:rsidRPr="007479FB" w:rsidRDefault="00681BFE" w:rsidP="00EB67E3">
            <w:pPr>
              <w:spacing w:before="60" w:after="60"/>
              <w:rPr>
                <w:rFonts w:ascii="Times New Roman" w:hAnsi="Times New Roman" w:cs="Times New Roman"/>
                <w:i/>
              </w:rPr>
            </w:pPr>
            <w:r w:rsidRPr="007479FB">
              <w:rPr>
                <w:rFonts w:ascii="Times New Roman" w:hAnsi="Times New Roman" w:cs="Times New Roman"/>
                <w:i/>
              </w:rPr>
              <w:t>Lietus ūdens novadīšanas kolektora izbūves saistību segšana</w:t>
            </w:r>
          </w:p>
        </w:tc>
        <w:tc>
          <w:tcPr>
            <w:tcW w:w="1716" w:type="dxa"/>
            <w:shd w:val="clear" w:color="auto" w:fill="auto"/>
            <w:vAlign w:val="center"/>
            <w:hideMark/>
          </w:tcPr>
          <w:p w:rsidR="00681BFE" w:rsidRPr="007479FB" w:rsidRDefault="00681BFE" w:rsidP="00EB67E3">
            <w:pPr>
              <w:spacing w:before="60" w:after="60"/>
              <w:jc w:val="right"/>
              <w:rPr>
                <w:rFonts w:ascii="Times New Roman" w:hAnsi="Times New Roman" w:cs="Times New Roman"/>
                <w:i/>
              </w:rPr>
            </w:pPr>
            <w:r w:rsidRPr="007479FB">
              <w:rPr>
                <w:rFonts w:ascii="Times New Roman" w:hAnsi="Times New Roman" w:cs="Times New Roman"/>
                <w:i/>
              </w:rPr>
              <w:t>385 587</w:t>
            </w:r>
          </w:p>
        </w:tc>
      </w:tr>
      <w:tr w:rsidR="00681BFE" w:rsidRPr="007479FB" w:rsidTr="00681BFE">
        <w:trPr>
          <w:trHeight w:val="510"/>
        </w:trPr>
        <w:tc>
          <w:tcPr>
            <w:tcW w:w="534" w:type="dxa"/>
          </w:tcPr>
          <w:p w:rsidR="00681BFE" w:rsidRPr="00681BFE" w:rsidRDefault="00681BFE" w:rsidP="00681BFE">
            <w:pPr>
              <w:spacing w:before="60" w:after="60"/>
              <w:jc w:val="center"/>
              <w:rPr>
                <w:rFonts w:ascii="Times New Roman" w:hAnsi="Times New Roman" w:cs="Times New Roman"/>
              </w:rPr>
            </w:pPr>
            <w:r w:rsidRPr="00681BFE">
              <w:rPr>
                <w:rFonts w:ascii="Times New Roman" w:hAnsi="Times New Roman" w:cs="Times New Roman"/>
              </w:rPr>
              <w:t>2</w:t>
            </w:r>
          </w:p>
        </w:tc>
        <w:tc>
          <w:tcPr>
            <w:tcW w:w="6946" w:type="dxa"/>
            <w:shd w:val="clear" w:color="auto" w:fill="auto"/>
            <w:vAlign w:val="center"/>
            <w:hideMark/>
          </w:tcPr>
          <w:p w:rsidR="00681BFE" w:rsidRPr="007479FB" w:rsidRDefault="00681BFE" w:rsidP="00EB67E3">
            <w:pPr>
              <w:spacing w:before="60" w:after="60"/>
              <w:rPr>
                <w:rFonts w:ascii="Times New Roman" w:hAnsi="Times New Roman" w:cs="Times New Roman"/>
                <w:i/>
              </w:rPr>
            </w:pPr>
            <w:r w:rsidRPr="007479FB">
              <w:rPr>
                <w:rFonts w:ascii="Times New Roman" w:hAnsi="Times New Roman" w:cs="Times New Roman"/>
                <w:i/>
              </w:rPr>
              <w:t xml:space="preserve">Līguma ar pilnsabiedrību „SBRE” uzņemto saistību izpilde </w:t>
            </w:r>
          </w:p>
        </w:tc>
        <w:tc>
          <w:tcPr>
            <w:tcW w:w="1716" w:type="dxa"/>
            <w:shd w:val="clear" w:color="auto" w:fill="auto"/>
            <w:vAlign w:val="center"/>
            <w:hideMark/>
          </w:tcPr>
          <w:p w:rsidR="00681BFE" w:rsidRPr="007479FB" w:rsidRDefault="00681BFE" w:rsidP="00EB67E3">
            <w:pPr>
              <w:spacing w:before="60" w:after="60"/>
              <w:jc w:val="right"/>
              <w:rPr>
                <w:rFonts w:ascii="Times New Roman" w:hAnsi="Times New Roman" w:cs="Times New Roman"/>
                <w:i/>
              </w:rPr>
            </w:pPr>
            <w:r w:rsidRPr="007479FB">
              <w:rPr>
                <w:rFonts w:ascii="Times New Roman" w:hAnsi="Times New Roman" w:cs="Times New Roman"/>
                <w:i/>
              </w:rPr>
              <w:t>9 353 915</w:t>
            </w:r>
          </w:p>
        </w:tc>
      </w:tr>
      <w:tr w:rsidR="00681BFE" w:rsidRPr="007479FB" w:rsidTr="00681BFE">
        <w:trPr>
          <w:trHeight w:val="510"/>
        </w:trPr>
        <w:tc>
          <w:tcPr>
            <w:tcW w:w="534" w:type="dxa"/>
          </w:tcPr>
          <w:p w:rsidR="00681BFE" w:rsidRPr="00681BFE" w:rsidRDefault="00681BFE" w:rsidP="00681BFE">
            <w:pPr>
              <w:spacing w:before="60" w:after="60"/>
              <w:jc w:val="center"/>
              <w:rPr>
                <w:rFonts w:ascii="Times New Roman" w:hAnsi="Times New Roman" w:cs="Times New Roman"/>
              </w:rPr>
            </w:pPr>
            <w:r w:rsidRPr="00681BFE">
              <w:rPr>
                <w:rFonts w:ascii="Times New Roman" w:hAnsi="Times New Roman" w:cs="Times New Roman"/>
              </w:rPr>
              <w:t>3</w:t>
            </w:r>
          </w:p>
        </w:tc>
        <w:tc>
          <w:tcPr>
            <w:tcW w:w="6946" w:type="dxa"/>
            <w:shd w:val="clear" w:color="auto" w:fill="auto"/>
            <w:vAlign w:val="center"/>
            <w:hideMark/>
          </w:tcPr>
          <w:p w:rsidR="00681BFE" w:rsidRPr="007479FB" w:rsidRDefault="00681BFE" w:rsidP="00795A94">
            <w:pPr>
              <w:spacing w:before="60" w:after="60"/>
              <w:rPr>
                <w:rFonts w:ascii="Times New Roman" w:hAnsi="Times New Roman" w:cs="Times New Roman"/>
                <w:i/>
              </w:rPr>
            </w:pPr>
            <w:r w:rsidRPr="007479FB">
              <w:rPr>
                <w:rFonts w:ascii="Times New Roman" w:hAnsi="Times New Roman" w:cs="Times New Roman"/>
                <w:i/>
              </w:rPr>
              <w:t>Līguma ar pilnsabiedrību „SBRE” uzņemto saistību izpilde</w:t>
            </w:r>
            <w:r>
              <w:rPr>
                <w:rFonts w:ascii="Times New Roman" w:hAnsi="Times New Roman" w:cs="Times New Roman"/>
                <w:i/>
              </w:rPr>
              <w:t xml:space="preserve"> (deficīts no </w:t>
            </w:r>
            <w:r w:rsidRPr="007479FB">
              <w:rPr>
                <w:rFonts w:ascii="Times New Roman" w:hAnsi="Times New Roman" w:cs="Times New Roman"/>
                <w:i/>
              </w:rPr>
              <w:t>Valsts galvotā aizdevuma finansējum</w:t>
            </w:r>
            <w:r>
              <w:rPr>
                <w:rFonts w:ascii="Times New Roman" w:hAnsi="Times New Roman" w:cs="Times New Roman"/>
                <w:i/>
              </w:rPr>
              <w:t>a</w:t>
            </w:r>
            <w:r w:rsidRPr="007479FB">
              <w:rPr>
                <w:rFonts w:ascii="Times New Roman" w:hAnsi="Times New Roman" w:cs="Times New Roman"/>
                <w:i/>
              </w:rPr>
              <w:t>, ko A/S „Latvijas Krājbanka” maksātnespējas rezultātā nav izdevies atgūt</w:t>
            </w:r>
            <w:r>
              <w:rPr>
                <w:rFonts w:ascii="Times New Roman" w:hAnsi="Times New Roman" w:cs="Times New Roman"/>
                <w:i/>
              </w:rPr>
              <w:t>)</w:t>
            </w:r>
          </w:p>
        </w:tc>
        <w:tc>
          <w:tcPr>
            <w:tcW w:w="1716" w:type="dxa"/>
            <w:shd w:val="clear" w:color="auto" w:fill="auto"/>
            <w:vAlign w:val="center"/>
            <w:hideMark/>
          </w:tcPr>
          <w:p w:rsidR="00681BFE" w:rsidRPr="007479FB" w:rsidRDefault="00681BFE" w:rsidP="00EB67E3">
            <w:pPr>
              <w:spacing w:before="60" w:after="60"/>
              <w:jc w:val="right"/>
              <w:rPr>
                <w:rFonts w:ascii="Times New Roman" w:hAnsi="Times New Roman" w:cs="Times New Roman"/>
                <w:i/>
              </w:rPr>
            </w:pPr>
            <w:bookmarkStart w:id="2" w:name="OLE_LINK3"/>
            <w:r w:rsidRPr="007479FB">
              <w:rPr>
                <w:rFonts w:ascii="Times New Roman" w:hAnsi="Times New Roman" w:cs="Times New Roman"/>
                <w:i/>
              </w:rPr>
              <w:t>6 322 872</w:t>
            </w:r>
            <w:bookmarkEnd w:id="2"/>
          </w:p>
        </w:tc>
      </w:tr>
      <w:tr w:rsidR="00681BFE" w:rsidRPr="007479FB" w:rsidTr="00681BFE">
        <w:trPr>
          <w:trHeight w:val="64"/>
        </w:trPr>
        <w:tc>
          <w:tcPr>
            <w:tcW w:w="534" w:type="dxa"/>
            <w:tcBorders>
              <w:left w:val="nil"/>
              <w:bottom w:val="nil"/>
              <w:right w:val="nil"/>
            </w:tcBorders>
          </w:tcPr>
          <w:p w:rsidR="00681BFE" w:rsidRPr="007479FB" w:rsidRDefault="00681BFE" w:rsidP="00EB67E3">
            <w:pPr>
              <w:spacing w:before="60" w:after="60"/>
              <w:rPr>
                <w:rFonts w:ascii="Times New Roman" w:hAnsi="Times New Roman" w:cs="Times New Roman"/>
              </w:rPr>
            </w:pPr>
          </w:p>
        </w:tc>
        <w:tc>
          <w:tcPr>
            <w:tcW w:w="6946" w:type="dxa"/>
            <w:tcBorders>
              <w:left w:val="nil"/>
              <w:bottom w:val="nil"/>
              <w:right w:val="nil"/>
            </w:tcBorders>
            <w:shd w:val="clear" w:color="auto" w:fill="auto"/>
            <w:noWrap/>
            <w:vAlign w:val="center"/>
            <w:hideMark/>
          </w:tcPr>
          <w:p w:rsidR="00681BFE" w:rsidRPr="007479FB" w:rsidRDefault="00681BFE" w:rsidP="00EB67E3">
            <w:pPr>
              <w:spacing w:before="60" w:after="60"/>
              <w:rPr>
                <w:rFonts w:ascii="Times New Roman" w:hAnsi="Times New Roman" w:cs="Times New Roman"/>
              </w:rPr>
            </w:pPr>
          </w:p>
        </w:tc>
        <w:tc>
          <w:tcPr>
            <w:tcW w:w="1716" w:type="dxa"/>
            <w:shd w:val="clear" w:color="auto" w:fill="auto"/>
            <w:vAlign w:val="center"/>
            <w:hideMark/>
          </w:tcPr>
          <w:p w:rsidR="00681BFE" w:rsidRPr="007479FB" w:rsidRDefault="00681BFE" w:rsidP="00EB67E3">
            <w:pPr>
              <w:spacing w:before="60" w:after="60"/>
              <w:jc w:val="right"/>
              <w:rPr>
                <w:rFonts w:ascii="Times New Roman" w:hAnsi="Times New Roman" w:cs="Times New Roman"/>
                <w:b/>
              </w:rPr>
            </w:pPr>
            <w:r w:rsidRPr="007479FB">
              <w:rPr>
                <w:rFonts w:ascii="Times New Roman" w:hAnsi="Times New Roman" w:cs="Times New Roman"/>
                <w:b/>
              </w:rPr>
              <w:t>16 062 374</w:t>
            </w:r>
          </w:p>
        </w:tc>
      </w:tr>
    </w:tbl>
    <w:p w:rsidR="00D23409" w:rsidRPr="007479FB" w:rsidRDefault="00D23409" w:rsidP="00D23409">
      <w:pPr>
        <w:pStyle w:val="tv213"/>
        <w:spacing w:before="0" w:beforeAutospacing="0" w:after="0" w:afterAutospacing="0" w:line="293" w:lineRule="atLeast"/>
        <w:ind w:firstLine="720"/>
        <w:jc w:val="both"/>
        <w:rPr>
          <w:sz w:val="22"/>
          <w:szCs w:val="22"/>
        </w:rPr>
      </w:pPr>
    </w:p>
    <w:p w:rsidR="00D50CDA" w:rsidRPr="00C435F9" w:rsidRDefault="00D23409" w:rsidP="003674CF">
      <w:pPr>
        <w:pStyle w:val="tv213"/>
        <w:spacing w:before="0" w:beforeAutospacing="0" w:after="0" w:afterAutospacing="0" w:line="293" w:lineRule="atLeast"/>
        <w:ind w:firstLine="720"/>
        <w:jc w:val="both"/>
      </w:pPr>
      <w:r w:rsidRPr="00275E71">
        <w:t>Līdz ar minēto, lai nodrošinātu būvniecības līguma saistību izpildi un lietus ūdens novadīšanas kolektora izbūves darbu apmaksu, kas paveikti 2016.gadā, veicinot jaunā A korpusa 1.kārtas funkcionēšanas uzsākšanu</w:t>
      </w:r>
      <w:r>
        <w:t>,</w:t>
      </w:r>
      <w:r w:rsidRPr="00275E71">
        <w:t xml:space="preserve"> nepieciešams papildus </w:t>
      </w:r>
      <w:r>
        <w:t>paredzēto</w:t>
      </w:r>
      <w:r w:rsidRPr="00275E71">
        <w:t xml:space="preserve"> finansējumu 2017.</w:t>
      </w:r>
      <w:r w:rsidRPr="00C435F9">
        <w:t xml:space="preserve">gadam piešķirt 2016.gadā būvniecības saistību segšanai. </w:t>
      </w:r>
    </w:p>
    <w:p w:rsidR="003674CF" w:rsidRPr="00C435F9" w:rsidRDefault="000A78F2" w:rsidP="003674CF">
      <w:pPr>
        <w:pStyle w:val="tv213"/>
        <w:spacing w:before="0" w:beforeAutospacing="0" w:after="0" w:afterAutospacing="0" w:line="293" w:lineRule="atLeast"/>
        <w:ind w:firstLine="720"/>
        <w:jc w:val="both"/>
      </w:pPr>
      <w:r w:rsidRPr="00C435F9">
        <w:t xml:space="preserve">Finansējumu plānots pārdalīt no </w:t>
      </w:r>
      <w:r w:rsidR="003E2627" w:rsidRPr="00C435F9">
        <w:t>Finanšu ministrijas apakšprogrammas 41.13.00 „Finansējums VAS "Valsts nekustamie īpašumi" īstenotajiem projektiem un pasākumiem</w:t>
      </w:r>
      <w:r w:rsidR="00F757CD" w:rsidRPr="00C435F9">
        <w:t>”</w:t>
      </w:r>
      <w:r w:rsidR="00FE0778">
        <w:t xml:space="preserve"> </w:t>
      </w:r>
      <w:r w:rsidR="00FE0778" w:rsidRPr="009F2890">
        <w:t>ilgtermiņa saistību pasākumiem</w:t>
      </w:r>
      <w:r w:rsidRPr="00C435F9">
        <w:t>.</w:t>
      </w:r>
    </w:p>
    <w:p w:rsidR="00D50CDA" w:rsidRDefault="00D50CDA" w:rsidP="00D50CDA">
      <w:pPr>
        <w:pStyle w:val="tv213"/>
        <w:spacing w:before="0" w:beforeAutospacing="0" w:after="0" w:afterAutospacing="0" w:line="293" w:lineRule="atLeast"/>
        <w:jc w:val="center"/>
      </w:pPr>
    </w:p>
    <w:p w:rsidR="00681BFE" w:rsidRPr="00C435F9" w:rsidRDefault="00681BFE" w:rsidP="00D50CDA">
      <w:pPr>
        <w:pStyle w:val="tv213"/>
        <w:spacing w:before="0" w:beforeAutospacing="0" w:after="0" w:afterAutospacing="0" w:line="293" w:lineRule="atLeast"/>
        <w:jc w:val="center"/>
      </w:pPr>
    </w:p>
    <w:p w:rsidR="00D50CDA" w:rsidRDefault="003674CF" w:rsidP="009C3007">
      <w:pPr>
        <w:pStyle w:val="tv213"/>
        <w:spacing w:before="0" w:beforeAutospacing="0" w:after="0" w:afterAutospacing="0"/>
        <w:jc w:val="center"/>
        <w:rPr>
          <w:b/>
        </w:rPr>
      </w:pPr>
      <w:r w:rsidRPr="00C435F9">
        <w:rPr>
          <w:b/>
        </w:rPr>
        <w:t xml:space="preserve">II </w:t>
      </w:r>
      <w:r w:rsidR="002B7D4C" w:rsidRPr="00C435F9">
        <w:rPr>
          <w:b/>
        </w:rPr>
        <w:t>Ambulatorajai ārstēšanai paredzēto</w:t>
      </w:r>
      <w:r w:rsidR="002B7D4C" w:rsidRPr="009438F0">
        <w:rPr>
          <w:b/>
        </w:rPr>
        <w:t xml:space="preserve"> zāļu un medicīnisko ierīču iegādes izdevumu kompensācijai</w:t>
      </w:r>
      <w:r w:rsidR="002B7D4C">
        <w:rPr>
          <w:b/>
        </w:rPr>
        <w:t xml:space="preserve"> nepieciešamais finansējums</w:t>
      </w:r>
    </w:p>
    <w:p w:rsidR="002B7D4C" w:rsidRPr="009C3007" w:rsidRDefault="002B7D4C" w:rsidP="009C3007">
      <w:pPr>
        <w:pStyle w:val="tv213"/>
        <w:spacing w:before="0" w:beforeAutospacing="0" w:after="0" w:afterAutospacing="0"/>
        <w:jc w:val="center"/>
        <w:rPr>
          <w:b/>
        </w:rPr>
      </w:pPr>
    </w:p>
    <w:p w:rsidR="002B7D4C" w:rsidRPr="009C3007" w:rsidRDefault="002B7D4C" w:rsidP="009C3007">
      <w:pPr>
        <w:spacing w:after="0" w:line="240" w:lineRule="auto"/>
        <w:ind w:firstLine="336"/>
        <w:jc w:val="both"/>
        <w:rPr>
          <w:rFonts w:ascii="Times New Roman" w:hAnsi="Times New Roman" w:cs="Times New Roman"/>
          <w:sz w:val="24"/>
          <w:szCs w:val="24"/>
        </w:rPr>
      </w:pPr>
      <w:r w:rsidRPr="009C3007">
        <w:rPr>
          <w:rFonts w:ascii="Times New Roman" w:hAnsi="Times New Roman" w:cs="Times New Roman"/>
          <w:sz w:val="24"/>
          <w:szCs w:val="24"/>
        </w:rPr>
        <w:t xml:space="preserve">Zāļu iegādes kompensācijas sistēma nodrošina pacientiem iespēju saņemt noteiktu slimību ārstēšanai nepieciešamos medikamentus, kurus valsts kompensē 100%, 75% un 50% apmērā atkarībā no diagnozes. </w:t>
      </w:r>
    </w:p>
    <w:p w:rsidR="002B7D4C" w:rsidRPr="009C3007" w:rsidRDefault="002B7D4C" w:rsidP="009C3007">
      <w:pPr>
        <w:pStyle w:val="NormalWeb"/>
        <w:spacing w:before="0" w:beforeAutospacing="0" w:after="0" w:afterAutospacing="0"/>
        <w:ind w:firstLine="709"/>
        <w:jc w:val="both"/>
      </w:pPr>
      <w:r w:rsidRPr="009C3007">
        <w:t xml:space="preserve">Atbilstoši likumam ”Par valsts budžetu 2016.gadam” zāļu iegādes izdevumi tiek kompensēti no  divām apakšprogrammām un gada sākumā </w:t>
      </w:r>
      <w:r w:rsidR="009C3007">
        <w:t>plānoti</w:t>
      </w:r>
      <w:r w:rsidRPr="009C3007">
        <w:t xml:space="preserve"> </w:t>
      </w:r>
      <w:r w:rsidR="009C3007" w:rsidRPr="009C3007">
        <w:t xml:space="preserve">124 787 167 </w:t>
      </w:r>
      <w:proofErr w:type="spellStart"/>
      <w:r w:rsidR="009C3007" w:rsidRPr="009C3007">
        <w:rPr>
          <w:i/>
        </w:rPr>
        <w:t>euro</w:t>
      </w:r>
      <w:proofErr w:type="spellEnd"/>
      <w:r w:rsidR="009C3007" w:rsidRPr="009C3007">
        <w:t xml:space="preserve"> </w:t>
      </w:r>
      <w:r w:rsidR="009C3007">
        <w:t xml:space="preserve">apmērā </w:t>
      </w:r>
      <w:r w:rsidRPr="009C3007">
        <w:t>apakšprogrammā 33.03.00 „Kompensējamo medikamentu un mate</w:t>
      </w:r>
      <w:r w:rsidR="009C3007">
        <w:t>riālu apmaksāšana”</w:t>
      </w:r>
      <w:r w:rsidR="00E96D27">
        <w:t>.</w:t>
      </w:r>
      <w:r w:rsidRPr="009C3007">
        <w:t xml:space="preserve"> Lai daļēji segt</w:t>
      </w:r>
      <w:r w:rsidR="009C3007">
        <w:t>u līdzekļu deficītu ambulatorajai</w:t>
      </w:r>
      <w:r w:rsidRPr="009C3007">
        <w:t xml:space="preserve"> ārstēšanai paredzēto zāļu iegādes izdevumu kompensācijai vispārējā kārtībā atbilstoši pacientu skaita pieaugumam, ar Finanšu ministrijas 2016.gada 27.</w:t>
      </w:r>
      <w:r w:rsidR="00C435F9">
        <w:t>a</w:t>
      </w:r>
      <w:r w:rsidRPr="009C3007">
        <w:t xml:space="preserve">prīļa rīkojumu Nr.201 „Par apropriāciju palielināšanu” palielināta apropriācija no pašu ieņēmumu naudas līdzekļu atlikuma gada sākumā par 125 483 </w:t>
      </w:r>
      <w:proofErr w:type="spellStart"/>
      <w:r w:rsidRPr="009C3007">
        <w:rPr>
          <w:i/>
        </w:rPr>
        <w:t>eur</w:t>
      </w:r>
      <w:r w:rsidR="00BC1DC4" w:rsidRPr="009C3007">
        <w:rPr>
          <w:i/>
        </w:rPr>
        <w:t>o</w:t>
      </w:r>
      <w:proofErr w:type="spellEnd"/>
      <w:r w:rsidR="00BC1DC4" w:rsidRPr="009C3007">
        <w:rPr>
          <w:i/>
        </w:rPr>
        <w:t>,</w:t>
      </w:r>
      <w:r w:rsidR="001033D6" w:rsidRPr="009C3007">
        <w:t xml:space="preserve"> ar Finanšu ministrijas 2016.gada 16.septembra rīkojumu Nr.459 „Par apropriāciju palielināšanu” palielināta apropriācija</w:t>
      </w:r>
      <w:r w:rsidR="00BC1DC4" w:rsidRPr="009C3007">
        <w:t xml:space="preserve"> </w:t>
      </w:r>
      <w:r w:rsidR="001033D6" w:rsidRPr="009C3007">
        <w:t xml:space="preserve">par 5 591 622 </w:t>
      </w:r>
      <w:proofErr w:type="spellStart"/>
      <w:r w:rsidR="001033D6" w:rsidRPr="009C3007">
        <w:rPr>
          <w:i/>
        </w:rPr>
        <w:t>euro</w:t>
      </w:r>
      <w:proofErr w:type="spellEnd"/>
      <w:r w:rsidR="00BC1DC4" w:rsidRPr="009C3007">
        <w:t>, ar Finanšu ministrijas 2016.gada 11.oktobra rīkojumu Nr.495 „Par apropriācijas pārdali” no Vides aizsardzības un reģionālā</w:t>
      </w:r>
      <w:r w:rsidR="0023184A">
        <w:t>s attīstības ministrijas palielināta</w:t>
      </w:r>
      <w:r w:rsidR="00BC1DC4" w:rsidRPr="009C3007">
        <w:t xml:space="preserve"> apropriācija par 4 198 233 </w:t>
      </w:r>
      <w:proofErr w:type="spellStart"/>
      <w:r w:rsidR="00BC1DC4" w:rsidRPr="009C3007">
        <w:rPr>
          <w:i/>
        </w:rPr>
        <w:t>euro</w:t>
      </w:r>
      <w:proofErr w:type="spellEnd"/>
      <w:r w:rsidR="00BC1DC4" w:rsidRPr="009C3007">
        <w:t xml:space="preserve"> </w:t>
      </w:r>
      <w:r w:rsidR="004D321E" w:rsidRPr="009C3007">
        <w:t>(s</w:t>
      </w:r>
      <w:r w:rsidRPr="009C3007">
        <w:t>ka</w:t>
      </w:r>
      <w:r w:rsidR="003674CF">
        <w:t>tīt 2</w:t>
      </w:r>
      <w:r w:rsidRPr="009C3007">
        <w:t>.tabul</w:t>
      </w:r>
      <w:r w:rsidR="00E96D27">
        <w:t>u</w:t>
      </w:r>
      <w:r w:rsidRPr="009C3007">
        <w:t xml:space="preserve">). </w:t>
      </w:r>
    </w:p>
    <w:p w:rsidR="00681BFE" w:rsidRDefault="00681BFE" w:rsidP="003674CF">
      <w:pPr>
        <w:pStyle w:val="NormalWeb"/>
        <w:spacing w:after="0" w:afterAutospacing="0"/>
        <w:ind w:firstLine="709"/>
        <w:jc w:val="right"/>
        <w:rPr>
          <w:sz w:val="22"/>
          <w:szCs w:val="22"/>
        </w:rPr>
      </w:pPr>
    </w:p>
    <w:p w:rsidR="00681BFE" w:rsidRDefault="00681BFE" w:rsidP="003674CF">
      <w:pPr>
        <w:pStyle w:val="NormalWeb"/>
        <w:spacing w:after="0" w:afterAutospacing="0"/>
        <w:ind w:firstLine="709"/>
        <w:jc w:val="right"/>
        <w:rPr>
          <w:sz w:val="22"/>
          <w:szCs w:val="22"/>
        </w:rPr>
      </w:pPr>
    </w:p>
    <w:p w:rsidR="00681BFE" w:rsidRDefault="00681BFE" w:rsidP="003674CF">
      <w:pPr>
        <w:pStyle w:val="NormalWeb"/>
        <w:spacing w:after="0" w:afterAutospacing="0"/>
        <w:ind w:firstLine="709"/>
        <w:jc w:val="right"/>
        <w:rPr>
          <w:sz w:val="22"/>
          <w:szCs w:val="22"/>
        </w:rPr>
      </w:pPr>
    </w:p>
    <w:p w:rsidR="00681BFE" w:rsidRDefault="00681BFE" w:rsidP="003674CF">
      <w:pPr>
        <w:pStyle w:val="NormalWeb"/>
        <w:spacing w:after="0" w:afterAutospacing="0"/>
        <w:ind w:firstLine="709"/>
        <w:jc w:val="right"/>
        <w:rPr>
          <w:sz w:val="22"/>
          <w:szCs w:val="22"/>
        </w:rPr>
      </w:pPr>
    </w:p>
    <w:p w:rsidR="004D321E" w:rsidRPr="00681BFE" w:rsidRDefault="003674CF" w:rsidP="003674CF">
      <w:pPr>
        <w:pStyle w:val="NormalWeb"/>
        <w:spacing w:after="0" w:afterAutospacing="0"/>
        <w:ind w:firstLine="709"/>
        <w:jc w:val="right"/>
        <w:rPr>
          <w:sz w:val="22"/>
          <w:szCs w:val="22"/>
        </w:rPr>
      </w:pPr>
      <w:r w:rsidRPr="00681BFE">
        <w:rPr>
          <w:sz w:val="22"/>
          <w:szCs w:val="22"/>
        </w:rPr>
        <w:lastRenderedPageBreak/>
        <w:t>2</w:t>
      </w:r>
      <w:r w:rsidR="004D321E" w:rsidRPr="00681BFE">
        <w:rPr>
          <w:sz w:val="22"/>
          <w:szCs w:val="22"/>
        </w:rPr>
        <w:t>.tabula</w:t>
      </w:r>
    </w:p>
    <w:p w:rsidR="004D321E" w:rsidRPr="003674CF" w:rsidRDefault="004D321E" w:rsidP="004D321E">
      <w:pPr>
        <w:pStyle w:val="BodyText2"/>
        <w:spacing w:after="0" w:line="240" w:lineRule="auto"/>
        <w:ind w:firstLine="360"/>
        <w:rPr>
          <w:rFonts w:ascii="Times New Roman" w:hAnsi="Times New Roman" w:cs="Times New Roman"/>
          <w:b/>
          <w:sz w:val="24"/>
          <w:szCs w:val="24"/>
          <w:lang w:eastAsia="lv-LV"/>
        </w:rPr>
      </w:pPr>
      <w:r w:rsidRPr="003674CF">
        <w:rPr>
          <w:rFonts w:ascii="Times New Roman" w:hAnsi="Times New Roman" w:cs="Times New Roman"/>
          <w:b/>
          <w:sz w:val="24"/>
          <w:szCs w:val="24"/>
          <w:lang w:eastAsia="lv-LV"/>
        </w:rPr>
        <w:t xml:space="preserve">        Kompensējamo zāļu sistēmas finanšu resursi 2016.gadā (</w:t>
      </w:r>
      <w:proofErr w:type="spellStart"/>
      <w:r w:rsidRPr="003674CF">
        <w:rPr>
          <w:rFonts w:ascii="Times New Roman" w:hAnsi="Times New Roman" w:cs="Times New Roman"/>
          <w:b/>
          <w:sz w:val="24"/>
          <w:szCs w:val="24"/>
          <w:lang w:eastAsia="lv-LV"/>
        </w:rPr>
        <w:t>euro</w:t>
      </w:r>
      <w:proofErr w:type="spellEnd"/>
      <w:r w:rsidRPr="003674CF">
        <w:rPr>
          <w:rFonts w:ascii="Times New Roman" w:hAnsi="Times New Roman" w:cs="Times New Roman"/>
          <w:b/>
          <w:sz w:val="24"/>
          <w:szCs w:val="24"/>
          <w:lang w:eastAsia="lv-LV"/>
        </w:rPr>
        <w:t>)</w:t>
      </w:r>
    </w:p>
    <w:p w:rsidR="004D321E" w:rsidRPr="003674CF" w:rsidRDefault="004D321E" w:rsidP="004D321E">
      <w:pPr>
        <w:pStyle w:val="BodyText2"/>
        <w:spacing w:after="0" w:line="240" w:lineRule="auto"/>
        <w:ind w:firstLine="360"/>
        <w:rPr>
          <w:rFonts w:ascii="Times New Roman" w:hAnsi="Times New Roman" w:cs="Times New Roman"/>
          <w:b/>
          <w:sz w:val="24"/>
          <w:szCs w:val="24"/>
          <w:lang w:eastAsia="lv-LV"/>
        </w:rPr>
      </w:pPr>
    </w:p>
    <w:tbl>
      <w:tblPr>
        <w:tblW w:w="5607" w:type="dxa"/>
        <w:tblInd w:w="1070" w:type="dxa"/>
        <w:tblLayout w:type="fixed"/>
        <w:tblLook w:val="04A0"/>
      </w:tblPr>
      <w:tblGrid>
        <w:gridCol w:w="739"/>
        <w:gridCol w:w="3046"/>
        <w:gridCol w:w="1822"/>
      </w:tblGrid>
      <w:tr w:rsidR="00C435F9" w:rsidRPr="004D321E" w:rsidTr="00681BFE">
        <w:trPr>
          <w:trHeight w:val="1054"/>
        </w:trPr>
        <w:tc>
          <w:tcPr>
            <w:tcW w:w="739" w:type="dxa"/>
            <w:tcBorders>
              <w:top w:val="single" w:sz="4" w:space="0" w:color="auto"/>
              <w:left w:val="single" w:sz="4" w:space="0" w:color="auto"/>
              <w:bottom w:val="single" w:sz="4" w:space="0" w:color="auto"/>
              <w:right w:val="single" w:sz="4" w:space="0" w:color="auto"/>
            </w:tcBorders>
            <w:shd w:val="clear" w:color="auto" w:fill="auto"/>
          </w:tcPr>
          <w:p w:rsidR="00C435F9" w:rsidRPr="003674CF" w:rsidRDefault="00681BFE" w:rsidP="00681BFE">
            <w:pPr>
              <w:spacing w:after="0" w:line="240" w:lineRule="auto"/>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N.p.k</w:t>
            </w:r>
            <w:proofErr w:type="spellEnd"/>
            <w:r>
              <w:rPr>
                <w:rFonts w:ascii="Times New Roman" w:hAnsi="Times New Roman" w:cs="Times New Roman"/>
                <w:sz w:val="24"/>
                <w:szCs w:val="24"/>
                <w:lang w:eastAsia="lv-LV"/>
              </w:rPr>
              <w:t>.</w:t>
            </w:r>
          </w:p>
        </w:tc>
        <w:tc>
          <w:tcPr>
            <w:tcW w:w="3046" w:type="dxa"/>
            <w:tcBorders>
              <w:top w:val="single" w:sz="8" w:space="0" w:color="auto"/>
              <w:left w:val="single" w:sz="4" w:space="0" w:color="auto"/>
              <w:bottom w:val="single" w:sz="8" w:space="0" w:color="000000"/>
              <w:right w:val="single" w:sz="8" w:space="0" w:color="000000"/>
            </w:tcBorders>
            <w:vAlign w:val="center"/>
            <w:hideMark/>
          </w:tcPr>
          <w:p w:rsidR="00C435F9" w:rsidRPr="003674CF" w:rsidRDefault="00C435F9" w:rsidP="0023184A">
            <w:pPr>
              <w:spacing w:after="0" w:line="240" w:lineRule="auto"/>
              <w:jc w:val="center"/>
              <w:rPr>
                <w:rFonts w:ascii="Times New Roman" w:eastAsia="Times New Roman" w:hAnsi="Times New Roman" w:cs="Times New Roman"/>
                <w:sz w:val="24"/>
                <w:szCs w:val="24"/>
                <w:lang w:eastAsia="lv-LV"/>
              </w:rPr>
            </w:pPr>
            <w:r w:rsidRPr="003674CF">
              <w:rPr>
                <w:rFonts w:ascii="Times New Roman" w:hAnsi="Times New Roman" w:cs="Times New Roman"/>
                <w:sz w:val="24"/>
                <w:szCs w:val="24"/>
                <w:lang w:eastAsia="lv-LV"/>
              </w:rPr>
              <w:t>Kompensējamo zāļu sistēmas finanšu resursi</w:t>
            </w:r>
          </w:p>
        </w:tc>
        <w:tc>
          <w:tcPr>
            <w:tcW w:w="1822"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435F9" w:rsidRDefault="00C435F9" w:rsidP="0023184A">
            <w:pPr>
              <w:spacing w:after="0" w:line="240" w:lineRule="auto"/>
              <w:jc w:val="center"/>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 xml:space="preserve">Plāns </w:t>
            </w:r>
          </w:p>
          <w:p w:rsidR="00C435F9" w:rsidRPr="004D321E" w:rsidRDefault="00C435F9" w:rsidP="0023184A">
            <w:pPr>
              <w:spacing w:after="0" w:line="240" w:lineRule="auto"/>
              <w:jc w:val="center"/>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w:t>
            </w:r>
            <w:proofErr w:type="spellStart"/>
            <w:r w:rsidRPr="004D321E">
              <w:rPr>
                <w:rFonts w:ascii="Times New Roman" w:eastAsia="Times New Roman" w:hAnsi="Times New Roman" w:cs="Times New Roman"/>
                <w:sz w:val="24"/>
                <w:szCs w:val="24"/>
                <w:lang w:eastAsia="lv-LV"/>
              </w:rPr>
              <w:t>euro</w:t>
            </w:r>
            <w:proofErr w:type="spellEnd"/>
            <w:r w:rsidRPr="004D321E">
              <w:rPr>
                <w:rFonts w:ascii="Times New Roman" w:eastAsia="Times New Roman" w:hAnsi="Times New Roman" w:cs="Times New Roman"/>
                <w:sz w:val="24"/>
                <w:szCs w:val="24"/>
                <w:lang w:eastAsia="lv-LV"/>
              </w:rPr>
              <w:t>)</w:t>
            </w:r>
          </w:p>
        </w:tc>
      </w:tr>
      <w:tr w:rsidR="00681BFE" w:rsidRPr="004D321E" w:rsidTr="00681BFE">
        <w:trPr>
          <w:trHeight w:val="223"/>
        </w:trPr>
        <w:tc>
          <w:tcPr>
            <w:tcW w:w="739" w:type="dxa"/>
            <w:tcBorders>
              <w:top w:val="single" w:sz="4" w:space="0" w:color="auto"/>
              <w:left w:val="single" w:sz="8" w:space="0" w:color="auto"/>
              <w:bottom w:val="single" w:sz="8" w:space="0" w:color="000000"/>
              <w:right w:val="single" w:sz="8" w:space="0" w:color="000000"/>
            </w:tcBorders>
            <w:shd w:val="clear" w:color="auto" w:fill="auto"/>
          </w:tcPr>
          <w:p w:rsidR="00681BFE" w:rsidRDefault="00681BFE" w:rsidP="00C435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3046" w:type="dxa"/>
            <w:tcBorders>
              <w:top w:val="single" w:sz="8" w:space="0" w:color="auto"/>
              <w:left w:val="single" w:sz="8" w:space="0" w:color="auto"/>
              <w:bottom w:val="single" w:sz="8" w:space="0" w:color="000000"/>
              <w:right w:val="single" w:sz="8" w:space="0" w:color="000000"/>
            </w:tcBorders>
            <w:vAlign w:val="center"/>
            <w:hideMark/>
          </w:tcPr>
          <w:p w:rsidR="00681BFE" w:rsidRDefault="00681BFE" w:rsidP="00C435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822" w:type="dxa"/>
            <w:tcBorders>
              <w:top w:val="single" w:sz="8" w:space="0" w:color="auto"/>
              <w:left w:val="single" w:sz="8" w:space="0" w:color="auto"/>
              <w:bottom w:val="single" w:sz="8" w:space="0" w:color="000000"/>
              <w:right w:val="single" w:sz="8" w:space="0" w:color="000000"/>
            </w:tcBorders>
            <w:vAlign w:val="center"/>
            <w:hideMark/>
          </w:tcPr>
          <w:p w:rsidR="00681BFE" w:rsidRDefault="00681BFE" w:rsidP="00C435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C435F9" w:rsidRPr="004D321E" w:rsidTr="00681BFE">
        <w:trPr>
          <w:trHeight w:val="675"/>
        </w:trPr>
        <w:tc>
          <w:tcPr>
            <w:tcW w:w="739" w:type="dxa"/>
            <w:tcBorders>
              <w:top w:val="single" w:sz="8" w:space="0" w:color="auto"/>
              <w:left w:val="single" w:sz="8" w:space="0" w:color="auto"/>
              <w:bottom w:val="single" w:sz="8" w:space="0" w:color="auto"/>
              <w:right w:val="single" w:sz="8" w:space="0" w:color="000000"/>
            </w:tcBorders>
          </w:tcPr>
          <w:p w:rsidR="00C435F9" w:rsidRPr="004D321E" w:rsidRDefault="00681BFE" w:rsidP="00681B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435F9" w:rsidRPr="004D321E" w:rsidRDefault="00C435F9" w:rsidP="0023184A">
            <w:pPr>
              <w:spacing w:after="0" w:line="240" w:lineRule="auto"/>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33.03.00 Kompensējamo medikamentu un materiālu apmaksāšana, t.sk.,</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134 702 505</w:t>
            </w:r>
          </w:p>
        </w:tc>
      </w:tr>
      <w:tr w:rsidR="00C435F9" w:rsidRPr="004D321E" w:rsidTr="00681BFE">
        <w:trPr>
          <w:trHeight w:val="555"/>
        </w:trPr>
        <w:tc>
          <w:tcPr>
            <w:tcW w:w="739" w:type="dxa"/>
            <w:tcBorders>
              <w:top w:val="single" w:sz="8" w:space="0" w:color="auto"/>
              <w:left w:val="single" w:sz="8" w:space="0" w:color="auto"/>
              <w:bottom w:val="single" w:sz="8" w:space="0" w:color="auto"/>
              <w:right w:val="single" w:sz="8" w:space="0" w:color="000000"/>
            </w:tcBorders>
          </w:tcPr>
          <w:p w:rsidR="00C435F9" w:rsidRPr="004D321E" w:rsidRDefault="00681BFE" w:rsidP="00681B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dotācija no vispārējiem ieņēmumiem</w:t>
            </w:r>
            <w:r>
              <w:rPr>
                <w:rFonts w:ascii="Times New Roman" w:eastAsia="Times New Roman" w:hAnsi="Times New Roman" w:cs="Times New Roman"/>
                <w:sz w:val="24"/>
                <w:szCs w:val="24"/>
                <w:lang w:eastAsia="lv-LV"/>
              </w:rPr>
              <w:t xml:space="preserve"> </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122 722 195</w:t>
            </w:r>
          </w:p>
        </w:tc>
      </w:tr>
      <w:tr w:rsidR="00C435F9" w:rsidRPr="004D321E" w:rsidTr="00681BFE">
        <w:trPr>
          <w:trHeight w:val="555"/>
        </w:trPr>
        <w:tc>
          <w:tcPr>
            <w:tcW w:w="739" w:type="dxa"/>
            <w:tcBorders>
              <w:top w:val="single" w:sz="8" w:space="0" w:color="auto"/>
              <w:left w:val="single" w:sz="8" w:space="0" w:color="auto"/>
              <w:bottom w:val="single" w:sz="8" w:space="0" w:color="auto"/>
              <w:right w:val="single" w:sz="8" w:space="0" w:color="000000"/>
            </w:tcBorders>
          </w:tcPr>
          <w:p w:rsidR="00C435F9" w:rsidRPr="004D321E" w:rsidRDefault="00681BFE" w:rsidP="00681B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dotācija no vispārējiem ieņēmumiem</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4 198 233</w:t>
            </w:r>
          </w:p>
        </w:tc>
      </w:tr>
      <w:tr w:rsidR="00C435F9" w:rsidRPr="004D321E" w:rsidTr="00681BFE">
        <w:trPr>
          <w:trHeight w:val="510"/>
        </w:trPr>
        <w:tc>
          <w:tcPr>
            <w:tcW w:w="739" w:type="dxa"/>
            <w:tcBorders>
              <w:top w:val="single" w:sz="8" w:space="0" w:color="auto"/>
              <w:left w:val="single" w:sz="8" w:space="0" w:color="auto"/>
              <w:bottom w:val="single" w:sz="8" w:space="0" w:color="auto"/>
              <w:right w:val="single" w:sz="8" w:space="0" w:color="000000"/>
            </w:tcBorders>
          </w:tcPr>
          <w:p w:rsidR="00C435F9" w:rsidRPr="004D321E" w:rsidRDefault="00681BFE" w:rsidP="00681B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maksas pakalpojumi un citi pašu ieņēmumi</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2 064 972</w:t>
            </w:r>
          </w:p>
        </w:tc>
      </w:tr>
      <w:tr w:rsidR="00C435F9" w:rsidRPr="004D321E" w:rsidTr="00681BFE">
        <w:trPr>
          <w:trHeight w:val="510"/>
        </w:trPr>
        <w:tc>
          <w:tcPr>
            <w:tcW w:w="739" w:type="dxa"/>
            <w:tcBorders>
              <w:top w:val="single" w:sz="8" w:space="0" w:color="auto"/>
              <w:left w:val="single" w:sz="8" w:space="0" w:color="auto"/>
              <w:bottom w:val="single" w:sz="8" w:space="0" w:color="auto"/>
              <w:right w:val="single" w:sz="8" w:space="0" w:color="000000"/>
            </w:tcBorders>
          </w:tcPr>
          <w:p w:rsidR="00C435F9" w:rsidRPr="004D321E" w:rsidRDefault="00681BFE" w:rsidP="00681B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046" w:type="dxa"/>
            <w:tcBorders>
              <w:top w:val="single" w:sz="8" w:space="0" w:color="auto"/>
              <w:left w:val="single" w:sz="8" w:space="0" w:color="auto"/>
              <w:bottom w:val="single" w:sz="8" w:space="0" w:color="auto"/>
              <w:right w:val="single" w:sz="8" w:space="0" w:color="000000"/>
            </w:tcBorders>
            <w:shd w:val="clear" w:color="auto" w:fill="auto"/>
            <w:vAlign w:val="center"/>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maksas pakalpojumi un citi pašu ieņēmumi</w:t>
            </w:r>
          </w:p>
        </w:tc>
        <w:tc>
          <w:tcPr>
            <w:tcW w:w="1822" w:type="dxa"/>
            <w:tcBorders>
              <w:top w:val="single" w:sz="8" w:space="0" w:color="auto"/>
              <w:left w:val="nil"/>
              <w:bottom w:val="single" w:sz="8" w:space="0" w:color="auto"/>
              <w:right w:val="single" w:sz="8" w:space="0" w:color="000000"/>
            </w:tcBorders>
            <w:shd w:val="clear" w:color="auto" w:fill="auto"/>
            <w:noWrap/>
            <w:vAlign w:val="center"/>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5 591 622</w:t>
            </w:r>
          </w:p>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p>
        </w:tc>
      </w:tr>
      <w:tr w:rsidR="00C435F9" w:rsidRPr="004D321E" w:rsidTr="00681BFE">
        <w:trPr>
          <w:trHeight w:val="1020"/>
        </w:trPr>
        <w:tc>
          <w:tcPr>
            <w:tcW w:w="739" w:type="dxa"/>
            <w:tcBorders>
              <w:top w:val="single" w:sz="8" w:space="0" w:color="auto"/>
              <w:left w:val="single" w:sz="8" w:space="0" w:color="auto"/>
              <w:bottom w:val="single" w:sz="8" w:space="0" w:color="auto"/>
              <w:right w:val="single" w:sz="8" w:space="0" w:color="000000"/>
            </w:tcBorders>
          </w:tcPr>
          <w:p w:rsidR="00C435F9" w:rsidRPr="004D321E" w:rsidRDefault="00681BFE" w:rsidP="00681BF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maksas pakalpojumu un citi pašu ieņēmumu citu pašu ieņēmumu atlikums</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C435F9" w:rsidRPr="004D321E" w:rsidRDefault="00C435F9" w:rsidP="0023184A">
            <w:pPr>
              <w:spacing w:after="0" w:line="240" w:lineRule="auto"/>
              <w:jc w:val="right"/>
              <w:rPr>
                <w:rFonts w:ascii="Times New Roman" w:eastAsia="Times New Roman" w:hAnsi="Times New Roman" w:cs="Times New Roman"/>
                <w:sz w:val="24"/>
                <w:szCs w:val="24"/>
                <w:lang w:eastAsia="lv-LV"/>
              </w:rPr>
            </w:pPr>
            <w:r w:rsidRPr="004D321E">
              <w:rPr>
                <w:rFonts w:ascii="Times New Roman" w:eastAsia="Times New Roman" w:hAnsi="Times New Roman" w:cs="Times New Roman"/>
                <w:sz w:val="24"/>
                <w:szCs w:val="24"/>
                <w:lang w:eastAsia="lv-LV"/>
              </w:rPr>
              <w:t>125 483</w:t>
            </w:r>
          </w:p>
        </w:tc>
      </w:tr>
    </w:tbl>
    <w:p w:rsidR="00D50CDA" w:rsidRPr="00D23409" w:rsidRDefault="00D50CDA" w:rsidP="0023184A">
      <w:pPr>
        <w:pStyle w:val="tv213"/>
        <w:spacing w:before="0" w:beforeAutospacing="0" w:after="0" w:afterAutospacing="0"/>
        <w:jc w:val="both"/>
      </w:pPr>
    </w:p>
    <w:p w:rsidR="00D23409" w:rsidRPr="00D23409" w:rsidRDefault="00D23409" w:rsidP="00D23409">
      <w:pPr>
        <w:ind w:firstLine="336"/>
        <w:jc w:val="both"/>
        <w:rPr>
          <w:rFonts w:ascii="Times New Roman" w:hAnsi="Times New Roman" w:cs="Times New Roman"/>
          <w:sz w:val="24"/>
          <w:szCs w:val="24"/>
        </w:rPr>
      </w:pPr>
      <w:r w:rsidRPr="00D23409">
        <w:rPr>
          <w:rFonts w:ascii="Times New Roman" w:hAnsi="Times New Roman" w:cs="Times New Roman"/>
          <w:sz w:val="24"/>
          <w:szCs w:val="24"/>
        </w:rPr>
        <w:t>Šobrīd ir izveidojusies situācija, ka 9 mēnešu zāļ</w:t>
      </w:r>
      <w:r>
        <w:rPr>
          <w:rFonts w:ascii="Times New Roman" w:hAnsi="Times New Roman" w:cs="Times New Roman"/>
          <w:sz w:val="24"/>
          <w:szCs w:val="24"/>
        </w:rPr>
        <w:t>u iegādes izdevumu</w:t>
      </w:r>
      <w:r w:rsidRPr="00D23409">
        <w:rPr>
          <w:rFonts w:ascii="Times New Roman" w:hAnsi="Times New Roman" w:cs="Times New Roman"/>
          <w:sz w:val="24"/>
          <w:szCs w:val="24"/>
        </w:rPr>
        <w:t xml:space="preserve"> izpilde ir lielāka nekā 9 mēnešu plāns, tāpēc nepieciešams savlaicīgi segt daļēju līdzekļu deficītu ambulatorai ārstniecībai paredzēto zāļu, medicīnisko ierīču un preču iegādes kompensācijai.</w:t>
      </w:r>
    </w:p>
    <w:p w:rsidR="00D23409" w:rsidRPr="00D23409" w:rsidRDefault="00D23409" w:rsidP="00D23409">
      <w:pPr>
        <w:ind w:firstLine="358"/>
        <w:jc w:val="both"/>
        <w:rPr>
          <w:rFonts w:ascii="Times New Roman" w:eastAsia="Times New Roman" w:hAnsi="Times New Roman" w:cs="Times New Roman"/>
          <w:sz w:val="24"/>
          <w:szCs w:val="24"/>
        </w:rPr>
      </w:pPr>
      <w:r w:rsidRPr="00D23409">
        <w:rPr>
          <w:rFonts w:ascii="Times New Roman" w:eastAsia="Times New Roman" w:hAnsi="Times New Roman" w:cs="Times New Roman"/>
          <w:sz w:val="24"/>
          <w:szCs w:val="24"/>
        </w:rPr>
        <w:t xml:space="preserve">Zāļu kompensācijas sistēmas ietvaros 2016.gada 9 mēnešos pacientiem aptiekās izsniegtas kompensējamās zāles par   111 994 879 </w:t>
      </w:r>
      <w:proofErr w:type="spellStart"/>
      <w:r w:rsidRPr="00D23409">
        <w:rPr>
          <w:rFonts w:ascii="Times New Roman" w:eastAsia="Times New Roman" w:hAnsi="Times New Roman" w:cs="Times New Roman"/>
          <w:i/>
          <w:sz w:val="24"/>
          <w:szCs w:val="24"/>
        </w:rPr>
        <w:t>euro</w:t>
      </w:r>
      <w:proofErr w:type="spellEnd"/>
      <w:r w:rsidRPr="00D23409">
        <w:rPr>
          <w:rFonts w:ascii="Times New Roman" w:eastAsia="Times New Roman" w:hAnsi="Times New Roman" w:cs="Times New Roman"/>
          <w:i/>
          <w:sz w:val="24"/>
          <w:szCs w:val="24"/>
        </w:rPr>
        <w:t xml:space="preserve"> </w:t>
      </w:r>
      <w:r w:rsidRPr="00D23409">
        <w:rPr>
          <w:rFonts w:ascii="Times New Roman" w:eastAsia="Times New Roman" w:hAnsi="Times New Roman" w:cs="Times New Roman"/>
          <w:sz w:val="24"/>
          <w:szCs w:val="24"/>
        </w:rPr>
        <w:t>(</w:t>
      </w:r>
      <w:r w:rsidRPr="00D23409">
        <w:rPr>
          <w:rFonts w:ascii="Times New Roman" w:hAnsi="Times New Roman" w:cs="Times New Roman"/>
          <w:sz w:val="24"/>
          <w:szCs w:val="24"/>
        </w:rPr>
        <w:t xml:space="preserve">skatīt </w:t>
      </w:r>
      <w:r w:rsidR="003674CF">
        <w:rPr>
          <w:rFonts w:ascii="Times New Roman" w:hAnsi="Times New Roman" w:cs="Times New Roman"/>
          <w:sz w:val="24"/>
          <w:szCs w:val="24"/>
        </w:rPr>
        <w:t>3</w:t>
      </w:r>
      <w:r w:rsidRPr="00D23409">
        <w:rPr>
          <w:rFonts w:ascii="Times New Roman" w:hAnsi="Times New Roman" w:cs="Times New Roman"/>
          <w:sz w:val="24"/>
          <w:szCs w:val="24"/>
        </w:rPr>
        <w:t>.tabulu)</w:t>
      </w:r>
      <w:r w:rsidRPr="00D23409">
        <w:rPr>
          <w:rFonts w:ascii="Times New Roman" w:eastAsia="Times New Roman" w:hAnsi="Times New Roman" w:cs="Times New Roman"/>
          <w:sz w:val="24"/>
          <w:szCs w:val="24"/>
        </w:rPr>
        <w:t xml:space="preserve">. Tajā skaitā lielāko daļu   109 528 940 </w:t>
      </w:r>
      <w:proofErr w:type="spellStart"/>
      <w:r w:rsidRPr="00D23409">
        <w:rPr>
          <w:rFonts w:ascii="Times New Roman" w:eastAsia="Times New Roman" w:hAnsi="Times New Roman" w:cs="Times New Roman"/>
          <w:i/>
          <w:sz w:val="24"/>
          <w:szCs w:val="24"/>
        </w:rPr>
        <w:t>euro</w:t>
      </w:r>
      <w:proofErr w:type="spellEnd"/>
      <w:r w:rsidRPr="00D23409">
        <w:rPr>
          <w:rFonts w:ascii="Times New Roman" w:eastAsia="Times New Roman" w:hAnsi="Times New Roman" w:cs="Times New Roman"/>
          <w:sz w:val="24"/>
          <w:szCs w:val="24"/>
        </w:rPr>
        <w:t xml:space="preserve"> (97.8% no kopējā izsniegto kompensējamo zāļu apjoma) veido kompensācijas vispārējā kārtībā izsniegtās zāles. Individuālajiem pacientiem izsniegtas zāles 2 158 700 </w:t>
      </w:r>
      <w:proofErr w:type="spellStart"/>
      <w:r w:rsidRPr="00D23409">
        <w:rPr>
          <w:rFonts w:ascii="Times New Roman" w:eastAsia="Times New Roman" w:hAnsi="Times New Roman" w:cs="Times New Roman"/>
          <w:i/>
          <w:sz w:val="24"/>
          <w:szCs w:val="24"/>
        </w:rPr>
        <w:t>euro</w:t>
      </w:r>
      <w:proofErr w:type="spellEnd"/>
      <w:r w:rsidRPr="00D23409">
        <w:rPr>
          <w:rFonts w:ascii="Times New Roman" w:eastAsia="Times New Roman" w:hAnsi="Times New Roman" w:cs="Times New Roman"/>
          <w:sz w:val="24"/>
          <w:szCs w:val="24"/>
        </w:rPr>
        <w:t xml:space="preserve"> (1.9% no kopējā izsniegto kompensējamo zāļu apjoma) un zāļu izmaksu </w:t>
      </w:r>
      <w:r w:rsidRPr="00D23409">
        <w:rPr>
          <w:rFonts w:ascii="Times New Roman" w:eastAsia="Times New Roman" w:hAnsi="Times New Roman" w:cs="Times New Roman"/>
          <w:sz w:val="24"/>
          <w:szCs w:val="24"/>
          <w:lang w:eastAsia="lv-LV"/>
        </w:rPr>
        <w:t>kompensācija bērniem līdz 2 gadu vecumam, grūtniecēm un sievietēm pēcdzemdību periodā</w:t>
      </w:r>
      <w:r w:rsidRPr="00D23409">
        <w:rPr>
          <w:rFonts w:ascii="Times New Roman" w:eastAsia="Times New Roman" w:hAnsi="Times New Roman" w:cs="Times New Roman"/>
          <w:sz w:val="24"/>
          <w:szCs w:val="24"/>
        </w:rPr>
        <w:t xml:space="preserve">  veikta   307 239 </w:t>
      </w:r>
      <w:proofErr w:type="spellStart"/>
      <w:r w:rsidRPr="00D23409">
        <w:rPr>
          <w:rFonts w:ascii="Times New Roman" w:eastAsia="Times New Roman" w:hAnsi="Times New Roman" w:cs="Times New Roman"/>
          <w:i/>
          <w:sz w:val="24"/>
          <w:szCs w:val="24"/>
        </w:rPr>
        <w:t>euro</w:t>
      </w:r>
      <w:proofErr w:type="spellEnd"/>
      <w:r w:rsidRPr="00D23409">
        <w:rPr>
          <w:rFonts w:ascii="Times New Roman" w:eastAsia="Times New Roman" w:hAnsi="Times New Roman" w:cs="Times New Roman"/>
          <w:i/>
          <w:sz w:val="24"/>
          <w:szCs w:val="24"/>
        </w:rPr>
        <w:t xml:space="preserve"> </w:t>
      </w:r>
      <w:r w:rsidRPr="00D23409">
        <w:rPr>
          <w:rFonts w:ascii="Times New Roman" w:eastAsia="Times New Roman" w:hAnsi="Times New Roman" w:cs="Times New Roman"/>
          <w:sz w:val="24"/>
          <w:szCs w:val="24"/>
        </w:rPr>
        <w:t>apmērā (0.3% no kopējā izsniegto kompensējamo zāļu apjoma)</w:t>
      </w:r>
      <w:r w:rsidR="00BA2D7B">
        <w:rPr>
          <w:rFonts w:ascii="Times New Roman" w:eastAsia="Times New Roman" w:hAnsi="Times New Roman" w:cs="Times New Roman"/>
          <w:sz w:val="24"/>
          <w:szCs w:val="24"/>
        </w:rPr>
        <w:t>,</w:t>
      </w:r>
      <w:r w:rsidRPr="00D23409">
        <w:rPr>
          <w:rFonts w:ascii="Times New Roman" w:eastAsia="Times New Roman" w:hAnsi="Times New Roman" w:cs="Times New Roman"/>
          <w:i/>
          <w:sz w:val="24"/>
          <w:szCs w:val="24"/>
        </w:rPr>
        <w:t xml:space="preserve"> </w:t>
      </w:r>
      <w:r w:rsidRPr="00D23409">
        <w:rPr>
          <w:rFonts w:ascii="Times New Roman" w:eastAsia="Times New Roman" w:hAnsi="Times New Roman" w:cs="Times New Roman"/>
          <w:sz w:val="24"/>
          <w:szCs w:val="24"/>
        </w:rPr>
        <w:t>(skatīt 1.pielikumu).</w:t>
      </w:r>
    </w:p>
    <w:p w:rsidR="00D23409" w:rsidRPr="00681BFE" w:rsidRDefault="003674CF" w:rsidP="00D23409">
      <w:pPr>
        <w:ind w:firstLine="720"/>
        <w:jc w:val="right"/>
        <w:rPr>
          <w:rFonts w:ascii="Times New Roman" w:eastAsia="Times New Roman" w:hAnsi="Times New Roman" w:cs="Times New Roman"/>
        </w:rPr>
      </w:pPr>
      <w:r w:rsidRPr="00681BFE">
        <w:rPr>
          <w:rFonts w:ascii="Times New Roman" w:eastAsia="Times New Roman" w:hAnsi="Times New Roman" w:cs="Times New Roman"/>
        </w:rPr>
        <w:t>3</w:t>
      </w:r>
      <w:r w:rsidR="00D23409" w:rsidRPr="00681BFE">
        <w:rPr>
          <w:rFonts w:ascii="Times New Roman" w:eastAsia="Times New Roman" w:hAnsi="Times New Roman" w:cs="Times New Roman"/>
        </w:rPr>
        <w:t xml:space="preserve">.tabula </w:t>
      </w:r>
    </w:p>
    <w:p w:rsidR="00D23409" w:rsidRPr="003674CF" w:rsidRDefault="00D23409" w:rsidP="00D23409">
      <w:pPr>
        <w:ind w:firstLine="360"/>
        <w:jc w:val="center"/>
        <w:rPr>
          <w:rFonts w:ascii="Times New Roman" w:eastAsia="Times New Roman" w:hAnsi="Times New Roman" w:cs="Times New Roman"/>
          <w:b/>
          <w:sz w:val="24"/>
          <w:szCs w:val="24"/>
        </w:rPr>
      </w:pPr>
      <w:r w:rsidRPr="003674CF">
        <w:rPr>
          <w:rFonts w:ascii="Times New Roman" w:eastAsia="Times New Roman" w:hAnsi="Times New Roman" w:cs="Times New Roman"/>
          <w:b/>
          <w:sz w:val="24"/>
          <w:szCs w:val="24"/>
        </w:rPr>
        <w:t>Zāļu kompensācijas sistēma 2016.gadā – plāns un izpilde 9 mēnešos</w:t>
      </w:r>
    </w:p>
    <w:tbl>
      <w:tblPr>
        <w:tblW w:w="8614" w:type="dxa"/>
        <w:tblLayout w:type="fixed"/>
        <w:tblLook w:val="04A0"/>
      </w:tblPr>
      <w:tblGrid>
        <w:gridCol w:w="1847"/>
        <w:gridCol w:w="1096"/>
        <w:gridCol w:w="1455"/>
        <w:gridCol w:w="1029"/>
        <w:gridCol w:w="1344"/>
        <w:gridCol w:w="1843"/>
      </w:tblGrid>
      <w:tr w:rsidR="00D23409" w:rsidRPr="00D23409" w:rsidTr="00BC1519">
        <w:trPr>
          <w:trHeight w:val="300"/>
        </w:trPr>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409" w:rsidRPr="00B466DE" w:rsidRDefault="00B466DE" w:rsidP="00B466DE">
            <w:pPr>
              <w:spacing w:after="0" w:line="240" w:lineRule="auto"/>
              <w:jc w:val="center"/>
              <w:rPr>
                <w:rFonts w:ascii="Times New Roman" w:eastAsia="Times New Roman" w:hAnsi="Times New Roman" w:cs="Times New Roman"/>
                <w:bCs/>
                <w:lang w:eastAsia="lv-LV"/>
              </w:rPr>
            </w:pPr>
            <w:r w:rsidRPr="00B466DE">
              <w:rPr>
                <w:rFonts w:ascii="Times New Roman" w:eastAsia="Times New Roman" w:hAnsi="Times New Roman" w:cs="Times New Roman"/>
                <w:bCs/>
                <w:lang w:eastAsia="lv-LV"/>
              </w:rPr>
              <w:t>Ambulatorajai ārstēšanai paredzēto kompensējamo zāļu izdevumi</w:t>
            </w:r>
          </w:p>
        </w:tc>
        <w:tc>
          <w:tcPr>
            <w:tcW w:w="6767" w:type="dxa"/>
            <w:gridSpan w:val="5"/>
            <w:tcBorders>
              <w:top w:val="single" w:sz="4" w:space="0" w:color="auto"/>
              <w:left w:val="nil"/>
              <w:bottom w:val="single" w:sz="4" w:space="0" w:color="auto"/>
              <w:right w:val="single" w:sz="4" w:space="0" w:color="auto"/>
            </w:tcBorders>
            <w:shd w:val="clear" w:color="auto" w:fill="auto"/>
            <w:vAlign w:val="center"/>
            <w:hideMark/>
          </w:tcPr>
          <w:p w:rsidR="00D23409" w:rsidRPr="003674CF" w:rsidRDefault="00D23409" w:rsidP="00D23409">
            <w:pPr>
              <w:spacing w:after="0" w:line="240" w:lineRule="auto"/>
              <w:jc w:val="center"/>
              <w:rPr>
                <w:rFonts w:ascii="Times New Roman" w:eastAsia="Times New Roman" w:hAnsi="Times New Roman" w:cs="Times New Roman"/>
                <w:bCs/>
                <w:lang w:eastAsia="lv-LV"/>
              </w:rPr>
            </w:pPr>
            <w:r w:rsidRPr="003674CF">
              <w:rPr>
                <w:rFonts w:ascii="Times New Roman" w:eastAsia="Times New Roman" w:hAnsi="Times New Roman" w:cs="Times New Roman"/>
                <w:bCs/>
                <w:lang w:eastAsia="lv-LV"/>
              </w:rPr>
              <w:t>2016.gads</w:t>
            </w:r>
          </w:p>
        </w:tc>
      </w:tr>
      <w:tr w:rsidR="00D23409" w:rsidRPr="00D23409" w:rsidTr="00BC1519">
        <w:trPr>
          <w:trHeight w:val="510"/>
        </w:trPr>
        <w:tc>
          <w:tcPr>
            <w:tcW w:w="1847" w:type="dxa"/>
            <w:vMerge/>
            <w:tcBorders>
              <w:top w:val="single" w:sz="4" w:space="0" w:color="auto"/>
              <w:left w:val="single" w:sz="4" w:space="0" w:color="auto"/>
              <w:bottom w:val="single" w:sz="4" w:space="0" w:color="auto"/>
              <w:right w:val="single" w:sz="4" w:space="0" w:color="auto"/>
            </w:tcBorders>
            <w:vAlign w:val="center"/>
            <w:hideMark/>
          </w:tcPr>
          <w:p w:rsidR="00D23409" w:rsidRPr="00D23409" w:rsidRDefault="00D23409" w:rsidP="00D23409">
            <w:pPr>
              <w:spacing w:after="0" w:line="240" w:lineRule="auto"/>
              <w:rPr>
                <w:rFonts w:ascii="Times New Roman" w:eastAsia="Times New Roman" w:hAnsi="Times New Roman" w:cs="Times New Roman"/>
                <w:b/>
                <w:bCs/>
                <w:lang w:eastAsia="lv-LV"/>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Plāns</w:t>
            </w:r>
          </w:p>
        </w:tc>
        <w:tc>
          <w:tcPr>
            <w:tcW w:w="2373" w:type="dxa"/>
            <w:gridSpan w:val="2"/>
            <w:tcBorders>
              <w:top w:val="single" w:sz="4" w:space="0" w:color="auto"/>
              <w:left w:val="nil"/>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Izpilde (9 mēneši)</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xml:space="preserve">Gada izpildes prognoze, </w:t>
            </w:r>
            <w:proofErr w:type="spellStart"/>
            <w:r w:rsidRPr="00D23409">
              <w:rPr>
                <w:rFonts w:ascii="Times New Roman" w:eastAsia="Times New Roman" w:hAnsi="Times New Roman" w:cs="Times New Roman"/>
                <w:i/>
                <w:lang w:eastAsia="lv-LV"/>
              </w:rPr>
              <w:t>euro</w:t>
            </w:r>
            <w:proofErr w:type="spellEnd"/>
          </w:p>
        </w:tc>
      </w:tr>
      <w:tr w:rsidR="00D23409" w:rsidRPr="00D23409" w:rsidTr="00BC1519">
        <w:trPr>
          <w:trHeight w:val="930"/>
        </w:trPr>
        <w:tc>
          <w:tcPr>
            <w:tcW w:w="1847" w:type="dxa"/>
            <w:vMerge/>
            <w:tcBorders>
              <w:top w:val="single" w:sz="4" w:space="0" w:color="auto"/>
              <w:left w:val="single" w:sz="4" w:space="0" w:color="auto"/>
              <w:bottom w:val="single" w:sz="4" w:space="0" w:color="auto"/>
              <w:right w:val="single" w:sz="4" w:space="0" w:color="auto"/>
            </w:tcBorders>
            <w:vAlign w:val="center"/>
            <w:hideMark/>
          </w:tcPr>
          <w:p w:rsidR="00D23409" w:rsidRPr="00D23409" w:rsidRDefault="00D23409" w:rsidP="00D23409">
            <w:pPr>
              <w:spacing w:after="0" w:line="240" w:lineRule="auto"/>
              <w:rPr>
                <w:rFonts w:ascii="Times New Roman" w:eastAsia="Times New Roman" w:hAnsi="Times New Roman" w:cs="Times New Roman"/>
                <w:b/>
                <w:bCs/>
                <w:lang w:eastAsia="lv-LV"/>
              </w:rPr>
            </w:pPr>
          </w:p>
        </w:tc>
        <w:tc>
          <w:tcPr>
            <w:tcW w:w="1096" w:type="dxa"/>
            <w:tcBorders>
              <w:top w:val="nil"/>
              <w:left w:val="nil"/>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Unikālo pacientu* skaits</w:t>
            </w:r>
          </w:p>
        </w:tc>
        <w:tc>
          <w:tcPr>
            <w:tcW w:w="1455" w:type="dxa"/>
            <w:tcBorders>
              <w:top w:val="nil"/>
              <w:left w:val="nil"/>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proofErr w:type="spellStart"/>
            <w:r w:rsidRPr="00D23409">
              <w:rPr>
                <w:rFonts w:ascii="Times New Roman" w:eastAsia="Times New Roman" w:hAnsi="Times New Roman" w:cs="Times New Roman"/>
                <w:i/>
                <w:lang w:eastAsia="lv-LV"/>
              </w:rPr>
              <w:t>euro</w:t>
            </w:r>
            <w:proofErr w:type="spellEnd"/>
          </w:p>
        </w:tc>
        <w:tc>
          <w:tcPr>
            <w:tcW w:w="1029" w:type="dxa"/>
            <w:tcBorders>
              <w:top w:val="nil"/>
              <w:left w:val="nil"/>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Unikālo pacientu skaits</w:t>
            </w:r>
          </w:p>
        </w:tc>
        <w:tc>
          <w:tcPr>
            <w:tcW w:w="1344" w:type="dxa"/>
            <w:tcBorders>
              <w:top w:val="nil"/>
              <w:left w:val="nil"/>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proofErr w:type="spellStart"/>
            <w:r w:rsidRPr="00D23409">
              <w:rPr>
                <w:rFonts w:ascii="Times New Roman" w:eastAsia="Times New Roman" w:hAnsi="Times New Roman" w:cs="Times New Roman"/>
                <w:i/>
                <w:lang w:eastAsia="lv-LV"/>
              </w:rPr>
              <w:t>euro</w:t>
            </w:r>
            <w:proofErr w:type="spellEnd"/>
          </w:p>
        </w:tc>
        <w:tc>
          <w:tcPr>
            <w:tcW w:w="1843" w:type="dxa"/>
            <w:vMerge/>
            <w:tcBorders>
              <w:top w:val="nil"/>
              <w:left w:val="single" w:sz="4" w:space="0" w:color="auto"/>
              <w:bottom w:val="single" w:sz="4" w:space="0" w:color="auto"/>
              <w:right w:val="single" w:sz="4" w:space="0" w:color="auto"/>
            </w:tcBorders>
            <w:vAlign w:val="center"/>
            <w:hideMark/>
          </w:tcPr>
          <w:p w:rsidR="00D23409" w:rsidRPr="00D23409" w:rsidRDefault="00D23409" w:rsidP="00D23409">
            <w:pPr>
              <w:spacing w:after="0" w:line="240" w:lineRule="auto"/>
              <w:rPr>
                <w:rFonts w:ascii="Times New Roman" w:eastAsia="Times New Roman" w:hAnsi="Times New Roman" w:cs="Times New Roman"/>
                <w:lang w:eastAsia="lv-LV"/>
              </w:rPr>
            </w:pPr>
          </w:p>
        </w:tc>
      </w:tr>
      <w:tr w:rsidR="00B466DE" w:rsidRPr="00D23409" w:rsidTr="00BC1519">
        <w:trPr>
          <w:trHeight w:val="165"/>
        </w:trPr>
        <w:tc>
          <w:tcPr>
            <w:tcW w:w="1847" w:type="dxa"/>
            <w:tcBorders>
              <w:top w:val="single" w:sz="4" w:space="0" w:color="auto"/>
              <w:left w:val="single" w:sz="4" w:space="0" w:color="auto"/>
              <w:bottom w:val="single" w:sz="4" w:space="0" w:color="auto"/>
              <w:right w:val="single" w:sz="4" w:space="0" w:color="auto"/>
            </w:tcBorders>
            <w:vAlign w:val="center"/>
            <w:hideMark/>
          </w:tcPr>
          <w:p w:rsidR="00B466DE" w:rsidRPr="00B466DE" w:rsidRDefault="00B466DE" w:rsidP="00B466DE">
            <w:pPr>
              <w:spacing w:after="0" w:line="240" w:lineRule="auto"/>
              <w:jc w:val="center"/>
              <w:rPr>
                <w:rFonts w:ascii="Times New Roman" w:eastAsia="Times New Roman" w:hAnsi="Times New Roman" w:cs="Times New Roman"/>
                <w:bCs/>
                <w:lang w:eastAsia="lv-LV"/>
              </w:rPr>
            </w:pPr>
            <w:r w:rsidRPr="00B466DE">
              <w:rPr>
                <w:rFonts w:ascii="Times New Roman" w:eastAsia="Times New Roman" w:hAnsi="Times New Roman" w:cs="Times New Roman"/>
                <w:bCs/>
                <w:lang w:eastAsia="lv-LV"/>
              </w:rPr>
              <w:t>1</w:t>
            </w:r>
          </w:p>
        </w:tc>
        <w:tc>
          <w:tcPr>
            <w:tcW w:w="1096" w:type="dxa"/>
            <w:tcBorders>
              <w:top w:val="nil"/>
              <w:left w:val="nil"/>
              <w:bottom w:val="single" w:sz="4" w:space="0" w:color="auto"/>
              <w:right w:val="single" w:sz="4" w:space="0" w:color="auto"/>
            </w:tcBorders>
            <w:shd w:val="clear" w:color="auto" w:fill="auto"/>
            <w:vAlign w:val="center"/>
            <w:hideMark/>
          </w:tcPr>
          <w:p w:rsidR="00B466DE" w:rsidRPr="00B466DE" w:rsidRDefault="00B466DE" w:rsidP="00B466DE">
            <w:pPr>
              <w:spacing w:after="0" w:line="240" w:lineRule="auto"/>
              <w:jc w:val="center"/>
              <w:rPr>
                <w:rFonts w:ascii="Times New Roman" w:eastAsia="Times New Roman" w:hAnsi="Times New Roman" w:cs="Times New Roman"/>
                <w:lang w:eastAsia="lv-LV"/>
              </w:rPr>
            </w:pPr>
            <w:r w:rsidRPr="00B466DE">
              <w:rPr>
                <w:rFonts w:ascii="Times New Roman" w:eastAsia="Times New Roman" w:hAnsi="Times New Roman" w:cs="Times New Roman"/>
                <w:lang w:eastAsia="lv-LV"/>
              </w:rPr>
              <w:t>2</w:t>
            </w:r>
          </w:p>
        </w:tc>
        <w:tc>
          <w:tcPr>
            <w:tcW w:w="1455" w:type="dxa"/>
            <w:tcBorders>
              <w:top w:val="nil"/>
              <w:left w:val="nil"/>
              <w:bottom w:val="single" w:sz="4" w:space="0" w:color="auto"/>
              <w:right w:val="single" w:sz="4" w:space="0" w:color="auto"/>
            </w:tcBorders>
            <w:shd w:val="clear" w:color="auto" w:fill="auto"/>
            <w:vAlign w:val="center"/>
            <w:hideMark/>
          </w:tcPr>
          <w:p w:rsidR="00B466DE" w:rsidRPr="00B466DE" w:rsidRDefault="00B466DE" w:rsidP="00B466DE">
            <w:pPr>
              <w:spacing w:after="0" w:line="240" w:lineRule="auto"/>
              <w:jc w:val="center"/>
              <w:rPr>
                <w:rFonts w:ascii="Times New Roman" w:eastAsia="Times New Roman" w:hAnsi="Times New Roman" w:cs="Times New Roman"/>
                <w:i/>
                <w:lang w:eastAsia="lv-LV"/>
              </w:rPr>
            </w:pPr>
            <w:r w:rsidRPr="00B466DE">
              <w:rPr>
                <w:rFonts w:ascii="Times New Roman" w:eastAsia="Times New Roman" w:hAnsi="Times New Roman" w:cs="Times New Roman"/>
                <w:i/>
                <w:lang w:eastAsia="lv-LV"/>
              </w:rPr>
              <w:t>3</w:t>
            </w:r>
          </w:p>
        </w:tc>
        <w:tc>
          <w:tcPr>
            <w:tcW w:w="1029" w:type="dxa"/>
            <w:tcBorders>
              <w:top w:val="nil"/>
              <w:left w:val="nil"/>
              <w:bottom w:val="single" w:sz="4" w:space="0" w:color="auto"/>
              <w:right w:val="single" w:sz="4" w:space="0" w:color="auto"/>
            </w:tcBorders>
            <w:shd w:val="clear" w:color="auto" w:fill="auto"/>
            <w:vAlign w:val="center"/>
            <w:hideMark/>
          </w:tcPr>
          <w:p w:rsidR="00B466DE" w:rsidRPr="00B466DE" w:rsidRDefault="00B466DE" w:rsidP="00B466DE">
            <w:pPr>
              <w:spacing w:after="0" w:line="240" w:lineRule="auto"/>
              <w:jc w:val="center"/>
              <w:rPr>
                <w:rFonts w:ascii="Times New Roman" w:eastAsia="Times New Roman" w:hAnsi="Times New Roman" w:cs="Times New Roman"/>
                <w:lang w:eastAsia="lv-LV"/>
              </w:rPr>
            </w:pPr>
            <w:r w:rsidRPr="00B466DE">
              <w:rPr>
                <w:rFonts w:ascii="Times New Roman" w:eastAsia="Times New Roman" w:hAnsi="Times New Roman" w:cs="Times New Roman"/>
                <w:lang w:eastAsia="lv-LV"/>
              </w:rPr>
              <w:t>4</w:t>
            </w:r>
          </w:p>
        </w:tc>
        <w:tc>
          <w:tcPr>
            <w:tcW w:w="1344" w:type="dxa"/>
            <w:tcBorders>
              <w:top w:val="nil"/>
              <w:left w:val="nil"/>
              <w:bottom w:val="single" w:sz="4" w:space="0" w:color="auto"/>
              <w:right w:val="single" w:sz="4" w:space="0" w:color="auto"/>
            </w:tcBorders>
            <w:shd w:val="clear" w:color="auto" w:fill="auto"/>
            <w:vAlign w:val="center"/>
            <w:hideMark/>
          </w:tcPr>
          <w:p w:rsidR="00B466DE" w:rsidRPr="00B466DE" w:rsidRDefault="00B466DE" w:rsidP="00B466DE">
            <w:pPr>
              <w:spacing w:after="0" w:line="240" w:lineRule="auto"/>
              <w:jc w:val="center"/>
              <w:rPr>
                <w:rFonts w:ascii="Times New Roman" w:eastAsia="Times New Roman" w:hAnsi="Times New Roman" w:cs="Times New Roman"/>
                <w:i/>
                <w:lang w:eastAsia="lv-LV"/>
              </w:rPr>
            </w:pPr>
            <w:r w:rsidRPr="00B466DE">
              <w:rPr>
                <w:rFonts w:ascii="Times New Roman" w:eastAsia="Times New Roman" w:hAnsi="Times New Roman" w:cs="Times New Roman"/>
                <w:i/>
                <w:lang w:eastAsia="lv-LV"/>
              </w:rPr>
              <w:t>5</w:t>
            </w:r>
          </w:p>
        </w:tc>
        <w:tc>
          <w:tcPr>
            <w:tcW w:w="1843" w:type="dxa"/>
            <w:tcBorders>
              <w:top w:val="nil"/>
              <w:left w:val="single" w:sz="4" w:space="0" w:color="auto"/>
              <w:bottom w:val="single" w:sz="4" w:space="0" w:color="auto"/>
              <w:right w:val="single" w:sz="4" w:space="0" w:color="auto"/>
            </w:tcBorders>
            <w:vAlign w:val="center"/>
            <w:hideMark/>
          </w:tcPr>
          <w:p w:rsidR="00B466DE" w:rsidRPr="00B466DE" w:rsidRDefault="00B466DE" w:rsidP="00B466DE">
            <w:pPr>
              <w:spacing w:after="0" w:line="240" w:lineRule="auto"/>
              <w:jc w:val="center"/>
              <w:rPr>
                <w:rFonts w:ascii="Times New Roman" w:eastAsia="Times New Roman" w:hAnsi="Times New Roman" w:cs="Times New Roman"/>
                <w:lang w:eastAsia="lv-LV"/>
              </w:rPr>
            </w:pPr>
            <w:r w:rsidRPr="00B466DE">
              <w:rPr>
                <w:rFonts w:ascii="Times New Roman" w:eastAsia="Times New Roman" w:hAnsi="Times New Roman" w:cs="Times New Roman"/>
                <w:lang w:eastAsia="lv-LV"/>
              </w:rPr>
              <w:t>6</w:t>
            </w:r>
          </w:p>
        </w:tc>
      </w:tr>
      <w:tr w:rsidR="00D23409" w:rsidRPr="00D23409" w:rsidTr="00BC1519">
        <w:trPr>
          <w:trHeight w:val="300"/>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xml:space="preserve">1. Zāļu iegādes </w:t>
            </w:r>
            <w:r w:rsidRPr="00D23409">
              <w:rPr>
                <w:rFonts w:ascii="Times New Roman" w:eastAsia="Times New Roman" w:hAnsi="Times New Roman" w:cs="Times New Roman"/>
                <w:lang w:eastAsia="lv-LV"/>
              </w:rPr>
              <w:lastRenderedPageBreak/>
              <w:t>kompensācija vispārējā kārtībā</w:t>
            </w:r>
          </w:p>
        </w:tc>
        <w:tc>
          <w:tcPr>
            <w:tcW w:w="1096"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rPr>
                <w:rFonts w:ascii="Times New Roman" w:eastAsia="Times New Roman" w:hAnsi="Times New Roman" w:cs="Times New Roman"/>
                <w:lang w:eastAsia="lv-LV"/>
              </w:rPr>
            </w:pPr>
            <w:r w:rsidRPr="00D23409">
              <w:rPr>
                <w:rFonts w:ascii="Times New Roman" w:eastAsia="Times New Roman" w:hAnsi="Times New Roman" w:cs="Times New Roman"/>
                <w:lang w:eastAsia="lv-LV"/>
              </w:rPr>
              <w:lastRenderedPageBreak/>
              <w:t> </w:t>
            </w:r>
          </w:p>
        </w:tc>
        <w:tc>
          <w:tcPr>
            <w:tcW w:w="1455"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131 787 666</w:t>
            </w:r>
          </w:p>
        </w:tc>
        <w:tc>
          <w:tcPr>
            <w:tcW w:w="1029"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w:t>
            </w:r>
          </w:p>
        </w:tc>
        <w:tc>
          <w:tcPr>
            <w:tcW w:w="1344"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109 528 940</w:t>
            </w:r>
          </w:p>
          <w:p w:rsidR="00D23409" w:rsidRPr="00D23409" w:rsidRDefault="00D23409" w:rsidP="00D23409">
            <w:pPr>
              <w:spacing w:after="0" w:line="240" w:lineRule="auto"/>
              <w:jc w:val="center"/>
              <w:rPr>
                <w:rFonts w:ascii="Times New Roman" w:eastAsia="Times New Roman" w:hAnsi="Times New Roman" w:cs="Times New Roman"/>
                <w:lang w:eastAsia="lv-LV"/>
              </w:rPr>
            </w:pPr>
          </w:p>
        </w:tc>
        <w:tc>
          <w:tcPr>
            <w:tcW w:w="1843"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6C537B">
            <w:pPr>
              <w:spacing w:after="0" w:line="240" w:lineRule="auto"/>
              <w:jc w:val="right"/>
              <w:rPr>
                <w:rFonts w:ascii="Times New Roman" w:eastAsia="Times New Roman" w:hAnsi="Times New Roman" w:cs="Times New Roman"/>
                <w:lang w:eastAsia="lv-LV"/>
              </w:rPr>
            </w:pPr>
            <w:r w:rsidRPr="00F757CD">
              <w:rPr>
                <w:rFonts w:ascii="Times New Roman" w:eastAsia="Times New Roman" w:hAnsi="Times New Roman" w:cs="Times New Roman"/>
                <w:lang w:eastAsia="lv-LV"/>
              </w:rPr>
              <w:lastRenderedPageBreak/>
              <w:t>142 258</w:t>
            </w:r>
            <w:r w:rsidR="00EB67E3">
              <w:rPr>
                <w:rFonts w:ascii="Times New Roman" w:eastAsia="Times New Roman" w:hAnsi="Times New Roman" w:cs="Times New Roman"/>
                <w:lang w:eastAsia="lv-LV"/>
              </w:rPr>
              <w:t> </w:t>
            </w:r>
            <w:r w:rsidRPr="00F757CD">
              <w:rPr>
                <w:rFonts w:ascii="Times New Roman" w:eastAsia="Times New Roman" w:hAnsi="Times New Roman" w:cs="Times New Roman"/>
                <w:lang w:eastAsia="lv-LV"/>
              </w:rPr>
              <w:t>391</w:t>
            </w:r>
          </w:p>
        </w:tc>
      </w:tr>
      <w:tr w:rsidR="00D23409" w:rsidRPr="00D23409" w:rsidTr="00BC1519">
        <w:trPr>
          <w:trHeight w:val="300"/>
        </w:trPr>
        <w:tc>
          <w:tcPr>
            <w:tcW w:w="1847" w:type="dxa"/>
            <w:tcBorders>
              <w:top w:val="nil"/>
              <w:left w:val="single" w:sz="4" w:space="0" w:color="auto"/>
              <w:bottom w:val="single" w:sz="4" w:space="0" w:color="auto"/>
              <w:right w:val="single" w:sz="4" w:space="0" w:color="auto"/>
            </w:tcBorders>
            <w:shd w:val="clear" w:color="auto" w:fill="auto"/>
            <w:vAlign w:val="center"/>
          </w:tcPr>
          <w:p w:rsidR="00D23409" w:rsidRPr="00D23409" w:rsidRDefault="00D23409" w:rsidP="00D23409">
            <w:pPr>
              <w:spacing w:after="0" w:line="240" w:lineRule="auto"/>
              <w:rPr>
                <w:rFonts w:ascii="Times New Roman" w:eastAsia="Times New Roman" w:hAnsi="Times New Roman" w:cs="Times New Roman"/>
                <w:i/>
                <w:lang w:eastAsia="lv-LV"/>
              </w:rPr>
            </w:pPr>
            <w:r w:rsidRPr="00D23409">
              <w:rPr>
                <w:rFonts w:ascii="Times New Roman" w:eastAsia="Times New Roman" w:hAnsi="Times New Roman" w:cs="Times New Roman"/>
                <w:i/>
                <w:lang w:eastAsia="lv-LV"/>
              </w:rPr>
              <w:lastRenderedPageBreak/>
              <w:t xml:space="preserve">t.sk. zāļu ražotāju līdzdalība </w:t>
            </w:r>
          </w:p>
        </w:tc>
        <w:tc>
          <w:tcPr>
            <w:tcW w:w="1096" w:type="dxa"/>
            <w:tcBorders>
              <w:top w:val="nil"/>
              <w:left w:val="nil"/>
              <w:bottom w:val="single" w:sz="4" w:space="0" w:color="auto"/>
              <w:right w:val="single" w:sz="4" w:space="0" w:color="auto"/>
            </w:tcBorders>
            <w:shd w:val="clear" w:color="auto" w:fill="auto"/>
            <w:noWrap/>
            <w:vAlign w:val="center"/>
          </w:tcPr>
          <w:p w:rsidR="00D23409" w:rsidRPr="00D23409" w:rsidRDefault="00D23409" w:rsidP="00D23409">
            <w:pPr>
              <w:spacing w:after="0" w:line="240" w:lineRule="auto"/>
              <w:rPr>
                <w:rFonts w:ascii="Times New Roman" w:eastAsia="Times New Roman" w:hAnsi="Times New Roman" w:cs="Times New Roman"/>
                <w:i/>
                <w:lang w:eastAsia="lv-LV"/>
              </w:rPr>
            </w:pPr>
          </w:p>
        </w:tc>
        <w:tc>
          <w:tcPr>
            <w:tcW w:w="1455" w:type="dxa"/>
            <w:tcBorders>
              <w:top w:val="nil"/>
              <w:left w:val="nil"/>
              <w:bottom w:val="single" w:sz="4" w:space="0" w:color="auto"/>
              <w:right w:val="single" w:sz="4" w:space="0" w:color="auto"/>
            </w:tcBorders>
            <w:shd w:val="clear" w:color="auto" w:fill="auto"/>
            <w:noWrap/>
            <w:vAlign w:val="center"/>
          </w:tcPr>
          <w:p w:rsidR="00D23409" w:rsidRPr="00D23409" w:rsidRDefault="00D23409" w:rsidP="00D23409">
            <w:pPr>
              <w:spacing w:after="0" w:line="240" w:lineRule="auto"/>
              <w:jc w:val="center"/>
              <w:rPr>
                <w:rFonts w:ascii="Times New Roman" w:eastAsia="Times New Roman" w:hAnsi="Times New Roman" w:cs="Times New Roman"/>
                <w:i/>
                <w:lang w:eastAsia="lv-LV"/>
              </w:rPr>
            </w:pPr>
            <w:r w:rsidRPr="00D23409">
              <w:rPr>
                <w:rFonts w:ascii="Times New Roman" w:eastAsia="Times New Roman" w:hAnsi="Times New Roman" w:cs="Times New Roman"/>
                <w:i/>
                <w:lang w:eastAsia="lv-LV"/>
              </w:rPr>
              <w:t>7 656 594</w:t>
            </w:r>
          </w:p>
        </w:tc>
        <w:tc>
          <w:tcPr>
            <w:tcW w:w="1029" w:type="dxa"/>
            <w:tcBorders>
              <w:top w:val="nil"/>
              <w:left w:val="nil"/>
              <w:bottom w:val="single" w:sz="4" w:space="0" w:color="auto"/>
              <w:right w:val="single" w:sz="4" w:space="0" w:color="auto"/>
            </w:tcBorders>
            <w:shd w:val="clear" w:color="auto" w:fill="auto"/>
            <w:noWrap/>
            <w:vAlign w:val="center"/>
          </w:tcPr>
          <w:p w:rsidR="00D23409" w:rsidRPr="00D23409" w:rsidRDefault="00D23409" w:rsidP="00D23409">
            <w:pPr>
              <w:spacing w:after="0" w:line="240" w:lineRule="auto"/>
              <w:jc w:val="center"/>
              <w:rPr>
                <w:rFonts w:ascii="Times New Roman" w:eastAsia="Times New Roman" w:hAnsi="Times New Roman" w:cs="Times New Roman"/>
                <w:i/>
                <w:lang w:eastAsia="lv-LV"/>
              </w:rPr>
            </w:pPr>
          </w:p>
        </w:tc>
        <w:tc>
          <w:tcPr>
            <w:tcW w:w="1344" w:type="dxa"/>
            <w:tcBorders>
              <w:top w:val="nil"/>
              <w:left w:val="nil"/>
              <w:bottom w:val="single" w:sz="4" w:space="0" w:color="auto"/>
              <w:right w:val="single" w:sz="4" w:space="0" w:color="auto"/>
            </w:tcBorders>
            <w:shd w:val="clear" w:color="auto" w:fill="auto"/>
            <w:noWrap/>
            <w:vAlign w:val="center"/>
          </w:tcPr>
          <w:p w:rsidR="00D23409" w:rsidRPr="00D23409" w:rsidRDefault="00D23409" w:rsidP="00D23409">
            <w:pPr>
              <w:spacing w:after="0" w:line="240" w:lineRule="auto"/>
              <w:jc w:val="center"/>
              <w:rPr>
                <w:rFonts w:ascii="Times New Roman" w:eastAsia="Times New Roman" w:hAnsi="Times New Roman" w:cs="Times New Roman"/>
                <w:i/>
                <w:lang w:eastAsia="lv-LV"/>
              </w:rPr>
            </w:pPr>
          </w:p>
        </w:tc>
        <w:tc>
          <w:tcPr>
            <w:tcW w:w="1843" w:type="dxa"/>
            <w:tcBorders>
              <w:top w:val="nil"/>
              <w:left w:val="nil"/>
              <w:bottom w:val="single" w:sz="4" w:space="0" w:color="auto"/>
              <w:right w:val="single" w:sz="4" w:space="0" w:color="auto"/>
            </w:tcBorders>
            <w:shd w:val="clear" w:color="auto" w:fill="auto"/>
            <w:noWrap/>
            <w:vAlign w:val="center"/>
          </w:tcPr>
          <w:p w:rsidR="00D23409" w:rsidRPr="00D23409" w:rsidRDefault="00D23409" w:rsidP="00D23409">
            <w:pPr>
              <w:spacing w:after="0" w:line="240" w:lineRule="auto"/>
              <w:jc w:val="right"/>
              <w:rPr>
                <w:rFonts w:ascii="Times New Roman" w:eastAsia="Times New Roman" w:hAnsi="Times New Roman" w:cs="Times New Roman"/>
                <w:i/>
                <w:lang w:eastAsia="lv-LV"/>
              </w:rPr>
            </w:pPr>
            <w:r w:rsidRPr="00D23409">
              <w:rPr>
                <w:rFonts w:ascii="Times New Roman" w:eastAsia="Times New Roman" w:hAnsi="Times New Roman" w:cs="Times New Roman"/>
                <w:i/>
                <w:lang w:eastAsia="lv-LV"/>
              </w:rPr>
              <w:t>7 200 000</w:t>
            </w:r>
          </w:p>
          <w:p w:rsidR="00D23409" w:rsidRPr="00D23409" w:rsidRDefault="00D23409" w:rsidP="00D23409">
            <w:pPr>
              <w:spacing w:after="0" w:line="240" w:lineRule="auto"/>
              <w:jc w:val="right"/>
              <w:rPr>
                <w:rFonts w:ascii="Times New Roman" w:eastAsia="Times New Roman" w:hAnsi="Times New Roman" w:cs="Times New Roman"/>
                <w:i/>
                <w:lang w:eastAsia="lv-LV"/>
              </w:rPr>
            </w:pPr>
          </w:p>
        </w:tc>
      </w:tr>
      <w:tr w:rsidR="00D23409" w:rsidRPr="00D23409" w:rsidTr="00BC1519">
        <w:trPr>
          <w:trHeight w:val="300"/>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xml:space="preserve">2.Individuālie pacienti </w:t>
            </w:r>
          </w:p>
        </w:tc>
        <w:tc>
          <w:tcPr>
            <w:tcW w:w="1096"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w:t>
            </w:r>
          </w:p>
        </w:tc>
        <w:tc>
          <w:tcPr>
            <w:tcW w:w="1455"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2 691 540</w:t>
            </w:r>
          </w:p>
          <w:p w:rsidR="00D23409" w:rsidRPr="00D23409" w:rsidRDefault="00D23409" w:rsidP="00D23409">
            <w:pPr>
              <w:spacing w:after="0" w:line="240" w:lineRule="auto"/>
              <w:jc w:val="center"/>
              <w:rPr>
                <w:rFonts w:ascii="Times New Roman" w:eastAsia="Times New Roman" w:hAnsi="Times New Roman" w:cs="Times New Roman"/>
                <w:lang w:eastAsia="lv-LV"/>
              </w:rPr>
            </w:pPr>
          </w:p>
        </w:tc>
        <w:tc>
          <w:tcPr>
            <w:tcW w:w="1029"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w:t>
            </w:r>
          </w:p>
        </w:tc>
        <w:tc>
          <w:tcPr>
            <w:tcW w:w="1344"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2 158 700</w:t>
            </w:r>
          </w:p>
        </w:tc>
        <w:tc>
          <w:tcPr>
            <w:tcW w:w="1843"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right"/>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2 691 540</w:t>
            </w:r>
          </w:p>
        </w:tc>
      </w:tr>
      <w:tr w:rsidR="00D23409" w:rsidRPr="00D23409" w:rsidTr="00BC1519">
        <w:trPr>
          <w:trHeight w:val="855"/>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3.Izdevumu kompensācija bērniem līdz 2 gadu vecumam, grūtniecēm un sievietēm pēcdzemdību periodā</w:t>
            </w:r>
          </w:p>
        </w:tc>
        <w:tc>
          <w:tcPr>
            <w:tcW w:w="1096"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w:t>
            </w:r>
          </w:p>
        </w:tc>
        <w:tc>
          <w:tcPr>
            <w:tcW w:w="1455"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223 299</w:t>
            </w:r>
          </w:p>
        </w:tc>
        <w:tc>
          <w:tcPr>
            <w:tcW w:w="1029"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 </w:t>
            </w:r>
          </w:p>
        </w:tc>
        <w:tc>
          <w:tcPr>
            <w:tcW w:w="1344"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307 239</w:t>
            </w:r>
          </w:p>
        </w:tc>
        <w:tc>
          <w:tcPr>
            <w:tcW w:w="1843"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right"/>
              <w:rPr>
                <w:rFonts w:ascii="Times New Roman" w:eastAsia="Times New Roman" w:hAnsi="Times New Roman" w:cs="Times New Roman"/>
                <w:lang w:eastAsia="lv-LV"/>
              </w:rPr>
            </w:pPr>
            <w:r w:rsidRPr="002F1E03">
              <w:rPr>
                <w:rFonts w:ascii="Times New Roman" w:eastAsia="Times New Roman" w:hAnsi="Times New Roman" w:cs="Times New Roman"/>
                <w:lang w:eastAsia="lv-LV"/>
              </w:rPr>
              <w:t>409 652</w:t>
            </w:r>
          </w:p>
          <w:p w:rsidR="00D23409" w:rsidRPr="00D23409" w:rsidRDefault="00D23409" w:rsidP="00D23409">
            <w:pPr>
              <w:spacing w:after="0" w:line="240" w:lineRule="auto"/>
              <w:jc w:val="right"/>
              <w:rPr>
                <w:rFonts w:ascii="Times New Roman" w:eastAsia="Times New Roman" w:hAnsi="Times New Roman" w:cs="Times New Roman"/>
                <w:lang w:eastAsia="lv-LV"/>
              </w:rPr>
            </w:pPr>
          </w:p>
        </w:tc>
      </w:tr>
      <w:tr w:rsidR="00D23409" w:rsidRPr="00D23409" w:rsidTr="00BC1519">
        <w:trPr>
          <w:trHeight w:val="855"/>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23409" w:rsidRPr="00D23409" w:rsidRDefault="00D23409" w:rsidP="00D23409">
            <w:pPr>
              <w:spacing w:after="0" w:line="240" w:lineRule="auto"/>
              <w:rPr>
                <w:rFonts w:ascii="Times New Roman" w:eastAsia="Times New Roman" w:hAnsi="Times New Roman" w:cs="Times New Roman"/>
                <w:b/>
                <w:bCs/>
                <w:lang w:eastAsia="lv-LV"/>
              </w:rPr>
            </w:pPr>
            <w:r w:rsidRPr="00D23409">
              <w:rPr>
                <w:rFonts w:ascii="Times New Roman" w:eastAsia="Times New Roman" w:hAnsi="Times New Roman" w:cs="Times New Roman"/>
                <w:b/>
                <w:bCs/>
                <w:lang w:eastAsia="lv-LV"/>
              </w:rPr>
              <w:t>KOPĀ:</w:t>
            </w:r>
          </w:p>
          <w:p w:rsidR="00D23409" w:rsidRPr="00D23409" w:rsidRDefault="00D23409" w:rsidP="00D23409">
            <w:pPr>
              <w:spacing w:after="0" w:line="240" w:lineRule="auto"/>
              <w:rPr>
                <w:rFonts w:ascii="Times New Roman" w:eastAsia="Times New Roman" w:hAnsi="Times New Roman" w:cs="Times New Roman"/>
                <w:lang w:eastAsia="lv-LV"/>
              </w:rPr>
            </w:pPr>
            <w:r w:rsidRPr="00D23409">
              <w:rPr>
                <w:rFonts w:ascii="Times New Roman" w:eastAsia="Times New Roman" w:hAnsi="Times New Roman" w:cs="Times New Roman"/>
                <w:b/>
                <w:bCs/>
                <w:lang w:eastAsia="lv-LV"/>
              </w:rPr>
              <w:t>Bez zāļu ražotāju līdzdalības</w:t>
            </w:r>
          </w:p>
        </w:tc>
        <w:tc>
          <w:tcPr>
            <w:tcW w:w="1096"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lang w:eastAsia="lv-LV"/>
              </w:rPr>
              <w:t>671 228</w:t>
            </w:r>
          </w:p>
        </w:tc>
        <w:tc>
          <w:tcPr>
            <w:tcW w:w="1455"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b/>
                <w:bCs/>
                <w:lang w:eastAsia="lv-LV"/>
              </w:rPr>
            </w:pPr>
            <w:r w:rsidRPr="00D23409">
              <w:rPr>
                <w:rFonts w:ascii="Times New Roman" w:eastAsia="Times New Roman" w:hAnsi="Times New Roman" w:cs="Times New Roman"/>
                <w:b/>
                <w:bCs/>
                <w:lang w:eastAsia="lv-LV"/>
              </w:rPr>
              <w:t>134 702 505</w:t>
            </w:r>
          </w:p>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b/>
                <w:bCs/>
                <w:lang w:eastAsia="lv-LV"/>
              </w:rPr>
              <w:t>127 045 911</w:t>
            </w:r>
          </w:p>
        </w:tc>
        <w:tc>
          <w:tcPr>
            <w:tcW w:w="1029"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b/>
                <w:bCs/>
                <w:lang w:eastAsia="lv-LV"/>
              </w:rPr>
              <w:t>631 200</w:t>
            </w:r>
          </w:p>
        </w:tc>
        <w:tc>
          <w:tcPr>
            <w:tcW w:w="1344"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center"/>
              <w:rPr>
                <w:rFonts w:ascii="Times New Roman" w:eastAsia="Times New Roman" w:hAnsi="Times New Roman" w:cs="Times New Roman"/>
                <w:lang w:eastAsia="lv-LV"/>
              </w:rPr>
            </w:pPr>
            <w:r w:rsidRPr="00D23409">
              <w:rPr>
                <w:rFonts w:ascii="Times New Roman" w:eastAsia="Times New Roman" w:hAnsi="Times New Roman" w:cs="Times New Roman"/>
                <w:b/>
                <w:bCs/>
                <w:lang w:eastAsia="lv-LV"/>
              </w:rPr>
              <w:t>111 994 879</w:t>
            </w:r>
          </w:p>
        </w:tc>
        <w:tc>
          <w:tcPr>
            <w:tcW w:w="1843" w:type="dxa"/>
            <w:tcBorders>
              <w:top w:val="nil"/>
              <w:left w:val="nil"/>
              <w:bottom w:val="single" w:sz="4" w:space="0" w:color="auto"/>
              <w:right w:val="single" w:sz="4" w:space="0" w:color="auto"/>
            </w:tcBorders>
            <w:shd w:val="clear" w:color="auto" w:fill="auto"/>
            <w:noWrap/>
            <w:vAlign w:val="center"/>
            <w:hideMark/>
          </w:tcPr>
          <w:p w:rsidR="00D23409" w:rsidRPr="00D23409" w:rsidRDefault="00D23409" w:rsidP="00D23409">
            <w:pPr>
              <w:spacing w:after="0" w:line="240" w:lineRule="auto"/>
              <w:jc w:val="right"/>
              <w:rPr>
                <w:rFonts w:ascii="Times New Roman" w:eastAsia="Times New Roman" w:hAnsi="Times New Roman" w:cs="Times New Roman"/>
                <w:b/>
                <w:bCs/>
                <w:lang w:eastAsia="lv-LV"/>
              </w:rPr>
            </w:pPr>
            <w:r w:rsidRPr="00D23409">
              <w:rPr>
                <w:rFonts w:ascii="Times New Roman" w:eastAsia="Times New Roman" w:hAnsi="Times New Roman" w:cs="Times New Roman"/>
                <w:b/>
                <w:bCs/>
                <w:lang w:eastAsia="lv-LV"/>
              </w:rPr>
              <w:t>145 359 583</w:t>
            </w:r>
          </w:p>
          <w:p w:rsidR="00D23409" w:rsidRPr="00D23409" w:rsidRDefault="00D23409" w:rsidP="00D23409">
            <w:pPr>
              <w:spacing w:after="0" w:line="240" w:lineRule="auto"/>
              <w:jc w:val="right"/>
              <w:rPr>
                <w:rFonts w:ascii="Times New Roman" w:eastAsia="Times New Roman" w:hAnsi="Times New Roman" w:cs="Times New Roman"/>
                <w:lang w:eastAsia="lv-LV"/>
              </w:rPr>
            </w:pPr>
            <w:r w:rsidRPr="00D23409">
              <w:rPr>
                <w:rFonts w:ascii="Times New Roman" w:eastAsia="Times New Roman" w:hAnsi="Times New Roman" w:cs="Times New Roman"/>
                <w:b/>
                <w:bCs/>
                <w:lang w:eastAsia="lv-LV"/>
              </w:rPr>
              <w:t>138 159 583</w:t>
            </w:r>
          </w:p>
        </w:tc>
      </w:tr>
    </w:tbl>
    <w:p w:rsidR="00D23409" w:rsidRPr="00D23409" w:rsidRDefault="00D23409" w:rsidP="00D23409">
      <w:pPr>
        <w:shd w:val="clear" w:color="auto" w:fill="FFFFFF"/>
        <w:ind w:firstLine="318"/>
        <w:jc w:val="both"/>
        <w:rPr>
          <w:rFonts w:ascii="Times New Roman" w:hAnsi="Times New Roman" w:cs="Times New Roman"/>
          <w:sz w:val="24"/>
          <w:szCs w:val="24"/>
        </w:rPr>
      </w:pPr>
    </w:p>
    <w:p w:rsidR="00D23409" w:rsidRDefault="00D23409" w:rsidP="00D23409">
      <w:pPr>
        <w:shd w:val="clear" w:color="auto" w:fill="FFFFFF"/>
        <w:ind w:firstLine="318"/>
        <w:jc w:val="both"/>
        <w:rPr>
          <w:rFonts w:ascii="Times New Roman" w:hAnsi="Times New Roman" w:cs="Times New Roman"/>
          <w:sz w:val="24"/>
          <w:szCs w:val="24"/>
        </w:rPr>
      </w:pPr>
      <w:r w:rsidRPr="00D23409">
        <w:rPr>
          <w:rFonts w:ascii="Times New Roman" w:hAnsi="Times New Roman" w:cs="Times New Roman"/>
          <w:sz w:val="24"/>
          <w:szCs w:val="24"/>
        </w:rPr>
        <w:t xml:space="preserve">*Unikālais pacients: Pacients, kurš saņēmis vienu vai vairākus veselības aprūpes pakalpojumus konkrētā laika periodā, bet unikālo pacientu skaitā viņš tiek ieskaitīts kā viens pacients. Unikālais pacients ir viena (neatkārtojama) persona, kurai daļēji vai pilnībā tiek kompensēta recepte no valsts budžeta līdzekļiem, un pie datu atlases tiek speciāli identificēts kā viens unikāls pacients. Unikālo pacientu skaits nesakrīt ar </w:t>
      </w:r>
      <w:proofErr w:type="spellStart"/>
      <w:r w:rsidRPr="00D23409">
        <w:rPr>
          <w:rFonts w:ascii="Times New Roman" w:hAnsi="Times New Roman" w:cs="Times New Roman"/>
          <w:sz w:val="24"/>
          <w:szCs w:val="24"/>
        </w:rPr>
        <w:t>atprečoto</w:t>
      </w:r>
      <w:proofErr w:type="spellEnd"/>
      <w:r w:rsidRPr="00D23409">
        <w:rPr>
          <w:rFonts w:ascii="Times New Roman" w:hAnsi="Times New Roman" w:cs="Times New Roman"/>
          <w:sz w:val="24"/>
          <w:szCs w:val="24"/>
        </w:rPr>
        <w:t xml:space="preserve"> recepšu skaitu vai gadījumu skaitu gadā, jo viens pacients (unikālais pacients) gada laikā var </w:t>
      </w:r>
      <w:proofErr w:type="spellStart"/>
      <w:r w:rsidRPr="00D23409">
        <w:rPr>
          <w:rFonts w:ascii="Times New Roman" w:hAnsi="Times New Roman" w:cs="Times New Roman"/>
          <w:sz w:val="24"/>
          <w:szCs w:val="24"/>
        </w:rPr>
        <w:t>atprečot</w:t>
      </w:r>
      <w:proofErr w:type="spellEnd"/>
      <w:r w:rsidRPr="00D23409">
        <w:rPr>
          <w:rFonts w:ascii="Times New Roman" w:hAnsi="Times New Roman" w:cs="Times New Roman"/>
          <w:sz w:val="24"/>
          <w:szCs w:val="24"/>
        </w:rPr>
        <w:t xml:space="preserve"> vairākas receptes ar dažādām zālēm un medicīniskām ierīcēm pie vairākām/dažādām diagnozēm.</w:t>
      </w:r>
    </w:p>
    <w:p w:rsidR="006C537B" w:rsidRPr="006C537B" w:rsidRDefault="006C537B" w:rsidP="00681BFE">
      <w:pPr>
        <w:shd w:val="clear" w:color="auto" w:fill="FFFFFF"/>
        <w:ind w:firstLine="318"/>
        <w:jc w:val="both"/>
        <w:rPr>
          <w:rFonts w:ascii="Times New Roman" w:eastAsia="Times New Roman" w:hAnsi="Times New Roman" w:cs="Times New Roman"/>
          <w:sz w:val="24"/>
          <w:szCs w:val="24"/>
          <w:lang w:eastAsia="lv-LV"/>
        </w:rPr>
      </w:pPr>
      <w:r w:rsidRPr="006C537B">
        <w:rPr>
          <w:rFonts w:ascii="Times New Roman" w:hAnsi="Times New Roman" w:cs="Times New Roman"/>
          <w:sz w:val="24"/>
          <w:szCs w:val="24"/>
        </w:rPr>
        <w:t>Gada izpilde</w:t>
      </w:r>
      <w:r w:rsidR="00EB67E3" w:rsidRPr="006C537B">
        <w:rPr>
          <w:rFonts w:ascii="Times New Roman" w:hAnsi="Times New Roman" w:cs="Times New Roman"/>
          <w:sz w:val="24"/>
          <w:szCs w:val="24"/>
        </w:rPr>
        <w:t xml:space="preserve"> </w:t>
      </w:r>
      <w:r w:rsidR="00EB67E3" w:rsidRPr="006C537B">
        <w:rPr>
          <w:rFonts w:ascii="Times New Roman" w:eastAsia="Times New Roman" w:hAnsi="Times New Roman" w:cs="Times New Roman"/>
          <w:sz w:val="24"/>
          <w:szCs w:val="24"/>
          <w:lang w:eastAsia="lv-LV"/>
        </w:rPr>
        <w:t>zāļu iegādes kompensācija</w:t>
      </w:r>
      <w:r w:rsidRPr="006C537B">
        <w:rPr>
          <w:rFonts w:ascii="Times New Roman" w:eastAsia="Times New Roman" w:hAnsi="Times New Roman" w:cs="Times New Roman"/>
          <w:sz w:val="24"/>
          <w:szCs w:val="24"/>
          <w:lang w:eastAsia="lv-LV"/>
        </w:rPr>
        <w:t>i</w:t>
      </w:r>
      <w:r w:rsidR="00EB67E3" w:rsidRPr="006C537B">
        <w:rPr>
          <w:rFonts w:ascii="Times New Roman" w:eastAsia="Times New Roman" w:hAnsi="Times New Roman" w:cs="Times New Roman"/>
          <w:sz w:val="24"/>
          <w:szCs w:val="24"/>
          <w:lang w:eastAsia="lv-LV"/>
        </w:rPr>
        <w:t xml:space="preserve"> vispārējā kārtībā</w:t>
      </w:r>
      <w:r w:rsidRPr="006C537B">
        <w:rPr>
          <w:rFonts w:ascii="Times New Roman" w:eastAsia="Times New Roman" w:hAnsi="Times New Roman" w:cs="Times New Roman"/>
          <w:sz w:val="24"/>
          <w:szCs w:val="24"/>
          <w:lang w:eastAsia="lv-LV"/>
        </w:rPr>
        <w:t xml:space="preserve"> prognozēta: </w:t>
      </w:r>
    </w:p>
    <w:p w:rsidR="006C537B" w:rsidRDefault="006C537B" w:rsidP="006C537B">
      <w:pPr>
        <w:shd w:val="clear" w:color="auto" w:fill="FFFFFF"/>
        <w:ind w:left="7200"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4.tabula</w:t>
      </w:r>
    </w:p>
    <w:p w:rsidR="006C537B" w:rsidRPr="00681BFE" w:rsidRDefault="006C537B" w:rsidP="006C537B">
      <w:pPr>
        <w:shd w:val="clear" w:color="auto" w:fill="FFFFFF"/>
        <w:ind w:left="7200" w:hanging="7200"/>
        <w:jc w:val="center"/>
        <w:rPr>
          <w:rFonts w:ascii="Times New Roman" w:eastAsia="Times New Roman" w:hAnsi="Times New Roman" w:cs="Times New Roman"/>
          <w:b/>
          <w:sz w:val="24"/>
          <w:szCs w:val="24"/>
          <w:lang w:eastAsia="lv-LV"/>
        </w:rPr>
      </w:pPr>
      <w:r w:rsidRPr="00681BFE">
        <w:rPr>
          <w:rFonts w:ascii="Times New Roman" w:eastAsia="Times New Roman" w:hAnsi="Times New Roman" w:cs="Times New Roman"/>
          <w:b/>
          <w:sz w:val="24"/>
          <w:szCs w:val="24"/>
          <w:lang w:eastAsia="lv-LV"/>
        </w:rPr>
        <w:t>Zāļu iegādes kompensācija vispārējā kārtībā</w:t>
      </w:r>
    </w:p>
    <w:tbl>
      <w:tblPr>
        <w:tblW w:w="8377" w:type="dxa"/>
        <w:tblLook w:val="04A0"/>
      </w:tblPr>
      <w:tblGrid>
        <w:gridCol w:w="760"/>
        <w:gridCol w:w="5774"/>
        <w:gridCol w:w="1843"/>
      </w:tblGrid>
      <w:tr w:rsidR="006C537B" w:rsidRPr="006C537B" w:rsidTr="00681BFE">
        <w:trPr>
          <w:trHeight w:val="253"/>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537B" w:rsidRPr="006C537B" w:rsidRDefault="006C537B" w:rsidP="006C537B">
            <w:pPr>
              <w:spacing w:after="0" w:line="240" w:lineRule="auto"/>
              <w:rPr>
                <w:rFonts w:ascii="Times New Roman" w:eastAsia="Times New Roman" w:hAnsi="Times New Roman" w:cs="Times New Roman"/>
                <w:lang w:eastAsia="lv-LV"/>
              </w:rPr>
            </w:pPr>
            <w:proofErr w:type="spellStart"/>
            <w:r w:rsidRPr="006C537B">
              <w:rPr>
                <w:rFonts w:ascii="Times New Roman" w:eastAsia="Times New Roman" w:hAnsi="Times New Roman" w:cs="Times New Roman"/>
                <w:lang w:eastAsia="lv-LV"/>
              </w:rPr>
              <w:t>N.p.k</w:t>
            </w:r>
            <w:proofErr w:type="spellEnd"/>
            <w:r w:rsidRPr="006C537B">
              <w:rPr>
                <w:rFonts w:ascii="Times New Roman" w:eastAsia="Times New Roman" w:hAnsi="Times New Roman" w:cs="Times New Roman"/>
                <w:lang w:eastAsia="lv-LV"/>
              </w:rPr>
              <w:t>.</w:t>
            </w:r>
          </w:p>
        </w:tc>
        <w:tc>
          <w:tcPr>
            <w:tcW w:w="5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37B" w:rsidRPr="006C537B" w:rsidRDefault="006C537B" w:rsidP="006C537B">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Diagnožu grupa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37B" w:rsidRPr="006C537B" w:rsidRDefault="006C537B" w:rsidP="006C537B">
            <w:pPr>
              <w:spacing w:after="0" w:line="240" w:lineRule="auto"/>
              <w:jc w:val="center"/>
              <w:rPr>
                <w:rFonts w:ascii="Times New Roman" w:eastAsia="Times New Roman" w:hAnsi="Times New Roman" w:cs="Times New Roman"/>
                <w:b/>
                <w:bCs/>
                <w:color w:val="000000"/>
                <w:sz w:val="18"/>
                <w:szCs w:val="18"/>
                <w:lang w:eastAsia="lv-LV"/>
              </w:rPr>
            </w:pPr>
            <w:r w:rsidRPr="006C537B">
              <w:rPr>
                <w:rFonts w:ascii="Times New Roman" w:eastAsia="Times New Roman" w:hAnsi="Times New Roman" w:cs="Times New Roman"/>
                <w:b/>
                <w:bCs/>
                <w:color w:val="000000"/>
                <w:sz w:val="18"/>
                <w:szCs w:val="18"/>
                <w:lang w:eastAsia="lv-LV"/>
              </w:rPr>
              <w:t>Izdevumu prognoze 2016.gadam (ar ražotāju līdzdalību)</w:t>
            </w:r>
            <w:r w:rsidR="00F51691">
              <w:rPr>
                <w:rFonts w:ascii="Times New Roman" w:eastAsia="Times New Roman" w:hAnsi="Times New Roman" w:cs="Times New Roman"/>
                <w:b/>
                <w:bCs/>
                <w:color w:val="000000"/>
                <w:sz w:val="18"/>
                <w:szCs w:val="18"/>
                <w:lang w:eastAsia="lv-LV"/>
              </w:rPr>
              <w:t xml:space="preserve"> </w:t>
            </w:r>
            <w:proofErr w:type="spellStart"/>
            <w:r w:rsidR="00F51691">
              <w:rPr>
                <w:rFonts w:ascii="Times New Roman" w:eastAsia="Times New Roman" w:hAnsi="Times New Roman" w:cs="Times New Roman"/>
                <w:b/>
                <w:bCs/>
                <w:color w:val="000000"/>
                <w:sz w:val="18"/>
                <w:szCs w:val="18"/>
                <w:lang w:eastAsia="lv-LV"/>
              </w:rPr>
              <w:t>euro</w:t>
            </w:r>
            <w:proofErr w:type="spellEnd"/>
          </w:p>
        </w:tc>
      </w:tr>
      <w:tr w:rsidR="006C537B"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b/>
                <w:bCs/>
                <w:color w:val="000000"/>
                <w:sz w:val="18"/>
                <w:szCs w:val="18"/>
                <w:lang w:eastAsia="lv-LV"/>
              </w:rPr>
            </w:pPr>
          </w:p>
        </w:tc>
      </w:tr>
      <w:tr w:rsidR="006C537B"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b/>
                <w:bCs/>
                <w:color w:val="000000"/>
                <w:sz w:val="18"/>
                <w:szCs w:val="18"/>
                <w:lang w:eastAsia="lv-LV"/>
              </w:rPr>
            </w:pPr>
          </w:p>
        </w:tc>
      </w:tr>
      <w:tr w:rsidR="006C537B"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b/>
                <w:bCs/>
                <w:color w:val="000000"/>
                <w:sz w:val="18"/>
                <w:szCs w:val="18"/>
                <w:lang w:eastAsia="lv-LV"/>
              </w:rPr>
            </w:pPr>
          </w:p>
        </w:tc>
      </w:tr>
      <w:tr w:rsidR="006C537B"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C537B" w:rsidRPr="006C537B" w:rsidRDefault="006C537B" w:rsidP="006C537B">
            <w:pPr>
              <w:spacing w:after="0" w:line="240" w:lineRule="auto"/>
              <w:rPr>
                <w:rFonts w:ascii="Times New Roman" w:eastAsia="Times New Roman" w:hAnsi="Times New Roman" w:cs="Times New Roman"/>
                <w:b/>
                <w:bCs/>
                <w:color w:val="000000"/>
                <w:sz w:val="18"/>
                <w:szCs w:val="18"/>
                <w:lang w:eastAsia="lv-LV"/>
              </w:rPr>
            </w:pPr>
          </w:p>
        </w:tc>
      </w:tr>
      <w:tr w:rsidR="006C537B" w:rsidRPr="006C537B" w:rsidTr="00681BFE">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w:t>
            </w:r>
          </w:p>
        </w:tc>
        <w:tc>
          <w:tcPr>
            <w:tcW w:w="1843" w:type="dxa"/>
            <w:tcBorders>
              <w:top w:val="nil"/>
              <w:left w:val="nil"/>
              <w:bottom w:val="single" w:sz="4" w:space="0" w:color="auto"/>
              <w:right w:val="single" w:sz="4" w:space="0" w:color="auto"/>
            </w:tcBorders>
            <w:shd w:val="clear" w:color="auto" w:fill="auto"/>
            <w:vAlign w:val="center"/>
            <w:hideMark/>
          </w:tcPr>
          <w:p w:rsidR="006C537B" w:rsidRPr="00B466DE" w:rsidRDefault="00B466DE" w:rsidP="00B466DE">
            <w:pPr>
              <w:spacing w:after="0" w:line="240" w:lineRule="auto"/>
              <w:jc w:val="center"/>
              <w:rPr>
                <w:rFonts w:ascii="Times New Roman" w:eastAsia="Times New Roman" w:hAnsi="Times New Roman" w:cs="Times New Roman"/>
                <w:lang w:eastAsia="lv-LV"/>
              </w:rPr>
            </w:pPr>
            <w:r w:rsidRPr="00B466DE">
              <w:rPr>
                <w:rFonts w:ascii="Times New Roman" w:eastAsia="Times New Roman" w:hAnsi="Times New Roman" w:cs="Times New Roman"/>
                <w:lang w:eastAsia="lv-LV"/>
              </w:rPr>
              <w:t>3</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 xml:space="preserve">Acu un to </w:t>
            </w:r>
            <w:proofErr w:type="spellStart"/>
            <w:r w:rsidRPr="006C537B">
              <w:rPr>
                <w:rFonts w:ascii="Times New Roman" w:eastAsia="Times New Roman" w:hAnsi="Times New Roman" w:cs="Times New Roman"/>
                <w:lang w:eastAsia="lv-LV"/>
              </w:rPr>
              <w:t>palīgorgānu</w:t>
            </w:r>
            <w:proofErr w:type="spellEnd"/>
            <w:r w:rsidRPr="006C537B">
              <w:rPr>
                <w:rFonts w:ascii="Times New Roman" w:eastAsia="Times New Roman" w:hAnsi="Times New Roman" w:cs="Times New Roman"/>
                <w:lang w:eastAsia="lv-LV"/>
              </w:rPr>
              <w:t xml:space="preserve">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3 210 471</w:t>
            </w:r>
          </w:p>
        </w:tc>
      </w:tr>
      <w:tr w:rsidR="006C537B" w:rsidRPr="006C537B" w:rsidTr="00681BFE">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 xml:space="preserve">Ausu un </w:t>
            </w:r>
            <w:proofErr w:type="spellStart"/>
            <w:r w:rsidRPr="006C537B">
              <w:rPr>
                <w:rFonts w:ascii="Times New Roman" w:eastAsia="Times New Roman" w:hAnsi="Times New Roman" w:cs="Times New Roman"/>
                <w:lang w:eastAsia="lv-LV"/>
              </w:rPr>
              <w:t>aizsauss</w:t>
            </w:r>
            <w:proofErr w:type="spellEnd"/>
            <w:r w:rsidRPr="006C537B">
              <w:rPr>
                <w:rFonts w:ascii="Times New Roman" w:eastAsia="Times New Roman" w:hAnsi="Times New Roman" w:cs="Times New Roman"/>
                <w:lang w:eastAsia="lv-LV"/>
              </w:rPr>
              <w:t xml:space="preserve"> paugura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38 171</w:t>
            </w:r>
          </w:p>
        </w:tc>
      </w:tr>
      <w:tr w:rsidR="006C537B" w:rsidRPr="006C537B" w:rsidTr="00681BFE">
        <w:trPr>
          <w:trHeight w:val="7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3</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 xml:space="preserve"> Asins un </w:t>
            </w:r>
            <w:proofErr w:type="spellStart"/>
            <w:r w:rsidRPr="006C537B">
              <w:rPr>
                <w:rFonts w:ascii="Times New Roman" w:eastAsia="Times New Roman" w:hAnsi="Times New Roman" w:cs="Times New Roman"/>
                <w:lang w:eastAsia="lv-LV"/>
              </w:rPr>
              <w:t>asinsrades</w:t>
            </w:r>
            <w:proofErr w:type="spellEnd"/>
            <w:r w:rsidRPr="006C537B">
              <w:rPr>
                <w:rFonts w:ascii="Times New Roman" w:eastAsia="Times New Roman" w:hAnsi="Times New Roman" w:cs="Times New Roman"/>
                <w:lang w:eastAsia="lv-LV"/>
              </w:rPr>
              <w:t xml:space="preserve"> orgānu slimības un imūnsistēmas traucējumi</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2 078 306</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4</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Asinsrites sistēmas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20 432 3</w:t>
            </w:r>
            <w:r w:rsidR="00F51691">
              <w:rPr>
                <w:rFonts w:ascii="Times New Roman" w:eastAsia="Times New Roman" w:hAnsi="Times New Roman" w:cs="Times New Roman"/>
                <w:lang w:eastAsia="lv-LV"/>
              </w:rPr>
              <w:t>59</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5</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Audzēji</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21 871 890</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6</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Ādas un zemādas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595 289</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7</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Elpošanas sistēmas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7 265 374</w:t>
            </w:r>
          </w:p>
        </w:tc>
      </w:tr>
      <w:tr w:rsidR="006C537B" w:rsidRPr="006C537B" w:rsidTr="00681BFE">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8</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Endokrīnās, uztura un vielmaiņas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27 031 831</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lastRenderedPageBreak/>
              <w:t>9</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Gremošanas sistēmas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749 358</w:t>
            </w:r>
          </w:p>
        </w:tc>
      </w:tr>
      <w:tr w:rsidR="006C537B" w:rsidRPr="006C537B" w:rsidTr="00681BFE">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10</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Infekcijas un parazitārās slimības , t.sk., C hepatīts un HIV</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23 330 460</w:t>
            </w:r>
          </w:p>
        </w:tc>
      </w:tr>
      <w:tr w:rsidR="006C537B" w:rsidRPr="006C537B" w:rsidTr="00681BFE">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11</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Muskuļu, skeleta un saistaudu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9 514 738</w:t>
            </w:r>
          </w:p>
        </w:tc>
      </w:tr>
      <w:tr w:rsidR="006C537B" w:rsidRPr="006C537B" w:rsidTr="00681BFE">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12</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Iedzimtas kroplības, deformācijas un hromosomu anomālijas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263 642</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13</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Nervu sistēmas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9 447 306</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14</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Psihiski un uzvedības traucējumi</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3 694 557</w:t>
            </w:r>
          </w:p>
        </w:tc>
      </w:tr>
      <w:tr w:rsidR="006C537B" w:rsidRPr="006C537B" w:rsidTr="00681BFE">
        <w:trPr>
          <w:trHeight w:val="7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15</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Faktori, kas ietekmē veselību un saskari ar veselības aprū</w:t>
            </w:r>
            <w:r w:rsidR="00604D9A">
              <w:rPr>
                <w:rFonts w:ascii="Times New Roman" w:eastAsia="Times New Roman" w:hAnsi="Times New Roman" w:cs="Times New Roman"/>
                <w:lang w:eastAsia="lv-LV"/>
              </w:rPr>
              <w:t>p</w:t>
            </w:r>
            <w:r w:rsidRPr="006C537B">
              <w:rPr>
                <w:rFonts w:ascii="Times New Roman" w:eastAsia="Times New Roman" w:hAnsi="Times New Roman" w:cs="Times New Roman"/>
                <w:lang w:eastAsia="lv-LV"/>
              </w:rPr>
              <w:t>es darbiniekiem</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5 830 258</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16</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proofErr w:type="spellStart"/>
            <w:r w:rsidRPr="006C537B">
              <w:rPr>
                <w:rFonts w:ascii="Times New Roman" w:eastAsia="Times New Roman" w:hAnsi="Times New Roman" w:cs="Times New Roman"/>
                <w:lang w:eastAsia="lv-LV"/>
              </w:rPr>
              <w:t>Uroģenetālās</w:t>
            </w:r>
            <w:proofErr w:type="spellEnd"/>
            <w:r w:rsidRPr="006C537B">
              <w:rPr>
                <w:rFonts w:ascii="Times New Roman" w:eastAsia="Times New Roman" w:hAnsi="Times New Roman" w:cs="Times New Roman"/>
                <w:lang w:eastAsia="lv-LV"/>
              </w:rPr>
              <w:t xml:space="preserve"> slimības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6 720 825</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17</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Ievainojumi, saindēšanās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111 232</w:t>
            </w:r>
          </w:p>
        </w:tc>
      </w:tr>
      <w:tr w:rsidR="006C537B" w:rsidRPr="006C537B" w:rsidTr="00681BFE">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18</w:t>
            </w:r>
          </w:p>
        </w:tc>
        <w:tc>
          <w:tcPr>
            <w:tcW w:w="5774" w:type="dxa"/>
            <w:tcBorders>
              <w:top w:val="nil"/>
              <w:left w:val="nil"/>
              <w:bottom w:val="single" w:sz="4" w:space="0" w:color="auto"/>
              <w:right w:val="single" w:sz="4" w:space="0" w:color="auto"/>
            </w:tcBorders>
            <w:shd w:val="clear" w:color="auto" w:fill="auto"/>
            <w:vAlign w:val="center"/>
            <w:hideMark/>
          </w:tcPr>
          <w:p w:rsidR="006C537B" w:rsidRPr="006C537B" w:rsidRDefault="006C537B" w:rsidP="006C537B">
            <w:pPr>
              <w:spacing w:after="0" w:line="240" w:lineRule="auto"/>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Grūtniecība, dzemdības un pēcdzemdību periods</w:t>
            </w:r>
          </w:p>
        </w:tc>
        <w:tc>
          <w:tcPr>
            <w:tcW w:w="1843" w:type="dxa"/>
            <w:tcBorders>
              <w:top w:val="nil"/>
              <w:left w:val="nil"/>
              <w:bottom w:val="single" w:sz="4" w:space="0" w:color="auto"/>
              <w:right w:val="single" w:sz="4" w:space="0" w:color="auto"/>
            </w:tcBorders>
            <w:shd w:val="clear" w:color="auto" w:fill="auto"/>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72 324</w:t>
            </w:r>
          </w:p>
        </w:tc>
      </w:tr>
      <w:tr w:rsidR="006C537B"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C537B" w:rsidRPr="006C537B" w:rsidRDefault="006C537B" w:rsidP="00681BFE">
            <w:pPr>
              <w:spacing w:after="0" w:line="240" w:lineRule="auto"/>
              <w:jc w:val="center"/>
              <w:rPr>
                <w:rFonts w:ascii="Times New Roman" w:eastAsia="Times New Roman" w:hAnsi="Times New Roman" w:cs="Times New Roman"/>
                <w:lang w:eastAsia="lv-LV"/>
              </w:rPr>
            </w:pPr>
          </w:p>
        </w:tc>
        <w:tc>
          <w:tcPr>
            <w:tcW w:w="5774" w:type="dxa"/>
            <w:tcBorders>
              <w:top w:val="nil"/>
              <w:left w:val="nil"/>
              <w:bottom w:val="single" w:sz="4" w:space="0" w:color="auto"/>
              <w:right w:val="single" w:sz="4" w:space="0" w:color="auto"/>
            </w:tcBorders>
            <w:shd w:val="clear" w:color="000000" w:fill="D8D8D8"/>
            <w:vAlign w:val="center"/>
            <w:hideMark/>
          </w:tcPr>
          <w:p w:rsidR="006C537B" w:rsidRPr="006C537B" w:rsidRDefault="006C537B" w:rsidP="00B466DE">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Kopā  izdevumi</w:t>
            </w:r>
          </w:p>
        </w:tc>
        <w:tc>
          <w:tcPr>
            <w:tcW w:w="1843" w:type="dxa"/>
            <w:tcBorders>
              <w:top w:val="nil"/>
              <w:left w:val="nil"/>
              <w:bottom w:val="single" w:sz="4" w:space="0" w:color="auto"/>
              <w:right w:val="single" w:sz="4" w:space="0" w:color="auto"/>
            </w:tcBorders>
            <w:shd w:val="clear" w:color="000000" w:fill="D8D8D8"/>
            <w:noWrap/>
            <w:vAlign w:val="center"/>
            <w:hideMark/>
          </w:tcPr>
          <w:p w:rsidR="006C537B" w:rsidRPr="006C537B" w:rsidRDefault="006C537B" w:rsidP="006C537B">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142 258 391</w:t>
            </w:r>
          </w:p>
        </w:tc>
      </w:tr>
    </w:tbl>
    <w:p w:rsidR="00EB67E3" w:rsidRDefault="00EB67E3" w:rsidP="00D23409">
      <w:pPr>
        <w:shd w:val="clear" w:color="auto" w:fill="FFFFFF"/>
        <w:ind w:firstLine="318"/>
        <w:jc w:val="both"/>
        <w:rPr>
          <w:rFonts w:ascii="Times New Roman" w:hAnsi="Times New Roman" w:cs="Times New Roman"/>
          <w:sz w:val="24"/>
          <w:szCs w:val="24"/>
        </w:rPr>
      </w:pPr>
    </w:p>
    <w:p w:rsidR="006C537B" w:rsidRPr="00681BFE" w:rsidRDefault="006C537B" w:rsidP="00D23409">
      <w:pPr>
        <w:shd w:val="clear" w:color="auto" w:fill="FFFFFF"/>
        <w:ind w:firstLine="318"/>
        <w:jc w:val="both"/>
        <w:rPr>
          <w:rFonts w:ascii="Times New Roman" w:eastAsia="Times New Roman" w:hAnsi="Times New Roman" w:cs="Times New Roman"/>
          <w:sz w:val="24"/>
          <w:szCs w:val="24"/>
          <w:lang w:eastAsia="lv-LV"/>
        </w:rPr>
      </w:pPr>
      <w:r w:rsidRPr="00681BFE">
        <w:rPr>
          <w:rFonts w:ascii="Times New Roman" w:hAnsi="Times New Roman" w:cs="Times New Roman"/>
          <w:sz w:val="24"/>
          <w:szCs w:val="24"/>
        </w:rPr>
        <w:t>Gada izpilde</w:t>
      </w:r>
      <w:r w:rsidR="00F51691" w:rsidRPr="00681BFE">
        <w:rPr>
          <w:rFonts w:ascii="Times New Roman" w:hAnsi="Times New Roman" w:cs="Times New Roman"/>
          <w:sz w:val="24"/>
          <w:szCs w:val="24"/>
        </w:rPr>
        <w:t xml:space="preserve"> </w:t>
      </w:r>
      <w:r w:rsidR="00F51691" w:rsidRPr="00681BFE">
        <w:rPr>
          <w:rFonts w:ascii="Times New Roman" w:eastAsia="Times New Roman" w:hAnsi="Times New Roman" w:cs="Times New Roman"/>
          <w:sz w:val="24"/>
          <w:szCs w:val="24"/>
          <w:lang w:eastAsia="lv-LV"/>
        </w:rPr>
        <w:t>individuālajiem pacientiem prognozēta:</w:t>
      </w:r>
    </w:p>
    <w:p w:rsidR="00B466DE" w:rsidRPr="00681BFE" w:rsidRDefault="00B466DE" w:rsidP="00D23409">
      <w:pPr>
        <w:shd w:val="clear" w:color="auto" w:fill="FFFFFF"/>
        <w:ind w:firstLine="318"/>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681BFE">
        <w:rPr>
          <w:rFonts w:ascii="Times New Roman" w:eastAsia="Times New Roman" w:hAnsi="Times New Roman" w:cs="Times New Roman"/>
          <w:lang w:eastAsia="lv-LV"/>
        </w:rPr>
        <w:t>5.tabula</w:t>
      </w:r>
    </w:p>
    <w:p w:rsidR="00B466DE" w:rsidRPr="00681BFE" w:rsidRDefault="00B466DE" w:rsidP="00681BFE">
      <w:pPr>
        <w:shd w:val="clear" w:color="auto" w:fill="FFFFFF"/>
        <w:jc w:val="center"/>
        <w:rPr>
          <w:rFonts w:ascii="Times New Roman" w:hAnsi="Times New Roman" w:cs="Times New Roman"/>
          <w:b/>
          <w:sz w:val="24"/>
          <w:szCs w:val="24"/>
        </w:rPr>
      </w:pPr>
      <w:r w:rsidRPr="00681BFE">
        <w:rPr>
          <w:rFonts w:ascii="Times New Roman" w:eastAsia="Times New Roman" w:hAnsi="Times New Roman" w:cs="Times New Roman"/>
          <w:b/>
          <w:sz w:val="24"/>
          <w:szCs w:val="24"/>
          <w:lang w:eastAsia="lv-LV"/>
        </w:rPr>
        <w:t>Individuālie pacienti</w:t>
      </w:r>
    </w:p>
    <w:tbl>
      <w:tblPr>
        <w:tblW w:w="8377" w:type="dxa"/>
        <w:tblLook w:val="04A0"/>
      </w:tblPr>
      <w:tblGrid>
        <w:gridCol w:w="760"/>
        <w:gridCol w:w="5774"/>
        <w:gridCol w:w="1843"/>
      </w:tblGrid>
      <w:tr w:rsidR="00F51691" w:rsidRPr="006C537B" w:rsidTr="00681BFE">
        <w:trPr>
          <w:trHeight w:val="253"/>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1691" w:rsidRPr="006C537B" w:rsidRDefault="00F51691" w:rsidP="00F51691">
            <w:pPr>
              <w:spacing w:after="0" w:line="240" w:lineRule="auto"/>
              <w:rPr>
                <w:rFonts w:ascii="Times New Roman" w:eastAsia="Times New Roman" w:hAnsi="Times New Roman" w:cs="Times New Roman"/>
                <w:lang w:eastAsia="lv-LV"/>
              </w:rPr>
            </w:pPr>
            <w:proofErr w:type="spellStart"/>
            <w:r w:rsidRPr="006C537B">
              <w:rPr>
                <w:rFonts w:ascii="Times New Roman" w:eastAsia="Times New Roman" w:hAnsi="Times New Roman" w:cs="Times New Roman"/>
                <w:lang w:eastAsia="lv-LV"/>
              </w:rPr>
              <w:t>N.p.k</w:t>
            </w:r>
            <w:proofErr w:type="spellEnd"/>
            <w:r w:rsidRPr="006C537B">
              <w:rPr>
                <w:rFonts w:ascii="Times New Roman" w:eastAsia="Times New Roman" w:hAnsi="Times New Roman" w:cs="Times New Roman"/>
                <w:lang w:eastAsia="lv-LV"/>
              </w:rPr>
              <w:t>.</w:t>
            </w:r>
          </w:p>
        </w:tc>
        <w:tc>
          <w:tcPr>
            <w:tcW w:w="5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691" w:rsidRPr="006C537B" w:rsidRDefault="00F51691" w:rsidP="00F51691">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Diagnožu grupa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691" w:rsidRPr="006C537B" w:rsidRDefault="00F51691" w:rsidP="00F51691">
            <w:pPr>
              <w:spacing w:after="0" w:line="240" w:lineRule="auto"/>
              <w:jc w:val="center"/>
              <w:rPr>
                <w:rFonts w:ascii="Times New Roman" w:eastAsia="Times New Roman" w:hAnsi="Times New Roman" w:cs="Times New Roman"/>
                <w:b/>
                <w:bCs/>
                <w:color w:val="000000"/>
                <w:sz w:val="18"/>
                <w:szCs w:val="18"/>
                <w:lang w:eastAsia="lv-LV"/>
              </w:rPr>
            </w:pPr>
            <w:r w:rsidRPr="006C537B">
              <w:rPr>
                <w:rFonts w:ascii="Times New Roman" w:eastAsia="Times New Roman" w:hAnsi="Times New Roman" w:cs="Times New Roman"/>
                <w:b/>
                <w:bCs/>
                <w:color w:val="000000"/>
                <w:sz w:val="18"/>
                <w:szCs w:val="18"/>
                <w:lang w:eastAsia="lv-LV"/>
              </w:rPr>
              <w:t xml:space="preserve">Izdevumu prognoze 2016.gadam </w:t>
            </w:r>
            <w:proofErr w:type="spellStart"/>
            <w:r>
              <w:rPr>
                <w:rFonts w:ascii="Times New Roman" w:eastAsia="Times New Roman" w:hAnsi="Times New Roman" w:cs="Times New Roman"/>
                <w:b/>
                <w:bCs/>
                <w:color w:val="000000"/>
                <w:sz w:val="18"/>
                <w:szCs w:val="18"/>
                <w:lang w:eastAsia="lv-LV"/>
              </w:rPr>
              <w:t>euro</w:t>
            </w:r>
            <w:proofErr w:type="spellEnd"/>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B466DE" w:rsidTr="00681BFE">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w:t>
            </w:r>
          </w:p>
        </w:tc>
        <w:tc>
          <w:tcPr>
            <w:tcW w:w="5774" w:type="dxa"/>
            <w:tcBorders>
              <w:top w:val="nil"/>
              <w:left w:val="nil"/>
              <w:bottom w:val="single" w:sz="4" w:space="0" w:color="auto"/>
              <w:right w:val="single" w:sz="4" w:space="0" w:color="auto"/>
            </w:tcBorders>
            <w:shd w:val="clear" w:color="auto" w:fill="auto"/>
            <w:vAlign w:val="center"/>
            <w:hideMark/>
          </w:tcPr>
          <w:p w:rsidR="00F51691" w:rsidRPr="006C537B" w:rsidRDefault="00F51691" w:rsidP="00F51691">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w:t>
            </w:r>
          </w:p>
        </w:tc>
        <w:tc>
          <w:tcPr>
            <w:tcW w:w="1843" w:type="dxa"/>
            <w:tcBorders>
              <w:top w:val="nil"/>
              <w:left w:val="nil"/>
              <w:bottom w:val="single" w:sz="4" w:space="0" w:color="auto"/>
              <w:right w:val="single" w:sz="4" w:space="0" w:color="auto"/>
            </w:tcBorders>
            <w:shd w:val="clear" w:color="auto" w:fill="auto"/>
            <w:vAlign w:val="center"/>
            <w:hideMark/>
          </w:tcPr>
          <w:p w:rsidR="00F51691" w:rsidRPr="00B466DE" w:rsidRDefault="00681BFE" w:rsidP="00B466D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r>
      <w:tr w:rsidR="00F51691"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w:t>
            </w:r>
          </w:p>
        </w:tc>
        <w:tc>
          <w:tcPr>
            <w:tcW w:w="5774" w:type="dxa"/>
            <w:tcBorders>
              <w:top w:val="nil"/>
              <w:left w:val="nil"/>
              <w:bottom w:val="single" w:sz="4" w:space="0" w:color="auto"/>
              <w:right w:val="single" w:sz="4" w:space="0" w:color="auto"/>
            </w:tcBorders>
            <w:shd w:val="clear" w:color="auto" w:fill="auto"/>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F51691">
              <w:rPr>
                <w:rFonts w:ascii="Times New Roman" w:eastAsia="Times New Roman" w:hAnsi="Times New Roman" w:cs="Times New Roman"/>
                <w:lang w:eastAsia="lv-LV"/>
              </w:rPr>
              <w:t>ndividuālie pacienti</w:t>
            </w:r>
          </w:p>
        </w:tc>
        <w:tc>
          <w:tcPr>
            <w:tcW w:w="1843" w:type="dxa"/>
            <w:tcBorders>
              <w:top w:val="nil"/>
              <w:left w:val="nil"/>
              <w:bottom w:val="single" w:sz="4" w:space="0" w:color="auto"/>
              <w:right w:val="single" w:sz="4" w:space="0" w:color="auto"/>
            </w:tcBorders>
            <w:shd w:val="clear" w:color="auto" w:fill="auto"/>
            <w:noWrap/>
            <w:vAlign w:val="center"/>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2 691 540</w:t>
            </w:r>
          </w:p>
        </w:tc>
      </w:tr>
      <w:tr w:rsidR="00F51691"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p>
        </w:tc>
        <w:tc>
          <w:tcPr>
            <w:tcW w:w="5774" w:type="dxa"/>
            <w:tcBorders>
              <w:top w:val="nil"/>
              <w:left w:val="nil"/>
              <w:bottom w:val="single" w:sz="4" w:space="0" w:color="auto"/>
              <w:right w:val="single" w:sz="4" w:space="0" w:color="auto"/>
            </w:tcBorders>
            <w:shd w:val="clear" w:color="000000" w:fill="D8D8D8"/>
            <w:vAlign w:val="center"/>
            <w:hideMark/>
          </w:tcPr>
          <w:p w:rsidR="00F51691" w:rsidRPr="006C537B" w:rsidRDefault="00F51691" w:rsidP="00B466DE">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Kopā  izdevumi</w:t>
            </w:r>
          </w:p>
        </w:tc>
        <w:tc>
          <w:tcPr>
            <w:tcW w:w="1843" w:type="dxa"/>
            <w:tcBorders>
              <w:top w:val="nil"/>
              <w:left w:val="nil"/>
              <w:bottom w:val="single" w:sz="4" w:space="0" w:color="auto"/>
              <w:right w:val="single" w:sz="4" w:space="0" w:color="auto"/>
            </w:tcBorders>
            <w:shd w:val="clear" w:color="000000" w:fill="D8D8D8"/>
            <w:noWrap/>
            <w:vAlign w:val="center"/>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2 691 540</w:t>
            </w:r>
          </w:p>
        </w:tc>
      </w:tr>
    </w:tbl>
    <w:p w:rsidR="006C537B" w:rsidRDefault="006C537B" w:rsidP="00D23409">
      <w:pPr>
        <w:shd w:val="clear" w:color="auto" w:fill="FFFFFF"/>
        <w:ind w:firstLine="318"/>
        <w:jc w:val="both"/>
        <w:rPr>
          <w:rFonts w:ascii="Times New Roman" w:hAnsi="Times New Roman" w:cs="Times New Roman"/>
          <w:sz w:val="24"/>
          <w:szCs w:val="24"/>
        </w:rPr>
      </w:pPr>
    </w:p>
    <w:p w:rsidR="006C537B" w:rsidRPr="00681BFE" w:rsidRDefault="00F51691" w:rsidP="00D23409">
      <w:pPr>
        <w:shd w:val="clear" w:color="auto" w:fill="FFFFFF"/>
        <w:ind w:firstLine="318"/>
        <w:jc w:val="both"/>
        <w:rPr>
          <w:rFonts w:ascii="Times New Roman" w:eastAsia="Times New Roman" w:hAnsi="Times New Roman" w:cs="Times New Roman"/>
          <w:sz w:val="24"/>
          <w:szCs w:val="24"/>
          <w:lang w:eastAsia="lv-LV"/>
        </w:rPr>
      </w:pPr>
      <w:r w:rsidRPr="00681BFE">
        <w:rPr>
          <w:rFonts w:ascii="Times New Roman" w:hAnsi="Times New Roman" w:cs="Times New Roman"/>
          <w:sz w:val="24"/>
          <w:szCs w:val="24"/>
        </w:rPr>
        <w:t xml:space="preserve">Gada izpilde </w:t>
      </w:r>
      <w:r w:rsidRPr="00681BFE">
        <w:rPr>
          <w:rFonts w:ascii="Times New Roman" w:eastAsia="Times New Roman" w:hAnsi="Times New Roman" w:cs="Times New Roman"/>
          <w:sz w:val="24"/>
          <w:szCs w:val="24"/>
          <w:lang w:eastAsia="lv-LV"/>
        </w:rPr>
        <w:t xml:space="preserve">izdevumu kompensācijai bērniem līdz 2 gadu vecumam, grūtniecēm un sievietēm pēcdzemdību periodā prognozēta: </w:t>
      </w:r>
    </w:p>
    <w:p w:rsidR="00B466DE" w:rsidRDefault="00B466DE" w:rsidP="00D23409">
      <w:pPr>
        <w:shd w:val="clear" w:color="auto" w:fill="FFFFFF"/>
        <w:ind w:firstLine="318"/>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6.tabula</w:t>
      </w:r>
    </w:p>
    <w:p w:rsidR="00B466DE" w:rsidRPr="00681BFE" w:rsidRDefault="00B466DE" w:rsidP="00B466DE">
      <w:pPr>
        <w:shd w:val="clear" w:color="auto" w:fill="FFFFFF"/>
        <w:ind w:firstLine="318"/>
        <w:jc w:val="center"/>
        <w:rPr>
          <w:rFonts w:ascii="Times New Roman" w:eastAsia="Times New Roman" w:hAnsi="Times New Roman" w:cs="Times New Roman"/>
          <w:b/>
          <w:sz w:val="24"/>
          <w:szCs w:val="24"/>
          <w:lang w:eastAsia="lv-LV"/>
        </w:rPr>
      </w:pPr>
      <w:r w:rsidRPr="00681BFE">
        <w:rPr>
          <w:rFonts w:ascii="Times New Roman" w:eastAsia="Times New Roman" w:hAnsi="Times New Roman" w:cs="Times New Roman"/>
          <w:b/>
          <w:sz w:val="24"/>
          <w:szCs w:val="24"/>
          <w:lang w:eastAsia="lv-LV"/>
        </w:rPr>
        <w:t>Bērni līdz 2 gadu vecumam un grūtnieces, sievietes pēcdzemdību periodā</w:t>
      </w:r>
    </w:p>
    <w:tbl>
      <w:tblPr>
        <w:tblW w:w="8377" w:type="dxa"/>
        <w:tblLook w:val="04A0"/>
      </w:tblPr>
      <w:tblGrid>
        <w:gridCol w:w="760"/>
        <w:gridCol w:w="5774"/>
        <w:gridCol w:w="1843"/>
      </w:tblGrid>
      <w:tr w:rsidR="00F51691" w:rsidRPr="006C537B" w:rsidTr="00681BFE">
        <w:trPr>
          <w:trHeight w:val="253"/>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1691" w:rsidRPr="006C537B" w:rsidRDefault="00F51691" w:rsidP="00F51691">
            <w:pPr>
              <w:spacing w:after="0" w:line="240" w:lineRule="auto"/>
              <w:rPr>
                <w:rFonts w:ascii="Times New Roman" w:eastAsia="Times New Roman" w:hAnsi="Times New Roman" w:cs="Times New Roman"/>
                <w:lang w:eastAsia="lv-LV"/>
              </w:rPr>
            </w:pPr>
            <w:proofErr w:type="spellStart"/>
            <w:r w:rsidRPr="006C537B">
              <w:rPr>
                <w:rFonts w:ascii="Times New Roman" w:eastAsia="Times New Roman" w:hAnsi="Times New Roman" w:cs="Times New Roman"/>
                <w:lang w:eastAsia="lv-LV"/>
              </w:rPr>
              <w:t>N.p.k</w:t>
            </w:r>
            <w:proofErr w:type="spellEnd"/>
            <w:r w:rsidRPr="006C537B">
              <w:rPr>
                <w:rFonts w:ascii="Times New Roman" w:eastAsia="Times New Roman" w:hAnsi="Times New Roman" w:cs="Times New Roman"/>
                <w:lang w:eastAsia="lv-LV"/>
              </w:rPr>
              <w:t>.</w:t>
            </w:r>
          </w:p>
        </w:tc>
        <w:tc>
          <w:tcPr>
            <w:tcW w:w="5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691" w:rsidRPr="006C537B" w:rsidRDefault="00F51691" w:rsidP="00F51691">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Diagnožu grupa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691" w:rsidRPr="006C537B" w:rsidRDefault="00F51691" w:rsidP="00F51691">
            <w:pPr>
              <w:spacing w:after="0" w:line="240" w:lineRule="auto"/>
              <w:jc w:val="center"/>
              <w:rPr>
                <w:rFonts w:ascii="Times New Roman" w:eastAsia="Times New Roman" w:hAnsi="Times New Roman" w:cs="Times New Roman"/>
                <w:b/>
                <w:bCs/>
                <w:color w:val="000000"/>
                <w:sz w:val="18"/>
                <w:szCs w:val="18"/>
                <w:lang w:eastAsia="lv-LV"/>
              </w:rPr>
            </w:pPr>
            <w:r w:rsidRPr="006C537B">
              <w:rPr>
                <w:rFonts w:ascii="Times New Roman" w:eastAsia="Times New Roman" w:hAnsi="Times New Roman" w:cs="Times New Roman"/>
                <w:b/>
                <w:bCs/>
                <w:color w:val="000000"/>
                <w:sz w:val="18"/>
                <w:szCs w:val="18"/>
                <w:lang w:eastAsia="lv-LV"/>
              </w:rPr>
              <w:t xml:space="preserve">Izdevumu prognoze 2016.gadam </w:t>
            </w:r>
            <w:proofErr w:type="spellStart"/>
            <w:r>
              <w:rPr>
                <w:rFonts w:ascii="Times New Roman" w:eastAsia="Times New Roman" w:hAnsi="Times New Roman" w:cs="Times New Roman"/>
                <w:b/>
                <w:bCs/>
                <w:color w:val="000000"/>
                <w:sz w:val="18"/>
                <w:szCs w:val="18"/>
                <w:lang w:eastAsia="lv-LV"/>
              </w:rPr>
              <w:t>euro</w:t>
            </w:r>
            <w:proofErr w:type="spellEnd"/>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26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5774"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1691" w:rsidRPr="006C537B" w:rsidRDefault="00F51691" w:rsidP="00F51691">
            <w:pPr>
              <w:spacing w:after="0" w:line="240" w:lineRule="auto"/>
              <w:rPr>
                <w:rFonts w:ascii="Times New Roman" w:eastAsia="Times New Roman" w:hAnsi="Times New Roman" w:cs="Times New Roman"/>
                <w:b/>
                <w:bCs/>
                <w:color w:val="000000"/>
                <w:sz w:val="18"/>
                <w:szCs w:val="18"/>
                <w:lang w:eastAsia="lv-LV"/>
              </w:rPr>
            </w:pPr>
          </w:p>
        </w:tc>
      </w:tr>
      <w:tr w:rsidR="00F51691" w:rsidRPr="006C537B" w:rsidTr="00681BFE">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w:t>
            </w:r>
          </w:p>
        </w:tc>
        <w:tc>
          <w:tcPr>
            <w:tcW w:w="5774" w:type="dxa"/>
            <w:tcBorders>
              <w:top w:val="nil"/>
              <w:left w:val="nil"/>
              <w:bottom w:val="single" w:sz="4" w:space="0" w:color="auto"/>
              <w:right w:val="single" w:sz="4" w:space="0" w:color="auto"/>
            </w:tcBorders>
            <w:shd w:val="clear" w:color="auto" w:fill="auto"/>
            <w:vAlign w:val="center"/>
            <w:hideMark/>
          </w:tcPr>
          <w:p w:rsidR="00F51691" w:rsidRPr="006C537B" w:rsidRDefault="00F51691" w:rsidP="00F51691">
            <w:pPr>
              <w:spacing w:after="0" w:line="240" w:lineRule="auto"/>
              <w:jc w:val="center"/>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2</w:t>
            </w:r>
          </w:p>
        </w:tc>
        <w:tc>
          <w:tcPr>
            <w:tcW w:w="1843" w:type="dxa"/>
            <w:tcBorders>
              <w:top w:val="nil"/>
              <w:left w:val="nil"/>
              <w:bottom w:val="single" w:sz="4" w:space="0" w:color="auto"/>
              <w:right w:val="single" w:sz="4" w:space="0" w:color="auto"/>
            </w:tcBorders>
            <w:shd w:val="clear" w:color="auto" w:fill="auto"/>
            <w:vAlign w:val="center"/>
            <w:hideMark/>
          </w:tcPr>
          <w:p w:rsidR="00F51691" w:rsidRPr="00B466DE" w:rsidRDefault="00B466DE" w:rsidP="00B466DE">
            <w:pPr>
              <w:spacing w:after="0" w:line="240" w:lineRule="auto"/>
              <w:jc w:val="center"/>
              <w:rPr>
                <w:rFonts w:ascii="Times New Roman" w:eastAsia="Times New Roman" w:hAnsi="Times New Roman" w:cs="Times New Roman"/>
                <w:lang w:eastAsia="lv-LV"/>
              </w:rPr>
            </w:pPr>
            <w:r w:rsidRPr="00B466DE">
              <w:rPr>
                <w:rFonts w:ascii="Times New Roman" w:eastAsia="Times New Roman" w:hAnsi="Times New Roman" w:cs="Times New Roman"/>
                <w:lang w:eastAsia="lv-LV"/>
              </w:rPr>
              <w:t>3</w:t>
            </w:r>
          </w:p>
        </w:tc>
      </w:tr>
      <w:tr w:rsidR="00F51691"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1</w:t>
            </w:r>
          </w:p>
        </w:tc>
        <w:tc>
          <w:tcPr>
            <w:tcW w:w="5774" w:type="dxa"/>
            <w:tcBorders>
              <w:top w:val="nil"/>
              <w:left w:val="nil"/>
              <w:bottom w:val="single" w:sz="4" w:space="0" w:color="auto"/>
              <w:right w:val="single" w:sz="4" w:space="0" w:color="auto"/>
            </w:tcBorders>
            <w:shd w:val="clear" w:color="auto" w:fill="auto"/>
            <w:vAlign w:val="center"/>
            <w:hideMark/>
          </w:tcPr>
          <w:p w:rsidR="00F51691" w:rsidRPr="006C537B" w:rsidRDefault="00F51691" w:rsidP="00F51691">
            <w:pPr>
              <w:spacing w:after="0" w:line="240" w:lineRule="auto"/>
              <w:rPr>
                <w:rFonts w:ascii="Times New Roman" w:eastAsia="Times New Roman" w:hAnsi="Times New Roman" w:cs="Times New Roman"/>
                <w:lang w:eastAsia="lv-LV"/>
              </w:rPr>
            </w:pPr>
            <w:r w:rsidRPr="00F51691">
              <w:rPr>
                <w:rFonts w:ascii="Times New Roman" w:eastAsia="Times New Roman" w:hAnsi="Times New Roman" w:cs="Times New Roman"/>
                <w:lang w:eastAsia="lv-LV"/>
              </w:rPr>
              <w:t>Bērni līdz 2 gadu vecumam</w:t>
            </w:r>
          </w:p>
        </w:tc>
        <w:tc>
          <w:tcPr>
            <w:tcW w:w="1843" w:type="dxa"/>
            <w:tcBorders>
              <w:top w:val="nil"/>
              <w:left w:val="nil"/>
              <w:bottom w:val="single" w:sz="4" w:space="0" w:color="auto"/>
              <w:right w:val="single" w:sz="4" w:space="0" w:color="auto"/>
            </w:tcBorders>
            <w:shd w:val="clear" w:color="auto" w:fill="auto"/>
            <w:noWrap/>
            <w:vAlign w:val="center"/>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380 784</w:t>
            </w:r>
          </w:p>
        </w:tc>
      </w:tr>
      <w:tr w:rsidR="00F51691"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5774" w:type="dxa"/>
            <w:tcBorders>
              <w:top w:val="nil"/>
              <w:left w:val="nil"/>
              <w:bottom w:val="single" w:sz="4" w:space="0" w:color="auto"/>
              <w:right w:val="single" w:sz="4" w:space="0" w:color="auto"/>
            </w:tcBorders>
            <w:shd w:val="clear" w:color="auto" w:fill="auto"/>
            <w:vAlign w:val="center"/>
            <w:hideMark/>
          </w:tcPr>
          <w:p w:rsidR="00F51691" w:rsidRPr="00F51691" w:rsidRDefault="00F51691" w:rsidP="00F51691">
            <w:pPr>
              <w:spacing w:after="0" w:line="240" w:lineRule="auto"/>
              <w:rPr>
                <w:rFonts w:ascii="Times New Roman" w:eastAsia="Times New Roman" w:hAnsi="Times New Roman" w:cs="Times New Roman"/>
                <w:lang w:eastAsia="lv-LV"/>
              </w:rPr>
            </w:pPr>
            <w:r w:rsidRPr="00F51691">
              <w:rPr>
                <w:rFonts w:ascii="Times New Roman" w:eastAsia="Times New Roman" w:hAnsi="Times New Roman" w:cs="Times New Roman"/>
                <w:lang w:eastAsia="lv-LV"/>
              </w:rPr>
              <w:t>Grūtnieces un sievietes pēcdzemdību periodā</w:t>
            </w:r>
          </w:p>
        </w:tc>
        <w:tc>
          <w:tcPr>
            <w:tcW w:w="1843" w:type="dxa"/>
            <w:tcBorders>
              <w:top w:val="nil"/>
              <w:left w:val="nil"/>
              <w:bottom w:val="single" w:sz="4" w:space="0" w:color="auto"/>
              <w:right w:val="single" w:sz="4" w:space="0" w:color="auto"/>
            </w:tcBorders>
            <w:shd w:val="clear" w:color="auto" w:fill="auto"/>
            <w:noWrap/>
            <w:vAlign w:val="center"/>
            <w:hideMark/>
          </w:tcPr>
          <w:p w:rsidR="00F51691" w:rsidRDefault="00F51691" w:rsidP="00F5169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28 868 </w:t>
            </w:r>
          </w:p>
        </w:tc>
      </w:tr>
      <w:tr w:rsidR="00F51691" w:rsidRPr="006C537B" w:rsidTr="00681BFE">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 </w:t>
            </w:r>
          </w:p>
        </w:tc>
        <w:tc>
          <w:tcPr>
            <w:tcW w:w="5774" w:type="dxa"/>
            <w:tcBorders>
              <w:top w:val="nil"/>
              <w:left w:val="nil"/>
              <w:bottom w:val="single" w:sz="4" w:space="0" w:color="auto"/>
              <w:right w:val="single" w:sz="4" w:space="0" w:color="auto"/>
            </w:tcBorders>
            <w:shd w:val="clear" w:color="000000" w:fill="D8D8D8"/>
            <w:vAlign w:val="center"/>
            <w:hideMark/>
          </w:tcPr>
          <w:p w:rsidR="00F51691" w:rsidRPr="006C537B" w:rsidRDefault="00F51691" w:rsidP="00B466DE">
            <w:pPr>
              <w:spacing w:after="0" w:line="240" w:lineRule="auto"/>
              <w:jc w:val="right"/>
              <w:rPr>
                <w:rFonts w:ascii="Times New Roman" w:eastAsia="Times New Roman" w:hAnsi="Times New Roman" w:cs="Times New Roman"/>
                <w:lang w:eastAsia="lv-LV"/>
              </w:rPr>
            </w:pPr>
            <w:r w:rsidRPr="006C537B">
              <w:rPr>
                <w:rFonts w:ascii="Times New Roman" w:eastAsia="Times New Roman" w:hAnsi="Times New Roman" w:cs="Times New Roman"/>
                <w:lang w:eastAsia="lv-LV"/>
              </w:rPr>
              <w:t>Kopā  izdevumi</w:t>
            </w:r>
          </w:p>
        </w:tc>
        <w:tc>
          <w:tcPr>
            <w:tcW w:w="1843" w:type="dxa"/>
            <w:tcBorders>
              <w:top w:val="nil"/>
              <w:left w:val="nil"/>
              <w:bottom w:val="single" w:sz="4" w:space="0" w:color="auto"/>
              <w:right w:val="single" w:sz="4" w:space="0" w:color="auto"/>
            </w:tcBorders>
            <w:shd w:val="clear" w:color="000000" w:fill="D8D8D8"/>
            <w:noWrap/>
            <w:vAlign w:val="center"/>
            <w:hideMark/>
          </w:tcPr>
          <w:p w:rsidR="00F51691" w:rsidRPr="006C537B" w:rsidRDefault="00F51691" w:rsidP="00F5169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409 652</w:t>
            </w:r>
          </w:p>
        </w:tc>
      </w:tr>
    </w:tbl>
    <w:p w:rsidR="00F51691" w:rsidRPr="00D23409" w:rsidRDefault="00F51691" w:rsidP="00D23409">
      <w:pPr>
        <w:shd w:val="clear" w:color="auto" w:fill="FFFFFF"/>
        <w:ind w:firstLine="318"/>
        <w:jc w:val="both"/>
        <w:rPr>
          <w:rFonts w:ascii="Times New Roman" w:hAnsi="Times New Roman" w:cs="Times New Roman"/>
          <w:sz w:val="24"/>
          <w:szCs w:val="24"/>
        </w:rPr>
      </w:pPr>
    </w:p>
    <w:p w:rsidR="00D23409" w:rsidRPr="00D23409" w:rsidRDefault="003674CF" w:rsidP="00D23409">
      <w:pPr>
        <w:jc w:val="right"/>
        <w:rPr>
          <w:rFonts w:ascii="Times New Roman" w:hAnsi="Times New Roman" w:cs="Times New Roman"/>
          <w:sz w:val="24"/>
          <w:szCs w:val="24"/>
        </w:rPr>
      </w:pPr>
      <w:r>
        <w:rPr>
          <w:rFonts w:ascii="Times New Roman" w:hAnsi="Times New Roman" w:cs="Times New Roman"/>
          <w:sz w:val="24"/>
          <w:szCs w:val="24"/>
        </w:rPr>
        <w:lastRenderedPageBreak/>
        <w:t>1</w:t>
      </w:r>
      <w:r w:rsidR="00D23409" w:rsidRPr="00D23409">
        <w:rPr>
          <w:rFonts w:ascii="Times New Roman" w:hAnsi="Times New Roman" w:cs="Times New Roman"/>
          <w:sz w:val="24"/>
          <w:szCs w:val="24"/>
        </w:rPr>
        <w:t>.</w:t>
      </w:r>
      <w:r>
        <w:rPr>
          <w:rFonts w:ascii="Times New Roman" w:hAnsi="Times New Roman" w:cs="Times New Roman"/>
          <w:sz w:val="24"/>
          <w:szCs w:val="24"/>
        </w:rPr>
        <w:t>attēls</w:t>
      </w:r>
    </w:p>
    <w:p w:rsidR="00D23409" w:rsidRPr="003674CF" w:rsidRDefault="00D23409" w:rsidP="00D23409">
      <w:pPr>
        <w:rPr>
          <w:rFonts w:ascii="Times New Roman" w:hAnsi="Times New Roman" w:cs="Times New Roman"/>
          <w:b/>
          <w:sz w:val="24"/>
          <w:szCs w:val="24"/>
        </w:rPr>
      </w:pPr>
      <w:r w:rsidRPr="003674CF">
        <w:rPr>
          <w:rFonts w:ascii="Times New Roman" w:hAnsi="Times New Roman" w:cs="Times New Roman"/>
          <w:b/>
          <w:sz w:val="24"/>
          <w:szCs w:val="24"/>
        </w:rPr>
        <w:t xml:space="preserve">                            Unikālo pacientu skaits 2011.-2016.gadā</w:t>
      </w:r>
    </w:p>
    <w:p w:rsidR="00D23409" w:rsidRPr="00D23409" w:rsidRDefault="00D23409" w:rsidP="00D23409">
      <w:pPr>
        <w:shd w:val="clear" w:color="auto" w:fill="FFFFFF"/>
        <w:ind w:firstLine="318"/>
        <w:jc w:val="both"/>
        <w:rPr>
          <w:rFonts w:ascii="Times New Roman" w:hAnsi="Times New Roman" w:cs="Times New Roman"/>
          <w:sz w:val="24"/>
          <w:szCs w:val="24"/>
        </w:rPr>
      </w:pPr>
      <w:r w:rsidRPr="00D23409">
        <w:rPr>
          <w:rFonts w:ascii="Times New Roman" w:hAnsi="Times New Roman" w:cs="Times New Roman"/>
          <w:noProof/>
          <w:sz w:val="24"/>
          <w:szCs w:val="24"/>
          <w:lang w:eastAsia="lv-LV"/>
        </w:rPr>
        <w:drawing>
          <wp:inline distT="0" distB="0" distL="0" distR="0">
            <wp:extent cx="4467225" cy="25431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3409" w:rsidRPr="00D23409" w:rsidRDefault="00D23409" w:rsidP="00D23409">
      <w:pPr>
        <w:shd w:val="clear" w:color="auto" w:fill="FFFFFF"/>
        <w:ind w:firstLine="318"/>
        <w:jc w:val="both"/>
        <w:rPr>
          <w:rFonts w:ascii="Times New Roman" w:hAnsi="Times New Roman" w:cs="Times New Roman"/>
          <w:sz w:val="24"/>
          <w:szCs w:val="24"/>
        </w:rPr>
      </w:pPr>
      <w:r w:rsidRPr="00D23409">
        <w:rPr>
          <w:rFonts w:ascii="Times New Roman" w:hAnsi="Times New Roman" w:cs="Times New Roman"/>
          <w:sz w:val="24"/>
          <w:szCs w:val="24"/>
        </w:rPr>
        <w:t xml:space="preserve"> 2016.gadā </w:t>
      </w:r>
      <w:r w:rsidRPr="00D23409">
        <w:rPr>
          <w:rFonts w:ascii="Times New Roman" w:eastAsia="Times New Roman" w:hAnsi="Times New Roman" w:cs="Times New Roman"/>
          <w:sz w:val="24"/>
          <w:szCs w:val="24"/>
          <w:lang w:eastAsia="lv-LV"/>
        </w:rPr>
        <w:t xml:space="preserve">Kompensējamo medikamentu un materiālu apmaksāšanai </w:t>
      </w:r>
      <w:r w:rsidRPr="00D23409">
        <w:rPr>
          <w:rFonts w:ascii="Times New Roman" w:hAnsi="Times New Roman" w:cs="Times New Roman"/>
          <w:sz w:val="24"/>
          <w:szCs w:val="24"/>
        </w:rPr>
        <w:t xml:space="preserve">pieejami finanšu resursi </w:t>
      </w:r>
      <w:r w:rsidRPr="00D23409">
        <w:rPr>
          <w:rFonts w:ascii="Times New Roman" w:eastAsia="Times New Roman" w:hAnsi="Times New Roman" w:cs="Times New Roman"/>
          <w:sz w:val="24"/>
          <w:szCs w:val="24"/>
          <w:lang w:eastAsia="lv-LV"/>
        </w:rPr>
        <w:t xml:space="preserve">134 702 505 </w:t>
      </w:r>
      <w:proofErr w:type="spellStart"/>
      <w:r w:rsidRPr="00D23409">
        <w:rPr>
          <w:rFonts w:ascii="Times New Roman" w:hAnsi="Times New Roman" w:cs="Times New Roman"/>
          <w:i/>
          <w:sz w:val="24"/>
          <w:szCs w:val="24"/>
        </w:rPr>
        <w:t>euro</w:t>
      </w:r>
      <w:proofErr w:type="spellEnd"/>
      <w:r w:rsidRPr="00D23409">
        <w:rPr>
          <w:rFonts w:ascii="Times New Roman" w:hAnsi="Times New Roman" w:cs="Times New Roman"/>
          <w:i/>
          <w:sz w:val="24"/>
          <w:szCs w:val="24"/>
        </w:rPr>
        <w:t xml:space="preserve"> </w:t>
      </w:r>
      <w:r w:rsidRPr="00D23409">
        <w:rPr>
          <w:rFonts w:ascii="Times New Roman" w:hAnsi="Times New Roman" w:cs="Times New Roman"/>
          <w:sz w:val="24"/>
          <w:szCs w:val="24"/>
        </w:rPr>
        <w:t xml:space="preserve">apmērā. 2016.gadā ir veikti maksājumi norēķiniem par 2015.gada decembri 3 533 741,50 </w:t>
      </w:r>
      <w:proofErr w:type="spellStart"/>
      <w:r w:rsidRPr="00D23409">
        <w:rPr>
          <w:rFonts w:ascii="Times New Roman" w:hAnsi="Times New Roman" w:cs="Times New Roman"/>
          <w:i/>
          <w:sz w:val="24"/>
          <w:szCs w:val="24"/>
        </w:rPr>
        <w:t>euro</w:t>
      </w:r>
      <w:proofErr w:type="spellEnd"/>
      <w:r w:rsidRPr="00D23409">
        <w:rPr>
          <w:rFonts w:ascii="Times New Roman" w:hAnsi="Times New Roman" w:cs="Times New Roman"/>
          <w:sz w:val="24"/>
          <w:szCs w:val="24"/>
        </w:rPr>
        <w:t xml:space="preserve"> apmērā.</w:t>
      </w:r>
    </w:p>
    <w:p w:rsidR="00D23409" w:rsidRPr="00D23409" w:rsidRDefault="00D23409" w:rsidP="00D23409">
      <w:pPr>
        <w:shd w:val="clear" w:color="auto" w:fill="FFFFFF"/>
        <w:ind w:firstLine="720"/>
        <w:jc w:val="both"/>
        <w:rPr>
          <w:rFonts w:ascii="Times New Roman" w:hAnsi="Times New Roman" w:cs="Times New Roman"/>
          <w:sz w:val="24"/>
          <w:szCs w:val="24"/>
        </w:rPr>
      </w:pPr>
      <w:r w:rsidRPr="00D23409">
        <w:rPr>
          <w:rFonts w:ascii="Times New Roman" w:hAnsi="Times New Roman" w:cs="Times New Roman"/>
          <w:sz w:val="24"/>
          <w:szCs w:val="24"/>
        </w:rPr>
        <w:t>Papildus</w:t>
      </w:r>
      <w:r w:rsidRPr="00D23409">
        <w:rPr>
          <w:rFonts w:ascii="Times New Roman" w:hAnsi="Times New Roman" w:cs="Times New Roman"/>
          <w:i/>
          <w:sz w:val="24"/>
          <w:szCs w:val="24"/>
        </w:rPr>
        <w:t xml:space="preserve"> </w:t>
      </w:r>
      <w:r w:rsidRPr="00D23409">
        <w:rPr>
          <w:rFonts w:ascii="Times New Roman" w:hAnsi="Times New Roman" w:cs="Times New Roman"/>
          <w:sz w:val="24"/>
          <w:szCs w:val="24"/>
        </w:rPr>
        <w:t xml:space="preserve"> plānots  novirzīt no Zāļu valsts aģentūras līdzekļu atlikuma kompensējamo medikamentu izdevumu segšanai finansējumu 1 642 827 </w:t>
      </w:r>
      <w:proofErr w:type="spellStart"/>
      <w:r w:rsidRPr="00D23409">
        <w:rPr>
          <w:rFonts w:ascii="Times New Roman" w:hAnsi="Times New Roman" w:cs="Times New Roman"/>
          <w:sz w:val="24"/>
          <w:szCs w:val="24"/>
        </w:rPr>
        <w:t>euro</w:t>
      </w:r>
      <w:proofErr w:type="spellEnd"/>
      <w:r w:rsidRPr="00D23409">
        <w:rPr>
          <w:rFonts w:ascii="Times New Roman" w:hAnsi="Times New Roman" w:cs="Times New Roman"/>
          <w:sz w:val="24"/>
          <w:szCs w:val="24"/>
        </w:rPr>
        <w:t xml:space="preserve"> apmērā.</w:t>
      </w:r>
    </w:p>
    <w:p w:rsidR="00D23409" w:rsidRPr="003674CF" w:rsidRDefault="00D23409" w:rsidP="00D23409">
      <w:pPr>
        <w:shd w:val="clear" w:color="auto" w:fill="FFFFFF"/>
        <w:ind w:firstLine="720"/>
        <w:jc w:val="both"/>
        <w:rPr>
          <w:rFonts w:ascii="Times New Roman" w:hAnsi="Times New Roman" w:cs="Times New Roman"/>
          <w:sz w:val="24"/>
          <w:szCs w:val="24"/>
        </w:rPr>
      </w:pPr>
      <w:r w:rsidRPr="00D23409">
        <w:rPr>
          <w:rFonts w:ascii="Times New Roman" w:hAnsi="Times New Roman" w:cs="Times New Roman"/>
          <w:sz w:val="24"/>
          <w:szCs w:val="24"/>
        </w:rPr>
        <w:t xml:space="preserve">Ņemot vērā gada izpildes prognozi pēc 9 mēnešu darba rezultātiem un papildus prasītos līdzekļus kompensējamo medikamentu izdevumu segšanai, kompensējamiem medikamentiem 2016.gadā būtu nepieciešami  papildus līdzekļi 13 004 586.50 </w:t>
      </w:r>
      <w:proofErr w:type="spellStart"/>
      <w:r w:rsidRPr="00D23409">
        <w:rPr>
          <w:rFonts w:ascii="Times New Roman" w:hAnsi="Times New Roman" w:cs="Times New Roman"/>
          <w:sz w:val="24"/>
          <w:szCs w:val="24"/>
        </w:rPr>
        <w:t>euro</w:t>
      </w:r>
      <w:proofErr w:type="spellEnd"/>
      <w:r w:rsidRPr="00D23409">
        <w:rPr>
          <w:rFonts w:ascii="Times New Roman" w:hAnsi="Times New Roman" w:cs="Times New Roman"/>
          <w:sz w:val="24"/>
          <w:szCs w:val="24"/>
        </w:rPr>
        <w:t xml:space="preserve"> apmērā ((127 045 911 bez zāļu ražotāju līdzdalības + 1 642 827) - 3 533 741.5 – 138 159 583 = 13 004 586.50)). Ņemot vērā arī saņemto zaļu ražotāju līdzdalības maksājumu par 2015.gadu 2 596 667euro apmērā, nepieciešamie līdzekļi 2016.gadā 10 407 919.50 </w:t>
      </w:r>
      <w:proofErr w:type="spellStart"/>
      <w:r w:rsidRPr="00D23409">
        <w:rPr>
          <w:rFonts w:ascii="Times New Roman" w:hAnsi="Times New Roman" w:cs="Times New Roman"/>
          <w:sz w:val="24"/>
          <w:szCs w:val="24"/>
        </w:rPr>
        <w:t>euro</w:t>
      </w:r>
      <w:proofErr w:type="spellEnd"/>
      <w:r w:rsidRPr="00D23409">
        <w:rPr>
          <w:rFonts w:ascii="Times New Roman" w:hAnsi="Times New Roman" w:cs="Times New Roman"/>
          <w:sz w:val="24"/>
          <w:szCs w:val="24"/>
        </w:rPr>
        <w:t xml:space="preserve">.  2016.gadā </w:t>
      </w:r>
      <w:r w:rsidRPr="003674CF">
        <w:rPr>
          <w:rFonts w:ascii="Times New Roman" w:hAnsi="Times New Roman" w:cs="Times New Roman"/>
          <w:sz w:val="24"/>
          <w:szCs w:val="24"/>
        </w:rPr>
        <w:t xml:space="preserve">vidējais medikamentu patēriņš mēnesī ir 11 513 298 </w:t>
      </w:r>
      <w:proofErr w:type="spellStart"/>
      <w:r w:rsidRPr="003674CF">
        <w:rPr>
          <w:rFonts w:ascii="Times New Roman" w:hAnsi="Times New Roman" w:cs="Times New Roman"/>
          <w:sz w:val="24"/>
          <w:szCs w:val="24"/>
        </w:rPr>
        <w:t>euro</w:t>
      </w:r>
      <w:proofErr w:type="spellEnd"/>
      <w:r w:rsidRPr="003674CF">
        <w:rPr>
          <w:rFonts w:ascii="Times New Roman" w:hAnsi="Times New Roman" w:cs="Times New Roman"/>
          <w:sz w:val="24"/>
          <w:szCs w:val="24"/>
        </w:rPr>
        <w:t xml:space="preserve"> (138 159 583/12=11 513 298). </w:t>
      </w:r>
    </w:p>
    <w:p w:rsidR="00D23409" w:rsidRPr="003674CF" w:rsidRDefault="00D23409" w:rsidP="00D23409">
      <w:pPr>
        <w:shd w:val="clear" w:color="auto" w:fill="FFFFFF"/>
        <w:ind w:firstLine="720"/>
        <w:jc w:val="both"/>
        <w:rPr>
          <w:rFonts w:ascii="Times New Roman" w:hAnsi="Times New Roman" w:cs="Times New Roman"/>
          <w:sz w:val="24"/>
          <w:szCs w:val="24"/>
        </w:rPr>
      </w:pPr>
      <w:r w:rsidRPr="003674CF">
        <w:rPr>
          <w:rFonts w:ascii="Times New Roman" w:hAnsi="Times New Roman" w:cs="Times New Roman"/>
          <w:sz w:val="24"/>
          <w:szCs w:val="24"/>
        </w:rPr>
        <w:t xml:space="preserve"> Lai samazinātu finanšu deficītu un mazinātu budžeta slogu 2016.gadā, kā arī saglabātu tendenci, ka kalendārā gada laikā  tiek veikta lielākā maksājuma daļa par kārtējo gadu, 2016.gadā nepieciešamie </w:t>
      </w:r>
      <w:r w:rsidRPr="003674CF">
        <w:rPr>
          <w:rFonts w:ascii="Times New Roman" w:hAnsi="Times New Roman" w:cs="Times New Roman"/>
          <w:b/>
          <w:sz w:val="24"/>
          <w:szCs w:val="24"/>
        </w:rPr>
        <w:t xml:space="preserve">papildus līdzekļi ir 3 000 000 </w:t>
      </w:r>
      <w:proofErr w:type="spellStart"/>
      <w:r w:rsidRPr="003674CF">
        <w:rPr>
          <w:rFonts w:ascii="Times New Roman" w:hAnsi="Times New Roman" w:cs="Times New Roman"/>
          <w:b/>
          <w:sz w:val="24"/>
          <w:szCs w:val="24"/>
        </w:rPr>
        <w:t>euro</w:t>
      </w:r>
      <w:proofErr w:type="spellEnd"/>
      <w:r w:rsidR="00EF0201" w:rsidRPr="00EF0201">
        <w:rPr>
          <w:rFonts w:ascii="Times New Roman" w:hAnsi="Times New Roman" w:cs="Times New Roman"/>
          <w:sz w:val="24"/>
          <w:szCs w:val="24"/>
        </w:rPr>
        <w:t>,</w:t>
      </w:r>
      <w:r w:rsidRPr="00BD6E27">
        <w:rPr>
          <w:rFonts w:ascii="Times New Roman" w:hAnsi="Times New Roman" w:cs="Times New Roman"/>
          <w:sz w:val="24"/>
          <w:szCs w:val="24"/>
        </w:rPr>
        <w:t xml:space="preserve"> </w:t>
      </w:r>
      <w:r w:rsidRPr="003674CF">
        <w:rPr>
          <w:rFonts w:ascii="Times New Roman" w:hAnsi="Times New Roman" w:cs="Times New Roman"/>
          <w:sz w:val="24"/>
          <w:szCs w:val="24"/>
        </w:rPr>
        <w:t xml:space="preserve">lai apmaksātu decembri - 35% no decembra finansējuma. </w:t>
      </w:r>
    </w:p>
    <w:p w:rsidR="00D23409" w:rsidRPr="00C435F9" w:rsidRDefault="00D23409" w:rsidP="003674CF">
      <w:pPr>
        <w:shd w:val="clear" w:color="auto" w:fill="FFFFFF"/>
        <w:ind w:firstLine="720"/>
        <w:jc w:val="both"/>
        <w:rPr>
          <w:rFonts w:ascii="Times New Roman" w:hAnsi="Times New Roman" w:cs="Times New Roman"/>
          <w:sz w:val="24"/>
          <w:szCs w:val="24"/>
        </w:rPr>
      </w:pPr>
      <w:r w:rsidRPr="003674CF">
        <w:rPr>
          <w:rFonts w:ascii="Times New Roman" w:hAnsi="Times New Roman" w:cs="Times New Roman"/>
          <w:sz w:val="24"/>
          <w:szCs w:val="24"/>
        </w:rPr>
        <w:t xml:space="preserve">Par  3 000 000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plānots apmaksāt izdevumu kompensāciju esošajiem  16 908 pacientiem (111 </w:t>
      </w:r>
      <w:r w:rsidRPr="00C435F9">
        <w:rPr>
          <w:rFonts w:ascii="Times New Roman" w:hAnsi="Times New Roman" w:cs="Times New Roman"/>
          <w:sz w:val="24"/>
          <w:szCs w:val="24"/>
        </w:rPr>
        <w:t xml:space="preserve">994 879 </w:t>
      </w:r>
      <w:proofErr w:type="spellStart"/>
      <w:r w:rsidRPr="00C435F9">
        <w:rPr>
          <w:rFonts w:ascii="Times New Roman" w:hAnsi="Times New Roman" w:cs="Times New Roman"/>
          <w:i/>
          <w:sz w:val="24"/>
          <w:szCs w:val="24"/>
        </w:rPr>
        <w:t>euro</w:t>
      </w:r>
      <w:proofErr w:type="spellEnd"/>
      <w:r w:rsidRPr="00C435F9">
        <w:rPr>
          <w:rFonts w:ascii="Times New Roman" w:hAnsi="Times New Roman" w:cs="Times New Roman"/>
          <w:sz w:val="24"/>
          <w:szCs w:val="24"/>
        </w:rPr>
        <w:t xml:space="preserve">/ 631 200 pacientu skaits = 177.43 </w:t>
      </w:r>
      <w:proofErr w:type="spellStart"/>
      <w:r w:rsidRPr="00C435F9">
        <w:rPr>
          <w:rFonts w:ascii="Times New Roman" w:hAnsi="Times New Roman" w:cs="Times New Roman"/>
          <w:i/>
          <w:sz w:val="24"/>
          <w:szCs w:val="24"/>
        </w:rPr>
        <w:t>euro</w:t>
      </w:r>
      <w:proofErr w:type="spellEnd"/>
      <w:r w:rsidRPr="00C435F9">
        <w:rPr>
          <w:rFonts w:ascii="Times New Roman" w:hAnsi="Times New Roman" w:cs="Times New Roman"/>
          <w:sz w:val="24"/>
          <w:szCs w:val="24"/>
        </w:rPr>
        <w:t xml:space="preserve"> vidējās izmaksas uz 1 unikālo pacientu x 16 908≈ 3 000 000 </w:t>
      </w:r>
      <w:proofErr w:type="spellStart"/>
      <w:r w:rsidRPr="00C435F9">
        <w:rPr>
          <w:rFonts w:ascii="Times New Roman" w:hAnsi="Times New Roman" w:cs="Times New Roman"/>
          <w:i/>
          <w:sz w:val="24"/>
          <w:szCs w:val="24"/>
        </w:rPr>
        <w:t>euro</w:t>
      </w:r>
      <w:proofErr w:type="spellEnd"/>
      <w:r w:rsidRPr="00C435F9">
        <w:rPr>
          <w:rFonts w:ascii="Times New Roman" w:hAnsi="Times New Roman" w:cs="Times New Roman"/>
          <w:sz w:val="24"/>
          <w:szCs w:val="24"/>
        </w:rPr>
        <w:t>).</w:t>
      </w:r>
    </w:p>
    <w:p w:rsidR="001D47C1" w:rsidRPr="00881A38" w:rsidRDefault="00DA51AD" w:rsidP="001D47C1">
      <w:pPr>
        <w:pStyle w:val="tv213"/>
        <w:spacing w:before="0" w:beforeAutospacing="0" w:after="0" w:afterAutospacing="0" w:line="293" w:lineRule="atLeast"/>
        <w:ind w:firstLine="720"/>
        <w:jc w:val="both"/>
      </w:pPr>
      <w:r w:rsidRPr="00C435F9">
        <w:t>Finansējumu plānots pārdalīt no Finanšu ministrijas apakšprogrammas 41.01.00 „Iemaksas Eiropas Kopienas budžetā”.</w:t>
      </w:r>
    </w:p>
    <w:p w:rsidR="003674CF" w:rsidRDefault="003674CF" w:rsidP="001D47C1">
      <w:pPr>
        <w:shd w:val="clear" w:color="auto" w:fill="FFFFFF"/>
        <w:jc w:val="both"/>
        <w:rPr>
          <w:rFonts w:ascii="Times New Roman" w:hAnsi="Times New Roman" w:cs="Times New Roman"/>
          <w:sz w:val="24"/>
          <w:szCs w:val="24"/>
        </w:rPr>
      </w:pPr>
    </w:p>
    <w:p w:rsidR="00BC1519" w:rsidRPr="00D23409" w:rsidRDefault="00BC1519" w:rsidP="001D47C1">
      <w:pPr>
        <w:shd w:val="clear" w:color="auto" w:fill="FFFFFF"/>
        <w:jc w:val="both"/>
        <w:rPr>
          <w:rFonts w:ascii="Times New Roman" w:hAnsi="Times New Roman" w:cs="Times New Roman"/>
          <w:sz w:val="24"/>
          <w:szCs w:val="24"/>
        </w:rPr>
      </w:pPr>
    </w:p>
    <w:p w:rsidR="003674CF" w:rsidRDefault="003674CF" w:rsidP="003674CF">
      <w:pPr>
        <w:pStyle w:val="tv213"/>
        <w:spacing w:before="0" w:beforeAutospacing="0" w:after="0" w:afterAutospacing="0"/>
        <w:jc w:val="center"/>
        <w:rPr>
          <w:b/>
        </w:rPr>
      </w:pPr>
      <w:r>
        <w:rPr>
          <w:b/>
        </w:rPr>
        <w:lastRenderedPageBreak/>
        <w:t>III Izdevumu atlīdzināšana citu d</w:t>
      </w:r>
      <w:r w:rsidRPr="003674CF">
        <w:rPr>
          <w:b/>
        </w:rPr>
        <w:t>alībvalstu kompetentajām institūcijām</w:t>
      </w:r>
      <w:r>
        <w:rPr>
          <w:b/>
        </w:rPr>
        <w:t xml:space="preserve"> nepieciešamais finansējums</w:t>
      </w:r>
    </w:p>
    <w:p w:rsidR="003674CF" w:rsidRPr="003674CF" w:rsidRDefault="003674CF" w:rsidP="003674CF">
      <w:pPr>
        <w:pStyle w:val="tv213"/>
        <w:spacing w:before="0" w:beforeAutospacing="0" w:after="0" w:afterAutospacing="0"/>
        <w:jc w:val="center"/>
        <w:rPr>
          <w:b/>
        </w:rPr>
      </w:pPr>
    </w:p>
    <w:p w:rsidR="003674CF" w:rsidRPr="003674CF" w:rsidRDefault="003674CF" w:rsidP="003674CF">
      <w:pPr>
        <w:ind w:left="101" w:right="174" w:firstLine="426"/>
        <w:jc w:val="both"/>
        <w:rPr>
          <w:rFonts w:ascii="Times New Roman" w:hAnsi="Times New Roman" w:cs="Times New Roman"/>
          <w:sz w:val="24"/>
          <w:szCs w:val="24"/>
        </w:rPr>
      </w:pPr>
      <w:r w:rsidRPr="003674CF">
        <w:rPr>
          <w:rFonts w:ascii="Times New Roman" w:hAnsi="Times New Roman" w:cs="Times New Roman"/>
          <w:bCs/>
          <w:sz w:val="24"/>
          <w:szCs w:val="24"/>
        </w:rPr>
        <w:t>P</w:t>
      </w:r>
      <w:r w:rsidRPr="003674CF">
        <w:rPr>
          <w:rFonts w:ascii="Times New Roman" w:hAnsi="Times New Roman" w:cs="Times New Roman"/>
          <w:sz w:val="24"/>
          <w:szCs w:val="24"/>
        </w:rPr>
        <w:t xml:space="preserve">amatojoties uz S 1 un S 2 veidlapām, kā arī Eiropas veselības apdrošināšanas karti, veselības aprūpe tiek nodrošināta atbilstoši uzturēšanās dalībvalsts publiskās veselības aprūpes sistēmas nosacījumiem un tiem veselības aprūpes tarifiem, kas ir spēkā attiecīgajā </w:t>
      </w:r>
      <w:r>
        <w:rPr>
          <w:rFonts w:ascii="Times New Roman" w:hAnsi="Times New Roman" w:cs="Times New Roman"/>
          <w:sz w:val="24"/>
          <w:szCs w:val="24"/>
        </w:rPr>
        <w:t>dalībvalst</w:t>
      </w:r>
      <w:r w:rsidRPr="003674CF">
        <w:rPr>
          <w:rFonts w:ascii="Times New Roman" w:hAnsi="Times New Roman" w:cs="Times New Roman"/>
          <w:sz w:val="24"/>
          <w:szCs w:val="24"/>
        </w:rPr>
        <w:t xml:space="preserve">ī. Norēķini par veselības aprūpes pakalpojumiem notiek starp </w:t>
      </w:r>
      <w:r>
        <w:rPr>
          <w:rFonts w:ascii="Times New Roman" w:hAnsi="Times New Roman" w:cs="Times New Roman"/>
          <w:sz w:val="24"/>
          <w:szCs w:val="24"/>
        </w:rPr>
        <w:t>dalībvalst</w:t>
      </w:r>
      <w:r w:rsidRPr="003674CF">
        <w:rPr>
          <w:rFonts w:ascii="Times New Roman" w:hAnsi="Times New Roman" w:cs="Times New Roman"/>
          <w:sz w:val="24"/>
          <w:szCs w:val="24"/>
        </w:rPr>
        <w:t xml:space="preserve">u kompetentajām institūcijām (personai jāveic tikai pacienta iemaksas vai līdzmaksājuma vai publiskajā veselības aprūpē neietilpstošu pakalpojumu apmaksa). </w:t>
      </w:r>
    </w:p>
    <w:p w:rsidR="003674CF" w:rsidRPr="003674CF" w:rsidRDefault="003674CF" w:rsidP="003674CF">
      <w:pPr>
        <w:ind w:left="101" w:right="174" w:firstLine="426"/>
        <w:jc w:val="both"/>
        <w:rPr>
          <w:rFonts w:ascii="Times New Roman" w:hAnsi="Times New Roman" w:cs="Times New Roman"/>
          <w:sz w:val="24"/>
          <w:szCs w:val="24"/>
        </w:rPr>
      </w:pPr>
      <w:r w:rsidRPr="003674CF">
        <w:rPr>
          <w:rFonts w:ascii="Times New Roman" w:hAnsi="Times New Roman" w:cs="Times New Roman"/>
          <w:sz w:val="24"/>
          <w:szCs w:val="24"/>
        </w:rPr>
        <w:t xml:space="preserve">Latvijai ir jānodrošina citu </w:t>
      </w:r>
      <w:r>
        <w:rPr>
          <w:rFonts w:ascii="Times New Roman" w:hAnsi="Times New Roman" w:cs="Times New Roman"/>
          <w:sz w:val="24"/>
          <w:szCs w:val="24"/>
        </w:rPr>
        <w:t>dalībvalst</w:t>
      </w:r>
      <w:r w:rsidRPr="003674CF">
        <w:rPr>
          <w:rFonts w:ascii="Times New Roman" w:hAnsi="Times New Roman" w:cs="Times New Roman"/>
          <w:sz w:val="24"/>
          <w:szCs w:val="24"/>
        </w:rPr>
        <w:t>u izsniegto rēķinu apmaksa 18 mēnešu laikā</w:t>
      </w:r>
      <w:r w:rsidRPr="003674CF">
        <w:rPr>
          <w:rFonts w:ascii="Times New Roman" w:hAnsi="Times New Roman" w:cs="Times New Roman"/>
          <w:sz w:val="24"/>
          <w:szCs w:val="24"/>
          <w:vertAlign w:val="superscript"/>
        </w:rPr>
        <w:footnoteReference w:id="1"/>
      </w:r>
      <w:r w:rsidRPr="003674CF">
        <w:rPr>
          <w:rFonts w:ascii="Times New Roman" w:hAnsi="Times New Roman" w:cs="Times New Roman"/>
          <w:sz w:val="24"/>
          <w:szCs w:val="24"/>
        </w:rPr>
        <w:t xml:space="preserve"> pēc rēķina saņemšanas. </w:t>
      </w:r>
      <w:r>
        <w:rPr>
          <w:rFonts w:ascii="Times New Roman" w:hAnsi="Times New Roman" w:cs="Times New Roman"/>
          <w:sz w:val="24"/>
          <w:szCs w:val="24"/>
        </w:rPr>
        <w:t xml:space="preserve">Nacionālais veselības dienests (turpmāk – </w:t>
      </w:r>
      <w:r w:rsidRPr="003674CF">
        <w:rPr>
          <w:rFonts w:ascii="Times New Roman" w:hAnsi="Times New Roman" w:cs="Times New Roman"/>
          <w:sz w:val="24"/>
          <w:szCs w:val="24"/>
        </w:rPr>
        <w:t>NVD</w:t>
      </w:r>
      <w:r>
        <w:rPr>
          <w:rFonts w:ascii="Times New Roman" w:hAnsi="Times New Roman" w:cs="Times New Roman"/>
          <w:sz w:val="24"/>
          <w:szCs w:val="24"/>
        </w:rPr>
        <w:t>)</w:t>
      </w:r>
      <w:r w:rsidRPr="003674CF">
        <w:rPr>
          <w:rFonts w:ascii="Times New Roman" w:hAnsi="Times New Roman" w:cs="Times New Roman"/>
          <w:sz w:val="24"/>
          <w:szCs w:val="24"/>
        </w:rPr>
        <w:t xml:space="preserve"> seko līdzi maksājumu izpildes termiņiem un veic norēķinus savlaicīgi, ņemot vērā to, ka savlaicīgas saistību neizpildes gadījumā (neievērojot 18 mēnešu termiņu), kreditora valsts var aprēķināt procentus</w:t>
      </w:r>
      <w:r w:rsidRPr="003674CF">
        <w:rPr>
          <w:rFonts w:ascii="Times New Roman" w:hAnsi="Times New Roman" w:cs="Times New Roman"/>
          <w:sz w:val="24"/>
          <w:szCs w:val="24"/>
          <w:vertAlign w:val="superscript"/>
        </w:rPr>
        <w:footnoteReference w:id="2"/>
      </w:r>
      <w:r w:rsidRPr="003674CF">
        <w:rPr>
          <w:rFonts w:ascii="Times New Roman" w:hAnsi="Times New Roman" w:cs="Times New Roman"/>
          <w:sz w:val="24"/>
          <w:szCs w:val="24"/>
        </w:rPr>
        <w:t>, pamatojoties uz atsauces likmi</w:t>
      </w:r>
      <w:r w:rsidRPr="003674CF">
        <w:rPr>
          <w:rFonts w:ascii="Times New Roman" w:hAnsi="Times New Roman" w:cs="Times New Roman"/>
          <w:sz w:val="24"/>
          <w:szCs w:val="24"/>
          <w:vertAlign w:val="superscript"/>
        </w:rPr>
        <w:footnoteReference w:id="3"/>
      </w:r>
      <w:r w:rsidRPr="003674CF">
        <w:rPr>
          <w:rFonts w:ascii="Times New Roman" w:hAnsi="Times New Roman" w:cs="Times New Roman"/>
          <w:sz w:val="24"/>
          <w:szCs w:val="24"/>
        </w:rPr>
        <w:t>, ko Eiropas Centrālā banka piemēro tās galvenajām refinansēšanas operācijām.</w:t>
      </w:r>
    </w:p>
    <w:p w:rsidR="003674CF" w:rsidRDefault="003674CF" w:rsidP="003674CF">
      <w:pPr>
        <w:ind w:left="101" w:right="174" w:firstLine="426"/>
        <w:jc w:val="both"/>
        <w:rPr>
          <w:rFonts w:ascii="Times New Roman" w:hAnsi="Times New Roman" w:cs="Times New Roman"/>
          <w:sz w:val="24"/>
          <w:szCs w:val="24"/>
        </w:rPr>
      </w:pPr>
      <w:r w:rsidRPr="003674CF">
        <w:rPr>
          <w:rFonts w:ascii="Times New Roman" w:hAnsi="Times New Roman" w:cs="Times New Roman"/>
          <w:sz w:val="24"/>
          <w:szCs w:val="24"/>
        </w:rPr>
        <w:t>Šobrīd ir izveidojusies situācija, ka</w:t>
      </w:r>
      <w:r w:rsidR="005C049C">
        <w:rPr>
          <w:rFonts w:ascii="Times New Roman" w:hAnsi="Times New Roman" w:cs="Times New Roman"/>
          <w:sz w:val="24"/>
          <w:szCs w:val="24"/>
        </w:rPr>
        <w:t>,</w:t>
      </w:r>
      <w:r w:rsidRPr="003674CF">
        <w:rPr>
          <w:rFonts w:ascii="Times New Roman" w:hAnsi="Times New Roman" w:cs="Times New Roman"/>
          <w:sz w:val="24"/>
          <w:szCs w:val="24"/>
        </w:rPr>
        <w:t xml:space="preserve"> pieaugot personu aktivitātei veselības aprūpes pakalpojumu saņemšanā ES sociālā nodrošinājuma sistēmu ietvaros, pieaug no citām </w:t>
      </w:r>
      <w:r>
        <w:rPr>
          <w:rFonts w:ascii="Times New Roman" w:hAnsi="Times New Roman" w:cs="Times New Roman"/>
          <w:sz w:val="24"/>
          <w:szCs w:val="24"/>
        </w:rPr>
        <w:t>dalībvalst</w:t>
      </w:r>
      <w:r w:rsidRPr="003674CF">
        <w:rPr>
          <w:rFonts w:ascii="Times New Roman" w:hAnsi="Times New Roman" w:cs="Times New Roman"/>
          <w:sz w:val="24"/>
          <w:szCs w:val="24"/>
        </w:rPr>
        <w:t>īm saņemto rēķinu skaits par Latvijas iedzīvotājiem sniegtajiem veselība</w:t>
      </w:r>
      <w:r>
        <w:rPr>
          <w:rFonts w:ascii="Times New Roman" w:hAnsi="Times New Roman" w:cs="Times New Roman"/>
          <w:sz w:val="24"/>
          <w:szCs w:val="24"/>
        </w:rPr>
        <w:t>s aprūp</w:t>
      </w:r>
      <w:r w:rsidR="00BC1519">
        <w:rPr>
          <w:rFonts w:ascii="Times New Roman" w:hAnsi="Times New Roman" w:cs="Times New Roman"/>
          <w:sz w:val="24"/>
          <w:szCs w:val="24"/>
        </w:rPr>
        <w:t>es pakalpojumiem (skat. 7</w:t>
      </w:r>
      <w:r w:rsidRPr="003674CF">
        <w:rPr>
          <w:rFonts w:ascii="Times New Roman" w:hAnsi="Times New Roman" w:cs="Times New Roman"/>
          <w:sz w:val="24"/>
          <w:szCs w:val="24"/>
        </w:rPr>
        <w:t xml:space="preserve">.tabulu). Iesniegto rēķinu skaits 10 gadu laikā ir pieaudzis gandrīz 18 reizes, t.i. no 611 rēķiniem 2006.gadā līdz 10 758 rēķiniem 2015.gadā. </w:t>
      </w:r>
    </w:p>
    <w:p w:rsidR="00BC1519" w:rsidRDefault="00BC1519" w:rsidP="003674CF">
      <w:pPr>
        <w:ind w:left="101" w:right="174" w:firstLine="426"/>
        <w:jc w:val="both"/>
        <w:rPr>
          <w:rFonts w:ascii="Times New Roman" w:hAnsi="Times New Roman" w:cs="Times New Roman"/>
          <w:sz w:val="24"/>
          <w:szCs w:val="24"/>
        </w:rPr>
      </w:pPr>
    </w:p>
    <w:p w:rsidR="00BC1519" w:rsidRDefault="00BC1519" w:rsidP="003674CF">
      <w:pPr>
        <w:ind w:left="101" w:right="174" w:firstLine="426"/>
        <w:jc w:val="both"/>
        <w:rPr>
          <w:rFonts w:ascii="Times New Roman" w:hAnsi="Times New Roman" w:cs="Times New Roman"/>
          <w:sz w:val="24"/>
          <w:szCs w:val="24"/>
        </w:rPr>
      </w:pPr>
    </w:p>
    <w:p w:rsidR="00BC1519" w:rsidRDefault="00BC1519" w:rsidP="003674CF">
      <w:pPr>
        <w:ind w:left="101" w:right="174" w:firstLine="426"/>
        <w:jc w:val="both"/>
        <w:rPr>
          <w:rFonts w:ascii="Times New Roman" w:hAnsi="Times New Roman" w:cs="Times New Roman"/>
          <w:sz w:val="24"/>
          <w:szCs w:val="24"/>
        </w:rPr>
      </w:pPr>
    </w:p>
    <w:p w:rsidR="00BC1519" w:rsidRPr="003674CF" w:rsidRDefault="00BC1519" w:rsidP="003674CF">
      <w:pPr>
        <w:ind w:left="101" w:right="174" w:firstLine="426"/>
        <w:jc w:val="both"/>
        <w:rPr>
          <w:rFonts w:ascii="Times New Roman" w:hAnsi="Times New Roman" w:cs="Times New Roman"/>
          <w:sz w:val="24"/>
          <w:szCs w:val="24"/>
        </w:rPr>
      </w:pPr>
    </w:p>
    <w:p w:rsidR="003674CF" w:rsidRDefault="003674CF" w:rsidP="003674CF">
      <w:pPr>
        <w:ind w:left="360" w:firstLine="101"/>
        <w:jc w:val="right"/>
        <w:rPr>
          <w:rFonts w:ascii="Times New Roman" w:hAnsi="Times New Roman" w:cs="Times New Roman"/>
          <w:b/>
        </w:rPr>
      </w:pPr>
      <w:r w:rsidRPr="003674CF">
        <w:rPr>
          <w:rFonts w:ascii="Times New Roman" w:hAnsi="Times New Roman" w:cs="Times New Roman"/>
          <w:b/>
        </w:rPr>
        <w:t xml:space="preserve">                                                                                        </w:t>
      </w:r>
    </w:p>
    <w:p w:rsidR="003674CF" w:rsidRDefault="003674CF" w:rsidP="003674CF">
      <w:pPr>
        <w:ind w:left="360" w:firstLine="101"/>
        <w:jc w:val="right"/>
        <w:rPr>
          <w:rFonts w:ascii="Times New Roman" w:hAnsi="Times New Roman" w:cs="Times New Roman"/>
          <w:b/>
        </w:rPr>
      </w:pPr>
    </w:p>
    <w:p w:rsidR="003674CF" w:rsidRDefault="003674CF" w:rsidP="003674CF">
      <w:pPr>
        <w:ind w:left="360" w:firstLine="101"/>
        <w:jc w:val="right"/>
        <w:rPr>
          <w:rFonts w:ascii="Times New Roman" w:hAnsi="Times New Roman" w:cs="Times New Roman"/>
          <w:b/>
        </w:rPr>
      </w:pPr>
    </w:p>
    <w:p w:rsidR="003674CF" w:rsidRDefault="003674CF" w:rsidP="003674CF">
      <w:pPr>
        <w:ind w:left="360" w:firstLine="101"/>
        <w:jc w:val="right"/>
        <w:rPr>
          <w:rFonts w:ascii="Times New Roman" w:hAnsi="Times New Roman" w:cs="Times New Roman"/>
          <w:b/>
        </w:rPr>
      </w:pPr>
    </w:p>
    <w:p w:rsidR="00BC1519" w:rsidRDefault="00BC1519" w:rsidP="00931D7A">
      <w:pPr>
        <w:spacing w:after="0"/>
        <w:rPr>
          <w:rFonts w:ascii="Times New Roman" w:hAnsi="Times New Roman" w:cs="Times New Roman"/>
          <w:b/>
        </w:rPr>
      </w:pPr>
    </w:p>
    <w:p w:rsidR="00931D7A" w:rsidRDefault="00931D7A" w:rsidP="00BC1519">
      <w:pPr>
        <w:spacing w:after="0"/>
        <w:ind w:left="360" w:firstLine="102"/>
        <w:jc w:val="right"/>
        <w:rPr>
          <w:rFonts w:ascii="Times New Roman" w:hAnsi="Times New Roman" w:cs="Times New Roman"/>
          <w:b/>
        </w:rPr>
      </w:pPr>
    </w:p>
    <w:p w:rsidR="00AA6EDB" w:rsidRDefault="003674CF" w:rsidP="00BC1519">
      <w:pPr>
        <w:spacing w:after="0"/>
        <w:ind w:left="360" w:firstLine="102"/>
        <w:jc w:val="right"/>
        <w:rPr>
          <w:rFonts w:ascii="Times New Roman" w:hAnsi="Times New Roman" w:cs="Times New Roman"/>
          <w:b/>
        </w:rPr>
      </w:pPr>
      <w:r w:rsidRPr="003674CF">
        <w:rPr>
          <w:rFonts w:ascii="Times New Roman" w:hAnsi="Times New Roman" w:cs="Times New Roman"/>
          <w:b/>
        </w:rPr>
        <w:t xml:space="preserve">        </w:t>
      </w:r>
    </w:p>
    <w:p w:rsidR="00AA6EDB" w:rsidRDefault="00AA6EDB" w:rsidP="00BC1519">
      <w:pPr>
        <w:spacing w:after="0"/>
        <w:ind w:left="360" w:firstLine="102"/>
        <w:jc w:val="right"/>
        <w:rPr>
          <w:rFonts w:ascii="Times New Roman" w:hAnsi="Times New Roman" w:cs="Times New Roman"/>
          <w:b/>
        </w:rPr>
      </w:pPr>
    </w:p>
    <w:p w:rsidR="003674CF" w:rsidRPr="003674CF" w:rsidRDefault="003674CF" w:rsidP="00BC1519">
      <w:pPr>
        <w:spacing w:after="0"/>
        <w:ind w:left="360" w:firstLine="102"/>
        <w:jc w:val="right"/>
        <w:rPr>
          <w:rFonts w:ascii="Times New Roman" w:hAnsi="Times New Roman" w:cs="Times New Roman"/>
        </w:rPr>
      </w:pPr>
      <w:r w:rsidRPr="003674CF">
        <w:rPr>
          <w:rFonts w:ascii="Times New Roman" w:hAnsi="Times New Roman" w:cs="Times New Roman"/>
          <w:b/>
        </w:rPr>
        <w:lastRenderedPageBreak/>
        <w:t xml:space="preserve"> </w:t>
      </w:r>
      <w:r w:rsidR="00BC1519">
        <w:rPr>
          <w:rFonts w:ascii="Times New Roman" w:hAnsi="Times New Roman" w:cs="Times New Roman"/>
        </w:rPr>
        <w:t xml:space="preserve"> 7</w:t>
      </w:r>
      <w:r w:rsidRPr="003674CF">
        <w:rPr>
          <w:rFonts w:ascii="Times New Roman" w:hAnsi="Times New Roman" w:cs="Times New Roman"/>
        </w:rPr>
        <w:t>.tabula</w:t>
      </w:r>
    </w:p>
    <w:p w:rsidR="003674CF" w:rsidRPr="003674CF" w:rsidRDefault="003674CF" w:rsidP="00BC1519">
      <w:pPr>
        <w:spacing w:after="0"/>
        <w:ind w:firstLine="102"/>
        <w:jc w:val="center"/>
        <w:rPr>
          <w:rFonts w:ascii="Times New Roman" w:hAnsi="Times New Roman" w:cs="Times New Roman"/>
          <w:b/>
          <w:sz w:val="24"/>
          <w:szCs w:val="24"/>
        </w:rPr>
      </w:pPr>
      <w:r w:rsidRPr="003674CF">
        <w:rPr>
          <w:rFonts w:ascii="Times New Roman" w:hAnsi="Times New Roman" w:cs="Times New Roman"/>
          <w:b/>
          <w:sz w:val="24"/>
          <w:szCs w:val="24"/>
        </w:rPr>
        <w:t xml:space="preserve">No </w:t>
      </w:r>
      <w:r>
        <w:rPr>
          <w:rFonts w:ascii="Times New Roman" w:hAnsi="Times New Roman" w:cs="Times New Roman"/>
          <w:b/>
          <w:sz w:val="24"/>
          <w:szCs w:val="24"/>
        </w:rPr>
        <w:t>dalībvalst</w:t>
      </w:r>
      <w:r w:rsidRPr="003674CF">
        <w:rPr>
          <w:rFonts w:ascii="Times New Roman" w:hAnsi="Times New Roman" w:cs="Times New Roman"/>
          <w:b/>
          <w:sz w:val="24"/>
          <w:szCs w:val="24"/>
        </w:rPr>
        <w:t>īm  saņemto rēķinu skaits laika posmā no 2006.-2015.g.</w:t>
      </w:r>
    </w:p>
    <w:tbl>
      <w:tblPr>
        <w:tblW w:w="7195"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1676"/>
        <w:gridCol w:w="2513"/>
        <w:gridCol w:w="3006"/>
      </w:tblGrid>
      <w:tr w:rsidR="003674CF" w:rsidRPr="003674CF" w:rsidTr="00BC1519">
        <w:trPr>
          <w:trHeight w:val="657"/>
          <w:jc w:val="center"/>
        </w:trPr>
        <w:tc>
          <w:tcPr>
            <w:tcW w:w="1676" w:type="dxa"/>
            <w:tcBorders>
              <w:top w:val="single" w:sz="8" w:space="0" w:color="4F81BD"/>
              <w:left w:val="single" w:sz="8" w:space="0" w:color="4F81BD"/>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Gads</w:t>
            </w:r>
          </w:p>
        </w:tc>
        <w:tc>
          <w:tcPr>
            <w:tcW w:w="2513" w:type="dxa"/>
            <w:tcBorders>
              <w:top w:val="single" w:sz="8" w:space="0" w:color="4F81BD"/>
              <w:left w:val="nil"/>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Saņemto rēķinu skaits</w:t>
            </w:r>
          </w:p>
        </w:tc>
        <w:tc>
          <w:tcPr>
            <w:tcW w:w="3006" w:type="dxa"/>
            <w:tcBorders>
              <w:top w:val="single" w:sz="8" w:space="0" w:color="4F81BD"/>
              <w:left w:val="nil"/>
              <w:bottom w:val="nil"/>
              <w:right w:val="single" w:sz="8" w:space="0" w:color="4F81BD"/>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Skaita pieaugums pret iepriekšējo gadu</w:t>
            </w:r>
          </w:p>
        </w:tc>
      </w:tr>
      <w:tr w:rsidR="003674CF" w:rsidRPr="003674CF" w:rsidTr="00EB67E3">
        <w:trPr>
          <w:trHeight w:val="295"/>
          <w:jc w:val="center"/>
        </w:trPr>
        <w:tc>
          <w:tcPr>
            <w:tcW w:w="1676" w:type="dxa"/>
            <w:tcBorders>
              <w:top w:val="single" w:sz="8" w:space="0" w:color="4F81BD"/>
              <w:left w:val="single" w:sz="8" w:space="0" w:color="4F81BD"/>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xml:space="preserve">2006. </w:t>
            </w:r>
          </w:p>
        </w:tc>
        <w:tc>
          <w:tcPr>
            <w:tcW w:w="2513" w:type="dxa"/>
            <w:tcBorders>
              <w:top w:val="single" w:sz="8" w:space="0" w:color="4F81BD"/>
              <w:left w:val="nil"/>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611</w:t>
            </w:r>
          </w:p>
        </w:tc>
        <w:tc>
          <w:tcPr>
            <w:tcW w:w="3006" w:type="dxa"/>
            <w:tcBorders>
              <w:top w:val="single" w:sz="8" w:space="0" w:color="4F81BD"/>
              <w:left w:val="nil"/>
              <w:bottom w:val="single" w:sz="8" w:space="0" w:color="4F81BD"/>
              <w:right w:val="single" w:sz="8" w:space="0" w:color="4F81BD"/>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w:t>
            </w:r>
          </w:p>
        </w:tc>
      </w:tr>
      <w:tr w:rsidR="003674CF" w:rsidRPr="003674CF" w:rsidTr="00EB67E3">
        <w:trPr>
          <w:trHeight w:val="415"/>
          <w:jc w:val="center"/>
        </w:trPr>
        <w:tc>
          <w:tcPr>
            <w:tcW w:w="1676" w:type="dxa"/>
            <w:tcBorders>
              <w:top w:val="nil"/>
              <w:left w:val="single" w:sz="8" w:space="0" w:color="4F81BD"/>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2007.</w:t>
            </w:r>
          </w:p>
        </w:tc>
        <w:tc>
          <w:tcPr>
            <w:tcW w:w="2513" w:type="dxa"/>
            <w:tcBorders>
              <w:top w:val="nil"/>
              <w:left w:val="nil"/>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1 031</w:t>
            </w:r>
          </w:p>
        </w:tc>
        <w:tc>
          <w:tcPr>
            <w:tcW w:w="3006" w:type="dxa"/>
            <w:tcBorders>
              <w:top w:val="nil"/>
              <w:left w:val="nil"/>
              <w:bottom w:val="nil"/>
              <w:right w:val="single" w:sz="8" w:space="0" w:color="4F81BD"/>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+ 420</w:t>
            </w:r>
          </w:p>
        </w:tc>
      </w:tr>
      <w:tr w:rsidR="003674CF" w:rsidRPr="003674CF" w:rsidTr="00BC1519">
        <w:trPr>
          <w:trHeight w:val="327"/>
          <w:jc w:val="center"/>
        </w:trPr>
        <w:tc>
          <w:tcPr>
            <w:tcW w:w="1676" w:type="dxa"/>
            <w:tcBorders>
              <w:top w:val="single" w:sz="8" w:space="0" w:color="4F81BD"/>
              <w:left w:val="single" w:sz="8" w:space="0" w:color="4F81BD"/>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2008.</w:t>
            </w:r>
          </w:p>
        </w:tc>
        <w:tc>
          <w:tcPr>
            <w:tcW w:w="2513" w:type="dxa"/>
            <w:tcBorders>
              <w:top w:val="single" w:sz="8" w:space="0" w:color="4F81BD"/>
              <w:left w:val="nil"/>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1 385</w:t>
            </w:r>
          </w:p>
        </w:tc>
        <w:tc>
          <w:tcPr>
            <w:tcW w:w="3006" w:type="dxa"/>
            <w:tcBorders>
              <w:top w:val="single" w:sz="8" w:space="0" w:color="4F81BD"/>
              <w:left w:val="nil"/>
              <w:bottom w:val="single" w:sz="8" w:space="0" w:color="4F81BD"/>
              <w:right w:val="single" w:sz="8" w:space="0" w:color="4F81BD"/>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+ 354</w:t>
            </w:r>
          </w:p>
        </w:tc>
      </w:tr>
      <w:tr w:rsidR="003674CF" w:rsidRPr="003674CF" w:rsidTr="00EB67E3">
        <w:trPr>
          <w:trHeight w:val="393"/>
          <w:jc w:val="center"/>
        </w:trPr>
        <w:tc>
          <w:tcPr>
            <w:tcW w:w="1676" w:type="dxa"/>
            <w:tcBorders>
              <w:top w:val="nil"/>
              <w:left w:val="single" w:sz="8" w:space="0" w:color="4F81BD"/>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2009.</w:t>
            </w:r>
          </w:p>
        </w:tc>
        <w:tc>
          <w:tcPr>
            <w:tcW w:w="2513" w:type="dxa"/>
            <w:tcBorders>
              <w:top w:val="nil"/>
              <w:left w:val="nil"/>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2 249</w:t>
            </w:r>
          </w:p>
        </w:tc>
        <w:tc>
          <w:tcPr>
            <w:tcW w:w="3006" w:type="dxa"/>
            <w:tcBorders>
              <w:top w:val="nil"/>
              <w:left w:val="nil"/>
              <w:bottom w:val="nil"/>
              <w:right w:val="single" w:sz="8" w:space="0" w:color="4F81BD"/>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+ 864</w:t>
            </w:r>
          </w:p>
        </w:tc>
      </w:tr>
      <w:tr w:rsidR="003674CF" w:rsidRPr="003674CF" w:rsidTr="00EB67E3">
        <w:trPr>
          <w:trHeight w:val="393"/>
          <w:jc w:val="center"/>
        </w:trPr>
        <w:tc>
          <w:tcPr>
            <w:tcW w:w="1676" w:type="dxa"/>
            <w:tcBorders>
              <w:top w:val="single" w:sz="8" w:space="0" w:color="4F81BD"/>
              <w:left w:val="single" w:sz="8" w:space="0" w:color="4F81BD"/>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2010.</w:t>
            </w:r>
          </w:p>
        </w:tc>
        <w:tc>
          <w:tcPr>
            <w:tcW w:w="2513" w:type="dxa"/>
            <w:tcBorders>
              <w:top w:val="single" w:sz="8" w:space="0" w:color="4F81BD"/>
              <w:left w:val="nil"/>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3 162</w:t>
            </w:r>
          </w:p>
        </w:tc>
        <w:tc>
          <w:tcPr>
            <w:tcW w:w="3006" w:type="dxa"/>
            <w:tcBorders>
              <w:top w:val="single" w:sz="8" w:space="0" w:color="4F81BD"/>
              <w:left w:val="nil"/>
              <w:bottom w:val="single" w:sz="8" w:space="0" w:color="4F81BD"/>
              <w:right w:val="single" w:sz="8" w:space="0" w:color="4F81BD"/>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+ 913</w:t>
            </w:r>
          </w:p>
        </w:tc>
      </w:tr>
      <w:tr w:rsidR="003674CF" w:rsidRPr="003674CF" w:rsidTr="00EB67E3">
        <w:trPr>
          <w:trHeight w:val="393"/>
          <w:jc w:val="center"/>
        </w:trPr>
        <w:tc>
          <w:tcPr>
            <w:tcW w:w="1676" w:type="dxa"/>
            <w:tcBorders>
              <w:top w:val="nil"/>
              <w:left w:val="single" w:sz="8" w:space="0" w:color="4F81BD"/>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2011.</w:t>
            </w:r>
          </w:p>
        </w:tc>
        <w:tc>
          <w:tcPr>
            <w:tcW w:w="2513" w:type="dxa"/>
            <w:tcBorders>
              <w:top w:val="nil"/>
              <w:left w:val="nil"/>
              <w:bottom w:val="nil"/>
              <w:right w:val="nil"/>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5 127</w:t>
            </w:r>
          </w:p>
        </w:tc>
        <w:tc>
          <w:tcPr>
            <w:tcW w:w="3006" w:type="dxa"/>
            <w:tcBorders>
              <w:top w:val="nil"/>
              <w:left w:val="nil"/>
              <w:bottom w:val="nil"/>
              <w:right w:val="single" w:sz="8" w:space="0" w:color="4F81BD"/>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+ 1 965</w:t>
            </w:r>
          </w:p>
        </w:tc>
      </w:tr>
      <w:tr w:rsidR="003674CF" w:rsidRPr="003674CF" w:rsidTr="00EB67E3">
        <w:trPr>
          <w:trHeight w:val="393"/>
          <w:jc w:val="center"/>
        </w:trPr>
        <w:tc>
          <w:tcPr>
            <w:tcW w:w="1676" w:type="dxa"/>
            <w:tcBorders>
              <w:top w:val="single" w:sz="8" w:space="0" w:color="4F81BD"/>
              <w:left w:val="single" w:sz="8" w:space="0" w:color="4F81BD"/>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2012.</w:t>
            </w:r>
          </w:p>
        </w:tc>
        <w:tc>
          <w:tcPr>
            <w:tcW w:w="2513" w:type="dxa"/>
            <w:tcBorders>
              <w:top w:val="single" w:sz="8" w:space="0" w:color="4F81BD"/>
              <w:left w:val="nil"/>
              <w:bottom w:val="single" w:sz="8" w:space="0" w:color="4F81BD"/>
              <w:right w:val="nil"/>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6 580</w:t>
            </w:r>
          </w:p>
        </w:tc>
        <w:tc>
          <w:tcPr>
            <w:tcW w:w="3006" w:type="dxa"/>
            <w:tcBorders>
              <w:top w:val="single" w:sz="8" w:space="0" w:color="4F81BD"/>
              <w:left w:val="nil"/>
              <w:bottom w:val="single" w:sz="8" w:space="0" w:color="4F81BD"/>
              <w:right w:val="single" w:sz="8" w:space="0" w:color="4F81BD"/>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+ 1 453</w:t>
            </w:r>
          </w:p>
        </w:tc>
      </w:tr>
      <w:tr w:rsidR="003674CF" w:rsidRPr="003674CF" w:rsidTr="00EB67E3">
        <w:trPr>
          <w:trHeight w:val="393"/>
          <w:jc w:val="center"/>
        </w:trPr>
        <w:tc>
          <w:tcPr>
            <w:tcW w:w="1676" w:type="dxa"/>
            <w:tcBorders>
              <w:top w:val="single" w:sz="8" w:space="0" w:color="4F81BD"/>
              <w:left w:val="single" w:sz="8" w:space="0" w:color="4F81BD"/>
              <w:bottom w:val="single" w:sz="4" w:space="0" w:color="auto"/>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2013.</w:t>
            </w:r>
          </w:p>
        </w:tc>
        <w:tc>
          <w:tcPr>
            <w:tcW w:w="2513" w:type="dxa"/>
            <w:tcBorders>
              <w:top w:val="single" w:sz="8" w:space="0" w:color="4F81BD"/>
              <w:left w:val="nil"/>
              <w:bottom w:val="single" w:sz="4" w:space="0" w:color="auto"/>
              <w:right w:val="nil"/>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9 524</w:t>
            </w:r>
          </w:p>
        </w:tc>
        <w:tc>
          <w:tcPr>
            <w:tcW w:w="3006" w:type="dxa"/>
            <w:tcBorders>
              <w:top w:val="single" w:sz="8" w:space="0" w:color="4F81BD"/>
              <w:left w:val="nil"/>
              <w:bottom w:val="single" w:sz="4" w:space="0" w:color="auto"/>
              <w:right w:val="single" w:sz="8" w:space="0" w:color="4F81BD"/>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+ 2 944</w:t>
            </w:r>
          </w:p>
        </w:tc>
      </w:tr>
      <w:tr w:rsidR="003674CF" w:rsidRPr="003674CF" w:rsidTr="00EB67E3">
        <w:trPr>
          <w:trHeight w:val="393"/>
          <w:jc w:val="center"/>
        </w:trPr>
        <w:tc>
          <w:tcPr>
            <w:tcW w:w="1676" w:type="dxa"/>
            <w:tcBorders>
              <w:top w:val="single" w:sz="4" w:space="0" w:color="auto"/>
              <w:left w:val="single" w:sz="8" w:space="0" w:color="4F81BD"/>
              <w:bottom w:val="nil"/>
              <w:right w:val="nil"/>
            </w:tcBorders>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2014.</w:t>
            </w:r>
          </w:p>
        </w:tc>
        <w:tc>
          <w:tcPr>
            <w:tcW w:w="2513" w:type="dxa"/>
            <w:tcBorders>
              <w:top w:val="single" w:sz="4" w:space="0" w:color="auto"/>
              <w:left w:val="nil"/>
              <w:bottom w:val="nil"/>
              <w:right w:val="nil"/>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9 484</w:t>
            </w:r>
          </w:p>
        </w:tc>
        <w:tc>
          <w:tcPr>
            <w:tcW w:w="3006" w:type="dxa"/>
            <w:tcBorders>
              <w:top w:val="single" w:sz="4" w:space="0" w:color="auto"/>
              <w:left w:val="nil"/>
              <w:bottom w:val="nil"/>
              <w:right w:val="single" w:sz="8" w:space="0" w:color="4F81BD"/>
            </w:tcBorders>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-40</w:t>
            </w:r>
          </w:p>
        </w:tc>
      </w:tr>
      <w:tr w:rsidR="003674CF" w:rsidRPr="003674CF" w:rsidTr="00EB67E3">
        <w:trPr>
          <w:trHeight w:val="326"/>
          <w:jc w:val="center"/>
        </w:trPr>
        <w:tc>
          <w:tcPr>
            <w:tcW w:w="1676" w:type="dxa"/>
            <w:tcBorders>
              <w:top w:val="nil"/>
              <w:left w:val="single" w:sz="8" w:space="0" w:color="4F81BD"/>
              <w:bottom w:val="single" w:sz="8" w:space="0" w:color="4F81BD"/>
              <w:right w:val="nil"/>
            </w:tcBorders>
            <w:shd w:val="clear" w:color="auto" w:fill="FBD4B4"/>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2015</w:t>
            </w:r>
          </w:p>
        </w:tc>
        <w:tc>
          <w:tcPr>
            <w:tcW w:w="2513" w:type="dxa"/>
            <w:tcBorders>
              <w:top w:val="nil"/>
              <w:left w:val="nil"/>
              <w:bottom w:val="single" w:sz="8" w:space="0" w:color="4F81BD"/>
              <w:right w:val="nil"/>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10 758</w:t>
            </w:r>
          </w:p>
        </w:tc>
        <w:tc>
          <w:tcPr>
            <w:tcW w:w="3006" w:type="dxa"/>
            <w:tcBorders>
              <w:top w:val="nil"/>
              <w:left w:val="nil"/>
              <w:bottom w:val="single" w:sz="8" w:space="0" w:color="4F81BD"/>
              <w:right w:val="single" w:sz="8" w:space="0" w:color="4F81BD"/>
            </w:tcBorders>
            <w:shd w:val="clear" w:color="auto" w:fill="FBD4B4"/>
            <w:hideMark/>
          </w:tcPr>
          <w:p w:rsidR="003674CF" w:rsidRPr="00BC1519" w:rsidRDefault="003674CF"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+1 274</w:t>
            </w:r>
          </w:p>
        </w:tc>
      </w:tr>
    </w:tbl>
    <w:p w:rsidR="003674CF" w:rsidRPr="003674CF" w:rsidRDefault="003674CF" w:rsidP="00BC1519">
      <w:pPr>
        <w:spacing w:before="120" w:after="0"/>
        <w:ind w:left="102" w:right="176" w:firstLine="425"/>
        <w:jc w:val="both"/>
        <w:rPr>
          <w:rFonts w:ascii="Times New Roman" w:hAnsi="Times New Roman" w:cs="Times New Roman"/>
          <w:sz w:val="24"/>
          <w:szCs w:val="24"/>
        </w:rPr>
      </w:pPr>
      <w:r w:rsidRPr="003674CF">
        <w:rPr>
          <w:rFonts w:ascii="Times New Roman" w:hAnsi="Times New Roman" w:cs="Times New Roman"/>
          <w:sz w:val="24"/>
          <w:szCs w:val="24"/>
        </w:rPr>
        <w:t xml:space="preserve">Lai neveidotos neapmaksātas saistības uz </w:t>
      </w:r>
      <w:r w:rsidR="00BC1519">
        <w:rPr>
          <w:rFonts w:ascii="Times New Roman" w:hAnsi="Times New Roman" w:cs="Times New Roman"/>
          <w:sz w:val="24"/>
          <w:szCs w:val="24"/>
        </w:rPr>
        <w:t>nākamo pārskata periodu (skat. 8</w:t>
      </w:r>
      <w:r w:rsidRPr="003674CF">
        <w:rPr>
          <w:rFonts w:ascii="Times New Roman" w:hAnsi="Times New Roman" w:cs="Times New Roman"/>
          <w:sz w:val="24"/>
          <w:szCs w:val="24"/>
        </w:rPr>
        <w:t xml:space="preserve">.tabulu) līdz 2015. gadam, NVD nodrošināja, ka tiek veikta no citām </w:t>
      </w:r>
      <w:r>
        <w:rPr>
          <w:rFonts w:ascii="Times New Roman" w:hAnsi="Times New Roman" w:cs="Times New Roman"/>
          <w:sz w:val="24"/>
          <w:szCs w:val="24"/>
        </w:rPr>
        <w:t>dalībvalst</w:t>
      </w:r>
      <w:r w:rsidRPr="003674CF">
        <w:rPr>
          <w:rFonts w:ascii="Times New Roman" w:hAnsi="Times New Roman" w:cs="Times New Roman"/>
          <w:sz w:val="24"/>
          <w:szCs w:val="24"/>
        </w:rPr>
        <w:t>īm saņemto rēķinu pārbaude un apmaksa tādā apjomā, kas atbilst saņemtajiem rēķiniem naudas izteiksmē. Turklāt iesniegto 2015. gadā rēķinu pamatotība un summas 2016.gadā joprojām tiek saskaņotas</w:t>
      </w:r>
      <w:r>
        <w:rPr>
          <w:rFonts w:ascii="Times New Roman" w:hAnsi="Times New Roman" w:cs="Times New Roman"/>
          <w:sz w:val="24"/>
          <w:szCs w:val="24"/>
        </w:rPr>
        <w:t xml:space="preserve"> ar citu d</w:t>
      </w:r>
      <w:r w:rsidRPr="003674CF">
        <w:rPr>
          <w:rFonts w:ascii="Times New Roman" w:hAnsi="Times New Roman" w:cs="Times New Roman"/>
          <w:sz w:val="24"/>
          <w:szCs w:val="24"/>
        </w:rPr>
        <w:t>alībvalstu kompetentajām institūcijām.</w:t>
      </w:r>
    </w:p>
    <w:p w:rsidR="003674CF" w:rsidRPr="00BC1519" w:rsidRDefault="003674CF" w:rsidP="00BC1519">
      <w:pPr>
        <w:spacing w:after="0"/>
        <w:ind w:firstLine="102"/>
        <w:jc w:val="right"/>
        <w:rPr>
          <w:rFonts w:ascii="Times New Roman" w:hAnsi="Times New Roman" w:cs="Times New Roman"/>
        </w:rPr>
      </w:pPr>
      <w:r w:rsidRPr="00BC1519">
        <w:rPr>
          <w:rFonts w:ascii="Times New Roman" w:hAnsi="Times New Roman" w:cs="Times New Roman"/>
        </w:rPr>
        <w:t xml:space="preserve">                                                                        </w:t>
      </w:r>
      <w:r w:rsidR="00BC1519" w:rsidRPr="00BC1519">
        <w:rPr>
          <w:rFonts w:ascii="Times New Roman" w:hAnsi="Times New Roman" w:cs="Times New Roman"/>
        </w:rPr>
        <w:t xml:space="preserve">                            8</w:t>
      </w:r>
      <w:r w:rsidRPr="00BC1519">
        <w:rPr>
          <w:rFonts w:ascii="Times New Roman" w:hAnsi="Times New Roman" w:cs="Times New Roman"/>
        </w:rPr>
        <w:t>.tabula</w:t>
      </w:r>
    </w:p>
    <w:p w:rsidR="003674CF" w:rsidRPr="003674CF" w:rsidRDefault="003674CF" w:rsidP="00BC1519">
      <w:pPr>
        <w:spacing w:after="0"/>
        <w:ind w:firstLine="102"/>
        <w:jc w:val="center"/>
        <w:rPr>
          <w:rFonts w:ascii="Times New Roman" w:hAnsi="Times New Roman" w:cs="Times New Roman"/>
          <w:b/>
          <w:bCs/>
          <w:sz w:val="24"/>
          <w:szCs w:val="24"/>
        </w:rPr>
      </w:pPr>
      <w:r w:rsidRPr="003674CF">
        <w:rPr>
          <w:rFonts w:ascii="Times New Roman" w:hAnsi="Times New Roman" w:cs="Times New Roman"/>
          <w:b/>
          <w:bCs/>
          <w:sz w:val="24"/>
          <w:szCs w:val="24"/>
        </w:rPr>
        <w:t>Saņemto rēķinu apjoms un veiktie norēķini laika posmā</w:t>
      </w:r>
    </w:p>
    <w:p w:rsidR="00BC1519" w:rsidRPr="00BC1519" w:rsidRDefault="003674CF" w:rsidP="00BC1519">
      <w:pPr>
        <w:spacing w:after="0"/>
        <w:ind w:firstLine="102"/>
        <w:jc w:val="center"/>
        <w:rPr>
          <w:rFonts w:ascii="Times New Roman" w:hAnsi="Times New Roman" w:cs="Times New Roman"/>
          <w:b/>
          <w:bCs/>
          <w:i/>
          <w:sz w:val="24"/>
          <w:szCs w:val="24"/>
        </w:rPr>
      </w:pPr>
      <w:r>
        <w:rPr>
          <w:rFonts w:ascii="Times New Roman" w:hAnsi="Times New Roman" w:cs="Times New Roman"/>
          <w:b/>
          <w:bCs/>
          <w:sz w:val="24"/>
          <w:szCs w:val="24"/>
        </w:rPr>
        <w:t xml:space="preserve"> no 2006. -2015. g.</w:t>
      </w:r>
      <w:r w:rsidRPr="003674CF">
        <w:rPr>
          <w:rFonts w:ascii="Times New Roman" w:hAnsi="Times New Roman" w:cs="Times New Roman"/>
          <w:b/>
          <w:bCs/>
          <w:sz w:val="24"/>
          <w:szCs w:val="24"/>
        </w:rPr>
        <w:t xml:space="preserve"> </w:t>
      </w:r>
      <w:proofErr w:type="spellStart"/>
      <w:r w:rsidRPr="003674CF">
        <w:rPr>
          <w:rFonts w:ascii="Times New Roman" w:hAnsi="Times New Roman" w:cs="Times New Roman"/>
          <w:b/>
          <w:bCs/>
          <w:i/>
          <w:sz w:val="24"/>
          <w:szCs w:val="24"/>
        </w:rPr>
        <w:t>euro</w:t>
      </w:r>
      <w:proofErr w:type="spellEnd"/>
    </w:p>
    <w:tbl>
      <w:tblPr>
        <w:tblW w:w="6540" w:type="dxa"/>
        <w:jc w:val="center"/>
        <w:tblLayout w:type="fixed"/>
        <w:tblLook w:val="04A0"/>
      </w:tblPr>
      <w:tblGrid>
        <w:gridCol w:w="857"/>
        <w:gridCol w:w="2756"/>
        <w:gridCol w:w="2927"/>
      </w:tblGrid>
      <w:tr w:rsidR="003674CF" w:rsidRPr="003674CF" w:rsidTr="00BC1519">
        <w:trPr>
          <w:trHeight w:val="817"/>
          <w:jc w:val="center"/>
        </w:trPr>
        <w:tc>
          <w:tcPr>
            <w:tcW w:w="857" w:type="dxa"/>
            <w:tcBorders>
              <w:top w:val="single" w:sz="4" w:space="0" w:color="auto"/>
              <w:left w:val="single" w:sz="4" w:space="0" w:color="auto"/>
              <w:bottom w:val="nil"/>
              <w:right w:val="single" w:sz="4" w:space="0" w:color="auto"/>
            </w:tcBorders>
            <w:shd w:val="clear" w:color="auto" w:fill="FBD4B4"/>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Gads</w:t>
            </w:r>
          </w:p>
        </w:tc>
        <w:tc>
          <w:tcPr>
            <w:tcW w:w="275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xml:space="preserve">Saņemto rēķinu apjoms,  </w:t>
            </w:r>
            <w:proofErr w:type="spellStart"/>
            <w:r w:rsidRPr="00BC1519">
              <w:rPr>
                <w:rFonts w:ascii="Times New Roman" w:eastAsia="Times New Roman" w:hAnsi="Times New Roman" w:cs="Times New Roman"/>
                <w:lang w:eastAsia="lv-LV"/>
              </w:rPr>
              <w:t>euro</w:t>
            </w:r>
            <w:proofErr w:type="spellEnd"/>
          </w:p>
        </w:tc>
        <w:tc>
          <w:tcPr>
            <w:tcW w:w="2926" w:type="dxa"/>
            <w:tcBorders>
              <w:top w:val="single" w:sz="4" w:space="0" w:color="auto"/>
              <w:left w:val="single" w:sz="4" w:space="0" w:color="auto"/>
              <w:bottom w:val="nil"/>
              <w:right w:val="single" w:sz="4" w:space="0" w:color="auto"/>
            </w:tcBorders>
            <w:shd w:val="clear" w:color="auto" w:fill="FBD4B4"/>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 xml:space="preserve">Veiktie norēķini,  </w:t>
            </w:r>
            <w:proofErr w:type="spellStart"/>
            <w:r w:rsidRPr="00BC1519">
              <w:rPr>
                <w:rFonts w:ascii="Times New Roman" w:eastAsia="Times New Roman" w:hAnsi="Times New Roman" w:cs="Times New Roman"/>
                <w:lang w:eastAsia="lv-LV"/>
              </w:rPr>
              <w:t>euro</w:t>
            </w:r>
            <w:proofErr w:type="spellEnd"/>
          </w:p>
        </w:tc>
      </w:tr>
      <w:tr w:rsidR="00BC1519" w:rsidRPr="00BC1519" w:rsidTr="00BC1519">
        <w:trPr>
          <w:trHeight w:val="442"/>
          <w:jc w:val="center"/>
        </w:trPr>
        <w:tc>
          <w:tcPr>
            <w:tcW w:w="857" w:type="dxa"/>
            <w:tcBorders>
              <w:top w:val="single" w:sz="4" w:space="0" w:color="auto"/>
              <w:left w:val="single" w:sz="4" w:space="0" w:color="auto"/>
              <w:bottom w:val="nil"/>
              <w:right w:val="single" w:sz="4" w:space="0" w:color="auto"/>
            </w:tcBorders>
            <w:shd w:val="clear" w:color="auto" w:fill="auto"/>
            <w:vAlign w:val="center"/>
            <w:hideMark/>
          </w:tcPr>
          <w:p w:rsidR="00BC1519" w:rsidRPr="00BC1519" w:rsidRDefault="00BC1519"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19" w:rsidRPr="00BC1519" w:rsidRDefault="00BC1519"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w:t>
            </w:r>
          </w:p>
        </w:tc>
        <w:tc>
          <w:tcPr>
            <w:tcW w:w="2926" w:type="dxa"/>
            <w:tcBorders>
              <w:top w:val="single" w:sz="4" w:space="0" w:color="auto"/>
              <w:left w:val="single" w:sz="4" w:space="0" w:color="auto"/>
              <w:bottom w:val="nil"/>
              <w:right w:val="single" w:sz="4" w:space="0" w:color="auto"/>
            </w:tcBorders>
            <w:shd w:val="clear" w:color="auto" w:fill="auto"/>
            <w:vAlign w:val="center"/>
            <w:hideMark/>
          </w:tcPr>
          <w:p w:rsidR="00BC1519" w:rsidRPr="00BC1519" w:rsidRDefault="00BC1519"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3</w:t>
            </w:r>
          </w:p>
        </w:tc>
      </w:tr>
      <w:tr w:rsidR="003674CF" w:rsidRPr="003674CF" w:rsidTr="00BC1519">
        <w:trPr>
          <w:trHeight w:val="448"/>
          <w:jc w:val="center"/>
        </w:trPr>
        <w:tc>
          <w:tcPr>
            <w:tcW w:w="857"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2006</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1 385 642</w:t>
            </w:r>
          </w:p>
        </w:tc>
        <w:tc>
          <w:tcPr>
            <w:tcW w:w="2926"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1 395 076</w:t>
            </w:r>
          </w:p>
        </w:tc>
      </w:tr>
      <w:tr w:rsidR="003674CF" w:rsidRPr="003674CF" w:rsidTr="00BC1519">
        <w:trPr>
          <w:trHeight w:val="448"/>
          <w:jc w:val="center"/>
        </w:trPr>
        <w:tc>
          <w:tcPr>
            <w:tcW w:w="857"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2007</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1 535 132</w:t>
            </w:r>
          </w:p>
        </w:tc>
        <w:tc>
          <w:tcPr>
            <w:tcW w:w="2926"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1 548 590</w:t>
            </w:r>
          </w:p>
        </w:tc>
      </w:tr>
      <w:tr w:rsidR="003674CF" w:rsidRPr="003674CF" w:rsidTr="00BC1519">
        <w:trPr>
          <w:trHeight w:val="448"/>
          <w:jc w:val="center"/>
        </w:trPr>
        <w:tc>
          <w:tcPr>
            <w:tcW w:w="857"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2008</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2 596 871</w:t>
            </w:r>
          </w:p>
        </w:tc>
        <w:tc>
          <w:tcPr>
            <w:tcW w:w="2926"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2 687 589</w:t>
            </w:r>
          </w:p>
        </w:tc>
      </w:tr>
      <w:tr w:rsidR="003674CF" w:rsidRPr="003674CF" w:rsidTr="00BC1519">
        <w:trPr>
          <w:trHeight w:val="448"/>
          <w:jc w:val="center"/>
        </w:trPr>
        <w:tc>
          <w:tcPr>
            <w:tcW w:w="857"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2009</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2 572 269</w:t>
            </w:r>
          </w:p>
        </w:tc>
        <w:tc>
          <w:tcPr>
            <w:tcW w:w="2926"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2 711 094</w:t>
            </w:r>
          </w:p>
        </w:tc>
      </w:tr>
      <w:tr w:rsidR="003674CF" w:rsidRPr="003674CF" w:rsidTr="00BC1519">
        <w:trPr>
          <w:trHeight w:val="448"/>
          <w:jc w:val="center"/>
        </w:trPr>
        <w:tc>
          <w:tcPr>
            <w:tcW w:w="857"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2010</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2 572 269</w:t>
            </w:r>
          </w:p>
        </w:tc>
        <w:tc>
          <w:tcPr>
            <w:tcW w:w="2926" w:type="dxa"/>
            <w:tcBorders>
              <w:top w:val="single" w:sz="8" w:space="0" w:color="4F81BD"/>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2 711 094</w:t>
            </w:r>
          </w:p>
        </w:tc>
      </w:tr>
      <w:tr w:rsidR="003674CF" w:rsidRPr="003674CF" w:rsidTr="00BC1519">
        <w:trPr>
          <w:trHeight w:val="448"/>
          <w:jc w:val="center"/>
        </w:trPr>
        <w:tc>
          <w:tcPr>
            <w:tcW w:w="857" w:type="dxa"/>
            <w:tcBorders>
              <w:top w:val="nil"/>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2011</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7 139 775</w:t>
            </w:r>
          </w:p>
        </w:tc>
        <w:tc>
          <w:tcPr>
            <w:tcW w:w="2926" w:type="dxa"/>
            <w:tcBorders>
              <w:top w:val="nil"/>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3 827 874</w:t>
            </w:r>
          </w:p>
        </w:tc>
      </w:tr>
      <w:tr w:rsidR="003674CF" w:rsidRPr="003674CF" w:rsidTr="00BC1519">
        <w:trPr>
          <w:trHeight w:val="448"/>
          <w:jc w:val="center"/>
        </w:trPr>
        <w:tc>
          <w:tcPr>
            <w:tcW w:w="857" w:type="dxa"/>
            <w:tcBorders>
              <w:top w:val="nil"/>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2012</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7 431 617</w:t>
            </w:r>
          </w:p>
        </w:tc>
        <w:tc>
          <w:tcPr>
            <w:tcW w:w="2926" w:type="dxa"/>
            <w:tcBorders>
              <w:top w:val="nil"/>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8 424 297</w:t>
            </w:r>
          </w:p>
        </w:tc>
      </w:tr>
      <w:tr w:rsidR="003674CF" w:rsidRPr="003674CF" w:rsidTr="00BC1519">
        <w:trPr>
          <w:trHeight w:val="448"/>
          <w:jc w:val="center"/>
        </w:trPr>
        <w:tc>
          <w:tcPr>
            <w:tcW w:w="857" w:type="dxa"/>
            <w:tcBorders>
              <w:top w:val="nil"/>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2013</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8 795 064</w:t>
            </w:r>
          </w:p>
        </w:tc>
        <w:tc>
          <w:tcPr>
            <w:tcW w:w="2926" w:type="dxa"/>
            <w:tcBorders>
              <w:top w:val="nil"/>
              <w:left w:val="single" w:sz="4" w:space="0" w:color="auto"/>
              <w:bottom w:val="single" w:sz="8"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8 899 082</w:t>
            </w:r>
          </w:p>
        </w:tc>
      </w:tr>
      <w:tr w:rsidR="003674CF" w:rsidRPr="003674CF" w:rsidTr="00BC1519">
        <w:trPr>
          <w:trHeight w:val="426"/>
          <w:jc w:val="center"/>
        </w:trPr>
        <w:tc>
          <w:tcPr>
            <w:tcW w:w="857"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2014</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9 307 946</w:t>
            </w:r>
          </w:p>
        </w:tc>
        <w:tc>
          <w:tcPr>
            <w:tcW w:w="2926"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9 192 375</w:t>
            </w:r>
          </w:p>
        </w:tc>
      </w:tr>
      <w:tr w:rsidR="003674CF" w:rsidRPr="003674CF" w:rsidTr="00BC1519">
        <w:trPr>
          <w:trHeight w:val="448"/>
          <w:jc w:val="center"/>
        </w:trPr>
        <w:tc>
          <w:tcPr>
            <w:tcW w:w="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2015</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10 325 530</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4CF" w:rsidRPr="00BC1519" w:rsidRDefault="003674CF" w:rsidP="00BC1519">
            <w:pPr>
              <w:framePr w:hSpace="180" w:wrap="around" w:vAnchor="text" w:hAnchor="margin" w:xAlign="center" w:y="149"/>
              <w:spacing w:after="0" w:line="240" w:lineRule="auto"/>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3 194 337</w:t>
            </w:r>
          </w:p>
        </w:tc>
      </w:tr>
    </w:tbl>
    <w:p w:rsidR="003674CF" w:rsidRPr="003674CF" w:rsidRDefault="003674CF" w:rsidP="00931D7A">
      <w:pPr>
        <w:autoSpaceDE w:val="0"/>
        <w:autoSpaceDN w:val="0"/>
        <w:adjustRightInd w:val="0"/>
        <w:ind w:left="147" w:right="39" w:firstLine="573"/>
        <w:jc w:val="both"/>
        <w:rPr>
          <w:rFonts w:ascii="Times New Roman" w:hAnsi="Times New Roman" w:cs="Times New Roman"/>
          <w:sz w:val="24"/>
          <w:szCs w:val="24"/>
        </w:rPr>
      </w:pPr>
      <w:r w:rsidRPr="003674CF">
        <w:rPr>
          <w:rFonts w:ascii="Times New Roman" w:hAnsi="Times New Roman" w:cs="Times New Roman"/>
          <w:sz w:val="24"/>
          <w:szCs w:val="24"/>
        </w:rPr>
        <w:lastRenderedPageBreak/>
        <w:t xml:space="preserve">Sākotnēji plānojot veselības aprūpes pakalpojumu sniegšanai pieejamos līdzekļus 2013.-2015. gadā atbilstoši apstiprinātajam budžetam, norēķiniem ar ES un EEZ valstīm par Latvijas iedzīvotājiem sniegtajiem pakalpojumiem 2013. gadā tika ieplānoti - 4 762 463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2014. gadā - 3 324 653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un 2015.gadā – 1 973 215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Tomēr gadā laikā no ES un EEZ dalībvalstīm tika saņemti rēķini par sniegtajiem pakalpojumiem krietni lielākā apjomā nekā plānotais finansējums. 2013. un 2014. gadā papildus sākotnēji apstiprinātajam budžetam, veselības aprūpes pakalpojumu nodrošināšanai tika piešķirti papildus finanšu līdzekļi. Lēmumi par papildus finansējuma piešķiršanu tika pieņemti gada otrajā pusē, kas mazināja slodzi valsts budžetam un, lai nepalielinātu saistības pret </w:t>
      </w:r>
      <w:r>
        <w:rPr>
          <w:rFonts w:ascii="Times New Roman" w:hAnsi="Times New Roman" w:cs="Times New Roman"/>
          <w:sz w:val="24"/>
          <w:szCs w:val="24"/>
        </w:rPr>
        <w:t>dalībvalst</w:t>
      </w:r>
      <w:r w:rsidRPr="003674CF">
        <w:rPr>
          <w:rFonts w:ascii="Times New Roman" w:hAnsi="Times New Roman" w:cs="Times New Roman"/>
          <w:sz w:val="24"/>
          <w:szCs w:val="24"/>
        </w:rPr>
        <w:t>īm par tajās ES sociālā nodrošinājuma sistēmu ietvaros sniegtajiem veselības aprūpes pakalpojumiem Latvijas iedzīvotājiem</w:t>
      </w:r>
      <w:r w:rsidR="005C049C">
        <w:rPr>
          <w:rFonts w:ascii="Times New Roman" w:hAnsi="Times New Roman" w:cs="Times New Roman"/>
          <w:sz w:val="24"/>
          <w:szCs w:val="24"/>
        </w:rPr>
        <w:t>,</w:t>
      </w:r>
      <w:r w:rsidRPr="003674CF">
        <w:rPr>
          <w:rFonts w:ascii="Times New Roman" w:hAnsi="Times New Roman" w:cs="Times New Roman"/>
          <w:sz w:val="24"/>
          <w:szCs w:val="24"/>
        </w:rPr>
        <w:t xml:space="preserve"> NVD varēja novirzīt lielāku finansējumu, 2013. gadā papildus 4 136 619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2014. gadā papildus 5 867 722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Savukārt 2015. gadā norēķini tika veikti ievērojami mazākā apjomā, jo veselības aprūpes pakalpojumu sniegšanai papildus finansējums tika piešķirts tikai valsts galvoto aizdevumu atmaksai. Norēķini tika veikti par 1 221 122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lielākā apjomā kā sākotnēji plānots, pārdalot līdzekļus no stacionārajai un ambulatorajai palīdzībai paredzētā finansējuma. </w:t>
      </w:r>
    </w:p>
    <w:p w:rsidR="003674CF" w:rsidRPr="003674CF" w:rsidRDefault="003674CF" w:rsidP="003674CF">
      <w:pPr>
        <w:ind w:left="101" w:right="174" w:firstLine="284"/>
        <w:jc w:val="both"/>
        <w:rPr>
          <w:rFonts w:ascii="Times New Roman" w:hAnsi="Times New Roman" w:cs="Times New Roman"/>
          <w:sz w:val="24"/>
          <w:szCs w:val="24"/>
        </w:rPr>
      </w:pPr>
      <w:r w:rsidRPr="003674CF">
        <w:rPr>
          <w:rFonts w:ascii="Times New Roman" w:hAnsi="Times New Roman" w:cs="Times New Roman"/>
          <w:sz w:val="24"/>
          <w:szCs w:val="24"/>
        </w:rPr>
        <w:t xml:space="preserve">2015.gadā norēķiniem par sociālā nodrošinājuma sistēmu ietvaros sniegtajiem veselības aprūpes pakalpojumiem Latvijas iedzīvotājiem Eiropas Ekonomikas zonas dalībvalstīs bija iespējams novirzīt mazāk līdzekļu,  jo 2015. gadā par 1 635 934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tika samazināti budžeta izdevumi sekundārās ambulatorās veselības aprūpes (turpmāk – SAVA) pakalpojumu nodrošināšanai, lai palielinātu izdevumus pacientu iemaksu samazinājuma stacionārā no 11,50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līdz 10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nodrošināšanai. Katru gadu pieaug izdevumi veselības aprūpes pakalpojumiem, kurus apmaksā pēc faktiskās izpildes, piemēram, laboratoriskajiem izmeklējumiem plānotais finansējums pieauga no 27 548 403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2014. gadā līdz 28 343 072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2015. gadā, arī finansējums profilaktisko  izmeklējumu apmaksai pieauga no 7 715 634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2014. gadā līdz 8 028 896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2015. gadā. Lai iedzīvotājiem nodrošinātu  SAVA pakalpojumu pieejamību, tika samazināti līdzekļu izdevumi norēķiniem par sociālā nodrošinājuma sistēmu ietvaros sniegtajiem veselības aprūpes pakalpojumiem.</w:t>
      </w:r>
    </w:p>
    <w:p w:rsidR="003674CF" w:rsidRPr="003674CF" w:rsidRDefault="003674CF" w:rsidP="003674CF">
      <w:pPr>
        <w:ind w:left="101" w:right="174" w:firstLine="466"/>
        <w:jc w:val="both"/>
        <w:rPr>
          <w:rFonts w:ascii="Times New Roman" w:hAnsi="Times New Roman" w:cs="Times New Roman"/>
          <w:sz w:val="24"/>
          <w:szCs w:val="24"/>
        </w:rPr>
      </w:pPr>
      <w:r w:rsidRPr="003674CF">
        <w:rPr>
          <w:rFonts w:ascii="Times New Roman" w:hAnsi="Times New Roman" w:cs="Times New Roman"/>
          <w:sz w:val="24"/>
          <w:szCs w:val="24"/>
        </w:rPr>
        <w:t>2013. un 2014. gadā norēķiniem ar ES un EEZ valstīm par Latvijas iedzīvotājiem sniegtajiem pakalpojumiem sākotnēji plānotais finansējums bija ievērojami mazākā apmērā</w:t>
      </w:r>
      <w:r w:rsidRPr="003674CF">
        <w:rPr>
          <w:rFonts w:ascii="Times New Roman" w:hAnsi="Times New Roman" w:cs="Times New Roman"/>
          <w:color w:val="000000"/>
          <w:sz w:val="24"/>
          <w:szCs w:val="24"/>
        </w:rPr>
        <w:t xml:space="preserve"> nekā veiktie norēķini. Norēķinu veikšana, lai savlaicīgas saistību neizpildes gadījumā citu </w:t>
      </w:r>
      <w:r>
        <w:rPr>
          <w:rFonts w:ascii="Times New Roman" w:hAnsi="Times New Roman" w:cs="Times New Roman"/>
          <w:color w:val="000000"/>
          <w:sz w:val="24"/>
          <w:szCs w:val="24"/>
        </w:rPr>
        <w:t>dalībvalst</w:t>
      </w:r>
      <w:r w:rsidRPr="003674CF">
        <w:rPr>
          <w:rFonts w:ascii="Times New Roman" w:hAnsi="Times New Roman" w:cs="Times New Roman"/>
          <w:color w:val="000000"/>
          <w:sz w:val="24"/>
          <w:szCs w:val="24"/>
        </w:rPr>
        <w:t xml:space="preserve">u kompetentās institūcijas neaprēķinātu kavējuma procentus tika nodrošināta pateicoties vienreizējiem papildus piešķīrumiem. </w:t>
      </w:r>
    </w:p>
    <w:p w:rsidR="003674CF" w:rsidRPr="003674CF" w:rsidRDefault="003674CF" w:rsidP="003674CF">
      <w:pPr>
        <w:ind w:left="101" w:right="174" w:firstLine="466"/>
        <w:jc w:val="both"/>
        <w:rPr>
          <w:rFonts w:ascii="Times New Roman" w:hAnsi="Times New Roman" w:cs="Times New Roman"/>
          <w:sz w:val="24"/>
          <w:szCs w:val="24"/>
        </w:rPr>
      </w:pPr>
      <w:r w:rsidRPr="003674CF">
        <w:rPr>
          <w:rFonts w:ascii="Times New Roman" w:hAnsi="Times New Roman" w:cs="Times New Roman"/>
          <w:sz w:val="24"/>
          <w:szCs w:val="24"/>
        </w:rPr>
        <w:t xml:space="preserve"> MK noteikumi Nr.1529 „Veselības aprūpes un finansēšanas un organizēšanas kārtība” (turpmāk – MK noteikumi Nr.1529) paredz, ka samaksai par starpvalstu norēķiniem ar Eiropas Savienības un Eiropas Ekonomikas zonas dalībvalstīm un Šveices Konfederāciju par Latvijas iedzīvotājiem sniegtajiem pakalpojumiem šajās valstīs var novirzīt līdz 2% apmērā no veselības aprūpes pakalpojumu apmaksai paredzētajiem līdzekļiem. Ārstniecības likuma 3.panta otrā daļa nosaka, ka grūtnieces, bērna un personas ar prognozējamu invaliditāti veselības aprūpe ir prioritāra un līdzekļi tam jāplāno, ņemot vērā izpildes rādītājus. Atbilstoši Ārstniecības likumam un MK noteikumos Nr.1529 </w:t>
      </w:r>
      <w:r w:rsidRPr="003674CF">
        <w:rPr>
          <w:rFonts w:ascii="Times New Roman" w:hAnsi="Times New Roman" w:cs="Times New Roman"/>
          <w:sz w:val="24"/>
          <w:szCs w:val="24"/>
        </w:rPr>
        <w:lastRenderedPageBreak/>
        <w:t xml:space="preserve">noteiktajam piešķirtā finansējuma ietvaros prioritāri ir jānodrošina veselības aprūpes pakalpojumu pieejamība Latvijas Republikā, jo īpaši bērniem līdz 18 gadu vecumam, grūtniecēm, onkoloģijas pacientiem, kā arī pacientiem, kuriem nepieciešama hemodialīze un </w:t>
      </w:r>
      <w:proofErr w:type="spellStart"/>
      <w:r w:rsidRPr="003674CF">
        <w:rPr>
          <w:rFonts w:ascii="Times New Roman" w:hAnsi="Times New Roman" w:cs="Times New Roman"/>
          <w:sz w:val="24"/>
          <w:szCs w:val="24"/>
        </w:rPr>
        <w:t>hemofiltrācija</w:t>
      </w:r>
      <w:proofErr w:type="spellEnd"/>
      <w:r w:rsidRPr="003674CF">
        <w:rPr>
          <w:rFonts w:ascii="Times New Roman" w:hAnsi="Times New Roman" w:cs="Times New Roman"/>
          <w:sz w:val="24"/>
          <w:szCs w:val="24"/>
        </w:rPr>
        <w:t xml:space="preserve">, u.c. Līdz ar to 2016. gadā līdzekļi prioritāri novirzīti ārstniecības iestādēm ambulatoro un stacionāro pakalpojumu nodrošināšanai, tādēļ ir izveidojusies situācija, ka budžeta apakšprogrammā 33.01.00 “Ārstniecība” nav pietiekoši līdzekļu novirzīšanai norēķiniem par citās </w:t>
      </w:r>
      <w:r>
        <w:rPr>
          <w:rFonts w:ascii="Times New Roman" w:hAnsi="Times New Roman" w:cs="Times New Roman"/>
          <w:sz w:val="24"/>
          <w:szCs w:val="24"/>
        </w:rPr>
        <w:t>dalībvalst</w:t>
      </w:r>
      <w:r w:rsidRPr="003674CF">
        <w:rPr>
          <w:rFonts w:ascii="Times New Roman" w:hAnsi="Times New Roman" w:cs="Times New Roman"/>
          <w:sz w:val="24"/>
          <w:szCs w:val="24"/>
        </w:rPr>
        <w:t xml:space="preserve">īs Latvijas iedzīvotājiem sniegtajiem veselības aprūpes pakalpojumiem. 33.01.00 apakšprogrammas finansējuma ietvaros 2016.gadā šim mērķim iespējams novirzīt tikai 784 854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Pēc 9 mēnešu izpildes neizlietotais finansējums ir   163 909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w:t>
      </w:r>
    </w:p>
    <w:p w:rsidR="003674CF" w:rsidRPr="003674CF" w:rsidRDefault="003674CF" w:rsidP="003674CF">
      <w:pPr>
        <w:ind w:left="147" w:firstLine="420"/>
        <w:jc w:val="both"/>
        <w:rPr>
          <w:rFonts w:ascii="Times New Roman" w:hAnsi="Times New Roman" w:cs="Times New Roman"/>
          <w:sz w:val="24"/>
          <w:szCs w:val="24"/>
        </w:rPr>
      </w:pPr>
      <w:r w:rsidRPr="003674CF">
        <w:rPr>
          <w:rFonts w:ascii="Times New Roman" w:hAnsi="Times New Roman" w:cs="Times New Roman"/>
          <w:sz w:val="24"/>
          <w:szCs w:val="24"/>
        </w:rPr>
        <w:t xml:space="preserve"> Lai nodrošinātu  no citām</w:t>
      </w:r>
      <w:r>
        <w:rPr>
          <w:rFonts w:ascii="Times New Roman" w:hAnsi="Times New Roman" w:cs="Times New Roman"/>
          <w:sz w:val="24"/>
          <w:szCs w:val="24"/>
        </w:rPr>
        <w:t xml:space="preserve"> d</w:t>
      </w:r>
      <w:r w:rsidRPr="003674CF">
        <w:rPr>
          <w:rFonts w:ascii="Times New Roman" w:hAnsi="Times New Roman" w:cs="Times New Roman"/>
          <w:sz w:val="24"/>
          <w:szCs w:val="24"/>
        </w:rPr>
        <w:t xml:space="preserve">alībvalstīm saņemto rēķinu, kuru samaksas termiņš iestājas 2016. gadā, apmaksu (skatīt </w:t>
      </w:r>
      <w:r>
        <w:rPr>
          <w:rFonts w:ascii="Times New Roman" w:hAnsi="Times New Roman" w:cs="Times New Roman"/>
          <w:sz w:val="24"/>
          <w:szCs w:val="24"/>
        </w:rPr>
        <w:t>2</w:t>
      </w:r>
      <w:r w:rsidRPr="003674CF">
        <w:rPr>
          <w:rFonts w:ascii="Times New Roman" w:hAnsi="Times New Roman" w:cs="Times New Roman"/>
          <w:sz w:val="24"/>
          <w:szCs w:val="24"/>
        </w:rPr>
        <w:t xml:space="preserve">.pielikumu), NVD 2016. gadā papildus ir nepieciešami līdzekļi </w:t>
      </w:r>
      <w:r w:rsidRPr="003674CF">
        <w:rPr>
          <w:rFonts w:ascii="Times New Roman" w:hAnsi="Times New Roman" w:cs="Times New Roman"/>
          <w:b/>
          <w:bCs/>
          <w:sz w:val="24"/>
          <w:szCs w:val="24"/>
        </w:rPr>
        <w:t xml:space="preserve">3 484 392 </w:t>
      </w:r>
      <w:proofErr w:type="spellStart"/>
      <w:r w:rsidRPr="003674CF">
        <w:rPr>
          <w:rFonts w:ascii="Times New Roman" w:hAnsi="Times New Roman" w:cs="Times New Roman"/>
          <w:b/>
          <w:i/>
          <w:sz w:val="24"/>
          <w:szCs w:val="24"/>
        </w:rPr>
        <w:t>euro</w:t>
      </w:r>
      <w:proofErr w:type="spellEnd"/>
      <w:r w:rsidRPr="003674CF">
        <w:rPr>
          <w:rFonts w:ascii="Times New Roman" w:hAnsi="Times New Roman" w:cs="Times New Roman"/>
          <w:sz w:val="24"/>
          <w:szCs w:val="24"/>
        </w:rPr>
        <w:t xml:space="preserve"> (3 648 301.39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 163 909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apmērā. </w:t>
      </w:r>
    </w:p>
    <w:p w:rsidR="003674CF" w:rsidRPr="003674CF" w:rsidRDefault="003674CF" w:rsidP="003674CF">
      <w:pPr>
        <w:ind w:firstLine="101"/>
        <w:jc w:val="both"/>
        <w:rPr>
          <w:rFonts w:ascii="Times New Roman" w:hAnsi="Times New Roman" w:cs="Times New Roman"/>
          <w:sz w:val="24"/>
          <w:szCs w:val="24"/>
        </w:rPr>
      </w:pPr>
    </w:p>
    <w:p w:rsidR="003674CF" w:rsidRPr="003674CF" w:rsidRDefault="003674CF" w:rsidP="003674CF">
      <w:pPr>
        <w:ind w:firstLine="101"/>
        <w:jc w:val="center"/>
        <w:rPr>
          <w:rFonts w:ascii="Times New Roman" w:hAnsi="Times New Roman" w:cs="Times New Roman"/>
          <w:b/>
          <w:sz w:val="24"/>
          <w:szCs w:val="24"/>
        </w:rPr>
      </w:pPr>
      <w:r w:rsidRPr="003674CF">
        <w:rPr>
          <w:rFonts w:ascii="Times New Roman" w:hAnsi="Times New Roman" w:cs="Times New Roman"/>
          <w:b/>
          <w:sz w:val="24"/>
          <w:szCs w:val="24"/>
        </w:rPr>
        <w:t>Izdevumu atlīdzināšana fiziskām personām par ES sociālā nodrošinājuma sistēmu  ietvaros saņemtajiem veselības aprūpes pakalpojumiem</w:t>
      </w:r>
    </w:p>
    <w:p w:rsidR="003674CF" w:rsidRPr="003674CF" w:rsidRDefault="003674CF" w:rsidP="003674CF">
      <w:pPr>
        <w:spacing w:after="0"/>
        <w:ind w:firstLine="102"/>
        <w:jc w:val="center"/>
        <w:rPr>
          <w:rFonts w:ascii="Times New Roman" w:hAnsi="Times New Roman" w:cs="Times New Roman"/>
          <w:b/>
          <w:i/>
        </w:rPr>
      </w:pPr>
    </w:p>
    <w:p w:rsidR="003674CF" w:rsidRPr="003674CF" w:rsidRDefault="003674CF" w:rsidP="003674CF">
      <w:pPr>
        <w:ind w:firstLine="426"/>
        <w:jc w:val="both"/>
        <w:rPr>
          <w:rFonts w:ascii="Times New Roman" w:hAnsi="Times New Roman" w:cs="Times New Roman"/>
          <w:sz w:val="24"/>
          <w:szCs w:val="24"/>
        </w:rPr>
      </w:pPr>
      <w:r w:rsidRPr="003674CF">
        <w:rPr>
          <w:rFonts w:ascii="Times New Roman" w:hAnsi="Times New Roman" w:cs="Times New Roman"/>
          <w:sz w:val="24"/>
          <w:szCs w:val="24"/>
        </w:rPr>
        <w:t>ES tiesiskais regulējums sociālā nodrošinājuma sistēmu koordinācijai paredz arī personu tiesības uz izdevumu atlīdzināšanu gadījumos, kad persona ir apmaksājusi veselības aprūpes pakalpojumus no personīgajiem finanšu līdzekļiem. Minētās tiesības ir attiecināmas uz šādām situācijām:</w:t>
      </w:r>
    </w:p>
    <w:p w:rsidR="003674CF" w:rsidRPr="003674CF" w:rsidRDefault="003674CF" w:rsidP="003674CF">
      <w:pPr>
        <w:numPr>
          <w:ilvl w:val="0"/>
          <w:numId w:val="46"/>
        </w:numPr>
        <w:spacing w:after="0"/>
        <w:ind w:left="385" w:hanging="142"/>
        <w:contextualSpacing/>
        <w:jc w:val="both"/>
        <w:rPr>
          <w:rFonts w:ascii="Times New Roman" w:hAnsi="Times New Roman" w:cs="Times New Roman"/>
          <w:sz w:val="24"/>
          <w:szCs w:val="24"/>
        </w:rPr>
      </w:pPr>
      <w:r w:rsidRPr="003674CF">
        <w:rPr>
          <w:rFonts w:ascii="Times New Roman" w:hAnsi="Times New Roman" w:cs="Times New Roman"/>
          <w:sz w:val="24"/>
          <w:szCs w:val="24"/>
        </w:rPr>
        <w:t>par nepieciešamo un neatliekamo veselības aprūpi</w:t>
      </w:r>
      <w:r w:rsidRPr="003674CF">
        <w:rPr>
          <w:rFonts w:ascii="Times New Roman" w:hAnsi="Times New Roman" w:cs="Times New Roman"/>
          <w:sz w:val="24"/>
          <w:szCs w:val="24"/>
          <w:vertAlign w:val="superscript"/>
        </w:rPr>
        <w:footnoteReference w:id="4"/>
      </w:r>
      <w:r w:rsidRPr="003674CF">
        <w:rPr>
          <w:rFonts w:ascii="Times New Roman" w:hAnsi="Times New Roman" w:cs="Times New Roman"/>
          <w:sz w:val="24"/>
          <w:szCs w:val="24"/>
        </w:rPr>
        <w:t>;</w:t>
      </w:r>
    </w:p>
    <w:p w:rsidR="003674CF" w:rsidRPr="003674CF" w:rsidRDefault="003674CF" w:rsidP="003674CF">
      <w:pPr>
        <w:numPr>
          <w:ilvl w:val="0"/>
          <w:numId w:val="46"/>
        </w:numPr>
        <w:spacing w:after="0"/>
        <w:ind w:left="385" w:hanging="142"/>
        <w:contextualSpacing/>
        <w:jc w:val="both"/>
        <w:rPr>
          <w:rFonts w:ascii="Times New Roman" w:hAnsi="Times New Roman" w:cs="Times New Roman"/>
          <w:sz w:val="24"/>
          <w:szCs w:val="24"/>
        </w:rPr>
      </w:pPr>
      <w:r w:rsidRPr="003674CF">
        <w:rPr>
          <w:rFonts w:ascii="Times New Roman" w:hAnsi="Times New Roman" w:cs="Times New Roman"/>
          <w:sz w:val="24"/>
          <w:szCs w:val="24"/>
        </w:rPr>
        <w:t>par plānveida veselības aprūpi, kurai izsniegta iepriekšēja atļauja (sakarā ar to, ka personai nepieciešamos veselības aprūpes pakalpojumus nav iespējams nodrošināt Latvijas ārstniecības iestādēs), bet minētā atļauja nav tikusi izmantota veselības aprūpes pakalpojumu saņemšanai.</w:t>
      </w:r>
    </w:p>
    <w:p w:rsidR="003674CF" w:rsidRPr="003674CF" w:rsidRDefault="003674CF" w:rsidP="003674CF">
      <w:pPr>
        <w:ind w:left="101" w:right="174" w:firstLine="142"/>
        <w:jc w:val="both"/>
        <w:rPr>
          <w:rFonts w:ascii="Times New Roman" w:hAnsi="Times New Roman" w:cs="Times New Roman"/>
          <w:sz w:val="24"/>
          <w:szCs w:val="24"/>
        </w:rPr>
      </w:pPr>
      <w:r w:rsidRPr="003674CF">
        <w:rPr>
          <w:rFonts w:ascii="Times New Roman" w:hAnsi="Times New Roman" w:cs="Times New Roman"/>
          <w:sz w:val="24"/>
          <w:szCs w:val="24"/>
        </w:rPr>
        <w:t xml:space="preserve">Šādos gadījumos personai tiek veikta izdevumu atlīdzināšana, pamatojoties uz veselības </w:t>
      </w:r>
      <w:r>
        <w:rPr>
          <w:rFonts w:ascii="Times New Roman" w:hAnsi="Times New Roman" w:cs="Times New Roman"/>
          <w:sz w:val="24"/>
          <w:szCs w:val="24"/>
        </w:rPr>
        <w:t>aprūpes tarifiem, kas ir spēkā d</w:t>
      </w:r>
      <w:r w:rsidRPr="003674CF">
        <w:rPr>
          <w:rFonts w:ascii="Times New Roman" w:hAnsi="Times New Roman" w:cs="Times New Roman"/>
          <w:sz w:val="24"/>
          <w:szCs w:val="24"/>
        </w:rPr>
        <w:t>alībvalstī</w:t>
      </w:r>
      <w:r w:rsidR="00EF0201" w:rsidRPr="00EF0201">
        <w:rPr>
          <w:rFonts w:ascii="Times New Roman" w:hAnsi="Times New Roman" w:cs="Times New Roman"/>
          <w:sz w:val="24"/>
          <w:szCs w:val="24"/>
        </w:rPr>
        <w:t>,</w:t>
      </w:r>
      <w:r w:rsidRPr="003674CF">
        <w:rPr>
          <w:rFonts w:ascii="Times New Roman" w:hAnsi="Times New Roman" w:cs="Times New Roman"/>
          <w:b/>
          <w:sz w:val="24"/>
          <w:szCs w:val="24"/>
        </w:rPr>
        <w:t xml:space="preserve"> </w:t>
      </w:r>
      <w:r w:rsidRPr="003674CF">
        <w:rPr>
          <w:rFonts w:ascii="Times New Roman" w:hAnsi="Times New Roman" w:cs="Times New Roman"/>
          <w:sz w:val="24"/>
          <w:szCs w:val="24"/>
        </w:rPr>
        <w:t xml:space="preserve">kur veselības aprūpes pakalpojumi ir tikuši saņemti. </w:t>
      </w:r>
    </w:p>
    <w:p w:rsidR="003674CF" w:rsidRPr="003674CF" w:rsidRDefault="003674CF" w:rsidP="003674CF">
      <w:pPr>
        <w:ind w:left="101" w:right="174" w:firstLine="142"/>
        <w:jc w:val="both"/>
        <w:rPr>
          <w:rFonts w:ascii="Times New Roman" w:hAnsi="Times New Roman" w:cs="Times New Roman"/>
          <w:sz w:val="24"/>
          <w:szCs w:val="24"/>
        </w:rPr>
      </w:pPr>
      <w:r w:rsidRPr="003674CF">
        <w:rPr>
          <w:rFonts w:ascii="Times New Roman" w:hAnsi="Times New Roman" w:cs="Times New Roman"/>
          <w:sz w:val="24"/>
          <w:szCs w:val="24"/>
        </w:rPr>
        <w:t xml:space="preserve">Veicinot pārrobežu veselības aprūpes pieejamību ES līmenī, iepriekš minētās tiesības uz veselības aprūpes izmaksu atlīdzināšanu ir tikušas paplašinātas. Līdztekus ES tiesību aktiem sociālā nodrošinājuma koordinēšanai tika pieņemts jauns tiesību akts – direktīva par pacientu tiesību piemērošanu pārrobežu veselības aprūpē </w:t>
      </w:r>
      <w:r w:rsidRPr="003674CF">
        <w:rPr>
          <w:rFonts w:ascii="Times New Roman" w:hAnsi="Times New Roman" w:cs="Times New Roman"/>
          <w:sz w:val="24"/>
          <w:szCs w:val="24"/>
          <w:vertAlign w:val="superscript"/>
        </w:rPr>
        <w:footnoteReference w:id="5"/>
      </w:r>
      <w:r w:rsidRPr="003674CF">
        <w:rPr>
          <w:rFonts w:ascii="Times New Roman" w:hAnsi="Times New Roman" w:cs="Times New Roman"/>
          <w:sz w:val="24"/>
          <w:szCs w:val="24"/>
        </w:rPr>
        <w:t xml:space="preserve">, kuru Latvija pārņēma valsts </w:t>
      </w:r>
      <w:r w:rsidRPr="003674CF">
        <w:rPr>
          <w:rFonts w:ascii="Times New Roman" w:hAnsi="Times New Roman" w:cs="Times New Roman"/>
          <w:sz w:val="24"/>
          <w:szCs w:val="24"/>
        </w:rPr>
        <w:lastRenderedPageBreak/>
        <w:t xml:space="preserve">tiesību aktos līdz 2013. gada 25. oktobrim. Tādejādi, no 2013. gada 25. oktobra pacienti ir ieguvuši tiesības saņemt izdevumu atlīdzību par veselības aprūpes pakalpojumiem (tajā skaitā, iegādātajiem medikamentiem): </w:t>
      </w:r>
    </w:p>
    <w:p w:rsidR="003674CF" w:rsidRPr="003674CF" w:rsidRDefault="003674CF" w:rsidP="003674CF">
      <w:pPr>
        <w:numPr>
          <w:ilvl w:val="0"/>
          <w:numId w:val="47"/>
        </w:numPr>
        <w:spacing w:after="0"/>
        <w:ind w:left="101" w:right="174" w:firstLine="142"/>
        <w:contextualSpacing/>
        <w:jc w:val="both"/>
        <w:rPr>
          <w:rFonts w:ascii="Times New Roman" w:hAnsi="Times New Roman" w:cs="Times New Roman"/>
          <w:sz w:val="24"/>
          <w:szCs w:val="24"/>
        </w:rPr>
      </w:pPr>
      <w:r>
        <w:rPr>
          <w:rFonts w:ascii="Times New Roman" w:hAnsi="Times New Roman" w:cs="Times New Roman"/>
          <w:sz w:val="24"/>
          <w:szCs w:val="24"/>
        </w:rPr>
        <w:t>kas saņemti ārpus citas d</w:t>
      </w:r>
      <w:r w:rsidRPr="003674CF">
        <w:rPr>
          <w:rFonts w:ascii="Times New Roman" w:hAnsi="Times New Roman" w:cs="Times New Roman"/>
          <w:sz w:val="24"/>
          <w:szCs w:val="24"/>
        </w:rPr>
        <w:t>alībvalsts publiskās veselības aprūpes sistēmas;</w:t>
      </w:r>
    </w:p>
    <w:p w:rsidR="003674CF" w:rsidRPr="003674CF" w:rsidRDefault="003674CF" w:rsidP="003674CF">
      <w:pPr>
        <w:numPr>
          <w:ilvl w:val="0"/>
          <w:numId w:val="47"/>
        </w:numPr>
        <w:spacing w:after="0"/>
        <w:ind w:left="101" w:right="174" w:firstLine="142"/>
        <w:contextualSpacing/>
        <w:jc w:val="both"/>
        <w:rPr>
          <w:rFonts w:ascii="Times New Roman" w:hAnsi="Times New Roman" w:cs="Times New Roman"/>
          <w:sz w:val="24"/>
          <w:szCs w:val="24"/>
        </w:rPr>
      </w:pPr>
      <w:r w:rsidRPr="003674CF">
        <w:rPr>
          <w:rFonts w:ascii="Times New Roman" w:hAnsi="Times New Roman" w:cs="Times New Roman"/>
          <w:sz w:val="24"/>
          <w:szCs w:val="24"/>
        </w:rPr>
        <w:t xml:space="preserve">kuru saņemšanai persona mērķtiecīgi devusies uz citu </w:t>
      </w:r>
      <w:r>
        <w:rPr>
          <w:rFonts w:ascii="Times New Roman" w:hAnsi="Times New Roman" w:cs="Times New Roman"/>
          <w:sz w:val="24"/>
          <w:szCs w:val="24"/>
        </w:rPr>
        <w:t>dalībvalst</w:t>
      </w:r>
      <w:r w:rsidRPr="003674CF">
        <w:rPr>
          <w:rFonts w:ascii="Times New Roman" w:hAnsi="Times New Roman" w:cs="Times New Roman"/>
          <w:sz w:val="24"/>
          <w:szCs w:val="24"/>
        </w:rPr>
        <w:t>i (persona ir devusies ar mērķi saņemt veselības aprūpes pakalpojumus).</w:t>
      </w:r>
    </w:p>
    <w:p w:rsidR="003674CF" w:rsidRPr="003674CF" w:rsidRDefault="003674CF" w:rsidP="003674CF">
      <w:pPr>
        <w:ind w:left="101" w:right="174" w:firstLine="142"/>
        <w:jc w:val="both"/>
        <w:rPr>
          <w:rFonts w:ascii="Times New Roman" w:hAnsi="Times New Roman" w:cs="Times New Roman"/>
          <w:sz w:val="24"/>
          <w:szCs w:val="24"/>
        </w:rPr>
      </w:pPr>
      <w:r w:rsidRPr="003674CF">
        <w:rPr>
          <w:rFonts w:ascii="Times New Roman" w:hAnsi="Times New Roman" w:cs="Times New Roman"/>
          <w:sz w:val="24"/>
          <w:szCs w:val="24"/>
        </w:rPr>
        <w:t>Šādos gadījumos personai tiek veikta izdevumu atlīdzināšana, pamatojoties uz veselības aprūpes tarifiem, kas ir spēkā Latvijā un atlīdzinājuma summa nepārsniegs ārstēšanās izmaksas, kādas tās ir Latvijā.</w:t>
      </w:r>
    </w:p>
    <w:p w:rsidR="003674CF" w:rsidRPr="003674CF" w:rsidRDefault="003674CF" w:rsidP="003674CF">
      <w:pPr>
        <w:ind w:left="101" w:right="174" w:firstLine="142"/>
        <w:jc w:val="both"/>
        <w:rPr>
          <w:rFonts w:ascii="Times New Roman" w:hAnsi="Times New Roman" w:cs="Times New Roman"/>
          <w:sz w:val="24"/>
          <w:szCs w:val="24"/>
        </w:rPr>
      </w:pPr>
      <w:r w:rsidRPr="003674CF">
        <w:rPr>
          <w:rFonts w:ascii="Times New Roman" w:hAnsi="Times New Roman" w:cs="Times New Roman"/>
          <w:sz w:val="24"/>
          <w:szCs w:val="24"/>
        </w:rPr>
        <w:t xml:space="preserve">NVD 2014. gadā izskatīja 121 administratīvo lietu, kuru kopējā atlīdzināmā summa bija 79 272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bet 2015.gadā – 150 administratīvo lietu un kopējā atlīdzināmā summa bija 56 653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w:t>
      </w:r>
    </w:p>
    <w:p w:rsidR="003674CF" w:rsidRDefault="003674CF" w:rsidP="003674CF">
      <w:pPr>
        <w:ind w:left="101" w:right="174" w:firstLine="142"/>
        <w:jc w:val="both"/>
        <w:rPr>
          <w:rFonts w:ascii="Times New Roman" w:hAnsi="Times New Roman" w:cs="Times New Roman"/>
          <w:sz w:val="24"/>
          <w:szCs w:val="24"/>
        </w:rPr>
      </w:pPr>
      <w:r w:rsidRPr="003674CF">
        <w:rPr>
          <w:rFonts w:ascii="Times New Roman" w:hAnsi="Times New Roman" w:cs="Times New Roman"/>
          <w:b/>
          <w:sz w:val="24"/>
          <w:szCs w:val="24"/>
        </w:rPr>
        <w:t>Prognoze 2016.gadam</w:t>
      </w:r>
      <w:r w:rsidRPr="003674CF">
        <w:rPr>
          <w:rFonts w:ascii="Times New Roman" w:hAnsi="Times New Roman" w:cs="Times New Roman"/>
          <w:sz w:val="24"/>
          <w:szCs w:val="24"/>
        </w:rPr>
        <w:t xml:space="preserve"> – neatkarīgi no tā, ka ir vērojama pieaugoša tendence veselības aprūpes pakalpojumu izmantošanā ES sociālā nodrošinājuma sistēmu ietvaros, kā arī to, ka ar Direktīvas par pacientu tiesību piemērošanu veselības aprūpē pārņemšanu Latvijas tiesību aktos ir noteiktas jaunas tiesības uz pārrobežu veselības aprūpi, kuras personas izmanto arvien aktīvāk, paredzams, ka izdevumu atmaksa fiziskām personām saglabāsies 2015.gada līmenī </w:t>
      </w:r>
      <w:r w:rsidRPr="003674CF">
        <w:rPr>
          <w:rFonts w:ascii="Times New Roman" w:hAnsi="Times New Roman" w:cs="Times New Roman"/>
          <w:b/>
          <w:sz w:val="24"/>
          <w:szCs w:val="24"/>
        </w:rPr>
        <w:t xml:space="preserve">57 000 </w:t>
      </w:r>
      <w:proofErr w:type="spellStart"/>
      <w:r w:rsidRPr="003674CF">
        <w:rPr>
          <w:rFonts w:ascii="Times New Roman" w:hAnsi="Times New Roman" w:cs="Times New Roman"/>
          <w:b/>
          <w:i/>
          <w:sz w:val="24"/>
          <w:szCs w:val="24"/>
        </w:rPr>
        <w:t>euro</w:t>
      </w:r>
      <w:proofErr w:type="spellEnd"/>
      <w:r w:rsidRPr="003674CF">
        <w:rPr>
          <w:rFonts w:ascii="Times New Roman" w:hAnsi="Times New Roman" w:cs="Times New Roman"/>
          <w:b/>
          <w:sz w:val="24"/>
          <w:szCs w:val="24"/>
        </w:rPr>
        <w:t>.</w:t>
      </w:r>
      <w:r w:rsidRPr="003674CF">
        <w:rPr>
          <w:rFonts w:ascii="Times New Roman" w:hAnsi="Times New Roman" w:cs="Times New Roman"/>
          <w:sz w:val="24"/>
          <w:szCs w:val="24"/>
        </w:rPr>
        <w:t xml:space="preserve"> </w:t>
      </w:r>
    </w:p>
    <w:p w:rsidR="00931D7A" w:rsidRPr="003674CF" w:rsidRDefault="00931D7A" w:rsidP="003674CF">
      <w:pPr>
        <w:ind w:left="101" w:right="174" w:firstLine="142"/>
        <w:jc w:val="both"/>
        <w:rPr>
          <w:rFonts w:ascii="Times New Roman" w:hAnsi="Times New Roman" w:cs="Times New Roman"/>
          <w:sz w:val="24"/>
          <w:szCs w:val="24"/>
        </w:rPr>
      </w:pPr>
    </w:p>
    <w:p w:rsidR="003674CF" w:rsidRPr="003674CF" w:rsidRDefault="003674CF" w:rsidP="003674CF">
      <w:pPr>
        <w:ind w:left="101" w:right="174" w:firstLine="142"/>
        <w:jc w:val="center"/>
        <w:rPr>
          <w:rFonts w:ascii="Times New Roman" w:hAnsi="Times New Roman" w:cs="Times New Roman"/>
          <w:b/>
          <w:sz w:val="24"/>
          <w:szCs w:val="24"/>
        </w:rPr>
      </w:pPr>
      <w:r w:rsidRPr="003674CF">
        <w:rPr>
          <w:rFonts w:ascii="Times New Roman" w:hAnsi="Times New Roman" w:cs="Times New Roman"/>
          <w:b/>
          <w:sz w:val="24"/>
          <w:szCs w:val="24"/>
        </w:rPr>
        <w:t>Pi</w:t>
      </w:r>
      <w:r>
        <w:rPr>
          <w:rFonts w:ascii="Times New Roman" w:hAnsi="Times New Roman" w:cs="Times New Roman"/>
          <w:b/>
          <w:sz w:val="24"/>
          <w:szCs w:val="24"/>
        </w:rPr>
        <w:t>eprasījums atlīdzībai par citu d</w:t>
      </w:r>
      <w:r w:rsidRPr="003674CF">
        <w:rPr>
          <w:rFonts w:ascii="Times New Roman" w:hAnsi="Times New Roman" w:cs="Times New Roman"/>
          <w:b/>
          <w:sz w:val="24"/>
          <w:szCs w:val="24"/>
        </w:rPr>
        <w:t>alībvalstu iedzīvotājiem ES sociālā nodrošinājuma sistēmu  ietvaros sniegtajiem veselības aprūpes pakalpojumiem Latvijas Republikā</w:t>
      </w:r>
    </w:p>
    <w:p w:rsidR="003674CF" w:rsidRDefault="003674CF" w:rsidP="003674CF">
      <w:pPr>
        <w:spacing w:after="0"/>
        <w:ind w:left="102" w:right="176" w:firstLine="142"/>
        <w:jc w:val="center"/>
        <w:rPr>
          <w:b/>
          <w:i/>
        </w:rPr>
      </w:pPr>
    </w:p>
    <w:p w:rsidR="00BC1519" w:rsidRDefault="003674CF" w:rsidP="00931D7A">
      <w:pPr>
        <w:ind w:left="101" w:right="174" w:firstLine="619"/>
        <w:jc w:val="both"/>
        <w:rPr>
          <w:rFonts w:ascii="Times New Roman" w:hAnsi="Times New Roman" w:cs="Times New Roman"/>
          <w:color w:val="FF0000"/>
          <w:sz w:val="24"/>
          <w:szCs w:val="24"/>
        </w:rPr>
      </w:pPr>
      <w:r>
        <w:rPr>
          <w:rFonts w:ascii="Times New Roman" w:hAnsi="Times New Roman" w:cs="Times New Roman"/>
          <w:sz w:val="24"/>
          <w:szCs w:val="24"/>
        </w:rPr>
        <w:t>Katrai d</w:t>
      </w:r>
      <w:r w:rsidRPr="003674CF">
        <w:rPr>
          <w:rFonts w:ascii="Times New Roman" w:hAnsi="Times New Roman" w:cs="Times New Roman"/>
          <w:sz w:val="24"/>
          <w:szCs w:val="24"/>
        </w:rPr>
        <w:t>alībvalstij ir pienākums norēķināties par tās sociāl</w:t>
      </w:r>
      <w:r>
        <w:rPr>
          <w:rFonts w:ascii="Times New Roman" w:hAnsi="Times New Roman" w:cs="Times New Roman"/>
          <w:sz w:val="24"/>
          <w:szCs w:val="24"/>
        </w:rPr>
        <w:t>i apdrošinātajām personām citā d</w:t>
      </w:r>
      <w:r w:rsidRPr="003674CF">
        <w:rPr>
          <w:rFonts w:ascii="Times New Roman" w:hAnsi="Times New Roman" w:cs="Times New Roman"/>
          <w:sz w:val="24"/>
          <w:szCs w:val="24"/>
        </w:rPr>
        <w:t>alībvalstī sniegtajiem veselības aprūpes pakalpojumiem, ja tie snieg</w:t>
      </w:r>
      <w:r>
        <w:rPr>
          <w:rFonts w:ascii="Times New Roman" w:hAnsi="Times New Roman" w:cs="Times New Roman"/>
          <w:sz w:val="24"/>
          <w:szCs w:val="24"/>
        </w:rPr>
        <w:t>ti, pamatojoties uz attiecīgās d</w:t>
      </w:r>
      <w:r w:rsidRPr="003674CF">
        <w:rPr>
          <w:rFonts w:ascii="Times New Roman" w:hAnsi="Times New Roman" w:cs="Times New Roman"/>
          <w:sz w:val="24"/>
          <w:szCs w:val="24"/>
        </w:rPr>
        <w:t>alībvalsts kompetentās iestādes izdotiem dokumentiem. NVD</w:t>
      </w:r>
      <w:r w:rsidR="005D3A42">
        <w:rPr>
          <w:rFonts w:ascii="Times New Roman" w:hAnsi="Times New Roman" w:cs="Times New Roman"/>
          <w:sz w:val="24"/>
          <w:szCs w:val="24"/>
        </w:rPr>
        <w:t>,</w:t>
      </w:r>
      <w:r w:rsidRPr="003674CF">
        <w:rPr>
          <w:rFonts w:ascii="Times New Roman" w:hAnsi="Times New Roman" w:cs="Times New Roman"/>
          <w:sz w:val="24"/>
          <w:szCs w:val="24"/>
        </w:rPr>
        <w:t xml:space="preserve"> veicot kompetentās iestādes uzdevumus veselības aprūpes jomā, ir sagatavojis rēķinus par veselības aprūpes pakalpoju</w:t>
      </w:r>
      <w:r>
        <w:rPr>
          <w:rFonts w:ascii="Times New Roman" w:hAnsi="Times New Roman" w:cs="Times New Roman"/>
          <w:sz w:val="24"/>
          <w:szCs w:val="24"/>
        </w:rPr>
        <w:t>miem, kas sniegti Latvijā citu d</w:t>
      </w:r>
      <w:r w:rsidRPr="003674CF">
        <w:rPr>
          <w:rFonts w:ascii="Times New Roman" w:hAnsi="Times New Roman" w:cs="Times New Roman"/>
          <w:sz w:val="24"/>
          <w:szCs w:val="24"/>
        </w:rPr>
        <w:t xml:space="preserve">alībvalstu sociālajai apdrošināšanai pakļautām </w:t>
      </w:r>
      <w:r>
        <w:rPr>
          <w:rFonts w:ascii="Times New Roman" w:hAnsi="Times New Roman" w:cs="Times New Roman"/>
          <w:sz w:val="24"/>
          <w:szCs w:val="24"/>
        </w:rPr>
        <w:t>personām, pamatojoties uz citu d</w:t>
      </w:r>
      <w:r w:rsidRPr="003674CF">
        <w:rPr>
          <w:rFonts w:ascii="Times New Roman" w:hAnsi="Times New Roman" w:cs="Times New Roman"/>
          <w:sz w:val="24"/>
          <w:szCs w:val="24"/>
        </w:rPr>
        <w:t xml:space="preserve">alībvalstu kompetento iestāžu izdotajiem dokumentiem </w:t>
      </w:r>
      <w:r w:rsidR="00BC1519">
        <w:rPr>
          <w:rFonts w:ascii="Times New Roman" w:hAnsi="Times New Roman" w:cs="Times New Roman"/>
          <w:sz w:val="24"/>
          <w:szCs w:val="24"/>
        </w:rPr>
        <w:t>(skat. 9</w:t>
      </w:r>
      <w:r w:rsidRPr="003674CF">
        <w:rPr>
          <w:rFonts w:ascii="Times New Roman" w:hAnsi="Times New Roman" w:cs="Times New Roman"/>
          <w:sz w:val="24"/>
          <w:szCs w:val="24"/>
        </w:rPr>
        <w:t xml:space="preserve">.tabulu). Laika posmā no 2006. gada līdz 2015. </w:t>
      </w:r>
      <w:r>
        <w:rPr>
          <w:rFonts w:ascii="Times New Roman" w:hAnsi="Times New Roman" w:cs="Times New Roman"/>
          <w:sz w:val="24"/>
          <w:szCs w:val="24"/>
        </w:rPr>
        <w:t>gadam citām d</w:t>
      </w:r>
      <w:r w:rsidRPr="003674CF">
        <w:rPr>
          <w:rFonts w:ascii="Times New Roman" w:hAnsi="Times New Roman" w:cs="Times New Roman"/>
          <w:sz w:val="24"/>
          <w:szCs w:val="24"/>
        </w:rPr>
        <w:t xml:space="preserve">alībvalstīm nosūtīto rēķinu maksimālais apjoms gadā ir bijis 180 339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w:t>
      </w:r>
      <w:r w:rsidRPr="003674CF">
        <w:rPr>
          <w:rFonts w:ascii="Times New Roman" w:hAnsi="Times New Roman" w:cs="Times New Roman"/>
          <w:color w:val="FF0000"/>
          <w:sz w:val="24"/>
          <w:szCs w:val="24"/>
        </w:rPr>
        <w:t xml:space="preserve"> </w:t>
      </w:r>
    </w:p>
    <w:p w:rsidR="00931D7A" w:rsidRDefault="00931D7A" w:rsidP="00931D7A">
      <w:pPr>
        <w:ind w:left="101" w:right="174" w:firstLine="619"/>
        <w:jc w:val="both"/>
        <w:rPr>
          <w:rFonts w:ascii="Times New Roman" w:hAnsi="Times New Roman" w:cs="Times New Roman"/>
          <w:color w:val="FF0000"/>
          <w:sz w:val="24"/>
          <w:szCs w:val="24"/>
        </w:rPr>
      </w:pPr>
    </w:p>
    <w:p w:rsidR="00931D7A" w:rsidRDefault="00931D7A" w:rsidP="00931D7A">
      <w:pPr>
        <w:ind w:left="101" w:right="174" w:firstLine="619"/>
        <w:jc w:val="both"/>
        <w:rPr>
          <w:rFonts w:ascii="Times New Roman" w:hAnsi="Times New Roman" w:cs="Times New Roman"/>
          <w:color w:val="FF0000"/>
          <w:sz w:val="24"/>
          <w:szCs w:val="24"/>
        </w:rPr>
      </w:pPr>
    </w:p>
    <w:p w:rsidR="00931D7A" w:rsidRDefault="00931D7A" w:rsidP="00931D7A">
      <w:pPr>
        <w:ind w:left="101" w:right="174" w:firstLine="619"/>
        <w:jc w:val="both"/>
        <w:rPr>
          <w:rFonts w:ascii="Times New Roman" w:hAnsi="Times New Roman" w:cs="Times New Roman"/>
          <w:color w:val="FF0000"/>
          <w:sz w:val="24"/>
          <w:szCs w:val="24"/>
        </w:rPr>
      </w:pPr>
    </w:p>
    <w:p w:rsidR="00931D7A" w:rsidRDefault="00931D7A" w:rsidP="00931D7A">
      <w:pPr>
        <w:ind w:left="101" w:right="174" w:firstLine="619"/>
        <w:jc w:val="both"/>
        <w:rPr>
          <w:rFonts w:ascii="Times New Roman" w:hAnsi="Times New Roman" w:cs="Times New Roman"/>
          <w:color w:val="FF0000"/>
          <w:sz w:val="24"/>
          <w:szCs w:val="24"/>
        </w:rPr>
      </w:pPr>
    </w:p>
    <w:p w:rsidR="00931D7A" w:rsidRDefault="00931D7A" w:rsidP="00931D7A">
      <w:pPr>
        <w:ind w:left="101" w:right="174" w:firstLine="619"/>
        <w:jc w:val="both"/>
        <w:rPr>
          <w:rFonts w:ascii="Times New Roman" w:hAnsi="Times New Roman" w:cs="Times New Roman"/>
          <w:color w:val="FF0000"/>
          <w:sz w:val="24"/>
          <w:szCs w:val="24"/>
        </w:rPr>
      </w:pPr>
    </w:p>
    <w:p w:rsidR="00931D7A" w:rsidRPr="003674CF" w:rsidRDefault="00931D7A" w:rsidP="00931D7A">
      <w:pPr>
        <w:ind w:left="101" w:right="174" w:firstLine="619"/>
        <w:jc w:val="both"/>
        <w:rPr>
          <w:rFonts w:ascii="Times New Roman" w:hAnsi="Times New Roman" w:cs="Times New Roman"/>
          <w:color w:val="FF0000"/>
          <w:sz w:val="24"/>
          <w:szCs w:val="24"/>
        </w:rPr>
      </w:pPr>
    </w:p>
    <w:p w:rsidR="003674CF" w:rsidRPr="00BC1519" w:rsidRDefault="00BC1519" w:rsidP="003674CF">
      <w:pPr>
        <w:tabs>
          <w:tab w:val="left" w:pos="7189"/>
        </w:tabs>
        <w:ind w:firstLine="7189"/>
        <w:jc w:val="right"/>
        <w:rPr>
          <w:rFonts w:ascii="Times New Roman" w:hAnsi="Times New Roman" w:cs="Times New Roman"/>
        </w:rPr>
      </w:pPr>
      <w:r w:rsidRPr="00BC1519">
        <w:rPr>
          <w:rFonts w:ascii="Times New Roman" w:hAnsi="Times New Roman" w:cs="Times New Roman"/>
        </w:rPr>
        <w:lastRenderedPageBreak/>
        <w:t>9</w:t>
      </w:r>
      <w:r w:rsidR="003674CF" w:rsidRPr="00BC1519">
        <w:rPr>
          <w:rFonts w:ascii="Times New Roman" w:hAnsi="Times New Roman" w:cs="Times New Roman"/>
        </w:rPr>
        <w:t>.tabula</w:t>
      </w:r>
    </w:p>
    <w:p w:rsidR="003674CF" w:rsidRPr="003674CF" w:rsidRDefault="003674CF" w:rsidP="003674CF">
      <w:pPr>
        <w:ind w:firstLine="101"/>
        <w:jc w:val="center"/>
        <w:rPr>
          <w:rFonts w:ascii="Times New Roman" w:hAnsi="Times New Roman" w:cs="Times New Roman"/>
          <w:sz w:val="24"/>
          <w:szCs w:val="24"/>
        </w:rPr>
      </w:pPr>
      <w:r w:rsidRPr="003674CF">
        <w:rPr>
          <w:rFonts w:ascii="Times New Roman" w:hAnsi="Times New Roman" w:cs="Times New Roman"/>
          <w:b/>
          <w:sz w:val="24"/>
          <w:szCs w:val="24"/>
        </w:rPr>
        <w:t xml:space="preserve">Citām </w:t>
      </w:r>
      <w:r>
        <w:rPr>
          <w:rFonts w:ascii="Times New Roman" w:hAnsi="Times New Roman" w:cs="Times New Roman"/>
          <w:b/>
          <w:sz w:val="24"/>
          <w:szCs w:val="24"/>
        </w:rPr>
        <w:t>dalībvalst</w:t>
      </w:r>
      <w:r w:rsidRPr="003674CF">
        <w:rPr>
          <w:rFonts w:ascii="Times New Roman" w:hAnsi="Times New Roman" w:cs="Times New Roman"/>
          <w:b/>
          <w:sz w:val="24"/>
          <w:szCs w:val="24"/>
        </w:rPr>
        <w:t>īm nosūtītie rēķini laika posmā 2006. – 2015.g</w:t>
      </w:r>
    </w:p>
    <w:tbl>
      <w:tblPr>
        <w:tblW w:w="5940" w:type="dxa"/>
        <w:jc w:val="center"/>
        <w:tblLayout w:type="fixed"/>
        <w:tblLook w:val="04A0"/>
      </w:tblPr>
      <w:tblGrid>
        <w:gridCol w:w="2309"/>
        <w:gridCol w:w="3631"/>
      </w:tblGrid>
      <w:tr w:rsidR="003674CF" w:rsidRPr="003674CF" w:rsidTr="00EB67E3">
        <w:trPr>
          <w:trHeight w:val="437"/>
          <w:jc w:val="center"/>
        </w:trPr>
        <w:tc>
          <w:tcPr>
            <w:tcW w:w="23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Gads</w:t>
            </w:r>
          </w:p>
        </w:tc>
        <w:tc>
          <w:tcPr>
            <w:tcW w:w="3630" w:type="dxa"/>
            <w:tcBorders>
              <w:top w:val="single" w:sz="4" w:space="0" w:color="auto"/>
              <w:left w:val="nil"/>
              <w:bottom w:val="single" w:sz="4" w:space="0" w:color="auto"/>
              <w:right w:val="single" w:sz="4" w:space="0" w:color="auto"/>
            </w:tcBorders>
            <w:shd w:val="clear" w:color="auto" w:fill="FDE9D9"/>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 xml:space="preserve">NVD sagatavotie rēķini, </w:t>
            </w:r>
            <w:proofErr w:type="spellStart"/>
            <w:r w:rsidRPr="003674CF">
              <w:rPr>
                <w:rFonts w:ascii="Times New Roman" w:hAnsi="Times New Roman" w:cs="Times New Roman"/>
                <w:i/>
              </w:rPr>
              <w:t>euro</w:t>
            </w:r>
            <w:proofErr w:type="spellEnd"/>
          </w:p>
        </w:tc>
      </w:tr>
      <w:tr w:rsidR="00BC1519" w:rsidRPr="00BC1519" w:rsidTr="00BC1519">
        <w:trPr>
          <w:trHeight w:val="345"/>
          <w:jc w:val="center"/>
        </w:trPr>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19" w:rsidRPr="00BC1519" w:rsidRDefault="00BC1519"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1</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rsidR="00BC1519" w:rsidRPr="00BC1519" w:rsidRDefault="00BC1519" w:rsidP="00BC1519">
            <w:pPr>
              <w:framePr w:hSpace="180" w:wrap="around" w:vAnchor="text" w:hAnchor="margin" w:xAlign="center" w:y="149"/>
              <w:spacing w:after="0" w:line="240" w:lineRule="auto"/>
              <w:jc w:val="center"/>
              <w:rPr>
                <w:rFonts w:ascii="Times New Roman" w:eastAsia="Times New Roman" w:hAnsi="Times New Roman" w:cs="Times New Roman"/>
                <w:lang w:eastAsia="lv-LV"/>
              </w:rPr>
            </w:pPr>
            <w:r w:rsidRPr="00BC1519">
              <w:rPr>
                <w:rFonts w:ascii="Times New Roman" w:eastAsia="Times New Roman" w:hAnsi="Times New Roman" w:cs="Times New Roman"/>
                <w:lang w:eastAsia="lv-LV"/>
              </w:rPr>
              <w:t>2</w:t>
            </w:r>
          </w:p>
        </w:tc>
      </w:tr>
      <w:tr w:rsidR="003674CF" w:rsidRPr="003674CF" w:rsidTr="00BC1519">
        <w:trPr>
          <w:trHeight w:val="241"/>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2006</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color w:val="000000"/>
              </w:rPr>
              <w:t>21 703</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2007</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color w:val="000000"/>
              </w:rPr>
              <w:t>12 425</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2008</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color w:val="000000"/>
              </w:rPr>
              <w:t>85 701</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2009</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color w:val="000000"/>
              </w:rPr>
              <w:t>80 799</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2010</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165 585</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2011</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71 491</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2012</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180 339</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2013</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173 128</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2014</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161 748</w:t>
            </w:r>
          </w:p>
        </w:tc>
      </w:tr>
      <w:tr w:rsidR="003674CF" w:rsidRPr="003674CF" w:rsidTr="00EB67E3">
        <w:trPr>
          <w:trHeight w:val="437"/>
          <w:jc w:val="center"/>
        </w:trPr>
        <w:tc>
          <w:tcPr>
            <w:tcW w:w="2308" w:type="dxa"/>
            <w:tcBorders>
              <w:top w:val="nil"/>
              <w:left w:val="single" w:sz="4" w:space="0" w:color="auto"/>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2015</w:t>
            </w:r>
          </w:p>
        </w:tc>
        <w:tc>
          <w:tcPr>
            <w:tcW w:w="3630" w:type="dxa"/>
            <w:tcBorders>
              <w:top w:val="nil"/>
              <w:left w:val="nil"/>
              <w:bottom w:val="single" w:sz="4" w:space="0" w:color="auto"/>
              <w:right w:val="single" w:sz="4" w:space="0" w:color="auto"/>
            </w:tcBorders>
            <w:noWrap/>
            <w:vAlign w:val="center"/>
            <w:hideMark/>
          </w:tcPr>
          <w:p w:rsidR="003674CF" w:rsidRPr="003674CF" w:rsidRDefault="003674CF" w:rsidP="00EB67E3">
            <w:pPr>
              <w:framePr w:hSpace="180" w:wrap="around" w:vAnchor="text" w:hAnchor="margin" w:xAlign="center" w:y="149"/>
              <w:ind w:firstLine="101"/>
              <w:jc w:val="center"/>
              <w:rPr>
                <w:rFonts w:ascii="Times New Roman" w:hAnsi="Times New Roman" w:cs="Times New Roman"/>
              </w:rPr>
            </w:pPr>
            <w:r w:rsidRPr="003674CF">
              <w:rPr>
                <w:rFonts w:ascii="Times New Roman" w:hAnsi="Times New Roman" w:cs="Times New Roman"/>
              </w:rPr>
              <w:t>153 143</w:t>
            </w:r>
          </w:p>
        </w:tc>
      </w:tr>
    </w:tbl>
    <w:p w:rsidR="003674CF" w:rsidRPr="003674CF" w:rsidRDefault="003674CF" w:rsidP="003674CF">
      <w:pPr>
        <w:pStyle w:val="FootnoteText"/>
        <w:ind w:left="101" w:right="32" w:firstLine="142"/>
        <w:jc w:val="both"/>
        <w:rPr>
          <w:rFonts w:ascii="Times New Roman" w:hAnsi="Times New Roman" w:cs="Times New Roman"/>
          <w:sz w:val="24"/>
          <w:szCs w:val="24"/>
        </w:rPr>
      </w:pPr>
    </w:p>
    <w:p w:rsidR="003674CF" w:rsidRPr="003674CF" w:rsidRDefault="003674CF" w:rsidP="003674CF">
      <w:pPr>
        <w:pStyle w:val="FootnoteText"/>
        <w:ind w:left="101" w:right="32" w:firstLine="619"/>
        <w:jc w:val="both"/>
        <w:rPr>
          <w:rFonts w:ascii="Times New Roman" w:hAnsi="Times New Roman" w:cs="Times New Roman"/>
          <w:sz w:val="24"/>
          <w:szCs w:val="24"/>
        </w:rPr>
      </w:pPr>
      <w:r w:rsidRPr="003674CF">
        <w:rPr>
          <w:rFonts w:ascii="Times New Roman" w:hAnsi="Times New Roman" w:cs="Times New Roman"/>
          <w:sz w:val="24"/>
          <w:szCs w:val="24"/>
        </w:rPr>
        <w:t>Pi</w:t>
      </w:r>
      <w:r>
        <w:rPr>
          <w:rFonts w:ascii="Times New Roman" w:hAnsi="Times New Roman" w:cs="Times New Roman"/>
          <w:sz w:val="24"/>
          <w:szCs w:val="24"/>
        </w:rPr>
        <w:t>eprasījums atlīdzībai no citām d</w:t>
      </w:r>
      <w:r w:rsidRPr="003674CF">
        <w:rPr>
          <w:rFonts w:ascii="Times New Roman" w:hAnsi="Times New Roman" w:cs="Times New Roman"/>
          <w:sz w:val="24"/>
          <w:szCs w:val="24"/>
        </w:rPr>
        <w:t>alībvalstīm ir gandrīz 60 reizes mazāks nekā maksājumu summas, kas Latvijas Republikai jāmaksā par Latvijas iedzīvotāju saņemtajiem veselīb</w:t>
      </w:r>
      <w:r>
        <w:rPr>
          <w:rFonts w:ascii="Times New Roman" w:hAnsi="Times New Roman" w:cs="Times New Roman"/>
          <w:sz w:val="24"/>
          <w:szCs w:val="24"/>
        </w:rPr>
        <w:t>as aprūpes pakalpojumiem citās d</w:t>
      </w:r>
      <w:r w:rsidRPr="003674CF">
        <w:rPr>
          <w:rFonts w:ascii="Times New Roman" w:hAnsi="Times New Roman" w:cs="Times New Roman"/>
          <w:sz w:val="24"/>
          <w:szCs w:val="24"/>
        </w:rPr>
        <w:t xml:space="preserve">alībvalstīs, par šiem maksājumiem veidojas negatīva bilance. </w:t>
      </w:r>
    </w:p>
    <w:p w:rsidR="003674CF" w:rsidRPr="003674CF" w:rsidRDefault="003674CF" w:rsidP="003674CF">
      <w:pPr>
        <w:pStyle w:val="FootnoteText"/>
        <w:ind w:left="101" w:right="32" w:firstLine="619"/>
        <w:jc w:val="both"/>
        <w:rPr>
          <w:rFonts w:ascii="Times New Roman" w:hAnsi="Times New Roman" w:cs="Times New Roman"/>
          <w:sz w:val="24"/>
          <w:szCs w:val="24"/>
        </w:rPr>
      </w:pPr>
      <w:r w:rsidRPr="003674CF">
        <w:rPr>
          <w:rFonts w:ascii="Times New Roman" w:hAnsi="Times New Roman" w:cs="Times New Roman"/>
          <w:sz w:val="24"/>
          <w:szCs w:val="24"/>
        </w:rPr>
        <w:t>Lai apmaksātu ES dalībvalstu, Eiropas Ekonomikas zonas un Šveices Konfederācijas kompetento institūciju iesniegtos rēķinus, ar apmaksas termiņu 2016. gadā un lai savlaicīgas sai</w:t>
      </w:r>
      <w:r>
        <w:rPr>
          <w:rFonts w:ascii="Times New Roman" w:hAnsi="Times New Roman" w:cs="Times New Roman"/>
          <w:sz w:val="24"/>
          <w:szCs w:val="24"/>
        </w:rPr>
        <w:t>stību neizpildes gadījumā citu d</w:t>
      </w:r>
      <w:r w:rsidRPr="003674CF">
        <w:rPr>
          <w:rFonts w:ascii="Times New Roman" w:hAnsi="Times New Roman" w:cs="Times New Roman"/>
          <w:sz w:val="24"/>
          <w:szCs w:val="24"/>
        </w:rPr>
        <w:t>alībvalstu kompetentās institūcijas neaprēķinātu kavējuma procentus, 2016. gadā</w:t>
      </w:r>
      <w:r w:rsidR="00DC2396">
        <w:rPr>
          <w:rFonts w:ascii="Times New Roman" w:hAnsi="Times New Roman" w:cs="Times New Roman"/>
          <w:sz w:val="24"/>
          <w:szCs w:val="24"/>
        </w:rPr>
        <w:t>,</w:t>
      </w:r>
      <w:r w:rsidRPr="003674CF">
        <w:rPr>
          <w:rFonts w:ascii="Times New Roman" w:hAnsi="Times New Roman" w:cs="Times New Roman"/>
          <w:sz w:val="24"/>
          <w:szCs w:val="24"/>
        </w:rPr>
        <w:t xml:space="preserve"> ņemot vērā š.g. oktobrī papildus piešķirtos līdzekļus 2 104 451 </w:t>
      </w:r>
      <w:proofErr w:type="spellStart"/>
      <w:r w:rsidRPr="003674CF">
        <w:rPr>
          <w:rFonts w:ascii="Times New Roman" w:hAnsi="Times New Roman" w:cs="Times New Roman"/>
          <w:sz w:val="24"/>
          <w:szCs w:val="24"/>
        </w:rPr>
        <w:t>euro</w:t>
      </w:r>
      <w:proofErr w:type="spellEnd"/>
      <w:r w:rsidRPr="003674CF">
        <w:rPr>
          <w:rFonts w:ascii="Times New Roman" w:hAnsi="Times New Roman" w:cs="Times New Roman"/>
          <w:sz w:val="24"/>
          <w:szCs w:val="24"/>
        </w:rPr>
        <w:t xml:space="preserve">, vēl ir nepieciešami </w:t>
      </w:r>
      <w:r w:rsidRPr="003674CF">
        <w:rPr>
          <w:rFonts w:ascii="Times New Roman" w:hAnsi="Times New Roman" w:cs="Times New Roman"/>
          <w:bCs/>
          <w:color w:val="000000"/>
          <w:sz w:val="24"/>
          <w:szCs w:val="24"/>
        </w:rPr>
        <w:t xml:space="preserve">3 390 486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apmērā:</w:t>
      </w:r>
    </w:p>
    <w:p w:rsidR="003674CF" w:rsidRPr="003674CF" w:rsidRDefault="003674CF" w:rsidP="003674CF">
      <w:pPr>
        <w:pStyle w:val="FootnoteText"/>
        <w:ind w:left="101" w:right="32" w:firstLine="142"/>
        <w:jc w:val="both"/>
        <w:rPr>
          <w:rFonts w:ascii="Times New Roman" w:hAnsi="Times New Roman" w:cs="Times New Roman"/>
          <w:bCs/>
          <w:color w:val="000000"/>
          <w:sz w:val="22"/>
          <w:szCs w:val="22"/>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31D7A">
        <w:rPr>
          <w:rFonts w:ascii="Times New Roman" w:hAnsi="Times New Roman" w:cs="Times New Roman"/>
          <w:bCs/>
          <w:color w:val="000000"/>
          <w:sz w:val="22"/>
          <w:szCs w:val="22"/>
        </w:rPr>
        <w:t>10</w:t>
      </w:r>
      <w:r w:rsidRPr="003674CF">
        <w:rPr>
          <w:rFonts w:ascii="Times New Roman" w:hAnsi="Times New Roman" w:cs="Times New Roman"/>
          <w:bCs/>
          <w:color w:val="000000"/>
          <w:sz w:val="22"/>
          <w:szCs w:val="22"/>
        </w:rPr>
        <w:t>.tabula</w:t>
      </w:r>
    </w:p>
    <w:tbl>
      <w:tblPr>
        <w:tblW w:w="8160" w:type="dxa"/>
        <w:tblInd w:w="90" w:type="dxa"/>
        <w:tblLayout w:type="fixed"/>
        <w:tblLook w:val="04A0"/>
      </w:tblPr>
      <w:tblGrid>
        <w:gridCol w:w="6568"/>
        <w:gridCol w:w="1592"/>
      </w:tblGrid>
      <w:tr w:rsidR="003674CF" w:rsidRPr="003674CF" w:rsidTr="00EB67E3">
        <w:trPr>
          <w:trHeight w:val="437"/>
        </w:trPr>
        <w:tc>
          <w:tcPr>
            <w:tcW w:w="6568" w:type="dxa"/>
            <w:tcBorders>
              <w:top w:val="single" w:sz="4" w:space="0" w:color="auto"/>
              <w:left w:val="single" w:sz="4" w:space="0" w:color="auto"/>
              <w:bottom w:val="single" w:sz="4" w:space="0" w:color="auto"/>
              <w:right w:val="nil"/>
            </w:tcBorders>
            <w:shd w:val="clear" w:color="auto" w:fill="FDE9D9"/>
            <w:noWrap/>
            <w:vAlign w:val="bottom"/>
            <w:hideMark/>
          </w:tcPr>
          <w:p w:rsidR="003674CF" w:rsidRPr="003674CF" w:rsidRDefault="003674CF" w:rsidP="003674CF">
            <w:pPr>
              <w:framePr w:hSpace="180" w:wrap="around" w:vAnchor="text" w:hAnchor="margin" w:xAlign="center" w:y="149"/>
              <w:spacing w:after="0"/>
              <w:jc w:val="right"/>
              <w:rPr>
                <w:rFonts w:ascii="Times New Roman" w:hAnsi="Times New Roman" w:cs="Times New Roman"/>
                <w:b/>
                <w:bCs/>
                <w:color w:val="000000"/>
              </w:rPr>
            </w:pPr>
            <w:r w:rsidRPr="003674CF">
              <w:rPr>
                <w:rFonts w:ascii="Times New Roman" w:hAnsi="Times New Roman" w:cs="Times New Roman"/>
                <w:b/>
                <w:bCs/>
                <w:color w:val="000000"/>
              </w:rPr>
              <w:t>KOPĀ , EUR</w:t>
            </w:r>
          </w:p>
        </w:tc>
        <w:tc>
          <w:tcPr>
            <w:tcW w:w="1592" w:type="dxa"/>
            <w:tcBorders>
              <w:top w:val="single" w:sz="4" w:space="0" w:color="auto"/>
              <w:left w:val="nil"/>
              <w:bottom w:val="single" w:sz="4" w:space="0" w:color="auto"/>
              <w:right w:val="single" w:sz="4" w:space="0" w:color="auto"/>
            </w:tcBorders>
            <w:shd w:val="clear" w:color="auto" w:fill="FDE9D9"/>
            <w:noWrap/>
            <w:vAlign w:val="bottom"/>
            <w:hideMark/>
          </w:tcPr>
          <w:p w:rsidR="003674CF" w:rsidRPr="003674CF" w:rsidRDefault="003674CF" w:rsidP="003674CF">
            <w:pPr>
              <w:framePr w:hSpace="180" w:wrap="around" w:vAnchor="text" w:hAnchor="margin" w:xAlign="center" w:y="149"/>
              <w:spacing w:after="0"/>
              <w:ind w:right="198"/>
              <w:jc w:val="right"/>
              <w:rPr>
                <w:rFonts w:ascii="Times New Roman" w:hAnsi="Times New Roman" w:cs="Times New Roman"/>
                <w:b/>
                <w:bCs/>
                <w:color w:val="000000"/>
              </w:rPr>
            </w:pPr>
            <w:r w:rsidRPr="003674CF">
              <w:rPr>
                <w:rFonts w:ascii="Times New Roman" w:hAnsi="Times New Roman" w:cs="Times New Roman"/>
                <w:b/>
                <w:bCs/>
                <w:color w:val="000000"/>
              </w:rPr>
              <w:t>  3 390 486</w:t>
            </w:r>
          </w:p>
        </w:tc>
      </w:tr>
      <w:tr w:rsidR="003674CF" w:rsidRPr="003674CF" w:rsidTr="00EB67E3">
        <w:trPr>
          <w:trHeight w:val="437"/>
        </w:trPr>
        <w:tc>
          <w:tcPr>
            <w:tcW w:w="6568" w:type="dxa"/>
            <w:tcBorders>
              <w:top w:val="nil"/>
              <w:left w:val="single" w:sz="4" w:space="0" w:color="auto"/>
              <w:bottom w:val="single" w:sz="4" w:space="0" w:color="auto"/>
              <w:right w:val="nil"/>
            </w:tcBorders>
            <w:noWrap/>
            <w:vAlign w:val="bottom"/>
            <w:hideMark/>
          </w:tcPr>
          <w:p w:rsidR="003674CF" w:rsidRPr="003674CF" w:rsidRDefault="003674CF" w:rsidP="003674CF">
            <w:pPr>
              <w:framePr w:hSpace="180" w:wrap="around" w:vAnchor="text" w:hAnchor="margin" w:xAlign="center" w:y="149"/>
              <w:spacing w:after="0"/>
              <w:rPr>
                <w:rFonts w:ascii="Times New Roman" w:hAnsi="Times New Roman" w:cs="Times New Roman"/>
                <w:color w:val="000000"/>
              </w:rPr>
            </w:pPr>
            <w:r w:rsidRPr="003674CF">
              <w:rPr>
                <w:rFonts w:ascii="Times New Roman" w:hAnsi="Times New Roman" w:cs="Times New Roman"/>
                <w:color w:val="000000"/>
              </w:rPr>
              <w:t>Starpvalstu norēķiniem</w:t>
            </w:r>
          </w:p>
        </w:tc>
        <w:tc>
          <w:tcPr>
            <w:tcW w:w="1592" w:type="dxa"/>
            <w:tcBorders>
              <w:top w:val="nil"/>
              <w:left w:val="nil"/>
              <w:bottom w:val="single" w:sz="4" w:space="0" w:color="auto"/>
              <w:right w:val="single" w:sz="4" w:space="0" w:color="auto"/>
            </w:tcBorders>
            <w:noWrap/>
            <w:vAlign w:val="bottom"/>
            <w:hideMark/>
          </w:tcPr>
          <w:p w:rsidR="003674CF" w:rsidRPr="003674CF" w:rsidRDefault="003674CF" w:rsidP="003674CF">
            <w:pPr>
              <w:framePr w:hSpace="180" w:wrap="around" w:vAnchor="text" w:hAnchor="margin" w:xAlign="center" w:y="149"/>
              <w:spacing w:after="0"/>
              <w:ind w:right="198"/>
              <w:jc w:val="right"/>
              <w:rPr>
                <w:rFonts w:ascii="Times New Roman" w:hAnsi="Times New Roman" w:cs="Times New Roman"/>
                <w:color w:val="000000"/>
              </w:rPr>
            </w:pPr>
            <w:r w:rsidRPr="003674CF">
              <w:rPr>
                <w:rFonts w:ascii="Times New Roman" w:hAnsi="Times New Roman" w:cs="Times New Roman"/>
                <w:color w:val="000000"/>
              </w:rPr>
              <w:t xml:space="preserve">  </w:t>
            </w:r>
            <w:r w:rsidRPr="003674CF">
              <w:rPr>
                <w:rFonts w:ascii="Times New Roman" w:hAnsi="Times New Roman" w:cs="Times New Roman"/>
                <w:bCs/>
                <w:color w:val="000000"/>
              </w:rPr>
              <w:t>3 484 392</w:t>
            </w:r>
          </w:p>
        </w:tc>
      </w:tr>
      <w:tr w:rsidR="003674CF" w:rsidRPr="003674CF" w:rsidTr="00EB67E3">
        <w:trPr>
          <w:trHeight w:val="437"/>
        </w:trPr>
        <w:tc>
          <w:tcPr>
            <w:tcW w:w="6568" w:type="dxa"/>
            <w:tcBorders>
              <w:top w:val="nil"/>
              <w:left w:val="single" w:sz="4" w:space="0" w:color="auto"/>
              <w:bottom w:val="single" w:sz="4" w:space="0" w:color="auto"/>
              <w:right w:val="nil"/>
            </w:tcBorders>
            <w:noWrap/>
            <w:vAlign w:val="bottom"/>
            <w:hideMark/>
          </w:tcPr>
          <w:p w:rsidR="003674CF" w:rsidRPr="003674CF" w:rsidRDefault="00931D7A" w:rsidP="003674CF">
            <w:pPr>
              <w:framePr w:hSpace="180" w:wrap="around" w:vAnchor="text" w:hAnchor="margin" w:xAlign="center" w:y="149"/>
              <w:spacing w:after="0"/>
              <w:rPr>
                <w:rFonts w:ascii="Times New Roman" w:hAnsi="Times New Roman" w:cs="Times New Roman"/>
                <w:color w:val="000000"/>
              </w:rPr>
            </w:pPr>
            <w:r>
              <w:rPr>
                <w:rFonts w:ascii="Times New Roman" w:hAnsi="Times New Roman" w:cs="Times New Roman"/>
                <w:color w:val="000000"/>
              </w:rPr>
              <w:t>I</w:t>
            </w:r>
            <w:r w:rsidR="003674CF" w:rsidRPr="003674CF">
              <w:rPr>
                <w:rFonts w:ascii="Times New Roman" w:hAnsi="Times New Roman" w:cs="Times New Roman"/>
                <w:color w:val="000000"/>
              </w:rPr>
              <w:t>zdevumu atmaksai fiziskām personām</w:t>
            </w:r>
          </w:p>
        </w:tc>
        <w:tc>
          <w:tcPr>
            <w:tcW w:w="1592" w:type="dxa"/>
            <w:tcBorders>
              <w:top w:val="nil"/>
              <w:left w:val="nil"/>
              <w:bottom w:val="single" w:sz="4" w:space="0" w:color="auto"/>
              <w:right w:val="single" w:sz="4" w:space="0" w:color="auto"/>
            </w:tcBorders>
            <w:noWrap/>
            <w:vAlign w:val="bottom"/>
            <w:hideMark/>
          </w:tcPr>
          <w:p w:rsidR="003674CF" w:rsidRPr="003674CF" w:rsidRDefault="003674CF" w:rsidP="003674CF">
            <w:pPr>
              <w:framePr w:hSpace="180" w:wrap="around" w:vAnchor="text" w:hAnchor="margin" w:xAlign="center" w:y="149"/>
              <w:spacing w:after="0"/>
              <w:ind w:right="198"/>
              <w:jc w:val="right"/>
              <w:rPr>
                <w:rFonts w:ascii="Times New Roman" w:hAnsi="Times New Roman" w:cs="Times New Roman"/>
                <w:color w:val="000000"/>
              </w:rPr>
            </w:pPr>
            <w:r w:rsidRPr="003674CF">
              <w:rPr>
                <w:rFonts w:ascii="Times New Roman" w:hAnsi="Times New Roman" w:cs="Times New Roman"/>
                <w:color w:val="000000"/>
              </w:rPr>
              <w:t>57  000</w:t>
            </w:r>
          </w:p>
        </w:tc>
      </w:tr>
      <w:tr w:rsidR="003674CF" w:rsidRPr="003674CF" w:rsidTr="00EB67E3">
        <w:trPr>
          <w:trHeight w:val="678"/>
        </w:trPr>
        <w:tc>
          <w:tcPr>
            <w:tcW w:w="6568" w:type="dxa"/>
            <w:tcBorders>
              <w:top w:val="nil"/>
              <w:left w:val="single" w:sz="4" w:space="0" w:color="auto"/>
              <w:bottom w:val="single" w:sz="4" w:space="0" w:color="auto"/>
              <w:right w:val="nil"/>
            </w:tcBorders>
            <w:noWrap/>
            <w:vAlign w:val="center"/>
            <w:hideMark/>
          </w:tcPr>
          <w:p w:rsidR="003674CF" w:rsidRPr="003674CF" w:rsidRDefault="00931D7A" w:rsidP="003674CF">
            <w:pPr>
              <w:framePr w:hSpace="180" w:wrap="around" w:vAnchor="text" w:hAnchor="margin" w:xAlign="center" w:y="149"/>
              <w:spacing w:after="0"/>
              <w:jc w:val="both"/>
              <w:rPr>
                <w:rFonts w:ascii="Times New Roman" w:hAnsi="Times New Roman" w:cs="Times New Roman"/>
                <w:color w:val="000000"/>
              </w:rPr>
            </w:pPr>
            <w:r>
              <w:rPr>
                <w:rFonts w:ascii="Times New Roman" w:hAnsi="Times New Roman" w:cs="Times New Roman"/>
                <w:color w:val="000000"/>
              </w:rPr>
              <w:t>V</w:t>
            </w:r>
            <w:r w:rsidR="003674CF" w:rsidRPr="003674CF">
              <w:rPr>
                <w:rFonts w:ascii="Times New Roman" w:hAnsi="Times New Roman" w:cs="Times New Roman"/>
                <w:color w:val="000000"/>
              </w:rPr>
              <w:t xml:space="preserve">idējais gada apjoms atlīdzības pieprasījumiem no citām </w:t>
            </w:r>
            <w:r w:rsidR="003674CF">
              <w:rPr>
                <w:rFonts w:ascii="Times New Roman" w:hAnsi="Times New Roman" w:cs="Times New Roman"/>
                <w:color w:val="000000"/>
              </w:rPr>
              <w:t>d</w:t>
            </w:r>
            <w:r w:rsidR="003674CF" w:rsidRPr="003674CF">
              <w:rPr>
                <w:rFonts w:ascii="Times New Roman" w:hAnsi="Times New Roman" w:cs="Times New Roman"/>
                <w:color w:val="000000"/>
              </w:rPr>
              <w:t>alībvalstīm. </w:t>
            </w:r>
          </w:p>
        </w:tc>
        <w:tc>
          <w:tcPr>
            <w:tcW w:w="1592" w:type="dxa"/>
            <w:tcBorders>
              <w:top w:val="nil"/>
              <w:left w:val="nil"/>
              <w:bottom w:val="single" w:sz="4" w:space="0" w:color="auto"/>
              <w:right w:val="single" w:sz="4" w:space="0" w:color="auto"/>
            </w:tcBorders>
            <w:noWrap/>
            <w:vAlign w:val="bottom"/>
            <w:hideMark/>
          </w:tcPr>
          <w:p w:rsidR="003674CF" w:rsidRPr="003674CF" w:rsidRDefault="003674CF" w:rsidP="003674CF">
            <w:pPr>
              <w:framePr w:hSpace="180" w:wrap="around" w:vAnchor="text" w:hAnchor="margin" w:xAlign="center" w:y="149"/>
              <w:spacing w:after="0"/>
              <w:ind w:right="198"/>
              <w:jc w:val="right"/>
              <w:rPr>
                <w:rFonts w:ascii="Times New Roman" w:hAnsi="Times New Roman" w:cs="Times New Roman"/>
                <w:color w:val="000000"/>
              </w:rPr>
            </w:pPr>
            <w:r w:rsidRPr="003674CF">
              <w:rPr>
                <w:rFonts w:ascii="Times New Roman" w:hAnsi="Times New Roman" w:cs="Times New Roman"/>
                <w:color w:val="000000"/>
              </w:rPr>
              <w:t>-150 906</w:t>
            </w:r>
          </w:p>
        </w:tc>
      </w:tr>
    </w:tbl>
    <w:p w:rsidR="003674CF" w:rsidRDefault="003674CF" w:rsidP="003674CF">
      <w:pPr>
        <w:tabs>
          <w:tab w:val="left" w:pos="425"/>
        </w:tabs>
        <w:autoSpaceDE w:val="0"/>
        <w:autoSpaceDN w:val="0"/>
        <w:adjustRightInd w:val="0"/>
        <w:ind w:left="34" w:firstLine="351"/>
        <w:jc w:val="both"/>
        <w:rPr>
          <w:rFonts w:ascii="Times New Roman" w:hAnsi="Times New Roman" w:cs="Times New Roman"/>
          <w:sz w:val="24"/>
          <w:szCs w:val="24"/>
        </w:rPr>
      </w:pPr>
    </w:p>
    <w:p w:rsidR="003674CF" w:rsidRPr="00C435F9" w:rsidRDefault="003674CF" w:rsidP="003674CF">
      <w:pPr>
        <w:tabs>
          <w:tab w:val="left" w:pos="425"/>
        </w:tabs>
        <w:autoSpaceDE w:val="0"/>
        <w:autoSpaceDN w:val="0"/>
        <w:adjustRightInd w:val="0"/>
        <w:ind w:left="34" w:firstLine="351"/>
        <w:jc w:val="both"/>
        <w:rPr>
          <w:rFonts w:ascii="Times New Roman" w:hAnsi="Times New Roman" w:cs="Times New Roman"/>
          <w:sz w:val="24"/>
          <w:szCs w:val="24"/>
        </w:rPr>
      </w:pPr>
      <w:r>
        <w:rPr>
          <w:rFonts w:ascii="Times New Roman" w:hAnsi="Times New Roman" w:cs="Times New Roman"/>
          <w:sz w:val="24"/>
          <w:szCs w:val="24"/>
        </w:rPr>
        <w:t xml:space="preserve">No norādītā </w:t>
      </w:r>
      <w:r w:rsidRPr="003674CF">
        <w:rPr>
          <w:rFonts w:ascii="Times New Roman" w:hAnsi="Times New Roman" w:cs="Times New Roman"/>
          <w:sz w:val="24"/>
          <w:szCs w:val="24"/>
        </w:rPr>
        <w:t xml:space="preserve">finansējuma </w:t>
      </w:r>
      <w:r w:rsidRPr="003674CF">
        <w:rPr>
          <w:rFonts w:ascii="Times New Roman" w:hAnsi="Times New Roman" w:cs="Times New Roman"/>
          <w:bCs/>
          <w:color w:val="000000"/>
          <w:sz w:val="24"/>
          <w:szCs w:val="24"/>
        </w:rPr>
        <w:t xml:space="preserve">3 390 486 </w:t>
      </w:r>
      <w:proofErr w:type="spellStart"/>
      <w:r w:rsidRPr="003674CF">
        <w:rPr>
          <w:rFonts w:ascii="Times New Roman" w:hAnsi="Times New Roman" w:cs="Times New Roman"/>
          <w:i/>
          <w:sz w:val="24"/>
          <w:szCs w:val="24"/>
        </w:rPr>
        <w:t>euro</w:t>
      </w:r>
      <w:proofErr w:type="spellEnd"/>
      <w:r w:rsidRPr="003674CF">
        <w:rPr>
          <w:rFonts w:ascii="Times New Roman" w:hAnsi="Times New Roman" w:cs="Times New Roman"/>
          <w:sz w:val="24"/>
          <w:szCs w:val="24"/>
        </w:rPr>
        <w:t xml:space="preserve"> nepieciešams steidzami samaksāt apm</w:t>
      </w:r>
      <w:r>
        <w:rPr>
          <w:rFonts w:ascii="Times New Roman" w:hAnsi="Times New Roman" w:cs="Times New Roman"/>
          <w:sz w:val="24"/>
          <w:szCs w:val="24"/>
        </w:rPr>
        <w:t xml:space="preserve">ēram 88 </w:t>
      </w:r>
      <w:r w:rsidRPr="00C435F9">
        <w:rPr>
          <w:rFonts w:ascii="Times New Roman" w:hAnsi="Times New Roman" w:cs="Times New Roman"/>
          <w:sz w:val="24"/>
          <w:szCs w:val="24"/>
        </w:rPr>
        <w:t xml:space="preserve">%, </w:t>
      </w:r>
      <w:r w:rsidRPr="00C435F9">
        <w:rPr>
          <w:rFonts w:ascii="Times New Roman" w:hAnsi="Times New Roman" w:cs="Times New Roman"/>
          <w:b/>
          <w:sz w:val="24"/>
          <w:szCs w:val="24"/>
        </w:rPr>
        <w:t xml:space="preserve">t.i. 3 000 000 </w:t>
      </w:r>
      <w:proofErr w:type="spellStart"/>
      <w:r w:rsidRPr="00C435F9">
        <w:rPr>
          <w:rFonts w:ascii="Times New Roman" w:hAnsi="Times New Roman" w:cs="Times New Roman"/>
          <w:b/>
          <w:sz w:val="24"/>
          <w:szCs w:val="24"/>
        </w:rPr>
        <w:t>euro</w:t>
      </w:r>
      <w:proofErr w:type="spellEnd"/>
      <w:r w:rsidR="00255616" w:rsidRPr="00C435F9">
        <w:rPr>
          <w:rFonts w:ascii="Times New Roman" w:hAnsi="Times New Roman" w:cs="Times New Roman"/>
          <w:sz w:val="24"/>
          <w:szCs w:val="24"/>
        </w:rPr>
        <w:t>,</w:t>
      </w:r>
      <w:r w:rsidRPr="00C435F9">
        <w:rPr>
          <w:rFonts w:ascii="Times New Roman" w:hAnsi="Times New Roman" w:cs="Times New Roman"/>
          <w:sz w:val="24"/>
          <w:szCs w:val="24"/>
        </w:rPr>
        <w:t xml:space="preserve"> ņemot vērā, ka šobrīd daži rēķini ir saskaņošanas stadijā. </w:t>
      </w:r>
    </w:p>
    <w:p w:rsidR="001D47C1" w:rsidRPr="00881A38" w:rsidRDefault="00DA51AD" w:rsidP="001D47C1">
      <w:pPr>
        <w:pStyle w:val="tv213"/>
        <w:spacing w:before="0" w:beforeAutospacing="0" w:after="0" w:afterAutospacing="0" w:line="293" w:lineRule="atLeast"/>
        <w:ind w:firstLine="720"/>
        <w:jc w:val="both"/>
      </w:pPr>
      <w:r w:rsidRPr="00C435F9">
        <w:lastRenderedPageBreak/>
        <w:t>Finansējumu plānots pārdalīt no Finanšu ministrijas apakšprogrammas 41.01.00 „Iemaksas Eiropas Kopienas budžetā”.</w:t>
      </w:r>
    </w:p>
    <w:p w:rsidR="005100E8" w:rsidRDefault="005100E8" w:rsidP="003B0444">
      <w:pPr>
        <w:spacing w:after="120" w:line="240" w:lineRule="auto"/>
        <w:ind w:right="-766"/>
        <w:rPr>
          <w:rFonts w:ascii="Times New Roman" w:hAnsi="Times New Roman" w:cs="Times New Roman"/>
          <w:sz w:val="24"/>
          <w:szCs w:val="24"/>
        </w:rPr>
      </w:pPr>
    </w:p>
    <w:p w:rsidR="00931D7A" w:rsidRDefault="007E7BC8" w:rsidP="007E7BC8">
      <w:pPr>
        <w:spacing w:after="120" w:line="240" w:lineRule="auto"/>
        <w:ind w:right="-766"/>
        <w:jc w:val="center"/>
        <w:rPr>
          <w:rFonts w:ascii="Times New Roman" w:hAnsi="Times New Roman" w:cs="Times New Roman"/>
          <w:b/>
          <w:sz w:val="24"/>
          <w:szCs w:val="24"/>
        </w:rPr>
      </w:pPr>
      <w:r w:rsidRPr="007E7BC8">
        <w:rPr>
          <w:rFonts w:ascii="Times New Roman" w:hAnsi="Times New Roman" w:cs="Times New Roman"/>
          <w:b/>
          <w:sz w:val="24"/>
          <w:szCs w:val="24"/>
        </w:rPr>
        <w:t>IV Turpmākās darbības</w:t>
      </w:r>
    </w:p>
    <w:p w:rsidR="00B27D21" w:rsidRPr="00B27D21" w:rsidRDefault="00B27D21" w:rsidP="00B27D21">
      <w:pPr>
        <w:spacing w:after="0" w:line="240" w:lineRule="auto"/>
        <w:ind w:right="-765"/>
        <w:jc w:val="center"/>
        <w:rPr>
          <w:rFonts w:ascii="Times New Roman" w:hAnsi="Times New Roman" w:cs="Times New Roman"/>
          <w:sz w:val="24"/>
          <w:szCs w:val="24"/>
        </w:rPr>
      </w:pPr>
    </w:p>
    <w:p w:rsidR="00B27D21" w:rsidRPr="00B27D21" w:rsidRDefault="00B27D21" w:rsidP="00B27D21">
      <w:pPr>
        <w:spacing w:after="120" w:line="240" w:lineRule="auto"/>
        <w:ind w:right="-1" w:firstLine="720"/>
        <w:jc w:val="both"/>
        <w:rPr>
          <w:rFonts w:ascii="Times New Roman" w:hAnsi="Times New Roman"/>
          <w:sz w:val="24"/>
          <w:szCs w:val="24"/>
        </w:rPr>
      </w:pPr>
      <w:r w:rsidRPr="00B27D21">
        <w:rPr>
          <w:rFonts w:ascii="Times New Roman" w:hAnsi="Times New Roman"/>
          <w:sz w:val="24"/>
          <w:szCs w:val="24"/>
        </w:rPr>
        <w:t xml:space="preserve">Lai nodrošinātu VSIA "Paula Stradiņa klīniskā universitātes slimnīca" jaunā A korpusa 1. kārtas būvniecības pabeigšanu, no Finanšu ministrijas budžeta apakšprogrammas 41.13.00 "Finansējums VAS "Valsts nekustamie īpašumi" īstenotajiem projektiem un pasākumiem" </w:t>
      </w:r>
      <w:r w:rsidR="00AB26E3" w:rsidRPr="009F2890">
        <w:rPr>
          <w:rFonts w:ascii="Times New Roman" w:hAnsi="Times New Roman"/>
          <w:sz w:val="24"/>
          <w:szCs w:val="24"/>
        </w:rPr>
        <w:t>ilgtermiņa saistību pasākumiem</w:t>
      </w:r>
      <w:r w:rsidR="00AB26E3">
        <w:rPr>
          <w:rFonts w:ascii="Times New Roman" w:hAnsi="Times New Roman"/>
          <w:sz w:val="24"/>
          <w:szCs w:val="24"/>
        </w:rPr>
        <w:t xml:space="preserve"> </w:t>
      </w:r>
      <w:r>
        <w:rPr>
          <w:rFonts w:ascii="Times New Roman" w:hAnsi="Times New Roman"/>
          <w:sz w:val="24"/>
          <w:szCs w:val="24"/>
        </w:rPr>
        <w:t xml:space="preserve">2016.gadā </w:t>
      </w:r>
      <w:r w:rsidR="00AB26E3">
        <w:rPr>
          <w:rFonts w:ascii="Times New Roman" w:hAnsi="Times New Roman"/>
          <w:sz w:val="24"/>
          <w:szCs w:val="24"/>
        </w:rPr>
        <w:t xml:space="preserve">pārdalītais </w:t>
      </w:r>
      <w:r w:rsidR="00AB26E3" w:rsidRPr="00B27D21">
        <w:rPr>
          <w:rFonts w:ascii="Times New Roman" w:hAnsi="Times New Roman"/>
          <w:sz w:val="24"/>
          <w:szCs w:val="24"/>
        </w:rPr>
        <w:t>finansējum</w:t>
      </w:r>
      <w:r w:rsidR="00AB26E3">
        <w:rPr>
          <w:rFonts w:ascii="Times New Roman" w:hAnsi="Times New Roman"/>
          <w:sz w:val="24"/>
          <w:szCs w:val="24"/>
        </w:rPr>
        <w:t>s</w:t>
      </w:r>
      <w:r w:rsidR="00AB26E3" w:rsidRPr="00B27D21">
        <w:rPr>
          <w:rFonts w:ascii="Times New Roman" w:hAnsi="Times New Roman"/>
          <w:sz w:val="24"/>
          <w:szCs w:val="24"/>
        </w:rPr>
        <w:t xml:space="preserve"> </w:t>
      </w:r>
      <w:r w:rsidRPr="00B27D21">
        <w:rPr>
          <w:rFonts w:ascii="Times New Roman" w:hAnsi="Times New Roman"/>
          <w:sz w:val="24"/>
          <w:szCs w:val="24"/>
        </w:rPr>
        <w:t xml:space="preserve">16 062 374 </w:t>
      </w:r>
      <w:proofErr w:type="spellStart"/>
      <w:r w:rsidRPr="00B27D21">
        <w:rPr>
          <w:rFonts w:ascii="Times New Roman" w:hAnsi="Times New Roman"/>
          <w:i/>
          <w:sz w:val="24"/>
          <w:szCs w:val="24"/>
        </w:rPr>
        <w:t>euro</w:t>
      </w:r>
      <w:proofErr w:type="spellEnd"/>
      <w:r w:rsidRPr="00B27D21">
        <w:rPr>
          <w:rFonts w:ascii="Times New Roman" w:hAnsi="Times New Roman"/>
          <w:i/>
          <w:sz w:val="24"/>
          <w:szCs w:val="24"/>
        </w:rPr>
        <w:t xml:space="preserve"> </w:t>
      </w:r>
      <w:r w:rsidRPr="00B27D21">
        <w:rPr>
          <w:rFonts w:ascii="Times New Roman" w:hAnsi="Times New Roman"/>
          <w:sz w:val="24"/>
          <w:szCs w:val="24"/>
        </w:rPr>
        <w:t xml:space="preserve">apmērā </w:t>
      </w:r>
      <w:r w:rsidR="00AB26E3">
        <w:rPr>
          <w:rFonts w:ascii="Times New Roman" w:hAnsi="Times New Roman"/>
          <w:sz w:val="24"/>
          <w:szCs w:val="24"/>
        </w:rPr>
        <w:t xml:space="preserve">tiks plānots jaunā </w:t>
      </w:r>
      <w:r w:rsidRPr="00B27D21">
        <w:rPr>
          <w:rFonts w:ascii="Times New Roman" w:hAnsi="Times New Roman"/>
          <w:sz w:val="24"/>
          <w:szCs w:val="24"/>
        </w:rPr>
        <w:t>budžeta apakšprogramm</w:t>
      </w:r>
      <w:r w:rsidR="00AB26E3">
        <w:rPr>
          <w:rFonts w:ascii="Times New Roman" w:hAnsi="Times New Roman"/>
          <w:sz w:val="24"/>
          <w:szCs w:val="24"/>
        </w:rPr>
        <w:t>ā</w:t>
      </w:r>
      <w:r w:rsidRPr="00B27D21">
        <w:rPr>
          <w:rFonts w:ascii="Times New Roman" w:hAnsi="Times New Roman"/>
          <w:sz w:val="24"/>
          <w:szCs w:val="24"/>
        </w:rPr>
        <w:t xml:space="preserve"> 33.05.00 "VSIA "Paula Stradiņa klīniskā universitātes slimnīca" jaunā korpusa būvniecība un iekārtošana"" </w:t>
      </w:r>
      <w:r w:rsidR="00AB26E3">
        <w:rPr>
          <w:rFonts w:ascii="Times New Roman" w:hAnsi="Times New Roman"/>
          <w:sz w:val="24"/>
          <w:szCs w:val="24"/>
        </w:rPr>
        <w:t>un novirzīts</w:t>
      </w:r>
      <w:r w:rsidR="00AB26E3" w:rsidRPr="003329D2">
        <w:rPr>
          <w:rFonts w:ascii="Times New Roman" w:hAnsi="Times New Roman"/>
          <w:sz w:val="28"/>
        </w:rPr>
        <w:t xml:space="preserve"> </w:t>
      </w:r>
      <w:r w:rsidR="00AB26E3" w:rsidRPr="003329D2">
        <w:rPr>
          <w:rFonts w:ascii="Times New Roman" w:hAnsi="Times New Roman"/>
          <w:sz w:val="24"/>
          <w:szCs w:val="24"/>
        </w:rPr>
        <w:t>VSIA "Paula Stradiņa klīniskā universitātes slimnīca" jaunā A korpusa 1. kārtas būvniecības pabeigšan</w:t>
      </w:r>
      <w:r w:rsidR="00AB26E3">
        <w:rPr>
          <w:rFonts w:ascii="Times New Roman" w:hAnsi="Times New Roman"/>
          <w:sz w:val="24"/>
          <w:szCs w:val="24"/>
        </w:rPr>
        <w:t>ai</w:t>
      </w:r>
      <w:r w:rsidRPr="00B27D21">
        <w:rPr>
          <w:rFonts w:ascii="Times New Roman" w:hAnsi="Times New Roman"/>
          <w:sz w:val="24"/>
          <w:szCs w:val="24"/>
        </w:rPr>
        <w:t xml:space="preserve">. </w:t>
      </w:r>
    </w:p>
    <w:p w:rsidR="00B27D21" w:rsidRPr="00B27D21" w:rsidRDefault="00B27D21" w:rsidP="00B27D21">
      <w:pPr>
        <w:spacing w:after="120" w:line="240" w:lineRule="auto"/>
        <w:ind w:right="-1" w:firstLine="720"/>
        <w:jc w:val="both"/>
        <w:rPr>
          <w:rFonts w:ascii="Times New Roman" w:hAnsi="Times New Roman"/>
          <w:sz w:val="24"/>
          <w:szCs w:val="24"/>
        </w:rPr>
      </w:pPr>
      <w:r w:rsidRPr="00B27D21">
        <w:rPr>
          <w:rFonts w:ascii="Times New Roman" w:hAnsi="Times New Roman"/>
          <w:sz w:val="24"/>
          <w:szCs w:val="24"/>
        </w:rPr>
        <w:t xml:space="preserve">Papildus tam, </w:t>
      </w:r>
      <w:r>
        <w:rPr>
          <w:rFonts w:ascii="Times New Roman" w:hAnsi="Times New Roman"/>
          <w:sz w:val="24"/>
          <w:szCs w:val="24"/>
        </w:rPr>
        <w:t xml:space="preserve">Veselības ministrija </w:t>
      </w:r>
      <w:r w:rsidRPr="00B27D21">
        <w:rPr>
          <w:rFonts w:ascii="Times New Roman" w:hAnsi="Times New Roman"/>
          <w:sz w:val="24"/>
          <w:szCs w:val="24"/>
        </w:rPr>
        <w:t xml:space="preserve">no Finanšu ministrijas budžeta apakšprogrammas 41.01.00 "Iemaksas Eiropas Kopienas budžetā" </w:t>
      </w:r>
      <w:r>
        <w:rPr>
          <w:rFonts w:ascii="Times New Roman" w:hAnsi="Times New Roman"/>
          <w:sz w:val="24"/>
          <w:szCs w:val="24"/>
        </w:rPr>
        <w:t xml:space="preserve">2016.gadā </w:t>
      </w:r>
      <w:r w:rsidR="0034764B">
        <w:rPr>
          <w:rFonts w:ascii="Times New Roman" w:hAnsi="Times New Roman"/>
          <w:sz w:val="24"/>
          <w:szCs w:val="24"/>
        </w:rPr>
        <w:t xml:space="preserve">pārdalīto </w:t>
      </w:r>
      <w:r w:rsidRPr="00B27D21">
        <w:rPr>
          <w:rFonts w:ascii="Times New Roman" w:hAnsi="Times New Roman"/>
          <w:sz w:val="24"/>
          <w:szCs w:val="24"/>
        </w:rPr>
        <w:t xml:space="preserve">finansējumu 6 000 000 </w:t>
      </w:r>
      <w:proofErr w:type="spellStart"/>
      <w:r w:rsidRPr="00B27D21">
        <w:rPr>
          <w:rFonts w:ascii="Times New Roman" w:hAnsi="Times New Roman"/>
          <w:i/>
          <w:sz w:val="24"/>
          <w:szCs w:val="24"/>
        </w:rPr>
        <w:t>euro</w:t>
      </w:r>
      <w:proofErr w:type="spellEnd"/>
      <w:r w:rsidRPr="00B27D21">
        <w:rPr>
          <w:rFonts w:ascii="Times New Roman" w:hAnsi="Times New Roman"/>
          <w:sz w:val="24"/>
          <w:szCs w:val="24"/>
        </w:rPr>
        <w:t xml:space="preserve"> apmērā novirzī</w:t>
      </w:r>
      <w:r w:rsidR="0034764B">
        <w:rPr>
          <w:rFonts w:ascii="Times New Roman" w:hAnsi="Times New Roman"/>
          <w:sz w:val="24"/>
          <w:szCs w:val="24"/>
        </w:rPr>
        <w:t>s</w:t>
      </w:r>
      <w:r w:rsidRPr="00B27D21">
        <w:rPr>
          <w:rFonts w:ascii="Times New Roman" w:hAnsi="Times New Roman"/>
          <w:sz w:val="24"/>
          <w:szCs w:val="24"/>
        </w:rPr>
        <w:t xml:space="preserve">: </w:t>
      </w:r>
    </w:p>
    <w:p w:rsidR="00B27D21" w:rsidRPr="00B27D21" w:rsidRDefault="00B27D21" w:rsidP="00B27D21">
      <w:pPr>
        <w:pStyle w:val="ListParagraph"/>
        <w:numPr>
          <w:ilvl w:val="0"/>
          <w:numId w:val="49"/>
        </w:numPr>
        <w:spacing w:after="120" w:line="240" w:lineRule="auto"/>
        <w:ind w:left="1134" w:right="-1" w:hanging="425"/>
        <w:jc w:val="both"/>
        <w:rPr>
          <w:rFonts w:ascii="Times New Roman" w:hAnsi="Times New Roman"/>
          <w:sz w:val="24"/>
          <w:szCs w:val="24"/>
        </w:rPr>
      </w:pPr>
      <w:r w:rsidRPr="00B27D21">
        <w:rPr>
          <w:rFonts w:ascii="Times New Roman" w:hAnsi="Times New Roman"/>
          <w:sz w:val="24"/>
          <w:szCs w:val="24"/>
        </w:rPr>
        <w:t xml:space="preserve">3 000 000 </w:t>
      </w:r>
      <w:proofErr w:type="spellStart"/>
      <w:r w:rsidRPr="00B27D21">
        <w:rPr>
          <w:rFonts w:ascii="Times New Roman" w:hAnsi="Times New Roman"/>
          <w:i/>
          <w:sz w:val="24"/>
          <w:szCs w:val="24"/>
        </w:rPr>
        <w:t>euro</w:t>
      </w:r>
      <w:proofErr w:type="spellEnd"/>
      <w:r w:rsidRPr="00B27D21">
        <w:rPr>
          <w:rFonts w:ascii="Times New Roman" w:hAnsi="Times New Roman"/>
          <w:sz w:val="24"/>
          <w:szCs w:val="24"/>
        </w:rPr>
        <w:t xml:space="preserve"> apmērā </w:t>
      </w:r>
      <w:r>
        <w:rPr>
          <w:rFonts w:ascii="Times New Roman" w:hAnsi="Times New Roman"/>
          <w:sz w:val="24"/>
          <w:szCs w:val="24"/>
        </w:rPr>
        <w:t>budžeta apakšprogrammai</w:t>
      </w:r>
      <w:r w:rsidRPr="00B27D21">
        <w:rPr>
          <w:rFonts w:ascii="Times New Roman" w:hAnsi="Times New Roman"/>
          <w:sz w:val="24"/>
          <w:szCs w:val="24"/>
        </w:rPr>
        <w:t xml:space="preserve"> 33.01.00 "Ārstniecība" daļējai Eiropas Savienības dalībvalstu, Eiropas Ekonomikas zonas un Šveices Konfederācijas kompetento institūciju iesniegto rēķinu par Latvijas iedzīvotājiem Eiropas Savienības sociālā nodrošinājuma sistēmas ietvaros sniegtajiem veselības aprūpes pakalpojumiem apmaksai;</w:t>
      </w:r>
    </w:p>
    <w:p w:rsidR="00B27D21" w:rsidRPr="00B27D21" w:rsidRDefault="00B27D21" w:rsidP="00B27D21">
      <w:pPr>
        <w:pStyle w:val="ListParagraph"/>
        <w:numPr>
          <w:ilvl w:val="0"/>
          <w:numId w:val="49"/>
        </w:numPr>
        <w:spacing w:after="120" w:line="240" w:lineRule="auto"/>
        <w:ind w:left="1134" w:right="-1" w:hanging="425"/>
        <w:jc w:val="both"/>
        <w:rPr>
          <w:rFonts w:ascii="Times New Roman" w:hAnsi="Times New Roman"/>
          <w:sz w:val="24"/>
          <w:szCs w:val="24"/>
        </w:rPr>
      </w:pPr>
      <w:r w:rsidRPr="00B27D21">
        <w:rPr>
          <w:rFonts w:ascii="Times New Roman" w:hAnsi="Times New Roman"/>
          <w:sz w:val="24"/>
          <w:szCs w:val="24"/>
        </w:rPr>
        <w:t xml:space="preserve">3 000 000 </w:t>
      </w:r>
      <w:proofErr w:type="spellStart"/>
      <w:r w:rsidRPr="00B27D21">
        <w:rPr>
          <w:rFonts w:ascii="Times New Roman" w:hAnsi="Times New Roman"/>
          <w:i/>
          <w:sz w:val="24"/>
          <w:szCs w:val="24"/>
        </w:rPr>
        <w:t>euro</w:t>
      </w:r>
      <w:proofErr w:type="spellEnd"/>
      <w:r w:rsidRPr="00B27D21">
        <w:rPr>
          <w:rFonts w:ascii="Times New Roman" w:hAnsi="Times New Roman"/>
          <w:sz w:val="24"/>
          <w:szCs w:val="24"/>
        </w:rPr>
        <w:t xml:space="preserve"> apmērā </w:t>
      </w:r>
      <w:r>
        <w:rPr>
          <w:rFonts w:ascii="Times New Roman" w:hAnsi="Times New Roman"/>
          <w:sz w:val="24"/>
          <w:szCs w:val="24"/>
        </w:rPr>
        <w:t>budžeta apakšprogrammai</w:t>
      </w:r>
      <w:r w:rsidRPr="00B27D21">
        <w:rPr>
          <w:rFonts w:ascii="Times New Roman" w:hAnsi="Times New Roman"/>
          <w:sz w:val="24"/>
          <w:szCs w:val="24"/>
        </w:rPr>
        <w:t xml:space="preserve"> 33.03.00 " Kompensējamo medikamentu un materiālu apmaksāšana" daļējai kompensējamo medikamentu un medicīnisko ierīču līdzekļu deficīta segšanai. </w:t>
      </w:r>
    </w:p>
    <w:p w:rsidR="00B27D21" w:rsidRPr="00833959" w:rsidRDefault="00B27D21" w:rsidP="00B27D21">
      <w:pPr>
        <w:spacing w:after="120" w:line="240" w:lineRule="auto"/>
        <w:ind w:right="-1" w:firstLine="709"/>
        <w:jc w:val="both"/>
        <w:rPr>
          <w:rFonts w:ascii="Times New Roman" w:hAnsi="Times New Roman"/>
          <w:sz w:val="24"/>
          <w:szCs w:val="24"/>
        </w:rPr>
      </w:pPr>
      <w:r w:rsidRPr="00B27D21">
        <w:rPr>
          <w:rFonts w:ascii="Times New Roman" w:hAnsi="Times New Roman"/>
          <w:sz w:val="24"/>
          <w:szCs w:val="24"/>
        </w:rPr>
        <w:t xml:space="preserve">Attiecībā uz augstākminēto Veselības ministrija normatīvajos aktos noteiktā kārtībā </w:t>
      </w:r>
      <w:r w:rsidR="00855AED" w:rsidRPr="00B27D21">
        <w:rPr>
          <w:rFonts w:ascii="Times New Roman" w:hAnsi="Times New Roman"/>
          <w:sz w:val="24"/>
          <w:szCs w:val="24"/>
        </w:rPr>
        <w:t>sagatavo</w:t>
      </w:r>
      <w:r w:rsidR="00855AED">
        <w:rPr>
          <w:rFonts w:ascii="Times New Roman" w:hAnsi="Times New Roman"/>
          <w:sz w:val="24"/>
          <w:szCs w:val="24"/>
        </w:rPr>
        <w:t>s</w:t>
      </w:r>
      <w:r w:rsidR="00855AED" w:rsidRPr="00B27D21">
        <w:rPr>
          <w:rFonts w:ascii="Times New Roman" w:hAnsi="Times New Roman"/>
          <w:sz w:val="24"/>
          <w:szCs w:val="24"/>
        </w:rPr>
        <w:t xml:space="preserve"> </w:t>
      </w:r>
      <w:r w:rsidRPr="00B27D21">
        <w:rPr>
          <w:rFonts w:ascii="Times New Roman" w:hAnsi="Times New Roman"/>
          <w:sz w:val="24"/>
          <w:szCs w:val="24"/>
        </w:rPr>
        <w:t xml:space="preserve">un </w:t>
      </w:r>
      <w:r w:rsidR="00855AED" w:rsidRPr="00B27D21">
        <w:rPr>
          <w:rFonts w:ascii="Times New Roman" w:hAnsi="Times New Roman"/>
          <w:sz w:val="24"/>
          <w:szCs w:val="24"/>
        </w:rPr>
        <w:t>iesnieg</w:t>
      </w:r>
      <w:r w:rsidR="00855AED">
        <w:rPr>
          <w:rFonts w:ascii="Times New Roman" w:hAnsi="Times New Roman"/>
          <w:sz w:val="24"/>
          <w:szCs w:val="24"/>
        </w:rPr>
        <w:t>s</w:t>
      </w:r>
      <w:r w:rsidR="00855AED" w:rsidRPr="00B27D21">
        <w:rPr>
          <w:rFonts w:ascii="Times New Roman" w:hAnsi="Times New Roman"/>
          <w:sz w:val="24"/>
          <w:szCs w:val="24"/>
        </w:rPr>
        <w:t xml:space="preserve"> </w:t>
      </w:r>
      <w:r w:rsidRPr="00B27D21">
        <w:rPr>
          <w:rFonts w:ascii="Times New Roman" w:hAnsi="Times New Roman"/>
          <w:sz w:val="24"/>
          <w:szCs w:val="24"/>
        </w:rPr>
        <w:t xml:space="preserve">Finanšu ministrijā pieprasījumu valsts budžeta apropriācijas </w:t>
      </w:r>
      <w:r w:rsidRPr="00833959">
        <w:rPr>
          <w:rFonts w:ascii="Times New Roman" w:hAnsi="Times New Roman"/>
          <w:sz w:val="24"/>
          <w:szCs w:val="24"/>
        </w:rPr>
        <w:t xml:space="preserve">pārdalei 2016.gadā. </w:t>
      </w:r>
      <w:r w:rsidR="00855AED">
        <w:rPr>
          <w:rFonts w:ascii="Times New Roman" w:hAnsi="Times New Roman"/>
          <w:sz w:val="24"/>
          <w:szCs w:val="24"/>
        </w:rPr>
        <w:t>Pēc pieprasījuma saņemšanas f</w:t>
      </w:r>
      <w:r w:rsidR="00855AED" w:rsidRPr="00C00ED9">
        <w:rPr>
          <w:rFonts w:ascii="Times New Roman" w:hAnsi="Times New Roman"/>
          <w:sz w:val="24"/>
          <w:szCs w:val="24"/>
        </w:rPr>
        <w:t>inanšu ministr</w:t>
      </w:r>
      <w:r w:rsidR="00855AED">
        <w:rPr>
          <w:rFonts w:ascii="Times New Roman" w:hAnsi="Times New Roman"/>
          <w:sz w:val="24"/>
          <w:szCs w:val="24"/>
        </w:rPr>
        <w:t xml:space="preserve">s </w:t>
      </w:r>
      <w:r w:rsidR="00855AED" w:rsidRPr="00C00ED9">
        <w:rPr>
          <w:rFonts w:ascii="Times New Roman" w:hAnsi="Times New Roman"/>
          <w:sz w:val="24"/>
          <w:szCs w:val="24"/>
        </w:rPr>
        <w:t>normatīvajos aktos noteiktā kārtībā informē</w:t>
      </w:r>
      <w:r w:rsidR="00855AED">
        <w:rPr>
          <w:rFonts w:ascii="Times New Roman" w:hAnsi="Times New Roman"/>
          <w:sz w:val="24"/>
          <w:szCs w:val="24"/>
        </w:rPr>
        <w:t>s</w:t>
      </w:r>
      <w:r w:rsidR="00855AED" w:rsidRPr="00C00ED9">
        <w:rPr>
          <w:rFonts w:ascii="Times New Roman" w:hAnsi="Times New Roman"/>
          <w:sz w:val="24"/>
          <w:szCs w:val="24"/>
        </w:rPr>
        <w:t xml:space="preserve"> Saeimu par minēto apropriācijas pārdali un pēc Saeimas atļaujas saņemšanas veik</w:t>
      </w:r>
      <w:r w:rsidR="00855AED">
        <w:rPr>
          <w:rFonts w:ascii="Times New Roman" w:hAnsi="Times New Roman"/>
          <w:sz w:val="24"/>
          <w:szCs w:val="24"/>
        </w:rPr>
        <w:t>s</w:t>
      </w:r>
      <w:r w:rsidR="00855AED" w:rsidRPr="00C00ED9">
        <w:rPr>
          <w:rFonts w:ascii="Times New Roman" w:hAnsi="Times New Roman"/>
          <w:sz w:val="24"/>
          <w:szCs w:val="24"/>
        </w:rPr>
        <w:t xml:space="preserve"> apropriācijas pārdali</w:t>
      </w:r>
      <w:r w:rsidR="00D1787A">
        <w:rPr>
          <w:rFonts w:ascii="Times New Roman" w:hAnsi="Times New Roman"/>
          <w:sz w:val="24"/>
          <w:szCs w:val="24"/>
        </w:rPr>
        <w:t>.</w:t>
      </w:r>
    </w:p>
    <w:p w:rsidR="00B27D21" w:rsidRPr="00833959" w:rsidRDefault="00833959" w:rsidP="00B27D21">
      <w:pPr>
        <w:spacing w:after="120" w:line="240" w:lineRule="auto"/>
        <w:ind w:right="-1" w:firstLine="709"/>
        <w:jc w:val="both"/>
        <w:rPr>
          <w:rFonts w:ascii="Times New Roman" w:hAnsi="Times New Roman"/>
          <w:sz w:val="24"/>
          <w:szCs w:val="24"/>
        </w:rPr>
      </w:pPr>
      <w:r w:rsidRPr="00D1787A">
        <w:rPr>
          <w:rFonts w:ascii="Times New Roman" w:hAnsi="Times New Roman"/>
          <w:sz w:val="24"/>
          <w:szCs w:val="24"/>
        </w:rPr>
        <w:t xml:space="preserve">Savukārt, </w:t>
      </w:r>
      <w:r w:rsidR="00855AED" w:rsidRPr="00D1787A">
        <w:rPr>
          <w:rFonts w:ascii="Times New Roman" w:hAnsi="Times New Roman"/>
          <w:sz w:val="24"/>
          <w:szCs w:val="24"/>
        </w:rPr>
        <w:t>a</w:t>
      </w:r>
      <w:r w:rsidR="00855AED" w:rsidRPr="00D1787A">
        <w:rPr>
          <w:rFonts w:ascii="Times New Roman" w:hAnsi="Times New Roman" w:cs="Times New Roman"/>
          <w:sz w:val="24"/>
          <w:szCs w:val="24"/>
        </w:rPr>
        <w:t xml:space="preserve">tbilstoši Ministru kabineta 2015.gada 31.marta sēdes protokola Nr.17, </w:t>
      </w:r>
      <w:r w:rsidR="00D1787A" w:rsidRPr="00D1787A">
        <w:rPr>
          <w:rFonts w:ascii="Times New Roman" w:hAnsi="Times New Roman" w:cs="Times New Roman"/>
          <w:sz w:val="24"/>
          <w:szCs w:val="24"/>
        </w:rPr>
        <w:t>4</w:t>
      </w:r>
      <w:r w:rsidR="00855AED" w:rsidRPr="00D1787A">
        <w:rPr>
          <w:rFonts w:ascii="Times New Roman" w:hAnsi="Times New Roman" w:cs="Times New Roman"/>
          <w:sz w:val="24"/>
          <w:szCs w:val="24"/>
        </w:rPr>
        <w:t>3.§ 2.</w:t>
      </w:r>
      <w:r w:rsidR="00855AED" w:rsidRPr="00D1787A">
        <w:rPr>
          <w:rFonts w:ascii="Times New Roman" w:hAnsi="Times New Roman"/>
          <w:sz w:val="24"/>
          <w:szCs w:val="24"/>
        </w:rPr>
        <w:t xml:space="preserve"> un 6.</w:t>
      </w:r>
      <w:r w:rsidR="00855AED" w:rsidRPr="00D1787A">
        <w:rPr>
          <w:rFonts w:ascii="Times New Roman" w:hAnsi="Times New Roman" w:cs="Times New Roman"/>
          <w:sz w:val="24"/>
          <w:szCs w:val="24"/>
        </w:rPr>
        <w:t>punktam</w:t>
      </w:r>
      <w:r w:rsidR="00855AED" w:rsidRPr="00D1787A">
        <w:rPr>
          <w:rFonts w:ascii="Times New Roman" w:hAnsi="Times New Roman"/>
          <w:sz w:val="24"/>
          <w:szCs w:val="24"/>
        </w:rPr>
        <w:t xml:space="preserve"> </w:t>
      </w:r>
      <w:r w:rsidR="00855AED" w:rsidRPr="00D1787A">
        <w:rPr>
          <w:rFonts w:ascii="Times New Roman" w:eastAsiaTheme="majorEastAsia" w:hAnsi="Times New Roman"/>
          <w:sz w:val="24"/>
          <w:szCs w:val="24"/>
        </w:rPr>
        <w:t>likumprojektā</w:t>
      </w:r>
      <w:r w:rsidR="00855AED" w:rsidRPr="00D1787A">
        <w:rPr>
          <w:rFonts w:ascii="Times New Roman" w:eastAsiaTheme="majorEastAsia" w:hAnsi="Times New Roman" w:cs="Times New Roman"/>
          <w:sz w:val="24"/>
          <w:szCs w:val="24"/>
        </w:rPr>
        <w:t xml:space="preserve"> „Par valsts budžetu 2017.gadam” un likumprojekt</w:t>
      </w:r>
      <w:r w:rsidR="00855AED" w:rsidRPr="00D1787A">
        <w:rPr>
          <w:rFonts w:ascii="Times New Roman" w:eastAsiaTheme="majorEastAsia" w:hAnsi="Times New Roman"/>
          <w:sz w:val="24"/>
          <w:szCs w:val="24"/>
        </w:rPr>
        <w:t>ā</w:t>
      </w:r>
      <w:r w:rsidR="00855AED" w:rsidRPr="00D1787A">
        <w:rPr>
          <w:rFonts w:ascii="Times New Roman" w:eastAsiaTheme="majorEastAsia" w:hAnsi="Times New Roman" w:cs="Times New Roman"/>
          <w:sz w:val="24"/>
          <w:szCs w:val="24"/>
        </w:rPr>
        <w:t xml:space="preserve"> „Par vidēja termiņa budžeta ietvaru 2017., 2018. un 2019.gadam”</w:t>
      </w:r>
      <w:r w:rsidR="00855AED" w:rsidRPr="00D1787A">
        <w:rPr>
          <w:rFonts w:ascii="Times New Roman" w:hAnsi="Times New Roman" w:cs="Times New Roman"/>
          <w:sz w:val="24"/>
          <w:szCs w:val="24"/>
        </w:rPr>
        <w:t xml:space="preserve"> </w:t>
      </w:r>
      <w:r w:rsidR="00855AED" w:rsidRPr="00D1787A">
        <w:rPr>
          <w:rFonts w:ascii="Times New Roman" w:hAnsi="Times New Roman"/>
          <w:sz w:val="24"/>
          <w:szCs w:val="24"/>
        </w:rPr>
        <w:t xml:space="preserve">Veselības ministrijas budžeta </w:t>
      </w:r>
      <w:r w:rsidR="00855AED" w:rsidRPr="00D1787A">
        <w:rPr>
          <w:rFonts w:ascii="Times New Roman" w:hAnsi="Times New Roman" w:cs="Times New Roman"/>
          <w:sz w:val="24"/>
          <w:szCs w:val="24"/>
        </w:rPr>
        <w:t>apakšprogrammā 33.05.00 "VSIA "Paula Stradiņa klīniskā universitātes slimnīca"</w:t>
      </w:r>
      <w:r w:rsidR="00855AED" w:rsidRPr="00D1787A">
        <w:rPr>
          <w:rFonts w:ascii="Times New Roman" w:hAnsi="Times New Roman"/>
          <w:sz w:val="24"/>
          <w:szCs w:val="24"/>
        </w:rPr>
        <w:t xml:space="preserve"> iekļautais finansējums </w:t>
      </w:r>
      <w:r w:rsidR="00855AED" w:rsidRPr="00D1787A">
        <w:rPr>
          <w:rFonts w:ascii="Times New Roman" w:hAnsi="Times New Roman" w:cs="Times New Roman"/>
          <w:sz w:val="24"/>
          <w:szCs w:val="24"/>
        </w:rPr>
        <w:t xml:space="preserve">16 062 374 </w:t>
      </w:r>
      <w:proofErr w:type="spellStart"/>
      <w:r w:rsidR="00855AED" w:rsidRPr="00D1787A">
        <w:rPr>
          <w:rFonts w:ascii="Times New Roman" w:hAnsi="Times New Roman" w:cs="Times New Roman"/>
          <w:i/>
          <w:sz w:val="24"/>
          <w:szCs w:val="24"/>
        </w:rPr>
        <w:t>euro</w:t>
      </w:r>
      <w:proofErr w:type="spellEnd"/>
      <w:r w:rsidR="00855AED" w:rsidRPr="00D1787A">
        <w:rPr>
          <w:rFonts w:ascii="Times New Roman" w:hAnsi="Times New Roman" w:cs="Times New Roman"/>
          <w:sz w:val="24"/>
          <w:szCs w:val="24"/>
        </w:rPr>
        <w:t xml:space="preserve"> apmērā (tai skaitā 7 494 526 </w:t>
      </w:r>
      <w:proofErr w:type="spellStart"/>
      <w:r w:rsidR="00855AED" w:rsidRPr="00D1787A">
        <w:rPr>
          <w:rFonts w:ascii="Times New Roman" w:hAnsi="Times New Roman" w:cs="Times New Roman"/>
          <w:i/>
          <w:sz w:val="24"/>
          <w:szCs w:val="24"/>
        </w:rPr>
        <w:t>euro</w:t>
      </w:r>
      <w:proofErr w:type="spellEnd"/>
      <w:r w:rsidR="00855AED" w:rsidRPr="00D1787A">
        <w:rPr>
          <w:rFonts w:ascii="Times New Roman" w:hAnsi="Times New Roman" w:cs="Times New Roman"/>
          <w:sz w:val="24"/>
          <w:szCs w:val="24"/>
        </w:rPr>
        <w:t xml:space="preserve"> – būvdarbiem, 8 567 848 </w:t>
      </w:r>
      <w:proofErr w:type="spellStart"/>
      <w:r w:rsidR="00855AED" w:rsidRPr="00D1787A">
        <w:rPr>
          <w:rFonts w:ascii="Times New Roman" w:hAnsi="Times New Roman" w:cs="Times New Roman"/>
          <w:i/>
          <w:sz w:val="24"/>
          <w:szCs w:val="24"/>
        </w:rPr>
        <w:t>euro</w:t>
      </w:r>
      <w:proofErr w:type="spellEnd"/>
      <w:r w:rsidR="00855AED" w:rsidRPr="00D1787A">
        <w:rPr>
          <w:rFonts w:ascii="Times New Roman" w:hAnsi="Times New Roman" w:cs="Times New Roman"/>
          <w:sz w:val="24"/>
          <w:szCs w:val="24"/>
        </w:rPr>
        <w:t xml:space="preserve"> – iekārtu un aprīkojuma iegādei) </w:t>
      </w:r>
      <w:r w:rsidR="00855AED" w:rsidRPr="00D1787A">
        <w:rPr>
          <w:rFonts w:ascii="Times New Roman" w:hAnsi="Times New Roman"/>
          <w:sz w:val="24"/>
          <w:szCs w:val="24"/>
        </w:rPr>
        <w:t xml:space="preserve">tiks samazināts un </w:t>
      </w:r>
      <w:r w:rsidR="00855AED" w:rsidRPr="00D1787A">
        <w:rPr>
          <w:rFonts w:ascii="Times New Roman" w:hAnsi="Times New Roman" w:cs="Times New Roman"/>
          <w:sz w:val="24"/>
          <w:szCs w:val="24"/>
        </w:rPr>
        <w:t xml:space="preserve">Veselības ministrija </w:t>
      </w:r>
      <w:r w:rsidR="00855AED" w:rsidRPr="00D1787A">
        <w:rPr>
          <w:rFonts w:ascii="Times New Roman" w:hAnsi="Times New Roman"/>
          <w:sz w:val="24"/>
          <w:szCs w:val="24"/>
        </w:rPr>
        <w:t xml:space="preserve">atbilstoši </w:t>
      </w:r>
      <w:r w:rsidR="00855AED" w:rsidRPr="00D1787A">
        <w:rPr>
          <w:rFonts w:ascii="Times New Roman" w:eastAsiaTheme="majorEastAsia" w:hAnsi="Times New Roman" w:cs="Times New Roman"/>
          <w:sz w:val="24"/>
          <w:szCs w:val="24"/>
        </w:rPr>
        <w:t xml:space="preserve">noteiktajam termiņam iesniegs Finanšu ministrijā </w:t>
      </w:r>
      <w:r w:rsidR="00855AED" w:rsidRPr="00D1787A">
        <w:rPr>
          <w:rFonts w:ascii="Times New Roman" w:eastAsiaTheme="majorEastAsia" w:hAnsi="Times New Roman"/>
          <w:sz w:val="24"/>
          <w:szCs w:val="24"/>
        </w:rPr>
        <w:t xml:space="preserve">attiecīgu </w:t>
      </w:r>
      <w:r w:rsidR="00855AED" w:rsidRPr="00D1787A">
        <w:rPr>
          <w:rFonts w:ascii="Times New Roman" w:eastAsiaTheme="majorEastAsia" w:hAnsi="Times New Roman" w:cs="Times New Roman"/>
          <w:sz w:val="24"/>
          <w:szCs w:val="24"/>
        </w:rPr>
        <w:t>priekšlikumu</w:t>
      </w:r>
      <w:r w:rsidR="00855AED" w:rsidRPr="00D1787A">
        <w:rPr>
          <w:rFonts w:ascii="Times New Roman" w:eastAsiaTheme="majorEastAsia" w:hAnsi="Times New Roman"/>
          <w:sz w:val="24"/>
          <w:szCs w:val="24"/>
        </w:rPr>
        <w:t xml:space="preserve"> par minētā finansējuma samazinājumu.</w:t>
      </w:r>
      <w:bookmarkStart w:id="3" w:name="_GoBack"/>
      <w:bookmarkEnd w:id="3"/>
    </w:p>
    <w:p w:rsidR="00B27D21" w:rsidRPr="00B27D21" w:rsidRDefault="00B27D21" w:rsidP="00B27D21">
      <w:pPr>
        <w:spacing w:after="120" w:line="240" w:lineRule="auto"/>
        <w:ind w:right="-1" w:firstLine="709"/>
        <w:jc w:val="both"/>
        <w:rPr>
          <w:rFonts w:ascii="Times New Roman" w:hAnsi="Times New Roman"/>
          <w:sz w:val="24"/>
          <w:szCs w:val="24"/>
        </w:rPr>
      </w:pPr>
    </w:p>
    <w:p w:rsidR="003B0444" w:rsidRPr="00E63B6F" w:rsidRDefault="003B0444" w:rsidP="003B0444">
      <w:pPr>
        <w:spacing w:after="120" w:line="240" w:lineRule="auto"/>
        <w:ind w:right="-766"/>
        <w:rPr>
          <w:rFonts w:ascii="Times New Roman" w:hAnsi="Times New Roman" w:cs="Times New Roman"/>
          <w:sz w:val="24"/>
          <w:szCs w:val="24"/>
        </w:rPr>
      </w:pPr>
      <w:r w:rsidRPr="00E63B6F">
        <w:rPr>
          <w:rFonts w:ascii="Times New Roman" w:hAnsi="Times New Roman" w:cs="Times New Roman"/>
          <w:sz w:val="24"/>
          <w:szCs w:val="24"/>
        </w:rPr>
        <w:t>V</w:t>
      </w:r>
      <w:r w:rsidR="000B7A35">
        <w:rPr>
          <w:rFonts w:ascii="Times New Roman" w:hAnsi="Times New Roman" w:cs="Times New Roman"/>
          <w:sz w:val="24"/>
          <w:szCs w:val="24"/>
        </w:rPr>
        <w:t>eselības ministre</w:t>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t xml:space="preserve"> </w:t>
      </w:r>
      <w:r w:rsidR="000B7A35">
        <w:rPr>
          <w:rFonts w:ascii="Times New Roman" w:hAnsi="Times New Roman" w:cs="Times New Roman"/>
          <w:sz w:val="24"/>
          <w:szCs w:val="24"/>
        </w:rPr>
        <w:tab/>
      </w:r>
      <w:r w:rsidR="000B7A35">
        <w:rPr>
          <w:rFonts w:ascii="Times New Roman" w:hAnsi="Times New Roman" w:cs="Times New Roman"/>
          <w:sz w:val="24"/>
          <w:szCs w:val="24"/>
        </w:rPr>
        <w:tab/>
      </w:r>
      <w:r w:rsidR="0075155F">
        <w:rPr>
          <w:rFonts w:ascii="Times New Roman" w:hAnsi="Times New Roman" w:cs="Times New Roman"/>
          <w:sz w:val="24"/>
          <w:szCs w:val="24"/>
        </w:rPr>
        <w:t xml:space="preserve">  </w:t>
      </w:r>
      <w:r w:rsidR="000B7A35">
        <w:rPr>
          <w:rFonts w:ascii="Times New Roman" w:hAnsi="Times New Roman" w:cs="Times New Roman"/>
          <w:sz w:val="24"/>
          <w:szCs w:val="24"/>
        </w:rPr>
        <w:t>Anda</w:t>
      </w:r>
      <w:r w:rsidRPr="00E63B6F">
        <w:rPr>
          <w:rFonts w:ascii="Times New Roman" w:hAnsi="Times New Roman" w:cs="Times New Roman"/>
          <w:sz w:val="24"/>
          <w:szCs w:val="24"/>
        </w:rPr>
        <w:t xml:space="preserve"> </w:t>
      </w:r>
      <w:proofErr w:type="spellStart"/>
      <w:r w:rsidR="000B7A35">
        <w:rPr>
          <w:rFonts w:ascii="Times New Roman" w:hAnsi="Times New Roman" w:cs="Times New Roman"/>
          <w:sz w:val="24"/>
          <w:szCs w:val="24"/>
        </w:rPr>
        <w:t>Čakša</w:t>
      </w:r>
      <w:proofErr w:type="spellEnd"/>
    </w:p>
    <w:p w:rsidR="003B0444" w:rsidRPr="00E63B6F" w:rsidRDefault="003B0444" w:rsidP="003B0444">
      <w:pPr>
        <w:spacing w:after="0" w:line="240" w:lineRule="auto"/>
        <w:ind w:right="-766"/>
        <w:rPr>
          <w:rFonts w:ascii="Times New Roman" w:hAnsi="Times New Roman" w:cs="Times New Roman"/>
          <w:sz w:val="24"/>
          <w:szCs w:val="24"/>
        </w:rPr>
      </w:pPr>
    </w:p>
    <w:p w:rsidR="003B0444" w:rsidRPr="00E63B6F" w:rsidRDefault="000B7A35" w:rsidP="003B0444">
      <w:pPr>
        <w:tabs>
          <w:tab w:val="left" w:pos="7088"/>
          <w:tab w:val="right" w:pos="9072"/>
        </w:tabs>
        <w:spacing w:after="120" w:line="240" w:lineRule="auto"/>
        <w:ind w:right="-766"/>
        <w:rPr>
          <w:rFonts w:ascii="Times New Roman" w:hAnsi="Times New Roman" w:cs="Times New Roman"/>
          <w:sz w:val="24"/>
          <w:szCs w:val="24"/>
        </w:rPr>
      </w:pPr>
      <w:r>
        <w:rPr>
          <w:rFonts w:ascii="Times New Roman" w:hAnsi="Times New Roman" w:cs="Times New Roman"/>
          <w:sz w:val="24"/>
          <w:szCs w:val="24"/>
        </w:rPr>
        <w:t xml:space="preserve">Iesniedzējs: Veselības ministre </w:t>
      </w:r>
      <w:r>
        <w:rPr>
          <w:rFonts w:ascii="Times New Roman" w:hAnsi="Times New Roman" w:cs="Times New Roman"/>
          <w:sz w:val="24"/>
          <w:szCs w:val="24"/>
        </w:rPr>
        <w:tab/>
        <w:t xml:space="preserve">   Anda</w:t>
      </w:r>
      <w:r w:rsidRPr="00E63B6F">
        <w:rPr>
          <w:rFonts w:ascii="Times New Roman" w:hAnsi="Times New Roman" w:cs="Times New Roman"/>
          <w:sz w:val="24"/>
          <w:szCs w:val="24"/>
        </w:rPr>
        <w:t xml:space="preserve"> </w:t>
      </w:r>
      <w:proofErr w:type="spellStart"/>
      <w:r>
        <w:rPr>
          <w:rFonts w:ascii="Times New Roman" w:hAnsi="Times New Roman" w:cs="Times New Roman"/>
          <w:sz w:val="24"/>
          <w:szCs w:val="24"/>
        </w:rPr>
        <w:t>Čakša</w:t>
      </w:r>
      <w:proofErr w:type="spellEnd"/>
    </w:p>
    <w:p w:rsidR="003B0444" w:rsidRPr="00E63B6F" w:rsidRDefault="003B0444" w:rsidP="003B0444">
      <w:pPr>
        <w:tabs>
          <w:tab w:val="right" w:pos="9072"/>
        </w:tabs>
        <w:spacing w:after="0" w:line="240" w:lineRule="auto"/>
        <w:ind w:right="-766"/>
        <w:rPr>
          <w:rFonts w:ascii="Times New Roman" w:hAnsi="Times New Roman" w:cs="Times New Roman"/>
          <w:sz w:val="24"/>
          <w:szCs w:val="24"/>
        </w:rPr>
      </w:pPr>
    </w:p>
    <w:p w:rsidR="003B0444" w:rsidRPr="00E63B6F" w:rsidRDefault="000B7A35" w:rsidP="000B7A35">
      <w:pPr>
        <w:tabs>
          <w:tab w:val="right" w:pos="7088"/>
        </w:tabs>
        <w:spacing w:after="0" w:line="240" w:lineRule="auto"/>
        <w:ind w:right="-766"/>
        <w:rPr>
          <w:rFonts w:ascii="Times New Roman" w:hAnsi="Times New Roman" w:cs="Times New Roman"/>
          <w:sz w:val="24"/>
          <w:szCs w:val="24"/>
        </w:rPr>
      </w:pP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t xml:space="preserve">Kārlis </w:t>
      </w:r>
      <w:proofErr w:type="spellStart"/>
      <w:r>
        <w:rPr>
          <w:rFonts w:ascii="Times New Roman" w:hAnsi="Times New Roman" w:cs="Times New Roman"/>
          <w:sz w:val="24"/>
          <w:szCs w:val="24"/>
        </w:rPr>
        <w:t>Ketners</w:t>
      </w:r>
      <w:proofErr w:type="spellEnd"/>
    </w:p>
    <w:p w:rsidR="003B0444" w:rsidRPr="00E63B6F" w:rsidRDefault="003B0444" w:rsidP="003B0444">
      <w:pPr>
        <w:tabs>
          <w:tab w:val="right" w:pos="9072"/>
        </w:tabs>
        <w:spacing w:after="0" w:line="240" w:lineRule="auto"/>
        <w:ind w:right="-766"/>
        <w:rPr>
          <w:rFonts w:ascii="Times New Roman" w:hAnsi="Times New Roman" w:cs="Times New Roman"/>
          <w:sz w:val="24"/>
          <w:szCs w:val="24"/>
        </w:rPr>
      </w:pPr>
      <w:r w:rsidRPr="00E63B6F">
        <w:rPr>
          <w:rFonts w:ascii="Times New Roman" w:hAnsi="Times New Roman" w:cs="Times New Roman"/>
          <w:sz w:val="24"/>
          <w:szCs w:val="24"/>
        </w:rPr>
        <w:t xml:space="preserve">                                        </w:t>
      </w:r>
    </w:p>
    <w:p w:rsidR="003E03F4" w:rsidRDefault="003E03F4" w:rsidP="003E03F4">
      <w:pPr>
        <w:tabs>
          <w:tab w:val="right" w:pos="8364"/>
        </w:tabs>
        <w:spacing w:after="0" w:line="240" w:lineRule="auto"/>
        <w:rPr>
          <w:rFonts w:ascii="Times New Roman" w:hAnsi="Times New Roman" w:cs="Times New Roman"/>
          <w:bCs/>
          <w:sz w:val="24"/>
          <w:szCs w:val="24"/>
          <w:lang w:bidi="lo-LA"/>
        </w:rPr>
      </w:pPr>
    </w:p>
    <w:p w:rsidR="00D23409" w:rsidRDefault="00D23409" w:rsidP="003E03F4">
      <w:pPr>
        <w:tabs>
          <w:tab w:val="right" w:pos="8364"/>
        </w:tabs>
        <w:spacing w:after="0" w:line="240" w:lineRule="auto"/>
        <w:rPr>
          <w:rFonts w:ascii="Times New Roman" w:hAnsi="Times New Roman" w:cs="Times New Roman"/>
          <w:bCs/>
          <w:sz w:val="24"/>
          <w:szCs w:val="24"/>
          <w:lang w:bidi="lo-LA"/>
        </w:rPr>
      </w:pPr>
    </w:p>
    <w:sectPr w:rsidR="00D23409" w:rsidSect="00933F63">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96" w:rsidRDefault="00E16996" w:rsidP="00520D0C">
      <w:pPr>
        <w:spacing w:after="0" w:line="240" w:lineRule="auto"/>
      </w:pPr>
      <w:r>
        <w:separator/>
      </w:r>
    </w:p>
  </w:endnote>
  <w:endnote w:type="continuationSeparator" w:id="0">
    <w:p w:rsidR="00E16996" w:rsidRDefault="00E16996" w:rsidP="00520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21" w:rsidRPr="0090325F" w:rsidRDefault="00D1787A" w:rsidP="00726A7B">
    <w:pPr>
      <w:pStyle w:val="tv213"/>
      <w:spacing w:before="0" w:beforeAutospacing="0" w:after="0" w:afterAutospacing="0" w:line="293" w:lineRule="atLeast"/>
      <w:jc w:val="both"/>
      <w:rPr>
        <w:sz w:val="20"/>
        <w:szCs w:val="20"/>
      </w:rPr>
    </w:pPr>
    <w:r>
      <w:rPr>
        <w:sz w:val="20"/>
        <w:szCs w:val="20"/>
      </w:rPr>
      <w:t>VMinfoz_papildus_lidzekli_VA_28</w:t>
    </w:r>
    <w:r w:rsidR="00B27D21">
      <w:rPr>
        <w:sz w:val="20"/>
        <w:szCs w:val="20"/>
      </w:rPr>
      <w:t>1016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21" w:rsidRPr="0090325F" w:rsidRDefault="00833959" w:rsidP="00933F63">
    <w:pPr>
      <w:pStyle w:val="tv213"/>
      <w:spacing w:before="0" w:beforeAutospacing="0" w:after="0" w:afterAutospacing="0" w:line="293" w:lineRule="atLeast"/>
      <w:jc w:val="both"/>
      <w:rPr>
        <w:sz w:val="20"/>
        <w:szCs w:val="20"/>
      </w:rPr>
    </w:pPr>
    <w:r>
      <w:rPr>
        <w:sz w:val="20"/>
        <w:szCs w:val="20"/>
      </w:rPr>
      <w:t>VMinfoz_papildus_lidzekli_VA_2</w:t>
    </w:r>
    <w:r w:rsidR="00D1787A">
      <w:rPr>
        <w:sz w:val="20"/>
        <w:szCs w:val="20"/>
      </w:rPr>
      <w:t>8</w:t>
    </w:r>
    <w:r w:rsidR="00B27D21">
      <w:rPr>
        <w:sz w:val="20"/>
        <w:szCs w:val="20"/>
      </w:rPr>
      <w:t>1016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96" w:rsidRDefault="00E16996" w:rsidP="00520D0C">
      <w:pPr>
        <w:spacing w:after="0" w:line="240" w:lineRule="auto"/>
      </w:pPr>
      <w:r>
        <w:separator/>
      </w:r>
    </w:p>
  </w:footnote>
  <w:footnote w:type="continuationSeparator" w:id="0">
    <w:p w:rsidR="00E16996" w:rsidRDefault="00E16996" w:rsidP="00520D0C">
      <w:pPr>
        <w:spacing w:after="0" w:line="240" w:lineRule="auto"/>
      </w:pPr>
      <w:r>
        <w:continuationSeparator/>
      </w:r>
    </w:p>
  </w:footnote>
  <w:footnote w:id="1">
    <w:p w:rsidR="00B27D21" w:rsidRPr="00AA6EDB" w:rsidRDefault="00B27D21" w:rsidP="003674CF">
      <w:pPr>
        <w:pStyle w:val="FootnoteText"/>
        <w:jc w:val="both"/>
      </w:pPr>
      <w:r>
        <w:rPr>
          <w:rStyle w:val="FootnoteReference"/>
        </w:rPr>
        <w:footnoteRef/>
      </w:r>
      <w:r>
        <w:t xml:space="preserve"> Skat., </w:t>
      </w:r>
      <w:r>
        <w:rPr>
          <w:rFonts w:ascii="Cambria" w:hAnsi="Cambria"/>
          <w:sz w:val="18"/>
          <w:szCs w:val="18"/>
        </w:rPr>
        <w:t xml:space="preserve">Eiropas Parlamenta un </w:t>
      </w:r>
      <w:r w:rsidRPr="00AA6EDB">
        <w:rPr>
          <w:rFonts w:ascii="Cambria" w:hAnsi="Cambria"/>
          <w:sz w:val="18"/>
          <w:szCs w:val="18"/>
        </w:rPr>
        <w:t>Padomes Regulas Nr.987/2009 (2009.gada 16.septembris), ar ko nosaka īstenošanas kārtību Regulai (EK) Nr. 883/2004 par sociālās nodrošināšanas sistēmu koordinēšanu 67.panta 5.punkts</w:t>
      </w:r>
    </w:p>
  </w:footnote>
  <w:footnote w:id="2">
    <w:p w:rsidR="00B27D21" w:rsidRPr="00AA6EDB" w:rsidRDefault="00B27D21" w:rsidP="003674CF">
      <w:pPr>
        <w:pStyle w:val="FootnoteText"/>
        <w:jc w:val="both"/>
      </w:pPr>
      <w:r w:rsidRPr="00AA6EDB">
        <w:rPr>
          <w:rStyle w:val="FootnoteReference"/>
        </w:rPr>
        <w:footnoteRef/>
      </w:r>
      <w:r w:rsidRPr="00AA6EDB">
        <w:t xml:space="preserve"> Skat., </w:t>
      </w:r>
      <w:r w:rsidRPr="00AA6EDB">
        <w:rPr>
          <w:rFonts w:ascii="Cambria" w:hAnsi="Cambria"/>
          <w:sz w:val="18"/>
          <w:szCs w:val="18"/>
        </w:rPr>
        <w:t>Eiropas Parlamenta un Padomes Regulas Nr.987/2009 (2009.gada 16.septembris), ar ko nosaka īstenošanas kārtību Regulai (EK) Nr. 883/2004 par sociālās nodrošināšanas sistēmu koordinēšanu 68.panta 1.punkts</w:t>
      </w:r>
    </w:p>
  </w:footnote>
  <w:footnote w:id="3">
    <w:p w:rsidR="00B27D21" w:rsidRPr="00AA6EDB" w:rsidRDefault="00B27D21" w:rsidP="003674CF">
      <w:pPr>
        <w:pStyle w:val="FootnoteText"/>
        <w:jc w:val="both"/>
        <w:rPr>
          <w:i/>
        </w:rPr>
      </w:pPr>
      <w:r w:rsidRPr="00AA6EDB">
        <w:rPr>
          <w:rStyle w:val="FootnoteReference"/>
        </w:rPr>
        <w:footnoteRef/>
      </w:r>
      <w:r w:rsidRPr="00AA6EDB">
        <w:t xml:space="preserve"> Skat., </w:t>
      </w:r>
      <w:r w:rsidRPr="00AA6EDB">
        <w:rPr>
          <w:rFonts w:ascii="Cambria" w:hAnsi="Cambria"/>
          <w:sz w:val="18"/>
          <w:szCs w:val="18"/>
        </w:rPr>
        <w:t xml:space="preserve">Eiropas Parlamenta un Padomes Regulas Nr.987/2009 (2009.gada 16.septembris), ar ko nosaka īstenošanas kārtību Regulai (EK) Nr. 883/2004 par sociālās nodrošināšanas sistēmu koordinēšanu 68.panta 2.punkts. </w:t>
      </w:r>
      <w:r w:rsidRPr="00AA6EDB">
        <w:rPr>
          <w:i/>
          <w:sz w:val="18"/>
          <w:szCs w:val="18"/>
        </w:rPr>
        <w:t>Piemērojamā atsauces likme ir tā, kura ir spēkā tā mēneša pirmajā dienā, kad jāveic maksājums</w:t>
      </w:r>
    </w:p>
  </w:footnote>
  <w:footnote w:id="4">
    <w:p w:rsidR="00B27D21" w:rsidRDefault="00B27D21" w:rsidP="003674CF">
      <w:pPr>
        <w:pStyle w:val="FootnoteText"/>
        <w:jc w:val="both"/>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Gadījumos, kad īslaicīgas uzturēšanās laikā citā dalībvalstī ir saņemta neatliekamā un nepieciešamā veselības aprūpes un personai nav bijusi iespēja izmantot Eiropas veselības apdrošināšanas karti vai to aizstājošo sertifikātu (piemēram, pirms došanās uz citu dalībvalsti persona nav izņēmusi Eiropas veselības apdrošināšanas karti; persona ir nozaudējusi Eiropas veselības apdrošināšanas karti)</w:t>
      </w:r>
    </w:p>
  </w:footnote>
  <w:footnote w:id="5">
    <w:p w:rsidR="00B27D21" w:rsidRPr="00833959" w:rsidRDefault="00B27D21" w:rsidP="003674CF">
      <w:pPr>
        <w:jc w:val="both"/>
        <w:rPr>
          <w:rFonts w:ascii="Cambria" w:hAnsi="Cambria"/>
          <w:b/>
          <w:sz w:val="18"/>
          <w:szCs w:val="18"/>
        </w:rPr>
      </w:pPr>
      <w:r>
        <w:rPr>
          <w:rStyle w:val="FootnoteReference"/>
          <w:rFonts w:ascii="Cambria" w:hAnsi="Cambria"/>
          <w:sz w:val="18"/>
          <w:szCs w:val="18"/>
        </w:rPr>
        <w:footnoteRef/>
      </w:r>
      <w:r>
        <w:rPr>
          <w:rFonts w:ascii="Cambria" w:hAnsi="Cambria"/>
          <w:sz w:val="18"/>
          <w:szCs w:val="18"/>
        </w:rPr>
        <w:t xml:space="preserve"> Eiropas Parlamenta un Padomes direktīva Nr.2011/24/ES  (2011.gada 9.marts) par pacientu tiesību piemērošanu pārrobežu veselības aprūpē. </w:t>
      </w:r>
      <w:r>
        <w:rPr>
          <w:rFonts w:ascii="Cambria" w:hAnsi="Cambria" w:cs="Arial"/>
          <w:bCs/>
          <w:sz w:val="18"/>
          <w:szCs w:val="18"/>
        </w:rPr>
        <w:t xml:space="preserve">Direktīva ir adresēta dalībvalstīm un tā uzliek saistības attiecībā uz sasniedzamo rezultātu, bet ļauj šo valstu iestādēm noteikt to īstenošanas formas un metodes. </w:t>
      </w:r>
      <w:r>
        <w:rPr>
          <w:rFonts w:ascii="Cambria" w:hAnsi="Cambria"/>
          <w:sz w:val="18"/>
          <w:szCs w:val="18"/>
        </w:rPr>
        <w:t xml:space="preserve">ES dalībvalstīm iepriekš minētā direktīva bija jātransponē (jāpārņem) valstu tiesību aktos līdz </w:t>
      </w:r>
      <w:r w:rsidRPr="00833959">
        <w:rPr>
          <w:rStyle w:val="Strong"/>
          <w:rFonts w:ascii="Cambria" w:hAnsi="Cambria"/>
          <w:b w:val="0"/>
          <w:sz w:val="18"/>
          <w:szCs w:val="18"/>
        </w:rPr>
        <w:t xml:space="preserve">2013.gada 25.oktobrim. </w:t>
      </w:r>
      <w:r w:rsidRPr="00833959">
        <w:rPr>
          <w:rFonts w:ascii="Cambria" w:hAnsi="Cambria"/>
          <w:b/>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21" w:rsidRDefault="00B52766">
    <w:pPr>
      <w:pStyle w:val="Header"/>
      <w:jc w:val="center"/>
    </w:pPr>
    <w:r>
      <w:fldChar w:fldCharType="begin"/>
    </w:r>
    <w:r w:rsidR="00E16996">
      <w:instrText xml:space="preserve"> PAGE   \* MERGEFORMAT </w:instrText>
    </w:r>
    <w:r>
      <w:fldChar w:fldCharType="separate"/>
    </w:r>
    <w:r w:rsidR="00D1787A">
      <w:rPr>
        <w:noProof/>
      </w:rPr>
      <w:t>13</w:t>
    </w:r>
    <w:r>
      <w:rPr>
        <w:noProof/>
      </w:rPr>
      <w:fldChar w:fldCharType="end"/>
    </w:r>
  </w:p>
  <w:p w:rsidR="00B27D21" w:rsidRDefault="00B27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BDF"/>
    <w:multiLevelType w:val="hybridMultilevel"/>
    <w:tmpl w:val="E0FA58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802DE0"/>
    <w:multiLevelType w:val="multilevel"/>
    <w:tmpl w:val="2A9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F2F1B"/>
    <w:multiLevelType w:val="hybridMultilevel"/>
    <w:tmpl w:val="A560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D1A39"/>
    <w:multiLevelType w:val="hybridMultilevel"/>
    <w:tmpl w:val="631CA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FE2373"/>
    <w:multiLevelType w:val="hybridMultilevel"/>
    <w:tmpl w:val="4224C126"/>
    <w:lvl w:ilvl="0" w:tplc="28408C10">
      <w:start w:val="1"/>
      <w:numFmt w:val="bullet"/>
      <w:lvlText w:val="•"/>
      <w:lvlJc w:val="left"/>
      <w:pPr>
        <w:tabs>
          <w:tab w:val="num" w:pos="720"/>
        </w:tabs>
        <w:ind w:left="720" w:hanging="360"/>
      </w:pPr>
      <w:rPr>
        <w:rFonts w:ascii="Arial" w:hAnsi="Arial" w:hint="default"/>
      </w:rPr>
    </w:lvl>
    <w:lvl w:ilvl="1" w:tplc="0426000B">
      <w:start w:val="1"/>
      <w:numFmt w:val="bullet"/>
      <w:lvlText w:val=""/>
      <w:lvlJc w:val="left"/>
      <w:pPr>
        <w:tabs>
          <w:tab w:val="num" w:pos="1440"/>
        </w:tabs>
        <w:ind w:left="1440" w:hanging="360"/>
      </w:pPr>
      <w:rPr>
        <w:rFonts w:ascii="Wingdings" w:hAnsi="Wingdings" w:hint="default"/>
      </w:rPr>
    </w:lvl>
    <w:lvl w:ilvl="2" w:tplc="845E99A8" w:tentative="1">
      <w:start w:val="1"/>
      <w:numFmt w:val="bullet"/>
      <w:lvlText w:val="•"/>
      <w:lvlJc w:val="left"/>
      <w:pPr>
        <w:tabs>
          <w:tab w:val="num" w:pos="2160"/>
        </w:tabs>
        <w:ind w:left="2160" w:hanging="360"/>
      </w:pPr>
      <w:rPr>
        <w:rFonts w:ascii="Arial" w:hAnsi="Arial" w:hint="default"/>
      </w:rPr>
    </w:lvl>
    <w:lvl w:ilvl="3" w:tplc="47B8E31E" w:tentative="1">
      <w:start w:val="1"/>
      <w:numFmt w:val="bullet"/>
      <w:lvlText w:val="•"/>
      <w:lvlJc w:val="left"/>
      <w:pPr>
        <w:tabs>
          <w:tab w:val="num" w:pos="2880"/>
        </w:tabs>
        <w:ind w:left="2880" w:hanging="360"/>
      </w:pPr>
      <w:rPr>
        <w:rFonts w:ascii="Arial" w:hAnsi="Arial" w:hint="default"/>
      </w:rPr>
    </w:lvl>
    <w:lvl w:ilvl="4" w:tplc="8B5023DE" w:tentative="1">
      <w:start w:val="1"/>
      <w:numFmt w:val="bullet"/>
      <w:lvlText w:val="•"/>
      <w:lvlJc w:val="left"/>
      <w:pPr>
        <w:tabs>
          <w:tab w:val="num" w:pos="3600"/>
        </w:tabs>
        <w:ind w:left="3600" w:hanging="360"/>
      </w:pPr>
      <w:rPr>
        <w:rFonts w:ascii="Arial" w:hAnsi="Arial" w:hint="default"/>
      </w:rPr>
    </w:lvl>
    <w:lvl w:ilvl="5" w:tplc="6E229A44" w:tentative="1">
      <w:start w:val="1"/>
      <w:numFmt w:val="bullet"/>
      <w:lvlText w:val="•"/>
      <w:lvlJc w:val="left"/>
      <w:pPr>
        <w:tabs>
          <w:tab w:val="num" w:pos="4320"/>
        </w:tabs>
        <w:ind w:left="4320" w:hanging="360"/>
      </w:pPr>
      <w:rPr>
        <w:rFonts w:ascii="Arial" w:hAnsi="Arial" w:hint="default"/>
      </w:rPr>
    </w:lvl>
    <w:lvl w:ilvl="6" w:tplc="AC6406A6" w:tentative="1">
      <w:start w:val="1"/>
      <w:numFmt w:val="bullet"/>
      <w:lvlText w:val="•"/>
      <w:lvlJc w:val="left"/>
      <w:pPr>
        <w:tabs>
          <w:tab w:val="num" w:pos="5040"/>
        </w:tabs>
        <w:ind w:left="5040" w:hanging="360"/>
      </w:pPr>
      <w:rPr>
        <w:rFonts w:ascii="Arial" w:hAnsi="Arial" w:hint="default"/>
      </w:rPr>
    </w:lvl>
    <w:lvl w:ilvl="7" w:tplc="70DAEB58" w:tentative="1">
      <w:start w:val="1"/>
      <w:numFmt w:val="bullet"/>
      <w:lvlText w:val="•"/>
      <w:lvlJc w:val="left"/>
      <w:pPr>
        <w:tabs>
          <w:tab w:val="num" w:pos="5760"/>
        </w:tabs>
        <w:ind w:left="5760" w:hanging="360"/>
      </w:pPr>
      <w:rPr>
        <w:rFonts w:ascii="Arial" w:hAnsi="Arial" w:hint="default"/>
      </w:rPr>
    </w:lvl>
    <w:lvl w:ilvl="8" w:tplc="3A0C3AC2" w:tentative="1">
      <w:start w:val="1"/>
      <w:numFmt w:val="bullet"/>
      <w:lvlText w:val="•"/>
      <w:lvlJc w:val="left"/>
      <w:pPr>
        <w:tabs>
          <w:tab w:val="num" w:pos="6480"/>
        </w:tabs>
        <w:ind w:left="6480" w:hanging="360"/>
      </w:pPr>
      <w:rPr>
        <w:rFonts w:ascii="Arial" w:hAnsi="Arial" w:hint="default"/>
      </w:rPr>
    </w:lvl>
  </w:abstractNum>
  <w:abstractNum w:abstractNumId="5">
    <w:nsid w:val="116C19E4"/>
    <w:multiLevelType w:val="hybridMultilevel"/>
    <w:tmpl w:val="05B437E0"/>
    <w:lvl w:ilvl="0" w:tplc="DFC414D2">
      <w:start w:val="1"/>
      <w:numFmt w:val="bullet"/>
      <w:lvlText w:val=""/>
      <w:lvlJc w:val="left"/>
      <w:pPr>
        <w:tabs>
          <w:tab w:val="num" w:pos="720"/>
        </w:tabs>
        <w:ind w:left="720" w:hanging="360"/>
      </w:pPr>
      <w:rPr>
        <w:rFonts w:ascii="Wingdings" w:hAnsi="Wingdings" w:hint="default"/>
      </w:rPr>
    </w:lvl>
    <w:lvl w:ilvl="1" w:tplc="40A8CE6E" w:tentative="1">
      <w:start w:val="1"/>
      <w:numFmt w:val="bullet"/>
      <w:lvlText w:val=""/>
      <w:lvlJc w:val="left"/>
      <w:pPr>
        <w:tabs>
          <w:tab w:val="num" w:pos="1440"/>
        </w:tabs>
        <w:ind w:left="1440" w:hanging="360"/>
      </w:pPr>
      <w:rPr>
        <w:rFonts w:ascii="Wingdings" w:hAnsi="Wingdings" w:hint="default"/>
      </w:rPr>
    </w:lvl>
    <w:lvl w:ilvl="2" w:tplc="DDCEC4F4" w:tentative="1">
      <w:start w:val="1"/>
      <w:numFmt w:val="bullet"/>
      <w:lvlText w:val=""/>
      <w:lvlJc w:val="left"/>
      <w:pPr>
        <w:tabs>
          <w:tab w:val="num" w:pos="2160"/>
        </w:tabs>
        <w:ind w:left="2160" w:hanging="360"/>
      </w:pPr>
      <w:rPr>
        <w:rFonts w:ascii="Wingdings" w:hAnsi="Wingdings" w:hint="default"/>
      </w:rPr>
    </w:lvl>
    <w:lvl w:ilvl="3" w:tplc="80BEA222" w:tentative="1">
      <w:start w:val="1"/>
      <w:numFmt w:val="bullet"/>
      <w:lvlText w:val=""/>
      <w:lvlJc w:val="left"/>
      <w:pPr>
        <w:tabs>
          <w:tab w:val="num" w:pos="2880"/>
        </w:tabs>
        <w:ind w:left="2880" w:hanging="360"/>
      </w:pPr>
      <w:rPr>
        <w:rFonts w:ascii="Wingdings" w:hAnsi="Wingdings" w:hint="default"/>
      </w:rPr>
    </w:lvl>
    <w:lvl w:ilvl="4" w:tplc="624C5EA2" w:tentative="1">
      <w:start w:val="1"/>
      <w:numFmt w:val="bullet"/>
      <w:lvlText w:val=""/>
      <w:lvlJc w:val="left"/>
      <w:pPr>
        <w:tabs>
          <w:tab w:val="num" w:pos="3600"/>
        </w:tabs>
        <w:ind w:left="3600" w:hanging="360"/>
      </w:pPr>
      <w:rPr>
        <w:rFonts w:ascii="Wingdings" w:hAnsi="Wingdings" w:hint="default"/>
      </w:rPr>
    </w:lvl>
    <w:lvl w:ilvl="5" w:tplc="F97A6098" w:tentative="1">
      <w:start w:val="1"/>
      <w:numFmt w:val="bullet"/>
      <w:lvlText w:val=""/>
      <w:lvlJc w:val="left"/>
      <w:pPr>
        <w:tabs>
          <w:tab w:val="num" w:pos="4320"/>
        </w:tabs>
        <w:ind w:left="4320" w:hanging="360"/>
      </w:pPr>
      <w:rPr>
        <w:rFonts w:ascii="Wingdings" w:hAnsi="Wingdings" w:hint="default"/>
      </w:rPr>
    </w:lvl>
    <w:lvl w:ilvl="6" w:tplc="3DE4B0DC" w:tentative="1">
      <w:start w:val="1"/>
      <w:numFmt w:val="bullet"/>
      <w:lvlText w:val=""/>
      <w:lvlJc w:val="left"/>
      <w:pPr>
        <w:tabs>
          <w:tab w:val="num" w:pos="5040"/>
        </w:tabs>
        <w:ind w:left="5040" w:hanging="360"/>
      </w:pPr>
      <w:rPr>
        <w:rFonts w:ascii="Wingdings" w:hAnsi="Wingdings" w:hint="default"/>
      </w:rPr>
    </w:lvl>
    <w:lvl w:ilvl="7" w:tplc="546AB9BA" w:tentative="1">
      <w:start w:val="1"/>
      <w:numFmt w:val="bullet"/>
      <w:lvlText w:val=""/>
      <w:lvlJc w:val="left"/>
      <w:pPr>
        <w:tabs>
          <w:tab w:val="num" w:pos="5760"/>
        </w:tabs>
        <w:ind w:left="5760" w:hanging="360"/>
      </w:pPr>
      <w:rPr>
        <w:rFonts w:ascii="Wingdings" w:hAnsi="Wingdings" w:hint="default"/>
      </w:rPr>
    </w:lvl>
    <w:lvl w:ilvl="8" w:tplc="B09499BE" w:tentative="1">
      <w:start w:val="1"/>
      <w:numFmt w:val="bullet"/>
      <w:lvlText w:val=""/>
      <w:lvlJc w:val="left"/>
      <w:pPr>
        <w:tabs>
          <w:tab w:val="num" w:pos="6480"/>
        </w:tabs>
        <w:ind w:left="6480" w:hanging="360"/>
      </w:pPr>
      <w:rPr>
        <w:rFonts w:ascii="Wingdings" w:hAnsi="Wingdings" w:hint="default"/>
      </w:rPr>
    </w:lvl>
  </w:abstractNum>
  <w:abstractNum w:abstractNumId="6">
    <w:nsid w:val="14331B30"/>
    <w:multiLevelType w:val="hybridMultilevel"/>
    <w:tmpl w:val="4D669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3E1DDA"/>
    <w:multiLevelType w:val="hybridMultilevel"/>
    <w:tmpl w:val="C48CB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4F7AC9"/>
    <w:multiLevelType w:val="hybridMultilevel"/>
    <w:tmpl w:val="7CB21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773188"/>
    <w:multiLevelType w:val="hybridMultilevel"/>
    <w:tmpl w:val="EC1439AC"/>
    <w:lvl w:ilvl="0" w:tplc="DDD49338">
      <w:start w:val="1"/>
      <w:numFmt w:val="bullet"/>
      <w:lvlText w:val="•"/>
      <w:lvlJc w:val="left"/>
      <w:pPr>
        <w:tabs>
          <w:tab w:val="num" w:pos="720"/>
        </w:tabs>
        <w:ind w:left="720" w:hanging="360"/>
      </w:pPr>
      <w:rPr>
        <w:rFonts w:ascii="Arial" w:hAnsi="Arial" w:hint="default"/>
      </w:rPr>
    </w:lvl>
    <w:lvl w:ilvl="1" w:tplc="7632D808" w:tentative="1">
      <w:start w:val="1"/>
      <w:numFmt w:val="bullet"/>
      <w:lvlText w:val="•"/>
      <w:lvlJc w:val="left"/>
      <w:pPr>
        <w:tabs>
          <w:tab w:val="num" w:pos="1440"/>
        </w:tabs>
        <w:ind w:left="1440" w:hanging="360"/>
      </w:pPr>
      <w:rPr>
        <w:rFonts w:ascii="Arial" w:hAnsi="Arial" w:hint="default"/>
      </w:rPr>
    </w:lvl>
    <w:lvl w:ilvl="2" w:tplc="42644BCE" w:tentative="1">
      <w:start w:val="1"/>
      <w:numFmt w:val="bullet"/>
      <w:lvlText w:val="•"/>
      <w:lvlJc w:val="left"/>
      <w:pPr>
        <w:tabs>
          <w:tab w:val="num" w:pos="2160"/>
        </w:tabs>
        <w:ind w:left="2160" w:hanging="360"/>
      </w:pPr>
      <w:rPr>
        <w:rFonts w:ascii="Arial" w:hAnsi="Arial" w:hint="default"/>
      </w:rPr>
    </w:lvl>
    <w:lvl w:ilvl="3" w:tplc="83F0F8E6" w:tentative="1">
      <w:start w:val="1"/>
      <w:numFmt w:val="bullet"/>
      <w:lvlText w:val="•"/>
      <w:lvlJc w:val="left"/>
      <w:pPr>
        <w:tabs>
          <w:tab w:val="num" w:pos="2880"/>
        </w:tabs>
        <w:ind w:left="2880" w:hanging="360"/>
      </w:pPr>
      <w:rPr>
        <w:rFonts w:ascii="Arial" w:hAnsi="Arial" w:hint="default"/>
      </w:rPr>
    </w:lvl>
    <w:lvl w:ilvl="4" w:tplc="288C086C" w:tentative="1">
      <w:start w:val="1"/>
      <w:numFmt w:val="bullet"/>
      <w:lvlText w:val="•"/>
      <w:lvlJc w:val="left"/>
      <w:pPr>
        <w:tabs>
          <w:tab w:val="num" w:pos="3600"/>
        </w:tabs>
        <w:ind w:left="3600" w:hanging="360"/>
      </w:pPr>
      <w:rPr>
        <w:rFonts w:ascii="Arial" w:hAnsi="Arial" w:hint="default"/>
      </w:rPr>
    </w:lvl>
    <w:lvl w:ilvl="5" w:tplc="64849E3A" w:tentative="1">
      <w:start w:val="1"/>
      <w:numFmt w:val="bullet"/>
      <w:lvlText w:val="•"/>
      <w:lvlJc w:val="left"/>
      <w:pPr>
        <w:tabs>
          <w:tab w:val="num" w:pos="4320"/>
        </w:tabs>
        <w:ind w:left="4320" w:hanging="360"/>
      </w:pPr>
      <w:rPr>
        <w:rFonts w:ascii="Arial" w:hAnsi="Arial" w:hint="default"/>
      </w:rPr>
    </w:lvl>
    <w:lvl w:ilvl="6" w:tplc="BFF242C8" w:tentative="1">
      <w:start w:val="1"/>
      <w:numFmt w:val="bullet"/>
      <w:lvlText w:val="•"/>
      <w:lvlJc w:val="left"/>
      <w:pPr>
        <w:tabs>
          <w:tab w:val="num" w:pos="5040"/>
        </w:tabs>
        <w:ind w:left="5040" w:hanging="360"/>
      </w:pPr>
      <w:rPr>
        <w:rFonts w:ascii="Arial" w:hAnsi="Arial" w:hint="default"/>
      </w:rPr>
    </w:lvl>
    <w:lvl w:ilvl="7" w:tplc="7D3E54D2" w:tentative="1">
      <w:start w:val="1"/>
      <w:numFmt w:val="bullet"/>
      <w:lvlText w:val="•"/>
      <w:lvlJc w:val="left"/>
      <w:pPr>
        <w:tabs>
          <w:tab w:val="num" w:pos="5760"/>
        </w:tabs>
        <w:ind w:left="5760" w:hanging="360"/>
      </w:pPr>
      <w:rPr>
        <w:rFonts w:ascii="Arial" w:hAnsi="Arial" w:hint="default"/>
      </w:rPr>
    </w:lvl>
    <w:lvl w:ilvl="8" w:tplc="52143A4E" w:tentative="1">
      <w:start w:val="1"/>
      <w:numFmt w:val="bullet"/>
      <w:lvlText w:val="•"/>
      <w:lvlJc w:val="left"/>
      <w:pPr>
        <w:tabs>
          <w:tab w:val="num" w:pos="6480"/>
        </w:tabs>
        <w:ind w:left="6480" w:hanging="360"/>
      </w:pPr>
      <w:rPr>
        <w:rFonts w:ascii="Arial" w:hAnsi="Arial" w:hint="default"/>
      </w:rPr>
    </w:lvl>
  </w:abstractNum>
  <w:abstractNum w:abstractNumId="10">
    <w:nsid w:val="24DD6852"/>
    <w:multiLevelType w:val="multilevel"/>
    <w:tmpl w:val="C3E2286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B6659"/>
    <w:multiLevelType w:val="hybridMultilevel"/>
    <w:tmpl w:val="5834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2460F8"/>
    <w:multiLevelType w:val="hybridMultilevel"/>
    <w:tmpl w:val="704204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53300A"/>
    <w:multiLevelType w:val="multilevel"/>
    <w:tmpl w:val="5C2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E53A1"/>
    <w:multiLevelType w:val="multilevel"/>
    <w:tmpl w:val="114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06802"/>
    <w:multiLevelType w:val="hybridMultilevel"/>
    <w:tmpl w:val="1B5E6E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D1E6049"/>
    <w:multiLevelType w:val="hybridMultilevel"/>
    <w:tmpl w:val="ED0695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DBB6D4A"/>
    <w:multiLevelType w:val="hybridMultilevel"/>
    <w:tmpl w:val="21CA857E"/>
    <w:lvl w:ilvl="0" w:tplc="985EBEB8">
      <w:start w:val="1"/>
      <w:numFmt w:val="bullet"/>
      <w:lvlText w:val=""/>
      <w:lvlJc w:val="left"/>
      <w:pPr>
        <w:tabs>
          <w:tab w:val="num" w:pos="720"/>
        </w:tabs>
        <w:ind w:left="720" w:hanging="360"/>
      </w:pPr>
      <w:rPr>
        <w:rFonts w:ascii="Wingdings" w:hAnsi="Wingdings" w:hint="default"/>
      </w:rPr>
    </w:lvl>
    <w:lvl w:ilvl="1" w:tplc="49747DBE" w:tentative="1">
      <w:start w:val="1"/>
      <w:numFmt w:val="bullet"/>
      <w:lvlText w:val=""/>
      <w:lvlJc w:val="left"/>
      <w:pPr>
        <w:tabs>
          <w:tab w:val="num" w:pos="1440"/>
        </w:tabs>
        <w:ind w:left="1440" w:hanging="360"/>
      </w:pPr>
      <w:rPr>
        <w:rFonts w:ascii="Wingdings" w:hAnsi="Wingdings" w:hint="default"/>
      </w:rPr>
    </w:lvl>
    <w:lvl w:ilvl="2" w:tplc="8A00A930" w:tentative="1">
      <w:start w:val="1"/>
      <w:numFmt w:val="bullet"/>
      <w:lvlText w:val=""/>
      <w:lvlJc w:val="left"/>
      <w:pPr>
        <w:tabs>
          <w:tab w:val="num" w:pos="2160"/>
        </w:tabs>
        <w:ind w:left="2160" w:hanging="360"/>
      </w:pPr>
      <w:rPr>
        <w:rFonts w:ascii="Wingdings" w:hAnsi="Wingdings" w:hint="default"/>
      </w:rPr>
    </w:lvl>
    <w:lvl w:ilvl="3" w:tplc="0A605716" w:tentative="1">
      <w:start w:val="1"/>
      <w:numFmt w:val="bullet"/>
      <w:lvlText w:val=""/>
      <w:lvlJc w:val="left"/>
      <w:pPr>
        <w:tabs>
          <w:tab w:val="num" w:pos="2880"/>
        </w:tabs>
        <w:ind w:left="2880" w:hanging="360"/>
      </w:pPr>
      <w:rPr>
        <w:rFonts w:ascii="Wingdings" w:hAnsi="Wingdings" w:hint="default"/>
      </w:rPr>
    </w:lvl>
    <w:lvl w:ilvl="4" w:tplc="4B52E0C6" w:tentative="1">
      <w:start w:val="1"/>
      <w:numFmt w:val="bullet"/>
      <w:lvlText w:val=""/>
      <w:lvlJc w:val="left"/>
      <w:pPr>
        <w:tabs>
          <w:tab w:val="num" w:pos="3600"/>
        </w:tabs>
        <w:ind w:left="3600" w:hanging="360"/>
      </w:pPr>
      <w:rPr>
        <w:rFonts w:ascii="Wingdings" w:hAnsi="Wingdings" w:hint="default"/>
      </w:rPr>
    </w:lvl>
    <w:lvl w:ilvl="5" w:tplc="C9242132" w:tentative="1">
      <w:start w:val="1"/>
      <w:numFmt w:val="bullet"/>
      <w:lvlText w:val=""/>
      <w:lvlJc w:val="left"/>
      <w:pPr>
        <w:tabs>
          <w:tab w:val="num" w:pos="4320"/>
        </w:tabs>
        <w:ind w:left="4320" w:hanging="360"/>
      </w:pPr>
      <w:rPr>
        <w:rFonts w:ascii="Wingdings" w:hAnsi="Wingdings" w:hint="default"/>
      </w:rPr>
    </w:lvl>
    <w:lvl w:ilvl="6" w:tplc="E8B0668C" w:tentative="1">
      <w:start w:val="1"/>
      <w:numFmt w:val="bullet"/>
      <w:lvlText w:val=""/>
      <w:lvlJc w:val="left"/>
      <w:pPr>
        <w:tabs>
          <w:tab w:val="num" w:pos="5040"/>
        </w:tabs>
        <w:ind w:left="5040" w:hanging="360"/>
      </w:pPr>
      <w:rPr>
        <w:rFonts w:ascii="Wingdings" w:hAnsi="Wingdings" w:hint="default"/>
      </w:rPr>
    </w:lvl>
    <w:lvl w:ilvl="7" w:tplc="61F68ABE" w:tentative="1">
      <w:start w:val="1"/>
      <w:numFmt w:val="bullet"/>
      <w:lvlText w:val=""/>
      <w:lvlJc w:val="left"/>
      <w:pPr>
        <w:tabs>
          <w:tab w:val="num" w:pos="5760"/>
        </w:tabs>
        <w:ind w:left="5760" w:hanging="360"/>
      </w:pPr>
      <w:rPr>
        <w:rFonts w:ascii="Wingdings" w:hAnsi="Wingdings" w:hint="default"/>
      </w:rPr>
    </w:lvl>
    <w:lvl w:ilvl="8" w:tplc="FE9A1780" w:tentative="1">
      <w:start w:val="1"/>
      <w:numFmt w:val="bullet"/>
      <w:lvlText w:val=""/>
      <w:lvlJc w:val="left"/>
      <w:pPr>
        <w:tabs>
          <w:tab w:val="num" w:pos="6480"/>
        </w:tabs>
        <w:ind w:left="6480" w:hanging="360"/>
      </w:pPr>
      <w:rPr>
        <w:rFonts w:ascii="Wingdings" w:hAnsi="Wingdings" w:hint="default"/>
      </w:rPr>
    </w:lvl>
  </w:abstractNum>
  <w:abstractNum w:abstractNumId="18">
    <w:nsid w:val="3F55684C"/>
    <w:multiLevelType w:val="hybridMultilevel"/>
    <w:tmpl w:val="F80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E6395"/>
    <w:multiLevelType w:val="hybridMultilevel"/>
    <w:tmpl w:val="30627B8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0">
    <w:nsid w:val="46EE63BA"/>
    <w:multiLevelType w:val="hybridMultilevel"/>
    <w:tmpl w:val="5C06B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B152881"/>
    <w:multiLevelType w:val="multilevel"/>
    <w:tmpl w:val="1842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7363C"/>
    <w:multiLevelType w:val="multilevel"/>
    <w:tmpl w:val="73200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B31FE"/>
    <w:multiLevelType w:val="multilevel"/>
    <w:tmpl w:val="5428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EF4F37"/>
    <w:multiLevelType w:val="hybridMultilevel"/>
    <w:tmpl w:val="9C806FDA"/>
    <w:lvl w:ilvl="0" w:tplc="BFEA06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72B534F"/>
    <w:multiLevelType w:val="hybridMultilevel"/>
    <w:tmpl w:val="CA3A8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7732F71"/>
    <w:multiLevelType w:val="hybridMultilevel"/>
    <w:tmpl w:val="8F40FFAC"/>
    <w:lvl w:ilvl="0" w:tplc="2FAEB6C8">
      <w:start w:val="1"/>
      <w:numFmt w:val="bullet"/>
      <w:lvlText w:val="•"/>
      <w:lvlJc w:val="left"/>
      <w:pPr>
        <w:tabs>
          <w:tab w:val="num" w:pos="720"/>
        </w:tabs>
        <w:ind w:left="720" w:hanging="360"/>
      </w:pPr>
      <w:rPr>
        <w:rFonts w:ascii="Arial" w:hAnsi="Arial" w:hint="default"/>
      </w:rPr>
    </w:lvl>
    <w:lvl w:ilvl="1" w:tplc="954C2A5A" w:tentative="1">
      <w:start w:val="1"/>
      <w:numFmt w:val="bullet"/>
      <w:lvlText w:val="•"/>
      <w:lvlJc w:val="left"/>
      <w:pPr>
        <w:tabs>
          <w:tab w:val="num" w:pos="1440"/>
        </w:tabs>
        <w:ind w:left="1440" w:hanging="360"/>
      </w:pPr>
      <w:rPr>
        <w:rFonts w:ascii="Arial" w:hAnsi="Arial" w:hint="default"/>
      </w:rPr>
    </w:lvl>
    <w:lvl w:ilvl="2" w:tplc="1068D6D8" w:tentative="1">
      <w:start w:val="1"/>
      <w:numFmt w:val="bullet"/>
      <w:lvlText w:val="•"/>
      <w:lvlJc w:val="left"/>
      <w:pPr>
        <w:tabs>
          <w:tab w:val="num" w:pos="2160"/>
        </w:tabs>
        <w:ind w:left="2160" w:hanging="360"/>
      </w:pPr>
      <w:rPr>
        <w:rFonts w:ascii="Arial" w:hAnsi="Arial" w:hint="default"/>
      </w:rPr>
    </w:lvl>
    <w:lvl w:ilvl="3" w:tplc="C52EF488" w:tentative="1">
      <w:start w:val="1"/>
      <w:numFmt w:val="bullet"/>
      <w:lvlText w:val="•"/>
      <w:lvlJc w:val="left"/>
      <w:pPr>
        <w:tabs>
          <w:tab w:val="num" w:pos="2880"/>
        </w:tabs>
        <w:ind w:left="2880" w:hanging="360"/>
      </w:pPr>
      <w:rPr>
        <w:rFonts w:ascii="Arial" w:hAnsi="Arial" w:hint="default"/>
      </w:rPr>
    </w:lvl>
    <w:lvl w:ilvl="4" w:tplc="9B7ED170" w:tentative="1">
      <w:start w:val="1"/>
      <w:numFmt w:val="bullet"/>
      <w:lvlText w:val="•"/>
      <w:lvlJc w:val="left"/>
      <w:pPr>
        <w:tabs>
          <w:tab w:val="num" w:pos="3600"/>
        </w:tabs>
        <w:ind w:left="3600" w:hanging="360"/>
      </w:pPr>
      <w:rPr>
        <w:rFonts w:ascii="Arial" w:hAnsi="Arial" w:hint="default"/>
      </w:rPr>
    </w:lvl>
    <w:lvl w:ilvl="5" w:tplc="7304E2DC" w:tentative="1">
      <w:start w:val="1"/>
      <w:numFmt w:val="bullet"/>
      <w:lvlText w:val="•"/>
      <w:lvlJc w:val="left"/>
      <w:pPr>
        <w:tabs>
          <w:tab w:val="num" w:pos="4320"/>
        </w:tabs>
        <w:ind w:left="4320" w:hanging="360"/>
      </w:pPr>
      <w:rPr>
        <w:rFonts w:ascii="Arial" w:hAnsi="Arial" w:hint="default"/>
      </w:rPr>
    </w:lvl>
    <w:lvl w:ilvl="6" w:tplc="A9524E96" w:tentative="1">
      <w:start w:val="1"/>
      <w:numFmt w:val="bullet"/>
      <w:lvlText w:val="•"/>
      <w:lvlJc w:val="left"/>
      <w:pPr>
        <w:tabs>
          <w:tab w:val="num" w:pos="5040"/>
        </w:tabs>
        <w:ind w:left="5040" w:hanging="360"/>
      </w:pPr>
      <w:rPr>
        <w:rFonts w:ascii="Arial" w:hAnsi="Arial" w:hint="default"/>
      </w:rPr>
    </w:lvl>
    <w:lvl w:ilvl="7" w:tplc="584027F4" w:tentative="1">
      <w:start w:val="1"/>
      <w:numFmt w:val="bullet"/>
      <w:lvlText w:val="•"/>
      <w:lvlJc w:val="left"/>
      <w:pPr>
        <w:tabs>
          <w:tab w:val="num" w:pos="5760"/>
        </w:tabs>
        <w:ind w:left="5760" w:hanging="360"/>
      </w:pPr>
      <w:rPr>
        <w:rFonts w:ascii="Arial" w:hAnsi="Arial" w:hint="default"/>
      </w:rPr>
    </w:lvl>
    <w:lvl w:ilvl="8" w:tplc="11B6C496" w:tentative="1">
      <w:start w:val="1"/>
      <w:numFmt w:val="bullet"/>
      <w:lvlText w:val="•"/>
      <w:lvlJc w:val="left"/>
      <w:pPr>
        <w:tabs>
          <w:tab w:val="num" w:pos="6480"/>
        </w:tabs>
        <w:ind w:left="6480" w:hanging="360"/>
      </w:pPr>
      <w:rPr>
        <w:rFonts w:ascii="Arial" w:hAnsi="Arial" w:hint="default"/>
      </w:rPr>
    </w:lvl>
  </w:abstractNum>
  <w:abstractNum w:abstractNumId="27">
    <w:nsid w:val="59DA536B"/>
    <w:multiLevelType w:val="hybridMultilevel"/>
    <w:tmpl w:val="E200B6AA"/>
    <w:lvl w:ilvl="0" w:tplc="28408C10">
      <w:start w:val="1"/>
      <w:numFmt w:val="bullet"/>
      <w:lvlText w:val="•"/>
      <w:lvlJc w:val="left"/>
      <w:pPr>
        <w:tabs>
          <w:tab w:val="num" w:pos="720"/>
        </w:tabs>
        <w:ind w:left="720" w:hanging="360"/>
      </w:pPr>
      <w:rPr>
        <w:rFonts w:ascii="Arial" w:hAnsi="Arial" w:hint="default"/>
      </w:rPr>
    </w:lvl>
    <w:lvl w:ilvl="1" w:tplc="CD8ADD12">
      <w:start w:val="1"/>
      <w:numFmt w:val="bullet"/>
      <w:lvlText w:val="•"/>
      <w:lvlJc w:val="left"/>
      <w:pPr>
        <w:tabs>
          <w:tab w:val="num" w:pos="1440"/>
        </w:tabs>
        <w:ind w:left="1440" w:hanging="360"/>
      </w:pPr>
      <w:rPr>
        <w:rFonts w:ascii="Arial" w:hAnsi="Arial" w:hint="default"/>
      </w:rPr>
    </w:lvl>
    <w:lvl w:ilvl="2" w:tplc="845E99A8" w:tentative="1">
      <w:start w:val="1"/>
      <w:numFmt w:val="bullet"/>
      <w:lvlText w:val="•"/>
      <w:lvlJc w:val="left"/>
      <w:pPr>
        <w:tabs>
          <w:tab w:val="num" w:pos="2160"/>
        </w:tabs>
        <w:ind w:left="2160" w:hanging="360"/>
      </w:pPr>
      <w:rPr>
        <w:rFonts w:ascii="Arial" w:hAnsi="Arial" w:hint="default"/>
      </w:rPr>
    </w:lvl>
    <w:lvl w:ilvl="3" w:tplc="47B8E31E" w:tentative="1">
      <w:start w:val="1"/>
      <w:numFmt w:val="bullet"/>
      <w:lvlText w:val="•"/>
      <w:lvlJc w:val="left"/>
      <w:pPr>
        <w:tabs>
          <w:tab w:val="num" w:pos="2880"/>
        </w:tabs>
        <w:ind w:left="2880" w:hanging="360"/>
      </w:pPr>
      <w:rPr>
        <w:rFonts w:ascii="Arial" w:hAnsi="Arial" w:hint="default"/>
      </w:rPr>
    </w:lvl>
    <w:lvl w:ilvl="4" w:tplc="8B5023DE" w:tentative="1">
      <w:start w:val="1"/>
      <w:numFmt w:val="bullet"/>
      <w:lvlText w:val="•"/>
      <w:lvlJc w:val="left"/>
      <w:pPr>
        <w:tabs>
          <w:tab w:val="num" w:pos="3600"/>
        </w:tabs>
        <w:ind w:left="3600" w:hanging="360"/>
      </w:pPr>
      <w:rPr>
        <w:rFonts w:ascii="Arial" w:hAnsi="Arial" w:hint="default"/>
      </w:rPr>
    </w:lvl>
    <w:lvl w:ilvl="5" w:tplc="6E229A44" w:tentative="1">
      <w:start w:val="1"/>
      <w:numFmt w:val="bullet"/>
      <w:lvlText w:val="•"/>
      <w:lvlJc w:val="left"/>
      <w:pPr>
        <w:tabs>
          <w:tab w:val="num" w:pos="4320"/>
        </w:tabs>
        <w:ind w:left="4320" w:hanging="360"/>
      </w:pPr>
      <w:rPr>
        <w:rFonts w:ascii="Arial" w:hAnsi="Arial" w:hint="default"/>
      </w:rPr>
    </w:lvl>
    <w:lvl w:ilvl="6" w:tplc="AC6406A6" w:tentative="1">
      <w:start w:val="1"/>
      <w:numFmt w:val="bullet"/>
      <w:lvlText w:val="•"/>
      <w:lvlJc w:val="left"/>
      <w:pPr>
        <w:tabs>
          <w:tab w:val="num" w:pos="5040"/>
        </w:tabs>
        <w:ind w:left="5040" w:hanging="360"/>
      </w:pPr>
      <w:rPr>
        <w:rFonts w:ascii="Arial" w:hAnsi="Arial" w:hint="default"/>
      </w:rPr>
    </w:lvl>
    <w:lvl w:ilvl="7" w:tplc="70DAEB58" w:tentative="1">
      <w:start w:val="1"/>
      <w:numFmt w:val="bullet"/>
      <w:lvlText w:val="•"/>
      <w:lvlJc w:val="left"/>
      <w:pPr>
        <w:tabs>
          <w:tab w:val="num" w:pos="5760"/>
        </w:tabs>
        <w:ind w:left="5760" w:hanging="360"/>
      </w:pPr>
      <w:rPr>
        <w:rFonts w:ascii="Arial" w:hAnsi="Arial" w:hint="default"/>
      </w:rPr>
    </w:lvl>
    <w:lvl w:ilvl="8" w:tplc="3A0C3AC2" w:tentative="1">
      <w:start w:val="1"/>
      <w:numFmt w:val="bullet"/>
      <w:lvlText w:val="•"/>
      <w:lvlJc w:val="left"/>
      <w:pPr>
        <w:tabs>
          <w:tab w:val="num" w:pos="6480"/>
        </w:tabs>
        <w:ind w:left="6480" w:hanging="360"/>
      </w:pPr>
      <w:rPr>
        <w:rFonts w:ascii="Arial" w:hAnsi="Arial" w:hint="default"/>
      </w:rPr>
    </w:lvl>
  </w:abstractNum>
  <w:abstractNum w:abstractNumId="28">
    <w:nsid w:val="5B593E9F"/>
    <w:multiLevelType w:val="hybridMultilevel"/>
    <w:tmpl w:val="DBA2766E"/>
    <w:lvl w:ilvl="0" w:tplc="D292E62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BE23519"/>
    <w:multiLevelType w:val="hybridMultilevel"/>
    <w:tmpl w:val="3CA4B034"/>
    <w:lvl w:ilvl="0" w:tplc="04260001">
      <w:start w:val="1"/>
      <w:numFmt w:val="bullet"/>
      <w:lvlText w:val=""/>
      <w:lvlJc w:val="left"/>
      <w:pPr>
        <w:ind w:left="720" w:hanging="360"/>
      </w:pPr>
      <w:rPr>
        <w:rFonts w:ascii="Symbol" w:hAnsi="Symbol" w:hint="default"/>
      </w:rPr>
    </w:lvl>
    <w:lvl w:ilvl="1" w:tplc="2CDEB130">
      <w:numFmt w:val="bullet"/>
      <w:lvlText w:val="-"/>
      <w:lvlJc w:val="left"/>
      <w:pPr>
        <w:ind w:left="2010" w:hanging="93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BF17D6D"/>
    <w:multiLevelType w:val="hybridMultilevel"/>
    <w:tmpl w:val="1F927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21500B"/>
    <w:multiLevelType w:val="hybridMultilevel"/>
    <w:tmpl w:val="1B168E48"/>
    <w:lvl w:ilvl="0" w:tplc="F5E8756C">
      <w:start w:val="1"/>
      <w:numFmt w:val="bullet"/>
      <w:lvlText w:val="•"/>
      <w:lvlJc w:val="left"/>
      <w:pPr>
        <w:tabs>
          <w:tab w:val="num" w:pos="720"/>
        </w:tabs>
        <w:ind w:left="720" w:hanging="360"/>
      </w:pPr>
      <w:rPr>
        <w:rFonts w:ascii="Arial" w:hAnsi="Arial" w:hint="default"/>
      </w:rPr>
    </w:lvl>
    <w:lvl w:ilvl="1" w:tplc="20663E86" w:tentative="1">
      <w:start w:val="1"/>
      <w:numFmt w:val="bullet"/>
      <w:lvlText w:val="•"/>
      <w:lvlJc w:val="left"/>
      <w:pPr>
        <w:tabs>
          <w:tab w:val="num" w:pos="1440"/>
        </w:tabs>
        <w:ind w:left="1440" w:hanging="360"/>
      </w:pPr>
      <w:rPr>
        <w:rFonts w:ascii="Arial" w:hAnsi="Arial" w:hint="default"/>
      </w:rPr>
    </w:lvl>
    <w:lvl w:ilvl="2" w:tplc="E88E5236" w:tentative="1">
      <w:start w:val="1"/>
      <w:numFmt w:val="bullet"/>
      <w:lvlText w:val="•"/>
      <w:lvlJc w:val="left"/>
      <w:pPr>
        <w:tabs>
          <w:tab w:val="num" w:pos="2160"/>
        </w:tabs>
        <w:ind w:left="2160" w:hanging="360"/>
      </w:pPr>
      <w:rPr>
        <w:rFonts w:ascii="Arial" w:hAnsi="Arial" w:hint="default"/>
      </w:rPr>
    </w:lvl>
    <w:lvl w:ilvl="3" w:tplc="644643FA" w:tentative="1">
      <w:start w:val="1"/>
      <w:numFmt w:val="bullet"/>
      <w:lvlText w:val="•"/>
      <w:lvlJc w:val="left"/>
      <w:pPr>
        <w:tabs>
          <w:tab w:val="num" w:pos="2880"/>
        </w:tabs>
        <w:ind w:left="2880" w:hanging="360"/>
      </w:pPr>
      <w:rPr>
        <w:rFonts w:ascii="Arial" w:hAnsi="Arial" w:hint="default"/>
      </w:rPr>
    </w:lvl>
    <w:lvl w:ilvl="4" w:tplc="3B8A7698" w:tentative="1">
      <w:start w:val="1"/>
      <w:numFmt w:val="bullet"/>
      <w:lvlText w:val="•"/>
      <w:lvlJc w:val="left"/>
      <w:pPr>
        <w:tabs>
          <w:tab w:val="num" w:pos="3600"/>
        </w:tabs>
        <w:ind w:left="3600" w:hanging="360"/>
      </w:pPr>
      <w:rPr>
        <w:rFonts w:ascii="Arial" w:hAnsi="Arial" w:hint="default"/>
      </w:rPr>
    </w:lvl>
    <w:lvl w:ilvl="5" w:tplc="118A30F2" w:tentative="1">
      <w:start w:val="1"/>
      <w:numFmt w:val="bullet"/>
      <w:lvlText w:val="•"/>
      <w:lvlJc w:val="left"/>
      <w:pPr>
        <w:tabs>
          <w:tab w:val="num" w:pos="4320"/>
        </w:tabs>
        <w:ind w:left="4320" w:hanging="360"/>
      </w:pPr>
      <w:rPr>
        <w:rFonts w:ascii="Arial" w:hAnsi="Arial" w:hint="default"/>
      </w:rPr>
    </w:lvl>
    <w:lvl w:ilvl="6" w:tplc="0FC2E798" w:tentative="1">
      <w:start w:val="1"/>
      <w:numFmt w:val="bullet"/>
      <w:lvlText w:val="•"/>
      <w:lvlJc w:val="left"/>
      <w:pPr>
        <w:tabs>
          <w:tab w:val="num" w:pos="5040"/>
        </w:tabs>
        <w:ind w:left="5040" w:hanging="360"/>
      </w:pPr>
      <w:rPr>
        <w:rFonts w:ascii="Arial" w:hAnsi="Arial" w:hint="default"/>
      </w:rPr>
    </w:lvl>
    <w:lvl w:ilvl="7" w:tplc="3BE2C470" w:tentative="1">
      <w:start w:val="1"/>
      <w:numFmt w:val="bullet"/>
      <w:lvlText w:val="•"/>
      <w:lvlJc w:val="left"/>
      <w:pPr>
        <w:tabs>
          <w:tab w:val="num" w:pos="5760"/>
        </w:tabs>
        <w:ind w:left="5760" w:hanging="360"/>
      </w:pPr>
      <w:rPr>
        <w:rFonts w:ascii="Arial" w:hAnsi="Arial" w:hint="default"/>
      </w:rPr>
    </w:lvl>
    <w:lvl w:ilvl="8" w:tplc="9E2A3E8A" w:tentative="1">
      <w:start w:val="1"/>
      <w:numFmt w:val="bullet"/>
      <w:lvlText w:val="•"/>
      <w:lvlJc w:val="left"/>
      <w:pPr>
        <w:tabs>
          <w:tab w:val="num" w:pos="6480"/>
        </w:tabs>
        <w:ind w:left="6480" w:hanging="360"/>
      </w:pPr>
      <w:rPr>
        <w:rFonts w:ascii="Arial" w:hAnsi="Arial" w:hint="default"/>
      </w:rPr>
    </w:lvl>
  </w:abstractNum>
  <w:abstractNum w:abstractNumId="32">
    <w:nsid w:val="619726B5"/>
    <w:multiLevelType w:val="hybridMultilevel"/>
    <w:tmpl w:val="680E4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6E708AE"/>
    <w:multiLevelType w:val="hybridMultilevel"/>
    <w:tmpl w:val="7BDAB76C"/>
    <w:lvl w:ilvl="0" w:tplc="51963CB6">
      <w:start w:val="1"/>
      <w:numFmt w:val="bullet"/>
      <w:lvlText w:val="•"/>
      <w:lvlJc w:val="left"/>
      <w:pPr>
        <w:tabs>
          <w:tab w:val="num" w:pos="720"/>
        </w:tabs>
        <w:ind w:left="720" w:hanging="360"/>
      </w:pPr>
      <w:rPr>
        <w:rFonts w:ascii="Arial" w:hAnsi="Arial" w:hint="default"/>
      </w:rPr>
    </w:lvl>
    <w:lvl w:ilvl="1" w:tplc="9F446E1A" w:tentative="1">
      <w:start w:val="1"/>
      <w:numFmt w:val="bullet"/>
      <w:lvlText w:val="•"/>
      <w:lvlJc w:val="left"/>
      <w:pPr>
        <w:tabs>
          <w:tab w:val="num" w:pos="1440"/>
        </w:tabs>
        <w:ind w:left="1440" w:hanging="360"/>
      </w:pPr>
      <w:rPr>
        <w:rFonts w:ascii="Arial" w:hAnsi="Arial" w:hint="default"/>
      </w:rPr>
    </w:lvl>
    <w:lvl w:ilvl="2" w:tplc="611262D8" w:tentative="1">
      <w:start w:val="1"/>
      <w:numFmt w:val="bullet"/>
      <w:lvlText w:val="•"/>
      <w:lvlJc w:val="left"/>
      <w:pPr>
        <w:tabs>
          <w:tab w:val="num" w:pos="2160"/>
        </w:tabs>
        <w:ind w:left="2160" w:hanging="360"/>
      </w:pPr>
      <w:rPr>
        <w:rFonts w:ascii="Arial" w:hAnsi="Arial" w:hint="default"/>
      </w:rPr>
    </w:lvl>
    <w:lvl w:ilvl="3" w:tplc="8166901C" w:tentative="1">
      <w:start w:val="1"/>
      <w:numFmt w:val="bullet"/>
      <w:lvlText w:val="•"/>
      <w:lvlJc w:val="left"/>
      <w:pPr>
        <w:tabs>
          <w:tab w:val="num" w:pos="2880"/>
        </w:tabs>
        <w:ind w:left="2880" w:hanging="360"/>
      </w:pPr>
      <w:rPr>
        <w:rFonts w:ascii="Arial" w:hAnsi="Arial" w:hint="default"/>
      </w:rPr>
    </w:lvl>
    <w:lvl w:ilvl="4" w:tplc="00865D7A" w:tentative="1">
      <w:start w:val="1"/>
      <w:numFmt w:val="bullet"/>
      <w:lvlText w:val="•"/>
      <w:lvlJc w:val="left"/>
      <w:pPr>
        <w:tabs>
          <w:tab w:val="num" w:pos="3600"/>
        </w:tabs>
        <w:ind w:left="3600" w:hanging="360"/>
      </w:pPr>
      <w:rPr>
        <w:rFonts w:ascii="Arial" w:hAnsi="Arial" w:hint="default"/>
      </w:rPr>
    </w:lvl>
    <w:lvl w:ilvl="5" w:tplc="68FE2F0C" w:tentative="1">
      <w:start w:val="1"/>
      <w:numFmt w:val="bullet"/>
      <w:lvlText w:val="•"/>
      <w:lvlJc w:val="left"/>
      <w:pPr>
        <w:tabs>
          <w:tab w:val="num" w:pos="4320"/>
        </w:tabs>
        <w:ind w:left="4320" w:hanging="360"/>
      </w:pPr>
      <w:rPr>
        <w:rFonts w:ascii="Arial" w:hAnsi="Arial" w:hint="default"/>
      </w:rPr>
    </w:lvl>
    <w:lvl w:ilvl="6" w:tplc="2EF25A5E" w:tentative="1">
      <w:start w:val="1"/>
      <w:numFmt w:val="bullet"/>
      <w:lvlText w:val="•"/>
      <w:lvlJc w:val="left"/>
      <w:pPr>
        <w:tabs>
          <w:tab w:val="num" w:pos="5040"/>
        </w:tabs>
        <w:ind w:left="5040" w:hanging="360"/>
      </w:pPr>
      <w:rPr>
        <w:rFonts w:ascii="Arial" w:hAnsi="Arial" w:hint="default"/>
      </w:rPr>
    </w:lvl>
    <w:lvl w:ilvl="7" w:tplc="5B543D4E" w:tentative="1">
      <w:start w:val="1"/>
      <w:numFmt w:val="bullet"/>
      <w:lvlText w:val="•"/>
      <w:lvlJc w:val="left"/>
      <w:pPr>
        <w:tabs>
          <w:tab w:val="num" w:pos="5760"/>
        </w:tabs>
        <w:ind w:left="5760" w:hanging="360"/>
      </w:pPr>
      <w:rPr>
        <w:rFonts w:ascii="Arial" w:hAnsi="Arial" w:hint="default"/>
      </w:rPr>
    </w:lvl>
    <w:lvl w:ilvl="8" w:tplc="2EACC124" w:tentative="1">
      <w:start w:val="1"/>
      <w:numFmt w:val="bullet"/>
      <w:lvlText w:val="•"/>
      <w:lvlJc w:val="left"/>
      <w:pPr>
        <w:tabs>
          <w:tab w:val="num" w:pos="6480"/>
        </w:tabs>
        <w:ind w:left="6480" w:hanging="360"/>
      </w:pPr>
      <w:rPr>
        <w:rFonts w:ascii="Arial" w:hAnsi="Arial" w:hint="default"/>
      </w:rPr>
    </w:lvl>
  </w:abstractNum>
  <w:abstractNum w:abstractNumId="34">
    <w:nsid w:val="683C158E"/>
    <w:multiLevelType w:val="multilevel"/>
    <w:tmpl w:val="305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4C66A1"/>
    <w:multiLevelType w:val="multilevel"/>
    <w:tmpl w:val="195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BC2347"/>
    <w:multiLevelType w:val="hybridMultilevel"/>
    <w:tmpl w:val="2DE05E0E"/>
    <w:lvl w:ilvl="0" w:tplc="DC623AE6">
      <w:start w:val="1"/>
      <w:numFmt w:val="decimal"/>
      <w:lvlText w:val="%1."/>
      <w:lvlJc w:val="left"/>
      <w:pPr>
        <w:tabs>
          <w:tab w:val="num" w:pos="720"/>
        </w:tabs>
        <w:ind w:left="720" w:hanging="360"/>
      </w:pPr>
    </w:lvl>
    <w:lvl w:ilvl="1" w:tplc="12128E10" w:tentative="1">
      <w:start w:val="1"/>
      <w:numFmt w:val="decimal"/>
      <w:lvlText w:val="%2."/>
      <w:lvlJc w:val="left"/>
      <w:pPr>
        <w:tabs>
          <w:tab w:val="num" w:pos="1440"/>
        </w:tabs>
        <w:ind w:left="1440" w:hanging="360"/>
      </w:pPr>
    </w:lvl>
    <w:lvl w:ilvl="2" w:tplc="A2C87864" w:tentative="1">
      <w:start w:val="1"/>
      <w:numFmt w:val="decimal"/>
      <w:lvlText w:val="%3."/>
      <w:lvlJc w:val="left"/>
      <w:pPr>
        <w:tabs>
          <w:tab w:val="num" w:pos="2160"/>
        </w:tabs>
        <w:ind w:left="2160" w:hanging="360"/>
      </w:pPr>
    </w:lvl>
    <w:lvl w:ilvl="3" w:tplc="359E6422" w:tentative="1">
      <w:start w:val="1"/>
      <w:numFmt w:val="decimal"/>
      <w:lvlText w:val="%4."/>
      <w:lvlJc w:val="left"/>
      <w:pPr>
        <w:tabs>
          <w:tab w:val="num" w:pos="2880"/>
        </w:tabs>
        <w:ind w:left="2880" w:hanging="360"/>
      </w:pPr>
    </w:lvl>
    <w:lvl w:ilvl="4" w:tplc="F12013EC" w:tentative="1">
      <w:start w:val="1"/>
      <w:numFmt w:val="decimal"/>
      <w:lvlText w:val="%5."/>
      <w:lvlJc w:val="left"/>
      <w:pPr>
        <w:tabs>
          <w:tab w:val="num" w:pos="3600"/>
        </w:tabs>
        <w:ind w:left="3600" w:hanging="360"/>
      </w:pPr>
    </w:lvl>
    <w:lvl w:ilvl="5" w:tplc="8206961A" w:tentative="1">
      <w:start w:val="1"/>
      <w:numFmt w:val="decimal"/>
      <w:lvlText w:val="%6."/>
      <w:lvlJc w:val="left"/>
      <w:pPr>
        <w:tabs>
          <w:tab w:val="num" w:pos="4320"/>
        </w:tabs>
        <w:ind w:left="4320" w:hanging="360"/>
      </w:pPr>
    </w:lvl>
    <w:lvl w:ilvl="6" w:tplc="FA5070F8" w:tentative="1">
      <w:start w:val="1"/>
      <w:numFmt w:val="decimal"/>
      <w:lvlText w:val="%7."/>
      <w:lvlJc w:val="left"/>
      <w:pPr>
        <w:tabs>
          <w:tab w:val="num" w:pos="5040"/>
        </w:tabs>
        <w:ind w:left="5040" w:hanging="360"/>
      </w:pPr>
    </w:lvl>
    <w:lvl w:ilvl="7" w:tplc="4A7A939E" w:tentative="1">
      <w:start w:val="1"/>
      <w:numFmt w:val="decimal"/>
      <w:lvlText w:val="%8."/>
      <w:lvlJc w:val="left"/>
      <w:pPr>
        <w:tabs>
          <w:tab w:val="num" w:pos="5760"/>
        </w:tabs>
        <w:ind w:left="5760" w:hanging="360"/>
      </w:pPr>
    </w:lvl>
    <w:lvl w:ilvl="8" w:tplc="99FAB532" w:tentative="1">
      <w:start w:val="1"/>
      <w:numFmt w:val="decimal"/>
      <w:lvlText w:val="%9."/>
      <w:lvlJc w:val="left"/>
      <w:pPr>
        <w:tabs>
          <w:tab w:val="num" w:pos="6480"/>
        </w:tabs>
        <w:ind w:left="6480" w:hanging="360"/>
      </w:pPr>
    </w:lvl>
  </w:abstractNum>
  <w:abstractNum w:abstractNumId="37">
    <w:nsid w:val="6A0D5310"/>
    <w:multiLevelType w:val="multilevel"/>
    <w:tmpl w:val="BC46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51670"/>
    <w:multiLevelType w:val="hybridMultilevel"/>
    <w:tmpl w:val="F236B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E3E0020"/>
    <w:multiLevelType w:val="hybridMultilevel"/>
    <w:tmpl w:val="F5AA3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AE64F8"/>
    <w:multiLevelType w:val="multilevel"/>
    <w:tmpl w:val="AE4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B7970"/>
    <w:multiLevelType w:val="hybridMultilevel"/>
    <w:tmpl w:val="188066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nsid w:val="75022399"/>
    <w:multiLevelType w:val="hybridMultilevel"/>
    <w:tmpl w:val="BC44F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727874"/>
    <w:multiLevelType w:val="multilevel"/>
    <w:tmpl w:val="97D8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F67687"/>
    <w:multiLevelType w:val="multilevel"/>
    <w:tmpl w:val="2F34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06CCF"/>
    <w:multiLevelType w:val="multilevel"/>
    <w:tmpl w:val="1B9A3790"/>
    <w:lvl w:ilvl="0">
      <w:start w:val="1500"/>
      <w:numFmt w:val="decimal"/>
      <w:lvlText w:val="%1"/>
      <w:lvlJc w:val="left"/>
      <w:pPr>
        <w:ind w:left="780" w:hanging="780"/>
      </w:pPr>
      <w:rPr>
        <w:rFonts w:hint="default"/>
      </w:rPr>
    </w:lvl>
    <w:lvl w:ilvl="1">
      <w:start w:val="4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870E5B"/>
    <w:multiLevelType w:val="multilevel"/>
    <w:tmpl w:val="F16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253148"/>
    <w:multiLevelType w:val="multilevel"/>
    <w:tmpl w:val="915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10B62"/>
    <w:multiLevelType w:val="hybridMultilevel"/>
    <w:tmpl w:val="D9541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6"/>
  </w:num>
  <w:num w:numId="4">
    <w:abstractNumId w:val="7"/>
  </w:num>
  <w:num w:numId="5">
    <w:abstractNumId w:val="29"/>
  </w:num>
  <w:num w:numId="6">
    <w:abstractNumId w:val="2"/>
  </w:num>
  <w:num w:numId="7">
    <w:abstractNumId w:val="11"/>
  </w:num>
  <w:num w:numId="8">
    <w:abstractNumId w:val="18"/>
  </w:num>
  <w:num w:numId="9">
    <w:abstractNumId w:val="32"/>
  </w:num>
  <w:num w:numId="10">
    <w:abstractNumId w:val="42"/>
  </w:num>
  <w:num w:numId="11">
    <w:abstractNumId w:val="14"/>
  </w:num>
  <w:num w:numId="12">
    <w:abstractNumId w:val="22"/>
  </w:num>
  <w:num w:numId="13">
    <w:abstractNumId w:val="34"/>
  </w:num>
  <w:num w:numId="14">
    <w:abstractNumId w:val="44"/>
  </w:num>
  <w:num w:numId="15">
    <w:abstractNumId w:val="40"/>
  </w:num>
  <w:num w:numId="16">
    <w:abstractNumId w:val="37"/>
  </w:num>
  <w:num w:numId="17">
    <w:abstractNumId w:val="1"/>
  </w:num>
  <w:num w:numId="18">
    <w:abstractNumId w:val="23"/>
  </w:num>
  <w:num w:numId="19">
    <w:abstractNumId w:val="43"/>
  </w:num>
  <w:num w:numId="20">
    <w:abstractNumId w:val="21"/>
  </w:num>
  <w:num w:numId="21">
    <w:abstractNumId w:val="46"/>
  </w:num>
  <w:num w:numId="22">
    <w:abstractNumId w:val="13"/>
  </w:num>
  <w:num w:numId="23">
    <w:abstractNumId w:val="47"/>
  </w:num>
  <w:num w:numId="24">
    <w:abstractNumId w:val="35"/>
  </w:num>
  <w:num w:numId="25">
    <w:abstractNumId w:val="3"/>
  </w:num>
  <w:num w:numId="26">
    <w:abstractNumId w:val="41"/>
  </w:num>
  <w:num w:numId="27">
    <w:abstractNumId w:val="36"/>
  </w:num>
  <w:num w:numId="28">
    <w:abstractNumId w:val="33"/>
  </w:num>
  <w:num w:numId="29">
    <w:abstractNumId w:val="27"/>
  </w:num>
  <w:num w:numId="30">
    <w:abstractNumId w:val="19"/>
  </w:num>
  <w:num w:numId="31">
    <w:abstractNumId w:val="4"/>
  </w:num>
  <w:num w:numId="32">
    <w:abstractNumId w:val="16"/>
  </w:num>
  <w:num w:numId="33">
    <w:abstractNumId w:val="0"/>
  </w:num>
  <w:num w:numId="34">
    <w:abstractNumId w:val="30"/>
  </w:num>
  <w:num w:numId="35">
    <w:abstractNumId w:val="26"/>
  </w:num>
  <w:num w:numId="36">
    <w:abstractNumId w:val="9"/>
  </w:num>
  <w:num w:numId="37">
    <w:abstractNumId w:val="31"/>
  </w:num>
  <w:num w:numId="38">
    <w:abstractNumId w:val="5"/>
  </w:num>
  <w:num w:numId="39">
    <w:abstractNumId w:val="17"/>
  </w:num>
  <w:num w:numId="40">
    <w:abstractNumId w:val="24"/>
  </w:num>
  <w:num w:numId="41">
    <w:abstractNumId w:val="20"/>
  </w:num>
  <w:num w:numId="42">
    <w:abstractNumId w:val="38"/>
  </w:num>
  <w:num w:numId="43">
    <w:abstractNumId w:val="39"/>
  </w:num>
  <w:num w:numId="44">
    <w:abstractNumId w:val="45"/>
  </w:num>
  <w:num w:numId="45">
    <w:abstractNumId w:val="1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ce Siņkovska">
    <w15:presenceInfo w15:providerId="None" w15:userId="Dace Siņk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20D0C"/>
    <w:rsid w:val="00001E9D"/>
    <w:rsid w:val="00003A8E"/>
    <w:rsid w:val="00007AF3"/>
    <w:rsid w:val="000103F1"/>
    <w:rsid w:val="000152F9"/>
    <w:rsid w:val="00024512"/>
    <w:rsid w:val="00031FB3"/>
    <w:rsid w:val="00034213"/>
    <w:rsid w:val="00037134"/>
    <w:rsid w:val="00043DB2"/>
    <w:rsid w:val="00045007"/>
    <w:rsid w:val="0005408E"/>
    <w:rsid w:val="00061D49"/>
    <w:rsid w:val="0006326B"/>
    <w:rsid w:val="000A1B6F"/>
    <w:rsid w:val="000A2956"/>
    <w:rsid w:val="000A6BB4"/>
    <w:rsid w:val="000A78F2"/>
    <w:rsid w:val="000B40DF"/>
    <w:rsid w:val="000B7A35"/>
    <w:rsid w:val="000C235D"/>
    <w:rsid w:val="000C7DED"/>
    <w:rsid w:val="000D2EB9"/>
    <w:rsid w:val="000E1168"/>
    <w:rsid w:val="000E4511"/>
    <w:rsid w:val="000E6A0A"/>
    <w:rsid w:val="000F46A8"/>
    <w:rsid w:val="001033D6"/>
    <w:rsid w:val="00104BCF"/>
    <w:rsid w:val="001213CA"/>
    <w:rsid w:val="00124AEF"/>
    <w:rsid w:val="00133815"/>
    <w:rsid w:val="00133D59"/>
    <w:rsid w:val="00136888"/>
    <w:rsid w:val="00151ECD"/>
    <w:rsid w:val="001531FD"/>
    <w:rsid w:val="001604F4"/>
    <w:rsid w:val="00172EFF"/>
    <w:rsid w:val="00182A64"/>
    <w:rsid w:val="00186DCC"/>
    <w:rsid w:val="001942D0"/>
    <w:rsid w:val="0019716C"/>
    <w:rsid w:val="00197B60"/>
    <w:rsid w:val="001A3D9C"/>
    <w:rsid w:val="001B0AB1"/>
    <w:rsid w:val="001B5911"/>
    <w:rsid w:val="001C578E"/>
    <w:rsid w:val="001D47C1"/>
    <w:rsid w:val="001D53FF"/>
    <w:rsid w:val="001D7C59"/>
    <w:rsid w:val="001F0C50"/>
    <w:rsid w:val="001F0FBF"/>
    <w:rsid w:val="00205A86"/>
    <w:rsid w:val="00216347"/>
    <w:rsid w:val="002165A5"/>
    <w:rsid w:val="0022089A"/>
    <w:rsid w:val="00221A9E"/>
    <w:rsid w:val="00221E10"/>
    <w:rsid w:val="00227ABC"/>
    <w:rsid w:val="0023184A"/>
    <w:rsid w:val="002363F0"/>
    <w:rsid w:val="002475AA"/>
    <w:rsid w:val="002503D9"/>
    <w:rsid w:val="00255616"/>
    <w:rsid w:val="00260EED"/>
    <w:rsid w:val="00267FFB"/>
    <w:rsid w:val="00275E71"/>
    <w:rsid w:val="00296BD6"/>
    <w:rsid w:val="002A370D"/>
    <w:rsid w:val="002A3FDC"/>
    <w:rsid w:val="002B24EC"/>
    <w:rsid w:val="002B4D2F"/>
    <w:rsid w:val="002B5A0B"/>
    <w:rsid w:val="002B7D4C"/>
    <w:rsid w:val="002D3813"/>
    <w:rsid w:val="002D7B65"/>
    <w:rsid w:val="002E49A8"/>
    <w:rsid w:val="002F1E03"/>
    <w:rsid w:val="00300398"/>
    <w:rsid w:val="00300658"/>
    <w:rsid w:val="0030798F"/>
    <w:rsid w:val="003305BC"/>
    <w:rsid w:val="0033289A"/>
    <w:rsid w:val="0034519B"/>
    <w:rsid w:val="003451DE"/>
    <w:rsid w:val="0034764B"/>
    <w:rsid w:val="003553FC"/>
    <w:rsid w:val="00363AFE"/>
    <w:rsid w:val="00364B39"/>
    <w:rsid w:val="003674CF"/>
    <w:rsid w:val="0037531A"/>
    <w:rsid w:val="0037594C"/>
    <w:rsid w:val="00377DB3"/>
    <w:rsid w:val="00381A81"/>
    <w:rsid w:val="00391524"/>
    <w:rsid w:val="00396829"/>
    <w:rsid w:val="003B0444"/>
    <w:rsid w:val="003B1366"/>
    <w:rsid w:val="003C0946"/>
    <w:rsid w:val="003C3522"/>
    <w:rsid w:val="003D0C69"/>
    <w:rsid w:val="003D2158"/>
    <w:rsid w:val="003D3D4F"/>
    <w:rsid w:val="003E03F4"/>
    <w:rsid w:val="003E2627"/>
    <w:rsid w:val="003E50EE"/>
    <w:rsid w:val="003F2401"/>
    <w:rsid w:val="003F7FEE"/>
    <w:rsid w:val="00403C03"/>
    <w:rsid w:val="00413E84"/>
    <w:rsid w:val="00415B14"/>
    <w:rsid w:val="00416CC8"/>
    <w:rsid w:val="00423FD6"/>
    <w:rsid w:val="004257AA"/>
    <w:rsid w:val="00432D03"/>
    <w:rsid w:val="00434A18"/>
    <w:rsid w:val="00436112"/>
    <w:rsid w:val="00437FF7"/>
    <w:rsid w:val="0044445A"/>
    <w:rsid w:val="00446963"/>
    <w:rsid w:val="00446E63"/>
    <w:rsid w:val="00450A0D"/>
    <w:rsid w:val="00451F75"/>
    <w:rsid w:val="00456010"/>
    <w:rsid w:val="00464612"/>
    <w:rsid w:val="00470084"/>
    <w:rsid w:val="0048769A"/>
    <w:rsid w:val="004A08C0"/>
    <w:rsid w:val="004A4354"/>
    <w:rsid w:val="004B4814"/>
    <w:rsid w:val="004B7191"/>
    <w:rsid w:val="004C3572"/>
    <w:rsid w:val="004C7893"/>
    <w:rsid w:val="004D321E"/>
    <w:rsid w:val="004E6F4F"/>
    <w:rsid w:val="004F0313"/>
    <w:rsid w:val="004F50CF"/>
    <w:rsid w:val="004F7038"/>
    <w:rsid w:val="005032F9"/>
    <w:rsid w:val="005100E8"/>
    <w:rsid w:val="0051047C"/>
    <w:rsid w:val="00511B5F"/>
    <w:rsid w:val="005130B1"/>
    <w:rsid w:val="00513B8B"/>
    <w:rsid w:val="00520D0C"/>
    <w:rsid w:val="00521F9E"/>
    <w:rsid w:val="00523C93"/>
    <w:rsid w:val="005321BE"/>
    <w:rsid w:val="005336CC"/>
    <w:rsid w:val="00534550"/>
    <w:rsid w:val="0053657A"/>
    <w:rsid w:val="0054380F"/>
    <w:rsid w:val="00547EA2"/>
    <w:rsid w:val="00573E81"/>
    <w:rsid w:val="00583B78"/>
    <w:rsid w:val="00592CE7"/>
    <w:rsid w:val="00593F73"/>
    <w:rsid w:val="005C049C"/>
    <w:rsid w:val="005C07BF"/>
    <w:rsid w:val="005D0C6F"/>
    <w:rsid w:val="005D3A42"/>
    <w:rsid w:val="005D72F1"/>
    <w:rsid w:val="005E15DE"/>
    <w:rsid w:val="005E1E85"/>
    <w:rsid w:val="005E2F1F"/>
    <w:rsid w:val="005E5E95"/>
    <w:rsid w:val="005E5ECA"/>
    <w:rsid w:val="005F3AC8"/>
    <w:rsid w:val="005F5C33"/>
    <w:rsid w:val="005F6203"/>
    <w:rsid w:val="005F790E"/>
    <w:rsid w:val="00604D9A"/>
    <w:rsid w:val="00607C08"/>
    <w:rsid w:val="006140C8"/>
    <w:rsid w:val="00617BC4"/>
    <w:rsid w:val="006237BA"/>
    <w:rsid w:val="00623C6B"/>
    <w:rsid w:val="00625BB0"/>
    <w:rsid w:val="00626B1E"/>
    <w:rsid w:val="0063451E"/>
    <w:rsid w:val="0064061F"/>
    <w:rsid w:val="006420E4"/>
    <w:rsid w:val="0065358B"/>
    <w:rsid w:val="00656FC1"/>
    <w:rsid w:val="00657576"/>
    <w:rsid w:val="00663627"/>
    <w:rsid w:val="00664BBB"/>
    <w:rsid w:val="00670A22"/>
    <w:rsid w:val="00675BEE"/>
    <w:rsid w:val="006773F8"/>
    <w:rsid w:val="00681BFE"/>
    <w:rsid w:val="00685204"/>
    <w:rsid w:val="00687515"/>
    <w:rsid w:val="006945F8"/>
    <w:rsid w:val="0069665F"/>
    <w:rsid w:val="006A45E2"/>
    <w:rsid w:val="006B073C"/>
    <w:rsid w:val="006B2797"/>
    <w:rsid w:val="006B322D"/>
    <w:rsid w:val="006B6354"/>
    <w:rsid w:val="006C4EDB"/>
    <w:rsid w:val="006C537B"/>
    <w:rsid w:val="006E10EE"/>
    <w:rsid w:val="006F2B2E"/>
    <w:rsid w:val="0071770B"/>
    <w:rsid w:val="0072415B"/>
    <w:rsid w:val="00726A7B"/>
    <w:rsid w:val="00727111"/>
    <w:rsid w:val="007319FA"/>
    <w:rsid w:val="00734D64"/>
    <w:rsid w:val="00741AF7"/>
    <w:rsid w:val="007479FB"/>
    <w:rsid w:val="0075155F"/>
    <w:rsid w:val="00751841"/>
    <w:rsid w:val="00756FC3"/>
    <w:rsid w:val="00757CC2"/>
    <w:rsid w:val="007620DA"/>
    <w:rsid w:val="0077250D"/>
    <w:rsid w:val="0077473C"/>
    <w:rsid w:val="00786113"/>
    <w:rsid w:val="007946DB"/>
    <w:rsid w:val="00795764"/>
    <w:rsid w:val="00795A94"/>
    <w:rsid w:val="007A5A7A"/>
    <w:rsid w:val="007B2275"/>
    <w:rsid w:val="007B320F"/>
    <w:rsid w:val="007D04F3"/>
    <w:rsid w:val="007D6987"/>
    <w:rsid w:val="007E7BC8"/>
    <w:rsid w:val="007F3DD4"/>
    <w:rsid w:val="007F4F22"/>
    <w:rsid w:val="00801A3B"/>
    <w:rsid w:val="00812EF4"/>
    <w:rsid w:val="0081376C"/>
    <w:rsid w:val="0081727D"/>
    <w:rsid w:val="00827054"/>
    <w:rsid w:val="00827DEE"/>
    <w:rsid w:val="00833959"/>
    <w:rsid w:val="00834C0C"/>
    <w:rsid w:val="00835896"/>
    <w:rsid w:val="008529D3"/>
    <w:rsid w:val="00855AED"/>
    <w:rsid w:val="00856ED6"/>
    <w:rsid w:val="008576B6"/>
    <w:rsid w:val="00865C75"/>
    <w:rsid w:val="008721BA"/>
    <w:rsid w:val="00873188"/>
    <w:rsid w:val="008765A9"/>
    <w:rsid w:val="00876A08"/>
    <w:rsid w:val="00881A38"/>
    <w:rsid w:val="00882339"/>
    <w:rsid w:val="00882876"/>
    <w:rsid w:val="008846FC"/>
    <w:rsid w:val="00885517"/>
    <w:rsid w:val="0089057D"/>
    <w:rsid w:val="008A7802"/>
    <w:rsid w:val="008B6840"/>
    <w:rsid w:val="008B7E97"/>
    <w:rsid w:val="008D6470"/>
    <w:rsid w:val="008D6680"/>
    <w:rsid w:val="008F4DBD"/>
    <w:rsid w:val="008F5313"/>
    <w:rsid w:val="008F79C5"/>
    <w:rsid w:val="00901A8A"/>
    <w:rsid w:val="0090325F"/>
    <w:rsid w:val="00903ACA"/>
    <w:rsid w:val="0090757F"/>
    <w:rsid w:val="009079F3"/>
    <w:rsid w:val="00931D7A"/>
    <w:rsid w:val="00933F63"/>
    <w:rsid w:val="0094557D"/>
    <w:rsid w:val="00947E45"/>
    <w:rsid w:val="00950E2B"/>
    <w:rsid w:val="00954270"/>
    <w:rsid w:val="009809CC"/>
    <w:rsid w:val="009924F4"/>
    <w:rsid w:val="00994948"/>
    <w:rsid w:val="009A2B5B"/>
    <w:rsid w:val="009C0144"/>
    <w:rsid w:val="009C28F6"/>
    <w:rsid w:val="009C3007"/>
    <w:rsid w:val="009C5EB7"/>
    <w:rsid w:val="009C692F"/>
    <w:rsid w:val="009E55F1"/>
    <w:rsid w:val="009F166B"/>
    <w:rsid w:val="009F1D06"/>
    <w:rsid w:val="009F339A"/>
    <w:rsid w:val="00A05C7A"/>
    <w:rsid w:val="00A2216C"/>
    <w:rsid w:val="00A23C23"/>
    <w:rsid w:val="00A271BF"/>
    <w:rsid w:val="00A31953"/>
    <w:rsid w:val="00A50080"/>
    <w:rsid w:val="00A527F2"/>
    <w:rsid w:val="00A52B93"/>
    <w:rsid w:val="00A53FC1"/>
    <w:rsid w:val="00A56AEC"/>
    <w:rsid w:val="00A73A31"/>
    <w:rsid w:val="00A76A88"/>
    <w:rsid w:val="00A9132C"/>
    <w:rsid w:val="00A93FEC"/>
    <w:rsid w:val="00A9780E"/>
    <w:rsid w:val="00AA6EDB"/>
    <w:rsid w:val="00AB26E3"/>
    <w:rsid w:val="00AB3F66"/>
    <w:rsid w:val="00AB6E32"/>
    <w:rsid w:val="00AC359A"/>
    <w:rsid w:val="00AD2CBD"/>
    <w:rsid w:val="00AE126C"/>
    <w:rsid w:val="00AE2946"/>
    <w:rsid w:val="00AE563D"/>
    <w:rsid w:val="00AE58F6"/>
    <w:rsid w:val="00AE7EF1"/>
    <w:rsid w:val="00AF1BEA"/>
    <w:rsid w:val="00AF4779"/>
    <w:rsid w:val="00AF5B29"/>
    <w:rsid w:val="00AF7543"/>
    <w:rsid w:val="00B0279D"/>
    <w:rsid w:val="00B03124"/>
    <w:rsid w:val="00B161C4"/>
    <w:rsid w:val="00B20590"/>
    <w:rsid w:val="00B27CD5"/>
    <w:rsid w:val="00B27D21"/>
    <w:rsid w:val="00B341AA"/>
    <w:rsid w:val="00B34DB5"/>
    <w:rsid w:val="00B35E3A"/>
    <w:rsid w:val="00B36257"/>
    <w:rsid w:val="00B466DE"/>
    <w:rsid w:val="00B51268"/>
    <w:rsid w:val="00B52766"/>
    <w:rsid w:val="00B5583D"/>
    <w:rsid w:val="00B66BDB"/>
    <w:rsid w:val="00B67562"/>
    <w:rsid w:val="00B867E6"/>
    <w:rsid w:val="00BA0D71"/>
    <w:rsid w:val="00BA2D7B"/>
    <w:rsid w:val="00BB4D41"/>
    <w:rsid w:val="00BC1519"/>
    <w:rsid w:val="00BC1DC4"/>
    <w:rsid w:val="00BC2393"/>
    <w:rsid w:val="00BC5E43"/>
    <w:rsid w:val="00BD6E27"/>
    <w:rsid w:val="00BE1886"/>
    <w:rsid w:val="00BE4E6A"/>
    <w:rsid w:val="00BE4F20"/>
    <w:rsid w:val="00BF435F"/>
    <w:rsid w:val="00BF7183"/>
    <w:rsid w:val="00BF7810"/>
    <w:rsid w:val="00C05320"/>
    <w:rsid w:val="00C105E4"/>
    <w:rsid w:val="00C2696C"/>
    <w:rsid w:val="00C3161E"/>
    <w:rsid w:val="00C3381E"/>
    <w:rsid w:val="00C435F9"/>
    <w:rsid w:val="00C52652"/>
    <w:rsid w:val="00C636B7"/>
    <w:rsid w:val="00C726FA"/>
    <w:rsid w:val="00C829E2"/>
    <w:rsid w:val="00C84BAB"/>
    <w:rsid w:val="00C92A82"/>
    <w:rsid w:val="00C932C3"/>
    <w:rsid w:val="00C94907"/>
    <w:rsid w:val="00C96381"/>
    <w:rsid w:val="00CA1E0C"/>
    <w:rsid w:val="00CB0BE1"/>
    <w:rsid w:val="00CB2955"/>
    <w:rsid w:val="00CB4269"/>
    <w:rsid w:val="00CB611F"/>
    <w:rsid w:val="00CB65C6"/>
    <w:rsid w:val="00CC0624"/>
    <w:rsid w:val="00CC09A9"/>
    <w:rsid w:val="00CC2538"/>
    <w:rsid w:val="00CC57F7"/>
    <w:rsid w:val="00CD4AEE"/>
    <w:rsid w:val="00CD5748"/>
    <w:rsid w:val="00CD740B"/>
    <w:rsid w:val="00CE2FDB"/>
    <w:rsid w:val="00CE4585"/>
    <w:rsid w:val="00D006C0"/>
    <w:rsid w:val="00D011F2"/>
    <w:rsid w:val="00D0659B"/>
    <w:rsid w:val="00D10762"/>
    <w:rsid w:val="00D1787A"/>
    <w:rsid w:val="00D179A0"/>
    <w:rsid w:val="00D17C86"/>
    <w:rsid w:val="00D23074"/>
    <w:rsid w:val="00D23409"/>
    <w:rsid w:val="00D27EF8"/>
    <w:rsid w:val="00D34CBB"/>
    <w:rsid w:val="00D36EA5"/>
    <w:rsid w:val="00D373B5"/>
    <w:rsid w:val="00D43917"/>
    <w:rsid w:val="00D50CDA"/>
    <w:rsid w:val="00D523E7"/>
    <w:rsid w:val="00D56F5E"/>
    <w:rsid w:val="00D60B57"/>
    <w:rsid w:val="00D64C78"/>
    <w:rsid w:val="00D749B3"/>
    <w:rsid w:val="00D81762"/>
    <w:rsid w:val="00D9190B"/>
    <w:rsid w:val="00D93327"/>
    <w:rsid w:val="00D94E13"/>
    <w:rsid w:val="00DA119C"/>
    <w:rsid w:val="00DA38D7"/>
    <w:rsid w:val="00DA51AD"/>
    <w:rsid w:val="00DB5291"/>
    <w:rsid w:val="00DC2396"/>
    <w:rsid w:val="00DC5DF1"/>
    <w:rsid w:val="00DC7A35"/>
    <w:rsid w:val="00E10B7C"/>
    <w:rsid w:val="00E1383E"/>
    <w:rsid w:val="00E16996"/>
    <w:rsid w:val="00E2139A"/>
    <w:rsid w:val="00E22BB9"/>
    <w:rsid w:val="00E24AD6"/>
    <w:rsid w:val="00E303DC"/>
    <w:rsid w:val="00E30F5D"/>
    <w:rsid w:val="00E407FF"/>
    <w:rsid w:val="00E435CB"/>
    <w:rsid w:val="00E46AB8"/>
    <w:rsid w:val="00E4778F"/>
    <w:rsid w:val="00E6032D"/>
    <w:rsid w:val="00E63B6F"/>
    <w:rsid w:val="00E86B91"/>
    <w:rsid w:val="00E935EA"/>
    <w:rsid w:val="00E9607A"/>
    <w:rsid w:val="00E96D27"/>
    <w:rsid w:val="00EA0CA8"/>
    <w:rsid w:val="00EA1803"/>
    <w:rsid w:val="00EA338A"/>
    <w:rsid w:val="00EA5D1D"/>
    <w:rsid w:val="00EB1248"/>
    <w:rsid w:val="00EB2898"/>
    <w:rsid w:val="00EB4CD3"/>
    <w:rsid w:val="00EB6616"/>
    <w:rsid w:val="00EB67E3"/>
    <w:rsid w:val="00EC062B"/>
    <w:rsid w:val="00EC232A"/>
    <w:rsid w:val="00EC3CF3"/>
    <w:rsid w:val="00ED0B61"/>
    <w:rsid w:val="00EF0201"/>
    <w:rsid w:val="00F000D2"/>
    <w:rsid w:val="00F03494"/>
    <w:rsid w:val="00F10A30"/>
    <w:rsid w:val="00F16D27"/>
    <w:rsid w:val="00F24492"/>
    <w:rsid w:val="00F3396C"/>
    <w:rsid w:val="00F50D0B"/>
    <w:rsid w:val="00F51691"/>
    <w:rsid w:val="00F572D4"/>
    <w:rsid w:val="00F60666"/>
    <w:rsid w:val="00F757CD"/>
    <w:rsid w:val="00F836FE"/>
    <w:rsid w:val="00F87EDD"/>
    <w:rsid w:val="00F941D3"/>
    <w:rsid w:val="00FD3654"/>
    <w:rsid w:val="00FD465B"/>
    <w:rsid w:val="00FD4B47"/>
    <w:rsid w:val="00FD76B7"/>
    <w:rsid w:val="00FE0778"/>
    <w:rsid w:val="00FE227A"/>
    <w:rsid w:val="00FE3590"/>
    <w:rsid w:val="00FF4459"/>
    <w:rsid w:val="00FF53D9"/>
    <w:rsid w:val="00FF7496"/>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A"/>
    <w:pPr>
      <w:spacing w:after="200" w:line="276" w:lineRule="auto"/>
    </w:pPr>
    <w:rPr>
      <w:sz w:val="22"/>
      <w:szCs w:val="22"/>
      <w:lang w:eastAsia="en-US" w:bidi="ar-SA"/>
    </w:rPr>
  </w:style>
  <w:style w:type="paragraph" w:styleId="Heading4">
    <w:name w:val="heading 4"/>
    <w:basedOn w:val="Normal"/>
    <w:link w:val="Heading4Char"/>
    <w:uiPriority w:val="9"/>
    <w:qFormat/>
    <w:rsid w:val="00511B5F"/>
    <w:pPr>
      <w:spacing w:before="100" w:beforeAutospacing="1" w:after="100" w:afterAutospacing="1" w:line="240" w:lineRule="auto"/>
      <w:outlineLvl w:val="3"/>
    </w:pPr>
    <w:rPr>
      <w:rFonts w:ascii="Times New Roman" w:eastAsia="Times New Roman" w:hAnsi="Times New Roman" w:cs="Times New Roman"/>
      <w:b/>
      <w:bCs/>
      <w:sz w:val="24"/>
      <w:szCs w:val="24"/>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D0C"/>
    <w:pPr>
      <w:autoSpaceDE w:val="0"/>
      <w:autoSpaceDN w:val="0"/>
      <w:adjustRightInd w:val="0"/>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520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D0C"/>
  </w:style>
  <w:style w:type="paragraph" w:styleId="Footer">
    <w:name w:val="footer"/>
    <w:basedOn w:val="Normal"/>
    <w:link w:val="FooterChar"/>
    <w:uiPriority w:val="99"/>
    <w:unhideWhenUsed/>
    <w:rsid w:val="00520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D0C"/>
  </w:style>
  <w:style w:type="paragraph" w:customStyle="1" w:styleId="tv213">
    <w:name w:val="tv213"/>
    <w:basedOn w:val="Normal"/>
    <w:rsid w:val="00034213"/>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FootnoteText">
    <w:name w:val="footnote text"/>
    <w:basedOn w:val="Normal"/>
    <w:link w:val="FootnoteTextChar"/>
    <w:semiHidden/>
    <w:unhideWhenUsed/>
    <w:rsid w:val="00034213"/>
    <w:pPr>
      <w:spacing w:after="0" w:line="240" w:lineRule="auto"/>
    </w:pPr>
    <w:rPr>
      <w:sz w:val="20"/>
      <w:szCs w:val="20"/>
    </w:rPr>
  </w:style>
  <w:style w:type="character" w:customStyle="1" w:styleId="FootnoteTextChar">
    <w:name w:val="Footnote Text Char"/>
    <w:basedOn w:val="DefaultParagraphFont"/>
    <w:link w:val="FootnoteText"/>
    <w:semiHidden/>
    <w:rsid w:val="00034213"/>
    <w:rPr>
      <w:sz w:val="20"/>
      <w:szCs w:val="20"/>
    </w:rPr>
  </w:style>
  <w:style w:type="character" w:styleId="FootnoteReference">
    <w:name w:val="footnote reference"/>
    <w:basedOn w:val="DefaultParagraphFont"/>
    <w:semiHidden/>
    <w:unhideWhenUsed/>
    <w:rsid w:val="00034213"/>
    <w:rPr>
      <w:vertAlign w:val="superscript"/>
    </w:rPr>
  </w:style>
  <w:style w:type="character" w:customStyle="1" w:styleId="apple-converted-space">
    <w:name w:val="apple-converted-space"/>
    <w:basedOn w:val="DefaultParagraphFont"/>
    <w:rsid w:val="00034213"/>
  </w:style>
  <w:style w:type="character" w:styleId="Hyperlink">
    <w:name w:val="Hyperlink"/>
    <w:basedOn w:val="DefaultParagraphFont"/>
    <w:uiPriority w:val="99"/>
    <w:unhideWhenUsed/>
    <w:rsid w:val="00034213"/>
    <w:rPr>
      <w:color w:val="0000FF"/>
      <w:u w:val="single"/>
    </w:rPr>
  </w:style>
  <w:style w:type="paragraph" w:styleId="ListParagraph">
    <w:name w:val="List Paragraph"/>
    <w:basedOn w:val="Normal"/>
    <w:qFormat/>
    <w:rsid w:val="00BB4D41"/>
    <w:pPr>
      <w:ind w:left="720"/>
      <w:contextualSpacing/>
    </w:pPr>
  </w:style>
  <w:style w:type="character" w:customStyle="1" w:styleId="glossary">
    <w:name w:val="glossary"/>
    <w:basedOn w:val="DefaultParagraphFont"/>
    <w:rsid w:val="00D43917"/>
  </w:style>
  <w:style w:type="paragraph" w:styleId="NormalWeb">
    <w:name w:val="Normal (Web)"/>
    <w:basedOn w:val="Normal"/>
    <w:uiPriority w:val="99"/>
    <w:unhideWhenUsed/>
    <w:rsid w:val="00CA1E0C"/>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tvhtml">
    <w:name w:val="tv_html"/>
    <w:basedOn w:val="Normal"/>
    <w:rsid w:val="0033289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tvhtml1">
    <w:name w:val="tv_html1"/>
    <w:basedOn w:val="DefaultParagraphFont"/>
    <w:rsid w:val="0033289A"/>
  </w:style>
  <w:style w:type="paragraph" w:styleId="BodyText">
    <w:name w:val="Body Text"/>
    <w:basedOn w:val="Normal"/>
    <w:link w:val="BodyTextChar"/>
    <w:rsid w:val="004F50C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F50C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1E"/>
    <w:rPr>
      <w:rFonts w:ascii="Tahoma" w:hAnsi="Tahoma" w:cs="Tahoma"/>
      <w:sz w:val="16"/>
      <w:szCs w:val="16"/>
    </w:rPr>
  </w:style>
  <w:style w:type="table" w:styleId="TableGrid">
    <w:name w:val="Table Grid"/>
    <w:basedOn w:val="TableNormal"/>
    <w:uiPriority w:val="59"/>
    <w:rsid w:val="00573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408E"/>
    <w:rPr>
      <w:b/>
      <w:bCs/>
    </w:rPr>
  </w:style>
  <w:style w:type="paragraph" w:customStyle="1" w:styleId="justifyleft">
    <w:name w:val="justifyleft"/>
    <w:basedOn w:val="Normal"/>
    <w:rsid w:val="007319F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justifyfull">
    <w:name w:val="justifyfull"/>
    <w:basedOn w:val="Normal"/>
    <w:rsid w:val="007319F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Spacing">
    <w:name w:val="No Spacing"/>
    <w:link w:val="NoSpacingChar"/>
    <w:uiPriority w:val="1"/>
    <w:qFormat/>
    <w:rsid w:val="00AE126C"/>
    <w:rPr>
      <w:sz w:val="22"/>
      <w:szCs w:val="22"/>
      <w:lang w:eastAsia="en-US" w:bidi="ar-SA"/>
    </w:rPr>
  </w:style>
  <w:style w:type="character" w:customStyle="1" w:styleId="NoSpacingChar">
    <w:name w:val="No Spacing Char"/>
    <w:link w:val="NoSpacing"/>
    <w:uiPriority w:val="1"/>
    <w:rsid w:val="00AE126C"/>
    <w:rPr>
      <w:sz w:val="22"/>
      <w:szCs w:val="22"/>
      <w:lang w:val="lv-LV" w:eastAsia="en-US" w:bidi="ar-SA"/>
    </w:rPr>
  </w:style>
  <w:style w:type="character" w:customStyle="1" w:styleId="Heading4Char">
    <w:name w:val="Heading 4 Char"/>
    <w:basedOn w:val="DefaultParagraphFont"/>
    <w:link w:val="Heading4"/>
    <w:uiPriority w:val="9"/>
    <w:rsid w:val="00511B5F"/>
    <w:rPr>
      <w:rFonts w:ascii="Times New Roman" w:eastAsia="Times New Roman" w:hAnsi="Times New Roman" w:cs="Times New Roman"/>
      <w:b/>
      <w:bCs/>
      <w:sz w:val="24"/>
      <w:szCs w:val="24"/>
      <w:lang w:eastAsia="lv-LV" w:bidi="lo-LA"/>
    </w:rPr>
  </w:style>
  <w:style w:type="character" w:customStyle="1" w:styleId="xdtextbox1">
    <w:name w:val="xdtextbox1"/>
    <w:basedOn w:val="DefaultParagraphFont"/>
    <w:rsid w:val="00AE2946"/>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363AFE"/>
    <w:rPr>
      <w:sz w:val="16"/>
      <w:szCs w:val="16"/>
    </w:rPr>
  </w:style>
  <w:style w:type="paragraph" w:styleId="CommentText">
    <w:name w:val="annotation text"/>
    <w:basedOn w:val="Normal"/>
    <w:link w:val="CommentTextChar"/>
    <w:uiPriority w:val="99"/>
    <w:semiHidden/>
    <w:unhideWhenUsed/>
    <w:rsid w:val="00363AFE"/>
    <w:pPr>
      <w:spacing w:line="240" w:lineRule="auto"/>
    </w:pPr>
    <w:rPr>
      <w:sz w:val="20"/>
      <w:szCs w:val="20"/>
    </w:rPr>
  </w:style>
  <w:style w:type="character" w:customStyle="1" w:styleId="CommentTextChar">
    <w:name w:val="Comment Text Char"/>
    <w:basedOn w:val="DefaultParagraphFont"/>
    <w:link w:val="CommentText"/>
    <w:uiPriority w:val="99"/>
    <w:semiHidden/>
    <w:rsid w:val="00363AFE"/>
    <w:rPr>
      <w:lang w:eastAsia="en-US" w:bidi="ar-SA"/>
    </w:rPr>
  </w:style>
  <w:style w:type="paragraph" w:styleId="CommentSubject">
    <w:name w:val="annotation subject"/>
    <w:basedOn w:val="CommentText"/>
    <w:next w:val="CommentText"/>
    <w:link w:val="CommentSubjectChar"/>
    <w:uiPriority w:val="99"/>
    <w:semiHidden/>
    <w:unhideWhenUsed/>
    <w:rsid w:val="00363AFE"/>
    <w:rPr>
      <w:b/>
      <w:bCs/>
    </w:rPr>
  </w:style>
  <w:style w:type="character" w:customStyle="1" w:styleId="CommentSubjectChar">
    <w:name w:val="Comment Subject Char"/>
    <w:basedOn w:val="CommentTextChar"/>
    <w:link w:val="CommentSubject"/>
    <w:uiPriority w:val="99"/>
    <w:semiHidden/>
    <w:rsid w:val="00363AFE"/>
    <w:rPr>
      <w:b/>
      <w:bCs/>
      <w:lang w:eastAsia="en-US" w:bidi="ar-SA"/>
    </w:rPr>
  </w:style>
  <w:style w:type="paragraph" w:styleId="BodyText2">
    <w:name w:val="Body Text 2"/>
    <w:basedOn w:val="Normal"/>
    <w:link w:val="BodyText2Char"/>
    <w:uiPriority w:val="99"/>
    <w:unhideWhenUsed/>
    <w:rsid w:val="004D321E"/>
    <w:pPr>
      <w:spacing w:after="120" w:line="480" w:lineRule="auto"/>
    </w:pPr>
  </w:style>
  <w:style w:type="character" w:customStyle="1" w:styleId="BodyText2Char">
    <w:name w:val="Body Text 2 Char"/>
    <w:basedOn w:val="DefaultParagraphFont"/>
    <w:link w:val="BodyText2"/>
    <w:uiPriority w:val="99"/>
    <w:rsid w:val="004D321E"/>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2773203">
      <w:bodyDiv w:val="1"/>
      <w:marLeft w:val="0"/>
      <w:marRight w:val="0"/>
      <w:marTop w:val="0"/>
      <w:marBottom w:val="0"/>
      <w:divBdr>
        <w:top w:val="none" w:sz="0" w:space="0" w:color="auto"/>
        <w:left w:val="none" w:sz="0" w:space="0" w:color="auto"/>
        <w:bottom w:val="none" w:sz="0" w:space="0" w:color="auto"/>
        <w:right w:val="none" w:sz="0" w:space="0" w:color="auto"/>
      </w:divBdr>
      <w:divsChild>
        <w:div w:id="2070876902">
          <w:marLeft w:val="0"/>
          <w:marRight w:val="0"/>
          <w:marTop w:val="480"/>
          <w:marBottom w:val="240"/>
          <w:divBdr>
            <w:top w:val="none" w:sz="0" w:space="0" w:color="auto"/>
            <w:left w:val="none" w:sz="0" w:space="0" w:color="auto"/>
            <w:bottom w:val="none" w:sz="0" w:space="0" w:color="auto"/>
            <w:right w:val="none" w:sz="0" w:space="0" w:color="auto"/>
          </w:divBdr>
        </w:div>
        <w:div w:id="450131362">
          <w:marLeft w:val="0"/>
          <w:marRight w:val="0"/>
          <w:marTop w:val="0"/>
          <w:marBottom w:val="567"/>
          <w:divBdr>
            <w:top w:val="none" w:sz="0" w:space="0" w:color="auto"/>
            <w:left w:val="none" w:sz="0" w:space="0" w:color="auto"/>
            <w:bottom w:val="none" w:sz="0" w:space="0" w:color="auto"/>
            <w:right w:val="none" w:sz="0" w:space="0" w:color="auto"/>
          </w:divBdr>
        </w:div>
      </w:divsChild>
    </w:div>
    <w:div w:id="72825834">
      <w:bodyDiv w:val="1"/>
      <w:marLeft w:val="0"/>
      <w:marRight w:val="0"/>
      <w:marTop w:val="0"/>
      <w:marBottom w:val="0"/>
      <w:divBdr>
        <w:top w:val="none" w:sz="0" w:space="0" w:color="auto"/>
        <w:left w:val="none" w:sz="0" w:space="0" w:color="auto"/>
        <w:bottom w:val="none" w:sz="0" w:space="0" w:color="auto"/>
        <w:right w:val="none" w:sz="0" w:space="0" w:color="auto"/>
      </w:divBdr>
      <w:divsChild>
        <w:div w:id="1446580541">
          <w:marLeft w:val="547"/>
          <w:marRight w:val="0"/>
          <w:marTop w:val="0"/>
          <w:marBottom w:val="0"/>
          <w:divBdr>
            <w:top w:val="none" w:sz="0" w:space="0" w:color="auto"/>
            <w:left w:val="none" w:sz="0" w:space="0" w:color="auto"/>
            <w:bottom w:val="none" w:sz="0" w:space="0" w:color="auto"/>
            <w:right w:val="none" w:sz="0" w:space="0" w:color="auto"/>
          </w:divBdr>
        </w:div>
        <w:div w:id="45029159">
          <w:marLeft w:val="547"/>
          <w:marRight w:val="0"/>
          <w:marTop w:val="0"/>
          <w:marBottom w:val="0"/>
          <w:divBdr>
            <w:top w:val="none" w:sz="0" w:space="0" w:color="auto"/>
            <w:left w:val="none" w:sz="0" w:space="0" w:color="auto"/>
            <w:bottom w:val="none" w:sz="0" w:space="0" w:color="auto"/>
            <w:right w:val="none" w:sz="0" w:space="0" w:color="auto"/>
          </w:divBdr>
        </w:div>
        <w:div w:id="923294100">
          <w:marLeft w:val="547"/>
          <w:marRight w:val="0"/>
          <w:marTop w:val="0"/>
          <w:marBottom w:val="0"/>
          <w:divBdr>
            <w:top w:val="none" w:sz="0" w:space="0" w:color="auto"/>
            <w:left w:val="none" w:sz="0" w:space="0" w:color="auto"/>
            <w:bottom w:val="none" w:sz="0" w:space="0" w:color="auto"/>
            <w:right w:val="none" w:sz="0" w:space="0" w:color="auto"/>
          </w:divBdr>
        </w:div>
        <w:div w:id="637346177">
          <w:marLeft w:val="547"/>
          <w:marRight w:val="0"/>
          <w:marTop w:val="0"/>
          <w:marBottom w:val="0"/>
          <w:divBdr>
            <w:top w:val="none" w:sz="0" w:space="0" w:color="auto"/>
            <w:left w:val="none" w:sz="0" w:space="0" w:color="auto"/>
            <w:bottom w:val="none" w:sz="0" w:space="0" w:color="auto"/>
            <w:right w:val="none" w:sz="0" w:space="0" w:color="auto"/>
          </w:divBdr>
        </w:div>
        <w:div w:id="1503281129">
          <w:marLeft w:val="547"/>
          <w:marRight w:val="0"/>
          <w:marTop w:val="0"/>
          <w:marBottom w:val="0"/>
          <w:divBdr>
            <w:top w:val="none" w:sz="0" w:space="0" w:color="auto"/>
            <w:left w:val="none" w:sz="0" w:space="0" w:color="auto"/>
            <w:bottom w:val="none" w:sz="0" w:space="0" w:color="auto"/>
            <w:right w:val="none" w:sz="0" w:space="0" w:color="auto"/>
          </w:divBdr>
        </w:div>
        <w:div w:id="1354263432">
          <w:marLeft w:val="547"/>
          <w:marRight w:val="0"/>
          <w:marTop w:val="0"/>
          <w:marBottom w:val="0"/>
          <w:divBdr>
            <w:top w:val="none" w:sz="0" w:space="0" w:color="auto"/>
            <w:left w:val="none" w:sz="0" w:space="0" w:color="auto"/>
            <w:bottom w:val="none" w:sz="0" w:space="0" w:color="auto"/>
            <w:right w:val="none" w:sz="0" w:space="0" w:color="auto"/>
          </w:divBdr>
        </w:div>
        <w:div w:id="1796361592">
          <w:marLeft w:val="547"/>
          <w:marRight w:val="0"/>
          <w:marTop w:val="0"/>
          <w:marBottom w:val="0"/>
          <w:divBdr>
            <w:top w:val="none" w:sz="0" w:space="0" w:color="auto"/>
            <w:left w:val="none" w:sz="0" w:space="0" w:color="auto"/>
            <w:bottom w:val="none" w:sz="0" w:space="0" w:color="auto"/>
            <w:right w:val="none" w:sz="0" w:space="0" w:color="auto"/>
          </w:divBdr>
        </w:div>
      </w:divsChild>
    </w:div>
    <w:div w:id="178472657">
      <w:bodyDiv w:val="1"/>
      <w:marLeft w:val="0"/>
      <w:marRight w:val="0"/>
      <w:marTop w:val="0"/>
      <w:marBottom w:val="0"/>
      <w:divBdr>
        <w:top w:val="none" w:sz="0" w:space="0" w:color="auto"/>
        <w:left w:val="none" w:sz="0" w:space="0" w:color="auto"/>
        <w:bottom w:val="none" w:sz="0" w:space="0" w:color="auto"/>
        <w:right w:val="none" w:sz="0" w:space="0" w:color="auto"/>
      </w:divBdr>
    </w:div>
    <w:div w:id="215246225">
      <w:bodyDiv w:val="1"/>
      <w:marLeft w:val="0"/>
      <w:marRight w:val="0"/>
      <w:marTop w:val="0"/>
      <w:marBottom w:val="0"/>
      <w:divBdr>
        <w:top w:val="none" w:sz="0" w:space="0" w:color="auto"/>
        <w:left w:val="none" w:sz="0" w:space="0" w:color="auto"/>
        <w:bottom w:val="none" w:sz="0" w:space="0" w:color="auto"/>
        <w:right w:val="none" w:sz="0" w:space="0" w:color="auto"/>
      </w:divBdr>
    </w:div>
    <w:div w:id="274410683">
      <w:bodyDiv w:val="1"/>
      <w:marLeft w:val="0"/>
      <w:marRight w:val="0"/>
      <w:marTop w:val="0"/>
      <w:marBottom w:val="0"/>
      <w:divBdr>
        <w:top w:val="none" w:sz="0" w:space="0" w:color="auto"/>
        <w:left w:val="none" w:sz="0" w:space="0" w:color="auto"/>
        <w:bottom w:val="none" w:sz="0" w:space="0" w:color="auto"/>
        <w:right w:val="none" w:sz="0" w:space="0" w:color="auto"/>
      </w:divBdr>
    </w:div>
    <w:div w:id="291400106">
      <w:bodyDiv w:val="1"/>
      <w:marLeft w:val="0"/>
      <w:marRight w:val="0"/>
      <w:marTop w:val="0"/>
      <w:marBottom w:val="0"/>
      <w:divBdr>
        <w:top w:val="none" w:sz="0" w:space="0" w:color="auto"/>
        <w:left w:val="none" w:sz="0" w:space="0" w:color="auto"/>
        <w:bottom w:val="none" w:sz="0" w:space="0" w:color="auto"/>
        <w:right w:val="none" w:sz="0" w:space="0" w:color="auto"/>
      </w:divBdr>
    </w:div>
    <w:div w:id="303898453">
      <w:bodyDiv w:val="1"/>
      <w:marLeft w:val="0"/>
      <w:marRight w:val="0"/>
      <w:marTop w:val="0"/>
      <w:marBottom w:val="0"/>
      <w:divBdr>
        <w:top w:val="none" w:sz="0" w:space="0" w:color="auto"/>
        <w:left w:val="none" w:sz="0" w:space="0" w:color="auto"/>
        <w:bottom w:val="none" w:sz="0" w:space="0" w:color="auto"/>
        <w:right w:val="none" w:sz="0" w:space="0" w:color="auto"/>
      </w:divBdr>
    </w:div>
    <w:div w:id="339161250">
      <w:bodyDiv w:val="1"/>
      <w:marLeft w:val="0"/>
      <w:marRight w:val="0"/>
      <w:marTop w:val="0"/>
      <w:marBottom w:val="0"/>
      <w:divBdr>
        <w:top w:val="none" w:sz="0" w:space="0" w:color="auto"/>
        <w:left w:val="none" w:sz="0" w:space="0" w:color="auto"/>
        <w:bottom w:val="none" w:sz="0" w:space="0" w:color="auto"/>
        <w:right w:val="none" w:sz="0" w:space="0" w:color="auto"/>
      </w:divBdr>
    </w:div>
    <w:div w:id="361637254">
      <w:bodyDiv w:val="1"/>
      <w:marLeft w:val="0"/>
      <w:marRight w:val="0"/>
      <w:marTop w:val="0"/>
      <w:marBottom w:val="0"/>
      <w:divBdr>
        <w:top w:val="none" w:sz="0" w:space="0" w:color="auto"/>
        <w:left w:val="none" w:sz="0" w:space="0" w:color="auto"/>
        <w:bottom w:val="none" w:sz="0" w:space="0" w:color="auto"/>
        <w:right w:val="none" w:sz="0" w:space="0" w:color="auto"/>
      </w:divBdr>
    </w:div>
    <w:div w:id="494492806">
      <w:bodyDiv w:val="1"/>
      <w:marLeft w:val="0"/>
      <w:marRight w:val="0"/>
      <w:marTop w:val="0"/>
      <w:marBottom w:val="0"/>
      <w:divBdr>
        <w:top w:val="none" w:sz="0" w:space="0" w:color="auto"/>
        <w:left w:val="none" w:sz="0" w:space="0" w:color="auto"/>
        <w:bottom w:val="none" w:sz="0" w:space="0" w:color="auto"/>
        <w:right w:val="none" w:sz="0" w:space="0" w:color="auto"/>
      </w:divBdr>
    </w:div>
    <w:div w:id="573666526">
      <w:bodyDiv w:val="1"/>
      <w:marLeft w:val="0"/>
      <w:marRight w:val="0"/>
      <w:marTop w:val="0"/>
      <w:marBottom w:val="0"/>
      <w:divBdr>
        <w:top w:val="none" w:sz="0" w:space="0" w:color="auto"/>
        <w:left w:val="none" w:sz="0" w:space="0" w:color="auto"/>
        <w:bottom w:val="none" w:sz="0" w:space="0" w:color="auto"/>
        <w:right w:val="none" w:sz="0" w:space="0" w:color="auto"/>
      </w:divBdr>
      <w:divsChild>
        <w:div w:id="994919910">
          <w:marLeft w:val="0"/>
          <w:marRight w:val="0"/>
          <w:marTop w:val="67"/>
          <w:marBottom w:val="0"/>
          <w:divBdr>
            <w:top w:val="none" w:sz="0" w:space="0" w:color="auto"/>
            <w:left w:val="none" w:sz="0" w:space="0" w:color="auto"/>
            <w:bottom w:val="none" w:sz="0" w:space="0" w:color="auto"/>
            <w:right w:val="none" w:sz="0" w:space="0" w:color="auto"/>
          </w:divBdr>
        </w:div>
      </w:divsChild>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773671667">
      <w:bodyDiv w:val="1"/>
      <w:marLeft w:val="0"/>
      <w:marRight w:val="0"/>
      <w:marTop w:val="0"/>
      <w:marBottom w:val="0"/>
      <w:divBdr>
        <w:top w:val="none" w:sz="0" w:space="0" w:color="auto"/>
        <w:left w:val="none" w:sz="0" w:space="0" w:color="auto"/>
        <w:bottom w:val="none" w:sz="0" w:space="0" w:color="auto"/>
        <w:right w:val="none" w:sz="0" w:space="0" w:color="auto"/>
      </w:divBdr>
      <w:divsChild>
        <w:div w:id="1259751572">
          <w:marLeft w:val="0"/>
          <w:marRight w:val="0"/>
          <w:marTop w:val="0"/>
          <w:marBottom w:val="0"/>
          <w:divBdr>
            <w:top w:val="none" w:sz="0" w:space="0" w:color="auto"/>
            <w:left w:val="none" w:sz="0" w:space="0" w:color="auto"/>
            <w:bottom w:val="none" w:sz="0" w:space="0" w:color="auto"/>
            <w:right w:val="none" w:sz="0" w:space="0" w:color="auto"/>
          </w:divBdr>
        </w:div>
        <w:div w:id="1823348314">
          <w:marLeft w:val="0"/>
          <w:marRight w:val="0"/>
          <w:marTop w:val="0"/>
          <w:marBottom w:val="0"/>
          <w:divBdr>
            <w:top w:val="none" w:sz="0" w:space="0" w:color="auto"/>
            <w:left w:val="none" w:sz="0" w:space="0" w:color="auto"/>
            <w:bottom w:val="none" w:sz="0" w:space="0" w:color="auto"/>
            <w:right w:val="none" w:sz="0" w:space="0" w:color="auto"/>
          </w:divBdr>
        </w:div>
        <w:div w:id="16203759">
          <w:marLeft w:val="0"/>
          <w:marRight w:val="0"/>
          <w:marTop w:val="0"/>
          <w:marBottom w:val="0"/>
          <w:divBdr>
            <w:top w:val="none" w:sz="0" w:space="0" w:color="auto"/>
            <w:left w:val="none" w:sz="0" w:space="0" w:color="auto"/>
            <w:bottom w:val="none" w:sz="0" w:space="0" w:color="auto"/>
            <w:right w:val="none" w:sz="0" w:space="0" w:color="auto"/>
          </w:divBdr>
        </w:div>
        <w:div w:id="1269434363">
          <w:marLeft w:val="0"/>
          <w:marRight w:val="0"/>
          <w:marTop w:val="0"/>
          <w:marBottom w:val="0"/>
          <w:divBdr>
            <w:top w:val="none" w:sz="0" w:space="0" w:color="auto"/>
            <w:left w:val="none" w:sz="0" w:space="0" w:color="auto"/>
            <w:bottom w:val="none" w:sz="0" w:space="0" w:color="auto"/>
            <w:right w:val="none" w:sz="0" w:space="0" w:color="auto"/>
          </w:divBdr>
        </w:div>
        <w:div w:id="695890854">
          <w:marLeft w:val="0"/>
          <w:marRight w:val="0"/>
          <w:marTop w:val="0"/>
          <w:marBottom w:val="0"/>
          <w:divBdr>
            <w:top w:val="none" w:sz="0" w:space="0" w:color="auto"/>
            <w:left w:val="none" w:sz="0" w:space="0" w:color="auto"/>
            <w:bottom w:val="none" w:sz="0" w:space="0" w:color="auto"/>
            <w:right w:val="none" w:sz="0" w:space="0" w:color="auto"/>
          </w:divBdr>
        </w:div>
        <w:div w:id="1276599824">
          <w:marLeft w:val="0"/>
          <w:marRight w:val="0"/>
          <w:marTop w:val="0"/>
          <w:marBottom w:val="0"/>
          <w:divBdr>
            <w:top w:val="none" w:sz="0" w:space="0" w:color="auto"/>
            <w:left w:val="none" w:sz="0" w:space="0" w:color="auto"/>
            <w:bottom w:val="none" w:sz="0" w:space="0" w:color="auto"/>
            <w:right w:val="none" w:sz="0" w:space="0" w:color="auto"/>
          </w:divBdr>
        </w:div>
      </w:divsChild>
    </w:div>
    <w:div w:id="782000880">
      <w:bodyDiv w:val="1"/>
      <w:marLeft w:val="0"/>
      <w:marRight w:val="0"/>
      <w:marTop w:val="0"/>
      <w:marBottom w:val="0"/>
      <w:divBdr>
        <w:top w:val="none" w:sz="0" w:space="0" w:color="auto"/>
        <w:left w:val="none" w:sz="0" w:space="0" w:color="auto"/>
        <w:bottom w:val="none" w:sz="0" w:space="0" w:color="auto"/>
        <w:right w:val="none" w:sz="0" w:space="0" w:color="auto"/>
      </w:divBdr>
    </w:div>
    <w:div w:id="785586689">
      <w:bodyDiv w:val="1"/>
      <w:marLeft w:val="0"/>
      <w:marRight w:val="0"/>
      <w:marTop w:val="0"/>
      <w:marBottom w:val="0"/>
      <w:divBdr>
        <w:top w:val="none" w:sz="0" w:space="0" w:color="auto"/>
        <w:left w:val="none" w:sz="0" w:space="0" w:color="auto"/>
        <w:bottom w:val="none" w:sz="0" w:space="0" w:color="auto"/>
        <w:right w:val="none" w:sz="0" w:space="0" w:color="auto"/>
      </w:divBdr>
    </w:div>
    <w:div w:id="801507933">
      <w:bodyDiv w:val="1"/>
      <w:marLeft w:val="0"/>
      <w:marRight w:val="0"/>
      <w:marTop w:val="0"/>
      <w:marBottom w:val="0"/>
      <w:divBdr>
        <w:top w:val="none" w:sz="0" w:space="0" w:color="auto"/>
        <w:left w:val="none" w:sz="0" w:space="0" w:color="auto"/>
        <w:bottom w:val="none" w:sz="0" w:space="0" w:color="auto"/>
        <w:right w:val="none" w:sz="0" w:space="0" w:color="auto"/>
      </w:divBdr>
      <w:divsChild>
        <w:div w:id="133569379">
          <w:marLeft w:val="547"/>
          <w:marRight w:val="0"/>
          <w:marTop w:val="96"/>
          <w:marBottom w:val="0"/>
          <w:divBdr>
            <w:top w:val="none" w:sz="0" w:space="0" w:color="auto"/>
            <w:left w:val="none" w:sz="0" w:space="0" w:color="auto"/>
            <w:bottom w:val="none" w:sz="0" w:space="0" w:color="auto"/>
            <w:right w:val="none" w:sz="0" w:space="0" w:color="auto"/>
          </w:divBdr>
        </w:div>
      </w:divsChild>
    </w:div>
    <w:div w:id="859202976">
      <w:bodyDiv w:val="1"/>
      <w:marLeft w:val="0"/>
      <w:marRight w:val="0"/>
      <w:marTop w:val="0"/>
      <w:marBottom w:val="0"/>
      <w:divBdr>
        <w:top w:val="none" w:sz="0" w:space="0" w:color="auto"/>
        <w:left w:val="none" w:sz="0" w:space="0" w:color="auto"/>
        <w:bottom w:val="none" w:sz="0" w:space="0" w:color="auto"/>
        <w:right w:val="none" w:sz="0" w:space="0" w:color="auto"/>
      </w:divBdr>
      <w:divsChild>
        <w:div w:id="1646354054">
          <w:marLeft w:val="0"/>
          <w:marRight w:val="0"/>
          <w:marTop w:val="0"/>
          <w:marBottom w:val="0"/>
          <w:divBdr>
            <w:top w:val="none" w:sz="0" w:space="0" w:color="auto"/>
            <w:left w:val="none" w:sz="0" w:space="0" w:color="auto"/>
            <w:bottom w:val="none" w:sz="0" w:space="0" w:color="auto"/>
            <w:right w:val="none" w:sz="0" w:space="0" w:color="auto"/>
          </w:divBdr>
        </w:div>
        <w:div w:id="1473908845">
          <w:marLeft w:val="0"/>
          <w:marRight w:val="0"/>
          <w:marTop w:val="0"/>
          <w:marBottom w:val="0"/>
          <w:divBdr>
            <w:top w:val="none" w:sz="0" w:space="0" w:color="auto"/>
            <w:left w:val="none" w:sz="0" w:space="0" w:color="auto"/>
            <w:bottom w:val="none" w:sz="0" w:space="0" w:color="auto"/>
            <w:right w:val="none" w:sz="0" w:space="0" w:color="auto"/>
          </w:divBdr>
        </w:div>
      </w:divsChild>
    </w:div>
    <w:div w:id="892615168">
      <w:bodyDiv w:val="1"/>
      <w:marLeft w:val="0"/>
      <w:marRight w:val="0"/>
      <w:marTop w:val="0"/>
      <w:marBottom w:val="0"/>
      <w:divBdr>
        <w:top w:val="none" w:sz="0" w:space="0" w:color="auto"/>
        <w:left w:val="none" w:sz="0" w:space="0" w:color="auto"/>
        <w:bottom w:val="none" w:sz="0" w:space="0" w:color="auto"/>
        <w:right w:val="none" w:sz="0" w:space="0" w:color="auto"/>
      </w:divBdr>
    </w:div>
    <w:div w:id="924731273">
      <w:bodyDiv w:val="1"/>
      <w:marLeft w:val="0"/>
      <w:marRight w:val="0"/>
      <w:marTop w:val="0"/>
      <w:marBottom w:val="0"/>
      <w:divBdr>
        <w:top w:val="none" w:sz="0" w:space="0" w:color="auto"/>
        <w:left w:val="none" w:sz="0" w:space="0" w:color="auto"/>
        <w:bottom w:val="none" w:sz="0" w:space="0" w:color="auto"/>
        <w:right w:val="none" w:sz="0" w:space="0" w:color="auto"/>
      </w:divBdr>
    </w:div>
    <w:div w:id="1048651834">
      <w:bodyDiv w:val="1"/>
      <w:marLeft w:val="0"/>
      <w:marRight w:val="0"/>
      <w:marTop w:val="0"/>
      <w:marBottom w:val="0"/>
      <w:divBdr>
        <w:top w:val="none" w:sz="0" w:space="0" w:color="auto"/>
        <w:left w:val="none" w:sz="0" w:space="0" w:color="auto"/>
        <w:bottom w:val="none" w:sz="0" w:space="0" w:color="auto"/>
        <w:right w:val="none" w:sz="0" w:space="0" w:color="auto"/>
      </w:divBdr>
    </w:div>
    <w:div w:id="1113129854">
      <w:bodyDiv w:val="1"/>
      <w:marLeft w:val="0"/>
      <w:marRight w:val="0"/>
      <w:marTop w:val="0"/>
      <w:marBottom w:val="0"/>
      <w:divBdr>
        <w:top w:val="none" w:sz="0" w:space="0" w:color="auto"/>
        <w:left w:val="none" w:sz="0" w:space="0" w:color="auto"/>
        <w:bottom w:val="none" w:sz="0" w:space="0" w:color="auto"/>
        <w:right w:val="none" w:sz="0" w:space="0" w:color="auto"/>
      </w:divBdr>
    </w:div>
    <w:div w:id="1235433106">
      <w:bodyDiv w:val="1"/>
      <w:marLeft w:val="0"/>
      <w:marRight w:val="0"/>
      <w:marTop w:val="0"/>
      <w:marBottom w:val="0"/>
      <w:divBdr>
        <w:top w:val="none" w:sz="0" w:space="0" w:color="auto"/>
        <w:left w:val="none" w:sz="0" w:space="0" w:color="auto"/>
        <w:bottom w:val="none" w:sz="0" w:space="0" w:color="auto"/>
        <w:right w:val="none" w:sz="0" w:space="0" w:color="auto"/>
      </w:divBdr>
    </w:div>
    <w:div w:id="1419017605">
      <w:bodyDiv w:val="1"/>
      <w:marLeft w:val="0"/>
      <w:marRight w:val="0"/>
      <w:marTop w:val="0"/>
      <w:marBottom w:val="0"/>
      <w:divBdr>
        <w:top w:val="none" w:sz="0" w:space="0" w:color="auto"/>
        <w:left w:val="none" w:sz="0" w:space="0" w:color="auto"/>
        <w:bottom w:val="none" w:sz="0" w:space="0" w:color="auto"/>
        <w:right w:val="none" w:sz="0" w:space="0" w:color="auto"/>
      </w:divBdr>
    </w:div>
    <w:div w:id="1445687142">
      <w:bodyDiv w:val="1"/>
      <w:marLeft w:val="0"/>
      <w:marRight w:val="0"/>
      <w:marTop w:val="0"/>
      <w:marBottom w:val="0"/>
      <w:divBdr>
        <w:top w:val="none" w:sz="0" w:space="0" w:color="auto"/>
        <w:left w:val="none" w:sz="0" w:space="0" w:color="auto"/>
        <w:bottom w:val="none" w:sz="0" w:space="0" w:color="auto"/>
        <w:right w:val="none" w:sz="0" w:space="0" w:color="auto"/>
      </w:divBdr>
      <w:divsChild>
        <w:div w:id="94517401">
          <w:marLeft w:val="0"/>
          <w:marRight w:val="0"/>
          <w:marTop w:val="0"/>
          <w:marBottom w:val="0"/>
          <w:divBdr>
            <w:top w:val="none" w:sz="0" w:space="0" w:color="auto"/>
            <w:left w:val="none" w:sz="0" w:space="0" w:color="auto"/>
            <w:bottom w:val="none" w:sz="0" w:space="0" w:color="auto"/>
            <w:right w:val="none" w:sz="0" w:space="0" w:color="auto"/>
          </w:divBdr>
        </w:div>
      </w:divsChild>
    </w:div>
    <w:div w:id="1470130188">
      <w:bodyDiv w:val="1"/>
      <w:marLeft w:val="0"/>
      <w:marRight w:val="0"/>
      <w:marTop w:val="0"/>
      <w:marBottom w:val="0"/>
      <w:divBdr>
        <w:top w:val="none" w:sz="0" w:space="0" w:color="auto"/>
        <w:left w:val="none" w:sz="0" w:space="0" w:color="auto"/>
        <w:bottom w:val="none" w:sz="0" w:space="0" w:color="auto"/>
        <w:right w:val="none" w:sz="0" w:space="0" w:color="auto"/>
      </w:divBdr>
    </w:div>
    <w:div w:id="1510438632">
      <w:bodyDiv w:val="1"/>
      <w:marLeft w:val="0"/>
      <w:marRight w:val="0"/>
      <w:marTop w:val="0"/>
      <w:marBottom w:val="0"/>
      <w:divBdr>
        <w:top w:val="none" w:sz="0" w:space="0" w:color="auto"/>
        <w:left w:val="none" w:sz="0" w:space="0" w:color="auto"/>
        <w:bottom w:val="none" w:sz="0" w:space="0" w:color="auto"/>
        <w:right w:val="none" w:sz="0" w:space="0" w:color="auto"/>
      </w:divBdr>
    </w:div>
    <w:div w:id="1585188593">
      <w:bodyDiv w:val="1"/>
      <w:marLeft w:val="0"/>
      <w:marRight w:val="0"/>
      <w:marTop w:val="0"/>
      <w:marBottom w:val="0"/>
      <w:divBdr>
        <w:top w:val="none" w:sz="0" w:space="0" w:color="auto"/>
        <w:left w:val="none" w:sz="0" w:space="0" w:color="auto"/>
        <w:bottom w:val="none" w:sz="0" w:space="0" w:color="auto"/>
        <w:right w:val="none" w:sz="0" w:space="0" w:color="auto"/>
      </w:divBdr>
    </w:div>
    <w:div w:id="1591154796">
      <w:bodyDiv w:val="1"/>
      <w:marLeft w:val="0"/>
      <w:marRight w:val="0"/>
      <w:marTop w:val="0"/>
      <w:marBottom w:val="0"/>
      <w:divBdr>
        <w:top w:val="none" w:sz="0" w:space="0" w:color="auto"/>
        <w:left w:val="none" w:sz="0" w:space="0" w:color="auto"/>
        <w:bottom w:val="none" w:sz="0" w:space="0" w:color="auto"/>
        <w:right w:val="none" w:sz="0" w:space="0" w:color="auto"/>
      </w:divBdr>
    </w:div>
    <w:div w:id="1612056441">
      <w:bodyDiv w:val="1"/>
      <w:marLeft w:val="0"/>
      <w:marRight w:val="0"/>
      <w:marTop w:val="0"/>
      <w:marBottom w:val="0"/>
      <w:divBdr>
        <w:top w:val="none" w:sz="0" w:space="0" w:color="auto"/>
        <w:left w:val="none" w:sz="0" w:space="0" w:color="auto"/>
        <w:bottom w:val="none" w:sz="0" w:space="0" w:color="auto"/>
        <w:right w:val="none" w:sz="0" w:space="0" w:color="auto"/>
      </w:divBdr>
    </w:div>
    <w:div w:id="1629159713">
      <w:bodyDiv w:val="1"/>
      <w:marLeft w:val="0"/>
      <w:marRight w:val="0"/>
      <w:marTop w:val="0"/>
      <w:marBottom w:val="0"/>
      <w:divBdr>
        <w:top w:val="none" w:sz="0" w:space="0" w:color="auto"/>
        <w:left w:val="none" w:sz="0" w:space="0" w:color="auto"/>
        <w:bottom w:val="none" w:sz="0" w:space="0" w:color="auto"/>
        <w:right w:val="none" w:sz="0" w:space="0" w:color="auto"/>
      </w:divBdr>
    </w:div>
    <w:div w:id="1661495314">
      <w:bodyDiv w:val="1"/>
      <w:marLeft w:val="0"/>
      <w:marRight w:val="0"/>
      <w:marTop w:val="0"/>
      <w:marBottom w:val="0"/>
      <w:divBdr>
        <w:top w:val="none" w:sz="0" w:space="0" w:color="auto"/>
        <w:left w:val="none" w:sz="0" w:space="0" w:color="auto"/>
        <w:bottom w:val="none" w:sz="0" w:space="0" w:color="auto"/>
        <w:right w:val="none" w:sz="0" w:space="0" w:color="auto"/>
      </w:divBdr>
    </w:div>
    <w:div w:id="1696924792">
      <w:bodyDiv w:val="1"/>
      <w:marLeft w:val="0"/>
      <w:marRight w:val="0"/>
      <w:marTop w:val="0"/>
      <w:marBottom w:val="0"/>
      <w:divBdr>
        <w:top w:val="none" w:sz="0" w:space="0" w:color="auto"/>
        <w:left w:val="none" w:sz="0" w:space="0" w:color="auto"/>
        <w:bottom w:val="none" w:sz="0" w:space="0" w:color="auto"/>
        <w:right w:val="none" w:sz="0" w:space="0" w:color="auto"/>
      </w:divBdr>
      <w:divsChild>
        <w:div w:id="1331368224">
          <w:marLeft w:val="0"/>
          <w:marRight w:val="0"/>
          <w:marTop w:val="480"/>
          <w:marBottom w:val="240"/>
          <w:divBdr>
            <w:top w:val="none" w:sz="0" w:space="0" w:color="auto"/>
            <w:left w:val="none" w:sz="0" w:space="0" w:color="auto"/>
            <w:bottom w:val="none" w:sz="0" w:space="0" w:color="auto"/>
            <w:right w:val="none" w:sz="0" w:space="0" w:color="auto"/>
          </w:divBdr>
        </w:div>
        <w:div w:id="384182030">
          <w:marLeft w:val="0"/>
          <w:marRight w:val="0"/>
          <w:marTop w:val="0"/>
          <w:marBottom w:val="567"/>
          <w:divBdr>
            <w:top w:val="none" w:sz="0" w:space="0" w:color="auto"/>
            <w:left w:val="none" w:sz="0" w:space="0" w:color="auto"/>
            <w:bottom w:val="none" w:sz="0" w:space="0" w:color="auto"/>
            <w:right w:val="none" w:sz="0" w:space="0" w:color="auto"/>
          </w:divBdr>
        </w:div>
      </w:divsChild>
    </w:div>
    <w:div w:id="1708292354">
      <w:bodyDiv w:val="1"/>
      <w:marLeft w:val="0"/>
      <w:marRight w:val="0"/>
      <w:marTop w:val="0"/>
      <w:marBottom w:val="0"/>
      <w:divBdr>
        <w:top w:val="none" w:sz="0" w:space="0" w:color="auto"/>
        <w:left w:val="none" w:sz="0" w:space="0" w:color="auto"/>
        <w:bottom w:val="none" w:sz="0" w:space="0" w:color="auto"/>
        <w:right w:val="none" w:sz="0" w:space="0" w:color="auto"/>
      </w:divBdr>
    </w:div>
    <w:div w:id="1802919977">
      <w:bodyDiv w:val="1"/>
      <w:marLeft w:val="0"/>
      <w:marRight w:val="0"/>
      <w:marTop w:val="0"/>
      <w:marBottom w:val="0"/>
      <w:divBdr>
        <w:top w:val="none" w:sz="0" w:space="0" w:color="auto"/>
        <w:left w:val="none" w:sz="0" w:space="0" w:color="auto"/>
        <w:bottom w:val="none" w:sz="0" w:space="0" w:color="auto"/>
        <w:right w:val="none" w:sz="0" w:space="0" w:color="auto"/>
      </w:divBdr>
    </w:div>
    <w:div w:id="1862472367">
      <w:bodyDiv w:val="1"/>
      <w:marLeft w:val="0"/>
      <w:marRight w:val="0"/>
      <w:marTop w:val="0"/>
      <w:marBottom w:val="0"/>
      <w:divBdr>
        <w:top w:val="none" w:sz="0" w:space="0" w:color="auto"/>
        <w:left w:val="none" w:sz="0" w:space="0" w:color="auto"/>
        <w:bottom w:val="none" w:sz="0" w:space="0" w:color="auto"/>
        <w:right w:val="none" w:sz="0" w:space="0" w:color="auto"/>
      </w:divBdr>
    </w:div>
    <w:div w:id="1955404032">
      <w:bodyDiv w:val="1"/>
      <w:marLeft w:val="0"/>
      <w:marRight w:val="0"/>
      <w:marTop w:val="0"/>
      <w:marBottom w:val="0"/>
      <w:divBdr>
        <w:top w:val="none" w:sz="0" w:space="0" w:color="auto"/>
        <w:left w:val="none" w:sz="0" w:space="0" w:color="auto"/>
        <w:bottom w:val="none" w:sz="0" w:space="0" w:color="auto"/>
        <w:right w:val="none" w:sz="0" w:space="0" w:color="auto"/>
      </w:divBdr>
    </w:div>
    <w:div w:id="1985616777">
      <w:bodyDiv w:val="1"/>
      <w:marLeft w:val="0"/>
      <w:marRight w:val="0"/>
      <w:marTop w:val="0"/>
      <w:marBottom w:val="0"/>
      <w:divBdr>
        <w:top w:val="none" w:sz="0" w:space="0" w:color="auto"/>
        <w:left w:val="none" w:sz="0" w:space="0" w:color="auto"/>
        <w:bottom w:val="none" w:sz="0" w:space="0" w:color="auto"/>
        <w:right w:val="none" w:sz="0" w:space="0" w:color="auto"/>
      </w:divBdr>
    </w:div>
    <w:div w:id="2047025517">
      <w:bodyDiv w:val="1"/>
      <w:marLeft w:val="0"/>
      <w:marRight w:val="0"/>
      <w:marTop w:val="0"/>
      <w:marBottom w:val="0"/>
      <w:divBdr>
        <w:top w:val="none" w:sz="0" w:space="0" w:color="auto"/>
        <w:left w:val="none" w:sz="0" w:space="0" w:color="auto"/>
        <w:bottom w:val="none" w:sz="0" w:space="0" w:color="auto"/>
        <w:right w:val="none" w:sz="0" w:space="0" w:color="auto"/>
      </w:divBdr>
    </w:div>
    <w:div w:id="2068453847">
      <w:bodyDiv w:val="1"/>
      <w:marLeft w:val="0"/>
      <w:marRight w:val="0"/>
      <w:marTop w:val="0"/>
      <w:marBottom w:val="0"/>
      <w:divBdr>
        <w:top w:val="none" w:sz="0" w:space="0" w:color="auto"/>
        <w:left w:val="none" w:sz="0" w:space="0" w:color="auto"/>
        <w:bottom w:val="none" w:sz="0" w:space="0" w:color="auto"/>
        <w:right w:val="none" w:sz="0" w:space="0" w:color="auto"/>
      </w:divBdr>
    </w:div>
    <w:div w:id="20917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lv-LV"/>
  <c:style val="18"/>
  <c:chart>
    <c:autoTitleDeleted val="1"/>
    <c:plotArea>
      <c:layout/>
      <c:lineChart>
        <c:grouping val="standard"/>
        <c:ser>
          <c:idx val="0"/>
          <c:order val="0"/>
          <c:dLbls>
            <c:spPr>
              <a:noFill/>
              <a:ln>
                <a:noFill/>
              </a:ln>
              <a:effectLst/>
            </c:spPr>
            <c:txPr>
              <a:bodyPr/>
              <a:lstStyle/>
              <a:p>
                <a:pPr>
                  <a:defRPr b="1"/>
                </a:pPr>
                <a:endParaRPr lang="lv-LV"/>
              </a:p>
            </c:txPr>
            <c:dLblPos val="t"/>
            <c:showVal val="1"/>
            <c:extLst xmlns:c16r2="http://schemas.microsoft.com/office/drawing/2015/06/chart">
              <c:ext xmlns:c15="http://schemas.microsoft.com/office/drawing/2012/chart" uri="{CE6537A1-D6FC-4f65-9D91-7224C49458BB}">
                <c15:showLeaderLines val="0"/>
              </c:ext>
            </c:extLst>
          </c:dLbls>
          <c:cat>
            <c:strRef>
              <c:f>ziks!$E$16:$E$21</c:f>
              <c:strCache>
                <c:ptCount val="6"/>
                <c:pt idx="0">
                  <c:v>2011. gads</c:v>
                </c:pt>
                <c:pt idx="1">
                  <c:v>2012. gads</c:v>
                </c:pt>
                <c:pt idx="2">
                  <c:v>2013. gads</c:v>
                </c:pt>
                <c:pt idx="3">
                  <c:v>2014. gads</c:v>
                </c:pt>
                <c:pt idx="4">
                  <c:v>2015. gads</c:v>
                </c:pt>
                <c:pt idx="5">
                  <c:v>2016. gads prognoze</c:v>
                </c:pt>
              </c:strCache>
            </c:strRef>
          </c:cat>
          <c:val>
            <c:numRef>
              <c:f>ziks!$H$16:$H$21</c:f>
              <c:numCache>
                <c:formatCode>#,##0</c:formatCode>
                <c:ptCount val="6"/>
                <c:pt idx="0">
                  <c:v>524282</c:v>
                </c:pt>
                <c:pt idx="1">
                  <c:v>559978</c:v>
                </c:pt>
                <c:pt idx="2">
                  <c:v>597472</c:v>
                </c:pt>
                <c:pt idx="3">
                  <c:v>626054</c:v>
                </c:pt>
                <c:pt idx="4">
                  <c:v>647911</c:v>
                </c:pt>
                <c:pt idx="5">
                  <c:v>686786</c:v>
                </c:pt>
              </c:numCache>
            </c:numRef>
          </c:val>
          <c:extLst xmlns:c16r2="http://schemas.microsoft.com/office/drawing/2015/06/chart">
            <c:ext xmlns:c16="http://schemas.microsoft.com/office/drawing/2014/chart" uri="{C3380CC4-5D6E-409C-BE32-E72D297353CC}">
              <c16:uniqueId val="{00000000-C7F6-40AB-9A7F-80049654B933}"/>
            </c:ext>
          </c:extLst>
        </c:ser>
        <c:dLbls>
          <c:showVal val="1"/>
        </c:dLbls>
        <c:marker val="1"/>
        <c:axId val="107913984"/>
        <c:axId val="107915520"/>
      </c:lineChart>
      <c:catAx>
        <c:axId val="107913984"/>
        <c:scaling>
          <c:orientation val="minMax"/>
        </c:scaling>
        <c:axPos val="b"/>
        <c:numFmt formatCode="General" sourceLinked="1"/>
        <c:majorTickMark val="none"/>
        <c:tickLblPos val="nextTo"/>
        <c:crossAx val="107915520"/>
        <c:crosses val="autoZero"/>
        <c:auto val="1"/>
        <c:lblAlgn val="ctr"/>
        <c:lblOffset val="100"/>
      </c:catAx>
      <c:valAx>
        <c:axId val="107915520"/>
        <c:scaling>
          <c:orientation val="minMax"/>
          <c:min val="500000"/>
        </c:scaling>
        <c:delete val="1"/>
        <c:axPos val="l"/>
        <c:numFmt formatCode="#,##0" sourceLinked="1"/>
        <c:majorTickMark val="none"/>
        <c:tickLblPos val="none"/>
        <c:crossAx val="10791398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13A2-93B0-4C39-992D-E67F972C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17010</Words>
  <Characters>9696</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papildus līdzekļu piešķiršanu veselības aprūpes nozarei</vt:lpstr>
      <vt:lpstr>Informatīvais ziņojums par valsts finansēto veselības aprūpes pakalpojumu apjomu</vt:lpstr>
    </vt:vector>
  </TitlesOfParts>
  <Company>VM</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līdzekļu piešķiršanu veselības aprūpes nozarei</dc:title>
  <dc:subject>Informatīvais ziņojums</dc:subject>
  <dc:creator>Anda Strazdiņa</dc:creator>
  <dc:description>Nozares budžeta plānošanas departamenta direktora vietniece A.Strazdiņa, tālr.67876042</dc:description>
  <cp:lastModifiedBy>astrazdina</cp:lastModifiedBy>
  <cp:revision>2</cp:revision>
  <cp:lastPrinted>2016-10-25T10:21:00Z</cp:lastPrinted>
  <dcterms:created xsi:type="dcterms:W3CDTF">2016-10-28T06:22:00Z</dcterms:created>
  <dcterms:modified xsi:type="dcterms:W3CDTF">2016-10-28T06:22:00Z</dcterms:modified>
</cp:coreProperties>
</file>