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5DAC" w14:textId="77777777" w:rsidR="00D73445" w:rsidRPr="002D791F" w:rsidRDefault="00D73445" w:rsidP="0024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Noteikumu projekta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„Grozījumi Ministru kabineta 20</w:t>
      </w:r>
      <w:r w:rsidR="00811414"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811414"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23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811414"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decembra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noteikumos Nr.</w:t>
      </w:r>
      <w:r w:rsidR="00811414"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796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 w:rsidRPr="002D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rūpnieciskās zvejas limitiem un to izmantošanas kārtību iekšējos ūdeņos</w:t>
      </w:r>
      <w:r w:rsidRPr="002D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 sākotnējās ietekmes novērtējuma ziņojums (</w:t>
      </w:r>
      <w:r w:rsidRPr="002D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anotācija)</w:t>
      </w:r>
    </w:p>
    <w:p w14:paraId="5C1C2E81" w14:textId="77777777" w:rsidR="00D73445" w:rsidRPr="002825C0" w:rsidRDefault="00D73445" w:rsidP="0024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476"/>
        <w:gridCol w:w="6254"/>
      </w:tblGrid>
      <w:tr w:rsidR="00D73445" w:rsidRPr="00E649CD" w14:paraId="2FE7E8E0" w14:textId="77777777" w:rsidTr="005E3CA1">
        <w:trPr>
          <w:jc w:val="center"/>
        </w:trPr>
        <w:tc>
          <w:tcPr>
            <w:tcW w:w="5000" w:type="pct"/>
            <w:gridSpan w:val="3"/>
          </w:tcPr>
          <w:p w14:paraId="4030EC59" w14:textId="77777777" w:rsidR="00D73445" w:rsidRPr="00E649CD" w:rsidRDefault="00D73445" w:rsidP="0024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73445" w:rsidRPr="004275EF" w14:paraId="1BC73FC5" w14:textId="77777777" w:rsidTr="005E3CA1">
        <w:trPr>
          <w:jc w:val="center"/>
        </w:trPr>
        <w:tc>
          <w:tcPr>
            <w:tcW w:w="216" w:type="pct"/>
          </w:tcPr>
          <w:p w14:paraId="6EDDAB58" w14:textId="77777777" w:rsidR="00D73445" w:rsidRPr="004275EF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7" w:type="pct"/>
          </w:tcPr>
          <w:p w14:paraId="4903443B" w14:textId="77777777" w:rsidR="00D73445" w:rsidRPr="004275EF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27" w:type="pct"/>
          </w:tcPr>
          <w:p w14:paraId="1D5D6F9D" w14:textId="45B767BF" w:rsidR="00DF3D71" w:rsidRPr="00EF6EC1" w:rsidRDefault="00D73445" w:rsidP="00242A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6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11.panta 4.</w:t>
            </w:r>
            <w:r w:rsidRPr="00EF6E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DF3D71" w:rsidRPr="00EF6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 w:rsidR="00E34A53" w:rsidRPr="00EF6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48FAE42" w14:textId="27704C5B" w:rsidR="00242A96" w:rsidRDefault="00D73445" w:rsidP="00242A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83303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2014.gada 23.decembra</w:t>
            </w:r>
            <w:r w:rsidR="00DF3D7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 w:rsidR="0083303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Nr.796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42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par rūpnieciskās zvejas limitiem un to izmantošanas kārtību iekšējos ūdeņos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9.punkt</w:t>
            </w:r>
            <w:r w:rsidR="00DF3D7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371CD3BF" w14:textId="68C165FE" w:rsidR="00242A96" w:rsidRPr="00EF6EC1" w:rsidRDefault="00242A96" w:rsidP="00242A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2016.gada 12.janvāra sēdes protokola Nr.</w:t>
            </w:r>
            <w:r w:rsidR="004E4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32§ 2.punkts.</w:t>
            </w:r>
          </w:p>
          <w:p w14:paraId="67F421F2" w14:textId="77777777" w:rsidR="00D73445" w:rsidRPr="004275EF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3445" w:rsidRPr="004275EF" w14:paraId="71F74BB7" w14:textId="77777777" w:rsidTr="005E3CA1">
        <w:trPr>
          <w:jc w:val="center"/>
        </w:trPr>
        <w:tc>
          <w:tcPr>
            <w:tcW w:w="216" w:type="pct"/>
          </w:tcPr>
          <w:p w14:paraId="45E62FE6" w14:textId="77777777" w:rsidR="00D73445" w:rsidRPr="004275EF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7" w:type="pct"/>
          </w:tcPr>
          <w:p w14:paraId="2AC86166" w14:textId="77777777" w:rsidR="00D73445" w:rsidRPr="004275EF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27" w:type="pct"/>
          </w:tcPr>
          <w:p w14:paraId="644D4D89" w14:textId="1B58B714" w:rsidR="00D73445" w:rsidRPr="004275EF" w:rsidRDefault="00D73445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</w:t>
            </w:r>
            <w:r w:rsidR="00DF3D7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2014.gada 23.decembra noteikumu Nr.796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42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par rūpnieciskās zvejas limitiem un to izmantošanas kārtību iekšējos ūdeņos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noteikumi) 8.punktu pašvaldības reizi gadā līdz 1.jūlijam valsts zinātniskajā institūtā „Pārtikas drošības, dzīvnieku veselības un vides zinātniskais institūts „BIOR”” (turpmāk − institūts) iesniedz priekšlikumus par iekšējos ūdeņos noteikto zvejas limitu izmaiņām. Institūts mēneša laikā izvērtē iesniegtos priekšlikumus un iesniedz Zemkopības ministrijā (turpmāk – ministrija) zinātniski pamatotu atzinumu (turpmāk – atzinums) par pašvaldību priekšlikumiem zvejas limitu izmaiņām. Ministrija atbilstoši noteikumu 9.punktam apkopo institūta izvērtētos un atbalstītos priekšlikumus par zvejas limitu izmaiņām un iesniedz Ministru kabinetā attiecīgu tiesību akta projektu.</w:t>
            </w:r>
          </w:p>
          <w:p w14:paraId="04A4658D" w14:textId="77777777" w:rsidR="00D73445" w:rsidRPr="00A6746F" w:rsidRDefault="00833038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.gadā institūts ir saņēmis </w:t>
            </w:r>
            <w:r w:rsidR="006012A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pašvaldību 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priekšlikumus par zvejas limitu izmaiņām iekšējos ūdeņos</w:t>
            </w:r>
            <w:r w:rsidR="00E34A53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12A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izvērtējis priekšlikumus un sniedzis atzinumu</w:t>
            </w:r>
            <w:r w:rsidR="007D2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.07.201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Nr.17-1/208</w:t>
            </w:r>
            <w:r w:rsidR="007D2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05.08.2016. Nr.17-1/212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attiecīgo zvejas limitu izmaiņu iespējām. 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 atzinumā atbalstīti</w:t>
            </w:r>
            <w:r w:rsidR="006012A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Ventspils novada pašvaldīb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priekšlikumi</w:t>
            </w:r>
            <w:r w:rsidR="00D22C0E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limitu izmaiņām</w:t>
            </w:r>
            <w:r w:rsidR="006012A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="00DD3168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iekļauti sagatavotajā noteikumu projektā</w:t>
            </w:r>
            <w:r w:rsidR="00A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746F"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„Grozījumi Ministru kabineta 2014.gada 23.decembra noteikumos Nr.796 „</w:t>
            </w:r>
            <w:r w:rsidR="00A6746F" w:rsidRPr="006B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par rūpnieciskās zvejas limitiem un to izmantošanas kārtību iekšējos ūdeņos</w:t>
            </w:r>
            <w:r w:rsidR="00A6746F"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””</w:t>
            </w:r>
            <w:r w:rsidR="00A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 – noteikumu projekts)</w:t>
            </w:r>
            <w:r w:rsidR="00DD3168" w:rsidRPr="00A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1D89177" w14:textId="744650A5" w:rsidR="002F250D" w:rsidRDefault="002F250D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Alūksnes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 ir ierosinājusi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aizliegt rūpniecisko zveju Indzera ezerā</w:t>
            </w:r>
            <w:r w:rsidR="00BD02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attīstītu rekreācijas nolūkā veicamās darbības atbilstoši Zvejniecības likuma 16.panta piektajai daļai.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 atzinumu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1.pielikuma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.apakšpunkt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 svītrot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tādējādi atbilstoši noteikumu 3.11.apakšpunktam pašvaldībai 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Indzera 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ezerā turpmāk būtu pieejams iedalāmais zivju tīklu limits, kas nepārsniedz 75 metrus.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ierosinājumu un institūta atzinumu</w:t>
            </w:r>
            <w:r w:rsidR="00CA7B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 paredzēts svītrot noteikumu 1.pielikuma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.apakšpunktu.</w:t>
            </w:r>
          </w:p>
          <w:p w14:paraId="5C514165" w14:textId="6902C1A2" w:rsidR="00DD3168" w:rsidRDefault="00DD3168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Balvu </w:t>
            </w:r>
            <w:r w:rsidR="00D7344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novada pašvaldība ir ierosinājusi 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aizliegt rūpniecisko zveju Pērkonu ezerā, lai attīstītu rekreācijas nolūkā veicamās darbības atbilstoši Zvejniecības likuma 16.panta piektajai daļai.</w:t>
            </w:r>
            <w:r w:rsidR="00315CC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="00A109E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 atzinumu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109E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5CC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1.pielikuma </w:t>
            </w:r>
            <w:r w:rsidR="00A109E5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  <w:r w:rsidR="00997F8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97F8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5CC1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 svītrot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tādējādi</w:t>
            </w:r>
            <w:r w:rsidR="0029713D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noteikumu 3.11.apakšpunktam pašvaldībai Pērkonu ezerā turpmāk būtu pieejams 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iedalāmais </w:t>
            </w:r>
            <w:r w:rsidR="0029713D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tīklu limit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9713D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nepārsniedz 75 metrus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73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108A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 Balvu novada pašvaldības ierosinājumu un institūta atzinumu</w:t>
            </w:r>
            <w:r w:rsidR="001E08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108A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 paredzēts svītrot noteikumu 1.pielikuma 8.2.apakšpunktu</w:t>
            </w:r>
            <w:r w:rsidR="00D22D54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469E40" w14:textId="3C33712D" w:rsidR="006F4884" w:rsidRPr="004275EF" w:rsidRDefault="006F4884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Salaspils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ierosinājusi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nēģu zvejas rīku limit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Daugavā lejpus Rīgas HES, trīs nēģu murdus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aizstājot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trim nēģu tīkliem.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nstitūta atzinum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teikts, ka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zvejas dati par nēģu nozveju ar murdiem un tīkliem 2015.gadā pēc apjoma ir līdzīgi un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 2.punkt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varētu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par trim vienībām samazinot murdu skaitu un par trim vienībām palielinot tīklu skaitu.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Salaspils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ierosinājumu un insti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tūta atzinumu</w:t>
            </w:r>
            <w:r w:rsidR="00642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paredzēts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 2.punkt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trim vienībām samazināt murdu skaitu un par trim vienībām palielināt tīklu skaitu Daugavā lejpus Rīgas HES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1840ECA" w14:textId="42FA2547" w:rsidR="00A53A2E" w:rsidRDefault="003E0475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novada pašvaldība ir ierosinājusi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4000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 zivju tīklu limitu Usmas 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zerā.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 atzinumu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tīklu limitā Usmas ezeram, samazinot to par 4000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tas 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17080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13080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Ventspils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ierosinājumu un insti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tūta atzinumu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samazināt zivju tīklu limitu Usmas 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zerā par 4000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</w:t>
            </w:r>
          </w:p>
          <w:p w14:paraId="7C3FD859" w14:textId="775FFEAB" w:rsidR="00A53A2E" w:rsidRDefault="00A53A2E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Burtnieku novada pašvaldība </w:t>
            </w:r>
            <w:r w:rsid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vērsās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institūtā ar lūgumu saskaņot pētniecisko programmu “Burtnieku ezera m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ioratīvā zveja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uras pamatā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Vides risinājumu institūta izstrādāt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pētniecisk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Šajā pētījumā 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secināts,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ezers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hipereitrofs ar 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lielu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barības vielu koncentrācij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tajā ir 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fitoplanktona biomasa un vasarā dominē toksisku aļ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sugas. Zivju kopējā biomasa ezerā ir ļoti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Dominē plaudis, zandarts, asaris un rauda. 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Ezerā ir l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iels makšķernieku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spiediens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plēsīgajām zivīm, bet mazs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plaudi un citām karpveidīgajām zivīm. Pētījum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rezultāti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pierāda, ka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ūdens kvalitātes uzlabošanos 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eitrofos ezeros 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 panākt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samazinot karpveidīgo zivju biomasu par aptuveni 70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 tādējādi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būtiski samazināt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9E1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aļģu ziedēšana.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 uz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pētījumu</w:t>
            </w:r>
            <w:r w:rsidR="00080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Burtnieku ezerā būtu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nepieciešama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karpveidīgo zivju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melioratīv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zvej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likums paredz iespēju zvej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īpašos nolūkos, ja ar institūtu un Vides aizsardzības un reģionālās attīstības ministriju ir saskaņotas programmas vai projekti.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Tomēr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minētajā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programmā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paredzētā karpveidīgo zivju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nozveja Burtnieku ezerā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plānotajā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iespējama, jo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noteikumos 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ezer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ir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kopēj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nozvejas apjoma limit</w:t>
            </w:r>
            <w:r w:rsidR="00080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 tonnas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</w:t>
            </w:r>
            <w:r w:rsidR="00684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ietverts visu ezerā zvejojamo zivju sugu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karpveidīgo zivju sugu,</w:t>
            </w:r>
            <w:r w:rsidR="00E430A3"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nozvejas apjoms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Minētajos noteikumos nav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paredzēta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atšķirīg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kārtīb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zvejai īpašos nolūkos vai šādai zvejai piemērojam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nozvejas apjoma limit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ebūtu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lietderīgi noteikt precīzu apjomu, jo šāds limits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attiektos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tikai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īslaicīg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īstenošanas periodu. </w:t>
            </w:r>
            <w:r w:rsid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16.panta pirmā daļa paredz, ka</w:t>
            </w:r>
            <w:r w:rsidR="00E430A3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  <w:r w:rsid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</w:t>
            </w:r>
            <w:r w:rsidR="00E430A3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E430A3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 uz zinātniskajām rekomendācijām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430A3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33E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saskaņošanas ar Vides aizsardzības un reģionālās attīstības ministriju ir tiesīga uz konkrētu laiku noteikt zvejas tiesību izmantošanu regulējošos pasākumus. </w:t>
            </w:r>
            <w:r w:rsidR="00E430A3" w:rsidRPr="00F57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zivju resursu saglabāšanu un aizsardzību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emot vērā Burtnieku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cit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administratīvajā teritorijā esošo ūdenstilpņu ilgstpējīg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apsaimniekošan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iniciatīvas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tostarp saistībā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ekoloģisk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problēmu risināšanu, noteikumos, i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evērojot Zvejniecības likuma 16.panta pirm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 daļā noteikto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būtu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nepieciešams </w:t>
            </w:r>
            <w:r w:rsidR="005C4FA2"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ministrijai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</w:t>
            </w:r>
            <w:r w:rsidR="00E430A3"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</w:t>
            </w:r>
            <w:r w:rsidR="005C4FA2"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attiecīgos ūdeņos uz konkrētu laiku 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zvejai īpašos un zinātniskās izpētes nolūkos paredzēt atsevišķu zivju sugu vai kopējā nozvejas apjoma limitu, kas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tiktu note</w:t>
            </w:r>
            <w:r w:rsidR="00142C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kts pa</w:t>
            </w:r>
            <w:r w:rsidR="00142C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ildus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notei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kumu 9. un 10.pielikumā norādītajam limita apjomam</w:t>
            </w:r>
            <w:r w:rsidRPr="00A53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Tas ļautu izvērtēt katru atsevišķu gadījumu un, rodoties pamatotai nepieciešamībai, paredzēt ūdenstilpei uz konkrētu laiku 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nozvejas apjoma limitus, </w:t>
            </w:r>
            <w:r w:rsidR="00A664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varētu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īstenot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ezera ekosistēmas uzlabošana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vai zivju resursu atražošanai nepieciešamos,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</w:t>
            </w:r>
            <w:r w:rsidR="005C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citus zinātniskos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darbus.  </w:t>
            </w:r>
          </w:p>
          <w:p w14:paraId="59E4196D" w14:textId="2FA58A05" w:rsidR="009A1777" w:rsidRDefault="00EF6EC1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2016.gada 12.janvāra sēdes protokola Nr.</w:t>
            </w:r>
            <w:r w:rsidR="00610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32§ 2.punktu Zemkopības ministrijai ir jāizvērtē, jāsagatavo un noteiktā kārtībā jāiesniedz izskatīšanai Ministru kabinetā priekšlikumi noteikumu grozījumiem, kas paredzētu no 2017.gada komerciālajā zvejā noteikt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atsevišķu zivju sugu nozvejas apjoma limitu arī citās šo noteikumu 1., 2., 3. un 4.pielikumā minētajās ūdenstilpēs, kurās tas ir nepieciešams, ievērojot institūta zinātnisko pamatojumu šādu limitu noteikšanai.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institūta atzinumu (26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.07.201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Nr.17-1/207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kopējais nozvejas apjoma limits un nozvejas apjoma limits atsevišķām zivju sugām 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būtu jāa</w:t>
            </w:r>
            <w:r w:rsidR="003B6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242A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tiecina</w:t>
            </w:r>
            <w:r w:rsidR="00242A96" w:rsidRPr="00427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tikai uz komerciālo zveju</w:t>
            </w:r>
            <w:r w:rsidR="004B11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pašpatēriņa zvejā nozvejas apjomu katrā zvejas rīka pārbaudes reizē limitē Ministru kabineta 2007.</w:t>
            </w:r>
            <w:r w:rsidR="0043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2.maija</w:t>
            </w:r>
            <w:r w:rsidR="004B11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Nr.295 “Noteikumi par rū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B11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niecisko zveju iekšējos ūdeņos” 26.14.apakšpunkts. Institūts</w:t>
            </w:r>
            <w:r w:rsidR="007D2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savā atzinumā norāda, ka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B11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1., 2., 3. un 4.pielikum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sarakstā</w:t>
            </w:r>
            <w:r w:rsidR="005F22C3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esošo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ezeru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Civillikuma I </w:t>
            </w:r>
            <w:r w:rsidR="003B6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ielikumā minētajiem ezeriem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publiskajiem ezeriem, kuros 2015.gadā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notika 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nespecializētā zveja, tika atlasīti ezeri, kuros notika zveja komerciālos nolūkos un kuri nav iekļauti noteikumu 9. pielikumā.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Institūts 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norāda, ka kopumā 2015.gadā bijuši 25 ezeri, kuros varētu noteikt nozvejas apjoma limitu. Vairumā no šiem ezeriem gan kopēj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nozvejas apjom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gan līdaku un zandartu nozveja līdz 1990.gadam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tās 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intensitātes samazināšanās dēļ bijusi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āka nekā vēlākajos gados.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Tāpat 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noteikumu 9.pielikumā iekļautajiem ezeriem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institūts par limita robežām iesaka izvēlēties maksimāl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nozvej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1990.gada, k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</w:t>
            </w:r>
            <w:r w:rsid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iegūta, izmantojot pasīvos zvejas rīkus – tīklus un murdus. 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institūta ierosinājumu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9.pielikum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sarakstu</w:t>
            </w:r>
            <w:r w:rsidR="009A1777" w:rsidRPr="009A17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varētu papildināt ar 25 ezeriem, kas atrodas 15 novadu teritorijās.</w:t>
            </w:r>
          </w:p>
          <w:p w14:paraId="486BE835" w14:textId="7CACA1A7" w:rsidR="00B810EF" w:rsidRDefault="00B810EF" w:rsidP="006850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Institūts savā atzinumā arī uzsv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ka, ņemot vērā Ministru kabineta 2016.</w:t>
            </w:r>
            <w:r w:rsidR="00B663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12.janvāra </w:t>
            </w:r>
            <w:r w:rsidR="000A60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Nr.31 “</w:t>
            </w:r>
            <w:r w:rsidRPr="003E04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2014. gada 23. decembra noteikumos Nr. 796 "Noteikumi par rūpnieciskās zvejas limitiem un to izmantošanas kārtību iekšējos ūdeņos"</w:t>
            </w:r>
            <w:r w:rsidR="000A60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1.1.apakšpunktu</w:t>
            </w:r>
            <w:r w:rsidR="00A34A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būtu ieteicams papildināt noteikumu 9. un 10. pielikuma nosaukumu ar vārdiem “komerciālajā zvejā”.</w:t>
            </w:r>
          </w:p>
          <w:p w14:paraId="1139D043" w14:textId="77777777" w:rsidR="00EF6EC1" w:rsidRPr="004275EF" w:rsidRDefault="00EF6EC1" w:rsidP="0024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5" w:rsidRPr="00592A2C" w14:paraId="091F32EE" w14:textId="77777777" w:rsidTr="005E3CA1">
        <w:trPr>
          <w:jc w:val="center"/>
        </w:trPr>
        <w:tc>
          <w:tcPr>
            <w:tcW w:w="216" w:type="pct"/>
          </w:tcPr>
          <w:p w14:paraId="3720A038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57" w:type="pct"/>
          </w:tcPr>
          <w:p w14:paraId="79AF5E2E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427" w:type="pct"/>
          </w:tcPr>
          <w:p w14:paraId="57BD02BF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A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teikumu projekta</w:t>
            </w:r>
            <w:r w:rsidRPr="00592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normas izstrādātas, ievērojot anotācijas pirmās daļas 2. punktā minēto pašvaldību sniegtos priekšlikumus un institūta atzinumu</w:t>
            </w:r>
            <w:r w:rsidR="005E40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92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pašvaldību priekšlikumiem.</w:t>
            </w:r>
          </w:p>
        </w:tc>
      </w:tr>
      <w:tr w:rsidR="00D73445" w:rsidRPr="00592A2C" w14:paraId="7A261992" w14:textId="77777777" w:rsidTr="005E3CA1">
        <w:trPr>
          <w:jc w:val="center"/>
        </w:trPr>
        <w:tc>
          <w:tcPr>
            <w:tcW w:w="216" w:type="pct"/>
          </w:tcPr>
          <w:p w14:paraId="0CF18A43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7" w:type="pct"/>
          </w:tcPr>
          <w:p w14:paraId="2951EFDA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7" w:type="pct"/>
          </w:tcPr>
          <w:p w14:paraId="476B4AEC" w14:textId="77777777" w:rsidR="00D73445" w:rsidRPr="00592A2C" w:rsidRDefault="00DB07CA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22AFEE14" w14:textId="77777777" w:rsidR="00D73445" w:rsidRPr="00592A2C" w:rsidRDefault="00D73445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92A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27"/>
        <w:gridCol w:w="6303"/>
      </w:tblGrid>
      <w:tr w:rsidR="00D73445" w:rsidRPr="00592A2C" w14:paraId="75155336" w14:textId="77777777" w:rsidTr="005E3CA1">
        <w:tc>
          <w:tcPr>
            <w:tcW w:w="5000" w:type="pct"/>
            <w:gridSpan w:val="3"/>
          </w:tcPr>
          <w:p w14:paraId="524D2871" w14:textId="77777777" w:rsidR="00D73445" w:rsidRPr="00592A2C" w:rsidRDefault="00D73445" w:rsidP="0024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D73445" w:rsidRPr="00592A2C" w14:paraId="7487932A" w14:textId="77777777" w:rsidTr="00DB07CA">
        <w:trPr>
          <w:trHeight w:val="3197"/>
        </w:trPr>
        <w:tc>
          <w:tcPr>
            <w:tcW w:w="216" w:type="pct"/>
          </w:tcPr>
          <w:p w14:paraId="4E26287E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0" w:type="pct"/>
          </w:tcPr>
          <w:p w14:paraId="28EC3694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54" w:type="pct"/>
          </w:tcPr>
          <w:p w14:paraId="08F68637" w14:textId="641C97B4" w:rsidR="0002446D" w:rsidRPr="00592A2C" w:rsidRDefault="0002446D" w:rsidP="0045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02446D">
              <w:rPr>
                <w:rFonts w:ascii="Times New Roman" w:hAnsi="Times New Roman" w:cs="Times New Roman"/>
                <w:sz w:val="24"/>
                <w:szCs w:val="24"/>
              </w:rPr>
              <w:t>Alūksnes, Balvu un Ventspils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Pr="0029713D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ierosinātajām zvejas limitu izmaiņām 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trijos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ezeros (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Indzera ezer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Pērkonu ezer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Usmas 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</w:t>
            </w:r>
            <w:r w:rsidR="005F2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9713D" w:rsidRPr="00297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zivju tīklu limits tiks samazināts par </w:t>
            </w:r>
            <w:r w:rsidR="002971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5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13D" w:rsidRPr="0029713D">
              <w:rPr>
                <w:rFonts w:ascii="Times New Roman" w:hAnsi="Times New Roman" w:cs="Times New Roman"/>
                <w:sz w:val="24"/>
                <w:szCs w:val="24"/>
              </w:rPr>
              <w:t xml:space="preserve"> metriem.</w:t>
            </w:r>
            <w:r w:rsidR="00F5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>Vienlaikus jānorāda, ka, pēc zvejas žurnālu datiem, 201</w:t>
            </w:r>
            <w:r w:rsidR="00F5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 xml:space="preserve">.gadā zvejas limits minētajos ezeros netika pilnībā izmantots un ar zveju nodarbojās </w:t>
            </w:r>
            <w:r w:rsidR="0040113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>pašpatēriņa zvejniek</w:t>
            </w:r>
            <w:r w:rsidR="00401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01131">
              <w:rPr>
                <w:rFonts w:ascii="Times New Roman" w:hAnsi="Times New Roman" w:cs="Times New Roman"/>
                <w:sz w:val="24"/>
                <w:szCs w:val="24"/>
              </w:rPr>
              <w:t>30 z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>vejniek</w:t>
            </w:r>
            <w:r w:rsidR="00401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2089" w:rsidRPr="00F52089">
              <w:rPr>
                <w:rFonts w:ascii="Times New Roman" w:hAnsi="Times New Roman" w:cs="Times New Roman"/>
                <w:sz w:val="24"/>
                <w:szCs w:val="24"/>
              </w:rPr>
              <w:t xml:space="preserve"> komerciālajā zvejā. </w:t>
            </w:r>
          </w:p>
        </w:tc>
      </w:tr>
      <w:tr w:rsidR="00D73445" w:rsidRPr="00592A2C" w14:paraId="12D86B7D" w14:textId="77777777" w:rsidTr="005E3CA1">
        <w:tc>
          <w:tcPr>
            <w:tcW w:w="216" w:type="pct"/>
          </w:tcPr>
          <w:p w14:paraId="1025B263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0" w:type="pct"/>
          </w:tcPr>
          <w:p w14:paraId="11394AD2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54" w:type="pct"/>
          </w:tcPr>
          <w:p w14:paraId="5DF81F5F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attiecināms.</w:t>
            </w:r>
          </w:p>
        </w:tc>
      </w:tr>
      <w:tr w:rsidR="00D73445" w:rsidRPr="00592A2C" w14:paraId="1B340E79" w14:textId="77777777" w:rsidTr="005E3CA1">
        <w:tc>
          <w:tcPr>
            <w:tcW w:w="216" w:type="pct"/>
          </w:tcPr>
          <w:p w14:paraId="13A04413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0" w:type="pct"/>
          </w:tcPr>
          <w:p w14:paraId="06604015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54" w:type="pct"/>
          </w:tcPr>
          <w:p w14:paraId="35871B6E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attiecināms.</w:t>
            </w:r>
          </w:p>
        </w:tc>
      </w:tr>
      <w:tr w:rsidR="00D73445" w:rsidRPr="00592A2C" w14:paraId="519A211A" w14:textId="77777777" w:rsidTr="005E3CA1">
        <w:tc>
          <w:tcPr>
            <w:tcW w:w="216" w:type="pct"/>
          </w:tcPr>
          <w:p w14:paraId="371C04AF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0" w:type="pct"/>
          </w:tcPr>
          <w:p w14:paraId="48EC876A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54" w:type="pct"/>
          </w:tcPr>
          <w:p w14:paraId="3513BF2E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20F4B0AC" w14:textId="77777777" w:rsidR="00D73445" w:rsidRPr="00592A2C" w:rsidRDefault="00D73445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62A823C" w14:textId="017BAA87" w:rsidR="00D73445" w:rsidRPr="00592A2C" w:rsidRDefault="00D73445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592A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Anotācijas III, IV un V</w:t>
      </w:r>
      <w:r w:rsidRPr="00592A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92A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sadaļa – </w:t>
      </w:r>
      <w:r w:rsidR="000A6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projekts šīs jomas neskar</w:t>
      </w:r>
      <w:r w:rsidRPr="00592A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.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154"/>
        <w:gridCol w:w="4700"/>
      </w:tblGrid>
      <w:tr w:rsidR="00D73445" w:rsidRPr="00592A2C" w14:paraId="4B046199" w14:textId="77777777" w:rsidTr="005E3CA1">
        <w:trPr>
          <w:jc w:val="center"/>
        </w:trPr>
        <w:tc>
          <w:tcPr>
            <w:tcW w:w="9174" w:type="dxa"/>
            <w:gridSpan w:val="3"/>
          </w:tcPr>
          <w:p w14:paraId="07D32A24" w14:textId="77777777" w:rsidR="00D73445" w:rsidRPr="00592A2C" w:rsidRDefault="00D73445" w:rsidP="00242A96">
            <w:pPr>
              <w:pStyle w:val="naisnod"/>
              <w:spacing w:before="0" w:after="0"/>
              <w:ind w:left="57" w:right="57"/>
            </w:pPr>
            <w:r w:rsidRPr="00592A2C">
              <w:t>VI. Sabiedrības līdzdalība un komunikācijas aktivitātes</w:t>
            </w:r>
          </w:p>
        </w:tc>
      </w:tr>
      <w:tr w:rsidR="00D73445" w:rsidRPr="00592A2C" w14:paraId="36671BF8" w14:textId="77777777" w:rsidTr="005E3CA1">
        <w:trPr>
          <w:trHeight w:val="553"/>
          <w:jc w:val="center"/>
        </w:trPr>
        <w:tc>
          <w:tcPr>
            <w:tcW w:w="320" w:type="dxa"/>
          </w:tcPr>
          <w:p w14:paraId="0220FF1B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1.</w:t>
            </w:r>
          </w:p>
        </w:tc>
        <w:tc>
          <w:tcPr>
            <w:tcW w:w="4154" w:type="dxa"/>
          </w:tcPr>
          <w:p w14:paraId="46E75E17" w14:textId="77777777" w:rsidR="00D73445" w:rsidRPr="00592A2C" w:rsidRDefault="00D73445" w:rsidP="00242A9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92A2C">
              <w:t xml:space="preserve">Plānotās sabiedrības līdzdalības un komunikācijas aktivitātes saistībā ar </w:t>
            </w:r>
            <w:r w:rsidRPr="00592A2C">
              <w:lastRenderedPageBreak/>
              <w:t>projektu</w:t>
            </w:r>
          </w:p>
        </w:tc>
        <w:tc>
          <w:tcPr>
            <w:tcW w:w="4700" w:type="dxa"/>
          </w:tcPr>
          <w:p w14:paraId="35116370" w14:textId="690E2496" w:rsidR="00D73445" w:rsidRPr="004275EF" w:rsidRDefault="00D73445" w:rsidP="00242A96">
            <w:pPr>
              <w:pStyle w:val="Virsraksts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275EF">
              <w:rPr>
                <w:b w:val="0"/>
                <w:sz w:val="24"/>
                <w:szCs w:val="24"/>
              </w:rPr>
              <w:lastRenderedPageBreak/>
              <w:t xml:space="preserve">Informācija par Zemkopības ministrijas sagatavoto noteikumu projektu bija pieejama </w:t>
            </w:r>
            <w:r w:rsidRPr="004275EF">
              <w:rPr>
                <w:b w:val="0"/>
                <w:sz w:val="24"/>
                <w:szCs w:val="24"/>
              </w:rPr>
              <w:lastRenderedPageBreak/>
              <w:t xml:space="preserve">tīmekļa vietnē </w:t>
            </w:r>
            <w:hyperlink r:id="rId8" w:history="1">
              <w:r w:rsidRPr="004275EF">
                <w:rPr>
                  <w:b w:val="0"/>
                  <w:sz w:val="24"/>
                  <w:szCs w:val="24"/>
                </w:rPr>
                <w:t>www.zm.gov.lv</w:t>
              </w:r>
            </w:hyperlink>
            <w:r w:rsidRPr="004275EF">
              <w:rPr>
                <w:b w:val="0"/>
                <w:sz w:val="24"/>
                <w:szCs w:val="24"/>
              </w:rPr>
              <w:t xml:space="preserve"> no 201</w:t>
            </w:r>
            <w:r w:rsidR="008E02CB">
              <w:rPr>
                <w:b w:val="0"/>
                <w:sz w:val="24"/>
                <w:szCs w:val="24"/>
              </w:rPr>
              <w:t>6</w:t>
            </w:r>
            <w:r w:rsidRPr="004275EF">
              <w:rPr>
                <w:b w:val="0"/>
                <w:sz w:val="24"/>
                <w:szCs w:val="24"/>
              </w:rPr>
              <w:t>.gada</w:t>
            </w:r>
            <w:r w:rsidR="00105E5B" w:rsidRPr="004275EF">
              <w:rPr>
                <w:b w:val="0"/>
                <w:sz w:val="24"/>
                <w:szCs w:val="24"/>
              </w:rPr>
              <w:t xml:space="preserve"> </w:t>
            </w:r>
            <w:r w:rsidR="00142C14">
              <w:rPr>
                <w:b w:val="0"/>
                <w:sz w:val="24"/>
                <w:szCs w:val="24"/>
              </w:rPr>
              <w:t>19</w:t>
            </w:r>
            <w:r w:rsidR="00684689">
              <w:rPr>
                <w:b w:val="0"/>
                <w:sz w:val="24"/>
                <w:szCs w:val="24"/>
              </w:rPr>
              <w:t>. </w:t>
            </w:r>
            <w:r w:rsidRPr="004275EF">
              <w:rPr>
                <w:b w:val="0"/>
                <w:sz w:val="24"/>
                <w:szCs w:val="24"/>
              </w:rPr>
              <w:t>līdz</w:t>
            </w:r>
            <w:r w:rsidR="00105E5B" w:rsidRPr="004275EF">
              <w:rPr>
                <w:b w:val="0"/>
                <w:sz w:val="24"/>
                <w:szCs w:val="24"/>
              </w:rPr>
              <w:t xml:space="preserve"> </w:t>
            </w:r>
            <w:r w:rsidR="00142C14">
              <w:rPr>
                <w:b w:val="0"/>
                <w:sz w:val="24"/>
                <w:szCs w:val="24"/>
              </w:rPr>
              <w:t>25.</w:t>
            </w:r>
            <w:r w:rsidR="0002446D">
              <w:rPr>
                <w:b w:val="0"/>
                <w:sz w:val="24"/>
                <w:szCs w:val="24"/>
              </w:rPr>
              <w:t>augustam</w:t>
            </w:r>
            <w:r w:rsidRPr="004275EF">
              <w:rPr>
                <w:b w:val="0"/>
                <w:sz w:val="24"/>
                <w:szCs w:val="24"/>
              </w:rPr>
              <w:t>.</w:t>
            </w:r>
          </w:p>
          <w:p w14:paraId="77208A50" w14:textId="1FAB187A" w:rsidR="007F74A5" w:rsidRPr="00592A2C" w:rsidRDefault="00A6746F" w:rsidP="007B31BD">
            <w:pPr>
              <w:pStyle w:val="Virsraksts1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4275EF">
              <w:rPr>
                <w:b w:val="0"/>
                <w:sz w:val="24"/>
                <w:szCs w:val="24"/>
              </w:rPr>
              <w:t xml:space="preserve">laša </w:t>
            </w:r>
            <w:r>
              <w:rPr>
                <w:b w:val="0"/>
                <w:sz w:val="24"/>
                <w:szCs w:val="24"/>
              </w:rPr>
              <w:t>n</w:t>
            </w:r>
            <w:r w:rsidR="00D22C0E" w:rsidRPr="004275EF">
              <w:rPr>
                <w:b w:val="0"/>
                <w:sz w:val="24"/>
                <w:szCs w:val="24"/>
              </w:rPr>
              <w:t>oteikumu projekta s</w:t>
            </w:r>
            <w:r w:rsidR="00995B87" w:rsidRPr="004275EF">
              <w:rPr>
                <w:b w:val="0"/>
                <w:sz w:val="24"/>
                <w:szCs w:val="24"/>
              </w:rPr>
              <w:t xml:space="preserve">abiedriskā apspriešana nav plānota, </w:t>
            </w:r>
            <w:r>
              <w:rPr>
                <w:b w:val="0"/>
                <w:sz w:val="24"/>
                <w:szCs w:val="24"/>
              </w:rPr>
              <w:t xml:space="preserve">jo </w:t>
            </w:r>
            <w:r w:rsidR="00995B87" w:rsidRPr="004275EF">
              <w:rPr>
                <w:b w:val="0"/>
                <w:sz w:val="24"/>
                <w:szCs w:val="24"/>
              </w:rPr>
              <w:t xml:space="preserve">atbilstoši noteikumu 9.punktam ministrija apkopo institūta izvērtētos un atbalstītos </w:t>
            </w:r>
            <w:r w:rsidR="009B5CC6" w:rsidRPr="004275EF">
              <w:rPr>
                <w:b w:val="0"/>
                <w:sz w:val="24"/>
                <w:szCs w:val="24"/>
              </w:rPr>
              <w:t xml:space="preserve">pašvaldību </w:t>
            </w:r>
            <w:r w:rsidR="00995B87" w:rsidRPr="004275EF">
              <w:rPr>
                <w:b w:val="0"/>
                <w:sz w:val="24"/>
                <w:szCs w:val="24"/>
              </w:rPr>
              <w:t xml:space="preserve">priekšlikumus par zvejas limitu izmaiņām un </w:t>
            </w:r>
            <w:r w:rsidR="0034392A" w:rsidRPr="004275EF">
              <w:rPr>
                <w:b w:val="0"/>
                <w:sz w:val="24"/>
                <w:szCs w:val="24"/>
              </w:rPr>
              <w:t>iesniedz Ministru kabinetā atbilstošu</w:t>
            </w:r>
            <w:r w:rsidR="00995B87" w:rsidRPr="004275EF">
              <w:rPr>
                <w:b w:val="0"/>
                <w:sz w:val="24"/>
                <w:szCs w:val="24"/>
              </w:rPr>
              <w:t xml:space="preserve"> tiesību akta projektu.</w:t>
            </w:r>
            <w:r w:rsidR="007F74A5" w:rsidRPr="00592A2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73445" w:rsidRPr="00592A2C" w14:paraId="52407D2E" w14:textId="77777777" w:rsidTr="005E3CA1">
        <w:trPr>
          <w:trHeight w:val="339"/>
          <w:jc w:val="center"/>
        </w:trPr>
        <w:tc>
          <w:tcPr>
            <w:tcW w:w="320" w:type="dxa"/>
          </w:tcPr>
          <w:p w14:paraId="2CA8CB24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lastRenderedPageBreak/>
              <w:t>2.</w:t>
            </w:r>
          </w:p>
        </w:tc>
        <w:tc>
          <w:tcPr>
            <w:tcW w:w="4154" w:type="dxa"/>
          </w:tcPr>
          <w:p w14:paraId="6285F9F2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 projekta izstrādē </w:t>
            </w:r>
          </w:p>
        </w:tc>
        <w:tc>
          <w:tcPr>
            <w:tcW w:w="4700" w:type="dxa"/>
          </w:tcPr>
          <w:p w14:paraId="48D298E6" w14:textId="40F23D6D" w:rsidR="000F3836" w:rsidRPr="00FB6218" w:rsidRDefault="007E56DA" w:rsidP="00242A96">
            <w:pPr>
              <w:pStyle w:val="Virsraksts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4275EF">
              <w:rPr>
                <w:b w:val="0"/>
                <w:bCs w:val="0"/>
                <w:kern w:val="0"/>
                <w:sz w:val="24"/>
                <w:szCs w:val="24"/>
              </w:rPr>
              <w:t>Noteikumu projekta izstrādes gaitā notikušas konsultācijas ar priekšlikumus iesniegušajām pašvaldībām un institūtu.</w:t>
            </w:r>
            <w:r w:rsidR="008E02CB">
              <w:rPr>
                <w:b w:val="0"/>
                <w:bCs w:val="0"/>
                <w:kern w:val="0"/>
                <w:sz w:val="24"/>
                <w:szCs w:val="24"/>
              </w:rPr>
              <w:t xml:space="preserve"> Ventspils pašvaldības ierosinājums par </w:t>
            </w:r>
            <w:r w:rsidR="008E02CB" w:rsidRPr="008E02CB">
              <w:rPr>
                <w:b w:val="0"/>
                <w:bCs w:val="0"/>
                <w:kern w:val="0"/>
                <w:sz w:val="24"/>
                <w:szCs w:val="24"/>
              </w:rPr>
              <w:t>zivju tīklu limit</w:t>
            </w:r>
            <w:r w:rsidR="008E02CB">
              <w:rPr>
                <w:b w:val="0"/>
                <w:bCs w:val="0"/>
                <w:kern w:val="0"/>
                <w:sz w:val="24"/>
                <w:szCs w:val="24"/>
              </w:rPr>
              <w:t>a samazināšanu</w:t>
            </w:r>
            <w:r w:rsidR="008E02CB" w:rsidRPr="008E02CB">
              <w:rPr>
                <w:b w:val="0"/>
                <w:bCs w:val="0"/>
                <w:kern w:val="0"/>
                <w:sz w:val="24"/>
                <w:szCs w:val="24"/>
              </w:rPr>
              <w:t xml:space="preserve"> Usmas ezeram</w:t>
            </w:r>
            <w:r w:rsidR="008E02CB">
              <w:rPr>
                <w:b w:val="0"/>
                <w:bCs w:val="0"/>
                <w:kern w:val="0"/>
                <w:sz w:val="24"/>
                <w:szCs w:val="24"/>
              </w:rPr>
              <w:t xml:space="preserve"> apspriests Ventspils novada domes Teritorijas un ekonomikas attīstības komitejas un pārējo apvienoto komiteju sēdē, piedaloties Usmas pagasta pārvaldes vadītājam, biedrība</w:t>
            </w:r>
            <w:r w:rsidR="006D6547">
              <w:rPr>
                <w:b w:val="0"/>
                <w:bCs w:val="0"/>
                <w:kern w:val="0"/>
                <w:sz w:val="24"/>
                <w:szCs w:val="24"/>
              </w:rPr>
              <w:t>s</w:t>
            </w:r>
            <w:r w:rsidR="008E02CB">
              <w:rPr>
                <w:b w:val="0"/>
                <w:bCs w:val="0"/>
                <w:kern w:val="0"/>
                <w:sz w:val="24"/>
                <w:szCs w:val="24"/>
              </w:rPr>
              <w:t xml:space="preserve"> “Ventspils makšķernieku klubs”, biedrība</w:t>
            </w:r>
            <w:r w:rsidR="006D6547">
              <w:rPr>
                <w:b w:val="0"/>
                <w:bCs w:val="0"/>
                <w:kern w:val="0"/>
                <w:sz w:val="24"/>
                <w:szCs w:val="24"/>
              </w:rPr>
              <w:t>s</w:t>
            </w:r>
            <w:r w:rsidR="008E02CB">
              <w:rPr>
                <w:b w:val="0"/>
                <w:bCs w:val="0"/>
                <w:kern w:val="0"/>
                <w:sz w:val="24"/>
                <w:szCs w:val="24"/>
              </w:rPr>
              <w:t xml:space="preserve"> “Usmas krasts” un Valsts vides dienesta Ventspils reģionālās pārvaldes pārstāvim.</w:t>
            </w:r>
          </w:p>
        </w:tc>
      </w:tr>
      <w:tr w:rsidR="00D73445" w:rsidRPr="00592A2C" w14:paraId="5D02FC02" w14:textId="77777777" w:rsidTr="005E3CA1">
        <w:trPr>
          <w:trHeight w:val="375"/>
          <w:jc w:val="center"/>
        </w:trPr>
        <w:tc>
          <w:tcPr>
            <w:tcW w:w="320" w:type="dxa"/>
          </w:tcPr>
          <w:p w14:paraId="0F0F2E72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3.</w:t>
            </w:r>
          </w:p>
        </w:tc>
        <w:tc>
          <w:tcPr>
            <w:tcW w:w="4154" w:type="dxa"/>
          </w:tcPr>
          <w:p w14:paraId="547591FF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līdzdalības rezultāti </w:t>
            </w:r>
          </w:p>
        </w:tc>
        <w:tc>
          <w:tcPr>
            <w:tcW w:w="4700" w:type="dxa"/>
          </w:tcPr>
          <w:p w14:paraId="3D6EC186" w14:textId="77777777" w:rsidR="00BC590C" w:rsidRPr="008E02CB" w:rsidRDefault="00D73445" w:rsidP="00242A96">
            <w:pPr>
              <w:pStyle w:val="naiskr"/>
              <w:spacing w:before="0" w:after="0"/>
              <w:ind w:left="57" w:right="57"/>
              <w:jc w:val="both"/>
              <w:rPr>
                <w:b/>
                <w:bCs/>
                <w:i/>
              </w:rPr>
            </w:pPr>
            <w:r w:rsidRPr="004275EF">
              <w:t>Sabiedriskās apspriešanas laikā iebildumi un priekšlikumi par noteikumu projektu netika saņemti</w:t>
            </w:r>
            <w:r w:rsidRPr="00B551B7">
              <w:t>.</w:t>
            </w:r>
            <w:r w:rsidR="00B551B7" w:rsidRPr="00B551B7">
              <w:rPr>
                <w:b/>
                <w:bCs/>
                <w:i/>
              </w:rPr>
              <w:t xml:space="preserve"> </w:t>
            </w:r>
          </w:p>
        </w:tc>
      </w:tr>
      <w:tr w:rsidR="00D73445" w:rsidRPr="00592A2C" w14:paraId="44593180" w14:textId="77777777" w:rsidTr="004275EF">
        <w:trPr>
          <w:trHeight w:val="369"/>
          <w:jc w:val="center"/>
        </w:trPr>
        <w:tc>
          <w:tcPr>
            <w:tcW w:w="320" w:type="dxa"/>
          </w:tcPr>
          <w:p w14:paraId="568AB9C2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4.</w:t>
            </w:r>
          </w:p>
        </w:tc>
        <w:tc>
          <w:tcPr>
            <w:tcW w:w="4154" w:type="dxa"/>
          </w:tcPr>
          <w:p w14:paraId="230529EF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</w:pPr>
            <w:r w:rsidRPr="00592A2C">
              <w:t>Cita informācija</w:t>
            </w:r>
          </w:p>
          <w:p w14:paraId="1826833A" w14:textId="77777777" w:rsidR="00D73445" w:rsidRPr="00592A2C" w:rsidRDefault="00D73445" w:rsidP="00242A96">
            <w:pPr>
              <w:pStyle w:val="naiskr"/>
              <w:spacing w:before="0" w:after="0"/>
              <w:ind w:left="57" w:right="57"/>
            </w:pPr>
          </w:p>
        </w:tc>
        <w:tc>
          <w:tcPr>
            <w:tcW w:w="4700" w:type="dxa"/>
          </w:tcPr>
          <w:p w14:paraId="188513E7" w14:textId="77777777" w:rsidR="00D73445" w:rsidRPr="004275EF" w:rsidRDefault="00D73445" w:rsidP="00242A96">
            <w:pPr>
              <w:pStyle w:val="naiskr"/>
              <w:spacing w:before="0" w:after="0"/>
              <w:ind w:left="57" w:right="57"/>
              <w:jc w:val="both"/>
            </w:pPr>
            <w:r w:rsidRPr="004275EF">
              <w:t>Nav.</w:t>
            </w:r>
          </w:p>
        </w:tc>
      </w:tr>
    </w:tbl>
    <w:p w14:paraId="2CCCD843" w14:textId="77777777" w:rsidR="00D73445" w:rsidRPr="00592A2C" w:rsidRDefault="00D73445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="108" w:tblpY="113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248"/>
        <w:gridCol w:w="4491"/>
      </w:tblGrid>
      <w:tr w:rsidR="00D73445" w:rsidRPr="00592A2C" w14:paraId="67CC6AEB" w14:textId="77777777" w:rsidTr="005E3CA1">
        <w:tc>
          <w:tcPr>
            <w:tcW w:w="5000" w:type="pct"/>
            <w:gridSpan w:val="3"/>
          </w:tcPr>
          <w:p w14:paraId="4991573C" w14:textId="77777777" w:rsidR="00D73445" w:rsidRPr="00592A2C" w:rsidRDefault="00D73445" w:rsidP="0024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73445" w:rsidRPr="00592A2C" w14:paraId="6386D3C3" w14:textId="77777777" w:rsidTr="00050809">
        <w:tc>
          <w:tcPr>
            <w:tcW w:w="217" w:type="pct"/>
          </w:tcPr>
          <w:p w14:paraId="282E9636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25" w:type="pct"/>
          </w:tcPr>
          <w:p w14:paraId="1E454B1E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458" w:type="pct"/>
          </w:tcPr>
          <w:p w14:paraId="635F8BE6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D73445" w:rsidRPr="00592A2C" w14:paraId="05D4D14D" w14:textId="77777777" w:rsidTr="00050809">
        <w:tc>
          <w:tcPr>
            <w:tcW w:w="217" w:type="pct"/>
          </w:tcPr>
          <w:p w14:paraId="4676DE8B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25" w:type="pct"/>
          </w:tcPr>
          <w:p w14:paraId="59445A41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E474EB3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Jaunu institūciju izveide, esošu institūciju likvidācija vai reorganizācija, to ietekme un institūcijas cilvēkresursiem</w:t>
            </w:r>
          </w:p>
        </w:tc>
        <w:tc>
          <w:tcPr>
            <w:tcW w:w="2458" w:type="pct"/>
          </w:tcPr>
          <w:p w14:paraId="00A2EFC4" w14:textId="77777777" w:rsidR="00D73445" w:rsidRPr="00592A2C" w:rsidRDefault="00D73445" w:rsidP="0024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OLE_LINK1"/>
            <w:bookmarkStart w:id="1" w:name="OLE_LINK2"/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attiecināms</w:t>
            </w:r>
            <w:bookmarkEnd w:id="0"/>
            <w:bookmarkEnd w:id="1"/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D73445" w:rsidRPr="00592A2C" w14:paraId="75BCFCF1" w14:textId="77777777" w:rsidTr="00050809">
        <w:tc>
          <w:tcPr>
            <w:tcW w:w="217" w:type="pct"/>
          </w:tcPr>
          <w:p w14:paraId="506E390F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25" w:type="pct"/>
          </w:tcPr>
          <w:p w14:paraId="2F8FE1BB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458" w:type="pct"/>
          </w:tcPr>
          <w:p w14:paraId="3DD37F07" w14:textId="77777777" w:rsidR="00D73445" w:rsidRPr="00592A2C" w:rsidRDefault="00D73445" w:rsidP="0024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6E409BBD" w14:textId="79C01A64" w:rsidR="00230B29" w:rsidRDefault="00230B29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A39AF8" w14:textId="77777777" w:rsidR="00ED46C7" w:rsidRPr="00592A2C" w:rsidRDefault="00ED46C7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7CF8EF" w14:textId="77777777" w:rsidR="00D73445" w:rsidRPr="00B340B8" w:rsidRDefault="00D73445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>Zemkopības ministrs</w:t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ED46C7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ED46C7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ED46C7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  <w:t>J.</w:t>
      </w:r>
      <w:r w:rsidR="00A25E3B"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B340B8">
        <w:rPr>
          <w:rFonts w:ascii="Times New Roman" w:eastAsia="Times New Roman" w:hAnsi="Times New Roman" w:cs="Times New Roman"/>
          <w:sz w:val="24"/>
          <w:szCs w:val="28"/>
          <w:lang w:eastAsia="lv-LV"/>
        </w:rPr>
        <w:t>Dūklavs</w:t>
      </w:r>
    </w:p>
    <w:p w14:paraId="0F669E54" w14:textId="77777777" w:rsidR="00230B29" w:rsidRDefault="00230B29" w:rsidP="002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ED4A427" w14:textId="77777777" w:rsidR="00050809" w:rsidRDefault="00050809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58B5190" w14:textId="77777777" w:rsidR="00ED46C7" w:rsidRDefault="00ED46C7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CC4E199" w14:textId="77777777" w:rsidR="00050809" w:rsidRDefault="00050809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9C1786B" w14:textId="77777777" w:rsidR="00F11A75" w:rsidRDefault="00F11A75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E359814" w14:textId="77777777" w:rsidR="00F11A75" w:rsidRDefault="00F11A75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9183719" w14:textId="77777777" w:rsidR="00F11A75" w:rsidRDefault="00F11A75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BDF4B4E" w14:textId="77777777" w:rsidR="00F11A75" w:rsidRDefault="00F11A75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109EEA5" w14:textId="77777777" w:rsidR="002825C0" w:rsidRDefault="002825C0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841691" w14:textId="77777777" w:rsidR="002825C0" w:rsidRDefault="002825C0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54521E5" w14:textId="77777777" w:rsidR="00F11A75" w:rsidRDefault="00F11A75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6612139" w14:textId="77777777" w:rsidR="002825C0" w:rsidRDefault="002825C0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28.09.2016. 10:06</w:t>
      </w:r>
    </w:p>
    <w:p w14:paraId="4AA39990" w14:textId="77777777" w:rsidR="002825C0" w:rsidRDefault="002825C0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1493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7203ECDF" w14:textId="0146FCB6" w:rsidR="004275EF" w:rsidRDefault="00574D12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Jānis Ābele</w:t>
      </w:r>
    </w:p>
    <w:p w14:paraId="1BA32426" w14:textId="77777777" w:rsidR="004275EF" w:rsidRPr="00ED46C7" w:rsidRDefault="004275EF" w:rsidP="0024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649CD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E649CD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E649CD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574D12">
        <w:rPr>
          <w:rFonts w:ascii="Times New Roman" w:eastAsia="Times New Roman" w:hAnsi="Times New Roman" w:cs="Times New Roman"/>
          <w:sz w:val="20"/>
          <w:szCs w:val="20"/>
          <w:lang w:eastAsia="lv-LV"/>
        </w:rPr>
        <w:t>67027823</w:t>
      </w:r>
      <w:r w:rsidRPr="00E649CD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0508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74D12">
        <w:rPr>
          <w:rFonts w:ascii="Times New Roman" w:eastAsia="Times New Roman" w:hAnsi="Times New Roman" w:cs="Times New Roman"/>
          <w:sz w:val="20"/>
          <w:szCs w:val="20"/>
          <w:lang w:eastAsia="lv-LV"/>
        </w:rPr>
        <w:t>Janis.Abele</w:t>
      </w:r>
      <w:r w:rsidRPr="00E649CD">
        <w:rPr>
          <w:rFonts w:ascii="Times New Roman" w:eastAsia="Times New Roman" w:hAnsi="Times New Roman" w:cs="Times New Roman"/>
          <w:sz w:val="20"/>
          <w:szCs w:val="20"/>
          <w:lang w:eastAsia="lv-LV"/>
        </w:rPr>
        <w:t>@zm.gov.lv</w:t>
      </w:r>
    </w:p>
    <w:sectPr w:rsidR="004275EF" w:rsidRPr="00ED46C7" w:rsidSect="00F11A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87E5" w14:textId="77777777" w:rsidR="00D255FC" w:rsidRDefault="00D255FC">
      <w:pPr>
        <w:spacing w:after="0" w:line="240" w:lineRule="auto"/>
      </w:pPr>
      <w:r>
        <w:separator/>
      </w:r>
    </w:p>
  </w:endnote>
  <w:endnote w:type="continuationSeparator" w:id="0">
    <w:p w14:paraId="4D34D86F" w14:textId="77777777" w:rsidR="00D255FC" w:rsidRDefault="00D2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7DBB" w14:textId="77777777" w:rsidR="00F11A75" w:rsidRDefault="00F11A75" w:rsidP="00F11A75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F26C" w14:textId="60E7A09F" w:rsidR="00230B29" w:rsidRPr="00230B29" w:rsidRDefault="002825C0" w:rsidP="00F11A7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2825C0">
      <w:rPr>
        <w:rFonts w:ascii="Times New Roman" w:hAnsi="Times New Roman" w:cs="Times New Roman"/>
        <w:sz w:val="20"/>
        <w:szCs w:val="20"/>
      </w:rPr>
      <w:t>ZMAnot_120816_grzvlimieksud</w:t>
    </w:r>
    <w:r w:rsidR="00ED46C7">
      <w:rPr>
        <w:rFonts w:ascii="Times New Roman" w:hAnsi="Times New Roman" w:cs="Times New Roman"/>
        <w:sz w:val="20"/>
        <w:szCs w:val="20"/>
      </w:rPr>
      <w:t xml:space="preserve">; </w:t>
    </w:r>
    <w:r w:rsidR="00ED46C7" w:rsidRPr="00ED46C7">
      <w:rPr>
        <w:rFonts w:ascii="Times New Roman" w:hAnsi="Times New Roman" w:cs="Times New Roman"/>
        <w:sz w:val="20"/>
        <w:szCs w:val="20"/>
      </w:rPr>
      <w:t>Grozījumi Ministru kabineta 2014.gada 23.decembra noteikumos Nr.796 „Noteikumi par rūpnieciskās zvejas limitiem un to izmantošanas kārtību iekšējos ūdeņos”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B67C" w14:textId="5451EAAD" w:rsidR="00230B29" w:rsidRPr="00230B29" w:rsidRDefault="002825C0" w:rsidP="00F11A7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2825C0">
      <w:rPr>
        <w:rFonts w:ascii="Times New Roman" w:hAnsi="Times New Roman" w:cs="Times New Roman"/>
        <w:sz w:val="20"/>
        <w:szCs w:val="20"/>
      </w:rPr>
      <w:t>ZMAnot_120816_grzvlimieksud</w:t>
    </w:r>
    <w:r w:rsidR="00ED46C7">
      <w:rPr>
        <w:rFonts w:ascii="Times New Roman" w:hAnsi="Times New Roman" w:cs="Times New Roman"/>
        <w:sz w:val="20"/>
        <w:szCs w:val="20"/>
      </w:rPr>
      <w:t xml:space="preserve">; </w:t>
    </w:r>
    <w:r w:rsidR="00ED46C7" w:rsidRPr="00ED46C7">
      <w:rPr>
        <w:rFonts w:ascii="Times New Roman" w:hAnsi="Times New Roman" w:cs="Times New Roman"/>
        <w:sz w:val="20"/>
        <w:szCs w:val="20"/>
      </w:rPr>
      <w:t>Grozījumi Ministru kabineta 2014.gada 23.decembra noteikumos Nr.796 „Noteikumi par rūpnieciskās zvejas limitiem un to izmantošanas kārtību iekšējos ūdeņos”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EE2C" w14:textId="77777777" w:rsidR="00D255FC" w:rsidRDefault="00D255FC">
      <w:pPr>
        <w:spacing w:after="0" w:line="240" w:lineRule="auto"/>
      </w:pPr>
      <w:r>
        <w:separator/>
      </w:r>
    </w:p>
  </w:footnote>
  <w:footnote w:type="continuationSeparator" w:id="0">
    <w:p w14:paraId="554584E5" w14:textId="77777777" w:rsidR="00D255FC" w:rsidRDefault="00D2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00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3DE28BF" w14:textId="13234612" w:rsidR="00910267" w:rsidRPr="00F11A75" w:rsidRDefault="00216406" w:rsidP="00F11A75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11A75">
          <w:rPr>
            <w:rFonts w:ascii="Times New Roman" w:hAnsi="Times New Roman" w:cs="Times New Roman"/>
            <w:sz w:val="24"/>
          </w:rPr>
          <w:fldChar w:fldCharType="begin"/>
        </w:r>
        <w:r w:rsidRPr="00F11A75">
          <w:rPr>
            <w:rFonts w:ascii="Times New Roman" w:hAnsi="Times New Roman" w:cs="Times New Roman"/>
            <w:sz w:val="24"/>
          </w:rPr>
          <w:instrText>PAGE   \* MERGEFORMAT</w:instrText>
        </w:r>
        <w:r w:rsidRPr="00F11A75">
          <w:rPr>
            <w:rFonts w:ascii="Times New Roman" w:hAnsi="Times New Roman" w:cs="Times New Roman"/>
            <w:sz w:val="24"/>
          </w:rPr>
          <w:fldChar w:fldCharType="separate"/>
        </w:r>
        <w:r w:rsidR="002825C0">
          <w:rPr>
            <w:rFonts w:ascii="Times New Roman" w:hAnsi="Times New Roman" w:cs="Times New Roman"/>
            <w:noProof/>
            <w:sz w:val="24"/>
          </w:rPr>
          <w:t>5</w:t>
        </w:r>
        <w:r w:rsidRPr="00F11A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FA8D" w14:textId="77777777" w:rsidR="00F11A75" w:rsidRDefault="00F11A75" w:rsidP="00F11A75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E6755"/>
    <w:multiLevelType w:val="hybridMultilevel"/>
    <w:tmpl w:val="FCDAD268"/>
    <w:lvl w:ilvl="0" w:tplc="C5BC412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45"/>
    <w:rsid w:val="000069E8"/>
    <w:rsid w:val="00012D67"/>
    <w:rsid w:val="00012E44"/>
    <w:rsid w:val="0002446D"/>
    <w:rsid w:val="00043A07"/>
    <w:rsid w:val="00043C05"/>
    <w:rsid w:val="00050809"/>
    <w:rsid w:val="000547CC"/>
    <w:rsid w:val="00080268"/>
    <w:rsid w:val="00090197"/>
    <w:rsid w:val="0009141F"/>
    <w:rsid w:val="000A600D"/>
    <w:rsid w:val="000C481B"/>
    <w:rsid w:val="000D24D7"/>
    <w:rsid w:val="000D6E4A"/>
    <w:rsid w:val="000D7812"/>
    <w:rsid w:val="000E3207"/>
    <w:rsid w:val="000E3670"/>
    <w:rsid w:val="000F3836"/>
    <w:rsid w:val="00102BA2"/>
    <w:rsid w:val="00103324"/>
    <w:rsid w:val="00105E5B"/>
    <w:rsid w:val="00112831"/>
    <w:rsid w:val="00116ACE"/>
    <w:rsid w:val="0012586F"/>
    <w:rsid w:val="00125DEA"/>
    <w:rsid w:val="00142C14"/>
    <w:rsid w:val="0015172C"/>
    <w:rsid w:val="00154DF4"/>
    <w:rsid w:val="00161A03"/>
    <w:rsid w:val="001A23F9"/>
    <w:rsid w:val="001B501F"/>
    <w:rsid w:val="001B50E2"/>
    <w:rsid w:val="001B52B8"/>
    <w:rsid w:val="001B62A6"/>
    <w:rsid w:val="001D34E5"/>
    <w:rsid w:val="001E0880"/>
    <w:rsid w:val="00203F00"/>
    <w:rsid w:val="002160E2"/>
    <w:rsid w:val="00216406"/>
    <w:rsid w:val="00230B29"/>
    <w:rsid w:val="00242A96"/>
    <w:rsid w:val="00243B00"/>
    <w:rsid w:val="00246EAE"/>
    <w:rsid w:val="002825C0"/>
    <w:rsid w:val="0029713D"/>
    <w:rsid w:val="002C644B"/>
    <w:rsid w:val="002D791F"/>
    <w:rsid w:val="002E2580"/>
    <w:rsid w:val="002E787E"/>
    <w:rsid w:val="002F250D"/>
    <w:rsid w:val="002F3921"/>
    <w:rsid w:val="00315CC1"/>
    <w:rsid w:val="00330ABC"/>
    <w:rsid w:val="0034392A"/>
    <w:rsid w:val="00392928"/>
    <w:rsid w:val="003B6046"/>
    <w:rsid w:val="003C5C1C"/>
    <w:rsid w:val="003C70EF"/>
    <w:rsid w:val="003E0475"/>
    <w:rsid w:val="003F0DAA"/>
    <w:rsid w:val="00401131"/>
    <w:rsid w:val="00417F18"/>
    <w:rsid w:val="004231C4"/>
    <w:rsid w:val="00425F56"/>
    <w:rsid w:val="004275EF"/>
    <w:rsid w:val="0042782C"/>
    <w:rsid w:val="0043355D"/>
    <w:rsid w:val="00445853"/>
    <w:rsid w:val="00457731"/>
    <w:rsid w:val="00457AEE"/>
    <w:rsid w:val="00457EB8"/>
    <w:rsid w:val="00483D19"/>
    <w:rsid w:val="004A719D"/>
    <w:rsid w:val="004B11CD"/>
    <w:rsid w:val="004B1A6B"/>
    <w:rsid w:val="004B1CFA"/>
    <w:rsid w:val="004E4148"/>
    <w:rsid w:val="004E75EB"/>
    <w:rsid w:val="00507524"/>
    <w:rsid w:val="00536F1C"/>
    <w:rsid w:val="00544BDC"/>
    <w:rsid w:val="00574D12"/>
    <w:rsid w:val="0058623F"/>
    <w:rsid w:val="00592A2C"/>
    <w:rsid w:val="005B1A48"/>
    <w:rsid w:val="005B3AFD"/>
    <w:rsid w:val="005C4FA2"/>
    <w:rsid w:val="005D7EC5"/>
    <w:rsid w:val="005E40B4"/>
    <w:rsid w:val="005F22C3"/>
    <w:rsid w:val="005F6A78"/>
    <w:rsid w:val="006012A6"/>
    <w:rsid w:val="00610011"/>
    <w:rsid w:val="00615FD8"/>
    <w:rsid w:val="0062595B"/>
    <w:rsid w:val="00625AF6"/>
    <w:rsid w:val="00625E84"/>
    <w:rsid w:val="00631F6E"/>
    <w:rsid w:val="00642739"/>
    <w:rsid w:val="006521E3"/>
    <w:rsid w:val="006555B9"/>
    <w:rsid w:val="00684689"/>
    <w:rsid w:val="00685086"/>
    <w:rsid w:val="00697141"/>
    <w:rsid w:val="006B7E62"/>
    <w:rsid w:val="006C09FD"/>
    <w:rsid w:val="006C1E94"/>
    <w:rsid w:val="006D07AC"/>
    <w:rsid w:val="006D6547"/>
    <w:rsid w:val="006F4884"/>
    <w:rsid w:val="00710FEE"/>
    <w:rsid w:val="00713A02"/>
    <w:rsid w:val="007502B9"/>
    <w:rsid w:val="007511B2"/>
    <w:rsid w:val="00766449"/>
    <w:rsid w:val="007A471B"/>
    <w:rsid w:val="007B31BD"/>
    <w:rsid w:val="007B617C"/>
    <w:rsid w:val="007C46F0"/>
    <w:rsid w:val="007D2E61"/>
    <w:rsid w:val="007D4E8D"/>
    <w:rsid w:val="007E3C90"/>
    <w:rsid w:val="007E56DA"/>
    <w:rsid w:val="007F74A5"/>
    <w:rsid w:val="00811414"/>
    <w:rsid w:val="00830146"/>
    <w:rsid w:val="00833038"/>
    <w:rsid w:val="00856A2E"/>
    <w:rsid w:val="00856A9E"/>
    <w:rsid w:val="008809F2"/>
    <w:rsid w:val="0088697C"/>
    <w:rsid w:val="008914FD"/>
    <w:rsid w:val="0089333C"/>
    <w:rsid w:val="008D4F8D"/>
    <w:rsid w:val="008D6037"/>
    <w:rsid w:val="008E02CB"/>
    <w:rsid w:val="008E2A06"/>
    <w:rsid w:val="00906DE2"/>
    <w:rsid w:val="009303C4"/>
    <w:rsid w:val="00934BA9"/>
    <w:rsid w:val="0094648A"/>
    <w:rsid w:val="00956C18"/>
    <w:rsid w:val="00956E5A"/>
    <w:rsid w:val="00960CB7"/>
    <w:rsid w:val="00995B87"/>
    <w:rsid w:val="00997F81"/>
    <w:rsid w:val="009A1777"/>
    <w:rsid w:val="009B3A9B"/>
    <w:rsid w:val="009B5CC6"/>
    <w:rsid w:val="009E10D3"/>
    <w:rsid w:val="009E215D"/>
    <w:rsid w:val="00A109E5"/>
    <w:rsid w:val="00A25E3B"/>
    <w:rsid w:val="00A34AEB"/>
    <w:rsid w:val="00A53A2E"/>
    <w:rsid w:val="00A6645D"/>
    <w:rsid w:val="00A6746F"/>
    <w:rsid w:val="00A90393"/>
    <w:rsid w:val="00AD2B21"/>
    <w:rsid w:val="00B340B8"/>
    <w:rsid w:val="00B53A51"/>
    <w:rsid w:val="00B551B7"/>
    <w:rsid w:val="00B62511"/>
    <w:rsid w:val="00B66325"/>
    <w:rsid w:val="00B735C7"/>
    <w:rsid w:val="00B810EF"/>
    <w:rsid w:val="00B9496C"/>
    <w:rsid w:val="00BB04EF"/>
    <w:rsid w:val="00BC590C"/>
    <w:rsid w:val="00BD02FA"/>
    <w:rsid w:val="00BE5CCE"/>
    <w:rsid w:val="00BE7AC5"/>
    <w:rsid w:val="00C002FD"/>
    <w:rsid w:val="00C11F72"/>
    <w:rsid w:val="00C20F00"/>
    <w:rsid w:val="00C302C8"/>
    <w:rsid w:val="00CA7BE5"/>
    <w:rsid w:val="00D0274D"/>
    <w:rsid w:val="00D1795E"/>
    <w:rsid w:val="00D22C0E"/>
    <w:rsid w:val="00D22D54"/>
    <w:rsid w:val="00D255FC"/>
    <w:rsid w:val="00D64EAF"/>
    <w:rsid w:val="00D706F0"/>
    <w:rsid w:val="00D73445"/>
    <w:rsid w:val="00D82BC7"/>
    <w:rsid w:val="00DB07CA"/>
    <w:rsid w:val="00DB5573"/>
    <w:rsid w:val="00DD3168"/>
    <w:rsid w:val="00DD6C9E"/>
    <w:rsid w:val="00DF3D71"/>
    <w:rsid w:val="00E056F4"/>
    <w:rsid w:val="00E31CD2"/>
    <w:rsid w:val="00E34A53"/>
    <w:rsid w:val="00E430A3"/>
    <w:rsid w:val="00E51025"/>
    <w:rsid w:val="00E60087"/>
    <w:rsid w:val="00E66D1B"/>
    <w:rsid w:val="00E84EA5"/>
    <w:rsid w:val="00EA15C1"/>
    <w:rsid w:val="00ED46C7"/>
    <w:rsid w:val="00EE3701"/>
    <w:rsid w:val="00EF6EC1"/>
    <w:rsid w:val="00F10381"/>
    <w:rsid w:val="00F11A75"/>
    <w:rsid w:val="00F24A21"/>
    <w:rsid w:val="00F256FB"/>
    <w:rsid w:val="00F52089"/>
    <w:rsid w:val="00F56FF8"/>
    <w:rsid w:val="00F5733E"/>
    <w:rsid w:val="00F7662E"/>
    <w:rsid w:val="00F81DB4"/>
    <w:rsid w:val="00FB6218"/>
    <w:rsid w:val="00FC108A"/>
    <w:rsid w:val="00FC3D40"/>
    <w:rsid w:val="00FC4959"/>
    <w:rsid w:val="00FC4DBB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D2741"/>
  <w15:docId w15:val="{A9DD8BA5-9CB3-4AAC-8770-E266937E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3445"/>
  </w:style>
  <w:style w:type="paragraph" w:styleId="Virsraksts1">
    <w:name w:val="heading 1"/>
    <w:basedOn w:val="Parasts"/>
    <w:link w:val="Virsraksts1Rakstz"/>
    <w:uiPriority w:val="9"/>
    <w:qFormat/>
    <w:rsid w:val="00D73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7344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naisnod">
    <w:name w:val="naisnod"/>
    <w:basedOn w:val="Parasts"/>
    <w:rsid w:val="00D7344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D7344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7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3445"/>
  </w:style>
  <w:style w:type="paragraph" w:styleId="Kjene">
    <w:name w:val="footer"/>
    <w:basedOn w:val="Parasts"/>
    <w:link w:val="KjeneRakstz"/>
    <w:uiPriority w:val="99"/>
    <w:unhideWhenUsed/>
    <w:rsid w:val="00230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0B29"/>
  </w:style>
  <w:style w:type="character" w:styleId="Hipersaite">
    <w:name w:val="Hyperlink"/>
    <w:basedOn w:val="Noklusjumarindkopasfonts"/>
    <w:uiPriority w:val="99"/>
    <w:unhideWhenUsed/>
    <w:rsid w:val="00E31CD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A51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74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74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74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74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746F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F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3206-56EB-40FB-A9C1-04A0411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1513</Words>
  <Characters>10745</Characters>
  <Application>Microsoft Office Word</Application>
  <DocSecurity>0</DocSecurity>
  <Lines>290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projekta „Grozījumi Ministru kabineta 2014.gada 23.decembra noteikumos Nr.796 „Noteikumi par rūpnieciskās zvejas limitiem un to izmantošanas kārtību iekšējos ūdeņos”” sākotnējās ietekmes novērtējuma ziņojums (anotācija)</vt:lpstr>
      <vt:lpstr/>
    </vt:vector>
  </TitlesOfParts>
  <Company>Zemkopības Ministrija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2014.gada 23.decembra noteikumos Nr.796 „Noteikumi par rūpnieciskās zvejas limitiem un to izmantošanas kārtību iekšējos ūdeņos”” sākotnējās ietekmes novērtējuma ziņojums (anotācija)</dc:title>
  <dc:creator>Jānis Ābele</dc:creator>
  <cp:lastModifiedBy>Sanita Žagare</cp:lastModifiedBy>
  <cp:revision>5</cp:revision>
  <cp:lastPrinted>2016-08-26T06:27:00Z</cp:lastPrinted>
  <dcterms:created xsi:type="dcterms:W3CDTF">2016-09-27T11:54:00Z</dcterms:created>
  <dcterms:modified xsi:type="dcterms:W3CDTF">2016-09-28T07:06:00Z</dcterms:modified>
</cp:coreProperties>
</file>