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9A" w:rsidRPr="0076560C" w:rsidRDefault="0002029A" w:rsidP="0076560C">
      <w:pPr>
        <w:pStyle w:val="Pamatteksts"/>
        <w:jc w:val="center"/>
        <w:rPr>
          <w:sz w:val="24"/>
          <w:szCs w:val="28"/>
        </w:rPr>
      </w:pPr>
      <w:r w:rsidRPr="0076560C">
        <w:rPr>
          <w:sz w:val="24"/>
          <w:szCs w:val="28"/>
        </w:rPr>
        <w:t>Ministru kabineta noteikumu projekta „</w:t>
      </w:r>
      <w:r w:rsidR="008A0717" w:rsidRPr="0076560C">
        <w:rPr>
          <w:sz w:val="24"/>
          <w:szCs w:val="28"/>
        </w:rPr>
        <w:t xml:space="preserve">Individuālu lauksaimniecības un mežsaimniecības transportlīdzekļu </w:t>
      </w:r>
      <w:r w:rsidR="00A8786D" w:rsidRPr="0076560C">
        <w:rPr>
          <w:sz w:val="24"/>
          <w:szCs w:val="28"/>
        </w:rPr>
        <w:t>atbilstības novērtēšanas</w:t>
      </w:r>
      <w:r w:rsidR="008A0717" w:rsidRPr="0076560C">
        <w:rPr>
          <w:sz w:val="24"/>
          <w:szCs w:val="28"/>
        </w:rPr>
        <w:t xml:space="preserve"> noteikumi</w:t>
      </w:r>
      <w:r w:rsidR="00A239E6" w:rsidRPr="0076560C">
        <w:rPr>
          <w:sz w:val="24"/>
          <w:szCs w:val="28"/>
        </w:rPr>
        <w:t>”</w:t>
      </w:r>
      <w:r w:rsidRPr="0076560C">
        <w:rPr>
          <w:sz w:val="24"/>
          <w:szCs w:val="28"/>
        </w:rPr>
        <w:t xml:space="preserve"> sākotnējās ietekmes novērtējuma ziņojums (anotācija)</w:t>
      </w:r>
    </w:p>
    <w:p w:rsidR="00F37F7E" w:rsidRPr="005C3223" w:rsidRDefault="00F37F7E" w:rsidP="00F37F7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403"/>
        <w:gridCol w:w="7359"/>
      </w:tblGrid>
      <w:tr w:rsidR="005C3223" w:rsidRPr="005C3223" w:rsidTr="0076560C">
        <w:tc>
          <w:tcPr>
            <w:tcW w:w="5000" w:type="pct"/>
            <w:gridSpan w:val="3"/>
          </w:tcPr>
          <w:p w:rsidR="00AC145B" w:rsidRPr="005C3223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5C3223">
              <w:rPr>
                <w:b/>
              </w:rPr>
              <w:t>I. Tiesību akta projekta izstrādes nepieciešamība</w:t>
            </w:r>
          </w:p>
        </w:tc>
      </w:tr>
      <w:tr w:rsidR="005C3223" w:rsidRPr="005C3223" w:rsidTr="0076560C">
        <w:tc>
          <w:tcPr>
            <w:tcW w:w="283" w:type="pct"/>
          </w:tcPr>
          <w:p w:rsidR="00AC145B" w:rsidRPr="005C3223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5C3223">
              <w:t>1.</w:t>
            </w:r>
          </w:p>
        </w:tc>
        <w:tc>
          <w:tcPr>
            <w:tcW w:w="755" w:type="pct"/>
          </w:tcPr>
          <w:p w:rsidR="00AC145B" w:rsidRPr="005C3223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5C3223">
              <w:t>Pamatojums</w:t>
            </w:r>
          </w:p>
        </w:tc>
        <w:tc>
          <w:tcPr>
            <w:tcW w:w="3962" w:type="pct"/>
          </w:tcPr>
          <w:p w:rsidR="00AC145B" w:rsidRPr="005C3223" w:rsidRDefault="00002015" w:rsidP="00247600">
            <w:pPr>
              <w:pStyle w:val="naislab"/>
              <w:spacing w:before="0" w:after="0"/>
              <w:jc w:val="both"/>
              <w:outlineLvl w:val="0"/>
            </w:pPr>
            <w:r w:rsidRPr="00704242">
              <w:t xml:space="preserve">Ministru kabineta noteikumu projekts </w:t>
            </w:r>
            <w:r>
              <w:t>„</w:t>
            </w:r>
            <w:r w:rsidR="00904922" w:rsidRPr="008A0717">
              <w:rPr>
                <w:szCs w:val="28"/>
              </w:rPr>
              <w:t xml:space="preserve">Individuālu lauksaimniecības un mežsaimniecības transportlīdzekļu </w:t>
            </w:r>
            <w:r w:rsidR="00904922">
              <w:rPr>
                <w:szCs w:val="28"/>
              </w:rPr>
              <w:t>atbilstības novērtēšanas</w:t>
            </w:r>
            <w:r w:rsidR="00904922" w:rsidRPr="008A0717">
              <w:rPr>
                <w:szCs w:val="28"/>
              </w:rPr>
              <w:t xml:space="preserve"> noteikumi</w:t>
            </w:r>
            <w:r>
              <w:t xml:space="preserve">” (turpmāk – noteikumu projekts) </w:t>
            </w:r>
            <w:r w:rsidR="00247600" w:rsidRPr="00704242">
              <w:t>sagatavotas saskaņā ar Ceļu satiksmes</w:t>
            </w:r>
            <w:r w:rsidR="00247600">
              <w:t xml:space="preserve"> likuma</w:t>
            </w:r>
            <w:r w:rsidR="00904922">
              <w:t xml:space="preserve"> </w:t>
            </w:r>
            <w:r w:rsidR="00247600">
              <w:t>15.</w:t>
            </w:r>
            <w:r w:rsidR="00247600" w:rsidRPr="006B0790">
              <w:rPr>
                <w:vertAlign w:val="superscript"/>
              </w:rPr>
              <w:t>1</w:t>
            </w:r>
            <w:r w:rsidR="00247600">
              <w:t xml:space="preserve"> panta ceturto daļu.</w:t>
            </w:r>
          </w:p>
        </w:tc>
      </w:tr>
      <w:tr w:rsidR="005C3223" w:rsidRPr="005C3223" w:rsidTr="0076560C">
        <w:tc>
          <w:tcPr>
            <w:tcW w:w="283" w:type="pct"/>
          </w:tcPr>
          <w:p w:rsidR="00AC145B" w:rsidRPr="005C3223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5C3223">
              <w:t>2.</w:t>
            </w:r>
          </w:p>
        </w:tc>
        <w:tc>
          <w:tcPr>
            <w:tcW w:w="755" w:type="pct"/>
          </w:tcPr>
          <w:p w:rsidR="00AC145B" w:rsidRPr="005C3223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5C3223">
              <w:t>Pašreizējā situācija un problēmas, kuru risināšanai tiesību akta projekts izstrādāts, tiesiskā regulējuma mērķis un būtība</w:t>
            </w:r>
          </w:p>
        </w:tc>
        <w:tc>
          <w:tcPr>
            <w:tcW w:w="3962" w:type="pct"/>
          </w:tcPr>
          <w:p w:rsidR="00247600" w:rsidRDefault="00247600" w:rsidP="00232F1A">
            <w:pPr>
              <w:ind w:firstLine="399"/>
              <w:jc w:val="both"/>
            </w:pPr>
            <w:r w:rsidRPr="00247600">
              <w:t>Patlaban traktortehnikas un tās piekabju tehniskās atbilstības prasības nosaka Ministru kabineta 2006.gada 27.jūnija noteikumi Nr.535 „Lauksaimniecībā vai mežsaimniecībā izmantojamo traktoru, piekabju un to sastāvdaļu atbilstības noteikumi” (turpmāk – noteikumi Nr.</w:t>
            </w:r>
            <w:r w:rsidR="00904922">
              <w:t xml:space="preserve"> </w:t>
            </w:r>
            <w:r w:rsidRPr="00247600">
              <w:t>535).</w:t>
            </w:r>
          </w:p>
          <w:p w:rsidR="00864EA6" w:rsidRDefault="00247600" w:rsidP="003E1031">
            <w:pPr>
              <w:ind w:firstLine="399"/>
              <w:jc w:val="both"/>
            </w:pPr>
            <w:r>
              <w:t xml:space="preserve">Noteikumi Nr.535 </w:t>
            </w:r>
            <w:r w:rsidR="00774DF7">
              <w:t xml:space="preserve">paredz EK tipa apstiprinājuma un atsevišķu lauksaimniecības un mežsaimniecības transportlīdzekļu (turpmāk – transportlīdzekļu) </w:t>
            </w:r>
            <w:r w:rsidR="009C67AF">
              <w:t>apstiprinājuma kārtību</w:t>
            </w:r>
            <w:r w:rsidR="00A8786D">
              <w:t xml:space="preserve">, </w:t>
            </w:r>
            <w:r w:rsidR="00A8786D" w:rsidRPr="00A8786D">
              <w:t>pārņem</w:t>
            </w:r>
            <w:r w:rsidR="00A8786D">
              <w:t>ot</w:t>
            </w:r>
            <w:r w:rsidR="00A8786D" w:rsidRPr="00A8786D">
              <w:t xml:space="preserve"> EIROPAS PARLAMENTA UN PADOMES 2003. gada 26. maija DIREKTĪVU 2003/37/EK</w:t>
            </w:r>
            <w:r w:rsidR="00A8786D">
              <w:t>,</w:t>
            </w:r>
            <w:r w:rsidR="00A8786D" w:rsidRPr="00A8786D">
              <w:t xml:space="preserve"> kas attiecas uz tipa apstiprinājumu lauksaimniecības vai mežsaimniecības traktoriem, to piekabēm un maināmām velkamām mašīnām kopā ar to sistēmām, detaļām un atsevišķām tehniskām vienībām un ar ko atceļ Direktīvu 74/150/EEK</w:t>
            </w:r>
            <w:r w:rsidR="00A8786D">
              <w:t>, un tām direktīvām, kas izriet no šīs direktīvas.</w:t>
            </w:r>
            <w:r w:rsidR="003E1031">
              <w:t xml:space="preserve"> </w:t>
            </w:r>
          </w:p>
          <w:p w:rsidR="00864EA6" w:rsidRDefault="00904922" w:rsidP="009E5F04">
            <w:pPr>
              <w:ind w:firstLine="399"/>
              <w:jc w:val="both"/>
            </w:pPr>
            <w:r>
              <w:t>Ie</w:t>
            </w:r>
            <w:r w:rsidR="00916202">
              <w:t>vēr</w:t>
            </w:r>
            <w:r>
              <w:t>ojot</w:t>
            </w:r>
            <w:r w:rsidR="00916202">
              <w:t xml:space="preserve"> lielo direktīvu skaitu, kā arī </w:t>
            </w:r>
            <w:r w:rsidR="005047D3">
              <w:t xml:space="preserve">lai </w:t>
            </w:r>
            <w:r w:rsidR="00916202">
              <w:t>uzlabotu iekšējo tirgus darbību un izveidotu</w:t>
            </w:r>
            <w:r w:rsidR="005047D3">
              <w:t xml:space="preserve"> visaptverošu un vienotu</w:t>
            </w:r>
            <w:r w:rsidR="00916202">
              <w:t xml:space="preserve"> Savienības tipa apstiprināšanas sist</w:t>
            </w:r>
            <w:r w:rsidR="005047D3">
              <w:t>ēmu</w:t>
            </w:r>
            <w:r w:rsidR="00916202">
              <w:t xml:space="preserve"> traktoriem, to piekabēm un maināmām velkamām iekārtām</w:t>
            </w:r>
            <w:r w:rsidR="00A6741E">
              <w:t>,</w:t>
            </w:r>
            <w:r w:rsidR="005047D3">
              <w:t xml:space="preserve"> 2013.gada 5.februārī </w:t>
            </w:r>
            <w:r w:rsidR="00CD5FD7">
              <w:t>tika pieņemta</w:t>
            </w:r>
            <w:r w:rsidR="005047D3">
              <w:t xml:space="preserve"> </w:t>
            </w:r>
            <w:r w:rsidR="005047D3" w:rsidRPr="00C16F97">
              <w:rPr>
                <w:caps/>
              </w:rPr>
              <w:t>Eiropas Parlamenta un Padomes regula</w:t>
            </w:r>
            <w:r w:rsidR="005047D3" w:rsidRPr="005047D3">
              <w:t xml:space="preserve"> Nr.167/2013 par lauksaimniecības un mežsaimniecības transportlīdzekļu apstiprināšanu un tirgus uzraudzību (turpmāk </w:t>
            </w:r>
            <w:r>
              <w:t>–</w:t>
            </w:r>
            <w:r w:rsidR="005047D3" w:rsidRPr="005047D3">
              <w:t xml:space="preserve"> Regula Nr.167/2013)</w:t>
            </w:r>
            <w:r w:rsidR="009E5F04">
              <w:t>.</w:t>
            </w:r>
          </w:p>
          <w:p w:rsidR="00FE09A0" w:rsidRDefault="0060692B" w:rsidP="005047D3">
            <w:pPr>
              <w:ind w:firstLine="399"/>
              <w:jc w:val="both"/>
            </w:pPr>
            <w:r>
              <w:t>Regula</w:t>
            </w:r>
            <w:r w:rsidR="003E1031">
              <w:t xml:space="preserve"> Nr.167/2013 stājās</w:t>
            </w:r>
            <w:r w:rsidR="005047D3" w:rsidRPr="005047D3">
              <w:t xml:space="preserve"> spēk</w:t>
            </w:r>
            <w:r w:rsidR="00904922">
              <w:t>ā</w:t>
            </w:r>
            <w:r w:rsidR="005047D3" w:rsidRPr="005047D3">
              <w:t xml:space="preserve"> 2016.gada 1.janvārī</w:t>
            </w:r>
            <w:r w:rsidR="00A6741E">
              <w:t>,</w:t>
            </w:r>
            <w:r w:rsidR="005047D3" w:rsidRPr="005047D3">
              <w:t xml:space="preserve"> un ar </w:t>
            </w:r>
            <w:r w:rsidR="00A6741E">
              <w:t xml:space="preserve">tās </w:t>
            </w:r>
            <w:r w:rsidR="005047D3" w:rsidRPr="005047D3">
              <w:t xml:space="preserve">spēkā stāšanās dienu </w:t>
            </w:r>
            <w:r w:rsidR="00A6741E">
              <w:t xml:space="preserve">ir </w:t>
            </w:r>
            <w:r w:rsidR="005047D3" w:rsidRPr="005047D3">
              <w:t>atcel</w:t>
            </w:r>
            <w:r w:rsidR="00A6741E">
              <w:t>ta</w:t>
            </w:r>
            <w:r w:rsidR="005047D3" w:rsidRPr="005047D3">
              <w:t xml:space="preserve"> direktīv</w:t>
            </w:r>
            <w:r w:rsidR="00A6741E">
              <w:t>a</w:t>
            </w:r>
            <w:r w:rsidR="005047D3" w:rsidRPr="005047D3">
              <w:t xml:space="preserve"> Nr.2003/37/EK un pārējās direktīvas, kas attiecas uz traktortehnikas atbilstības novērtēšanu.</w:t>
            </w:r>
            <w:r w:rsidR="005047D3">
              <w:t xml:space="preserve"> </w:t>
            </w:r>
          </w:p>
          <w:p w:rsidR="0035610E" w:rsidRDefault="00177CA8" w:rsidP="00054006">
            <w:pPr>
              <w:ind w:firstLine="399"/>
              <w:jc w:val="both"/>
            </w:pPr>
            <w:r>
              <w:t>R</w:t>
            </w:r>
            <w:r w:rsidR="0035610E">
              <w:t>egula Nr.167/2013 neattie</w:t>
            </w:r>
            <w:r w:rsidR="00054006">
              <w:t>c</w:t>
            </w:r>
            <w:r w:rsidR="003B321F">
              <w:t>a</w:t>
            </w:r>
            <w:r w:rsidR="00054006">
              <w:t>s uz individuāl</w:t>
            </w:r>
            <w:r w:rsidR="003B321F">
              <w:t>u</w:t>
            </w:r>
            <w:r w:rsidR="00054006">
              <w:t xml:space="preserve"> jeb atsevišķu</w:t>
            </w:r>
            <w:r w:rsidR="0035610E">
              <w:t xml:space="preserve"> </w:t>
            </w:r>
            <w:r w:rsidR="00054006">
              <w:t>transportlīdzekļu apstiprināšanu,</w:t>
            </w:r>
            <w:r w:rsidR="0035610E">
              <w:t xml:space="preserve"> </w:t>
            </w:r>
            <w:r w:rsidR="003B321F">
              <w:t xml:space="preserve">tāpēc </w:t>
            </w:r>
            <w:r w:rsidR="00A6741E">
              <w:t>valstī</w:t>
            </w:r>
            <w:r w:rsidR="00054006">
              <w:t xml:space="preserve"> </w:t>
            </w:r>
            <w:r w:rsidR="0035610E">
              <w:t xml:space="preserve">ir </w:t>
            </w:r>
            <w:r w:rsidR="009E5F04">
              <w:t>jāparedz</w:t>
            </w:r>
            <w:r w:rsidR="0035610E">
              <w:t xml:space="preserve"> </w:t>
            </w:r>
            <w:r w:rsidR="00CD5FD7">
              <w:t>individuāl</w:t>
            </w:r>
            <w:r w:rsidR="003B321F">
              <w:t>u</w:t>
            </w:r>
            <w:r w:rsidR="0035610E">
              <w:t xml:space="preserve"> transportlīdzekļu </w:t>
            </w:r>
            <w:r w:rsidR="00A8786D">
              <w:t>aps</w:t>
            </w:r>
            <w:r w:rsidR="0035610E">
              <w:t xml:space="preserve">tiprināšanas prasības un kārtība. </w:t>
            </w:r>
          </w:p>
          <w:p w:rsidR="009E5F04" w:rsidRDefault="00CD5FD7" w:rsidP="009E5F04">
            <w:pPr>
              <w:ind w:firstLine="399"/>
              <w:jc w:val="both"/>
            </w:pPr>
            <w:r>
              <w:t>Noteikumu</w:t>
            </w:r>
            <w:r w:rsidR="00490C8E">
              <w:t xml:space="preserve"> projekta mērķis ir noteikt prasības un kārtību</w:t>
            </w:r>
            <w:r w:rsidR="00A6741E">
              <w:t>, kādā notiek</w:t>
            </w:r>
            <w:r w:rsidR="003B321F">
              <w:t xml:space="preserve"> ekspluatēšanai</w:t>
            </w:r>
            <w:r w:rsidR="003B321F" w:rsidRPr="00CD5FD7">
              <w:t xml:space="preserve"> Latvijā</w:t>
            </w:r>
            <w:r w:rsidR="003B321F">
              <w:t xml:space="preserve"> paredzētu individuāli </w:t>
            </w:r>
            <w:r w:rsidR="00185D15" w:rsidRPr="00185D15">
              <w:t>vienā eksemplārā</w:t>
            </w:r>
            <w:r w:rsidR="00185D15">
              <w:t xml:space="preserve"> </w:t>
            </w:r>
            <w:r w:rsidR="00185D15" w:rsidRPr="00185D15">
              <w:t>izgatavotu vai pabeigtu</w:t>
            </w:r>
            <w:r w:rsidR="00185D15">
              <w:t xml:space="preserve"> </w:t>
            </w:r>
            <w:r w:rsidR="003B321F" w:rsidRPr="00CD5FD7">
              <w:t>lauksaimniecības un mež</w:t>
            </w:r>
            <w:r w:rsidR="003B321F">
              <w:t xml:space="preserve">saimniecības transportlīdzekļu </w:t>
            </w:r>
            <w:r w:rsidRPr="00CD5FD7">
              <w:t>apstiprināšan</w:t>
            </w:r>
            <w:r w:rsidR="00A6741E">
              <w:t>a</w:t>
            </w:r>
            <w:r w:rsidRPr="00CD5FD7">
              <w:t xml:space="preserve"> un tirgus uzraudzīb</w:t>
            </w:r>
            <w:r w:rsidR="00A6741E">
              <w:t>a</w:t>
            </w:r>
            <w:r w:rsidR="00185D15">
              <w:t xml:space="preserve">, </w:t>
            </w:r>
            <w:r w:rsidR="00185D15" w:rsidRPr="00185D15">
              <w:t xml:space="preserve">jo individuāli izgatavotam transportlīdzeklim atsevišķi sastāvdaļas netiek ražotas. </w:t>
            </w:r>
          </w:p>
          <w:p w:rsidR="00C16F97" w:rsidRPr="00774DF7" w:rsidRDefault="00EA54F0" w:rsidP="009E5F04">
            <w:pPr>
              <w:ind w:firstLine="399"/>
              <w:jc w:val="both"/>
            </w:pPr>
            <w:r w:rsidRPr="006B0790">
              <w:t>Noteikumi neattiec</w:t>
            </w:r>
            <w:r w:rsidR="003B321F" w:rsidRPr="006B0790">
              <w:t>a</w:t>
            </w:r>
            <w:r w:rsidRPr="006B0790">
              <w:t>s uz jauniem sērijveida ražotiem transportlīdzekļiem</w:t>
            </w:r>
            <w:r w:rsidR="00267A4A" w:rsidRPr="006B0790">
              <w:t xml:space="preserve">, jo šo transportlīdzekļu atbilstības novērtēšana notiek saskaņā ar </w:t>
            </w:r>
            <w:r w:rsidR="003B321F" w:rsidRPr="006B0790">
              <w:t>r</w:t>
            </w:r>
            <w:r w:rsidR="00267A4A" w:rsidRPr="006B0790">
              <w:t>egulas Nr.167/2013 prasībām.</w:t>
            </w:r>
            <w:r w:rsidR="00267A4A">
              <w:t xml:space="preserve"> </w:t>
            </w:r>
          </w:p>
        </w:tc>
      </w:tr>
      <w:tr w:rsidR="005C3223" w:rsidRPr="005C3223" w:rsidTr="0076560C">
        <w:tc>
          <w:tcPr>
            <w:tcW w:w="283" w:type="pct"/>
          </w:tcPr>
          <w:p w:rsidR="00AC145B" w:rsidRPr="005C3223" w:rsidRDefault="00243D1D" w:rsidP="003037FE">
            <w:pPr>
              <w:pStyle w:val="Galvene"/>
              <w:jc w:val="center"/>
              <w:outlineLvl w:val="0"/>
            </w:pPr>
            <w:r w:rsidRPr="005C3223">
              <w:t>3</w:t>
            </w:r>
            <w:r w:rsidR="00AC145B" w:rsidRPr="005C3223">
              <w:t>.</w:t>
            </w:r>
          </w:p>
        </w:tc>
        <w:tc>
          <w:tcPr>
            <w:tcW w:w="755" w:type="pct"/>
          </w:tcPr>
          <w:p w:rsidR="00AC145B" w:rsidRPr="005C3223" w:rsidRDefault="00AC145B" w:rsidP="003037FE">
            <w:pPr>
              <w:pStyle w:val="Galvene"/>
              <w:jc w:val="both"/>
              <w:outlineLvl w:val="0"/>
            </w:pPr>
            <w:r w:rsidRPr="005C3223">
              <w:t>Projekta izstrādē iesaistītās institūcijas</w:t>
            </w:r>
          </w:p>
        </w:tc>
        <w:tc>
          <w:tcPr>
            <w:tcW w:w="3962" w:type="pct"/>
          </w:tcPr>
          <w:p w:rsidR="00AC145B" w:rsidRPr="005C3223" w:rsidRDefault="006D7C44" w:rsidP="003037FE">
            <w:pPr>
              <w:jc w:val="both"/>
            </w:pPr>
            <w:r w:rsidRPr="006D7C44">
              <w:t xml:space="preserve">Valsts tehniskās uzraudzības aģentūra un </w:t>
            </w:r>
            <w:r w:rsidR="00A6741E">
              <w:t>V</w:t>
            </w:r>
            <w:r w:rsidRPr="006D7C44">
              <w:t>SIA „Sertifikācijas un testēšanas centrs”</w:t>
            </w:r>
          </w:p>
        </w:tc>
      </w:tr>
      <w:tr w:rsidR="005C3223" w:rsidRPr="005C3223" w:rsidTr="0076560C">
        <w:tc>
          <w:tcPr>
            <w:tcW w:w="283" w:type="pct"/>
          </w:tcPr>
          <w:p w:rsidR="00AC145B" w:rsidRPr="005C3223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5C3223">
              <w:t>4</w:t>
            </w:r>
            <w:r w:rsidR="00AC145B" w:rsidRPr="005C3223">
              <w:t>.</w:t>
            </w:r>
          </w:p>
        </w:tc>
        <w:tc>
          <w:tcPr>
            <w:tcW w:w="755" w:type="pct"/>
          </w:tcPr>
          <w:p w:rsidR="00AC145B" w:rsidRPr="005C3223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5C3223">
              <w:t>Cita informācija</w:t>
            </w:r>
          </w:p>
        </w:tc>
        <w:tc>
          <w:tcPr>
            <w:tcW w:w="3962" w:type="pct"/>
          </w:tcPr>
          <w:p w:rsidR="00AC145B" w:rsidRPr="005C3223" w:rsidRDefault="00AC145B" w:rsidP="003037FE">
            <w:pPr>
              <w:jc w:val="both"/>
            </w:pPr>
            <w:r w:rsidRPr="005C3223">
              <w:t>Nav.</w:t>
            </w:r>
          </w:p>
        </w:tc>
      </w:tr>
    </w:tbl>
    <w:p w:rsidR="00AC145B" w:rsidRPr="005C3223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837"/>
        <w:gridCol w:w="6921"/>
      </w:tblGrid>
      <w:tr w:rsidR="005C3223" w:rsidRPr="005C3223" w:rsidTr="0076560C">
        <w:tc>
          <w:tcPr>
            <w:tcW w:w="5000" w:type="pct"/>
            <w:gridSpan w:val="3"/>
          </w:tcPr>
          <w:p w:rsidR="00AC145B" w:rsidRPr="005C3223" w:rsidRDefault="00AC145B" w:rsidP="003037FE">
            <w:pPr>
              <w:jc w:val="center"/>
              <w:rPr>
                <w:b/>
              </w:rPr>
            </w:pPr>
            <w:r w:rsidRPr="005C3223">
              <w:rPr>
                <w:b/>
              </w:rPr>
              <w:t xml:space="preserve">II. Tiesību akta projekta ietekme uz sabiedrību, tautsaimniecības attīstību un </w:t>
            </w:r>
            <w:r w:rsidRPr="005C3223">
              <w:rPr>
                <w:b/>
              </w:rPr>
              <w:lastRenderedPageBreak/>
              <w:t>administratīvo slogu</w:t>
            </w:r>
          </w:p>
        </w:tc>
      </w:tr>
      <w:tr w:rsidR="005C3223" w:rsidRPr="005C3223" w:rsidTr="0076560C">
        <w:tc>
          <w:tcPr>
            <w:tcW w:w="285" w:type="pct"/>
          </w:tcPr>
          <w:p w:rsidR="00AC145B" w:rsidRPr="005C3223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5C3223">
              <w:lastRenderedPageBreak/>
              <w:t>1.</w:t>
            </w:r>
          </w:p>
        </w:tc>
        <w:tc>
          <w:tcPr>
            <w:tcW w:w="989" w:type="pct"/>
          </w:tcPr>
          <w:p w:rsidR="00AC145B" w:rsidRPr="005C3223" w:rsidRDefault="00AC145B" w:rsidP="0076560C">
            <w:pPr>
              <w:pStyle w:val="naislab"/>
              <w:spacing w:before="0" w:after="0"/>
              <w:jc w:val="left"/>
              <w:outlineLvl w:val="0"/>
            </w:pPr>
            <w:r w:rsidRPr="005C3223">
              <w:t>Sabiedrības mērķgrupas, kuras tiesiskais regulējums ietekmē vai varētu ietekmēt</w:t>
            </w:r>
          </w:p>
        </w:tc>
        <w:tc>
          <w:tcPr>
            <w:tcW w:w="3725" w:type="pct"/>
          </w:tcPr>
          <w:p w:rsidR="00FE2C4C" w:rsidRPr="005C3223" w:rsidRDefault="006D7C44">
            <w:pPr>
              <w:pStyle w:val="naiskr"/>
              <w:spacing w:before="0" w:beforeAutospacing="0" w:after="0" w:afterAutospacing="0"/>
              <w:jc w:val="both"/>
            </w:pPr>
            <w:r w:rsidRPr="006D7C44">
              <w:t xml:space="preserve">Biedrības „Lauksaimniecības tehnikas ražotāju un tirgotāju asociācija” 23 biedri un traktortehnikas ražotāji, kā arī 124 traktortehnikas tirgotāji un traktortehnikas īpašnieki, kas vēlēsies </w:t>
            </w:r>
            <w:r w:rsidR="00A6741E">
              <w:t>apstiprināt</w:t>
            </w:r>
            <w:r w:rsidR="00A6741E" w:rsidRPr="006D7C44">
              <w:t xml:space="preserve"> </w:t>
            </w:r>
            <w:r w:rsidR="009274D2">
              <w:t>individuāl</w:t>
            </w:r>
            <w:r w:rsidR="00A6741E">
              <w:t>o</w:t>
            </w:r>
            <w:r w:rsidR="009274D2">
              <w:t xml:space="preserve"> transportlīdzek</w:t>
            </w:r>
            <w:r w:rsidR="00A6741E">
              <w:t>li</w:t>
            </w:r>
            <w:r w:rsidRPr="006D7C44">
              <w:t>.</w:t>
            </w:r>
          </w:p>
        </w:tc>
      </w:tr>
      <w:tr w:rsidR="005C3223" w:rsidRPr="005C3223" w:rsidTr="0076560C">
        <w:tc>
          <w:tcPr>
            <w:tcW w:w="285" w:type="pct"/>
          </w:tcPr>
          <w:p w:rsidR="00AC145B" w:rsidRPr="005C3223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5C3223">
              <w:t>2.</w:t>
            </w:r>
          </w:p>
        </w:tc>
        <w:tc>
          <w:tcPr>
            <w:tcW w:w="989" w:type="pct"/>
          </w:tcPr>
          <w:p w:rsidR="00AC145B" w:rsidRPr="005C3223" w:rsidRDefault="00AC145B" w:rsidP="0076560C">
            <w:pPr>
              <w:pStyle w:val="naislab"/>
              <w:spacing w:before="0" w:after="0"/>
              <w:jc w:val="left"/>
              <w:outlineLvl w:val="0"/>
            </w:pPr>
            <w:r w:rsidRPr="005C3223">
              <w:t>Tiesiskā regulējuma ietekme uz tautsaimniecību un administratīvo slogu</w:t>
            </w:r>
          </w:p>
        </w:tc>
        <w:tc>
          <w:tcPr>
            <w:tcW w:w="3725" w:type="pct"/>
          </w:tcPr>
          <w:p w:rsidR="005E7BCB" w:rsidRPr="005C3223" w:rsidRDefault="000B2338" w:rsidP="00096666">
            <w:pPr>
              <w:jc w:val="both"/>
            </w:pPr>
            <w:r w:rsidRPr="004E1DF2">
              <w:rPr>
                <w:bCs/>
              </w:rPr>
              <w:t>Tiesisk</w:t>
            </w:r>
            <w:r w:rsidR="003B321F">
              <w:rPr>
                <w:bCs/>
              </w:rPr>
              <w:t>ais</w:t>
            </w:r>
            <w:r w:rsidRPr="004E1DF2">
              <w:rPr>
                <w:bCs/>
              </w:rPr>
              <w:t xml:space="preserve"> regulējum</w:t>
            </w:r>
            <w:r w:rsidR="003B321F">
              <w:rPr>
                <w:bCs/>
              </w:rPr>
              <w:t xml:space="preserve">s </w:t>
            </w:r>
            <w:r w:rsidR="00E25363">
              <w:rPr>
                <w:bCs/>
              </w:rPr>
              <w:t xml:space="preserve">nemaina administratīvo slogu, </w:t>
            </w:r>
            <w:r w:rsidR="00A6741E">
              <w:rPr>
                <w:bCs/>
              </w:rPr>
              <w:t>tiesības un pienākumus</w:t>
            </w:r>
            <w:r w:rsidR="00A6741E" w:rsidDel="00A6741E">
              <w:rPr>
                <w:bCs/>
              </w:rPr>
              <w:t xml:space="preserve"> </w:t>
            </w:r>
            <w:r w:rsidR="00E25363">
              <w:rPr>
                <w:bCs/>
              </w:rPr>
              <w:t>sabiedrības grupām un institūcijām</w:t>
            </w:r>
            <w:r w:rsidR="00CF045E">
              <w:rPr>
                <w:bCs/>
              </w:rPr>
              <w:t xml:space="preserve">, </w:t>
            </w:r>
            <w:r w:rsidR="00A6741E">
              <w:rPr>
                <w:bCs/>
              </w:rPr>
              <w:t>ne</w:t>
            </w:r>
            <w:r w:rsidR="00CF045E">
              <w:rPr>
                <w:bCs/>
              </w:rPr>
              <w:t xml:space="preserve"> arī veicamās darbības.</w:t>
            </w:r>
          </w:p>
        </w:tc>
      </w:tr>
      <w:tr w:rsidR="005C3223" w:rsidRPr="005C3223" w:rsidTr="0076560C">
        <w:tc>
          <w:tcPr>
            <w:tcW w:w="285" w:type="pct"/>
          </w:tcPr>
          <w:p w:rsidR="00AC145B" w:rsidRPr="005C3223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5C3223">
              <w:t>3.</w:t>
            </w:r>
          </w:p>
        </w:tc>
        <w:tc>
          <w:tcPr>
            <w:tcW w:w="989" w:type="pct"/>
          </w:tcPr>
          <w:p w:rsidR="00AC145B" w:rsidRPr="005C3223" w:rsidRDefault="00AC145B" w:rsidP="0076560C">
            <w:pPr>
              <w:pStyle w:val="naislab"/>
              <w:spacing w:before="0" w:after="0"/>
              <w:jc w:val="left"/>
              <w:outlineLvl w:val="0"/>
            </w:pPr>
            <w:r w:rsidRPr="005C3223">
              <w:t>Administratīvo izmaksu monetārs novērtējums</w:t>
            </w:r>
          </w:p>
        </w:tc>
        <w:tc>
          <w:tcPr>
            <w:tcW w:w="3725" w:type="pct"/>
          </w:tcPr>
          <w:p w:rsidR="00CF045E" w:rsidRDefault="00CF045E" w:rsidP="00CF045E">
            <w:pPr>
              <w:jc w:val="both"/>
            </w:pPr>
            <w:r>
              <w:t>Individuālā transportlīdzekļu apstiprināšana ir vienreizējs pasākums. Tiek prognozēts, ka gada laikā tiks apstiprināti 100 individuāl</w:t>
            </w:r>
            <w:r w:rsidR="00A6741E">
              <w:t>o</w:t>
            </w:r>
            <w:r>
              <w:t xml:space="preserve"> transportlīdzekļ</w:t>
            </w:r>
            <w:r w:rsidR="00A6741E">
              <w:t>u</w:t>
            </w:r>
            <w:r>
              <w:t xml:space="preserve">. </w:t>
            </w:r>
          </w:p>
          <w:p w:rsidR="00CF045E" w:rsidRDefault="00CF045E" w:rsidP="00CF045E">
            <w:pPr>
              <w:jc w:val="both"/>
              <w:rPr>
                <w:bCs/>
              </w:rPr>
            </w:pPr>
            <w:r>
              <w:rPr>
                <w:bCs/>
              </w:rPr>
              <w:t>Administratīvās izmaksas, kas veidoj</w:t>
            </w:r>
            <w:r w:rsidR="00A6741E">
              <w:rPr>
                <w:bCs/>
              </w:rPr>
              <w:t>a</w:t>
            </w:r>
            <w:r>
              <w:rPr>
                <w:bCs/>
              </w:rPr>
              <w:t>s</w:t>
            </w:r>
            <w:r w:rsidR="00A6741E">
              <w:rPr>
                <w:bCs/>
              </w:rPr>
              <w:t>,</w:t>
            </w:r>
            <w:r>
              <w:rPr>
                <w:bCs/>
              </w:rPr>
              <w:t xml:space="preserve"> transportlīdzekļa īpašniekam (turētājam) sagatavojot un iesniedzot institūcijai nepieciešamos dokumentus pirms transportlīdzekļa tehniskās ekspertīzes:</w:t>
            </w:r>
          </w:p>
          <w:p w:rsidR="00CF045E" w:rsidRPr="00096666" w:rsidRDefault="00CF045E" w:rsidP="00CF045E">
            <w:pPr>
              <w:spacing w:after="120"/>
              <w:jc w:val="both"/>
              <w:rPr>
                <w:rFonts w:eastAsia="Calibri"/>
                <w:szCs w:val="22"/>
                <w:lang w:eastAsia="en-US"/>
              </w:rPr>
            </w:pPr>
            <w:r w:rsidRPr="00096666">
              <w:rPr>
                <w:rFonts w:eastAsia="Calibri"/>
                <w:szCs w:val="22"/>
                <w:lang w:eastAsia="en-US"/>
              </w:rPr>
              <w:t xml:space="preserve">1) iesniegumu </w:t>
            </w:r>
            <w:r w:rsidR="00EA3572">
              <w:t>C = (6</w:t>
            </w:r>
            <w:r w:rsidR="00A6741E">
              <w:t>,</w:t>
            </w:r>
            <w:r w:rsidR="00EA3572">
              <w:t>79 x 0</w:t>
            </w:r>
            <w:r w:rsidR="00A6741E">
              <w:t>,</w:t>
            </w:r>
            <w:r w:rsidR="00EA3572">
              <w:t>25</w:t>
            </w:r>
            <w:r>
              <w:t>) x (10</w:t>
            </w:r>
            <w:r w:rsidRPr="00096666">
              <w:t xml:space="preserve">0 x 1) = </w:t>
            </w:r>
            <w:r w:rsidR="00A6741E" w:rsidRPr="00096666">
              <w:t>EUR</w:t>
            </w:r>
            <w:r w:rsidR="00A6741E">
              <w:t xml:space="preserve"> </w:t>
            </w:r>
            <w:r>
              <w:t>1</w:t>
            </w:r>
            <w:r w:rsidR="00EA3572">
              <w:t>69</w:t>
            </w:r>
            <w:r w:rsidR="00A6741E">
              <w:t>,</w:t>
            </w:r>
            <w:r w:rsidR="00EA3572">
              <w:t>75</w:t>
            </w:r>
            <w:r w:rsidRPr="00096666">
              <w:t>;</w:t>
            </w:r>
          </w:p>
          <w:p w:rsidR="00CF045E" w:rsidRPr="00096666" w:rsidRDefault="00CF045E" w:rsidP="00CF045E">
            <w:pPr>
              <w:spacing w:after="120"/>
              <w:jc w:val="both"/>
            </w:pPr>
            <w:r w:rsidRPr="00096666">
              <w:t xml:space="preserve">2) </w:t>
            </w:r>
            <w:r>
              <w:t>īpašumtiesību apliecinošs dokuments C = (6</w:t>
            </w:r>
            <w:r w:rsidR="00A6741E">
              <w:t>,</w:t>
            </w:r>
            <w:r>
              <w:t>79 x 0</w:t>
            </w:r>
            <w:r w:rsidR="00A6741E">
              <w:t>,</w:t>
            </w:r>
            <w:r>
              <w:t>166) x (100</w:t>
            </w:r>
            <w:r w:rsidR="00A6741E">
              <w:t> </w:t>
            </w:r>
            <w:r>
              <w:t>x</w:t>
            </w:r>
            <w:r w:rsidR="00A6741E">
              <w:t> </w:t>
            </w:r>
            <w:r>
              <w:t xml:space="preserve">1) = </w:t>
            </w:r>
            <w:r w:rsidR="00A6741E" w:rsidRPr="00096666">
              <w:t>EUR</w:t>
            </w:r>
            <w:r w:rsidR="00A6741E">
              <w:t xml:space="preserve"> </w:t>
            </w:r>
            <w:r>
              <w:t>112</w:t>
            </w:r>
            <w:r w:rsidR="00A6741E">
              <w:t>,</w:t>
            </w:r>
            <w:r>
              <w:t>71</w:t>
            </w:r>
            <w:r w:rsidRPr="00096666">
              <w:t>;</w:t>
            </w:r>
            <w:r>
              <w:t xml:space="preserve"> </w:t>
            </w:r>
          </w:p>
          <w:p w:rsidR="00CF045E" w:rsidRPr="00096666" w:rsidRDefault="00CF045E" w:rsidP="00CF045E">
            <w:pPr>
              <w:spacing w:after="120"/>
              <w:jc w:val="both"/>
            </w:pPr>
            <w:r w:rsidRPr="00096666">
              <w:t>3) tehnisko d</w:t>
            </w:r>
            <w:r w:rsidR="00EA3572">
              <w:t>okumentāciju C = (6</w:t>
            </w:r>
            <w:r w:rsidR="00A6741E">
              <w:t>,</w:t>
            </w:r>
            <w:r w:rsidR="00EA3572">
              <w:t>79 x 8) x (10</w:t>
            </w:r>
            <w:r w:rsidRPr="00096666">
              <w:t xml:space="preserve">0 x 1) = </w:t>
            </w:r>
            <w:r w:rsidR="00A6741E" w:rsidRPr="00096666">
              <w:t>EUR</w:t>
            </w:r>
            <w:r w:rsidR="00A6741E">
              <w:t xml:space="preserve"> </w:t>
            </w:r>
            <w:r w:rsidR="00EA3572">
              <w:t>5432</w:t>
            </w:r>
            <w:r w:rsidRPr="00096666">
              <w:t>;</w:t>
            </w:r>
          </w:p>
          <w:p w:rsidR="00EA3572" w:rsidRPr="00096666" w:rsidRDefault="00EA3572" w:rsidP="00EA3572">
            <w:pPr>
              <w:spacing w:after="120"/>
              <w:jc w:val="both"/>
            </w:pPr>
            <w:r>
              <w:t>4) testēšanas vai mērījuma rezultāt</w:t>
            </w:r>
            <w:r w:rsidR="00A6741E">
              <w:t>us</w:t>
            </w:r>
            <w:r>
              <w:t xml:space="preserve"> C = (6</w:t>
            </w:r>
            <w:r w:rsidR="00A6741E">
              <w:t>,</w:t>
            </w:r>
            <w:r>
              <w:t>79 x 0</w:t>
            </w:r>
            <w:r w:rsidR="00A6741E">
              <w:t>,</w:t>
            </w:r>
            <w:r>
              <w:t xml:space="preserve">166) x (100 x 1) = </w:t>
            </w:r>
            <w:r w:rsidR="00A6741E" w:rsidRPr="00096666">
              <w:t>EUR</w:t>
            </w:r>
            <w:r w:rsidR="00A6741E">
              <w:t xml:space="preserve"> </w:t>
            </w:r>
            <w:r>
              <w:t>112</w:t>
            </w:r>
            <w:r w:rsidR="00A6741E">
              <w:t>,</w:t>
            </w:r>
            <w:r>
              <w:t>71</w:t>
            </w:r>
            <w:r w:rsidR="00A6741E">
              <w:t>.</w:t>
            </w:r>
            <w:r>
              <w:t xml:space="preserve"> </w:t>
            </w:r>
          </w:p>
          <w:p w:rsidR="00AC145B" w:rsidRDefault="00EA3572" w:rsidP="003037FE">
            <w:pPr>
              <w:jc w:val="both"/>
            </w:pPr>
            <w:r>
              <w:t xml:space="preserve">Kopējās administratīvās izmaksas transportlīdzekļu īpašniekiem (turētājiem) </w:t>
            </w:r>
            <w:r w:rsidR="00A6741E">
              <w:t>par</w:t>
            </w:r>
            <w:r w:rsidR="004D2D02">
              <w:t xml:space="preserve"> 100 individuālu transportlīdzekļu apstiprināšanu</w:t>
            </w:r>
            <w:r w:rsidR="00A6741E">
              <w:t xml:space="preserve"> – EUR </w:t>
            </w:r>
            <w:r>
              <w:t>5827</w:t>
            </w:r>
            <w:r w:rsidR="00A6741E">
              <w:t>,</w:t>
            </w:r>
            <w:r>
              <w:t>17.</w:t>
            </w:r>
          </w:p>
          <w:p w:rsidR="00EA3572" w:rsidRDefault="00EA3572" w:rsidP="003037FE">
            <w:pPr>
              <w:jc w:val="both"/>
            </w:pPr>
          </w:p>
          <w:p w:rsidR="00EA3572" w:rsidRDefault="00EA3572" w:rsidP="003037FE">
            <w:pPr>
              <w:jc w:val="both"/>
            </w:pPr>
            <w:r>
              <w:t>Administratīvās izmaksas institūcijai:</w:t>
            </w:r>
          </w:p>
          <w:p w:rsidR="0095006B" w:rsidRPr="0095006B" w:rsidRDefault="0095006B" w:rsidP="0095006B">
            <w:pPr>
              <w:spacing w:after="120"/>
              <w:jc w:val="both"/>
              <w:rPr>
                <w:rFonts w:eastAsia="Calibri"/>
                <w:szCs w:val="22"/>
                <w:lang w:eastAsia="en-US"/>
              </w:rPr>
            </w:pPr>
            <w:r>
              <w:t xml:space="preserve">1) dokumentu izvērtēšana </w:t>
            </w:r>
            <w:r w:rsidR="004D2D02">
              <w:rPr>
                <w:rFonts w:eastAsia="Calibri"/>
                <w:szCs w:val="22"/>
                <w:lang w:eastAsia="en-US"/>
              </w:rPr>
              <w:t>C = (7 x 0</w:t>
            </w:r>
            <w:r w:rsidR="00A6741E">
              <w:rPr>
                <w:rFonts w:eastAsia="Calibri"/>
                <w:szCs w:val="22"/>
                <w:lang w:eastAsia="en-US"/>
              </w:rPr>
              <w:t>,</w:t>
            </w:r>
            <w:r w:rsidR="004D2D02">
              <w:rPr>
                <w:rFonts w:eastAsia="Calibri"/>
                <w:szCs w:val="22"/>
                <w:lang w:eastAsia="en-US"/>
              </w:rPr>
              <w:t>66</w:t>
            </w:r>
            <w:r w:rsidRPr="0095006B">
              <w:rPr>
                <w:rFonts w:eastAsia="Calibri"/>
                <w:szCs w:val="22"/>
                <w:lang w:eastAsia="en-US"/>
              </w:rPr>
              <w:t xml:space="preserve">) x (100 x 1) = </w:t>
            </w:r>
            <w:r w:rsidR="00A6741E" w:rsidRPr="0095006B">
              <w:rPr>
                <w:rFonts w:eastAsia="Calibri"/>
                <w:szCs w:val="22"/>
                <w:lang w:eastAsia="en-US"/>
              </w:rPr>
              <w:t>EUR</w:t>
            </w:r>
            <w:r w:rsidR="00A6741E">
              <w:rPr>
                <w:rFonts w:eastAsia="Calibri"/>
                <w:szCs w:val="22"/>
                <w:lang w:eastAsia="en-US"/>
              </w:rPr>
              <w:t xml:space="preserve"> </w:t>
            </w:r>
            <w:r w:rsidR="004D2D02">
              <w:rPr>
                <w:rFonts w:eastAsia="Calibri"/>
                <w:szCs w:val="22"/>
                <w:lang w:eastAsia="en-US"/>
              </w:rPr>
              <w:t>462</w:t>
            </w:r>
            <w:r w:rsidRPr="0095006B">
              <w:rPr>
                <w:rFonts w:eastAsia="Calibri"/>
                <w:szCs w:val="22"/>
                <w:lang w:eastAsia="en-US"/>
              </w:rPr>
              <w:t>;</w:t>
            </w:r>
          </w:p>
          <w:p w:rsidR="0095006B" w:rsidRDefault="0095006B" w:rsidP="0095006B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2) tehniskās ekspertīzes slēdziena sagatavošana </w:t>
            </w:r>
          </w:p>
          <w:p w:rsidR="0095006B" w:rsidRPr="0095006B" w:rsidRDefault="0095006B" w:rsidP="0095006B">
            <w:pPr>
              <w:spacing w:after="12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 = (7</w:t>
            </w:r>
            <w:r w:rsidRPr="0095006B">
              <w:rPr>
                <w:rFonts w:eastAsia="Calibri"/>
                <w:szCs w:val="22"/>
                <w:lang w:eastAsia="en-US"/>
              </w:rPr>
              <w:t xml:space="preserve"> x </w:t>
            </w:r>
            <w:r>
              <w:rPr>
                <w:rFonts w:eastAsia="Calibri"/>
                <w:szCs w:val="22"/>
                <w:lang w:eastAsia="en-US"/>
              </w:rPr>
              <w:t>0.5</w:t>
            </w:r>
            <w:r w:rsidRPr="0095006B">
              <w:rPr>
                <w:rFonts w:eastAsia="Calibri"/>
                <w:szCs w:val="22"/>
                <w:lang w:eastAsia="en-US"/>
              </w:rPr>
              <w:t>) x (10</w:t>
            </w:r>
            <w:r>
              <w:rPr>
                <w:rFonts w:eastAsia="Calibri"/>
                <w:szCs w:val="22"/>
                <w:lang w:eastAsia="en-US"/>
              </w:rPr>
              <w:t>0</w:t>
            </w:r>
            <w:r w:rsidRPr="0095006B">
              <w:rPr>
                <w:rFonts w:eastAsia="Calibri"/>
                <w:szCs w:val="22"/>
                <w:lang w:eastAsia="en-US"/>
              </w:rPr>
              <w:t xml:space="preserve"> x 1) = </w:t>
            </w:r>
            <w:r w:rsidR="00A6741E" w:rsidRPr="0095006B">
              <w:rPr>
                <w:rFonts w:eastAsia="Calibri"/>
                <w:szCs w:val="22"/>
                <w:lang w:eastAsia="en-US"/>
              </w:rPr>
              <w:t>EUR</w:t>
            </w:r>
            <w:r w:rsidR="00A6741E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35</w:t>
            </w:r>
            <w:r w:rsidRPr="0095006B">
              <w:rPr>
                <w:rFonts w:eastAsia="Calibri"/>
                <w:szCs w:val="22"/>
                <w:lang w:eastAsia="en-US"/>
              </w:rPr>
              <w:t>0</w:t>
            </w:r>
            <w:r w:rsidR="00A6741E">
              <w:rPr>
                <w:rFonts w:eastAsia="Calibri"/>
                <w:szCs w:val="22"/>
                <w:lang w:eastAsia="en-US"/>
              </w:rPr>
              <w:t>;</w:t>
            </w:r>
            <w:r w:rsidRPr="0095006B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95006B" w:rsidRDefault="0095006B" w:rsidP="0095006B">
            <w:pPr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3) </w:t>
            </w:r>
            <w:r w:rsidRPr="0095006B">
              <w:rPr>
                <w:rFonts w:eastAsia="Calibri"/>
                <w:szCs w:val="22"/>
                <w:lang w:eastAsia="en-US"/>
              </w:rPr>
              <w:t xml:space="preserve">individuālā transportlīdzekļa apstiprinājuma </w:t>
            </w:r>
            <w:r>
              <w:rPr>
                <w:rFonts w:eastAsia="Calibri"/>
                <w:szCs w:val="22"/>
                <w:lang w:eastAsia="en-US"/>
              </w:rPr>
              <w:t>sagatavošana</w:t>
            </w:r>
          </w:p>
          <w:p w:rsidR="00EA3572" w:rsidRDefault="0095006B" w:rsidP="0095006B">
            <w:pPr>
              <w:spacing w:after="120"/>
              <w:jc w:val="both"/>
              <w:rPr>
                <w:rFonts w:eastAsia="Calibri"/>
                <w:szCs w:val="22"/>
                <w:lang w:eastAsia="en-US"/>
              </w:rPr>
            </w:pPr>
            <w:r w:rsidRPr="0095006B">
              <w:rPr>
                <w:rFonts w:eastAsia="Calibri"/>
                <w:szCs w:val="22"/>
                <w:lang w:eastAsia="en-US"/>
              </w:rPr>
              <w:t>C = (7 x 1) x (10</w:t>
            </w:r>
            <w:r>
              <w:rPr>
                <w:rFonts w:eastAsia="Calibri"/>
                <w:szCs w:val="22"/>
                <w:lang w:eastAsia="en-US"/>
              </w:rPr>
              <w:t>0</w:t>
            </w:r>
            <w:r w:rsidRPr="0095006B">
              <w:rPr>
                <w:rFonts w:eastAsia="Calibri"/>
                <w:szCs w:val="22"/>
                <w:lang w:eastAsia="en-US"/>
              </w:rPr>
              <w:t xml:space="preserve"> x 1) = </w:t>
            </w:r>
            <w:r w:rsidR="00A6741E" w:rsidRPr="0095006B">
              <w:rPr>
                <w:rFonts w:eastAsia="Calibri"/>
                <w:szCs w:val="22"/>
                <w:lang w:eastAsia="en-US"/>
              </w:rPr>
              <w:t xml:space="preserve">EUR </w:t>
            </w:r>
            <w:r w:rsidRPr="0095006B">
              <w:rPr>
                <w:rFonts w:eastAsia="Calibri"/>
                <w:szCs w:val="22"/>
                <w:lang w:eastAsia="en-US"/>
              </w:rPr>
              <w:t>70</w:t>
            </w:r>
            <w:r>
              <w:rPr>
                <w:rFonts w:eastAsia="Calibri"/>
                <w:szCs w:val="22"/>
                <w:lang w:eastAsia="en-US"/>
              </w:rPr>
              <w:t>0</w:t>
            </w:r>
            <w:r w:rsidR="00A6741E">
              <w:rPr>
                <w:rFonts w:eastAsia="Calibri"/>
                <w:szCs w:val="22"/>
                <w:lang w:eastAsia="en-US"/>
              </w:rPr>
              <w:t>,</w:t>
            </w:r>
            <w:r w:rsidRPr="0095006B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4D2D02" w:rsidRPr="0095006B" w:rsidRDefault="004D2D02">
            <w:pPr>
              <w:spacing w:after="12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Kopējās administratīvās izmaksas institūcijai </w:t>
            </w:r>
            <w:r w:rsidR="00A6741E">
              <w:rPr>
                <w:rFonts w:eastAsia="Calibri"/>
                <w:szCs w:val="22"/>
                <w:lang w:eastAsia="en-US"/>
              </w:rPr>
              <w:t xml:space="preserve">par </w:t>
            </w:r>
            <w:r>
              <w:rPr>
                <w:rFonts w:eastAsia="Calibri"/>
                <w:szCs w:val="22"/>
                <w:lang w:eastAsia="en-US"/>
              </w:rPr>
              <w:t xml:space="preserve">100 individuālu transportlīdzekļu apstiprināšanu </w:t>
            </w:r>
            <w:r w:rsidR="00A6741E">
              <w:rPr>
                <w:rFonts w:eastAsia="Calibri"/>
                <w:szCs w:val="22"/>
                <w:lang w:eastAsia="en-US"/>
              </w:rPr>
              <w:t>– EUR</w:t>
            </w:r>
            <w:r w:rsidR="00A6741E" w:rsidDel="00A6741E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>1542</w:t>
            </w:r>
            <w:r w:rsidR="00A6741E">
              <w:rPr>
                <w:rFonts w:eastAsia="Calibri"/>
                <w:szCs w:val="22"/>
                <w:lang w:eastAsia="en-US"/>
              </w:rPr>
              <w:t>.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</w:tr>
      <w:tr w:rsidR="005C3223" w:rsidRPr="005C3223" w:rsidTr="0076560C">
        <w:tc>
          <w:tcPr>
            <w:tcW w:w="285" w:type="pct"/>
          </w:tcPr>
          <w:p w:rsidR="00AC145B" w:rsidRPr="005C3223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5C3223">
              <w:t>4.</w:t>
            </w:r>
          </w:p>
        </w:tc>
        <w:tc>
          <w:tcPr>
            <w:tcW w:w="989" w:type="pct"/>
          </w:tcPr>
          <w:p w:rsidR="00AC145B" w:rsidRPr="005C3223" w:rsidRDefault="00AC145B" w:rsidP="0076560C">
            <w:pPr>
              <w:pStyle w:val="naislab"/>
              <w:spacing w:before="0" w:after="0"/>
              <w:jc w:val="left"/>
              <w:outlineLvl w:val="0"/>
            </w:pPr>
            <w:r w:rsidRPr="005C3223">
              <w:t>Cita informācija</w:t>
            </w:r>
          </w:p>
        </w:tc>
        <w:tc>
          <w:tcPr>
            <w:tcW w:w="3725" w:type="pct"/>
          </w:tcPr>
          <w:p w:rsidR="00AC145B" w:rsidRPr="005C3223" w:rsidRDefault="00AC145B" w:rsidP="003037FE">
            <w:pPr>
              <w:jc w:val="both"/>
            </w:pPr>
            <w:r w:rsidRPr="005C3223">
              <w:t>Nav.</w:t>
            </w:r>
          </w:p>
        </w:tc>
      </w:tr>
    </w:tbl>
    <w:p w:rsidR="0060636F" w:rsidRPr="005C3223" w:rsidRDefault="0060636F" w:rsidP="00656C9A"/>
    <w:p w:rsidR="00656C9A" w:rsidRPr="000A56E5" w:rsidRDefault="00656C9A" w:rsidP="00656C9A">
      <w:pPr>
        <w:rPr>
          <w:i/>
        </w:rPr>
      </w:pPr>
      <w:r w:rsidRPr="000A56E5">
        <w:rPr>
          <w:i/>
        </w:rPr>
        <w:t xml:space="preserve">Anotācijas </w:t>
      </w:r>
      <w:r w:rsidR="008F28C0" w:rsidRPr="000A56E5">
        <w:rPr>
          <w:i/>
        </w:rPr>
        <w:t>III</w:t>
      </w:r>
      <w:r w:rsidR="00A6741E">
        <w:rPr>
          <w:i/>
        </w:rPr>
        <w:t>–</w:t>
      </w:r>
      <w:r w:rsidR="0060636F" w:rsidRPr="000A56E5">
        <w:rPr>
          <w:i/>
        </w:rPr>
        <w:t>IV</w:t>
      </w:r>
      <w:r w:rsidR="00D36A7D" w:rsidRPr="000A56E5">
        <w:rPr>
          <w:i/>
        </w:rPr>
        <w:t xml:space="preserve"> </w:t>
      </w:r>
      <w:r w:rsidRPr="000A56E5">
        <w:rPr>
          <w:i/>
        </w:rPr>
        <w:t>sadaļa – projekts š</w:t>
      </w:r>
      <w:r w:rsidR="00143CB1" w:rsidRPr="000A56E5">
        <w:rPr>
          <w:i/>
        </w:rPr>
        <w:t>īs</w:t>
      </w:r>
      <w:r w:rsidRPr="000A56E5">
        <w:rPr>
          <w:i/>
        </w:rPr>
        <w:t xml:space="preserve"> jom</w:t>
      </w:r>
      <w:r w:rsidR="00143CB1" w:rsidRPr="000A56E5">
        <w:rPr>
          <w:i/>
        </w:rPr>
        <w:t>as</w:t>
      </w:r>
      <w:r w:rsidRPr="000A56E5">
        <w:rPr>
          <w:i/>
        </w:rPr>
        <w:t xml:space="preserve"> neskar.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577"/>
        <w:gridCol w:w="7184"/>
      </w:tblGrid>
      <w:tr w:rsidR="008F28C0" w:rsidRPr="000A56E5" w:rsidTr="0076560C">
        <w:trPr>
          <w:trHeight w:val="279"/>
        </w:trPr>
        <w:tc>
          <w:tcPr>
            <w:tcW w:w="5000" w:type="pct"/>
            <w:gridSpan w:val="3"/>
          </w:tcPr>
          <w:p w:rsidR="008F28C0" w:rsidRPr="000A56E5" w:rsidRDefault="008F28C0" w:rsidP="0078212B">
            <w:pPr>
              <w:jc w:val="center"/>
              <w:rPr>
                <w:b/>
              </w:rPr>
            </w:pPr>
            <w:r w:rsidRPr="000A56E5">
              <w:rPr>
                <w:b/>
              </w:rPr>
              <w:t>V. Tiesību akta projekta atbilstība Latvijas Republikas starptautiskajām saistībām</w:t>
            </w:r>
          </w:p>
        </w:tc>
      </w:tr>
      <w:tr w:rsidR="008F28C0" w:rsidRPr="000A56E5" w:rsidTr="0076560C">
        <w:trPr>
          <w:trHeight w:val="279"/>
        </w:trPr>
        <w:tc>
          <w:tcPr>
            <w:tcW w:w="283" w:type="pct"/>
          </w:tcPr>
          <w:p w:rsidR="008F28C0" w:rsidRPr="000A56E5" w:rsidRDefault="008F28C0" w:rsidP="0078212B">
            <w:pPr>
              <w:jc w:val="both"/>
            </w:pPr>
            <w:r w:rsidRPr="000A56E5">
              <w:t>1.</w:t>
            </w:r>
          </w:p>
        </w:tc>
        <w:tc>
          <w:tcPr>
            <w:tcW w:w="849" w:type="pct"/>
          </w:tcPr>
          <w:p w:rsidR="008F28C0" w:rsidRPr="000A56E5" w:rsidRDefault="008F28C0" w:rsidP="0078212B">
            <w:pPr>
              <w:jc w:val="both"/>
            </w:pPr>
            <w:r w:rsidRPr="000A56E5">
              <w:t>Saistības pret Eiropas Savienību</w:t>
            </w:r>
          </w:p>
        </w:tc>
        <w:tc>
          <w:tcPr>
            <w:tcW w:w="3868" w:type="pct"/>
          </w:tcPr>
          <w:p w:rsidR="008F28C0" w:rsidRPr="000A56E5" w:rsidRDefault="00F63AAE" w:rsidP="000A56E5">
            <w:pPr>
              <w:jc w:val="both"/>
            </w:pPr>
            <w:r w:rsidRPr="00F63AAE">
              <w:t>Regula Nr.167/2013</w:t>
            </w:r>
          </w:p>
        </w:tc>
      </w:tr>
      <w:tr w:rsidR="008F28C0" w:rsidRPr="000A56E5" w:rsidTr="0076560C">
        <w:trPr>
          <w:trHeight w:val="279"/>
        </w:trPr>
        <w:tc>
          <w:tcPr>
            <w:tcW w:w="283" w:type="pct"/>
          </w:tcPr>
          <w:p w:rsidR="008F28C0" w:rsidRPr="000A56E5" w:rsidRDefault="008F28C0" w:rsidP="0078212B">
            <w:pPr>
              <w:jc w:val="both"/>
            </w:pPr>
            <w:r w:rsidRPr="000A56E5">
              <w:t>2.</w:t>
            </w:r>
          </w:p>
        </w:tc>
        <w:tc>
          <w:tcPr>
            <w:tcW w:w="849" w:type="pct"/>
          </w:tcPr>
          <w:p w:rsidR="008F28C0" w:rsidRPr="000A56E5" w:rsidRDefault="008F28C0" w:rsidP="0078212B">
            <w:pPr>
              <w:jc w:val="both"/>
            </w:pPr>
            <w:r w:rsidRPr="000A56E5">
              <w:t xml:space="preserve">Citas starptautiskās </w:t>
            </w:r>
            <w:r w:rsidRPr="000A56E5">
              <w:lastRenderedPageBreak/>
              <w:t>saistības</w:t>
            </w:r>
          </w:p>
        </w:tc>
        <w:tc>
          <w:tcPr>
            <w:tcW w:w="3868" w:type="pct"/>
          </w:tcPr>
          <w:p w:rsidR="008F28C0" w:rsidRPr="000A56E5" w:rsidRDefault="004D4F42" w:rsidP="0078212B">
            <w:pPr>
              <w:jc w:val="both"/>
            </w:pPr>
            <w:r w:rsidRPr="000A56E5">
              <w:lastRenderedPageBreak/>
              <w:t>Projekts šo jomu neskar.</w:t>
            </w:r>
          </w:p>
        </w:tc>
      </w:tr>
      <w:tr w:rsidR="008F28C0" w:rsidRPr="000A56E5" w:rsidTr="0076560C">
        <w:trPr>
          <w:trHeight w:val="279"/>
        </w:trPr>
        <w:tc>
          <w:tcPr>
            <w:tcW w:w="283" w:type="pct"/>
          </w:tcPr>
          <w:p w:rsidR="008F28C0" w:rsidRPr="000A56E5" w:rsidRDefault="008F28C0" w:rsidP="0078212B">
            <w:pPr>
              <w:jc w:val="both"/>
            </w:pPr>
            <w:r w:rsidRPr="000A56E5">
              <w:t>3.</w:t>
            </w:r>
          </w:p>
        </w:tc>
        <w:tc>
          <w:tcPr>
            <w:tcW w:w="849" w:type="pct"/>
          </w:tcPr>
          <w:p w:rsidR="008F28C0" w:rsidRPr="000A56E5" w:rsidRDefault="008F28C0" w:rsidP="0078212B">
            <w:pPr>
              <w:jc w:val="both"/>
            </w:pPr>
            <w:r w:rsidRPr="000A56E5">
              <w:t>Cita informācija</w:t>
            </w:r>
          </w:p>
        </w:tc>
        <w:tc>
          <w:tcPr>
            <w:tcW w:w="3868" w:type="pct"/>
          </w:tcPr>
          <w:p w:rsidR="008F28C0" w:rsidRPr="000A56E5" w:rsidRDefault="008F28C0" w:rsidP="0078212B">
            <w:pPr>
              <w:jc w:val="both"/>
            </w:pPr>
            <w:r w:rsidRPr="000A56E5">
              <w:t>Nav.</w:t>
            </w:r>
          </w:p>
        </w:tc>
      </w:tr>
    </w:tbl>
    <w:p w:rsidR="008F28C0" w:rsidRPr="000A56E5" w:rsidRDefault="008F28C0" w:rsidP="008F28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689"/>
        <w:gridCol w:w="1833"/>
        <w:gridCol w:w="3455"/>
        <w:gridCol w:w="1913"/>
      </w:tblGrid>
      <w:tr w:rsidR="008F28C0" w:rsidRPr="000A56E5" w:rsidTr="0076560C">
        <w:trPr>
          <w:trHeight w:val="279"/>
        </w:trPr>
        <w:tc>
          <w:tcPr>
            <w:tcW w:w="5000" w:type="pct"/>
            <w:gridSpan w:val="5"/>
          </w:tcPr>
          <w:p w:rsidR="008F28C0" w:rsidRPr="000A56E5" w:rsidRDefault="008F28C0" w:rsidP="0078212B">
            <w:pPr>
              <w:pStyle w:val="naisnod"/>
              <w:spacing w:before="0" w:after="0"/>
            </w:pPr>
            <w:r w:rsidRPr="000A56E5">
              <w:t xml:space="preserve">1.tabula </w:t>
            </w:r>
          </w:p>
          <w:p w:rsidR="008F28C0" w:rsidRPr="000A56E5" w:rsidRDefault="008F28C0" w:rsidP="0078212B">
            <w:pPr>
              <w:jc w:val="center"/>
              <w:rPr>
                <w:b/>
              </w:rPr>
            </w:pPr>
            <w:r w:rsidRPr="000A56E5">
              <w:rPr>
                <w:b/>
              </w:rPr>
              <w:t>Tiesību akta projekta atbilstība ES tiesību aktiem</w:t>
            </w:r>
          </w:p>
        </w:tc>
      </w:tr>
      <w:tr w:rsidR="008F28C0" w:rsidRPr="000A56E5" w:rsidTr="0076560C">
        <w:trPr>
          <w:trHeight w:val="279"/>
        </w:trPr>
        <w:tc>
          <w:tcPr>
            <w:tcW w:w="752" w:type="pct"/>
          </w:tcPr>
          <w:p w:rsidR="008F28C0" w:rsidRPr="000A56E5" w:rsidRDefault="008F28C0" w:rsidP="0078212B">
            <w:pPr>
              <w:jc w:val="center"/>
            </w:pPr>
            <w:r w:rsidRPr="000A56E5">
              <w:t>Attiecīgā ES tiesību akta datums, numurs un nosaukums</w:t>
            </w:r>
          </w:p>
        </w:tc>
        <w:tc>
          <w:tcPr>
            <w:tcW w:w="4248" w:type="pct"/>
            <w:gridSpan w:val="4"/>
          </w:tcPr>
          <w:p w:rsidR="008F28C0" w:rsidRPr="000A56E5" w:rsidRDefault="00F63AAE" w:rsidP="0078212B">
            <w:pPr>
              <w:jc w:val="both"/>
            </w:pPr>
            <w:r w:rsidRPr="00F63AAE">
              <w:t>Regula Nr.167/2013</w:t>
            </w:r>
          </w:p>
        </w:tc>
      </w:tr>
      <w:tr w:rsidR="008F28C0" w:rsidRPr="000A56E5" w:rsidTr="0076560C">
        <w:trPr>
          <w:trHeight w:val="279"/>
        </w:trPr>
        <w:tc>
          <w:tcPr>
            <w:tcW w:w="5000" w:type="pct"/>
            <w:gridSpan w:val="5"/>
          </w:tcPr>
          <w:p w:rsidR="008F28C0" w:rsidRPr="000A56E5" w:rsidRDefault="008F28C0" w:rsidP="0078212B">
            <w:pPr>
              <w:jc w:val="both"/>
            </w:pPr>
          </w:p>
        </w:tc>
      </w:tr>
      <w:tr w:rsidR="008F28C0" w:rsidRPr="000A56E5" w:rsidTr="0076560C">
        <w:trPr>
          <w:trHeight w:val="279"/>
        </w:trPr>
        <w:tc>
          <w:tcPr>
            <w:tcW w:w="1123" w:type="pct"/>
            <w:gridSpan w:val="2"/>
          </w:tcPr>
          <w:p w:rsidR="008F28C0" w:rsidRPr="000A56E5" w:rsidRDefault="008F28C0" w:rsidP="0078212B">
            <w:pPr>
              <w:jc w:val="center"/>
            </w:pPr>
            <w:r w:rsidRPr="000A56E5">
              <w:t>A</w:t>
            </w:r>
          </w:p>
        </w:tc>
        <w:tc>
          <w:tcPr>
            <w:tcW w:w="987" w:type="pct"/>
          </w:tcPr>
          <w:p w:rsidR="008F28C0" w:rsidRPr="000A56E5" w:rsidRDefault="008F28C0" w:rsidP="0078212B">
            <w:pPr>
              <w:jc w:val="center"/>
            </w:pPr>
            <w:r w:rsidRPr="000A56E5">
              <w:t>B</w:t>
            </w:r>
          </w:p>
        </w:tc>
        <w:tc>
          <w:tcPr>
            <w:tcW w:w="1860" w:type="pct"/>
          </w:tcPr>
          <w:p w:rsidR="008F28C0" w:rsidRPr="000A56E5" w:rsidRDefault="008F28C0" w:rsidP="0078212B">
            <w:pPr>
              <w:jc w:val="center"/>
            </w:pPr>
            <w:r w:rsidRPr="000A56E5">
              <w:t>C</w:t>
            </w:r>
          </w:p>
        </w:tc>
        <w:tc>
          <w:tcPr>
            <w:tcW w:w="1030" w:type="pct"/>
          </w:tcPr>
          <w:p w:rsidR="008F28C0" w:rsidRPr="000A56E5" w:rsidRDefault="008F28C0" w:rsidP="0078212B">
            <w:pPr>
              <w:jc w:val="center"/>
            </w:pPr>
            <w:r w:rsidRPr="000A56E5">
              <w:t>D</w:t>
            </w:r>
          </w:p>
        </w:tc>
      </w:tr>
      <w:tr w:rsidR="008F28C0" w:rsidRPr="000A56E5" w:rsidTr="0076560C">
        <w:trPr>
          <w:trHeight w:val="279"/>
        </w:trPr>
        <w:tc>
          <w:tcPr>
            <w:tcW w:w="1123" w:type="pct"/>
            <w:gridSpan w:val="2"/>
          </w:tcPr>
          <w:p w:rsidR="008F28C0" w:rsidRPr="000A56E5" w:rsidRDefault="008F28C0" w:rsidP="0078212B">
            <w:pPr>
              <w:jc w:val="both"/>
            </w:pPr>
            <w:r w:rsidRPr="000A56E5">
              <w:t xml:space="preserve">Attiecīgā ES tiesību akta panta numurs (uzskaitot katru tiesību akta </w:t>
            </w:r>
            <w:r w:rsidRPr="000A56E5">
              <w:br/>
              <w:t>vienību – pantu, daļu, punktu, apakšpunktu)</w:t>
            </w:r>
          </w:p>
        </w:tc>
        <w:tc>
          <w:tcPr>
            <w:tcW w:w="987" w:type="pct"/>
          </w:tcPr>
          <w:p w:rsidR="008F28C0" w:rsidRPr="000A56E5" w:rsidRDefault="008F28C0" w:rsidP="0078212B">
            <w:pPr>
              <w:jc w:val="both"/>
            </w:pPr>
            <w:r w:rsidRPr="000A56E5">
              <w:t>Projekta vienība, kas pārņem vai ievieš katru šīs tabulas A ailē minēto ES tiesību akta vienību</w:t>
            </w:r>
          </w:p>
        </w:tc>
        <w:tc>
          <w:tcPr>
            <w:tcW w:w="1860" w:type="pct"/>
          </w:tcPr>
          <w:p w:rsidR="008F28C0" w:rsidRPr="000A56E5" w:rsidRDefault="008F28C0" w:rsidP="004D4F42">
            <w:pPr>
              <w:pStyle w:val="naiskr"/>
              <w:spacing w:before="0" w:beforeAutospacing="0" w:after="0" w:afterAutospacing="0"/>
              <w:jc w:val="both"/>
            </w:pPr>
            <w:r w:rsidRPr="000A56E5">
              <w:t>Informācija par to, vai šīs tabulas A ailē minētās ES tiesību akta vienības tiek pārņemtas vai ieviestas pilnībā vai daļēji.</w:t>
            </w:r>
          </w:p>
          <w:p w:rsidR="008F28C0" w:rsidRPr="000A56E5" w:rsidRDefault="008F28C0" w:rsidP="004D4F42">
            <w:pPr>
              <w:pStyle w:val="naiskr"/>
              <w:spacing w:before="0" w:beforeAutospacing="0" w:after="0" w:afterAutospacing="0"/>
              <w:jc w:val="both"/>
            </w:pPr>
            <w:r w:rsidRPr="000A56E5"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8F28C0" w:rsidRPr="000A56E5" w:rsidRDefault="008F28C0" w:rsidP="0078212B">
            <w:pPr>
              <w:jc w:val="both"/>
            </w:pPr>
            <w:r w:rsidRPr="000A56E5">
              <w:t>Norāda institūciju, kas ir atbildīga par šo saistību izpildi pilnībā</w:t>
            </w:r>
          </w:p>
        </w:tc>
        <w:tc>
          <w:tcPr>
            <w:tcW w:w="1030" w:type="pct"/>
          </w:tcPr>
          <w:p w:rsidR="008F28C0" w:rsidRPr="000A56E5" w:rsidRDefault="008F28C0" w:rsidP="004D4F42">
            <w:pPr>
              <w:pStyle w:val="naiskr"/>
              <w:spacing w:before="0" w:beforeAutospacing="0" w:after="0" w:afterAutospacing="0"/>
              <w:jc w:val="both"/>
            </w:pPr>
            <w:r w:rsidRPr="000A56E5">
              <w:t>Informācija par to, vai šīs tabulas B ailē minētās projekta vienības paredz stingrākas prasības nekā šīs tabulas A ailē minētās ES tiesību akta vienības.</w:t>
            </w:r>
          </w:p>
          <w:p w:rsidR="008F28C0" w:rsidRPr="000A56E5" w:rsidRDefault="008F28C0" w:rsidP="004D4F42">
            <w:pPr>
              <w:pStyle w:val="naiskr"/>
              <w:spacing w:before="0" w:beforeAutospacing="0" w:after="0" w:afterAutospacing="0"/>
              <w:jc w:val="both"/>
            </w:pPr>
            <w:r w:rsidRPr="000A56E5"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0A56E5">
                <w:t>akts</w:t>
              </w:r>
            </w:smartTag>
            <w:r w:rsidRPr="000A56E5">
              <w:t>, – norāda pamatojumu un samērīgumu.</w:t>
            </w:r>
          </w:p>
          <w:p w:rsidR="008F28C0" w:rsidRPr="000A56E5" w:rsidRDefault="008F28C0" w:rsidP="0078212B">
            <w:pPr>
              <w:jc w:val="both"/>
            </w:pPr>
            <w:r w:rsidRPr="000A56E5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F28C0" w:rsidRPr="000A56E5" w:rsidTr="0076560C">
        <w:trPr>
          <w:trHeight w:val="279"/>
        </w:trPr>
        <w:tc>
          <w:tcPr>
            <w:tcW w:w="1123" w:type="pct"/>
            <w:gridSpan w:val="2"/>
          </w:tcPr>
          <w:p w:rsidR="008F28C0" w:rsidRPr="000A56E5" w:rsidRDefault="00F63AAE" w:rsidP="004E27D5">
            <w:r w:rsidRPr="00F63AAE">
              <w:t>Regula</w:t>
            </w:r>
            <w:r>
              <w:t>s</w:t>
            </w:r>
            <w:r w:rsidRPr="00F63AAE">
              <w:t xml:space="preserve"> Nr.167/2013</w:t>
            </w:r>
            <w:r w:rsidR="00F54122">
              <w:t xml:space="preserve"> </w:t>
            </w:r>
            <w:r w:rsidR="000A56E5">
              <w:t xml:space="preserve">3.panta </w:t>
            </w:r>
            <w:r w:rsidR="004E27D5">
              <w:t>10</w:t>
            </w:r>
            <w:r w:rsidR="000A56E5">
              <w:t xml:space="preserve">. </w:t>
            </w:r>
            <w:r w:rsidR="004B0658">
              <w:t>punkts</w:t>
            </w:r>
          </w:p>
        </w:tc>
        <w:tc>
          <w:tcPr>
            <w:tcW w:w="987" w:type="pct"/>
          </w:tcPr>
          <w:p w:rsidR="008F28C0" w:rsidRDefault="000A56E5" w:rsidP="004708A3">
            <w:pPr>
              <w:jc w:val="center"/>
            </w:pPr>
            <w:r>
              <w:t xml:space="preserve">Projekta </w:t>
            </w:r>
          </w:p>
          <w:p w:rsidR="000A56E5" w:rsidRPr="000A56E5" w:rsidRDefault="000A56E5" w:rsidP="004708A3">
            <w:pPr>
              <w:jc w:val="center"/>
            </w:pPr>
            <w:r>
              <w:t>2.</w:t>
            </w:r>
            <w:r w:rsidR="004E27D5">
              <w:t>2</w:t>
            </w:r>
            <w:r w:rsidR="00A6741E">
              <w:t>.</w:t>
            </w:r>
            <w:r>
              <w:t xml:space="preserve"> </w:t>
            </w:r>
            <w:r w:rsidR="003755BC">
              <w:t>apakš</w:t>
            </w:r>
            <w:r>
              <w:t>punkts</w:t>
            </w:r>
          </w:p>
        </w:tc>
        <w:tc>
          <w:tcPr>
            <w:tcW w:w="1860" w:type="pct"/>
          </w:tcPr>
          <w:p w:rsidR="008F28C0" w:rsidRPr="000A56E5" w:rsidRDefault="00A37789" w:rsidP="0078212B">
            <w:pPr>
              <w:jc w:val="both"/>
            </w:pPr>
            <w:r w:rsidRPr="00A37789">
              <w:t>Pārņemtas pilnībā.</w:t>
            </w:r>
          </w:p>
        </w:tc>
        <w:tc>
          <w:tcPr>
            <w:tcW w:w="1030" w:type="pct"/>
          </w:tcPr>
          <w:p w:rsidR="008F28C0" w:rsidRPr="000A56E5" w:rsidRDefault="008F28C0" w:rsidP="0078212B">
            <w:pPr>
              <w:jc w:val="center"/>
            </w:pPr>
            <w:r w:rsidRPr="000A56E5">
              <w:t>Neparedz stingrākas prasības.</w:t>
            </w:r>
          </w:p>
        </w:tc>
      </w:tr>
      <w:tr w:rsidR="0053410B" w:rsidRPr="000A56E5" w:rsidTr="0076560C">
        <w:trPr>
          <w:trHeight w:val="279"/>
        </w:trPr>
        <w:tc>
          <w:tcPr>
            <w:tcW w:w="1123" w:type="pct"/>
            <w:gridSpan w:val="2"/>
          </w:tcPr>
          <w:p w:rsidR="0053410B" w:rsidRPr="00F63AAE" w:rsidRDefault="0053410B" w:rsidP="004E27D5">
            <w:r w:rsidRPr="0053410B">
              <w:lastRenderedPageBreak/>
              <w:t xml:space="preserve">Regulas </w:t>
            </w:r>
            <w:r w:rsidR="004E27D5">
              <w:t>Nr.167/2013 2</w:t>
            </w:r>
            <w:r w:rsidR="00CD4416">
              <w:t xml:space="preserve">.panta </w:t>
            </w:r>
            <w:r w:rsidR="004E27D5">
              <w:t>2</w:t>
            </w:r>
            <w:r w:rsidRPr="0053410B">
              <w:t xml:space="preserve">. </w:t>
            </w:r>
            <w:r w:rsidR="004B0658">
              <w:t>punkts</w:t>
            </w:r>
          </w:p>
        </w:tc>
        <w:tc>
          <w:tcPr>
            <w:tcW w:w="987" w:type="pct"/>
          </w:tcPr>
          <w:p w:rsidR="0053410B" w:rsidRDefault="00CD4416" w:rsidP="004708A3">
            <w:pPr>
              <w:jc w:val="center"/>
            </w:pPr>
            <w:r>
              <w:t>Projekta 2.3. apakšpunkts</w:t>
            </w:r>
          </w:p>
        </w:tc>
        <w:tc>
          <w:tcPr>
            <w:tcW w:w="1860" w:type="pct"/>
          </w:tcPr>
          <w:p w:rsidR="0053410B" w:rsidRPr="00A37789" w:rsidRDefault="00CD4416" w:rsidP="0078212B">
            <w:pPr>
              <w:jc w:val="both"/>
            </w:pPr>
            <w:r>
              <w:t>Pārņemt</w:t>
            </w:r>
            <w:r w:rsidR="00A6741E">
              <w:t>a</w:t>
            </w:r>
            <w:r>
              <w:t>s pilnībā.</w:t>
            </w:r>
          </w:p>
        </w:tc>
        <w:tc>
          <w:tcPr>
            <w:tcW w:w="1030" w:type="pct"/>
          </w:tcPr>
          <w:p w:rsidR="0053410B" w:rsidRPr="00A37789" w:rsidRDefault="00CD4416" w:rsidP="0078212B">
            <w:pPr>
              <w:jc w:val="center"/>
            </w:pPr>
            <w:r w:rsidRPr="00CD4416">
              <w:t>Neparedz stingrākas prasības.</w:t>
            </w:r>
          </w:p>
        </w:tc>
      </w:tr>
      <w:tr w:rsidR="00A37789" w:rsidRPr="000A56E5" w:rsidTr="0076560C">
        <w:trPr>
          <w:trHeight w:val="279"/>
        </w:trPr>
        <w:tc>
          <w:tcPr>
            <w:tcW w:w="1123" w:type="pct"/>
            <w:gridSpan w:val="2"/>
          </w:tcPr>
          <w:p w:rsidR="00A37789" w:rsidRDefault="00F63AAE" w:rsidP="000A56E5">
            <w:r w:rsidRPr="00F63AAE">
              <w:t>Regula</w:t>
            </w:r>
            <w:r>
              <w:t>s</w:t>
            </w:r>
            <w:r w:rsidRPr="00F63AAE">
              <w:t xml:space="preserve"> Nr.167/2013</w:t>
            </w:r>
            <w:r w:rsidR="00A37789">
              <w:t xml:space="preserve"> </w:t>
            </w:r>
          </w:p>
          <w:p w:rsidR="00A37789" w:rsidRPr="000A56E5" w:rsidRDefault="00A37789" w:rsidP="000A56E5">
            <w:r>
              <w:t>4.pants</w:t>
            </w:r>
          </w:p>
        </w:tc>
        <w:tc>
          <w:tcPr>
            <w:tcW w:w="987" w:type="pct"/>
          </w:tcPr>
          <w:p w:rsidR="00A37789" w:rsidRDefault="000D40C0" w:rsidP="004708A3">
            <w:pPr>
              <w:jc w:val="center"/>
            </w:pPr>
            <w:r>
              <w:t>Projekta 4</w:t>
            </w:r>
            <w:r w:rsidR="00A37789">
              <w:t>.pielikuma 1.punkta 4. daļa.</w:t>
            </w:r>
          </w:p>
        </w:tc>
        <w:tc>
          <w:tcPr>
            <w:tcW w:w="1860" w:type="pct"/>
          </w:tcPr>
          <w:p w:rsidR="00A37789" w:rsidRPr="000A56E5" w:rsidRDefault="00A37789" w:rsidP="0078212B">
            <w:pPr>
              <w:jc w:val="both"/>
            </w:pPr>
            <w:r w:rsidRPr="00A37789">
              <w:t>Pārņemtas pilnībā.</w:t>
            </w:r>
          </w:p>
        </w:tc>
        <w:tc>
          <w:tcPr>
            <w:tcW w:w="1030" w:type="pct"/>
          </w:tcPr>
          <w:p w:rsidR="00A37789" w:rsidRPr="000A56E5" w:rsidRDefault="00A37789" w:rsidP="0078212B">
            <w:pPr>
              <w:jc w:val="center"/>
            </w:pPr>
            <w:r w:rsidRPr="00A37789">
              <w:t>Neparedz stingrākas prasības.</w:t>
            </w:r>
          </w:p>
        </w:tc>
      </w:tr>
      <w:tr w:rsidR="00B77D24" w:rsidRPr="00497D66" w:rsidTr="0076560C">
        <w:trPr>
          <w:trHeight w:val="279"/>
        </w:trPr>
        <w:tc>
          <w:tcPr>
            <w:tcW w:w="1123" w:type="pct"/>
            <w:gridSpan w:val="2"/>
          </w:tcPr>
          <w:p w:rsidR="00B77D24" w:rsidRPr="000A56E5" w:rsidRDefault="00B77D24" w:rsidP="0078212B">
            <w:pPr>
              <w:jc w:val="both"/>
            </w:pPr>
            <w:r w:rsidRPr="00B77D24">
              <w:t>Kā ir izmantota ES tiesību aktā paredzētā rīcības brīvība dalībvalstij pārņemt vai ieviest noteiktas ES tiesību akta normas.</w:t>
            </w:r>
          </w:p>
        </w:tc>
        <w:tc>
          <w:tcPr>
            <w:tcW w:w="3877" w:type="pct"/>
            <w:gridSpan w:val="3"/>
          </w:tcPr>
          <w:p w:rsidR="00B77D24" w:rsidRPr="000A56E5" w:rsidRDefault="00B77D24" w:rsidP="0078212B">
            <w:pPr>
              <w:jc w:val="both"/>
            </w:pPr>
            <w:r w:rsidRPr="00B77D24">
              <w:t>Projekts šo jomu neskar.</w:t>
            </w:r>
          </w:p>
        </w:tc>
      </w:tr>
      <w:tr w:rsidR="00B77D24" w:rsidRPr="00497D66" w:rsidTr="0076560C">
        <w:trPr>
          <w:trHeight w:val="279"/>
        </w:trPr>
        <w:tc>
          <w:tcPr>
            <w:tcW w:w="1123" w:type="pct"/>
            <w:gridSpan w:val="2"/>
          </w:tcPr>
          <w:p w:rsidR="00B77D24" w:rsidRPr="000A56E5" w:rsidRDefault="00B77D24" w:rsidP="0078212B">
            <w:pPr>
              <w:jc w:val="both"/>
            </w:pPr>
            <w:r w:rsidRPr="00B77D24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77" w:type="pct"/>
            <w:gridSpan w:val="3"/>
          </w:tcPr>
          <w:p w:rsidR="00B77D24" w:rsidRDefault="00EE2426" w:rsidP="00EE2426">
            <w:pPr>
              <w:jc w:val="both"/>
            </w:pPr>
            <w:r w:rsidRPr="00EE2426">
              <w:t>Saskaņā ar Ministru kabineta 2010.gada 23.februāra instrukciju Nr.1 „Kārtība, kādā valsts pārvaldes iestādes sniedz informāciju par tehnisko noteikumu projektiem” un 1998. gada 22. jūnija Direktīvas 98/34/EK, ar ko nosaka informācijas sniegšanas kārtību tehnisko standartu un noteikumu jomā, 8.panta 1.punktu Latvija informē</w:t>
            </w:r>
            <w:r>
              <w:t>s</w:t>
            </w:r>
            <w:r w:rsidRPr="00EE2426">
              <w:t xml:space="preserve"> Eiropas Komisiju par </w:t>
            </w:r>
            <w:r w:rsidR="00A6741E">
              <w:t>sagatavo</w:t>
            </w:r>
            <w:r w:rsidRPr="00EE2426">
              <w:t>to noteikumu projektu.</w:t>
            </w:r>
          </w:p>
          <w:p w:rsidR="00A93194" w:rsidRPr="000A56E5" w:rsidRDefault="00A93194">
            <w:pPr>
              <w:jc w:val="both"/>
            </w:pPr>
            <w:r w:rsidRPr="00A93194">
              <w:t xml:space="preserve">Tāpat </w:t>
            </w:r>
            <w:r w:rsidR="00534332">
              <w:t>Zemkopības ministrija 2016.gada 18.februāra vēstulē Nr.</w:t>
            </w:r>
            <w:r w:rsidR="00534332" w:rsidRPr="00534332">
              <w:rPr>
                <w:rFonts w:eastAsia="Calibri"/>
                <w:szCs w:val="22"/>
                <w:lang w:eastAsia="en-US"/>
              </w:rPr>
              <w:t xml:space="preserve"> 2.2-2e/469/2016</w:t>
            </w:r>
            <w:r w:rsidR="00534332">
              <w:t xml:space="preserve"> ir informējusi Ekonomikas ministrij</w:t>
            </w:r>
            <w:r w:rsidR="00A6741E">
              <w:t>u</w:t>
            </w:r>
            <w:r w:rsidR="00534332">
              <w:t xml:space="preserve">, </w:t>
            </w:r>
            <w:r w:rsidR="00A6741E">
              <w:t>un tā</w:t>
            </w:r>
            <w:r w:rsidR="00534332">
              <w:t xml:space="preserve"> savukārt </w:t>
            </w:r>
            <w:r w:rsidRPr="00A93194">
              <w:t xml:space="preserve">ir </w:t>
            </w:r>
            <w:r w:rsidR="00A6741E">
              <w:t xml:space="preserve">paziņojusi </w:t>
            </w:r>
            <w:r w:rsidRPr="00A93194">
              <w:t>Eiropas Komisij</w:t>
            </w:r>
            <w:r w:rsidR="00A6741E">
              <w:t>ai</w:t>
            </w:r>
            <w:r w:rsidRPr="00A93194">
              <w:t xml:space="preserve"> par </w:t>
            </w:r>
            <w:r w:rsidR="00A6741E">
              <w:t xml:space="preserve">paredzētajiem </w:t>
            </w:r>
            <w:r w:rsidRPr="00A93194">
              <w:t xml:space="preserve">pasākumiem, ievērojot šos sīki izstrādātos atzinumus. </w:t>
            </w:r>
            <w:r w:rsidR="00C46022">
              <w:t>Tā kā</w:t>
            </w:r>
            <w:r w:rsidRPr="00A93194">
              <w:t xml:space="preserve"> </w:t>
            </w:r>
            <w:r w:rsidR="00534332">
              <w:t xml:space="preserve">no </w:t>
            </w:r>
            <w:r w:rsidRPr="00A93194">
              <w:t>Eiropas Komisija</w:t>
            </w:r>
            <w:r w:rsidR="00C46022">
              <w:t>s</w:t>
            </w:r>
            <w:r w:rsidRPr="00A93194">
              <w:t xml:space="preserve"> </w:t>
            </w:r>
            <w:r w:rsidR="00534332">
              <w:t xml:space="preserve">nav saņemts atkārtots atzinums, noteikumu projekts </w:t>
            </w:r>
            <w:r w:rsidR="00C46022">
              <w:t>pēc papildināšanas</w:t>
            </w:r>
            <w:r w:rsidR="00534332" w:rsidRPr="0053433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534332" w:rsidRPr="00534332">
              <w:t xml:space="preserve">ir uzskatāms par saskaņotu ar Eiropas Komisiju </w:t>
            </w:r>
            <w:r w:rsidR="00C46022">
              <w:t xml:space="preserve">atbilstoši </w:t>
            </w:r>
            <w:r w:rsidR="00534332" w:rsidRPr="00534332">
              <w:t>savstarpējās atzīšanas princip</w:t>
            </w:r>
            <w:r w:rsidR="00C46022">
              <w:t>am</w:t>
            </w:r>
            <w:r w:rsidR="00534332" w:rsidRPr="00534332">
              <w:t>.</w:t>
            </w:r>
          </w:p>
        </w:tc>
      </w:tr>
      <w:tr w:rsidR="008F28C0" w:rsidRPr="00497D66" w:rsidTr="0076560C">
        <w:trPr>
          <w:trHeight w:val="279"/>
        </w:trPr>
        <w:tc>
          <w:tcPr>
            <w:tcW w:w="1123" w:type="pct"/>
            <w:gridSpan w:val="2"/>
          </w:tcPr>
          <w:p w:rsidR="008F28C0" w:rsidRPr="000A56E5" w:rsidRDefault="008F28C0" w:rsidP="0078212B">
            <w:pPr>
              <w:jc w:val="both"/>
            </w:pPr>
            <w:r w:rsidRPr="000A56E5">
              <w:t>Cita informācija</w:t>
            </w:r>
          </w:p>
        </w:tc>
        <w:tc>
          <w:tcPr>
            <w:tcW w:w="3877" w:type="pct"/>
            <w:gridSpan w:val="3"/>
          </w:tcPr>
          <w:p w:rsidR="008F28C0" w:rsidRPr="000A56E5" w:rsidRDefault="008F28C0" w:rsidP="0078212B">
            <w:pPr>
              <w:jc w:val="both"/>
            </w:pPr>
            <w:r w:rsidRPr="000A56E5">
              <w:t>Nav.</w:t>
            </w:r>
          </w:p>
        </w:tc>
      </w:tr>
    </w:tbl>
    <w:p w:rsidR="00B60F97" w:rsidRPr="005C3223" w:rsidRDefault="00B60F97" w:rsidP="008F28C0">
      <w:pPr>
        <w:pStyle w:val="naisf"/>
        <w:spacing w:before="0" w:beforeAutospacing="0" w:after="0" w:afterAutospacing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28"/>
        <w:gridCol w:w="6794"/>
      </w:tblGrid>
      <w:tr w:rsidR="005C3223" w:rsidRPr="005C3223" w:rsidTr="0076560C">
        <w:trPr>
          <w:trHeight w:val="279"/>
        </w:trPr>
        <w:tc>
          <w:tcPr>
            <w:tcW w:w="5000" w:type="pct"/>
            <w:gridSpan w:val="3"/>
          </w:tcPr>
          <w:p w:rsidR="00AC145B" w:rsidRPr="005C3223" w:rsidRDefault="00AC145B" w:rsidP="003037FE">
            <w:pPr>
              <w:jc w:val="center"/>
              <w:rPr>
                <w:b/>
              </w:rPr>
            </w:pPr>
            <w:r w:rsidRPr="005C3223">
              <w:rPr>
                <w:b/>
              </w:rPr>
              <w:t>VI. Sabiedrības līdzdalība un komunikācijas aktivitātes</w:t>
            </w:r>
          </w:p>
        </w:tc>
      </w:tr>
      <w:tr w:rsidR="005C3223" w:rsidRPr="005C3223" w:rsidTr="0076560C">
        <w:trPr>
          <w:trHeight w:val="279"/>
        </w:trPr>
        <w:tc>
          <w:tcPr>
            <w:tcW w:w="304" w:type="pct"/>
          </w:tcPr>
          <w:p w:rsidR="00AC145B" w:rsidRPr="005C3223" w:rsidRDefault="00AC145B" w:rsidP="003037FE">
            <w:pPr>
              <w:jc w:val="both"/>
            </w:pPr>
            <w:r w:rsidRPr="005C3223">
              <w:t>1.</w:t>
            </w:r>
          </w:p>
        </w:tc>
        <w:tc>
          <w:tcPr>
            <w:tcW w:w="1038" w:type="pct"/>
          </w:tcPr>
          <w:p w:rsidR="00AC145B" w:rsidRPr="005C3223" w:rsidRDefault="00AC145B" w:rsidP="00FC11EF">
            <w:r w:rsidRPr="005C3223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:rsidR="00AC145B" w:rsidRPr="005C3223" w:rsidRDefault="00EF0066" w:rsidP="00DC5AAA">
            <w:pPr>
              <w:jc w:val="both"/>
            </w:pPr>
            <w:r w:rsidRPr="005C3223">
              <w:t xml:space="preserve">Informācija par normatīvā akta projektu </w:t>
            </w:r>
            <w:r w:rsidR="00DC5AAA">
              <w:t>2015.gada</w:t>
            </w:r>
            <w:r w:rsidR="006B0790">
              <w:t>. 7.septembrī tika</w:t>
            </w:r>
            <w:r w:rsidR="00E043BC">
              <w:t xml:space="preserve"> </w:t>
            </w:r>
            <w:r w:rsidRPr="005C3223">
              <w:t>ievietota tīmekļa vietnē www.zm.gov.lv.</w:t>
            </w:r>
          </w:p>
        </w:tc>
      </w:tr>
      <w:tr w:rsidR="005C3223" w:rsidRPr="005C3223" w:rsidTr="0076560C">
        <w:trPr>
          <w:trHeight w:val="279"/>
        </w:trPr>
        <w:tc>
          <w:tcPr>
            <w:tcW w:w="304" w:type="pct"/>
          </w:tcPr>
          <w:p w:rsidR="00AC145B" w:rsidRPr="005C3223" w:rsidRDefault="00AC145B" w:rsidP="003037FE">
            <w:pPr>
              <w:jc w:val="both"/>
            </w:pPr>
            <w:r w:rsidRPr="005C3223">
              <w:t>2.</w:t>
            </w:r>
          </w:p>
        </w:tc>
        <w:tc>
          <w:tcPr>
            <w:tcW w:w="1038" w:type="pct"/>
          </w:tcPr>
          <w:p w:rsidR="00AC145B" w:rsidRPr="005C3223" w:rsidRDefault="00AC145B" w:rsidP="003037FE">
            <w:pPr>
              <w:jc w:val="both"/>
            </w:pPr>
            <w:r w:rsidRPr="005C3223">
              <w:t>Sabiedrības līdzdalība projekta izstrādē</w:t>
            </w:r>
          </w:p>
        </w:tc>
        <w:tc>
          <w:tcPr>
            <w:tcW w:w="3659" w:type="pct"/>
          </w:tcPr>
          <w:p w:rsidR="0091351B" w:rsidRPr="005C3223" w:rsidRDefault="0091351B" w:rsidP="007749D9">
            <w:pPr>
              <w:pStyle w:val="naiskr"/>
              <w:spacing w:before="0" w:beforeAutospacing="0" w:after="0" w:afterAutospacing="0"/>
              <w:jc w:val="both"/>
            </w:pPr>
            <w:r>
              <w:t xml:space="preserve">Projekts </w:t>
            </w:r>
            <w:r w:rsidR="003E1031">
              <w:t>2015</w:t>
            </w:r>
            <w:r w:rsidR="006B0790">
              <w:t>.</w:t>
            </w:r>
            <w:r w:rsidR="003E1031">
              <w:t>gada</w:t>
            </w:r>
            <w:r w:rsidR="006B0790">
              <w:t xml:space="preserve"> 4.septem</w:t>
            </w:r>
            <w:r w:rsidR="00C46022">
              <w:t>b</w:t>
            </w:r>
            <w:r w:rsidR="006B0790">
              <w:t xml:space="preserve">rī </w:t>
            </w:r>
            <w:r>
              <w:t>elektroniski</w:t>
            </w:r>
            <w:r w:rsidR="00E043BC">
              <w:t xml:space="preserve"> </w:t>
            </w:r>
            <w:r w:rsidR="006B0790">
              <w:t xml:space="preserve">tika </w:t>
            </w:r>
            <w:r w:rsidR="00A25F9B" w:rsidRPr="005C3223">
              <w:t xml:space="preserve">nosūtīts saskaņošanai </w:t>
            </w:r>
            <w:r w:rsidR="007749D9" w:rsidRPr="007749D9">
              <w:t>biedrībai „Zemnieku Saeima”, Lauksaimniecības organizāciju sadarbības padomei, Latvijas Lauksaimniecības kooperatīvu asociācijai</w:t>
            </w:r>
            <w:r w:rsidR="003B321F">
              <w:t xml:space="preserve"> un</w:t>
            </w:r>
            <w:r w:rsidR="007749D9" w:rsidRPr="007749D9">
              <w:t xml:space="preserve"> biedrībai „Lauksaimniecības tehnikas ražotāju un tirgotāju asociācija”.</w:t>
            </w:r>
          </w:p>
        </w:tc>
      </w:tr>
      <w:tr w:rsidR="005C3223" w:rsidRPr="005C3223" w:rsidTr="0076560C">
        <w:trPr>
          <w:trHeight w:val="279"/>
        </w:trPr>
        <w:tc>
          <w:tcPr>
            <w:tcW w:w="304" w:type="pct"/>
          </w:tcPr>
          <w:p w:rsidR="00AC145B" w:rsidRPr="005C3223" w:rsidRDefault="00AC145B" w:rsidP="003037FE">
            <w:pPr>
              <w:jc w:val="both"/>
            </w:pPr>
            <w:r w:rsidRPr="005C3223">
              <w:t>3.</w:t>
            </w:r>
          </w:p>
        </w:tc>
        <w:tc>
          <w:tcPr>
            <w:tcW w:w="1038" w:type="pct"/>
          </w:tcPr>
          <w:p w:rsidR="00AC145B" w:rsidRPr="005C3223" w:rsidRDefault="00AC145B" w:rsidP="003037FE">
            <w:pPr>
              <w:jc w:val="both"/>
            </w:pPr>
            <w:r w:rsidRPr="005C3223">
              <w:t>Sabiedrības līdzdalības rezultāti</w:t>
            </w:r>
          </w:p>
        </w:tc>
        <w:tc>
          <w:tcPr>
            <w:tcW w:w="3659" w:type="pct"/>
          </w:tcPr>
          <w:p w:rsidR="00FC11EF" w:rsidRPr="005C3223" w:rsidRDefault="006B0790" w:rsidP="00FC11EF">
            <w:pPr>
              <w:pStyle w:val="naiskr"/>
              <w:spacing w:before="0" w:beforeAutospacing="0" w:after="0" w:afterAutospacing="0"/>
              <w:jc w:val="both"/>
            </w:pPr>
            <w:r>
              <w:t>B</w:t>
            </w:r>
            <w:r w:rsidRPr="006B0790">
              <w:t>iedrība „Lauksaimniecības tehnikas ražotāju un tirgotāju asociācija”</w:t>
            </w:r>
            <w:r>
              <w:t xml:space="preserve"> noteikumu projektu saskaņo</w:t>
            </w:r>
            <w:r w:rsidR="00C46022">
              <w:t>ja</w:t>
            </w:r>
            <w:r>
              <w:t xml:space="preserve"> bez iebildumiem. No pārējām nevalstiskajām organizācijām atbildes nav saņemtas. </w:t>
            </w:r>
          </w:p>
        </w:tc>
      </w:tr>
      <w:tr w:rsidR="005C3223" w:rsidRPr="005C3223" w:rsidTr="0076560C">
        <w:trPr>
          <w:trHeight w:val="279"/>
        </w:trPr>
        <w:tc>
          <w:tcPr>
            <w:tcW w:w="304" w:type="pct"/>
          </w:tcPr>
          <w:p w:rsidR="00AC145B" w:rsidRPr="005C3223" w:rsidRDefault="00AC145B" w:rsidP="003037FE">
            <w:pPr>
              <w:jc w:val="both"/>
            </w:pPr>
            <w:r w:rsidRPr="005C3223">
              <w:t>4.</w:t>
            </w:r>
          </w:p>
        </w:tc>
        <w:tc>
          <w:tcPr>
            <w:tcW w:w="1038" w:type="pct"/>
          </w:tcPr>
          <w:p w:rsidR="00AC145B" w:rsidRPr="005C3223" w:rsidRDefault="00AC145B" w:rsidP="003037FE">
            <w:pPr>
              <w:jc w:val="both"/>
            </w:pPr>
            <w:r w:rsidRPr="005C3223">
              <w:t>Cita informācija</w:t>
            </w:r>
          </w:p>
        </w:tc>
        <w:tc>
          <w:tcPr>
            <w:tcW w:w="3659" w:type="pct"/>
          </w:tcPr>
          <w:p w:rsidR="00AC145B" w:rsidRPr="007749D9" w:rsidRDefault="00AC145B" w:rsidP="003037FE">
            <w:pPr>
              <w:jc w:val="both"/>
            </w:pPr>
            <w:r w:rsidRPr="007749D9">
              <w:t>Nav.</w:t>
            </w:r>
          </w:p>
        </w:tc>
      </w:tr>
    </w:tbl>
    <w:p w:rsidR="00AC145B" w:rsidRPr="005C3223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516"/>
        <w:gridCol w:w="5206"/>
      </w:tblGrid>
      <w:tr w:rsidR="005C3223" w:rsidRPr="005C3223" w:rsidTr="0076560C">
        <w:trPr>
          <w:trHeight w:val="279"/>
        </w:trPr>
        <w:tc>
          <w:tcPr>
            <w:tcW w:w="5000" w:type="pct"/>
            <w:gridSpan w:val="3"/>
          </w:tcPr>
          <w:p w:rsidR="00AC145B" w:rsidRPr="005C3223" w:rsidRDefault="00AC145B" w:rsidP="003037FE">
            <w:pPr>
              <w:jc w:val="center"/>
              <w:rPr>
                <w:b/>
              </w:rPr>
            </w:pPr>
            <w:r w:rsidRPr="005C3223">
              <w:rPr>
                <w:b/>
              </w:rPr>
              <w:lastRenderedPageBreak/>
              <w:t>VII. Tiesību akta projekta izpildes nodrošināšana un tās ietekme uz institūcijām</w:t>
            </w:r>
          </w:p>
        </w:tc>
      </w:tr>
      <w:tr w:rsidR="005C3223" w:rsidRPr="005C3223" w:rsidTr="0076560C">
        <w:trPr>
          <w:trHeight w:val="279"/>
        </w:trPr>
        <w:tc>
          <w:tcPr>
            <w:tcW w:w="304" w:type="pct"/>
          </w:tcPr>
          <w:p w:rsidR="00AC145B" w:rsidRPr="005C3223" w:rsidRDefault="00AC145B" w:rsidP="003037FE">
            <w:pPr>
              <w:jc w:val="both"/>
            </w:pPr>
            <w:r w:rsidRPr="005C3223">
              <w:t>1.</w:t>
            </w:r>
          </w:p>
        </w:tc>
        <w:tc>
          <w:tcPr>
            <w:tcW w:w="1893" w:type="pct"/>
          </w:tcPr>
          <w:p w:rsidR="00AC145B" w:rsidRPr="005C3223" w:rsidRDefault="00AC145B" w:rsidP="003037FE">
            <w:pPr>
              <w:jc w:val="both"/>
            </w:pPr>
            <w:r w:rsidRPr="005C3223">
              <w:t>Projekta izpildē iesaistītās institūcijas</w:t>
            </w:r>
          </w:p>
        </w:tc>
        <w:tc>
          <w:tcPr>
            <w:tcW w:w="2803" w:type="pct"/>
          </w:tcPr>
          <w:p w:rsidR="00AC145B" w:rsidRPr="005C3223" w:rsidRDefault="007749D9">
            <w:pPr>
              <w:pStyle w:val="naisnod"/>
              <w:spacing w:before="0" w:after="0"/>
              <w:ind w:right="57"/>
              <w:jc w:val="both"/>
              <w:rPr>
                <w:b/>
              </w:rPr>
            </w:pPr>
            <w:r w:rsidRPr="007749D9">
              <w:t xml:space="preserve">Valsts tehniskās uzraudzības aģentūra un </w:t>
            </w:r>
            <w:r w:rsidR="00C46022">
              <w:t>V</w:t>
            </w:r>
            <w:r w:rsidRPr="007749D9">
              <w:t>SIA „Sertifikācijas un testēšanas centrs”.</w:t>
            </w:r>
          </w:p>
        </w:tc>
      </w:tr>
      <w:tr w:rsidR="005C3223" w:rsidRPr="005C3223" w:rsidTr="0076560C">
        <w:trPr>
          <w:trHeight w:val="279"/>
        </w:trPr>
        <w:tc>
          <w:tcPr>
            <w:tcW w:w="304" w:type="pct"/>
          </w:tcPr>
          <w:p w:rsidR="00AC145B" w:rsidRPr="005C3223" w:rsidRDefault="00AC145B" w:rsidP="003037FE">
            <w:pPr>
              <w:jc w:val="both"/>
            </w:pPr>
            <w:r w:rsidRPr="005C3223">
              <w:t>2.</w:t>
            </w:r>
          </w:p>
        </w:tc>
        <w:tc>
          <w:tcPr>
            <w:tcW w:w="1893" w:type="pct"/>
          </w:tcPr>
          <w:p w:rsidR="00AC145B" w:rsidRPr="005C3223" w:rsidRDefault="00AC145B" w:rsidP="003037FE">
            <w:r w:rsidRPr="005C3223">
              <w:t>Projekta izpildes ietekme uz pārvaldes funkcijām un institucionālo struktūru.</w:t>
            </w:r>
          </w:p>
          <w:p w:rsidR="00AC145B" w:rsidRPr="005C3223" w:rsidRDefault="00AC145B" w:rsidP="003037FE">
            <w:r w:rsidRPr="005C3223">
              <w:t>Jaunu institūciju izveide, esošu institūciju likvidācija vai reorganizācija, to ietekme uz institūcijas cilvēkresursiem</w:t>
            </w:r>
          </w:p>
        </w:tc>
        <w:tc>
          <w:tcPr>
            <w:tcW w:w="2803" w:type="pct"/>
          </w:tcPr>
          <w:p w:rsidR="007921AF" w:rsidRPr="007921AF" w:rsidRDefault="00AC145B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5C3223">
              <w:t>Projekts neietekmē pārvaldes funkcijas. Pr</w:t>
            </w:r>
            <w:r w:rsidR="004F598D">
              <w:t xml:space="preserve">ojekta izpildei nav nepieciešama jaunu institūciju izveide, esošo likvidācija </w:t>
            </w:r>
            <w:r w:rsidR="004F598D" w:rsidRPr="005C3223">
              <w:t xml:space="preserve">vai </w:t>
            </w:r>
            <w:r w:rsidR="004F598D">
              <w:t>reorganizācija</w:t>
            </w:r>
            <w:r w:rsidRPr="005C3223">
              <w:t>.</w:t>
            </w:r>
            <w:r w:rsidR="007921AF">
              <w:t xml:space="preserve"> </w:t>
            </w:r>
            <w:r w:rsidR="007921AF" w:rsidRPr="007921AF">
              <w:t>Noteikumu projekts tiks īstenots esoš</w:t>
            </w:r>
            <w:r w:rsidR="00C46022">
              <w:t>ajās</w:t>
            </w:r>
            <w:r w:rsidR="007921AF" w:rsidRPr="007921AF">
              <w:t xml:space="preserve"> institūcij</w:t>
            </w:r>
            <w:r w:rsidR="00C46022">
              <w:t>ās ar to</w:t>
            </w:r>
            <w:r w:rsidR="007921AF" w:rsidRPr="007921AF">
              <w:t xml:space="preserve"> cilvēkresurs</w:t>
            </w:r>
            <w:r w:rsidR="00C46022">
              <w:t>iem</w:t>
            </w:r>
            <w:r w:rsidR="007921AF" w:rsidRPr="007921AF">
              <w:t>.</w:t>
            </w:r>
          </w:p>
        </w:tc>
      </w:tr>
      <w:tr w:rsidR="005C3223" w:rsidRPr="005C3223" w:rsidTr="0076560C">
        <w:trPr>
          <w:trHeight w:val="279"/>
        </w:trPr>
        <w:tc>
          <w:tcPr>
            <w:tcW w:w="304" w:type="pct"/>
          </w:tcPr>
          <w:p w:rsidR="00AC145B" w:rsidRPr="005C3223" w:rsidRDefault="00AC145B" w:rsidP="003037FE">
            <w:pPr>
              <w:jc w:val="both"/>
            </w:pPr>
            <w:r w:rsidRPr="005C3223">
              <w:t>3.</w:t>
            </w:r>
          </w:p>
        </w:tc>
        <w:tc>
          <w:tcPr>
            <w:tcW w:w="1893" w:type="pct"/>
          </w:tcPr>
          <w:p w:rsidR="00AC145B" w:rsidRPr="005C3223" w:rsidRDefault="00AC145B" w:rsidP="003037FE">
            <w:pPr>
              <w:jc w:val="both"/>
            </w:pPr>
            <w:r w:rsidRPr="005C3223">
              <w:t>Cita informācija</w:t>
            </w:r>
          </w:p>
        </w:tc>
        <w:tc>
          <w:tcPr>
            <w:tcW w:w="2803" w:type="pct"/>
          </w:tcPr>
          <w:p w:rsidR="00AC145B" w:rsidRPr="005C3223" w:rsidRDefault="00AC145B" w:rsidP="00811E1A">
            <w:pPr>
              <w:pStyle w:val="naiskr"/>
              <w:spacing w:before="0" w:after="0"/>
              <w:ind w:left="57" w:right="57"/>
            </w:pPr>
            <w:r w:rsidRPr="005C3223">
              <w:t>Nav.</w:t>
            </w:r>
            <w:r w:rsidR="00811E1A">
              <w:t xml:space="preserve"> </w:t>
            </w:r>
          </w:p>
        </w:tc>
      </w:tr>
    </w:tbl>
    <w:p w:rsidR="00E1791D" w:rsidRPr="0076560C" w:rsidRDefault="00E1791D" w:rsidP="00F37F7E">
      <w:pPr>
        <w:pStyle w:val="naisf"/>
        <w:spacing w:before="0" w:beforeAutospacing="0" w:after="0" w:afterAutospacing="0"/>
        <w:ind w:firstLine="720"/>
        <w:rPr>
          <w:szCs w:val="28"/>
        </w:rPr>
      </w:pPr>
    </w:p>
    <w:p w:rsidR="0076560C" w:rsidRDefault="0076560C" w:rsidP="00F37F7E">
      <w:pPr>
        <w:pStyle w:val="naisf"/>
        <w:spacing w:before="0" w:beforeAutospacing="0" w:after="0" w:afterAutospacing="0"/>
        <w:ind w:firstLine="720"/>
        <w:rPr>
          <w:szCs w:val="28"/>
        </w:rPr>
      </w:pPr>
    </w:p>
    <w:p w:rsidR="00F37F7E" w:rsidRPr="0076560C" w:rsidRDefault="00F37F7E" w:rsidP="008435AB">
      <w:pPr>
        <w:pStyle w:val="naisf"/>
        <w:spacing w:before="0" w:beforeAutospacing="0" w:after="0" w:afterAutospacing="0"/>
        <w:rPr>
          <w:szCs w:val="28"/>
        </w:rPr>
      </w:pPr>
      <w:r w:rsidRPr="0076560C">
        <w:rPr>
          <w:szCs w:val="28"/>
        </w:rPr>
        <w:t>Zemkopības ministr</w:t>
      </w:r>
      <w:r w:rsidR="00E01809" w:rsidRPr="0076560C">
        <w:rPr>
          <w:szCs w:val="28"/>
        </w:rPr>
        <w:t>s</w:t>
      </w:r>
      <w:r w:rsidRPr="0076560C">
        <w:rPr>
          <w:szCs w:val="28"/>
        </w:rPr>
        <w:tab/>
      </w:r>
      <w:r w:rsidRPr="0076560C">
        <w:rPr>
          <w:szCs w:val="28"/>
        </w:rPr>
        <w:tab/>
      </w:r>
      <w:r w:rsidRPr="0076560C">
        <w:rPr>
          <w:szCs w:val="28"/>
        </w:rPr>
        <w:tab/>
      </w:r>
      <w:r w:rsidR="008435AB">
        <w:rPr>
          <w:szCs w:val="28"/>
        </w:rPr>
        <w:tab/>
      </w:r>
      <w:r w:rsidR="008435AB">
        <w:rPr>
          <w:szCs w:val="28"/>
        </w:rPr>
        <w:tab/>
      </w:r>
      <w:r w:rsidR="008435AB">
        <w:rPr>
          <w:szCs w:val="28"/>
        </w:rPr>
        <w:tab/>
      </w:r>
      <w:r w:rsidRPr="0076560C">
        <w:rPr>
          <w:szCs w:val="28"/>
        </w:rPr>
        <w:tab/>
      </w:r>
      <w:r w:rsidR="00E01809" w:rsidRPr="0076560C">
        <w:rPr>
          <w:szCs w:val="28"/>
        </w:rPr>
        <w:tab/>
      </w:r>
      <w:r w:rsidR="00E01809" w:rsidRPr="0076560C">
        <w:rPr>
          <w:szCs w:val="28"/>
        </w:rPr>
        <w:tab/>
        <w:t>J.Dūklavs</w:t>
      </w:r>
    </w:p>
    <w:p w:rsidR="00652543" w:rsidRPr="005C3223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6606B7" w:rsidRDefault="006606B7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</w:p>
    <w:p w:rsidR="006606B7" w:rsidRDefault="006606B7" w:rsidP="0002029A">
      <w:pPr>
        <w:jc w:val="both"/>
        <w:rPr>
          <w:sz w:val="20"/>
          <w:szCs w:val="20"/>
        </w:rPr>
      </w:pPr>
    </w:p>
    <w:p w:rsidR="008435AB" w:rsidRDefault="008435AB" w:rsidP="0002029A">
      <w:pPr>
        <w:jc w:val="both"/>
        <w:rPr>
          <w:sz w:val="20"/>
          <w:szCs w:val="20"/>
        </w:rPr>
      </w:pPr>
      <w:r>
        <w:rPr>
          <w:sz w:val="20"/>
          <w:szCs w:val="20"/>
        </w:rPr>
        <w:t>14.10.2016. 13:17</w:t>
      </w:r>
    </w:p>
    <w:p w:rsidR="008435AB" w:rsidRDefault="008435AB" w:rsidP="0002029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1153</w:t>
      </w:r>
      <w:r>
        <w:rPr>
          <w:sz w:val="20"/>
          <w:szCs w:val="20"/>
        </w:rPr>
        <w:fldChar w:fldCharType="end"/>
      </w:r>
    </w:p>
    <w:p w:rsidR="0002029A" w:rsidRPr="005C3223" w:rsidRDefault="007749D9" w:rsidP="0002029A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</w:t>
      </w:r>
      <w:r w:rsidR="00AD4B66" w:rsidRPr="005C3223">
        <w:rPr>
          <w:sz w:val="20"/>
          <w:szCs w:val="20"/>
        </w:rPr>
        <w:t>.</w:t>
      </w:r>
      <w:r>
        <w:rPr>
          <w:sz w:val="20"/>
          <w:szCs w:val="20"/>
        </w:rPr>
        <w:t>Bumbuls</w:t>
      </w:r>
    </w:p>
    <w:p w:rsidR="0002029A" w:rsidRPr="005C3223" w:rsidRDefault="007749D9" w:rsidP="0002029A">
      <w:pPr>
        <w:jc w:val="both"/>
        <w:rPr>
          <w:sz w:val="20"/>
          <w:szCs w:val="20"/>
        </w:rPr>
      </w:pPr>
      <w:r>
        <w:rPr>
          <w:sz w:val="20"/>
          <w:szCs w:val="20"/>
        </w:rPr>
        <w:t>67027184</w:t>
      </w:r>
      <w:r w:rsidR="00AD4B66" w:rsidRPr="005C3223">
        <w:rPr>
          <w:sz w:val="20"/>
          <w:szCs w:val="20"/>
        </w:rPr>
        <w:t xml:space="preserve">, </w:t>
      </w:r>
      <w:r>
        <w:rPr>
          <w:sz w:val="20"/>
          <w:szCs w:val="20"/>
        </w:rPr>
        <w:t>Adris.Bumbuls</w:t>
      </w:r>
      <w:r w:rsidR="0002029A" w:rsidRPr="005C3223">
        <w:rPr>
          <w:sz w:val="20"/>
          <w:szCs w:val="20"/>
        </w:rPr>
        <w:t>@zm.gov.lv</w:t>
      </w:r>
    </w:p>
    <w:sectPr w:rsidR="0002029A" w:rsidRPr="005C3223" w:rsidSect="008435A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2A" w:rsidRDefault="0058062A" w:rsidP="00F37F7E">
      <w:pPr>
        <w:pStyle w:val="naiskr"/>
      </w:pPr>
      <w:r>
        <w:separator/>
      </w:r>
    </w:p>
  </w:endnote>
  <w:endnote w:type="continuationSeparator" w:id="0">
    <w:p w:rsidR="0058062A" w:rsidRDefault="0058062A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Pr="008435AB" w:rsidRDefault="008435AB" w:rsidP="008435AB">
    <w:pPr>
      <w:pStyle w:val="Kjene"/>
      <w:jc w:val="both"/>
    </w:pPr>
    <w:r w:rsidRPr="008435AB">
      <w:rPr>
        <w:sz w:val="20"/>
        <w:szCs w:val="20"/>
      </w:rPr>
      <w:t>ZMAnot_121016_individ</w:t>
    </w:r>
    <w:r w:rsidRPr="00730B51">
      <w:rPr>
        <w:sz w:val="20"/>
        <w:szCs w:val="20"/>
      </w:rPr>
      <w:t xml:space="preserve">; Ministru kabineta noteikumi „Individuālu lauksaimniecības un mežsaimniecības transportlīdzekļu </w:t>
    </w:r>
    <w:r w:rsidRPr="006B0790">
      <w:rPr>
        <w:sz w:val="20"/>
        <w:szCs w:val="20"/>
      </w:rPr>
      <w:t>atbilstības novērtēšanas</w:t>
    </w:r>
    <w:r w:rsidRPr="008A0717">
      <w:rPr>
        <w:szCs w:val="28"/>
      </w:rPr>
      <w:t xml:space="preserve"> </w:t>
    </w:r>
    <w:r w:rsidRPr="00730B51">
      <w:rPr>
        <w:sz w:val="20"/>
        <w:szCs w:val="20"/>
      </w:rPr>
      <w:t>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C6" w:rsidRPr="00730B51" w:rsidRDefault="008435AB" w:rsidP="008435AB">
    <w:pPr>
      <w:pStyle w:val="Kjene"/>
      <w:jc w:val="both"/>
    </w:pPr>
    <w:r w:rsidRPr="008435AB">
      <w:rPr>
        <w:sz w:val="20"/>
        <w:szCs w:val="20"/>
      </w:rPr>
      <w:t>ZMAnot_121016_individ</w:t>
    </w:r>
    <w:r w:rsidR="00730B51" w:rsidRPr="00730B51">
      <w:rPr>
        <w:sz w:val="20"/>
        <w:szCs w:val="20"/>
      </w:rPr>
      <w:t xml:space="preserve">; Ministru kabineta noteikumi „Individuālu lauksaimniecības un mežsaimniecības transportlīdzekļu </w:t>
    </w:r>
    <w:r w:rsidR="00875B05" w:rsidRPr="006B0790">
      <w:rPr>
        <w:sz w:val="20"/>
        <w:szCs w:val="20"/>
      </w:rPr>
      <w:t>atbilstības novērtēšanas</w:t>
    </w:r>
    <w:r w:rsidR="00875B05" w:rsidRPr="008A0717">
      <w:rPr>
        <w:szCs w:val="28"/>
      </w:rPr>
      <w:t xml:space="preserve"> </w:t>
    </w:r>
    <w:r w:rsidR="00730B51" w:rsidRPr="00730B51">
      <w:rPr>
        <w:sz w:val="20"/>
        <w:szCs w:val="20"/>
      </w:rPr>
      <w:t>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2A" w:rsidRDefault="0058062A" w:rsidP="00F37F7E">
      <w:pPr>
        <w:pStyle w:val="naiskr"/>
      </w:pPr>
      <w:r>
        <w:separator/>
      </w:r>
    </w:p>
  </w:footnote>
  <w:footnote w:type="continuationSeparator" w:id="0">
    <w:p w:rsidR="0058062A" w:rsidRDefault="0058062A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BF7B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435AB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4426BB"/>
    <w:multiLevelType w:val="hybridMultilevel"/>
    <w:tmpl w:val="166C9A4A"/>
    <w:lvl w:ilvl="0" w:tplc="0426000F">
      <w:start w:val="1"/>
      <w:numFmt w:val="decimal"/>
      <w:lvlText w:val="%1."/>
      <w:lvlJc w:val="left"/>
      <w:pPr>
        <w:ind w:left="1119" w:hanging="360"/>
      </w:p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55642919"/>
    <w:multiLevelType w:val="hybridMultilevel"/>
    <w:tmpl w:val="D27C7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4DA"/>
    <w:multiLevelType w:val="hybridMultilevel"/>
    <w:tmpl w:val="0A48CFE2"/>
    <w:lvl w:ilvl="0" w:tplc="04260011">
      <w:start w:val="1"/>
      <w:numFmt w:val="decimal"/>
      <w:lvlText w:val="%1)"/>
      <w:lvlJc w:val="left"/>
      <w:pPr>
        <w:ind w:left="1119" w:hanging="360"/>
      </w:pPr>
    </w:lvl>
    <w:lvl w:ilvl="1" w:tplc="04260019" w:tentative="1">
      <w:start w:val="1"/>
      <w:numFmt w:val="lowerLetter"/>
      <w:lvlText w:val="%2."/>
      <w:lvlJc w:val="left"/>
      <w:pPr>
        <w:ind w:left="1839" w:hanging="360"/>
      </w:pPr>
    </w:lvl>
    <w:lvl w:ilvl="2" w:tplc="0426001B" w:tentative="1">
      <w:start w:val="1"/>
      <w:numFmt w:val="lowerRoman"/>
      <w:lvlText w:val="%3."/>
      <w:lvlJc w:val="right"/>
      <w:pPr>
        <w:ind w:left="2559" w:hanging="180"/>
      </w:pPr>
    </w:lvl>
    <w:lvl w:ilvl="3" w:tplc="0426000F" w:tentative="1">
      <w:start w:val="1"/>
      <w:numFmt w:val="decimal"/>
      <w:lvlText w:val="%4."/>
      <w:lvlJc w:val="left"/>
      <w:pPr>
        <w:ind w:left="3279" w:hanging="360"/>
      </w:pPr>
    </w:lvl>
    <w:lvl w:ilvl="4" w:tplc="04260019" w:tentative="1">
      <w:start w:val="1"/>
      <w:numFmt w:val="lowerLetter"/>
      <w:lvlText w:val="%5."/>
      <w:lvlJc w:val="left"/>
      <w:pPr>
        <w:ind w:left="3999" w:hanging="360"/>
      </w:pPr>
    </w:lvl>
    <w:lvl w:ilvl="5" w:tplc="0426001B" w:tentative="1">
      <w:start w:val="1"/>
      <w:numFmt w:val="lowerRoman"/>
      <w:lvlText w:val="%6."/>
      <w:lvlJc w:val="right"/>
      <w:pPr>
        <w:ind w:left="4719" w:hanging="180"/>
      </w:pPr>
    </w:lvl>
    <w:lvl w:ilvl="6" w:tplc="0426000F" w:tentative="1">
      <w:start w:val="1"/>
      <w:numFmt w:val="decimal"/>
      <w:lvlText w:val="%7."/>
      <w:lvlJc w:val="left"/>
      <w:pPr>
        <w:ind w:left="5439" w:hanging="360"/>
      </w:pPr>
    </w:lvl>
    <w:lvl w:ilvl="7" w:tplc="04260019" w:tentative="1">
      <w:start w:val="1"/>
      <w:numFmt w:val="lowerLetter"/>
      <w:lvlText w:val="%8."/>
      <w:lvlJc w:val="left"/>
      <w:pPr>
        <w:ind w:left="6159" w:hanging="360"/>
      </w:pPr>
    </w:lvl>
    <w:lvl w:ilvl="8" w:tplc="0426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C09E1"/>
    <w:multiLevelType w:val="hybridMultilevel"/>
    <w:tmpl w:val="1C6C9A4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B263A"/>
    <w:multiLevelType w:val="hybridMultilevel"/>
    <w:tmpl w:val="76C255A2"/>
    <w:lvl w:ilvl="0" w:tplc="746CB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7E"/>
    <w:rsid w:val="000004CF"/>
    <w:rsid w:val="00002015"/>
    <w:rsid w:val="00015974"/>
    <w:rsid w:val="000160EE"/>
    <w:rsid w:val="00017851"/>
    <w:rsid w:val="0002029A"/>
    <w:rsid w:val="000242CD"/>
    <w:rsid w:val="00024B0B"/>
    <w:rsid w:val="000273EA"/>
    <w:rsid w:val="000319E9"/>
    <w:rsid w:val="00035219"/>
    <w:rsid w:val="000378F3"/>
    <w:rsid w:val="00037F77"/>
    <w:rsid w:val="00041376"/>
    <w:rsid w:val="00043064"/>
    <w:rsid w:val="000445E1"/>
    <w:rsid w:val="000500AE"/>
    <w:rsid w:val="00051187"/>
    <w:rsid w:val="0005143B"/>
    <w:rsid w:val="00054006"/>
    <w:rsid w:val="00055CF3"/>
    <w:rsid w:val="00056F5F"/>
    <w:rsid w:val="00065E62"/>
    <w:rsid w:val="00067A11"/>
    <w:rsid w:val="00070FEB"/>
    <w:rsid w:val="000713AA"/>
    <w:rsid w:val="00074178"/>
    <w:rsid w:val="000813CF"/>
    <w:rsid w:val="0008641C"/>
    <w:rsid w:val="00093DC3"/>
    <w:rsid w:val="00094946"/>
    <w:rsid w:val="000957DB"/>
    <w:rsid w:val="00096666"/>
    <w:rsid w:val="000A230B"/>
    <w:rsid w:val="000A56E5"/>
    <w:rsid w:val="000B2338"/>
    <w:rsid w:val="000C1F1C"/>
    <w:rsid w:val="000C4826"/>
    <w:rsid w:val="000C5E19"/>
    <w:rsid w:val="000C6049"/>
    <w:rsid w:val="000C711D"/>
    <w:rsid w:val="000C79E8"/>
    <w:rsid w:val="000D40C0"/>
    <w:rsid w:val="000D5249"/>
    <w:rsid w:val="000D7729"/>
    <w:rsid w:val="000D7FA2"/>
    <w:rsid w:val="000E10EC"/>
    <w:rsid w:val="000F4B00"/>
    <w:rsid w:val="000F4ED4"/>
    <w:rsid w:val="00100684"/>
    <w:rsid w:val="0010345D"/>
    <w:rsid w:val="001039CA"/>
    <w:rsid w:val="00111DC0"/>
    <w:rsid w:val="00112881"/>
    <w:rsid w:val="00112DF5"/>
    <w:rsid w:val="0011697F"/>
    <w:rsid w:val="0012150C"/>
    <w:rsid w:val="00124ACB"/>
    <w:rsid w:val="00126A8D"/>
    <w:rsid w:val="00127E82"/>
    <w:rsid w:val="001321D5"/>
    <w:rsid w:val="00135F2B"/>
    <w:rsid w:val="001370F1"/>
    <w:rsid w:val="00143CB1"/>
    <w:rsid w:val="00145E1F"/>
    <w:rsid w:val="00147420"/>
    <w:rsid w:val="00152B50"/>
    <w:rsid w:val="00153834"/>
    <w:rsid w:val="00154C41"/>
    <w:rsid w:val="00154FA1"/>
    <w:rsid w:val="00155DDA"/>
    <w:rsid w:val="001611DB"/>
    <w:rsid w:val="00172BC0"/>
    <w:rsid w:val="00174BD8"/>
    <w:rsid w:val="00177CA8"/>
    <w:rsid w:val="001814E3"/>
    <w:rsid w:val="00181867"/>
    <w:rsid w:val="00185A1F"/>
    <w:rsid w:val="00185D15"/>
    <w:rsid w:val="00186CB1"/>
    <w:rsid w:val="00187944"/>
    <w:rsid w:val="00191CC1"/>
    <w:rsid w:val="001928BE"/>
    <w:rsid w:val="00193A34"/>
    <w:rsid w:val="00193C93"/>
    <w:rsid w:val="00193E2C"/>
    <w:rsid w:val="00194198"/>
    <w:rsid w:val="001A1C90"/>
    <w:rsid w:val="001A284C"/>
    <w:rsid w:val="001A7D16"/>
    <w:rsid w:val="001B6383"/>
    <w:rsid w:val="001B644E"/>
    <w:rsid w:val="001C0BDB"/>
    <w:rsid w:val="001C3321"/>
    <w:rsid w:val="001C600D"/>
    <w:rsid w:val="001D3AC6"/>
    <w:rsid w:val="001E0876"/>
    <w:rsid w:val="001E1059"/>
    <w:rsid w:val="001E133E"/>
    <w:rsid w:val="001E4DEC"/>
    <w:rsid w:val="001E68D0"/>
    <w:rsid w:val="001E6C66"/>
    <w:rsid w:val="001E71C9"/>
    <w:rsid w:val="001F6EB8"/>
    <w:rsid w:val="002100B3"/>
    <w:rsid w:val="002124B5"/>
    <w:rsid w:val="00214D08"/>
    <w:rsid w:val="0022456A"/>
    <w:rsid w:val="00227F59"/>
    <w:rsid w:val="002305A0"/>
    <w:rsid w:val="00232F1A"/>
    <w:rsid w:val="00237909"/>
    <w:rsid w:val="00243D1D"/>
    <w:rsid w:val="00247600"/>
    <w:rsid w:val="002513DF"/>
    <w:rsid w:val="00252057"/>
    <w:rsid w:val="00257B87"/>
    <w:rsid w:val="00260221"/>
    <w:rsid w:val="002606DD"/>
    <w:rsid w:val="00264CFE"/>
    <w:rsid w:val="00266247"/>
    <w:rsid w:val="00266734"/>
    <w:rsid w:val="00267A4A"/>
    <w:rsid w:val="00277C39"/>
    <w:rsid w:val="00284E0B"/>
    <w:rsid w:val="00286B98"/>
    <w:rsid w:val="00286BE2"/>
    <w:rsid w:val="0028776A"/>
    <w:rsid w:val="002A69AC"/>
    <w:rsid w:val="002B092E"/>
    <w:rsid w:val="002B13BA"/>
    <w:rsid w:val="002B1522"/>
    <w:rsid w:val="002B436C"/>
    <w:rsid w:val="002B4887"/>
    <w:rsid w:val="002C2186"/>
    <w:rsid w:val="002C5FF8"/>
    <w:rsid w:val="002C60C7"/>
    <w:rsid w:val="002D0EFF"/>
    <w:rsid w:val="002D3117"/>
    <w:rsid w:val="002D429F"/>
    <w:rsid w:val="002D50B7"/>
    <w:rsid w:val="002E15E4"/>
    <w:rsid w:val="002E6873"/>
    <w:rsid w:val="002E69C0"/>
    <w:rsid w:val="002F2D08"/>
    <w:rsid w:val="002F38DB"/>
    <w:rsid w:val="002F6A27"/>
    <w:rsid w:val="002F739C"/>
    <w:rsid w:val="00301471"/>
    <w:rsid w:val="0030353C"/>
    <w:rsid w:val="003037FE"/>
    <w:rsid w:val="00313B3C"/>
    <w:rsid w:val="003157FC"/>
    <w:rsid w:val="0032112A"/>
    <w:rsid w:val="003257A4"/>
    <w:rsid w:val="00325A33"/>
    <w:rsid w:val="003274E7"/>
    <w:rsid w:val="0033095C"/>
    <w:rsid w:val="00331279"/>
    <w:rsid w:val="00342823"/>
    <w:rsid w:val="00347B64"/>
    <w:rsid w:val="00350004"/>
    <w:rsid w:val="00351991"/>
    <w:rsid w:val="00354D7D"/>
    <w:rsid w:val="00355D4F"/>
    <w:rsid w:val="0035610E"/>
    <w:rsid w:val="00360B91"/>
    <w:rsid w:val="003610A7"/>
    <w:rsid w:val="00362A82"/>
    <w:rsid w:val="00363DF8"/>
    <w:rsid w:val="00370A38"/>
    <w:rsid w:val="00371A65"/>
    <w:rsid w:val="00374754"/>
    <w:rsid w:val="003752C7"/>
    <w:rsid w:val="003755BC"/>
    <w:rsid w:val="00380832"/>
    <w:rsid w:val="003831C3"/>
    <w:rsid w:val="00391F7B"/>
    <w:rsid w:val="00393207"/>
    <w:rsid w:val="00393F06"/>
    <w:rsid w:val="0039523C"/>
    <w:rsid w:val="003A4096"/>
    <w:rsid w:val="003B2B59"/>
    <w:rsid w:val="003B321F"/>
    <w:rsid w:val="003B637B"/>
    <w:rsid w:val="003B7A18"/>
    <w:rsid w:val="003C1680"/>
    <w:rsid w:val="003C257A"/>
    <w:rsid w:val="003C2A47"/>
    <w:rsid w:val="003C3622"/>
    <w:rsid w:val="003C6AD2"/>
    <w:rsid w:val="003C7411"/>
    <w:rsid w:val="003D279C"/>
    <w:rsid w:val="003D3A27"/>
    <w:rsid w:val="003D4E3F"/>
    <w:rsid w:val="003E1031"/>
    <w:rsid w:val="003E413C"/>
    <w:rsid w:val="003F001C"/>
    <w:rsid w:val="003F4081"/>
    <w:rsid w:val="003F753E"/>
    <w:rsid w:val="00400503"/>
    <w:rsid w:val="00403858"/>
    <w:rsid w:val="00405D73"/>
    <w:rsid w:val="00406B8C"/>
    <w:rsid w:val="004121C8"/>
    <w:rsid w:val="00412F9C"/>
    <w:rsid w:val="00414B20"/>
    <w:rsid w:val="00415B80"/>
    <w:rsid w:val="00417A1B"/>
    <w:rsid w:val="00421391"/>
    <w:rsid w:val="00422AF6"/>
    <w:rsid w:val="00425E4D"/>
    <w:rsid w:val="0043328A"/>
    <w:rsid w:val="00433DA8"/>
    <w:rsid w:val="004357CE"/>
    <w:rsid w:val="00441E23"/>
    <w:rsid w:val="00444A7D"/>
    <w:rsid w:val="004464F7"/>
    <w:rsid w:val="0044738A"/>
    <w:rsid w:val="004511D3"/>
    <w:rsid w:val="004547A9"/>
    <w:rsid w:val="0045719F"/>
    <w:rsid w:val="00462078"/>
    <w:rsid w:val="004632CD"/>
    <w:rsid w:val="004639C0"/>
    <w:rsid w:val="00465A58"/>
    <w:rsid w:val="004662B4"/>
    <w:rsid w:val="00466CF9"/>
    <w:rsid w:val="004679FF"/>
    <w:rsid w:val="00467C61"/>
    <w:rsid w:val="004708A3"/>
    <w:rsid w:val="0047491E"/>
    <w:rsid w:val="00482A25"/>
    <w:rsid w:val="004839C9"/>
    <w:rsid w:val="00490C8E"/>
    <w:rsid w:val="00495A25"/>
    <w:rsid w:val="004966B8"/>
    <w:rsid w:val="004A0EAB"/>
    <w:rsid w:val="004A6C18"/>
    <w:rsid w:val="004A708B"/>
    <w:rsid w:val="004B0271"/>
    <w:rsid w:val="004B0658"/>
    <w:rsid w:val="004B28A8"/>
    <w:rsid w:val="004B5C4E"/>
    <w:rsid w:val="004C0ED0"/>
    <w:rsid w:val="004C4BC8"/>
    <w:rsid w:val="004C7C32"/>
    <w:rsid w:val="004D2D02"/>
    <w:rsid w:val="004D4F42"/>
    <w:rsid w:val="004D579E"/>
    <w:rsid w:val="004D64BE"/>
    <w:rsid w:val="004E1569"/>
    <w:rsid w:val="004E15D1"/>
    <w:rsid w:val="004E27D5"/>
    <w:rsid w:val="004E3F6C"/>
    <w:rsid w:val="004F2E8D"/>
    <w:rsid w:val="004F598D"/>
    <w:rsid w:val="004F7B57"/>
    <w:rsid w:val="005047D3"/>
    <w:rsid w:val="0051286A"/>
    <w:rsid w:val="00513790"/>
    <w:rsid w:val="00514AED"/>
    <w:rsid w:val="00521C34"/>
    <w:rsid w:val="005251F3"/>
    <w:rsid w:val="0053410B"/>
    <w:rsid w:val="00534332"/>
    <w:rsid w:val="00536003"/>
    <w:rsid w:val="00537386"/>
    <w:rsid w:val="005376CA"/>
    <w:rsid w:val="0054083D"/>
    <w:rsid w:val="0054677F"/>
    <w:rsid w:val="005545C2"/>
    <w:rsid w:val="00556D60"/>
    <w:rsid w:val="0056210B"/>
    <w:rsid w:val="00563A77"/>
    <w:rsid w:val="005660EB"/>
    <w:rsid w:val="0057117B"/>
    <w:rsid w:val="0057123F"/>
    <w:rsid w:val="00572009"/>
    <w:rsid w:val="0057499C"/>
    <w:rsid w:val="0058062A"/>
    <w:rsid w:val="005827E6"/>
    <w:rsid w:val="00583239"/>
    <w:rsid w:val="00584D39"/>
    <w:rsid w:val="00590F7E"/>
    <w:rsid w:val="0059419D"/>
    <w:rsid w:val="00595851"/>
    <w:rsid w:val="00596043"/>
    <w:rsid w:val="005A5CF6"/>
    <w:rsid w:val="005A76A3"/>
    <w:rsid w:val="005A771C"/>
    <w:rsid w:val="005C045F"/>
    <w:rsid w:val="005C2316"/>
    <w:rsid w:val="005C3223"/>
    <w:rsid w:val="005C37B4"/>
    <w:rsid w:val="005D0F57"/>
    <w:rsid w:val="005D16B1"/>
    <w:rsid w:val="005D3D68"/>
    <w:rsid w:val="005D782F"/>
    <w:rsid w:val="005E7BCB"/>
    <w:rsid w:val="005F28C6"/>
    <w:rsid w:val="005F49F6"/>
    <w:rsid w:val="00601219"/>
    <w:rsid w:val="006056ED"/>
    <w:rsid w:val="0060636F"/>
    <w:rsid w:val="0060673F"/>
    <w:rsid w:val="0060692B"/>
    <w:rsid w:val="0060708E"/>
    <w:rsid w:val="0060719D"/>
    <w:rsid w:val="0061217E"/>
    <w:rsid w:val="00612ED0"/>
    <w:rsid w:val="00620D0D"/>
    <w:rsid w:val="00620DC4"/>
    <w:rsid w:val="006257A6"/>
    <w:rsid w:val="006266E3"/>
    <w:rsid w:val="006313A4"/>
    <w:rsid w:val="006368D6"/>
    <w:rsid w:val="00640AA9"/>
    <w:rsid w:val="00643797"/>
    <w:rsid w:val="0065138F"/>
    <w:rsid w:val="00652105"/>
    <w:rsid w:val="00652543"/>
    <w:rsid w:val="00654CED"/>
    <w:rsid w:val="00656C9A"/>
    <w:rsid w:val="006602BB"/>
    <w:rsid w:val="006606B7"/>
    <w:rsid w:val="00665362"/>
    <w:rsid w:val="006663BB"/>
    <w:rsid w:val="0066773A"/>
    <w:rsid w:val="00667A13"/>
    <w:rsid w:val="006714C5"/>
    <w:rsid w:val="0067366E"/>
    <w:rsid w:val="00675CCE"/>
    <w:rsid w:val="006760F2"/>
    <w:rsid w:val="006820E7"/>
    <w:rsid w:val="00685243"/>
    <w:rsid w:val="006867F0"/>
    <w:rsid w:val="00697AF8"/>
    <w:rsid w:val="006A344D"/>
    <w:rsid w:val="006B0790"/>
    <w:rsid w:val="006B07C9"/>
    <w:rsid w:val="006B33B5"/>
    <w:rsid w:val="006C17D2"/>
    <w:rsid w:val="006D7C44"/>
    <w:rsid w:val="006E0C24"/>
    <w:rsid w:val="006F122E"/>
    <w:rsid w:val="006F2E6E"/>
    <w:rsid w:val="006F69AA"/>
    <w:rsid w:val="007018E2"/>
    <w:rsid w:val="00702355"/>
    <w:rsid w:val="007028B5"/>
    <w:rsid w:val="00705B6F"/>
    <w:rsid w:val="00707AB8"/>
    <w:rsid w:val="0071167F"/>
    <w:rsid w:val="0071337A"/>
    <w:rsid w:val="00713450"/>
    <w:rsid w:val="00713A7C"/>
    <w:rsid w:val="0071757F"/>
    <w:rsid w:val="00717734"/>
    <w:rsid w:val="00717F6E"/>
    <w:rsid w:val="00720F8D"/>
    <w:rsid w:val="00721B97"/>
    <w:rsid w:val="00721C51"/>
    <w:rsid w:val="00721E49"/>
    <w:rsid w:val="00725FCD"/>
    <w:rsid w:val="00727844"/>
    <w:rsid w:val="007300EF"/>
    <w:rsid w:val="00730B51"/>
    <w:rsid w:val="00733095"/>
    <w:rsid w:val="00736CD7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560C"/>
    <w:rsid w:val="00765966"/>
    <w:rsid w:val="00771A30"/>
    <w:rsid w:val="00771FAC"/>
    <w:rsid w:val="0077256F"/>
    <w:rsid w:val="00773DA1"/>
    <w:rsid w:val="007749D9"/>
    <w:rsid w:val="00774DF7"/>
    <w:rsid w:val="00776413"/>
    <w:rsid w:val="00776B2C"/>
    <w:rsid w:val="00781A15"/>
    <w:rsid w:val="00786F82"/>
    <w:rsid w:val="00791D65"/>
    <w:rsid w:val="00791E9E"/>
    <w:rsid w:val="007921AF"/>
    <w:rsid w:val="0079264F"/>
    <w:rsid w:val="007926A0"/>
    <w:rsid w:val="00793143"/>
    <w:rsid w:val="00794BF1"/>
    <w:rsid w:val="007A180B"/>
    <w:rsid w:val="007A71A2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44A6"/>
    <w:rsid w:val="007D4B81"/>
    <w:rsid w:val="007E2460"/>
    <w:rsid w:val="007E7FB5"/>
    <w:rsid w:val="007F1BBB"/>
    <w:rsid w:val="007F4ED1"/>
    <w:rsid w:val="00805705"/>
    <w:rsid w:val="00806EBD"/>
    <w:rsid w:val="00811225"/>
    <w:rsid w:val="00811E1A"/>
    <w:rsid w:val="008145F9"/>
    <w:rsid w:val="00817A87"/>
    <w:rsid w:val="00820FE9"/>
    <w:rsid w:val="00821E5D"/>
    <w:rsid w:val="00824538"/>
    <w:rsid w:val="0082520D"/>
    <w:rsid w:val="0083086E"/>
    <w:rsid w:val="00834142"/>
    <w:rsid w:val="008364B2"/>
    <w:rsid w:val="008370B1"/>
    <w:rsid w:val="00843508"/>
    <w:rsid w:val="008435AB"/>
    <w:rsid w:val="00845907"/>
    <w:rsid w:val="00845BDC"/>
    <w:rsid w:val="0084701F"/>
    <w:rsid w:val="008471F4"/>
    <w:rsid w:val="00852C45"/>
    <w:rsid w:val="00853192"/>
    <w:rsid w:val="008561EF"/>
    <w:rsid w:val="00861D12"/>
    <w:rsid w:val="00863976"/>
    <w:rsid w:val="00864EA6"/>
    <w:rsid w:val="00865B57"/>
    <w:rsid w:val="00870567"/>
    <w:rsid w:val="00872C23"/>
    <w:rsid w:val="008740F9"/>
    <w:rsid w:val="00875B05"/>
    <w:rsid w:val="00880EF6"/>
    <w:rsid w:val="0088329E"/>
    <w:rsid w:val="00884A8B"/>
    <w:rsid w:val="00887B5B"/>
    <w:rsid w:val="00887D2F"/>
    <w:rsid w:val="008907B2"/>
    <w:rsid w:val="00891CE4"/>
    <w:rsid w:val="00894BA2"/>
    <w:rsid w:val="00895763"/>
    <w:rsid w:val="008A0717"/>
    <w:rsid w:val="008A5E04"/>
    <w:rsid w:val="008A7D5D"/>
    <w:rsid w:val="008B00E7"/>
    <w:rsid w:val="008B094F"/>
    <w:rsid w:val="008B43A5"/>
    <w:rsid w:val="008B63FA"/>
    <w:rsid w:val="008C3213"/>
    <w:rsid w:val="008C65C8"/>
    <w:rsid w:val="008D0074"/>
    <w:rsid w:val="008D23D3"/>
    <w:rsid w:val="008D2811"/>
    <w:rsid w:val="008D3BCB"/>
    <w:rsid w:val="008E33DE"/>
    <w:rsid w:val="008E4D95"/>
    <w:rsid w:val="008E77E8"/>
    <w:rsid w:val="008F28C0"/>
    <w:rsid w:val="008F7874"/>
    <w:rsid w:val="00900BC9"/>
    <w:rsid w:val="00904922"/>
    <w:rsid w:val="0091351B"/>
    <w:rsid w:val="00915FF3"/>
    <w:rsid w:val="00916202"/>
    <w:rsid w:val="00916CBE"/>
    <w:rsid w:val="00923C24"/>
    <w:rsid w:val="009274D2"/>
    <w:rsid w:val="00930EA9"/>
    <w:rsid w:val="009434A2"/>
    <w:rsid w:val="00945674"/>
    <w:rsid w:val="0095006B"/>
    <w:rsid w:val="009507A3"/>
    <w:rsid w:val="009527B3"/>
    <w:rsid w:val="0095373F"/>
    <w:rsid w:val="00954537"/>
    <w:rsid w:val="00956C17"/>
    <w:rsid w:val="009628DA"/>
    <w:rsid w:val="00964DAF"/>
    <w:rsid w:val="009665A9"/>
    <w:rsid w:val="00966CB8"/>
    <w:rsid w:val="00970CBF"/>
    <w:rsid w:val="00972058"/>
    <w:rsid w:val="00973CED"/>
    <w:rsid w:val="00984A7D"/>
    <w:rsid w:val="00984CB2"/>
    <w:rsid w:val="009A177C"/>
    <w:rsid w:val="009B1042"/>
    <w:rsid w:val="009B26A9"/>
    <w:rsid w:val="009B2D95"/>
    <w:rsid w:val="009C001B"/>
    <w:rsid w:val="009C13CC"/>
    <w:rsid w:val="009C2867"/>
    <w:rsid w:val="009C58CE"/>
    <w:rsid w:val="009C67AF"/>
    <w:rsid w:val="009D4048"/>
    <w:rsid w:val="009D40D0"/>
    <w:rsid w:val="009D5905"/>
    <w:rsid w:val="009D70DE"/>
    <w:rsid w:val="009E05E4"/>
    <w:rsid w:val="009E112D"/>
    <w:rsid w:val="009E41F0"/>
    <w:rsid w:val="009E5F04"/>
    <w:rsid w:val="009F2252"/>
    <w:rsid w:val="009F2EA3"/>
    <w:rsid w:val="009F3E52"/>
    <w:rsid w:val="009F72AE"/>
    <w:rsid w:val="009F7DE0"/>
    <w:rsid w:val="00A00570"/>
    <w:rsid w:val="00A164A1"/>
    <w:rsid w:val="00A16E36"/>
    <w:rsid w:val="00A179F9"/>
    <w:rsid w:val="00A21F1F"/>
    <w:rsid w:val="00A239E6"/>
    <w:rsid w:val="00A23E0B"/>
    <w:rsid w:val="00A25F9B"/>
    <w:rsid w:val="00A30F4A"/>
    <w:rsid w:val="00A36C8C"/>
    <w:rsid w:val="00A37789"/>
    <w:rsid w:val="00A40267"/>
    <w:rsid w:val="00A42620"/>
    <w:rsid w:val="00A42FA4"/>
    <w:rsid w:val="00A50377"/>
    <w:rsid w:val="00A51C96"/>
    <w:rsid w:val="00A52300"/>
    <w:rsid w:val="00A53E68"/>
    <w:rsid w:val="00A54E08"/>
    <w:rsid w:val="00A559EF"/>
    <w:rsid w:val="00A6000F"/>
    <w:rsid w:val="00A61D9B"/>
    <w:rsid w:val="00A65C5A"/>
    <w:rsid w:val="00A6741E"/>
    <w:rsid w:val="00A708ED"/>
    <w:rsid w:val="00A7248A"/>
    <w:rsid w:val="00A75DEB"/>
    <w:rsid w:val="00A765C4"/>
    <w:rsid w:val="00A8230E"/>
    <w:rsid w:val="00A82E8C"/>
    <w:rsid w:val="00A8542D"/>
    <w:rsid w:val="00A8754B"/>
    <w:rsid w:val="00A8786D"/>
    <w:rsid w:val="00A93194"/>
    <w:rsid w:val="00AA3732"/>
    <w:rsid w:val="00AA61DA"/>
    <w:rsid w:val="00AA6478"/>
    <w:rsid w:val="00AB0041"/>
    <w:rsid w:val="00AB04E5"/>
    <w:rsid w:val="00AB170E"/>
    <w:rsid w:val="00AB350B"/>
    <w:rsid w:val="00AB416C"/>
    <w:rsid w:val="00AB596F"/>
    <w:rsid w:val="00AC145B"/>
    <w:rsid w:val="00AD22C0"/>
    <w:rsid w:val="00AD4B66"/>
    <w:rsid w:val="00AD645F"/>
    <w:rsid w:val="00AE5565"/>
    <w:rsid w:val="00AE7059"/>
    <w:rsid w:val="00AF0810"/>
    <w:rsid w:val="00AF7945"/>
    <w:rsid w:val="00B01A2B"/>
    <w:rsid w:val="00B02CCF"/>
    <w:rsid w:val="00B05C53"/>
    <w:rsid w:val="00B11677"/>
    <w:rsid w:val="00B1481C"/>
    <w:rsid w:val="00B2596F"/>
    <w:rsid w:val="00B27F81"/>
    <w:rsid w:val="00B32B11"/>
    <w:rsid w:val="00B3458F"/>
    <w:rsid w:val="00B35402"/>
    <w:rsid w:val="00B37009"/>
    <w:rsid w:val="00B42584"/>
    <w:rsid w:val="00B42FE7"/>
    <w:rsid w:val="00B46B32"/>
    <w:rsid w:val="00B47A4D"/>
    <w:rsid w:val="00B52182"/>
    <w:rsid w:val="00B53809"/>
    <w:rsid w:val="00B56189"/>
    <w:rsid w:val="00B60F97"/>
    <w:rsid w:val="00B64078"/>
    <w:rsid w:val="00B64D11"/>
    <w:rsid w:val="00B67AC5"/>
    <w:rsid w:val="00B7046A"/>
    <w:rsid w:val="00B74565"/>
    <w:rsid w:val="00B7692E"/>
    <w:rsid w:val="00B76D1A"/>
    <w:rsid w:val="00B77D24"/>
    <w:rsid w:val="00B81F83"/>
    <w:rsid w:val="00B84A56"/>
    <w:rsid w:val="00B84F1C"/>
    <w:rsid w:val="00B87CD9"/>
    <w:rsid w:val="00B94A6C"/>
    <w:rsid w:val="00B95D4D"/>
    <w:rsid w:val="00B97126"/>
    <w:rsid w:val="00BA043A"/>
    <w:rsid w:val="00BA0943"/>
    <w:rsid w:val="00BA7BBE"/>
    <w:rsid w:val="00BB0BC4"/>
    <w:rsid w:val="00BB7716"/>
    <w:rsid w:val="00BC56DD"/>
    <w:rsid w:val="00BD5673"/>
    <w:rsid w:val="00BD74DA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7B52"/>
    <w:rsid w:val="00C038B5"/>
    <w:rsid w:val="00C10018"/>
    <w:rsid w:val="00C11675"/>
    <w:rsid w:val="00C11ED9"/>
    <w:rsid w:val="00C1471C"/>
    <w:rsid w:val="00C16F97"/>
    <w:rsid w:val="00C245C2"/>
    <w:rsid w:val="00C26A14"/>
    <w:rsid w:val="00C31017"/>
    <w:rsid w:val="00C36B8C"/>
    <w:rsid w:val="00C44519"/>
    <w:rsid w:val="00C44FE4"/>
    <w:rsid w:val="00C46022"/>
    <w:rsid w:val="00C573AC"/>
    <w:rsid w:val="00C609A3"/>
    <w:rsid w:val="00C6178F"/>
    <w:rsid w:val="00C61BE0"/>
    <w:rsid w:val="00C64B59"/>
    <w:rsid w:val="00C71503"/>
    <w:rsid w:val="00C71EFB"/>
    <w:rsid w:val="00C74EA5"/>
    <w:rsid w:val="00C7549F"/>
    <w:rsid w:val="00C762F7"/>
    <w:rsid w:val="00C82175"/>
    <w:rsid w:val="00C846EC"/>
    <w:rsid w:val="00C8499C"/>
    <w:rsid w:val="00C84FE9"/>
    <w:rsid w:val="00CA2D36"/>
    <w:rsid w:val="00CB24F9"/>
    <w:rsid w:val="00CC3C39"/>
    <w:rsid w:val="00CC54B7"/>
    <w:rsid w:val="00CD278A"/>
    <w:rsid w:val="00CD2CF8"/>
    <w:rsid w:val="00CD40FD"/>
    <w:rsid w:val="00CD4416"/>
    <w:rsid w:val="00CD47C9"/>
    <w:rsid w:val="00CD5FD7"/>
    <w:rsid w:val="00CE2C5E"/>
    <w:rsid w:val="00CE3E6C"/>
    <w:rsid w:val="00CE701B"/>
    <w:rsid w:val="00CE72CC"/>
    <w:rsid w:val="00CF045E"/>
    <w:rsid w:val="00CF229C"/>
    <w:rsid w:val="00CF2B44"/>
    <w:rsid w:val="00CF326A"/>
    <w:rsid w:val="00CF5FA3"/>
    <w:rsid w:val="00CF7A2C"/>
    <w:rsid w:val="00D007D7"/>
    <w:rsid w:val="00D051D7"/>
    <w:rsid w:val="00D112F5"/>
    <w:rsid w:val="00D16DBA"/>
    <w:rsid w:val="00D17C53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7B91"/>
    <w:rsid w:val="00D80A54"/>
    <w:rsid w:val="00D80CFE"/>
    <w:rsid w:val="00D81591"/>
    <w:rsid w:val="00D90759"/>
    <w:rsid w:val="00D927BB"/>
    <w:rsid w:val="00D9756C"/>
    <w:rsid w:val="00DA00B0"/>
    <w:rsid w:val="00DA06A2"/>
    <w:rsid w:val="00DA0E46"/>
    <w:rsid w:val="00DA304A"/>
    <w:rsid w:val="00DA7E9A"/>
    <w:rsid w:val="00DB1F8B"/>
    <w:rsid w:val="00DB748F"/>
    <w:rsid w:val="00DC31BF"/>
    <w:rsid w:val="00DC3A48"/>
    <w:rsid w:val="00DC5AAA"/>
    <w:rsid w:val="00DD0F47"/>
    <w:rsid w:val="00DD3324"/>
    <w:rsid w:val="00DE1A75"/>
    <w:rsid w:val="00DE46F6"/>
    <w:rsid w:val="00DE4BBB"/>
    <w:rsid w:val="00DE4CFF"/>
    <w:rsid w:val="00DE622C"/>
    <w:rsid w:val="00DF1527"/>
    <w:rsid w:val="00DF2343"/>
    <w:rsid w:val="00DF5EE4"/>
    <w:rsid w:val="00E01809"/>
    <w:rsid w:val="00E043BC"/>
    <w:rsid w:val="00E060F1"/>
    <w:rsid w:val="00E0680A"/>
    <w:rsid w:val="00E07A06"/>
    <w:rsid w:val="00E10A4B"/>
    <w:rsid w:val="00E13393"/>
    <w:rsid w:val="00E14D03"/>
    <w:rsid w:val="00E1791D"/>
    <w:rsid w:val="00E2396A"/>
    <w:rsid w:val="00E23E06"/>
    <w:rsid w:val="00E24E89"/>
    <w:rsid w:val="00E25363"/>
    <w:rsid w:val="00E35E52"/>
    <w:rsid w:val="00E368CE"/>
    <w:rsid w:val="00E36DE9"/>
    <w:rsid w:val="00E46D4E"/>
    <w:rsid w:val="00E5394B"/>
    <w:rsid w:val="00E5642E"/>
    <w:rsid w:val="00E720E4"/>
    <w:rsid w:val="00E77889"/>
    <w:rsid w:val="00E80068"/>
    <w:rsid w:val="00E9412E"/>
    <w:rsid w:val="00EA3572"/>
    <w:rsid w:val="00EA544E"/>
    <w:rsid w:val="00EA54F0"/>
    <w:rsid w:val="00EB4045"/>
    <w:rsid w:val="00EB5337"/>
    <w:rsid w:val="00ED20D4"/>
    <w:rsid w:val="00ED2F03"/>
    <w:rsid w:val="00ED3F12"/>
    <w:rsid w:val="00EE04DF"/>
    <w:rsid w:val="00EE2426"/>
    <w:rsid w:val="00EE2793"/>
    <w:rsid w:val="00EE2F67"/>
    <w:rsid w:val="00EE3DC6"/>
    <w:rsid w:val="00EE4375"/>
    <w:rsid w:val="00EF0066"/>
    <w:rsid w:val="00EF095D"/>
    <w:rsid w:val="00EF2B01"/>
    <w:rsid w:val="00EF678F"/>
    <w:rsid w:val="00F02737"/>
    <w:rsid w:val="00F039F3"/>
    <w:rsid w:val="00F04121"/>
    <w:rsid w:val="00F0538B"/>
    <w:rsid w:val="00F1003D"/>
    <w:rsid w:val="00F3056C"/>
    <w:rsid w:val="00F324CE"/>
    <w:rsid w:val="00F327DB"/>
    <w:rsid w:val="00F370A8"/>
    <w:rsid w:val="00F37F7E"/>
    <w:rsid w:val="00F42C6F"/>
    <w:rsid w:val="00F47BD4"/>
    <w:rsid w:val="00F54122"/>
    <w:rsid w:val="00F57847"/>
    <w:rsid w:val="00F60A2C"/>
    <w:rsid w:val="00F62952"/>
    <w:rsid w:val="00F63103"/>
    <w:rsid w:val="00F63AAE"/>
    <w:rsid w:val="00F64E9A"/>
    <w:rsid w:val="00F76DCD"/>
    <w:rsid w:val="00F80460"/>
    <w:rsid w:val="00F83055"/>
    <w:rsid w:val="00F8405A"/>
    <w:rsid w:val="00F91DBE"/>
    <w:rsid w:val="00F93E87"/>
    <w:rsid w:val="00FA18A5"/>
    <w:rsid w:val="00FA5A46"/>
    <w:rsid w:val="00FB0955"/>
    <w:rsid w:val="00FB273F"/>
    <w:rsid w:val="00FB5D10"/>
    <w:rsid w:val="00FC11EF"/>
    <w:rsid w:val="00FD17A0"/>
    <w:rsid w:val="00FD3450"/>
    <w:rsid w:val="00FD4A7A"/>
    <w:rsid w:val="00FE086E"/>
    <w:rsid w:val="00FE09A0"/>
    <w:rsid w:val="00FE1B60"/>
    <w:rsid w:val="00FE2A89"/>
    <w:rsid w:val="00FE2C4C"/>
    <w:rsid w:val="00FE2E62"/>
    <w:rsid w:val="00FE7CED"/>
    <w:rsid w:val="00FE7F3C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81"/>
    <o:shapelayout v:ext="edit">
      <o:idmap v:ext="edit" data="1"/>
    </o:shapelayout>
  </w:shapeDefaults>
  <w:decimalSymbol w:val=","/>
  <w:listSeparator w:val=";"/>
  <w15:docId w15:val="{3223DD84-FCD3-4A0B-83FB-398EC348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E0D6-3818-49B0-A55E-2AD4F091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8352</Characters>
  <Application>Microsoft Office Word</Application>
  <DocSecurity>0</DocSecurity>
  <Lines>397</Lines>
  <Paragraphs>140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2013.gada 17.septembra noteikumos Nr.880 „Lauksaimniecības datu centra publisko maksas pakalpojumu cenrādis”</vt:lpstr>
      <vt:lpstr>Grozījumi Ministru kabineta 2013.gada 17.septembra noteikumos Nr.880 „Lauksaimniecības datu centra publisko maksas pakalpojumu cenrādis”</vt:lpstr>
    </vt:vector>
  </TitlesOfParts>
  <Company>Zemkopības ministrija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17.septembra noteikumos Nr.880 „Lauksaimniecības datu centra publisko maksas pakalpojumu cenrādis”</dc:title>
  <dc:subject>Anotācija</dc:subject>
  <dc:creator>Ligija Ozoliņa</dc:creator>
  <cp:lastModifiedBy>Sanita Žagare</cp:lastModifiedBy>
  <cp:revision>3</cp:revision>
  <dcterms:created xsi:type="dcterms:W3CDTF">2016-10-13T05:45:00Z</dcterms:created>
  <dcterms:modified xsi:type="dcterms:W3CDTF">2016-10-14T10:17:00Z</dcterms:modified>
</cp:coreProperties>
</file>