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CD0" w:rsidRPr="00D12B2D" w:rsidRDefault="00743CD0" w:rsidP="00743CD0">
      <w:pPr>
        <w:pStyle w:val="naislab"/>
        <w:spacing w:before="0" w:after="0"/>
        <w:jc w:val="center"/>
        <w:outlineLvl w:val="0"/>
        <w:rPr>
          <w:b/>
        </w:rPr>
      </w:pPr>
      <w:r w:rsidRPr="00D12B2D">
        <w:rPr>
          <w:b/>
        </w:rPr>
        <w:t>Ministru kabineta noteikumu projekta „</w:t>
      </w:r>
      <w:r w:rsidRPr="0079798F">
        <w:rPr>
          <w:b/>
          <w:bCs/>
        </w:rPr>
        <w:t>Grozījum</w:t>
      </w:r>
      <w:r>
        <w:rPr>
          <w:b/>
          <w:bCs/>
        </w:rPr>
        <w:t>i</w:t>
      </w:r>
      <w:r w:rsidRPr="0079798F">
        <w:rPr>
          <w:b/>
          <w:bCs/>
        </w:rPr>
        <w:t xml:space="preserve"> Ministru kabineta 2012.</w:t>
      </w:r>
      <w:r>
        <w:rPr>
          <w:b/>
          <w:bCs/>
        </w:rPr>
        <w:t xml:space="preserve"> </w:t>
      </w:r>
      <w:r w:rsidRPr="0079798F">
        <w:rPr>
          <w:b/>
          <w:bCs/>
        </w:rPr>
        <w:t>gada 10.</w:t>
      </w:r>
      <w:r>
        <w:rPr>
          <w:b/>
          <w:bCs/>
        </w:rPr>
        <w:t> </w:t>
      </w:r>
      <w:r w:rsidRPr="0079798F">
        <w:rPr>
          <w:b/>
          <w:bCs/>
        </w:rPr>
        <w:t>jūlija noteikumos Nr.</w:t>
      </w:r>
      <w:r>
        <w:rPr>
          <w:b/>
          <w:bCs/>
        </w:rPr>
        <w:t xml:space="preserve"> </w:t>
      </w:r>
      <w:r w:rsidRPr="0079798F">
        <w:rPr>
          <w:b/>
          <w:bCs/>
        </w:rPr>
        <w:t>493 „Valsts augu aizsardzības dienesta maksas pakalpojumu cenrādis</w:t>
      </w:r>
      <w:r w:rsidRPr="00D12B2D">
        <w:rPr>
          <w:b/>
        </w:rPr>
        <w:t>”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551"/>
        <w:gridCol w:w="6743"/>
      </w:tblGrid>
      <w:tr w:rsidR="00743CD0" w:rsidRPr="00323155" w:rsidTr="00F43288">
        <w:tc>
          <w:tcPr>
            <w:tcW w:w="9725" w:type="dxa"/>
            <w:gridSpan w:val="3"/>
            <w:vAlign w:val="center"/>
          </w:tcPr>
          <w:p w:rsidR="00743CD0" w:rsidRPr="00323155" w:rsidRDefault="00743CD0" w:rsidP="00F43288">
            <w:pPr>
              <w:pStyle w:val="naisnod"/>
              <w:spacing w:before="0" w:after="0"/>
            </w:pPr>
            <w:r w:rsidRPr="00323155">
              <w:t>I. Tiesību akta projekta izstrādes nepieciešamība</w:t>
            </w:r>
          </w:p>
        </w:tc>
      </w:tr>
      <w:tr w:rsidR="00743CD0" w:rsidRPr="00323155" w:rsidTr="00F43288">
        <w:trPr>
          <w:trHeight w:val="630"/>
        </w:trPr>
        <w:tc>
          <w:tcPr>
            <w:tcW w:w="431" w:type="dxa"/>
          </w:tcPr>
          <w:p w:rsidR="00743CD0" w:rsidRPr="00DA6B28" w:rsidRDefault="00743CD0" w:rsidP="00F43288">
            <w:pPr>
              <w:pStyle w:val="naiskr"/>
              <w:spacing w:before="0" w:after="0"/>
              <w:jc w:val="center"/>
              <w:rPr>
                <w:sz w:val="22"/>
                <w:szCs w:val="22"/>
              </w:rPr>
            </w:pPr>
            <w:r w:rsidRPr="00DA6B28">
              <w:rPr>
                <w:sz w:val="22"/>
                <w:szCs w:val="22"/>
              </w:rPr>
              <w:t>1.</w:t>
            </w:r>
          </w:p>
        </w:tc>
        <w:tc>
          <w:tcPr>
            <w:tcW w:w="2551" w:type="dxa"/>
          </w:tcPr>
          <w:p w:rsidR="00743CD0" w:rsidRPr="00DA6B28" w:rsidRDefault="00743CD0" w:rsidP="00F43288">
            <w:pPr>
              <w:pStyle w:val="naiskr"/>
              <w:spacing w:before="0" w:after="0"/>
              <w:ind w:left="164"/>
            </w:pPr>
            <w:r w:rsidRPr="00DA6B28">
              <w:t>Pamatojums</w:t>
            </w:r>
          </w:p>
        </w:tc>
        <w:tc>
          <w:tcPr>
            <w:tcW w:w="6743" w:type="dxa"/>
          </w:tcPr>
          <w:p w:rsidR="00743CD0" w:rsidRPr="00DA6B28" w:rsidRDefault="00743CD0" w:rsidP="00F43288">
            <w:pPr>
              <w:pStyle w:val="naiskr"/>
              <w:spacing w:before="0" w:after="0"/>
              <w:ind w:left="141" w:right="81"/>
              <w:jc w:val="both"/>
            </w:pPr>
            <w:r w:rsidRPr="0078139A">
              <w:t>Likuma par budžetu un fi</w:t>
            </w:r>
            <w:r>
              <w:t>nanšu vadību 5. panta devītā daļa</w:t>
            </w:r>
          </w:p>
        </w:tc>
      </w:tr>
      <w:tr w:rsidR="00743CD0" w:rsidRPr="008D27A6" w:rsidTr="00F43288">
        <w:trPr>
          <w:trHeight w:val="472"/>
        </w:trPr>
        <w:tc>
          <w:tcPr>
            <w:tcW w:w="431" w:type="dxa"/>
          </w:tcPr>
          <w:p w:rsidR="00743CD0" w:rsidRPr="00DA6B28" w:rsidRDefault="00743CD0" w:rsidP="00F43288">
            <w:pPr>
              <w:pStyle w:val="naiskr"/>
              <w:spacing w:before="0" w:after="0"/>
              <w:jc w:val="center"/>
              <w:rPr>
                <w:sz w:val="22"/>
                <w:szCs w:val="22"/>
              </w:rPr>
            </w:pPr>
            <w:r w:rsidRPr="00DA6B28">
              <w:rPr>
                <w:sz w:val="22"/>
                <w:szCs w:val="22"/>
              </w:rPr>
              <w:t>2.</w:t>
            </w:r>
          </w:p>
        </w:tc>
        <w:tc>
          <w:tcPr>
            <w:tcW w:w="2551" w:type="dxa"/>
          </w:tcPr>
          <w:p w:rsidR="00743CD0" w:rsidRDefault="00743CD0" w:rsidP="00F43288">
            <w:pPr>
              <w:tabs>
                <w:tab w:val="left" w:pos="-168"/>
              </w:tabs>
              <w:ind w:left="164" w:right="57"/>
              <w:rPr>
                <w:rFonts w:eastAsia="Calibri"/>
              </w:rPr>
            </w:pPr>
            <w:r w:rsidRPr="00DA6B28">
              <w:rPr>
                <w:rFonts w:eastAsia="Calibri"/>
              </w:rPr>
              <w:t>Pašreizējā situācija un problēmas, kuru risināšanai tiesību akta projekts izstrādāts, tiesiskā regulējuma mērķis un būtība</w:t>
            </w:r>
          </w:p>
          <w:p w:rsidR="00743CD0" w:rsidRPr="00DA6B28" w:rsidRDefault="00743CD0" w:rsidP="00F43288">
            <w:pPr>
              <w:tabs>
                <w:tab w:val="left" w:pos="-168"/>
              </w:tabs>
              <w:ind w:left="164" w:right="57"/>
              <w:rPr>
                <w:rFonts w:eastAsia="Calibri"/>
              </w:rPr>
            </w:pPr>
          </w:p>
          <w:p w:rsidR="00743CD0" w:rsidRPr="00DA6B28" w:rsidRDefault="00743CD0" w:rsidP="00F43288">
            <w:pPr>
              <w:pStyle w:val="naiskr"/>
              <w:tabs>
                <w:tab w:val="left" w:pos="170"/>
              </w:tabs>
              <w:spacing w:before="0" w:after="0"/>
              <w:ind w:left="164"/>
              <w:jc w:val="center"/>
            </w:pPr>
          </w:p>
        </w:tc>
        <w:tc>
          <w:tcPr>
            <w:tcW w:w="6743" w:type="dxa"/>
          </w:tcPr>
          <w:p w:rsidR="00743CD0" w:rsidRDefault="00743CD0" w:rsidP="00F43288">
            <w:pPr>
              <w:ind w:left="141" w:right="81"/>
              <w:jc w:val="both"/>
              <w:rPr>
                <w:bCs/>
              </w:rPr>
            </w:pPr>
            <w:r w:rsidRPr="0078139A">
              <w:rPr>
                <w:iCs/>
              </w:rPr>
              <w:t>Patlaban ir spēkā Ministru kabineta 2012.</w:t>
            </w:r>
            <w:r>
              <w:rPr>
                <w:iCs/>
              </w:rPr>
              <w:t xml:space="preserve"> </w:t>
            </w:r>
            <w:r w:rsidRPr="0078139A">
              <w:rPr>
                <w:iCs/>
              </w:rPr>
              <w:t>gada 10.</w:t>
            </w:r>
            <w:r>
              <w:rPr>
                <w:iCs/>
              </w:rPr>
              <w:t xml:space="preserve"> </w:t>
            </w:r>
            <w:r w:rsidRPr="0078139A">
              <w:rPr>
                <w:iCs/>
              </w:rPr>
              <w:t>jūlija noteikumi Nr.</w:t>
            </w:r>
            <w:r>
              <w:rPr>
                <w:iCs/>
              </w:rPr>
              <w:t xml:space="preserve"> </w:t>
            </w:r>
            <w:r w:rsidRPr="0078139A">
              <w:rPr>
                <w:iCs/>
              </w:rPr>
              <w:t>493 „</w:t>
            </w:r>
            <w:r w:rsidRPr="0078139A">
              <w:rPr>
                <w:bCs/>
              </w:rPr>
              <w:t>Valsts augu aizsardzības dienesta maksas pakalpojumu cenrādis</w:t>
            </w:r>
            <w:r>
              <w:rPr>
                <w:bCs/>
              </w:rPr>
              <w:t>” (turpmāk – noteikumi Nr. 493).</w:t>
            </w:r>
          </w:p>
          <w:p w:rsidR="00743CD0" w:rsidRPr="00DA6B28" w:rsidRDefault="00743CD0" w:rsidP="00F43288">
            <w:pPr>
              <w:ind w:left="141" w:right="81"/>
              <w:jc w:val="both"/>
              <w:rPr>
                <w:iCs/>
              </w:rPr>
            </w:pPr>
            <w:r>
              <w:t>2016. gada 5. janvārī tika pieņemti Ministru kabineta noteikumi Nr.12</w:t>
            </w:r>
            <w:r w:rsidRPr="00D92F97">
              <w:t xml:space="preserve"> </w:t>
            </w:r>
            <w:r>
              <w:t>„</w:t>
            </w:r>
            <w:r w:rsidRPr="00D92F97">
              <w:t>Kartupeļu sēklaudzēšanas un sēklas kartupeļu tirdzniecības noteikumi</w:t>
            </w:r>
            <w:r>
              <w:t xml:space="preserve">” (turpmāk – noteikumi Nr.12), ar kuriem tika pārņemtas vairākas </w:t>
            </w:r>
            <w:r w:rsidRPr="00DA6B28">
              <w:t>direktīvas</w:t>
            </w:r>
            <w:r>
              <w:t>.</w:t>
            </w:r>
            <w:r w:rsidRPr="00DA6B28">
              <w:t xml:space="preserve"> </w:t>
            </w:r>
          </w:p>
          <w:p w:rsidR="00743CD0" w:rsidRDefault="00743CD0" w:rsidP="00F43288">
            <w:pPr>
              <w:ind w:left="142" w:right="81"/>
              <w:jc w:val="both"/>
            </w:pPr>
            <w:r>
              <w:t>Noteikumos Nr.12</w:t>
            </w:r>
            <w:r w:rsidRPr="00DA6B28">
              <w:t xml:space="preserve"> ir precizēt</w:t>
            </w:r>
            <w:r>
              <w:t>as</w:t>
            </w:r>
            <w:r w:rsidRPr="00DA6B28">
              <w:t xml:space="preserve"> </w:t>
            </w:r>
            <w:r w:rsidRPr="00DA537E">
              <w:t xml:space="preserve">kategorijas attiecībā </w:t>
            </w:r>
            <w:r w:rsidR="00CC04F0">
              <w:t>uz</w:t>
            </w:r>
            <w:r w:rsidRPr="00DA537E">
              <w:t xml:space="preserve"> pirmsbāzes, bāzes un sertificētu sēklas kartupeļu kvalitāti un paaudžu skaitu</w:t>
            </w:r>
            <w:r w:rsidRPr="00076173">
              <w:t xml:space="preserve"> un </w:t>
            </w:r>
            <w:r w:rsidRPr="00DA537E">
              <w:t>minimālie nosacījumi pirmsbāzes sēklas kartupeļiem</w:t>
            </w:r>
            <w:r>
              <w:t>. Ņemot vērā jauno regulējumu noteikumos Nr.12, ir jāizdara grozījumi arī noteikumos Nr. 493.</w:t>
            </w:r>
          </w:p>
          <w:p w:rsidR="00743CD0" w:rsidRDefault="00743CD0" w:rsidP="00F43288">
            <w:pPr>
              <w:jc w:val="both"/>
              <w:rPr>
                <w:bCs/>
              </w:rPr>
            </w:pPr>
            <w:r w:rsidRPr="003632DE">
              <w:rPr>
                <w:bCs/>
              </w:rPr>
              <w:t>Noteikumu projekts „Grozījumi Ministru kabineta 2012.</w:t>
            </w:r>
            <w:r>
              <w:rPr>
                <w:bCs/>
              </w:rPr>
              <w:t xml:space="preserve"> </w:t>
            </w:r>
            <w:r w:rsidRPr="003632DE">
              <w:rPr>
                <w:bCs/>
              </w:rPr>
              <w:t>gada 10.</w:t>
            </w:r>
            <w:r>
              <w:rPr>
                <w:bCs/>
              </w:rPr>
              <w:t> </w:t>
            </w:r>
            <w:r w:rsidRPr="003632DE">
              <w:rPr>
                <w:bCs/>
              </w:rPr>
              <w:t>jūlija noteikumos Nr.</w:t>
            </w:r>
            <w:r>
              <w:rPr>
                <w:bCs/>
              </w:rPr>
              <w:t xml:space="preserve"> </w:t>
            </w:r>
            <w:r w:rsidRPr="003632DE">
              <w:rPr>
                <w:bCs/>
              </w:rPr>
              <w:t>493 „Valsts augu aizsardzības dienesta maksas pakalpojumu cenrādis” (turpmāk – noteikumu projekts) sagatavots, lai</w:t>
            </w:r>
            <w:r>
              <w:rPr>
                <w:bCs/>
              </w:rPr>
              <w:t>:</w:t>
            </w:r>
          </w:p>
          <w:p w:rsidR="00743CD0" w:rsidRDefault="00743CD0" w:rsidP="00F43288">
            <w:pPr>
              <w:pStyle w:val="Sarakstarindkopa"/>
              <w:numPr>
                <w:ilvl w:val="0"/>
                <w:numId w:val="2"/>
              </w:numPr>
              <w:jc w:val="both"/>
              <w:rPr>
                <w:bCs/>
              </w:rPr>
            </w:pPr>
            <w:r w:rsidRPr="00C71869">
              <w:rPr>
                <w:bCs/>
              </w:rPr>
              <w:t xml:space="preserve">precizētu </w:t>
            </w:r>
            <w:r w:rsidRPr="00076173">
              <w:rPr>
                <w:bCs/>
              </w:rPr>
              <w:t>noteikum</w:t>
            </w:r>
            <w:r>
              <w:rPr>
                <w:bCs/>
              </w:rPr>
              <w:t>u</w:t>
            </w:r>
            <w:r w:rsidRPr="00076173">
              <w:rPr>
                <w:bCs/>
              </w:rPr>
              <w:t xml:space="preserve"> Nr. 493</w:t>
            </w:r>
            <w:r>
              <w:rPr>
                <w:bCs/>
              </w:rPr>
              <w:t xml:space="preserve"> 2. pielikuma</w:t>
            </w:r>
            <w:r w:rsidRPr="00C71869">
              <w:rPr>
                <w:bCs/>
              </w:rPr>
              <w:t xml:space="preserve"> 9.5</w:t>
            </w:r>
            <w:r>
              <w:rPr>
                <w:bCs/>
              </w:rPr>
              <w:t xml:space="preserve">. </w:t>
            </w:r>
            <w:r w:rsidRPr="00C71869">
              <w:rPr>
                <w:bCs/>
              </w:rPr>
              <w:t xml:space="preserve">apakšpunktu par sešu </w:t>
            </w:r>
            <w:proofErr w:type="spellStart"/>
            <w:r w:rsidRPr="00C71869">
              <w:rPr>
                <w:bCs/>
              </w:rPr>
              <w:t>nekarantīnas</w:t>
            </w:r>
            <w:proofErr w:type="spellEnd"/>
            <w:r w:rsidRPr="00C71869">
              <w:rPr>
                <w:bCs/>
              </w:rPr>
              <w:t xml:space="preserve"> vīrusu analīzēm, ietverot samaksu par paraugu ņemšanu un </w:t>
            </w:r>
            <w:proofErr w:type="spellStart"/>
            <w:r w:rsidRPr="00C71869">
              <w:rPr>
                <w:bCs/>
              </w:rPr>
              <w:t>viroīda</w:t>
            </w:r>
            <w:proofErr w:type="spellEnd"/>
            <w:r w:rsidRPr="00C71869">
              <w:rPr>
                <w:bCs/>
              </w:rPr>
              <w:t xml:space="preserve"> noteikšanu</w:t>
            </w:r>
            <w:r>
              <w:rPr>
                <w:bCs/>
              </w:rPr>
              <w:t>, kas jānosaka pirmsbāzes sēklas kategorijām;</w:t>
            </w:r>
          </w:p>
          <w:p w:rsidR="00743CD0" w:rsidRDefault="00743CD0" w:rsidP="00F43288">
            <w:pPr>
              <w:pStyle w:val="Sarakstarindkopa"/>
              <w:numPr>
                <w:ilvl w:val="0"/>
                <w:numId w:val="2"/>
              </w:numPr>
              <w:jc w:val="both"/>
              <w:rPr>
                <w:bCs/>
              </w:rPr>
            </w:pPr>
            <w:r>
              <w:rPr>
                <w:bCs/>
              </w:rPr>
              <w:t>p</w:t>
            </w:r>
            <w:r w:rsidRPr="00C71869">
              <w:rPr>
                <w:bCs/>
              </w:rPr>
              <w:t>apildinātu</w:t>
            </w:r>
            <w:r>
              <w:t xml:space="preserve"> </w:t>
            </w:r>
            <w:r>
              <w:rPr>
                <w:bCs/>
              </w:rPr>
              <w:t>noteikumu</w:t>
            </w:r>
            <w:r w:rsidRPr="004B5A5C">
              <w:rPr>
                <w:bCs/>
              </w:rPr>
              <w:t xml:space="preserve"> Nr. 493</w:t>
            </w:r>
            <w:r>
              <w:rPr>
                <w:bCs/>
              </w:rPr>
              <w:t xml:space="preserve"> 2. pielikumu ar 9.7. </w:t>
            </w:r>
            <w:r w:rsidRPr="00C71869">
              <w:rPr>
                <w:bCs/>
              </w:rPr>
              <w:t>apakšpunkt</w:t>
            </w:r>
            <w:r>
              <w:rPr>
                <w:bCs/>
              </w:rPr>
              <w:t>u</w:t>
            </w:r>
            <w:r w:rsidRPr="00C71869">
              <w:rPr>
                <w:bCs/>
              </w:rPr>
              <w:t xml:space="preserve"> par</w:t>
            </w:r>
            <w:r>
              <w:rPr>
                <w:bCs/>
              </w:rPr>
              <w:t xml:space="preserve"> divu</w:t>
            </w:r>
            <w:r w:rsidRPr="00C71869">
              <w:rPr>
                <w:bCs/>
              </w:rPr>
              <w:t xml:space="preserve"> </w:t>
            </w:r>
            <w:proofErr w:type="spellStart"/>
            <w:r w:rsidRPr="00C71869">
              <w:rPr>
                <w:bCs/>
              </w:rPr>
              <w:t>nekarantīnas</w:t>
            </w:r>
            <w:proofErr w:type="spellEnd"/>
            <w:r w:rsidRPr="00C71869">
              <w:rPr>
                <w:bCs/>
              </w:rPr>
              <w:t xml:space="preserve"> vīrusu analīzēm, ietverot samaksu par paraugu ņemšanu un </w:t>
            </w:r>
            <w:proofErr w:type="spellStart"/>
            <w:r w:rsidRPr="00C71869">
              <w:rPr>
                <w:bCs/>
              </w:rPr>
              <w:t>viroīda</w:t>
            </w:r>
            <w:proofErr w:type="spellEnd"/>
            <w:r w:rsidRPr="00C71869">
              <w:rPr>
                <w:bCs/>
              </w:rPr>
              <w:t xml:space="preserve"> noteikšanu</w:t>
            </w:r>
            <w:r>
              <w:rPr>
                <w:bCs/>
              </w:rPr>
              <w:t xml:space="preserve">, kas jānosaka bāzes sēklas kategorijām; </w:t>
            </w:r>
          </w:p>
          <w:p w:rsidR="00743CD0" w:rsidRPr="00EC6AB1" w:rsidRDefault="00743CD0" w:rsidP="00F43288">
            <w:pPr>
              <w:pStyle w:val="Sarakstarindkopa"/>
              <w:numPr>
                <w:ilvl w:val="0"/>
                <w:numId w:val="2"/>
              </w:numPr>
              <w:jc w:val="both"/>
              <w:rPr>
                <w:bCs/>
              </w:rPr>
            </w:pPr>
            <w:r w:rsidRPr="00EC6AB1">
              <w:rPr>
                <w:bCs/>
              </w:rPr>
              <w:t>precizētu, ar kādām metodēm tiek analizēti paraugi, lai noteiktu sēnes un nematodes.</w:t>
            </w:r>
            <w:r>
              <w:t xml:space="preserve"> N</w:t>
            </w:r>
            <w:r w:rsidRPr="004B5A5C">
              <w:rPr>
                <w:bCs/>
              </w:rPr>
              <w:t>oteikum</w:t>
            </w:r>
            <w:r>
              <w:rPr>
                <w:bCs/>
              </w:rPr>
              <w:t>u</w:t>
            </w:r>
            <w:r w:rsidRPr="004B5A5C">
              <w:rPr>
                <w:bCs/>
              </w:rPr>
              <w:t xml:space="preserve"> Nr. 493</w:t>
            </w:r>
            <w:r>
              <w:rPr>
                <w:bCs/>
              </w:rPr>
              <w:t xml:space="preserve"> 2. pielikuma </w:t>
            </w:r>
            <w:r w:rsidRPr="00EC6AB1">
              <w:rPr>
                <w:bCs/>
              </w:rPr>
              <w:t>10.1.</w:t>
            </w:r>
            <w:r>
              <w:rPr>
                <w:bCs/>
              </w:rPr>
              <w:t xml:space="preserve"> </w:t>
            </w:r>
            <w:r w:rsidRPr="00EC6AB1">
              <w:rPr>
                <w:bCs/>
              </w:rPr>
              <w:t>un 10.6.</w:t>
            </w:r>
            <w:r>
              <w:rPr>
                <w:bCs/>
              </w:rPr>
              <w:t xml:space="preserve"> </w:t>
            </w:r>
            <w:r w:rsidRPr="00EC6AB1">
              <w:rPr>
                <w:bCs/>
              </w:rPr>
              <w:t xml:space="preserve">apakšpunktā jānorāda, ka šo organismu </w:t>
            </w:r>
            <w:r>
              <w:rPr>
                <w:bCs/>
              </w:rPr>
              <w:t>test</w:t>
            </w:r>
            <w:r w:rsidRPr="00EC6AB1">
              <w:rPr>
                <w:bCs/>
              </w:rPr>
              <w:t xml:space="preserve">ēšanā </w:t>
            </w:r>
            <w:r>
              <w:rPr>
                <w:bCs/>
              </w:rPr>
              <w:t>lie</w:t>
            </w:r>
            <w:r w:rsidRPr="00EC6AB1">
              <w:rPr>
                <w:bCs/>
              </w:rPr>
              <w:t>to morfoloģisk</w:t>
            </w:r>
            <w:r>
              <w:rPr>
                <w:bCs/>
              </w:rPr>
              <w:t>o</w:t>
            </w:r>
            <w:r w:rsidRPr="00EC6AB1">
              <w:rPr>
                <w:bCs/>
              </w:rPr>
              <w:t xml:space="preserve"> metod</w:t>
            </w:r>
            <w:r>
              <w:rPr>
                <w:bCs/>
              </w:rPr>
              <w:t>i;</w:t>
            </w:r>
          </w:p>
          <w:p w:rsidR="00743CD0" w:rsidRPr="00EC6AB1" w:rsidRDefault="00743CD0" w:rsidP="00F43288">
            <w:pPr>
              <w:pStyle w:val="Sarakstarindkopa"/>
              <w:numPr>
                <w:ilvl w:val="0"/>
                <w:numId w:val="2"/>
              </w:numPr>
              <w:jc w:val="both"/>
              <w:rPr>
                <w:bCs/>
              </w:rPr>
            </w:pPr>
            <w:r>
              <w:rPr>
                <w:bCs/>
              </w:rPr>
              <w:t>p</w:t>
            </w:r>
            <w:r w:rsidRPr="00EC6AB1">
              <w:rPr>
                <w:bCs/>
              </w:rPr>
              <w:t xml:space="preserve">apildinātu </w:t>
            </w:r>
            <w:r w:rsidRPr="004B5A5C">
              <w:rPr>
                <w:bCs/>
              </w:rPr>
              <w:t>noteikum</w:t>
            </w:r>
            <w:r>
              <w:rPr>
                <w:bCs/>
              </w:rPr>
              <w:t>u</w:t>
            </w:r>
            <w:r w:rsidRPr="004B5A5C">
              <w:rPr>
                <w:bCs/>
              </w:rPr>
              <w:t xml:space="preserve"> Nr. 493</w:t>
            </w:r>
            <w:r>
              <w:rPr>
                <w:bCs/>
              </w:rPr>
              <w:t xml:space="preserve"> 2.</w:t>
            </w:r>
            <w:r w:rsidR="00CC04F0">
              <w:rPr>
                <w:bCs/>
              </w:rPr>
              <w:t> </w:t>
            </w:r>
            <w:r>
              <w:rPr>
                <w:bCs/>
              </w:rPr>
              <w:t xml:space="preserve">pielikumu </w:t>
            </w:r>
            <w:r w:rsidRPr="00EC6AB1">
              <w:rPr>
                <w:bCs/>
              </w:rPr>
              <w:t>ar 10.12.</w:t>
            </w:r>
            <w:r>
              <w:rPr>
                <w:bCs/>
              </w:rPr>
              <w:t> apakšpunktu</w:t>
            </w:r>
            <w:r w:rsidRPr="00EC6AB1">
              <w:rPr>
                <w:bCs/>
              </w:rPr>
              <w:t>, paredzot sēņu un nematožu noteikšanu ar molekulāro metodi</w:t>
            </w:r>
            <w:r>
              <w:rPr>
                <w:bCs/>
              </w:rPr>
              <w:t>;</w:t>
            </w:r>
          </w:p>
          <w:p w:rsidR="00743CD0" w:rsidRPr="00EC6AB1" w:rsidRDefault="00743CD0" w:rsidP="00F43288">
            <w:pPr>
              <w:pStyle w:val="Sarakstarindkopa"/>
              <w:numPr>
                <w:ilvl w:val="0"/>
                <w:numId w:val="2"/>
              </w:numPr>
              <w:jc w:val="both"/>
              <w:rPr>
                <w:bCs/>
              </w:rPr>
            </w:pPr>
            <w:r>
              <w:rPr>
                <w:bCs/>
              </w:rPr>
              <w:t>p</w:t>
            </w:r>
            <w:r w:rsidRPr="00EC6AB1">
              <w:rPr>
                <w:bCs/>
              </w:rPr>
              <w:t xml:space="preserve">recizētu </w:t>
            </w:r>
            <w:r w:rsidRPr="006E7C96">
              <w:rPr>
                <w:bCs/>
              </w:rPr>
              <w:t>noteikum</w:t>
            </w:r>
            <w:r>
              <w:rPr>
                <w:bCs/>
              </w:rPr>
              <w:t>u</w:t>
            </w:r>
            <w:r w:rsidRPr="006E7C96">
              <w:rPr>
                <w:bCs/>
              </w:rPr>
              <w:t xml:space="preserve"> Nr. 493</w:t>
            </w:r>
            <w:r>
              <w:rPr>
                <w:bCs/>
              </w:rPr>
              <w:t xml:space="preserve"> 2. pielikuma 11. punktu par </w:t>
            </w:r>
            <w:r w:rsidRPr="00EC6AB1">
              <w:rPr>
                <w:bCs/>
              </w:rPr>
              <w:t xml:space="preserve">kartupeļu paraugu analizēšanu </w:t>
            </w:r>
            <w:r>
              <w:rPr>
                <w:bCs/>
              </w:rPr>
              <w:t xml:space="preserve">sešu vai viena </w:t>
            </w:r>
            <w:proofErr w:type="spellStart"/>
            <w:r w:rsidRPr="00EC6AB1">
              <w:rPr>
                <w:bCs/>
              </w:rPr>
              <w:t>nekarantīnas</w:t>
            </w:r>
            <w:proofErr w:type="spellEnd"/>
            <w:r w:rsidRPr="00EC6AB1">
              <w:rPr>
                <w:bCs/>
              </w:rPr>
              <w:t xml:space="preserve"> vīrus</w:t>
            </w:r>
            <w:r>
              <w:rPr>
                <w:bCs/>
              </w:rPr>
              <w:t>a</w:t>
            </w:r>
            <w:r w:rsidRPr="00EC6AB1">
              <w:rPr>
                <w:bCs/>
              </w:rPr>
              <w:t xml:space="preserve"> noteikšanai kartupeļu bumbuļu paraugā</w:t>
            </w:r>
            <w:r>
              <w:rPr>
                <w:bCs/>
              </w:rPr>
              <w:t xml:space="preserve"> </w:t>
            </w:r>
            <w:r w:rsidRPr="00EC6AB1">
              <w:rPr>
                <w:bCs/>
              </w:rPr>
              <w:t xml:space="preserve">un </w:t>
            </w:r>
            <w:proofErr w:type="spellStart"/>
            <w:r w:rsidRPr="00EC6AB1">
              <w:rPr>
                <w:bCs/>
              </w:rPr>
              <w:t>mēģeņaugiem</w:t>
            </w:r>
            <w:proofErr w:type="spellEnd"/>
            <w:r>
              <w:rPr>
                <w:bCs/>
              </w:rPr>
              <w:t xml:space="preserve">. </w:t>
            </w:r>
          </w:p>
          <w:p w:rsidR="00743CD0" w:rsidRDefault="00743CD0" w:rsidP="00F43288">
            <w:pPr>
              <w:ind w:left="60"/>
              <w:jc w:val="both"/>
            </w:pPr>
            <w:r w:rsidRPr="003632DE">
              <w:t>Noteikumu projektā ietvert</w:t>
            </w:r>
            <w:r>
              <w:t>ie</w:t>
            </w:r>
            <w:r w:rsidRPr="003632DE">
              <w:t xml:space="preserve"> </w:t>
            </w:r>
            <w:r>
              <w:t xml:space="preserve">precizētie un jaunie </w:t>
            </w:r>
            <w:r w:rsidRPr="003632DE">
              <w:t>maksas pakalpojum</w:t>
            </w:r>
            <w:r>
              <w:t>i</w:t>
            </w:r>
            <w:r w:rsidRPr="003632DE">
              <w:t xml:space="preserve"> saskaņā ar </w:t>
            </w:r>
            <w:r>
              <w:t>Sēklu un šķirņu aprites likuma 2. panta 4. punktā</w:t>
            </w:r>
            <w:r w:rsidRPr="00DF2939">
              <w:t xml:space="preserve"> noteikto</w:t>
            </w:r>
            <w:r>
              <w:t xml:space="preserve"> un Augu aizsardzības likuma 4. panta ceturtās daļas 8. punktā noteikto</w:t>
            </w:r>
            <w:r w:rsidRPr="00DF2939">
              <w:t xml:space="preserve"> ir valsts funkcija, tāpēc pievienotās vērtības nodokli nepiemēro saskaņā ar </w:t>
            </w:r>
            <w:r>
              <w:t>Pievienotās vērtības nodokļa likuma</w:t>
            </w:r>
            <w:r w:rsidRPr="003632DE">
              <w:t xml:space="preserve"> 3.</w:t>
            </w:r>
            <w:r>
              <w:t xml:space="preserve"> </w:t>
            </w:r>
            <w:r w:rsidRPr="003632DE">
              <w:t>panta astoto daļu.</w:t>
            </w:r>
          </w:p>
          <w:p w:rsidR="00B83C8C" w:rsidRPr="00143C9A" w:rsidRDefault="00B83C8C" w:rsidP="00F43288">
            <w:pPr>
              <w:ind w:left="60"/>
              <w:jc w:val="both"/>
            </w:pPr>
            <w:r w:rsidRPr="00143C9A">
              <w:t>Izcenojum</w:t>
            </w:r>
            <w:r w:rsidR="00CC04F0">
              <w:t>i</w:t>
            </w:r>
            <w:r w:rsidRPr="00143C9A">
              <w:t xml:space="preserve"> aprēķin</w:t>
            </w:r>
            <w:r w:rsidR="00E80574">
              <w:t>ā</w:t>
            </w:r>
            <w:r w:rsidRPr="00143C9A">
              <w:t>ti saskaņā ar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w:t>
            </w:r>
          </w:p>
          <w:p w:rsidR="00AF531E" w:rsidRPr="00143C9A" w:rsidRDefault="00AC7464" w:rsidP="00AC7464">
            <w:pPr>
              <w:ind w:left="60"/>
              <w:jc w:val="both"/>
            </w:pPr>
            <w:r w:rsidRPr="00143C9A">
              <w:lastRenderedPageBreak/>
              <w:t xml:space="preserve">Noteikumos Nr.12 ir noteikts, no kādām kategorijām tiek noņemti paraugi, </w:t>
            </w:r>
            <w:r w:rsidR="00AE0572" w:rsidRPr="00143C9A">
              <w:t xml:space="preserve">cik </w:t>
            </w:r>
            <w:r w:rsidR="00CC04F0">
              <w:t xml:space="preserve">un kuri </w:t>
            </w:r>
            <w:r w:rsidR="00AE0572" w:rsidRPr="00143C9A">
              <w:t xml:space="preserve">vīrusi jānosaka katrai kategorijai, </w:t>
            </w:r>
            <w:r w:rsidRPr="00143C9A">
              <w:t xml:space="preserve">cik liels ir paraugs un no kā tiek noņemts paraugs (mēģenes, </w:t>
            </w:r>
            <w:proofErr w:type="spellStart"/>
            <w:r w:rsidRPr="00143C9A">
              <w:t>sīkbumbuļi</w:t>
            </w:r>
            <w:proofErr w:type="spellEnd"/>
            <w:r w:rsidRPr="00143C9A">
              <w:t xml:space="preserve">, bumbuļi). Spēkā esošajos </w:t>
            </w:r>
            <w:r w:rsidR="00AE0572" w:rsidRPr="00143C9A">
              <w:t>n</w:t>
            </w:r>
            <w:r w:rsidRPr="00143C9A">
              <w:t xml:space="preserve">oteikumos </w:t>
            </w:r>
            <w:r w:rsidR="00AE0572" w:rsidRPr="00143C9A">
              <w:t>N</w:t>
            </w:r>
            <w:r w:rsidRPr="00143C9A">
              <w:t>r.</w:t>
            </w:r>
            <w:r w:rsidR="00AE0572" w:rsidRPr="00143C9A">
              <w:t xml:space="preserve">493 tikai vienas pozīcijas (9.5.) izcenojums ir paredzēts kartupeļu sēklas materiāla sertifikācijai, pārējās vīrusu noteikšanas pozīcijas ar atbilstošiem parauga lielumiem un veidiem paredzētas pēc personas pieprasījuma. </w:t>
            </w:r>
          </w:p>
          <w:p w:rsidR="00AE0572" w:rsidRPr="00143C9A" w:rsidRDefault="00AE0572" w:rsidP="00AC7464">
            <w:pPr>
              <w:ind w:left="60"/>
              <w:jc w:val="both"/>
            </w:pPr>
            <w:r w:rsidRPr="00143C9A">
              <w:t>Anotācijas pielikumā norādīts, no kādām pozīcijām veidoj</w:t>
            </w:r>
            <w:r w:rsidR="00CC04F0">
              <w:t>a</w:t>
            </w:r>
            <w:r w:rsidRPr="00143C9A">
              <w:t>s katrs izcenojums. Kā redzams</w:t>
            </w:r>
            <w:r w:rsidR="00606C96" w:rsidRPr="00143C9A">
              <w:t xml:space="preserve"> aprēķinos</w:t>
            </w:r>
            <w:r w:rsidRPr="00143C9A">
              <w:t xml:space="preserve">, vislielāko izcenojuma daļu </w:t>
            </w:r>
            <w:r w:rsidR="00CC04F0">
              <w:t>veido</w:t>
            </w:r>
            <w:r w:rsidRPr="00143C9A">
              <w:t xml:space="preserve"> reaģenti un laboratorijas m</w:t>
            </w:r>
            <w:r w:rsidR="000C6B05" w:rsidRPr="00143C9A">
              <w:t>a</w:t>
            </w:r>
            <w:r w:rsidRPr="00143C9A">
              <w:t>teriāli</w:t>
            </w:r>
            <w:r w:rsidR="00606C96" w:rsidRPr="00143C9A">
              <w:t>, kuru cenas salīdzin</w:t>
            </w:r>
            <w:r w:rsidR="00CC04F0">
              <w:t>ājumā</w:t>
            </w:r>
            <w:r w:rsidR="00606C96" w:rsidRPr="00143C9A">
              <w:t xml:space="preserve"> ar spēkā esošā izcenojuma aprēķin</w:t>
            </w:r>
            <w:r w:rsidR="001F19EF" w:rsidRPr="00143C9A">
              <w:t>u</w:t>
            </w:r>
            <w:r w:rsidR="00606C96" w:rsidRPr="00143C9A">
              <w:t xml:space="preserve"> (k</w:t>
            </w:r>
            <w:r w:rsidR="00CC04F0">
              <w:t>as</w:t>
            </w:r>
            <w:r w:rsidR="00606C96" w:rsidRPr="00143C9A">
              <w:t xml:space="preserve"> nav mainīts no 2012.gada), ir vairākkārt cēlušās.</w:t>
            </w:r>
          </w:p>
          <w:p w:rsidR="00606C96" w:rsidRPr="00143C9A" w:rsidRDefault="00606C96" w:rsidP="00AC7464">
            <w:pPr>
              <w:ind w:left="60"/>
              <w:jc w:val="both"/>
            </w:pPr>
            <w:r w:rsidRPr="00143C9A">
              <w:t xml:space="preserve">Salīdzinājumam izcenojums vīrusu diagnosticēšanai dažādu Eiropas Savienības valstu laboratorijās (neiekļaujot pozīciju </w:t>
            </w:r>
            <w:r w:rsidR="00D261A8" w:rsidRPr="00143C9A">
              <w:t>„</w:t>
            </w:r>
            <w:r w:rsidRPr="00143C9A">
              <w:t>paraugu ņemšana</w:t>
            </w:r>
            <w:r w:rsidR="00D261A8" w:rsidRPr="00143C9A">
              <w:t>”</w:t>
            </w:r>
            <w:r w:rsidRPr="00143C9A">
              <w:t xml:space="preserve"> un </w:t>
            </w:r>
            <w:r w:rsidR="00D261A8" w:rsidRPr="00143C9A">
              <w:t>„</w:t>
            </w:r>
            <w:proofErr w:type="spellStart"/>
            <w:r w:rsidRPr="00143C9A">
              <w:t>viroīda</w:t>
            </w:r>
            <w:proofErr w:type="spellEnd"/>
            <w:r w:rsidRPr="00143C9A">
              <w:t xml:space="preserve"> noteikšana</w:t>
            </w:r>
            <w:r w:rsidR="00D261A8" w:rsidRPr="00143C9A">
              <w:t>”</w:t>
            </w:r>
            <w:r w:rsidRPr="00143C9A">
              <w:t>):</w:t>
            </w:r>
          </w:p>
          <w:p w:rsidR="00400B33" w:rsidRPr="00143C9A" w:rsidRDefault="00606C96" w:rsidP="00AC7464">
            <w:pPr>
              <w:ind w:left="60"/>
              <w:jc w:val="both"/>
            </w:pPr>
            <w:r w:rsidRPr="00143C9A">
              <w:rPr>
                <w:b/>
              </w:rPr>
              <w:t>Igaunija:</w:t>
            </w:r>
            <w:r w:rsidR="00400B33" w:rsidRPr="00143C9A">
              <w:t xml:space="preserve"> EUR 251,49 (6 vīrusu noteikšana ar </w:t>
            </w:r>
            <w:r w:rsidR="00400B33" w:rsidRPr="00E80574">
              <w:rPr>
                <w:i/>
              </w:rPr>
              <w:t>ELISA</w:t>
            </w:r>
            <w:r w:rsidR="00400B33" w:rsidRPr="00143C9A">
              <w:t xml:space="preserve"> metodi 110 bumbuļos);</w:t>
            </w:r>
          </w:p>
          <w:p w:rsidR="00B45670" w:rsidRPr="00143C9A" w:rsidRDefault="00B45670" w:rsidP="00AC7464">
            <w:pPr>
              <w:ind w:left="60"/>
              <w:jc w:val="both"/>
            </w:pPr>
            <w:r w:rsidRPr="00143C9A">
              <w:rPr>
                <w:b/>
              </w:rPr>
              <w:t>Lielbritānija</w:t>
            </w:r>
            <w:r w:rsidRPr="00143C9A">
              <w:t xml:space="preserve"> (zinātniskās institūcijas </w:t>
            </w:r>
            <w:r w:rsidRPr="00E80574">
              <w:rPr>
                <w:i/>
              </w:rPr>
              <w:t>FERA</w:t>
            </w:r>
            <w:r w:rsidRPr="00143C9A">
              <w:t xml:space="preserve"> Nacionālā references laboratorija)</w:t>
            </w:r>
            <w:r w:rsidR="00CC04F0">
              <w:t>:</w:t>
            </w:r>
            <w:r w:rsidRPr="00143C9A">
              <w:t xml:space="preserve"> </w:t>
            </w:r>
            <w:r w:rsidR="001F19EF" w:rsidRPr="00143C9A">
              <w:t xml:space="preserve">izmantojot </w:t>
            </w:r>
            <w:r w:rsidR="001F19EF" w:rsidRPr="00E80574">
              <w:rPr>
                <w:i/>
              </w:rPr>
              <w:t>ELISA</w:t>
            </w:r>
            <w:r w:rsidR="001F19EF" w:rsidRPr="00143C9A">
              <w:t xml:space="preserve"> metodi </w:t>
            </w:r>
            <w:r w:rsidR="00CC04F0">
              <w:t xml:space="preserve">– </w:t>
            </w:r>
            <w:r w:rsidRPr="00143C9A">
              <w:t>GBP 143 (EUR 163) tikai par kartupeļu Y vīrus</w:t>
            </w:r>
            <w:r w:rsidR="001F19EF" w:rsidRPr="00143C9A">
              <w:t>a noteikšanu</w:t>
            </w:r>
            <w:r w:rsidRPr="00143C9A">
              <w:t xml:space="preserve">, par pārējiem vīrusiem </w:t>
            </w:r>
            <w:r w:rsidR="00CC04F0">
              <w:t>–</w:t>
            </w:r>
            <w:r w:rsidRPr="00143C9A">
              <w:t xml:space="preserve"> par katru GBP 34 (EUR 39);</w:t>
            </w:r>
          </w:p>
          <w:p w:rsidR="008B3DFC" w:rsidRPr="00143C9A" w:rsidRDefault="001F19EF" w:rsidP="00AC7464">
            <w:pPr>
              <w:ind w:left="60"/>
              <w:jc w:val="both"/>
            </w:pPr>
            <w:r w:rsidRPr="00143C9A">
              <w:t xml:space="preserve">zinātniskā institūcija </w:t>
            </w:r>
            <w:r w:rsidR="008B3DFC" w:rsidRPr="00E80574">
              <w:rPr>
                <w:i/>
              </w:rPr>
              <w:t>NIAB</w:t>
            </w:r>
            <w:r w:rsidRPr="00143C9A">
              <w:t xml:space="preserve">, izmantojot </w:t>
            </w:r>
            <w:r w:rsidRPr="00E80574">
              <w:rPr>
                <w:i/>
              </w:rPr>
              <w:t>ELISA</w:t>
            </w:r>
            <w:r w:rsidRPr="00143C9A">
              <w:t xml:space="preserve"> metodi</w:t>
            </w:r>
            <w:r w:rsidR="008B3DFC" w:rsidRPr="00143C9A">
              <w:t xml:space="preserve"> – 6 vīrusu noteikšana GBP 216,50 (EUR 247)</w:t>
            </w:r>
            <w:r w:rsidRPr="00143C9A">
              <w:t>.</w:t>
            </w:r>
          </w:p>
          <w:p w:rsidR="00606C96" w:rsidRPr="00143C9A" w:rsidRDefault="008B3DFC" w:rsidP="001F19EF">
            <w:pPr>
              <w:ind w:left="60"/>
              <w:jc w:val="both"/>
            </w:pPr>
            <w:r w:rsidRPr="00143C9A">
              <w:rPr>
                <w:b/>
              </w:rPr>
              <w:t>Beļģija</w:t>
            </w:r>
            <w:r w:rsidRPr="00143C9A">
              <w:t xml:space="preserve"> (zinātniskā institūts </w:t>
            </w:r>
            <w:r w:rsidRPr="00E80574">
              <w:rPr>
                <w:i/>
              </w:rPr>
              <w:t>ILVO</w:t>
            </w:r>
            <w:r w:rsidRPr="00143C9A">
              <w:t>)</w:t>
            </w:r>
            <w:r w:rsidR="00CC04F0">
              <w:t>:</w:t>
            </w:r>
            <w:r w:rsidRPr="00143C9A">
              <w:t xml:space="preserve"> 100 bumbuļos 6 vīrusi </w:t>
            </w:r>
            <w:r w:rsidR="00CC04F0">
              <w:t xml:space="preserve">– </w:t>
            </w:r>
            <w:r w:rsidRPr="00143C9A">
              <w:t>EUR 185</w:t>
            </w:r>
            <w:r w:rsidR="001F19EF" w:rsidRPr="00143C9A">
              <w:t>.</w:t>
            </w:r>
          </w:p>
          <w:p w:rsidR="001F19EF" w:rsidRPr="00143C9A" w:rsidRDefault="00D261A8" w:rsidP="001F19EF">
            <w:pPr>
              <w:ind w:left="60"/>
              <w:jc w:val="both"/>
            </w:pPr>
            <w:r w:rsidRPr="00143C9A">
              <w:t>Salīdzināšanu ar citu valstu izmaksām var izmantot tikai</w:t>
            </w:r>
            <w:r w:rsidR="00CC04F0">
              <w:t xml:space="preserve"> tad</w:t>
            </w:r>
            <w:r w:rsidRPr="00143C9A">
              <w:t xml:space="preserve">, ja diagnosticēšanā izmantotas vienādas metodes. </w:t>
            </w:r>
            <w:r w:rsidR="001F19EF" w:rsidRPr="00143C9A">
              <w:t>Aprēķinot pamat</w:t>
            </w:r>
            <w:r w:rsidRPr="00143C9A">
              <w:t xml:space="preserve">a </w:t>
            </w:r>
            <w:r w:rsidR="001F19EF" w:rsidRPr="00143C9A">
              <w:t xml:space="preserve">izcenojumus </w:t>
            </w:r>
            <w:r w:rsidRPr="00143C9A">
              <w:t xml:space="preserve">kartupeļu </w:t>
            </w:r>
            <w:r w:rsidR="001446CD" w:rsidRPr="00143C9A">
              <w:t xml:space="preserve">sēklas </w:t>
            </w:r>
            <w:r w:rsidRPr="00143C9A">
              <w:t xml:space="preserve">materiāla sertifikācijai, </w:t>
            </w:r>
            <w:r w:rsidR="00CC04F0">
              <w:t>līdz ar</w:t>
            </w:r>
            <w:r w:rsidRPr="00143C9A">
              <w:t xml:space="preserve"> izmaksām vīrusu laboratoriskajai diagnosticēšanai iekļautas izmaksas arī par kartupeļu paraugu noņemšanu, ko veic dienesta inspektori</w:t>
            </w:r>
            <w:r w:rsidR="00CC04F0">
              <w:t>,</w:t>
            </w:r>
            <w:r w:rsidRPr="00143C9A">
              <w:t xml:space="preserve"> un </w:t>
            </w:r>
            <w:proofErr w:type="spellStart"/>
            <w:r w:rsidRPr="00143C9A">
              <w:t>viroīda</w:t>
            </w:r>
            <w:proofErr w:type="spellEnd"/>
            <w:r w:rsidRPr="00143C9A">
              <w:t xml:space="preserve"> noteikšanu, jo to var </w:t>
            </w:r>
            <w:r w:rsidR="00CC04F0">
              <w:t>izdarīt</w:t>
            </w:r>
            <w:r w:rsidRPr="00143C9A">
              <w:t xml:space="preserve"> vienlai</w:t>
            </w:r>
            <w:r w:rsidR="00CC04F0">
              <w:t>kus</w:t>
            </w:r>
            <w:r w:rsidRPr="00143C9A">
              <w:t xml:space="preserve"> no viena noņemtā parauga.</w:t>
            </w:r>
          </w:p>
          <w:p w:rsidR="00716258" w:rsidRPr="00143C9A" w:rsidRDefault="00716258" w:rsidP="001F19EF">
            <w:pPr>
              <w:ind w:left="60"/>
              <w:jc w:val="both"/>
            </w:pPr>
            <w:r w:rsidRPr="00143C9A">
              <w:t>Noteikumos nr.493 tiek ietvertas norādes uz testēšanas metodi</w:t>
            </w:r>
            <w:r w:rsidR="000A4EFB" w:rsidRPr="00143C9A">
              <w:t>, lai precizētu sniegtā pakalpojuma ietvaru.</w:t>
            </w:r>
          </w:p>
          <w:p w:rsidR="00743CD0" w:rsidRPr="00DA6B28" w:rsidRDefault="00743CD0" w:rsidP="00F43288">
            <w:pPr>
              <w:ind w:left="142" w:right="81"/>
              <w:jc w:val="both"/>
            </w:pPr>
            <w:r w:rsidRPr="00CF07CD">
              <w:t>Noteikumu projekts problēmu atrisinās pilnībā.</w:t>
            </w:r>
          </w:p>
        </w:tc>
      </w:tr>
      <w:tr w:rsidR="00743CD0" w:rsidRPr="008D27A6" w:rsidTr="00F43288">
        <w:trPr>
          <w:trHeight w:val="1071"/>
        </w:trPr>
        <w:tc>
          <w:tcPr>
            <w:tcW w:w="431" w:type="dxa"/>
          </w:tcPr>
          <w:p w:rsidR="00743CD0" w:rsidRPr="00DA6B28" w:rsidRDefault="00743CD0" w:rsidP="00F43288">
            <w:pPr>
              <w:pStyle w:val="naiskr"/>
              <w:spacing w:before="0" w:after="0"/>
              <w:jc w:val="center"/>
              <w:rPr>
                <w:sz w:val="22"/>
                <w:szCs w:val="22"/>
              </w:rPr>
            </w:pPr>
            <w:r w:rsidRPr="00DA6B28">
              <w:rPr>
                <w:sz w:val="22"/>
                <w:szCs w:val="22"/>
              </w:rPr>
              <w:lastRenderedPageBreak/>
              <w:t>3.</w:t>
            </w:r>
          </w:p>
        </w:tc>
        <w:tc>
          <w:tcPr>
            <w:tcW w:w="2551" w:type="dxa"/>
          </w:tcPr>
          <w:p w:rsidR="00743CD0" w:rsidRPr="00DA6B28" w:rsidRDefault="00743CD0" w:rsidP="00F43288">
            <w:pPr>
              <w:pStyle w:val="naiskr"/>
              <w:spacing w:before="0" w:after="0"/>
              <w:ind w:left="164"/>
              <w:rPr>
                <w:sz w:val="22"/>
                <w:szCs w:val="22"/>
              </w:rPr>
            </w:pPr>
            <w:r w:rsidRPr="00DA6B28">
              <w:t>Projekta izstrādē iesaistītās institūcijas</w:t>
            </w:r>
          </w:p>
        </w:tc>
        <w:tc>
          <w:tcPr>
            <w:tcW w:w="6743" w:type="dxa"/>
          </w:tcPr>
          <w:p w:rsidR="00743CD0" w:rsidRPr="00DA6B28" w:rsidRDefault="00743CD0" w:rsidP="00E80574">
            <w:pPr>
              <w:pStyle w:val="naiskr"/>
              <w:spacing w:before="0" w:after="0"/>
              <w:ind w:left="141" w:right="81"/>
              <w:jc w:val="both"/>
            </w:pPr>
            <w:r w:rsidRPr="005073F4">
              <w:t>Noteikumu Nr.12</w:t>
            </w:r>
            <w:r w:rsidRPr="005073F4">
              <w:rPr>
                <w:b/>
                <w:sz w:val="28"/>
                <w:szCs w:val="28"/>
              </w:rPr>
              <w:t xml:space="preserve"> </w:t>
            </w:r>
            <w:r w:rsidRPr="005073F4">
              <w:t>izstrādē tika iesaistīta Sēklkopības starpinstitūciju darba grupa, kas ir izveidota ar Zemkopības ministrijas 2015.</w:t>
            </w:r>
            <w:r>
              <w:t xml:space="preserve"> </w:t>
            </w:r>
            <w:r w:rsidRPr="005073F4">
              <w:t>gada 29.</w:t>
            </w:r>
            <w:r>
              <w:t xml:space="preserve"> </w:t>
            </w:r>
            <w:r w:rsidRPr="005073F4">
              <w:t>septembra rīkojumu Nr.</w:t>
            </w:r>
            <w:r>
              <w:t xml:space="preserve"> </w:t>
            </w:r>
            <w:r w:rsidRPr="005073F4">
              <w:t xml:space="preserve">137 „Par starpinstitūciju darba grupām”. Darba grupā </w:t>
            </w:r>
            <w:r>
              <w:t>bija</w:t>
            </w:r>
            <w:r w:rsidRPr="005073F4">
              <w:t xml:space="preserve"> pārstāvji no Valsts augu aizsardzības dienesta, Lauksaimnieku organizāciju sadarbības padomes un Zemnieku saeimas. Noteikumu </w:t>
            </w:r>
            <w:r>
              <w:t>Nr.12 a</w:t>
            </w:r>
            <w:r w:rsidRPr="005073F4">
              <w:t>notācijā tika ietverti jaunie izcenojumi un to apmēr</w:t>
            </w:r>
            <w:r>
              <w:t>s</w:t>
            </w:r>
            <w:r w:rsidRPr="005073F4">
              <w:t>, kā arī plānot</w:t>
            </w:r>
            <w:r>
              <w:t>ais</w:t>
            </w:r>
            <w:r w:rsidRPr="005073F4">
              <w:t xml:space="preserve"> pakalpojumu apjom</w:t>
            </w:r>
            <w:r>
              <w:t>s</w:t>
            </w:r>
            <w:r w:rsidRPr="005073F4">
              <w:t>.</w:t>
            </w:r>
            <w:r w:rsidR="00AF531E">
              <w:t xml:space="preserve"> </w:t>
            </w:r>
            <w:r w:rsidR="00CC04F0">
              <w:t>Tā kā</w:t>
            </w:r>
            <w:r w:rsidR="00AF531E" w:rsidRPr="00143C9A">
              <w:t xml:space="preserve"> nevalstisko organizāciju pārstāvji jau bija iepazīstināti ar jaunajiem izcenojumiem</w:t>
            </w:r>
            <w:r w:rsidR="00CC04F0">
              <w:t>,</w:t>
            </w:r>
            <w:r w:rsidR="00AF531E" w:rsidRPr="00143C9A">
              <w:t xml:space="preserve"> sagatavojot noteikumus Nr.12, atsevišķa darba grupa, kurā iesaistītu nevalstiskās organizācijas, šo noteikumu projekta izstrādei vairs netika veidota, bet pēc noteikumu projekta izstrādes tas tika nosūtīts nevalstiskajām organizācijām saskaņošanai. </w:t>
            </w:r>
          </w:p>
        </w:tc>
      </w:tr>
      <w:tr w:rsidR="00743CD0" w:rsidRPr="008D27A6" w:rsidTr="00F43288">
        <w:trPr>
          <w:trHeight w:val="384"/>
        </w:trPr>
        <w:tc>
          <w:tcPr>
            <w:tcW w:w="431" w:type="dxa"/>
          </w:tcPr>
          <w:p w:rsidR="00743CD0" w:rsidRPr="00710416" w:rsidRDefault="00743CD0" w:rsidP="00F43288">
            <w:pPr>
              <w:pStyle w:val="naiskr"/>
              <w:spacing w:before="0" w:after="0"/>
              <w:jc w:val="center"/>
              <w:rPr>
                <w:sz w:val="22"/>
                <w:szCs w:val="22"/>
              </w:rPr>
            </w:pPr>
            <w:r w:rsidRPr="00710416">
              <w:rPr>
                <w:sz w:val="22"/>
                <w:szCs w:val="22"/>
              </w:rPr>
              <w:t>4.</w:t>
            </w:r>
          </w:p>
        </w:tc>
        <w:tc>
          <w:tcPr>
            <w:tcW w:w="2551" w:type="dxa"/>
          </w:tcPr>
          <w:p w:rsidR="00743CD0" w:rsidRPr="000A1623" w:rsidRDefault="00743CD0" w:rsidP="00F43288">
            <w:pPr>
              <w:pStyle w:val="naiskr"/>
              <w:spacing w:before="0" w:after="0"/>
              <w:rPr>
                <w:sz w:val="22"/>
                <w:szCs w:val="22"/>
              </w:rPr>
            </w:pPr>
            <w:r w:rsidRPr="000A1623">
              <w:rPr>
                <w:sz w:val="22"/>
                <w:szCs w:val="22"/>
              </w:rPr>
              <w:t>Cita informācija</w:t>
            </w:r>
          </w:p>
        </w:tc>
        <w:tc>
          <w:tcPr>
            <w:tcW w:w="6743" w:type="dxa"/>
          </w:tcPr>
          <w:p w:rsidR="00743CD0" w:rsidRPr="00343B9A" w:rsidRDefault="00743CD0" w:rsidP="00F43288">
            <w:pPr>
              <w:jc w:val="both"/>
            </w:pPr>
            <w:r>
              <w:t>Nav</w:t>
            </w:r>
          </w:p>
        </w:tc>
      </w:tr>
    </w:tbl>
    <w:p w:rsidR="00743CD0" w:rsidRPr="00197CAF" w:rsidRDefault="00743CD0" w:rsidP="00743CD0">
      <w:pPr>
        <w:pStyle w:val="naisf"/>
        <w:spacing w:before="0" w:after="0"/>
        <w:ind w:firstLine="0"/>
        <w:rPr>
          <w:color w:val="0070C0"/>
          <w:sz w:val="16"/>
          <w:szCs w:val="16"/>
        </w:rPr>
      </w:pPr>
    </w:p>
    <w:tbl>
      <w:tblPr>
        <w:tblpPr w:leftFromText="180" w:rightFromText="180" w:vertAnchor="text" w:horzAnchor="margin" w:tblpXSpec="center" w:tblpY="14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2414"/>
        <w:gridCol w:w="6799"/>
      </w:tblGrid>
      <w:tr w:rsidR="00743CD0" w:rsidRPr="008D27A6" w:rsidTr="00F43288">
        <w:tc>
          <w:tcPr>
            <w:tcW w:w="9781" w:type="dxa"/>
            <w:gridSpan w:val="3"/>
            <w:vAlign w:val="center"/>
          </w:tcPr>
          <w:p w:rsidR="00743CD0" w:rsidRPr="00F668AA" w:rsidRDefault="00743CD0" w:rsidP="00F43288">
            <w:pPr>
              <w:ind w:right="57"/>
              <w:jc w:val="center"/>
              <w:rPr>
                <w:rFonts w:eastAsia="Calibri"/>
                <w:b/>
              </w:rPr>
            </w:pPr>
            <w:r w:rsidRPr="00F668AA">
              <w:rPr>
                <w:b/>
                <w:bCs/>
              </w:rPr>
              <w:t>II. Tiesību akta projekta ietekme uz sabiedrību</w:t>
            </w:r>
            <w:r w:rsidRPr="00F668AA">
              <w:rPr>
                <w:rFonts w:eastAsia="Calibri"/>
                <w:b/>
              </w:rPr>
              <w:t>, tautsaimniecības attīstību</w:t>
            </w:r>
          </w:p>
          <w:p w:rsidR="00743CD0" w:rsidRPr="008D27A6" w:rsidRDefault="00743CD0" w:rsidP="00F43288">
            <w:pPr>
              <w:pStyle w:val="naisnod"/>
              <w:spacing w:before="0" w:after="0"/>
              <w:rPr>
                <w:color w:val="0070C0"/>
              </w:rPr>
            </w:pPr>
            <w:r w:rsidRPr="00F668AA">
              <w:rPr>
                <w:rFonts w:eastAsia="Calibri"/>
                <w:bCs w:val="0"/>
                <w:lang w:eastAsia="en-US"/>
              </w:rPr>
              <w:lastRenderedPageBreak/>
              <w:t>un administratīvo slogu</w:t>
            </w:r>
          </w:p>
        </w:tc>
      </w:tr>
      <w:tr w:rsidR="00743CD0" w:rsidRPr="008D27A6" w:rsidTr="00F43288">
        <w:trPr>
          <w:trHeight w:val="1118"/>
        </w:trPr>
        <w:tc>
          <w:tcPr>
            <w:tcW w:w="568" w:type="dxa"/>
          </w:tcPr>
          <w:p w:rsidR="00743CD0" w:rsidRPr="00710416" w:rsidRDefault="00743CD0" w:rsidP="00F43288">
            <w:pPr>
              <w:pStyle w:val="naiskr"/>
              <w:spacing w:before="0" w:after="0"/>
              <w:jc w:val="center"/>
              <w:rPr>
                <w:sz w:val="22"/>
                <w:szCs w:val="22"/>
              </w:rPr>
            </w:pPr>
            <w:r w:rsidRPr="00710416">
              <w:rPr>
                <w:sz w:val="22"/>
                <w:szCs w:val="22"/>
              </w:rPr>
              <w:lastRenderedPageBreak/>
              <w:t>1.</w:t>
            </w:r>
          </w:p>
        </w:tc>
        <w:tc>
          <w:tcPr>
            <w:tcW w:w="2414" w:type="dxa"/>
          </w:tcPr>
          <w:p w:rsidR="00743CD0" w:rsidRPr="008D27A6" w:rsidRDefault="00743CD0" w:rsidP="00F43288">
            <w:pPr>
              <w:pStyle w:val="naiskr"/>
              <w:spacing w:before="0" w:after="0"/>
              <w:ind w:left="164"/>
              <w:rPr>
                <w:color w:val="0070C0"/>
                <w:sz w:val="22"/>
                <w:szCs w:val="22"/>
              </w:rPr>
            </w:pPr>
            <w:r w:rsidRPr="00BC331E">
              <w:t>Sabiedrības mērķgrupa, kuras tiesiskais regulējums ietekmē vai varētu ietekmēt</w:t>
            </w:r>
          </w:p>
        </w:tc>
        <w:tc>
          <w:tcPr>
            <w:tcW w:w="6799" w:type="dxa"/>
          </w:tcPr>
          <w:p w:rsidR="00743CD0" w:rsidRPr="00515E55" w:rsidRDefault="00743CD0" w:rsidP="00F43288">
            <w:pPr>
              <w:pStyle w:val="naiskr"/>
              <w:ind w:left="141"/>
              <w:jc w:val="both"/>
              <w:rPr>
                <w:iCs/>
              </w:rPr>
            </w:pPr>
            <w:r w:rsidRPr="00515E55">
              <w:rPr>
                <w:iCs/>
              </w:rPr>
              <w:t>Normatīvais akts attieksies uz kartupeļu selekcionāriem un sēklaudzētājiem. Pēc Valsts augu aizsardzības dienesta Sēklaudzētāju un sēklu tirgotāju reģistra datiem, kopumā ir aptuveni 25 kartupeļu sēklaudzētāji, saiņotāji, ievedēji un tirgotāji.</w:t>
            </w:r>
          </w:p>
        </w:tc>
      </w:tr>
      <w:tr w:rsidR="00743CD0" w:rsidRPr="008D27A6" w:rsidTr="00F43288">
        <w:trPr>
          <w:trHeight w:val="523"/>
        </w:trPr>
        <w:tc>
          <w:tcPr>
            <w:tcW w:w="568" w:type="dxa"/>
          </w:tcPr>
          <w:p w:rsidR="00743CD0" w:rsidRPr="00710416" w:rsidRDefault="00743CD0" w:rsidP="00F43288">
            <w:pPr>
              <w:pStyle w:val="naiskr"/>
              <w:spacing w:before="0" w:after="0"/>
              <w:jc w:val="center"/>
              <w:rPr>
                <w:sz w:val="22"/>
                <w:szCs w:val="22"/>
              </w:rPr>
            </w:pPr>
            <w:r w:rsidRPr="00710416">
              <w:rPr>
                <w:sz w:val="22"/>
                <w:szCs w:val="22"/>
              </w:rPr>
              <w:t>2.</w:t>
            </w:r>
          </w:p>
        </w:tc>
        <w:tc>
          <w:tcPr>
            <w:tcW w:w="2414" w:type="dxa"/>
          </w:tcPr>
          <w:p w:rsidR="00743CD0" w:rsidRPr="008D27A6" w:rsidRDefault="00743CD0" w:rsidP="00F43288">
            <w:pPr>
              <w:pStyle w:val="naiskr"/>
              <w:spacing w:before="0" w:after="0"/>
              <w:ind w:left="164"/>
              <w:rPr>
                <w:color w:val="0070C0"/>
                <w:sz w:val="22"/>
                <w:szCs w:val="22"/>
              </w:rPr>
            </w:pPr>
            <w:r w:rsidRPr="00BC331E">
              <w:t>Tiesiskā regulējuma ietekme uz tautsaimniecību un administratīvo slogu</w:t>
            </w:r>
          </w:p>
        </w:tc>
        <w:tc>
          <w:tcPr>
            <w:tcW w:w="6799" w:type="dxa"/>
          </w:tcPr>
          <w:p w:rsidR="00743CD0" w:rsidRPr="00515E55" w:rsidRDefault="00743CD0" w:rsidP="00F43288">
            <w:pPr>
              <w:pStyle w:val="naiskr"/>
              <w:spacing w:before="0" w:after="0"/>
              <w:ind w:left="141"/>
              <w:jc w:val="both"/>
              <w:rPr>
                <w:iCs/>
              </w:rPr>
            </w:pPr>
            <w:r w:rsidRPr="0085258C">
              <w:rPr>
                <w:iCs/>
              </w:rPr>
              <w:t xml:space="preserve">Noteikumu projekta tiesiskais regulējums kartupeļu sēklaudzētājiem, saiņotājiem, ievedējiem un tirgotājiem nemainās, jo kartupeļu sertifikācijas kārtība paliek </w:t>
            </w:r>
            <w:r>
              <w:rPr>
                <w:iCs/>
              </w:rPr>
              <w:t xml:space="preserve">tāda pati </w:t>
            </w:r>
            <w:r w:rsidRPr="0085258C">
              <w:rPr>
                <w:iCs/>
              </w:rPr>
              <w:t xml:space="preserve">kā līdz šim. Noteikumu projekts neuzliek papildu </w:t>
            </w:r>
            <w:r w:rsidRPr="0085258C">
              <w:t>administratīvo slogu</w:t>
            </w:r>
            <w:r w:rsidRPr="0085258C">
              <w:rPr>
                <w:iCs/>
              </w:rPr>
              <w:t xml:space="preserve"> kartupeļu sēklaudzētājiem, saiņotājiem, ievedējiem un tirgotājiem</w:t>
            </w:r>
            <w:r w:rsidRPr="0085258C">
              <w:t>, jo neparedz papildu  informācijas sniegšanas vai uzglabāšanas pienākumus.</w:t>
            </w:r>
          </w:p>
        </w:tc>
      </w:tr>
      <w:tr w:rsidR="00743CD0" w:rsidRPr="008D27A6" w:rsidTr="00F43288">
        <w:trPr>
          <w:trHeight w:val="517"/>
        </w:trPr>
        <w:tc>
          <w:tcPr>
            <w:tcW w:w="568" w:type="dxa"/>
          </w:tcPr>
          <w:p w:rsidR="00743CD0" w:rsidRPr="00710416" w:rsidRDefault="00743CD0" w:rsidP="00F43288">
            <w:pPr>
              <w:pStyle w:val="naiskr"/>
              <w:spacing w:before="0" w:after="0"/>
              <w:jc w:val="center"/>
              <w:rPr>
                <w:sz w:val="22"/>
                <w:szCs w:val="22"/>
              </w:rPr>
            </w:pPr>
            <w:r w:rsidRPr="00710416">
              <w:rPr>
                <w:sz w:val="22"/>
                <w:szCs w:val="22"/>
              </w:rPr>
              <w:t>3.</w:t>
            </w:r>
          </w:p>
        </w:tc>
        <w:tc>
          <w:tcPr>
            <w:tcW w:w="2414" w:type="dxa"/>
          </w:tcPr>
          <w:p w:rsidR="00743CD0" w:rsidRPr="008D27A6" w:rsidRDefault="00743CD0" w:rsidP="00F43288">
            <w:pPr>
              <w:pStyle w:val="naiskr"/>
              <w:spacing w:before="0" w:after="0"/>
              <w:rPr>
                <w:color w:val="0070C0"/>
                <w:sz w:val="22"/>
                <w:szCs w:val="22"/>
              </w:rPr>
            </w:pPr>
            <w:r w:rsidRPr="00BC331E">
              <w:t>Administratīvo izmaksu monetārs novērtējums</w:t>
            </w:r>
          </w:p>
        </w:tc>
        <w:tc>
          <w:tcPr>
            <w:tcW w:w="6799" w:type="dxa"/>
          </w:tcPr>
          <w:p w:rsidR="00743CD0" w:rsidRPr="00515E55" w:rsidRDefault="00743CD0" w:rsidP="00F43288">
            <w:pPr>
              <w:pStyle w:val="naiskr"/>
              <w:spacing w:before="0" w:after="0"/>
              <w:jc w:val="both"/>
            </w:pPr>
            <w:r>
              <w:rPr>
                <w:iCs/>
              </w:rPr>
              <w:t xml:space="preserve"> </w:t>
            </w:r>
            <w:r>
              <w:t>Projekts šo jomu neskar.</w:t>
            </w:r>
          </w:p>
          <w:p w:rsidR="00743CD0" w:rsidRPr="008D27A6" w:rsidRDefault="00743CD0" w:rsidP="00F43288">
            <w:pPr>
              <w:pStyle w:val="naiskr"/>
              <w:spacing w:before="0" w:after="0"/>
              <w:ind w:left="147"/>
              <w:jc w:val="both"/>
              <w:rPr>
                <w:color w:val="0070C0"/>
                <w:sz w:val="22"/>
                <w:szCs w:val="22"/>
              </w:rPr>
            </w:pPr>
          </w:p>
        </w:tc>
      </w:tr>
      <w:tr w:rsidR="00743CD0" w:rsidRPr="008D27A6" w:rsidTr="00F43288">
        <w:tc>
          <w:tcPr>
            <w:tcW w:w="568" w:type="dxa"/>
          </w:tcPr>
          <w:p w:rsidR="00743CD0" w:rsidRPr="00710416" w:rsidRDefault="00743CD0" w:rsidP="00F43288">
            <w:pPr>
              <w:pStyle w:val="naiskr"/>
              <w:spacing w:before="0" w:after="0"/>
              <w:jc w:val="center"/>
              <w:rPr>
                <w:sz w:val="22"/>
                <w:szCs w:val="22"/>
              </w:rPr>
            </w:pPr>
            <w:r w:rsidRPr="00710416">
              <w:rPr>
                <w:sz w:val="22"/>
                <w:szCs w:val="22"/>
              </w:rPr>
              <w:t>4.</w:t>
            </w:r>
          </w:p>
        </w:tc>
        <w:tc>
          <w:tcPr>
            <w:tcW w:w="2414" w:type="dxa"/>
          </w:tcPr>
          <w:p w:rsidR="00743CD0" w:rsidRPr="00710416" w:rsidRDefault="00743CD0" w:rsidP="00F43288">
            <w:pPr>
              <w:pStyle w:val="naiskr"/>
              <w:spacing w:before="0" w:after="0"/>
              <w:rPr>
                <w:sz w:val="22"/>
                <w:szCs w:val="22"/>
              </w:rPr>
            </w:pPr>
            <w:r w:rsidRPr="00710416">
              <w:rPr>
                <w:sz w:val="22"/>
                <w:szCs w:val="22"/>
              </w:rPr>
              <w:t>Cita informācija</w:t>
            </w:r>
          </w:p>
        </w:tc>
        <w:tc>
          <w:tcPr>
            <w:tcW w:w="6799" w:type="dxa"/>
          </w:tcPr>
          <w:p w:rsidR="00743CD0" w:rsidRPr="00710416" w:rsidRDefault="00743CD0" w:rsidP="00F43288">
            <w:pPr>
              <w:pStyle w:val="naiskr"/>
              <w:spacing w:before="0" w:after="0"/>
              <w:jc w:val="both"/>
            </w:pPr>
            <w:r w:rsidRPr="00710416">
              <w:t xml:space="preserve"> Nav </w:t>
            </w:r>
          </w:p>
        </w:tc>
      </w:tr>
    </w:tbl>
    <w:p w:rsidR="00743CD0" w:rsidRDefault="00743CD0" w:rsidP="00743CD0">
      <w:pPr>
        <w:pStyle w:val="naisf"/>
        <w:spacing w:before="0" w:after="0"/>
        <w:ind w:firstLine="0"/>
        <w:rPr>
          <w:color w:val="0070C0"/>
        </w:rPr>
      </w:pPr>
    </w:p>
    <w:tbl>
      <w:tblPr>
        <w:tblW w:w="9924" w:type="dxa"/>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40"/>
        <w:gridCol w:w="1590"/>
        <w:gridCol w:w="1608"/>
        <w:gridCol w:w="1575"/>
        <w:gridCol w:w="1576"/>
        <w:gridCol w:w="1835"/>
      </w:tblGrid>
      <w:tr w:rsidR="00743CD0" w:rsidRPr="00A804FA" w:rsidTr="009D0F00">
        <w:trPr>
          <w:trHeight w:val="360"/>
        </w:trPr>
        <w:tc>
          <w:tcPr>
            <w:tcW w:w="9924" w:type="dxa"/>
            <w:gridSpan w:val="6"/>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ind w:firstLine="300"/>
              <w:jc w:val="center"/>
              <w:rPr>
                <w:b/>
                <w:bCs/>
              </w:rPr>
            </w:pPr>
            <w:r w:rsidRPr="00143C9A">
              <w:rPr>
                <w:b/>
                <w:bCs/>
              </w:rPr>
              <w:t>III. Tiesību akta projekta ietekme uz valsts budžetu un pašvaldību budžetiem</w:t>
            </w:r>
          </w:p>
        </w:tc>
      </w:tr>
      <w:tr w:rsidR="00743CD0" w:rsidRPr="00A804FA" w:rsidTr="009D0F00">
        <w:tc>
          <w:tcPr>
            <w:tcW w:w="1740" w:type="dxa"/>
            <w:vMerge w:val="restart"/>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ind w:firstLine="300"/>
              <w:jc w:val="center"/>
              <w:rPr>
                <w:b/>
                <w:bCs/>
              </w:rPr>
            </w:pPr>
            <w:r w:rsidRPr="00143C9A">
              <w:rPr>
                <w:b/>
                <w:bCs/>
              </w:rPr>
              <w:t>Rādītāji</w:t>
            </w:r>
          </w:p>
        </w:tc>
        <w:tc>
          <w:tcPr>
            <w:tcW w:w="3198"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ind w:firstLine="300"/>
              <w:jc w:val="center"/>
              <w:rPr>
                <w:b/>
                <w:bCs/>
              </w:rPr>
            </w:pPr>
            <w:r w:rsidRPr="00143C9A">
              <w:rPr>
                <w:b/>
              </w:rPr>
              <w:t>2016. gads</w:t>
            </w:r>
            <w:r w:rsidRPr="00143C9A">
              <w:rPr>
                <w:b/>
                <w:bCs/>
              </w:rPr>
              <w:t xml:space="preserve"> </w:t>
            </w:r>
          </w:p>
        </w:tc>
        <w:tc>
          <w:tcPr>
            <w:tcW w:w="4986" w:type="dxa"/>
            <w:gridSpan w:val="3"/>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ind w:firstLine="300"/>
              <w:jc w:val="center"/>
            </w:pPr>
            <w:r w:rsidRPr="00143C9A">
              <w:t>Turpmākie trīs gadi (</w:t>
            </w:r>
            <w:proofErr w:type="spellStart"/>
            <w:r w:rsidRPr="00143C9A">
              <w:rPr>
                <w:i/>
              </w:rPr>
              <w:t>euro</w:t>
            </w:r>
            <w:proofErr w:type="spellEnd"/>
            <w:r w:rsidRPr="00143C9A">
              <w:t>)</w:t>
            </w:r>
          </w:p>
        </w:tc>
      </w:tr>
      <w:tr w:rsidR="00743CD0" w:rsidRPr="00A804FA" w:rsidTr="009D0F00">
        <w:tc>
          <w:tcPr>
            <w:tcW w:w="1740" w:type="dxa"/>
            <w:vMerge/>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rPr>
                <w:b/>
                <w:bCs/>
              </w:rPr>
            </w:pPr>
          </w:p>
        </w:tc>
        <w:tc>
          <w:tcPr>
            <w:tcW w:w="3198" w:type="dxa"/>
            <w:gridSpan w:val="2"/>
            <w:vMerge/>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rPr>
                <w:b/>
                <w:bCs/>
              </w:rPr>
            </w:pPr>
          </w:p>
        </w:tc>
        <w:tc>
          <w:tcPr>
            <w:tcW w:w="1575"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ind w:firstLine="300"/>
              <w:jc w:val="center"/>
              <w:rPr>
                <w:b/>
                <w:bCs/>
              </w:rPr>
            </w:pPr>
            <w:r w:rsidRPr="00143C9A">
              <w:rPr>
                <w:b/>
                <w:bCs/>
              </w:rPr>
              <w:t>2017.</w:t>
            </w:r>
          </w:p>
        </w:tc>
        <w:tc>
          <w:tcPr>
            <w:tcW w:w="1576"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ind w:firstLine="300"/>
              <w:jc w:val="center"/>
              <w:rPr>
                <w:b/>
                <w:bCs/>
              </w:rPr>
            </w:pPr>
            <w:r w:rsidRPr="00143C9A">
              <w:rPr>
                <w:b/>
                <w:bCs/>
              </w:rPr>
              <w:t>2018.</w:t>
            </w:r>
          </w:p>
        </w:tc>
        <w:tc>
          <w:tcPr>
            <w:tcW w:w="1835"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ind w:firstLine="300"/>
              <w:jc w:val="center"/>
              <w:rPr>
                <w:b/>
                <w:bCs/>
              </w:rPr>
            </w:pPr>
            <w:r w:rsidRPr="00143C9A">
              <w:rPr>
                <w:b/>
                <w:bCs/>
              </w:rPr>
              <w:t>2019.</w:t>
            </w:r>
          </w:p>
        </w:tc>
      </w:tr>
      <w:tr w:rsidR="00743CD0" w:rsidRPr="00A804FA" w:rsidTr="009D0F00">
        <w:tc>
          <w:tcPr>
            <w:tcW w:w="1740" w:type="dxa"/>
            <w:vMerge/>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rPr>
                <w:b/>
                <w:bCs/>
              </w:rPr>
            </w:pPr>
          </w:p>
        </w:tc>
        <w:tc>
          <w:tcPr>
            <w:tcW w:w="1590"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r w:rsidRPr="00143C9A">
              <w:t>saskaņā ar valsts budžetu kārtējam gadam</w:t>
            </w:r>
          </w:p>
        </w:tc>
        <w:tc>
          <w:tcPr>
            <w:tcW w:w="1608"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r w:rsidRPr="00143C9A">
              <w:t>izmaiņas kārtējā gadā, salīdzinot ar valsts budžetu kārtējam gadam</w:t>
            </w:r>
          </w:p>
        </w:tc>
        <w:tc>
          <w:tcPr>
            <w:tcW w:w="1575"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743CD0">
            <w:r w:rsidRPr="00143C9A">
              <w:t>izmaiņas, salīdzinot ar kārtējo 2016. gadu</w:t>
            </w:r>
          </w:p>
        </w:tc>
        <w:tc>
          <w:tcPr>
            <w:tcW w:w="1576"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r w:rsidRPr="00143C9A">
              <w:t>izmaiņas, salīdzinot ar kārtējo 2016. gadu</w:t>
            </w:r>
          </w:p>
        </w:tc>
        <w:tc>
          <w:tcPr>
            <w:tcW w:w="1835"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r w:rsidRPr="00143C9A">
              <w:t>izmaiņas, salīdzinot ar kārtējo 2016. gadu</w:t>
            </w: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ind w:firstLine="300"/>
              <w:jc w:val="center"/>
            </w:pPr>
            <w:r w:rsidRPr="00143C9A">
              <w:t>1</w:t>
            </w:r>
          </w:p>
        </w:tc>
        <w:tc>
          <w:tcPr>
            <w:tcW w:w="1590"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ind w:firstLine="300"/>
              <w:jc w:val="center"/>
            </w:pPr>
            <w:r w:rsidRPr="00143C9A">
              <w:t>2</w:t>
            </w:r>
          </w:p>
        </w:tc>
        <w:tc>
          <w:tcPr>
            <w:tcW w:w="1608"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ind w:firstLine="300"/>
              <w:jc w:val="center"/>
            </w:pPr>
            <w:r w:rsidRPr="00143C9A">
              <w:t>3</w:t>
            </w:r>
          </w:p>
        </w:tc>
        <w:tc>
          <w:tcPr>
            <w:tcW w:w="1575"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ind w:firstLine="300"/>
              <w:jc w:val="center"/>
            </w:pPr>
            <w:r w:rsidRPr="00143C9A">
              <w:t>4</w:t>
            </w:r>
          </w:p>
        </w:tc>
        <w:tc>
          <w:tcPr>
            <w:tcW w:w="1576"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ind w:firstLine="300"/>
              <w:jc w:val="center"/>
            </w:pPr>
            <w:r w:rsidRPr="00143C9A">
              <w:t>5</w:t>
            </w:r>
          </w:p>
        </w:tc>
        <w:tc>
          <w:tcPr>
            <w:tcW w:w="1835"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ind w:firstLine="300"/>
              <w:jc w:val="center"/>
            </w:pPr>
            <w:r w:rsidRPr="00143C9A">
              <w:t>6</w:t>
            </w:r>
          </w:p>
        </w:tc>
      </w:tr>
      <w:tr w:rsidR="009D0F0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9D0F00" w:rsidRPr="00143C9A" w:rsidRDefault="009D0F00" w:rsidP="0068180B">
            <w:r w:rsidRPr="00143C9A">
              <w:t>1. Budžeta ieņēmumi:</w:t>
            </w:r>
          </w:p>
        </w:tc>
        <w:tc>
          <w:tcPr>
            <w:tcW w:w="1590" w:type="dxa"/>
            <w:tcBorders>
              <w:top w:val="outset" w:sz="6" w:space="0" w:color="414142"/>
              <w:left w:val="outset" w:sz="6" w:space="0" w:color="414142"/>
              <w:bottom w:val="outset" w:sz="6" w:space="0" w:color="414142"/>
              <w:right w:val="outset" w:sz="6" w:space="0" w:color="414142"/>
            </w:tcBorders>
          </w:tcPr>
          <w:p w:rsidR="009D0F00" w:rsidRPr="00143C9A" w:rsidRDefault="009D0F00" w:rsidP="0068180B">
            <w:pPr>
              <w:jc w:val="center"/>
            </w:pPr>
            <w:r w:rsidRPr="00143C9A">
              <w:t>2562</w:t>
            </w:r>
          </w:p>
        </w:tc>
        <w:tc>
          <w:tcPr>
            <w:tcW w:w="1608" w:type="dxa"/>
            <w:tcBorders>
              <w:top w:val="outset" w:sz="6" w:space="0" w:color="414142"/>
              <w:left w:val="outset" w:sz="6" w:space="0" w:color="414142"/>
              <w:bottom w:val="outset" w:sz="6" w:space="0" w:color="414142"/>
              <w:right w:val="outset" w:sz="6" w:space="0" w:color="414142"/>
            </w:tcBorders>
          </w:tcPr>
          <w:p w:rsidR="009D0F00" w:rsidRPr="00143C9A" w:rsidRDefault="009D0F00" w:rsidP="0068180B">
            <w:pPr>
              <w:jc w:val="center"/>
            </w:pPr>
            <w:r w:rsidRPr="00143C9A">
              <w:t>4698</w:t>
            </w:r>
          </w:p>
        </w:tc>
        <w:tc>
          <w:tcPr>
            <w:tcW w:w="1575" w:type="dxa"/>
            <w:tcBorders>
              <w:top w:val="outset" w:sz="6" w:space="0" w:color="414142"/>
              <w:left w:val="outset" w:sz="6" w:space="0" w:color="414142"/>
              <w:bottom w:val="outset" w:sz="6" w:space="0" w:color="414142"/>
              <w:right w:val="outset" w:sz="6" w:space="0" w:color="414142"/>
            </w:tcBorders>
          </w:tcPr>
          <w:p w:rsidR="009D0F00" w:rsidRPr="00143C9A" w:rsidRDefault="009D0F00" w:rsidP="0068180B">
            <w:pPr>
              <w:jc w:val="center"/>
            </w:pPr>
            <w:r w:rsidRPr="00143C9A">
              <w:t>15908</w:t>
            </w:r>
          </w:p>
        </w:tc>
        <w:tc>
          <w:tcPr>
            <w:tcW w:w="1576"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c>
          <w:tcPr>
            <w:tcW w:w="1835"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r>
      <w:tr w:rsidR="009D0F0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9D0F00" w:rsidRPr="00143C9A" w:rsidRDefault="009D0F00" w:rsidP="0068180B">
            <w:r w:rsidRPr="00143C9A">
              <w:t>1.1. valsts pamatbudžets, tai skaitā ieņēmumi no maksas pakalpojumiem un citi pašu ieņēmumi</w:t>
            </w:r>
          </w:p>
        </w:tc>
        <w:tc>
          <w:tcPr>
            <w:tcW w:w="1590" w:type="dxa"/>
            <w:tcBorders>
              <w:top w:val="outset" w:sz="6" w:space="0" w:color="414142"/>
              <w:left w:val="outset" w:sz="6" w:space="0" w:color="414142"/>
              <w:bottom w:val="outset" w:sz="6" w:space="0" w:color="414142"/>
              <w:right w:val="outset" w:sz="6" w:space="0" w:color="414142"/>
            </w:tcBorders>
          </w:tcPr>
          <w:p w:rsidR="009D0F00" w:rsidRPr="00143C9A" w:rsidRDefault="009D0F00" w:rsidP="0068180B">
            <w:pPr>
              <w:jc w:val="center"/>
            </w:pPr>
            <w:r w:rsidRPr="00143C9A">
              <w:t>2562</w:t>
            </w:r>
          </w:p>
        </w:tc>
        <w:tc>
          <w:tcPr>
            <w:tcW w:w="1608" w:type="dxa"/>
            <w:tcBorders>
              <w:top w:val="outset" w:sz="6" w:space="0" w:color="414142"/>
              <w:left w:val="outset" w:sz="6" w:space="0" w:color="414142"/>
              <w:bottom w:val="outset" w:sz="6" w:space="0" w:color="414142"/>
              <w:right w:val="outset" w:sz="6" w:space="0" w:color="414142"/>
            </w:tcBorders>
          </w:tcPr>
          <w:p w:rsidR="009D0F00" w:rsidRPr="00143C9A" w:rsidRDefault="009D0F00" w:rsidP="0068180B">
            <w:pPr>
              <w:jc w:val="center"/>
            </w:pPr>
            <w:r w:rsidRPr="00143C9A">
              <w:t>4698</w:t>
            </w:r>
          </w:p>
        </w:tc>
        <w:tc>
          <w:tcPr>
            <w:tcW w:w="1575"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c>
          <w:tcPr>
            <w:tcW w:w="1576"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c>
          <w:tcPr>
            <w:tcW w:w="1835"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r>
      <w:tr w:rsidR="009D0F0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9D0F00" w:rsidRPr="00143C9A" w:rsidRDefault="009D0F00" w:rsidP="0068180B">
            <w:pPr>
              <w:numPr>
                <w:ilvl w:val="2"/>
                <w:numId w:val="1"/>
              </w:numPr>
              <w:ind w:left="0" w:firstLine="0"/>
            </w:pPr>
            <w:r w:rsidRPr="00143C9A">
              <w:t>ieņēmumi no maksas pakalpojumiem un citi pašu ieņēmumi</w:t>
            </w:r>
          </w:p>
        </w:tc>
        <w:tc>
          <w:tcPr>
            <w:tcW w:w="1590" w:type="dxa"/>
            <w:tcBorders>
              <w:top w:val="outset" w:sz="6" w:space="0" w:color="414142"/>
              <w:left w:val="outset" w:sz="6" w:space="0" w:color="414142"/>
              <w:bottom w:val="outset" w:sz="6" w:space="0" w:color="414142"/>
              <w:right w:val="outset" w:sz="6" w:space="0" w:color="414142"/>
            </w:tcBorders>
          </w:tcPr>
          <w:p w:rsidR="009D0F00" w:rsidRPr="00143C9A" w:rsidRDefault="009D0F00" w:rsidP="0068180B">
            <w:pPr>
              <w:jc w:val="center"/>
            </w:pPr>
            <w:r w:rsidRPr="00143C9A">
              <w:t>2562</w:t>
            </w:r>
          </w:p>
        </w:tc>
        <w:tc>
          <w:tcPr>
            <w:tcW w:w="1608" w:type="dxa"/>
            <w:tcBorders>
              <w:top w:val="outset" w:sz="6" w:space="0" w:color="414142"/>
              <w:left w:val="outset" w:sz="6" w:space="0" w:color="414142"/>
              <w:bottom w:val="outset" w:sz="6" w:space="0" w:color="414142"/>
              <w:right w:val="outset" w:sz="6" w:space="0" w:color="414142"/>
            </w:tcBorders>
          </w:tcPr>
          <w:p w:rsidR="009D0F00" w:rsidRPr="00143C9A" w:rsidRDefault="009D0F00" w:rsidP="0068180B">
            <w:pPr>
              <w:jc w:val="center"/>
            </w:pPr>
            <w:r w:rsidRPr="00143C9A">
              <w:t>4698</w:t>
            </w:r>
          </w:p>
        </w:tc>
        <w:tc>
          <w:tcPr>
            <w:tcW w:w="1575"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c>
          <w:tcPr>
            <w:tcW w:w="1576"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c>
          <w:tcPr>
            <w:tcW w:w="1835"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1.1.2. ieņēmumi no nodevām par juridiskajiem un citiem pakalpojumiem</w:t>
            </w:r>
          </w:p>
        </w:tc>
        <w:tc>
          <w:tcPr>
            <w:tcW w:w="1590"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608"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575"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576"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835"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1.2. valsts speciālais budžets</w:t>
            </w:r>
          </w:p>
        </w:tc>
        <w:tc>
          <w:tcPr>
            <w:tcW w:w="1590"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608"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575"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576"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835"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lastRenderedPageBreak/>
              <w:t>1.3. pašvaldību budžets</w:t>
            </w:r>
          </w:p>
        </w:tc>
        <w:tc>
          <w:tcPr>
            <w:tcW w:w="1590"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608"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575"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576"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835"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r>
      <w:tr w:rsidR="009D0F0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9D0F00" w:rsidRPr="00143C9A" w:rsidRDefault="009D0F00" w:rsidP="0068180B">
            <w:r w:rsidRPr="00143C9A">
              <w:t>2. Budžeta izdevumi:</w:t>
            </w:r>
          </w:p>
        </w:tc>
        <w:tc>
          <w:tcPr>
            <w:tcW w:w="1590" w:type="dxa"/>
            <w:tcBorders>
              <w:top w:val="outset" w:sz="6" w:space="0" w:color="414142"/>
              <w:left w:val="outset" w:sz="6" w:space="0" w:color="414142"/>
              <w:bottom w:val="outset" w:sz="6" w:space="0" w:color="414142"/>
              <w:right w:val="outset" w:sz="6" w:space="0" w:color="414142"/>
            </w:tcBorders>
          </w:tcPr>
          <w:p w:rsidR="009D0F00" w:rsidRPr="00143C9A" w:rsidRDefault="009D0F00" w:rsidP="0068180B">
            <w:pPr>
              <w:jc w:val="center"/>
            </w:pPr>
            <w:r w:rsidRPr="00143C9A">
              <w:t>2562</w:t>
            </w:r>
          </w:p>
        </w:tc>
        <w:tc>
          <w:tcPr>
            <w:tcW w:w="1608"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4698</w:t>
            </w:r>
          </w:p>
        </w:tc>
        <w:tc>
          <w:tcPr>
            <w:tcW w:w="1575"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c>
          <w:tcPr>
            <w:tcW w:w="1576"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c>
          <w:tcPr>
            <w:tcW w:w="1835"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r>
      <w:tr w:rsidR="009D0F0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9D0F00" w:rsidRPr="00143C9A" w:rsidRDefault="009D0F00" w:rsidP="0068180B">
            <w:r w:rsidRPr="00143C9A">
              <w:t>2.1. valsts pamatbudžets</w:t>
            </w:r>
          </w:p>
        </w:tc>
        <w:tc>
          <w:tcPr>
            <w:tcW w:w="1590" w:type="dxa"/>
            <w:tcBorders>
              <w:top w:val="outset" w:sz="6" w:space="0" w:color="414142"/>
              <w:left w:val="outset" w:sz="6" w:space="0" w:color="414142"/>
              <w:bottom w:val="outset" w:sz="6" w:space="0" w:color="414142"/>
              <w:right w:val="outset" w:sz="6" w:space="0" w:color="414142"/>
            </w:tcBorders>
          </w:tcPr>
          <w:p w:rsidR="009D0F00" w:rsidRPr="00143C9A" w:rsidRDefault="009D0F00" w:rsidP="0068180B">
            <w:pPr>
              <w:jc w:val="center"/>
            </w:pPr>
            <w:r w:rsidRPr="00143C9A">
              <w:t>2562</w:t>
            </w:r>
          </w:p>
        </w:tc>
        <w:tc>
          <w:tcPr>
            <w:tcW w:w="1608"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4698</w:t>
            </w:r>
          </w:p>
        </w:tc>
        <w:tc>
          <w:tcPr>
            <w:tcW w:w="1575"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c>
          <w:tcPr>
            <w:tcW w:w="1576"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c>
          <w:tcPr>
            <w:tcW w:w="1835"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r>
      <w:tr w:rsidR="009D0F0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9D0F00" w:rsidRPr="00143C9A" w:rsidRDefault="009D0F00" w:rsidP="0068180B">
            <w:r w:rsidRPr="00143C9A">
              <w:t>2.2.1. izdevumi no maksas pakalpojumiem un citiem pašu ieņēmumiem</w:t>
            </w:r>
          </w:p>
        </w:tc>
        <w:tc>
          <w:tcPr>
            <w:tcW w:w="1590" w:type="dxa"/>
            <w:tcBorders>
              <w:top w:val="outset" w:sz="6" w:space="0" w:color="414142"/>
              <w:left w:val="outset" w:sz="6" w:space="0" w:color="414142"/>
              <w:bottom w:val="outset" w:sz="6" w:space="0" w:color="414142"/>
              <w:right w:val="outset" w:sz="6" w:space="0" w:color="414142"/>
            </w:tcBorders>
          </w:tcPr>
          <w:p w:rsidR="009D0F00" w:rsidRPr="00143C9A" w:rsidRDefault="009D0F00" w:rsidP="0068180B">
            <w:pPr>
              <w:jc w:val="center"/>
            </w:pPr>
            <w:r w:rsidRPr="00143C9A">
              <w:t>2562</w:t>
            </w:r>
          </w:p>
        </w:tc>
        <w:tc>
          <w:tcPr>
            <w:tcW w:w="1608"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4698</w:t>
            </w:r>
          </w:p>
        </w:tc>
        <w:tc>
          <w:tcPr>
            <w:tcW w:w="1575"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c>
          <w:tcPr>
            <w:tcW w:w="1576"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c>
          <w:tcPr>
            <w:tcW w:w="1835" w:type="dxa"/>
            <w:tcBorders>
              <w:top w:val="outset" w:sz="6" w:space="0" w:color="414142"/>
              <w:left w:val="outset" w:sz="6" w:space="0" w:color="414142"/>
              <w:bottom w:val="outset" w:sz="6" w:space="0" w:color="414142"/>
              <w:right w:val="outset" w:sz="6" w:space="0" w:color="414142"/>
            </w:tcBorders>
          </w:tcPr>
          <w:p w:rsidR="009D0F00" w:rsidRPr="00143C9A" w:rsidRDefault="009D0F00" w:rsidP="009D0F00">
            <w:pPr>
              <w:jc w:val="center"/>
            </w:pPr>
            <w:r w:rsidRPr="00143C9A">
              <w:t>15908</w:t>
            </w: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2.2.2. izdevumi no dotācijas no vispārējiem ieņēmumiem</w:t>
            </w:r>
          </w:p>
        </w:tc>
        <w:tc>
          <w:tcPr>
            <w:tcW w:w="1590"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608"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575"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576"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c>
          <w:tcPr>
            <w:tcW w:w="1835" w:type="dxa"/>
            <w:tcBorders>
              <w:top w:val="outset" w:sz="6" w:space="0" w:color="414142"/>
              <w:left w:val="outset" w:sz="6" w:space="0" w:color="414142"/>
              <w:bottom w:val="outset" w:sz="6" w:space="0" w:color="414142"/>
              <w:right w:val="outset" w:sz="6" w:space="0" w:color="414142"/>
            </w:tcBorders>
          </w:tcPr>
          <w:p w:rsidR="00743CD0" w:rsidRPr="00143C9A" w:rsidRDefault="00743CD0" w:rsidP="0068180B">
            <w:pPr>
              <w:jc w:val="center"/>
            </w:pP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2.2. valsts speciālais budžets</w:t>
            </w:r>
          </w:p>
        </w:tc>
        <w:tc>
          <w:tcPr>
            <w:tcW w:w="159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c>
          <w:tcPr>
            <w:tcW w:w="1608"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c>
          <w:tcPr>
            <w:tcW w:w="157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c>
          <w:tcPr>
            <w:tcW w:w="1576"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c>
          <w:tcPr>
            <w:tcW w:w="183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2.3. pašvaldību budžets</w:t>
            </w:r>
          </w:p>
        </w:tc>
        <w:tc>
          <w:tcPr>
            <w:tcW w:w="159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c>
          <w:tcPr>
            <w:tcW w:w="1608"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c>
          <w:tcPr>
            <w:tcW w:w="157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c>
          <w:tcPr>
            <w:tcW w:w="1576"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c>
          <w:tcPr>
            <w:tcW w:w="183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3. Finansiālā ietekme:</w:t>
            </w:r>
          </w:p>
        </w:tc>
        <w:tc>
          <w:tcPr>
            <w:tcW w:w="1590"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jc w:val="center"/>
            </w:pPr>
            <w:r w:rsidRPr="00143C9A">
              <w:t>0</w:t>
            </w:r>
          </w:p>
        </w:tc>
        <w:tc>
          <w:tcPr>
            <w:tcW w:w="1608"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jc w:val="center"/>
            </w:pPr>
            <w:r w:rsidRPr="00143C9A">
              <w:t>0</w:t>
            </w:r>
          </w:p>
        </w:tc>
        <w:tc>
          <w:tcPr>
            <w:tcW w:w="1575"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jc w:val="center"/>
            </w:pPr>
            <w:r w:rsidRPr="00143C9A">
              <w:t>0</w:t>
            </w:r>
          </w:p>
        </w:tc>
        <w:tc>
          <w:tcPr>
            <w:tcW w:w="1576"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jc w:val="center"/>
            </w:pPr>
            <w:r w:rsidRPr="00143C9A">
              <w:t>0</w:t>
            </w:r>
          </w:p>
        </w:tc>
        <w:tc>
          <w:tcPr>
            <w:tcW w:w="1835"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jc w:val="center"/>
            </w:pPr>
            <w:r w:rsidRPr="00143C9A">
              <w:t>0</w:t>
            </w: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3.1. valsts pamatbudžets</w:t>
            </w:r>
          </w:p>
        </w:tc>
        <w:tc>
          <w:tcPr>
            <w:tcW w:w="1590"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jc w:val="center"/>
            </w:pPr>
            <w:r w:rsidRPr="00143C9A">
              <w:t>0</w:t>
            </w:r>
          </w:p>
        </w:tc>
        <w:tc>
          <w:tcPr>
            <w:tcW w:w="1608"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jc w:val="center"/>
            </w:pPr>
            <w:r w:rsidRPr="00143C9A">
              <w:t>0</w:t>
            </w:r>
          </w:p>
        </w:tc>
        <w:tc>
          <w:tcPr>
            <w:tcW w:w="1575"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jc w:val="center"/>
            </w:pPr>
            <w:r w:rsidRPr="00143C9A">
              <w:t>0</w:t>
            </w:r>
          </w:p>
        </w:tc>
        <w:tc>
          <w:tcPr>
            <w:tcW w:w="1576"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jc w:val="center"/>
            </w:pPr>
            <w:r w:rsidRPr="00143C9A">
              <w:t>0</w:t>
            </w:r>
          </w:p>
        </w:tc>
        <w:tc>
          <w:tcPr>
            <w:tcW w:w="1835" w:type="dxa"/>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pPr>
              <w:jc w:val="center"/>
            </w:pPr>
            <w:r w:rsidRPr="00143C9A">
              <w:t>0</w:t>
            </w: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3.2. speciālais budžets</w:t>
            </w:r>
          </w:p>
        </w:tc>
        <w:tc>
          <w:tcPr>
            <w:tcW w:w="159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c>
          <w:tcPr>
            <w:tcW w:w="1608"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c>
          <w:tcPr>
            <w:tcW w:w="157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c>
          <w:tcPr>
            <w:tcW w:w="1576"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c>
          <w:tcPr>
            <w:tcW w:w="183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center"/>
            </w:pP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3.3. pašvaldību budžets</w:t>
            </w:r>
          </w:p>
        </w:tc>
        <w:tc>
          <w:tcPr>
            <w:tcW w:w="159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608"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6"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83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r>
      <w:tr w:rsidR="00743CD0" w:rsidRPr="00A804FA" w:rsidTr="009D0F00">
        <w:tc>
          <w:tcPr>
            <w:tcW w:w="1740" w:type="dxa"/>
            <w:vMerge w:val="restart"/>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4. Finanšu līdzekļi papildu izdevumu finansēšanai (kompensējošu izdevumu samazinājumu norāda ar "+" zīmi)</w:t>
            </w:r>
          </w:p>
        </w:tc>
        <w:tc>
          <w:tcPr>
            <w:tcW w:w="1590" w:type="dxa"/>
            <w:vMerge w:val="restart"/>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ind w:firstLine="300"/>
              <w:jc w:val="center"/>
            </w:pPr>
            <w:r w:rsidRPr="00143C9A">
              <w:t>X</w:t>
            </w:r>
          </w:p>
        </w:tc>
        <w:tc>
          <w:tcPr>
            <w:tcW w:w="1608"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6"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83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r>
      <w:tr w:rsidR="00743CD0" w:rsidRPr="00A804FA" w:rsidTr="009D0F00">
        <w:tc>
          <w:tcPr>
            <w:tcW w:w="1740" w:type="dxa"/>
            <w:vMerge/>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tc>
        <w:tc>
          <w:tcPr>
            <w:tcW w:w="1590" w:type="dxa"/>
            <w:vMerge/>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tc>
        <w:tc>
          <w:tcPr>
            <w:tcW w:w="1608"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6"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83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r>
      <w:tr w:rsidR="00743CD0" w:rsidRPr="00A804FA" w:rsidTr="009D0F00">
        <w:tc>
          <w:tcPr>
            <w:tcW w:w="1740" w:type="dxa"/>
            <w:vMerge/>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tc>
        <w:tc>
          <w:tcPr>
            <w:tcW w:w="1590" w:type="dxa"/>
            <w:vMerge/>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tc>
        <w:tc>
          <w:tcPr>
            <w:tcW w:w="1608"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6"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83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5. Precizēta finansiālā ietekme:</w:t>
            </w:r>
          </w:p>
        </w:tc>
        <w:tc>
          <w:tcPr>
            <w:tcW w:w="1590" w:type="dxa"/>
            <w:vMerge w:val="restart"/>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ind w:firstLine="300"/>
              <w:jc w:val="center"/>
            </w:pPr>
            <w:r w:rsidRPr="00143C9A">
              <w:t>X</w:t>
            </w:r>
          </w:p>
        </w:tc>
        <w:tc>
          <w:tcPr>
            <w:tcW w:w="1608"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6"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83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5.1. valsts pamatbudžets</w:t>
            </w:r>
          </w:p>
        </w:tc>
        <w:tc>
          <w:tcPr>
            <w:tcW w:w="1590" w:type="dxa"/>
            <w:vMerge/>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tc>
        <w:tc>
          <w:tcPr>
            <w:tcW w:w="1608"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6"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83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5.2. speciālais budžets</w:t>
            </w:r>
          </w:p>
        </w:tc>
        <w:tc>
          <w:tcPr>
            <w:tcW w:w="1590" w:type="dxa"/>
            <w:vMerge/>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tc>
        <w:tc>
          <w:tcPr>
            <w:tcW w:w="1608"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6"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83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5.3. pašvaldību budžets</w:t>
            </w:r>
          </w:p>
        </w:tc>
        <w:tc>
          <w:tcPr>
            <w:tcW w:w="1590" w:type="dxa"/>
            <w:vMerge/>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tc>
        <w:tc>
          <w:tcPr>
            <w:tcW w:w="1608"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576"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c>
          <w:tcPr>
            <w:tcW w:w="1835"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 </w:t>
            </w:r>
          </w:p>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lastRenderedPageBreak/>
              <w:t>6. Detalizēts ieņēmumu un izdevumu aprēķins (ja nepieciešams, detalizētu ieņēmumu un izdevumu aprēķinu var pievienot anotācijas pielikumā):</w:t>
            </w:r>
          </w:p>
        </w:tc>
        <w:tc>
          <w:tcPr>
            <w:tcW w:w="8184" w:type="dxa"/>
            <w:gridSpan w:val="5"/>
            <w:vMerge w:val="restart"/>
            <w:tcBorders>
              <w:top w:val="outset" w:sz="6" w:space="0" w:color="414142"/>
              <w:left w:val="outset" w:sz="6" w:space="0" w:color="414142"/>
              <w:bottom w:val="outset" w:sz="6" w:space="0" w:color="414142"/>
              <w:right w:val="outset" w:sz="6" w:space="0" w:color="414142"/>
            </w:tcBorders>
            <w:vAlign w:val="center"/>
          </w:tcPr>
          <w:tbl>
            <w:tblPr>
              <w:tblW w:w="8113" w:type="dxa"/>
              <w:tblLook w:val="04A0" w:firstRow="1" w:lastRow="0" w:firstColumn="1" w:lastColumn="0" w:noHBand="0" w:noVBand="1"/>
            </w:tblPr>
            <w:tblGrid>
              <w:gridCol w:w="1771"/>
              <w:gridCol w:w="800"/>
              <w:gridCol w:w="843"/>
              <w:gridCol w:w="703"/>
              <w:gridCol w:w="656"/>
              <w:gridCol w:w="666"/>
              <w:gridCol w:w="656"/>
              <w:gridCol w:w="666"/>
              <w:gridCol w:w="656"/>
              <w:gridCol w:w="696"/>
            </w:tblGrid>
            <w:tr w:rsidR="00143C9A" w:rsidRPr="00143C9A" w:rsidTr="00327DE9">
              <w:trPr>
                <w:trHeight w:val="315"/>
              </w:trPr>
              <w:tc>
                <w:tcPr>
                  <w:tcW w:w="17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180B" w:rsidRPr="00143C9A" w:rsidRDefault="0068180B" w:rsidP="0068180B">
                  <w:pPr>
                    <w:jc w:val="both"/>
                    <w:rPr>
                      <w:sz w:val="12"/>
                      <w:szCs w:val="12"/>
                    </w:rPr>
                  </w:pPr>
                  <w:r w:rsidRPr="00143C9A">
                    <w:rPr>
                      <w:sz w:val="12"/>
                      <w:szCs w:val="12"/>
                    </w:rPr>
                    <w:t>Darbības veids</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Izcenojums, EUR</w:t>
                  </w:r>
                </w:p>
              </w:tc>
              <w:tc>
                <w:tcPr>
                  <w:tcW w:w="1546" w:type="dxa"/>
                  <w:gridSpan w:val="2"/>
                  <w:tcBorders>
                    <w:top w:val="single" w:sz="4" w:space="0" w:color="auto"/>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2016.g.</w:t>
                  </w:r>
                </w:p>
              </w:tc>
              <w:tc>
                <w:tcPr>
                  <w:tcW w:w="1322" w:type="dxa"/>
                  <w:gridSpan w:val="2"/>
                  <w:tcBorders>
                    <w:top w:val="single" w:sz="4" w:space="0" w:color="auto"/>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2017.g.</w:t>
                  </w:r>
                </w:p>
              </w:tc>
              <w:tc>
                <w:tcPr>
                  <w:tcW w:w="1322" w:type="dxa"/>
                  <w:gridSpan w:val="2"/>
                  <w:tcBorders>
                    <w:top w:val="single" w:sz="4" w:space="0" w:color="auto"/>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2018.g.</w:t>
                  </w:r>
                </w:p>
              </w:tc>
              <w:tc>
                <w:tcPr>
                  <w:tcW w:w="1352" w:type="dxa"/>
                  <w:gridSpan w:val="2"/>
                  <w:tcBorders>
                    <w:top w:val="single" w:sz="4" w:space="0" w:color="auto"/>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2019.g.</w:t>
                  </w:r>
                </w:p>
              </w:tc>
            </w:tr>
            <w:tr w:rsidR="00143C9A" w:rsidRPr="00143C9A" w:rsidTr="00327DE9">
              <w:trPr>
                <w:trHeight w:val="315"/>
              </w:trPr>
              <w:tc>
                <w:tcPr>
                  <w:tcW w:w="1771" w:type="dxa"/>
                  <w:vMerge/>
                  <w:tcBorders>
                    <w:top w:val="single" w:sz="4" w:space="0" w:color="auto"/>
                    <w:left w:val="single" w:sz="4" w:space="0" w:color="auto"/>
                    <w:bottom w:val="single" w:sz="4" w:space="0" w:color="auto"/>
                    <w:right w:val="single" w:sz="4" w:space="0" w:color="auto"/>
                  </w:tcBorders>
                  <w:vAlign w:val="center"/>
                  <w:hideMark/>
                </w:tcPr>
                <w:p w:rsidR="0068180B" w:rsidRPr="00143C9A" w:rsidRDefault="0068180B" w:rsidP="0068180B">
                  <w:pPr>
                    <w:rPr>
                      <w:sz w:val="12"/>
                      <w:szCs w:val="1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8180B" w:rsidRPr="00143C9A" w:rsidRDefault="0068180B" w:rsidP="0068180B">
                  <w:pPr>
                    <w:rPr>
                      <w:sz w:val="12"/>
                      <w:szCs w:val="12"/>
                    </w:rPr>
                  </w:pPr>
                </w:p>
              </w:tc>
              <w:tc>
                <w:tcPr>
                  <w:tcW w:w="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Plānotais pakalpojumu skaits 2016.g.IV cet.</w:t>
                  </w:r>
                </w:p>
              </w:tc>
              <w:tc>
                <w:tcPr>
                  <w:tcW w:w="703" w:type="dxa"/>
                  <w:vMerge w:val="restart"/>
                  <w:tcBorders>
                    <w:top w:val="nil"/>
                    <w:left w:val="single" w:sz="4" w:space="0" w:color="auto"/>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Plānotie ieņēmumi 2016.g.IV cet.</w:t>
                  </w:r>
                </w:p>
              </w:tc>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Plānotais pakal-</w:t>
                  </w:r>
                  <w:proofErr w:type="spellStart"/>
                  <w:r w:rsidRPr="00143C9A">
                    <w:rPr>
                      <w:sz w:val="12"/>
                      <w:szCs w:val="12"/>
                    </w:rPr>
                    <w:t>pojumu</w:t>
                  </w:r>
                  <w:proofErr w:type="spellEnd"/>
                  <w:r w:rsidRPr="00143C9A">
                    <w:rPr>
                      <w:sz w:val="12"/>
                      <w:szCs w:val="12"/>
                    </w:rPr>
                    <w:t xml:space="preserve"> skaits</w:t>
                  </w:r>
                </w:p>
              </w:tc>
              <w:tc>
                <w:tcPr>
                  <w:tcW w:w="666" w:type="dxa"/>
                  <w:tcBorders>
                    <w:top w:val="nil"/>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Plānoti</w:t>
                  </w:r>
                </w:p>
              </w:tc>
              <w:tc>
                <w:tcPr>
                  <w:tcW w:w="656" w:type="dxa"/>
                  <w:tcBorders>
                    <w:top w:val="nil"/>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Plānotais</w:t>
                  </w:r>
                </w:p>
              </w:tc>
              <w:tc>
                <w:tcPr>
                  <w:tcW w:w="666" w:type="dxa"/>
                  <w:tcBorders>
                    <w:top w:val="nil"/>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Plānoti</w:t>
                  </w:r>
                </w:p>
              </w:tc>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Plānotais pakal-</w:t>
                  </w:r>
                  <w:proofErr w:type="spellStart"/>
                  <w:r w:rsidRPr="00143C9A">
                    <w:rPr>
                      <w:sz w:val="12"/>
                      <w:szCs w:val="12"/>
                    </w:rPr>
                    <w:t>pojumu</w:t>
                  </w:r>
                  <w:proofErr w:type="spellEnd"/>
                  <w:r w:rsidRPr="00143C9A">
                    <w:rPr>
                      <w:sz w:val="12"/>
                      <w:szCs w:val="12"/>
                    </w:rPr>
                    <w:t xml:space="preserve"> skaits</w:t>
                  </w:r>
                </w:p>
              </w:tc>
              <w:tc>
                <w:tcPr>
                  <w:tcW w:w="696" w:type="dxa"/>
                  <w:tcBorders>
                    <w:top w:val="nil"/>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Plānoti</w:t>
                  </w:r>
                </w:p>
              </w:tc>
            </w:tr>
            <w:tr w:rsidR="00143C9A" w:rsidRPr="00143C9A" w:rsidTr="00327DE9">
              <w:trPr>
                <w:trHeight w:val="495"/>
              </w:trPr>
              <w:tc>
                <w:tcPr>
                  <w:tcW w:w="1771" w:type="dxa"/>
                  <w:vMerge/>
                  <w:tcBorders>
                    <w:top w:val="single" w:sz="4" w:space="0" w:color="auto"/>
                    <w:left w:val="single" w:sz="4" w:space="0" w:color="auto"/>
                    <w:bottom w:val="single" w:sz="4" w:space="0" w:color="auto"/>
                    <w:right w:val="single" w:sz="4" w:space="0" w:color="auto"/>
                  </w:tcBorders>
                  <w:vAlign w:val="center"/>
                  <w:hideMark/>
                </w:tcPr>
                <w:p w:rsidR="0068180B" w:rsidRPr="00143C9A" w:rsidRDefault="0068180B" w:rsidP="0068180B">
                  <w:pPr>
                    <w:rPr>
                      <w:sz w:val="12"/>
                      <w:szCs w:val="1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8180B" w:rsidRPr="00143C9A" w:rsidRDefault="0068180B" w:rsidP="0068180B">
                  <w:pPr>
                    <w:rPr>
                      <w:sz w:val="12"/>
                      <w:szCs w:val="12"/>
                    </w:rPr>
                  </w:pPr>
                </w:p>
              </w:tc>
              <w:tc>
                <w:tcPr>
                  <w:tcW w:w="843" w:type="dxa"/>
                  <w:vMerge/>
                  <w:tcBorders>
                    <w:top w:val="nil"/>
                    <w:left w:val="single" w:sz="4" w:space="0" w:color="auto"/>
                    <w:bottom w:val="single" w:sz="4" w:space="0" w:color="auto"/>
                    <w:right w:val="single" w:sz="4" w:space="0" w:color="auto"/>
                  </w:tcBorders>
                  <w:vAlign w:val="center"/>
                  <w:hideMark/>
                </w:tcPr>
                <w:p w:rsidR="0068180B" w:rsidRPr="00143C9A" w:rsidRDefault="0068180B" w:rsidP="0068180B">
                  <w:pPr>
                    <w:rPr>
                      <w:sz w:val="12"/>
                      <w:szCs w:val="12"/>
                    </w:rPr>
                  </w:pPr>
                </w:p>
              </w:tc>
              <w:tc>
                <w:tcPr>
                  <w:tcW w:w="703" w:type="dxa"/>
                  <w:vMerge/>
                  <w:tcBorders>
                    <w:top w:val="nil"/>
                    <w:left w:val="single" w:sz="4" w:space="0" w:color="auto"/>
                    <w:bottom w:val="single" w:sz="4" w:space="0" w:color="auto"/>
                    <w:right w:val="single" w:sz="4" w:space="0" w:color="auto"/>
                  </w:tcBorders>
                  <w:vAlign w:val="center"/>
                  <w:hideMark/>
                </w:tcPr>
                <w:p w:rsidR="0068180B" w:rsidRPr="00143C9A" w:rsidRDefault="0068180B" w:rsidP="0068180B">
                  <w:pPr>
                    <w:rPr>
                      <w:sz w:val="12"/>
                      <w:szCs w:val="12"/>
                    </w:rPr>
                  </w:pPr>
                </w:p>
              </w:tc>
              <w:tc>
                <w:tcPr>
                  <w:tcW w:w="656" w:type="dxa"/>
                  <w:vMerge/>
                  <w:tcBorders>
                    <w:top w:val="nil"/>
                    <w:left w:val="single" w:sz="4" w:space="0" w:color="auto"/>
                    <w:bottom w:val="single" w:sz="4" w:space="0" w:color="auto"/>
                    <w:right w:val="single" w:sz="4" w:space="0" w:color="auto"/>
                  </w:tcBorders>
                  <w:vAlign w:val="center"/>
                  <w:hideMark/>
                </w:tcPr>
                <w:p w:rsidR="0068180B" w:rsidRPr="00143C9A" w:rsidRDefault="0068180B" w:rsidP="0068180B">
                  <w:pPr>
                    <w:rPr>
                      <w:sz w:val="12"/>
                      <w:szCs w:val="12"/>
                    </w:rPr>
                  </w:pPr>
                </w:p>
              </w:tc>
              <w:tc>
                <w:tcPr>
                  <w:tcW w:w="666" w:type="dxa"/>
                  <w:tcBorders>
                    <w:top w:val="nil"/>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ieņēmu- mi,</w:t>
                  </w:r>
                </w:p>
              </w:tc>
              <w:tc>
                <w:tcPr>
                  <w:tcW w:w="656" w:type="dxa"/>
                  <w:tcBorders>
                    <w:top w:val="nil"/>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pakal-</w:t>
                  </w:r>
                  <w:proofErr w:type="spellStart"/>
                  <w:r w:rsidRPr="00143C9A">
                    <w:rPr>
                      <w:sz w:val="12"/>
                      <w:szCs w:val="12"/>
                    </w:rPr>
                    <w:t>pojumu</w:t>
                  </w:r>
                  <w:proofErr w:type="spellEnd"/>
                  <w:r w:rsidRPr="00143C9A">
                    <w:rPr>
                      <w:sz w:val="12"/>
                      <w:szCs w:val="12"/>
                    </w:rPr>
                    <w:t xml:space="preserve"> skaits</w:t>
                  </w:r>
                </w:p>
              </w:tc>
              <w:tc>
                <w:tcPr>
                  <w:tcW w:w="666" w:type="dxa"/>
                  <w:tcBorders>
                    <w:top w:val="nil"/>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ieņēmu mi,</w:t>
                  </w:r>
                </w:p>
              </w:tc>
              <w:tc>
                <w:tcPr>
                  <w:tcW w:w="656" w:type="dxa"/>
                  <w:vMerge/>
                  <w:tcBorders>
                    <w:top w:val="nil"/>
                    <w:left w:val="single" w:sz="4" w:space="0" w:color="auto"/>
                    <w:bottom w:val="single" w:sz="4" w:space="0" w:color="auto"/>
                    <w:right w:val="single" w:sz="4" w:space="0" w:color="auto"/>
                  </w:tcBorders>
                  <w:vAlign w:val="center"/>
                  <w:hideMark/>
                </w:tcPr>
                <w:p w:rsidR="0068180B" w:rsidRPr="00143C9A" w:rsidRDefault="0068180B" w:rsidP="0068180B">
                  <w:pPr>
                    <w:rPr>
                      <w:sz w:val="12"/>
                      <w:szCs w:val="12"/>
                    </w:rPr>
                  </w:pPr>
                </w:p>
              </w:tc>
              <w:tc>
                <w:tcPr>
                  <w:tcW w:w="696" w:type="dxa"/>
                  <w:tcBorders>
                    <w:top w:val="nil"/>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ieņēmumi</w:t>
                  </w:r>
                </w:p>
              </w:tc>
            </w:tr>
            <w:tr w:rsidR="00143C9A" w:rsidRPr="00143C9A" w:rsidTr="00327DE9">
              <w:trPr>
                <w:trHeight w:val="315"/>
              </w:trPr>
              <w:tc>
                <w:tcPr>
                  <w:tcW w:w="1771" w:type="dxa"/>
                  <w:vMerge/>
                  <w:tcBorders>
                    <w:top w:val="single" w:sz="4" w:space="0" w:color="auto"/>
                    <w:left w:val="single" w:sz="4" w:space="0" w:color="auto"/>
                    <w:bottom w:val="single" w:sz="4" w:space="0" w:color="auto"/>
                    <w:right w:val="single" w:sz="4" w:space="0" w:color="auto"/>
                  </w:tcBorders>
                  <w:vAlign w:val="center"/>
                  <w:hideMark/>
                </w:tcPr>
                <w:p w:rsidR="0068180B" w:rsidRPr="00143C9A" w:rsidRDefault="0068180B" w:rsidP="0068180B">
                  <w:pPr>
                    <w:rPr>
                      <w:sz w:val="12"/>
                      <w:szCs w:val="12"/>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8180B" w:rsidRPr="00143C9A" w:rsidRDefault="0068180B" w:rsidP="0068180B">
                  <w:pPr>
                    <w:rPr>
                      <w:sz w:val="12"/>
                      <w:szCs w:val="12"/>
                    </w:rPr>
                  </w:pPr>
                </w:p>
              </w:tc>
              <w:tc>
                <w:tcPr>
                  <w:tcW w:w="843" w:type="dxa"/>
                  <w:vMerge/>
                  <w:tcBorders>
                    <w:top w:val="nil"/>
                    <w:left w:val="single" w:sz="4" w:space="0" w:color="auto"/>
                    <w:bottom w:val="single" w:sz="4" w:space="0" w:color="auto"/>
                    <w:right w:val="single" w:sz="4" w:space="0" w:color="auto"/>
                  </w:tcBorders>
                  <w:vAlign w:val="center"/>
                  <w:hideMark/>
                </w:tcPr>
                <w:p w:rsidR="0068180B" w:rsidRPr="00143C9A" w:rsidRDefault="0068180B" w:rsidP="0068180B">
                  <w:pPr>
                    <w:rPr>
                      <w:sz w:val="12"/>
                      <w:szCs w:val="12"/>
                    </w:rPr>
                  </w:pPr>
                </w:p>
              </w:tc>
              <w:tc>
                <w:tcPr>
                  <w:tcW w:w="703" w:type="dxa"/>
                  <w:vMerge/>
                  <w:tcBorders>
                    <w:top w:val="nil"/>
                    <w:left w:val="single" w:sz="4" w:space="0" w:color="auto"/>
                    <w:bottom w:val="single" w:sz="4" w:space="0" w:color="auto"/>
                    <w:right w:val="single" w:sz="4" w:space="0" w:color="auto"/>
                  </w:tcBorders>
                  <w:vAlign w:val="center"/>
                  <w:hideMark/>
                </w:tcPr>
                <w:p w:rsidR="0068180B" w:rsidRPr="00143C9A" w:rsidRDefault="0068180B" w:rsidP="0068180B">
                  <w:pPr>
                    <w:rPr>
                      <w:sz w:val="12"/>
                      <w:szCs w:val="12"/>
                    </w:rPr>
                  </w:pPr>
                </w:p>
              </w:tc>
              <w:tc>
                <w:tcPr>
                  <w:tcW w:w="656" w:type="dxa"/>
                  <w:vMerge/>
                  <w:tcBorders>
                    <w:top w:val="nil"/>
                    <w:left w:val="single" w:sz="4" w:space="0" w:color="auto"/>
                    <w:bottom w:val="single" w:sz="4" w:space="0" w:color="auto"/>
                    <w:right w:val="single" w:sz="4" w:space="0" w:color="auto"/>
                  </w:tcBorders>
                  <w:vAlign w:val="center"/>
                  <w:hideMark/>
                </w:tcPr>
                <w:p w:rsidR="0068180B" w:rsidRPr="00143C9A" w:rsidRDefault="0068180B" w:rsidP="0068180B">
                  <w:pPr>
                    <w:rPr>
                      <w:sz w:val="12"/>
                      <w:szCs w:val="12"/>
                    </w:rPr>
                  </w:pPr>
                </w:p>
              </w:tc>
              <w:tc>
                <w:tcPr>
                  <w:tcW w:w="666" w:type="dxa"/>
                  <w:tcBorders>
                    <w:top w:val="nil"/>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EUR</w:t>
                  </w:r>
                </w:p>
              </w:tc>
              <w:tc>
                <w:tcPr>
                  <w:tcW w:w="656" w:type="dxa"/>
                  <w:tcBorders>
                    <w:top w:val="nil"/>
                    <w:left w:val="nil"/>
                    <w:bottom w:val="single" w:sz="4" w:space="0" w:color="auto"/>
                    <w:right w:val="single" w:sz="4" w:space="0" w:color="auto"/>
                  </w:tcBorders>
                  <w:shd w:val="clear" w:color="000000" w:fill="FFFFFF"/>
                  <w:hideMark/>
                </w:tcPr>
                <w:p w:rsidR="0068180B" w:rsidRPr="00143C9A" w:rsidRDefault="0068180B" w:rsidP="0068180B">
                  <w:pPr>
                    <w:rPr>
                      <w:sz w:val="12"/>
                      <w:szCs w:val="12"/>
                    </w:rPr>
                  </w:pPr>
                  <w:r w:rsidRPr="00143C9A">
                    <w:rPr>
                      <w:sz w:val="12"/>
                      <w:szCs w:val="12"/>
                    </w:rPr>
                    <w:t> </w:t>
                  </w:r>
                </w:p>
              </w:tc>
              <w:tc>
                <w:tcPr>
                  <w:tcW w:w="666" w:type="dxa"/>
                  <w:tcBorders>
                    <w:top w:val="nil"/>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EUR</w:t>
                  </w:r>
                </w:p>
              </w:tc>
              <w:tc>
                <w:tcPr>
                  <w:tcW w:w="656" w:type="dxa"/>
                  <w:vMerge/>
                  <w:tcBorders>
                    <w:top w:val="nil"/>
                    <w:left w:val="single" w:sz="4" w:space="0" w:color="auto"/>
                    <w:bottom w:val="single" w:sz="4" w:space="0" w:color="auto"/>
                    <w:right w:val="single" w:sz="4" w:space="0" w:color="auto"/>
                  </w:tcBorders>
                  <w:vAlign w:val="center"/>
                  <w:hideMark/>
                </w:tcPr>
                <w:p w:rsidR="0068180B" w:rsidRPr="00143C9A" w:rsidRDefault="0068180B" w:rsidP="0068180B">
                  <w:pPr>
                    <w:rPr>
                      <w:sz w:val="12"/>
                      <w:szCs w:val="12"/>
                    </w:rPr>
                  </w:pPr>
                </w:p>
              </w:tc>
              <w:tc>
                <w:tcPr>
                  <w:tcW w:w="696" w:type="dxa"/>
                  <w:tcBorders>
                    <w:top w:val="nil"/>
                    <w:left w:val="nil"/>
                    <w:bottom w:val="single" w:sz="4" w:space="0" w:color="auto"/>
                    <w:right w:val="single" w:sz="4" w:space="0" w:color="auto"/>
                  </w:tcBorders>
                  <w:shd w:val="clear" w:color="000000" w:fill="FFFFFF"/>
                  <w:vAlign w:val="center"/>
                  <w:hideMark/>
                </w:tcPr>
                <w:p w:rsidR="0068180B" w:rsidRPr="00143C9A" w:rsidRDefault="0068180B" w:rsidP="0068180B">
                  <w:pPr>
                    <w:jc w:val="center"/>
                    <w:rPr>
                      <w:sz w:val="12"/>
                      <w:szCs w:val="12"/>
                    </w:rPr>
                  </w:pPr>
                  <w:r w:rsidRPr="00143C9A">
                    <w:rPr>
                      <w:sz w:val="12"/>
                      <w:szCs w:val="12"/>
                    </w:rPr>
                    <w:t>UR</w:t>
                  </w:r>
                </w:p>
              </w:tc>
            </w:tr>
            <w:tr w:rsidR="00143C9A" w:rsidRPr="00143C9A" w:rsidTr="00327DE9">
              <w:trPr>
                <w:trHeight w:val="1215"/>
              </w:trPr>
              <w:tc>
                <w:tcPr>
                  <w:tcW w:w="1771" w:type="dxa"/>
                  <w:tcBorders>
                    <w:top w:val="nil"/>
                    <w:left w:val="single" w:sz="4" w:space="0" w:color="auto"/>
                    <w:bottom w:val="single" w:sz="4" w:space="0" w:color="auto"/>
                    <w:right w:val="single" w:sz="4" w:space="0" w:color="auto"/>
                  </w:tcBorders>
                  <w:shd w:val="clear" w:color="000000" w:fill="FFFFFF"/>
                  <w:vAlign w:val="center"/>
                  <w:hideMark/>
                </w:tcPr>
                <w:p w:rsidR="00327DE9" w:rsidRPr="00143C9A" w:rsidRDefault="00327DE9" w:rsidP="0068180B">
                  <w:pPr>
                    <w:rPr>
                      <w:sz w:val="12"/>
                      <w:szCs w:val="12"/>
                    </w:rPr>
                  </w:pPr>
                  <w:r w:rsidRPr="00143C9A">
                    <w:rPr>
                      <w:sz w:val="12"/>
                      <w:szCs w:val="12"/>
                    </w:rPr>
                    <w:t xml:space="preserve">Parauga ņemšana un analīze sešu </w:t>
                  </w:r>
                  <w:proofErr w:type="spellStart"/>
                  <w:r w:rsidRPr="00143C9A">
                    <w:rPr>
                      <w:sz w:val="12"/>
                      <w:szCs w:val="12"/>
                    </w:rPr>
                    <w:t>nekarantīnas</w:t>
                  </w:r>
                  <w:proofErr w:type="spellEnd"/>
                  <w:r w:rsidRPr="00143C9A">
                    <w:rPr>
                      <w:sz w:val="12"/>
                      <w:szCs w:val="12"/>
                    </w:rPr>
                    <w:t xml:space="preserve"> vīrusu PVX, PVY, PVM, PVS, PLRV, PVA un  </w:t>
                  </w:r>
                  <w:proofErr w:type="spellStart"/>
                  <w:r w:rsidRPr="00143C9A">
                    <w:rPr>
                      <w:sz w:val="12"/>
                      <w:szCs w:val="12"/>
                    </w:rPr>
                    <w:t>viroīda</w:t>
                  </w:r>
                  <w:proofErr w:type="spellEnd"/>
                  <w:r w:rsidRPr="00143C9A">
                    <w:rPr>
                      <w:sz w:val="12"/>
                      <w:szCs w:val="12"/>
                    </w:rPr>
                    <w:t xml:space="preserve"> </w:t>
                  </w:r>
                  <w:proofErr w:type="spellStart"/>
                  <w:r w:rsidRPr="00143C9A">
                    <w:rPr>
                      <w:sz w:val="12"/>
                      <w:szCs w:val="12"/>
                    </w:rPr>
                    <w:t>PSTVd</w:t>
                  </w:r>
                  <w:proofErr w:type="spellEnd"/>
                  <w:r w:rsidRPr="00143C9A">
                    <w:rPr>
                      <w:sz w:val="12"/>
                      <w:szCs w:val="12"/>
                    </w:rPr>
                    <w:t xml:space="preserve"> noteikšanai kartupeļu sēklas materiāla sertifikācijai (1 paraugs 120 bumbuļu); 2016.g.plāns EUR 1388</w:t>
                  </w:r>
                  <w:r w:rsidR="00C4424F" w:rsidRPr="00143C9A">
                    <w:rPr>
                      <w:sz w:val="12"/>
                      <w:szCs w:val="12"/>
                    </w:rPr>
                    <w:t xml:space="preserve"> (</w:t>
                  </w:r>
                  <w:r w:rsidR="008201D3" w:rsidRPr="00143C9A">
                    <w:rPr>
                      <w:sz w:val="12"/>
                      <w:szCs w:val="12"/>
                    </w:rPr>
                    <w:t>15 x EUR92,49)</w:t>
                  </w:r>
                </w:p>
              </w:tc>
              <w:tc>
                <w:tcPr>
                  <w:tcW w:w="800"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225,43</w:t>
                  </w:r>
                </w:p>
              </w:tc>
              <w:tc>
                <w:tcPr>
                  <w:tcW w:w="84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20</w:t>
                  </w:r>
                </w:p>
              </w:tc>
              <w:tc>
                <w:tcPr>
                  <w:tcW w:w="70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4508,6</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36</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both"/>
                    <w:rPr>
                      <w:sz w:val="12"/>
                      <w:szCs w:val="12"/>
                    </w:rPr>
                  </w:pPr>
                  <w:r w:rsidRPr="00143C9A">
                    <w:rPr>
                      <w:sz w:val="12"/>
                      <w:szCs w:val="12"/>
                    </w:rPr>
                    <w:t>8115,48</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36</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both"/>
                    <w:rPr>
                      <w:sz w:val="12"/>
                      <w:szCs w:val="12"/>
                    </w:rPr>
                  </w:pPr>
                  <w:r w:rsidRPr="00143C9A">
                    <w:rPr>
                      <w:sz w:val="12"/>
                      <w:szCs w:val="12"/>
                    </w:rPr>
                    <w:t>8115,48</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36</w:t>
                  </w:r>
                </w:p>
              </w:tc>
              <w:tc>
                <w:tcPr>
                  <w:tcW w:w="69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both"/>
                    <w:rPr>
                      <w:sz w:val="12"/>
                      <w:szCs w:val="12"/>
                    </w:rPr>
                  </w:pPr>
                  <w:r w:rsidRPr="00143C9A">
                    <w:rPr>
                      <w:sz w:val="12"/>
                      <w:szCs w:val="12"/>
                    </w:rPr>
                    <w:t>8115,48</w:t>
                  </w:r>
                </w:p>
              </w:tc>
            </w:tr>
            <w:tr w:rsidR="00143C9A" w:rsidRPr="00143C9A" w:rsidTr="00327DE9">
              <w:trPr>
                <w:trHeight w:val="1005"/>
              </w:trPr>
              <w:tc>
                <w:tcPr>
                  <w:tcW w:w="1771" w:type="dxa"/>
                  <w:tcBorders>
                    <w:top w:val="nil"/>
                    <w:left w:val="single" w:sz="4" w:space="0" w:color="auto"/>
                    <w:bottom w:val="single" w:sz="4" w:space="0" w:color="auto"/>
                    <w:right w:val="single" w:sz="4" w:space="0" w:color="auto"/>
                  </w:tcBorders>
                  <w:shd w:val="clear" w:color="000000" w:fill="FFFFFF"/>
                  <w:vAlign w:val="center"/>
                  <w:hideMark/>
                </w:tcPr>
                <w:p w:rsidR="00327DE9" w:rsidRPr="00143C9A" w:rsidRDefault="00327DE9" w:rsidP="0068180B">
                  <w:pPr>
                    <w:rPr>
                      <w:sz w:val="12"/>
                      <w:szCs w:val="12"/>
                    </w:rPr>
                  </w:pPr>
                  <w:r w:rsidRPr="00143C9A">
                    <w:rPr>
                      <w:sz w:val="12"/>
                      <w:szCs w:val="12"/>
                    </w:rPr>
                    <w:t xml:space="preserve">Parauga ņemšana un analīze divu </w:t>
                  </w:r>
                  <w:proofErr w:type="spellStart"/>
                  <w:r w:rsidRPr="00143C9A">
                    <w:rPr>
                      <w:sz w:val="12"/>
                      <w:szCs w:val="12"/>
                    </w:rPr>
                    <w:t>nekarantīnas</w:t>
                  </w:r>
                  <w:proofErr w:type="spellEnd"/>
                  <w:r w:rsidRPr="00143C9A">
                    <w:rPr>
                      <w:sz w:val="12"/>
                      <w:szCs w:val="12"/>
                    </w:rPr>
                    <w:t xml:space="preserve"> vīrusu PVY; PLRV un  </w:t>
                  </w:r>
                  <w:proofErr w:type="spellStart"/>
                  <w:r w:rsidRPr="00143C9A">
                    <w:rPr>
                      <w:sz w:val="12"/>
                      <w:szCs w:val="12"/>
                    </w:rPr>
                    <w:t>viroīda</w:t>
                  </w:r>
                  <w:proofErr w:type="spellEnd"/>
                  <w:r w:rsidRPr="00143C9A">
                    <w:rPr>
                      <w:sz w:val="12"/>
                      <w:szCs w:val="12"/>
                    </w:rPr>
                    <w:t xml:space="preserve"> </w:t>
                  </w:r>
                  <w:proofErr w:type="spellStart"/>
                  <w:r w:rsidRPr="00143C9A">
                    <w:rPr>
                      <w:sz w:val="12"/>
                      <w:szCs w:val="12"/>
                    </w:rPr>
                    <w:t>PSTVd</w:t>
                  </w:r>
                  <w:proofErr w:type="spellEnd"/>
                  <w:r w:rsidRPr="00143C9A">
                    <w:rPr>
                      <w:sz w:val="12"/>
                      <w:szCs w:val="12"/>
                    </w:rPr>
                    <w:t xml:space="preserve"> noteikšanai kartupeļu sēklas materiāla sertifikācijai (1 paraugs </w:t>
                  </w:r>
                  <w:r w:rsidR="00CC04F0">
                    <w:rPr>
                      <w:sz w:val="12"/>
                      <w:szCs w:val="12"/>
                    </w:rPr>
                    <w:t xml:space="preserve">– </w:t>
                  </w:r>
                  <w:r w:rsidRPr="00143C9A">
                    <w:rPr>
                      <w:sz w:val="12"/>
                      <w:szCs w:val="12"/>
                    </w:rPr>
                    <w:t>120 bumbuļu); 2016.g. plāns EUR 0</w:t>
                  </w:r>
                </w:p>
              </w:tc>
              <w:tc>
                <w:tcPr>
                  <w:tcW w:w="800"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136,53</w:t>
                  </w:r>
                </w:p>
              </w:tc>
              <w:tc>
                <w:tcPr>
                  <w:tcW w:w="84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15</w:t>
                  </w:r>
                </w:p>
              </w:tc>
              <w:tc>
                <w:tcPr>
                  <w:tcW w:w="70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2047,95</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21</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both"/>
                    <w:rPr>
                      <w:sz w:val="12"/>
                      <w:szCs w:val="12"/>
                    </w:rPr>
                  </w:pPr>
                  <w:r w:rsidRPr="00143C9A">
                    <w:rPr>
                      <w:sz w:val="12"/>
                      <w:szCs w:val="12"/>
                    </w:rPr>
                    <w:t>2867,13</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21</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both"/>
                    <w:rPr>
                      <w:sz w:val="12"/>
                      <w:szCs w:val="12"/>
                    </w:rPr>
                  </w:pPr>
                  <w:r w:rsidRPr="00143C9A">
                    <w:rPr>
                      <w:sz w:val="12"/>
                      <w:szCs w:val="12"/>
                    </w:rPr>
                    <w:t>2867,13</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21</w:t>
                  </w:r>
                </w:p>
              </w:tc>
              <w:tc>
                <w:tcPr>
                  <w:tcW w:w="69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both"/>
                    <w:rPr>
                      <w:sz w:val="12"/>
                      <w:szCs w:val="12"/>
                    </w:rPr>
                  </w:pPr>
                  <w:r w:rsidRPr="00143C9A">
                    <w:rPr>
                      <w:sz w:val="12"/>
                      <w:szCs w:val="12"/>
                    </w:rPr>
                    <w:t>2867,13</w:t>
                  </w:r>
                </w:p>
              </w:tc>
            </w:tr>
            <w:tr w:rsidR="00143C9A" w:rsidRPr="00143C9A" w:rsidTr="00327DE9">
              <w:trPr>
                <w:trHeight w:val="495"/>
              </w:trPr>
              <w:tc>
                <w:tcPr>
                  <w:tcW w:w="1771" w:type="dxa"/>
                  <w:tcBorders>
                    <w:top w:val="nil"/>
                    <w:left w:val="single" w:sz="4" w:space="0" w:color="auto"/>
                    <w:bottom w:val="single" w:sz="4" w:space="0" w:color="auto"/>
                    <w:right w:val="single" w:sz="4" w:space="0" w:color="auto"/>
                  </w:tcBorders>
                  <w:shd w:val="clear" w:color="000000" w:fill="FFFFFF"/>
                  <w:vAlign w:val="center"/>
                  <w:hideMark/>
                </w:tcPr>
                <w:p w:rsidR="00327DE9" w:rsidRPr="00143C9A" w:rsidRDefault="00327DE9" w:rsidP="0068180B">
                  <w:pPr>
                    <w:rPr>
                      <w:sz w:val="12"/>
                      <w:szCs w:val="12"/>
                    </w:rPr>
                  </w:pPr>
                  <w:r w:rsidRPr="00143C9A">
                    <w:rPr>
                      <w:sz w:val="12"/>
                      <w:szCs w:val="12"/>
                    </w:rPr>
                    <w:t>Nematožu un sēņu noteikšana, ja testēšanā lieto molekulāro metodi; 2016.g. plāns EUR 0</w:t>
                  </w:r>
                </w:p>
              </w:tc>
              <w:tc>
                <w:tcPr>
                  <w:tcW w:w="800"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36,35</w:t>
                  </w:r>
                </w:p>
              </w:tc>
              <w:tc>
                <w:tcPr>
                  <w:tcW w:w="84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5</w:t>
                  </w:r>
                </w:p>
              </w:tc>
              <w:tc>
                <w:tcPr>
                  <w:tcW w:w="70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181,75</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100</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3635</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100</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3635</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100</w:t>
                  </w:r>
                </w:p>
              </w:tc>
              <w:tc>
                <w:tcPr>
                  <w:tcW w:w="69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3635</w:t>
                  </w:r>
                </w:p>
              </w:tc>
            </w:tr>
            <w:tr w:rsidR="00143C9A" w:rsidRPr="00143C9A" w:rsidTr="00327DE9">
              <w:trPr>
                <w:trHeight w:val="885"/>
              </w:trPr>
              <w:tc>
                <w:tcPr>
                  <w:tcW w:w="1771" w:type="dxa"/>
                  <w:tcBorders>
                    <w:top w:val="nil"/>
                    <w:left w:val="single" w:sz="4" w:space="0" w:color="auto"/>
                    <w:bottom w:val="single" w:sz="4" w:space="0" w:color="auto"/>
                    <w:right w:val="single" w:sz="4" w:space="0" w:color="auto"/>
                  </w:tcBorders>
                  <w:shd w:val="clear" w:color="000000" w:fill="FFFFFF"/>
                  <w:vAlign w:val="center"/>
                  <w:hideMark/>
                </w:tcPr>
                <w:p w:rsidR="00327DE9" w:rsidRPr="00143C9A" w:rsidRDefault="00327DE9" w:rsidP="0068180B">
                  <w:pPr>
                    <w:rPr>
                      <w:sz w:val="12"/>
                      <w:szCs w:val="12"/>
                    </w:rPr>
                  </w:pPr>
                  <w:r w:rsidRPr="00143C9A">
                    <w:rPr>
                      <w:sz w:val="12"/>
                      <w:szCs w:val="12"/>
                    </w:rPr>
                    <w:t xml:space="preserve">Kartupeļu parauga analīze sešu </w:t>
                  </w:r>
                  <w:proofErr w:type="spellStart"/>
                  <w:r w:rsidRPr="00143C9A">
                    <w:rPr>
                      <w:sz w:val="12"/>
                      <w:szCs w:val="12"/>
                    </w:rPr>
                    <w:t>nekarantīnas</w:t>
                  </w:r>
                  <w:proofErr w:type="spellEnd"/>
                  <w:r w:rsidRPr="00143C9A">
                    <w:rPr>
                      <w:sz w:val="12"/>
                      <w:szCs w:val="12"/>
                    </w:rPr>
                    <w:t xml:space="preserve"> vīrusu PVX, PVY, PVM, PVS, PLRV, PVA noteikšanai (1 paraugs </w:t>
                  </w:r>
                  <w:r w:rsidR="00CC04F0">
                    <w:rPr>
                      <w:sz w:val="12"/>
                      <w:szCs w:val="12"/>
                    </w:rPr>
                    <w:t xml:space="preserve">– </w:t>
                  </w:r>
                  <w:r w:rsidRPr="00143C9A">
                    <w:rPr>
                      <w:sz w:val="12"/>
                      <w:szCs w:val="12"/>
                    </w:rPr>
                    <w:t>120 bumbuļu); 2016.g. plāns EUR 0</w:t>
                  </w:r>
                </w:p>
              </w:tc>
              <w:tc>
                <w:tcPr>
                  <w:tcW w:w="800"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173,91</w:t>
                  </w:r>
                </w:p>
              </w:tc>
              <w:tc>
                <w:tcPr>
                  <w:tcW w:w="84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3</w:t>
                  </w:r>
                </w:p>
              </w:tc>
              <w:tc>
                <w:tcPr>
                  <w:tcW w:w="70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521,73</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10</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1739,1</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10</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1739,1</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10</w:t>
                  </w:r>
                </w:p>
              </w:tc>
              <w:tc>
                <w:tcPr>
                  <w:tcW w:w="69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1739,1</w:t>
                  </w:r>
                </w:p>
              </w:tc>
            </w:tr>
            <w:tr w:rsidR="00143C9A" w:rsidRPr="00143C9A" w:rsidTr="00327DE9">
              <w:trPr>
                <w:trHeight w:val="885"/>
              </w:trPr>
              <w:tc>
                <w:tcPr>
                  <w:tcW w:w="1771" w:type="dxa"/>
                  <w:tcBorders>
                    <w:top w:val="nil"/>
                    <w:left w:val="single" w:sz="4" w:space="0" w:color="auto"/>
                    <w:bottom w:val="single" w:sz="4" w:space="0" w:color="auto"/>
                    <w:right w:val="single" w:sz="4" w:space="0" w:color="auto"/>
                  </w:tcBorders>
                  <w:shd w:val="clear" w:color="000000" w:fill="FFFFFF"/>
                  <w:vAlign w:val="center"/>
                  <w:hideMark/>
                </w:tcPr>
                <w:p w:rsidR="00327DE9" w:rsidRPr="00143C9A" w:rsidRDefault="00327DE9" w:rsidP="0068180B">
                  <w:pPr>
                    <w:rPr>
                      <w:sz w:val="12"/>
                      <w:szCs w:val="12"/>
                    </w:rPr>
                  </w:pPr>
                  <w:r w:rsidRPr="00143C9A">
                    <w:rPr>
                      <w:sz w:val="12"/>
                      <w:szCs w:val="12"/>
                    </w:rPr>
                    <w:t xml:space="preserve">Kartupeļu parauga analīze viena </w:t>
                  </w:r>
                  <w:proofErr w:type="spellStart"/>
                  <w:r w:rsidRPr="00143C9A">
                    <w:rPr>
                      <w:sz w:val="12"/>
                      <w:szCs w:val="12"/>
                    </w:rPr>
                    <w:t>nekarantīnas</w:t>
                  </w:r>
                  <w:proofErr w:type="spellEnd"/>
                  <w:r w:rsidRPr="00143C9A">
                    <w:rPr>
                      <w:sz w:val="12"/>
                      <w:szCs w:val="12"/>
                    </w:rPr>
                    <w:t xml:space="preserve"> vīrusa PVX, PVY, PVM, PVS, PLRV vai PVA noteikšanai (1 paraugs </w:t>
                  </w:r>
                  <w:r w:rsidR="00CC04F0">
                    <w:rPr>
                      <w:sz w:val="12"/>
                      <w:szCs w:val="12"/>
                    </w:rPr>
                    <w:t xml:space="preserve">– </w:t>
                  </w:r>
                  <w:r w:rsidRPr="00143C9A">
                    <w:rPr>
                      <w:sz w:val="12"/>
                      <w:szCs w:val="12"/>
                    </w:rPr>
                    <w:t>120 bumbuļu); 2016.g. plāns EUR 0</w:t>
                  </w:r>
                </w:p>
              </w:tc>
              <w:tc>
                <w:tcPr>
                  <w:tcW w:w="800"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61,67</w:t>
                  </w:r>
                </w:p>
              </w:tc>
              <w:tc>
                <w:tcPr>
                  <w:tcW w:w="84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0</w:t>
                  </w:r>
                </w:p>
              </w:tc>
              <w:tc>
                <w:tcPr>
                  <w:tcW w:w="70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0</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10</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616,7</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10</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616,7</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10</w:t>
                  </w:r>
                </w:p>
              </w:tc>
              <w:tc>
                <w:tcPr>
                  <w:tcW w:w="69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616,7</w:t>
                  </w:r>
                </w:p>
              </w:tc>
            </w:tr>
            <w:tr w:rsidR="00143C9A" w:rsidRPr="00143C9A" w:rsidTr="00327DE9">
              <w:trPr>
                <w:trHeight w:val="1080"/>
              </w:trPr>
              <w:tc>
                <w:tcPr>
                  <w:tcW w:w="1771" w:type="dxa"/>
                  <w:tcBorders>
                    <w:top w:val="nil"/>
                    <w:left w:val="single" w:sz="4" w:space="0" w:color="auto"/>
                    <w:bottom w:val="single" w:sz="4" w:space="0" w:color="auto"/>
                    <w:right w:val="single" w:sz="4" w:space="0" w:color="auto"/>
                  </w:tcBorders>
                  <w:shd w:val="clear" w:color="000000" w:fill="FFFFFF"/>
                  <w:vAlign w:val="center"/>
                  <w:hideMark/>
                </w:tcPr>
                <w:p w:rsidR="00327DE9" w:rsidRPr="00143C9A" w:rsidRDefault="00327DE9" w:rsidP="0068180B">
                  <w:pPr>
                    <w:rPr>
                      <w:sz w:val="12"/>
                      <w:szCs w:val="12"/>
                    </w:rPr>
                  </w:pPr>
                  <w:r w:rsidRPr="00143C9A">
                    <w:rPr>
                      <w:sz w:val="12"/>
                      <w:szCs w:val="12"/>
                    </w:rPr>
                    <w:t xml:space="preserve">Kartupeļu parauga analīze sešu </w:t>
                  </w:r>
                  <w:proofErr w:type="spellStart"/>
                  <w:r w:rsidRPr="00143C9A">
                    <w:rPr>
                      <w:sz w:val="12"/>
                      <w:szCs w:val="12"/>
                    </w:rPr>
                    <w:t>nekarantīnas</w:t>
                  </w:r>
                  <w:proofErr w:type="spellEnd"/>
                  <w:r w:rsidRPr="00143C9A">
                    <w:rPr>
                      <w:sz w:val="12"/>
                      <w:szCs w:val="12"/>
                    </w:rPr>
                    <w:t xml:space="preserve"> vīrusu PVX, PVY, PVM, PVS, PLRV, PVA noteikšanai </w:t>
                  </w:r>
                  <w:proofErr w:type="spellStart"/>
                  <w:r w:rsidRPr="00143C9A">
                    <w:rPr>
                      <w:sz w:val="12"/>
                      <w:szCs w:val="12"/>
                    </w:rPr>
                    <w:t>mēģeņaugiem</w:t>
                  </w:r>
                  <w:proofErr w:type="spellEnd"/>
                  <w:r w:rsidRPr="00143C9A">
                    <w:rPr>
                      <w:sz w:val="12"/>
                      <w:szCs w:val="12"/>
                    </w:rPr>
                    <w:t xml:space="preserve"> (1 paraugs </w:t>
                  </w:r>
                  <w:r w:rsidR="00CC04F0">
                    <w:rPr>
                      <w:sz w:val="12"/>
                      <w:szCs w:val="12"/>
                    </w:rPr>
                    <w:t xml:space="preserve">– </w:t>
                  </w:r>
                  <w:r w:rsidRPr="00143C9A">
                    <w:rPr>
                      <w:sz w:val="12"/>
                      <w:szCs w:val="12"/>
                    </w:rPr>
                    <w:t>90 mēģeņu); 2016.g. plāns EUR 960</w:t>
                  </w:r>
                  <w:r w:rsidR="008201D3" w:rsidRPr="00143C9A">
                    <w:rPr>
                      <w:sz w:val="12"/>
                      <w:szCs w:val="12"/>
                    </w:rPr>
                    <w:t xml:space="preserve"> (15 x EUR64,03)</w:t>
                  </w:r>
                </w:p>
              </w:tc>
              <w:tc>
                <w:tcPr>
                  <w:tcW w:w="800"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76,72</w:t>
                  </w:r>
                </w:p>
              </w:tc>
              <w:tc>
                <w:tcPr>
                  <w:tcW w:w="84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0</w:t>
                  </w:r>
                </w:p>
              </w:tc>
              <w:tc>
                <w:tcPr>
                  <w:tcW w:w="70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0</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15</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1150,8</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15</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1150,8</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15</w:t>
                  </w:r>
                </w:p>
              </w:tc>
              <w:tc>
                <w:tcPr>
                  <w:tcW w:w="69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1150,8</w:t>
                  </w:r>
                </w:p>
              </w:tc>
            </w:tr>
            <w:tr w:rsidR="00143C9A" w:rsidRPr="00143C9A" w:rsidTr="00327DE9">
              <w:trPr>
                <w:trHeight w:val="1065"/>
              </w:trPr>
              <w:tc>
                <w:tcPr>
                  <w:tcW w:w="1771" w:type="dxa"/>
                  <w:tcBorders>
                    <w:top w:val="nil"/>
                    <w:left w:val="single" w:sz="4" w:space="0" w:color="auto"/>
                    <w:bottom w:val="single" w:sz="4" w:space="0" w:color="auto"/>
                    <w:right w:val="single" w:sz="4" w:space="0" w:color="auto"/>
                  </w:tcBorders>
                  <w:shd w:val="clear" w:color="000000" w:fill="FFFFFF"/>
                  <w:vAlign w:val="center"/>
                  <w:hideMark/>
                </w:tcPr>
                <w:p w:rsidR="00327DE9" w:rsidRPr="00143C9A" w:rsidRDefault="00327DE9" w:rsidP="0068180B">
                  <w:pPr>
                    <w:rPr>
                      <w:sz w:val="12"/>
                      <w:szCs w:val="12"/>
                    </w:rPr>
                  </w:pPr>
                  <w:r w:rsidRPr="00143C9A">
                    <w:rPr>
                      <w:sz w:val="12"/>
                      <w:szCs w:val="12"/>
                    </w:rPr>
                    <w:t xml:space="preserve">Kartupeļu parauga analīze viena </w:t>
                  </w:r>
                  <w:proofErr w:type="spellStart"/>
                  <w:r w:rsidRPr="00143C9A">
                    <w:rPr>
                      <w:sz w:val="12"/>
                      <w:szCs w:val="12"/>
                    </w:rPr>
                    <w:t>nekarantīnas</w:t>
                  </w:r>
                  <w:proofErr w:type="spellEnd"/>
                  <w:r w:rsidRPr="00143C9A">
                    <w:rPr>
                      <w:sz w:val="12"/>
                      <w:szCs w:val="12"/>
                    </w:rPr>
                    <w:t xml:space="preserve"> vīrusa PVX, PVY, PVM, PVS, PLRV vai PVA noteikšanai </w:t>
                  </w:r>
                  <w:proofErr w:type="spellStart"/>
                  <w:r w:rsidRPr="00143C9A">
                    <w:rPr>
                      <w:sz w:val="12"/>
                      <w:szCs w:val="12"/>
                    </w:rPr>
                    <w:t>mēģeņaugiem</w:t>
                  </w:r>
                  <w:proofErr w:type="spellEnd"/>
                  <w:r w:rsidRPr="00143C9A">
                    <w:rPr>
                      <w:sz w:val="12"/>
                      <w:szCs w:val="12"/>
                    </w:rPr>
                    <w:t xml:space="preserve"> (1 paraugs </w:t>
                  </w:r>
                  <w:r w:rsidR="00CC04F0">
                    <w:rPr>
                      <w:sz w:val="12"/>
                      <w:szCs w:val="12"/>
                    </w:rPr>
                    <w:t xml:space="preserve">– </w:t>
                  </w:r>
                  <w:r w:rsidRPr="00143C9A">
                    <w:rPr>
                      <w:sz w:val="12"/>
                      <w:szCs w:val="12"/>
                    </w:rPr>
                    <w:t>90 mēģeņu); 2016.g. plāns EUR 214</w:t>
                  </w:r>
                  <w:r w:rsidR="008201D3" w:rsidRPr="00143C9A">
                    <w:rPr>
                      <w:sz w:val="12"/>
                      <w:szCs w:val="12"/>
                    </w:rPr>
                    <w:t xml:space="preserve"> (50 x EUR 4,27)</w:t>
                  </w:r>
                </w:p>
              </w:tc>
              <w:tc>
                <w:tcPr>
                  <w:tcW w:w="800"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23,05</w:t>
                  </w:r>
                </w:p>
              </w:tc>
              <w:tc>
                <w:tcPr>
                  <w:tcW w:w="84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0</w:t>
                  </w:r>
                </w:p>
              </w:tc>
              <w:tc>
                <w:tcPr>
                  <w:tcW w:w="70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0</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15</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345,75</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15</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345,75</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15</w:t>
                  </w:r>
                </w:p>
              </w:tc>
              <w:tc>
                <w:tcPr>
                  <w:tcW w:w="69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345,75</w:t>
                  </w:r>
                </w:p>
              </w:tc>
            </w:tr>
            <w:tr w:rsidR="00143C9A" w:rsidRPr="00143C9A" w:rsidTr="00327DE9">
              <w:trPr>
                <w:trHeight w:val="315"/>
              </w:trPr>
              <w:tc>
                <w:tcPr>
                  <w:tcW w:w="1771" w:type="dxa"/>
                  <w:tcBorders>
                    <w:top w:val="nil"/>
                    <w:left w:val="single" w:sz="4" w:space="0" w:color="auto"/>
                    <w:bottom w:val="single" w:sz="4" w:space="0" w:color="auto"/>
                    <w:right w:val="single" w:sz="4" w:space="0" w:color="auto"/>
                  </w:tcBorders>
                  <w:shd w:val="clear" w:color="000000" w:fill="FFFFFF"/>
                  <w:vAlign w:val="center"/>
                  <w:hideMark/>
                </w:tcPr>
                <w:p w:rsidR="00327DE9" w:rsidRPr="00143C9A" w:rsidRDefault="005A1311" w:rsidP="0068180B">
                  <w:pPr>
                    <w:jc w:val="right"/>
                    <w:rPr>
                      <w:sz w:val="12"/>
                      <w:szCs w:val="12"/>
                    </w:rPr>
                  </w:pPr>
                  <w:r w:rsidRPr="00143C9A">
                    <w:rPr>
                      <w:sz w:val="12"/>
                      <w:szCs w:val="12"/>
                    </w:rPr>
                    <w:t xml:space="preserve">Plāns 2016.g. EUR </w:t>
                  </w:r>
                  <w:r w:rsidR="00327DE9" w:rsidRPr="00143C9A">
                    <w:rPr>
                      <w:sz w:val="12"/>
                      <w:szCs w:val="12"/>
                    </w:rPr>
                    <w:t>2562</w:t>
                  </w:r>
                </w:p>
              </w:tc>
              <w:tc>
                <w:tcPr>
                  <w:tcW w:w="800"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center"/>
                    <w:rPr>
                      <w:sz w:val="12"/>
                      <w:szCs w:val="12"/>
                    </w:rPr>
                  </w:pPr>
                  <w:r w:rsidRPr="00143C9A">
                    <w:rPr>
                      <w:sz w:val="12"/>
                      <w:szCs w:val="12"/>
                    </w:rPr>
                    <w:t> </w:t>
                  </w:r>
                </w:p>
              </w:tc>
              <w:tc>
                <w:tcPr>
                  <w:tcW w:w="84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center"/>
                    <w:rPr>
                      <w:sz w:val="12"/>
                      <w:szCs w:val="12"/>
                    </w:rPr>
                  </w:pPr>
                  <w:r w:rsidRPr="00143C9A">
                    <w:rPr>
                      <w:sz w:val="12"/>
                      <w:szCs w:val="12"/>
                    </w:rPr>
                    <w:t> </w:t>
                  </w:r>
                </w:p>
              </w:tc>
              <w:tc>
                <w:tcPr>
                  <w:tcW w:w="703" w:type="dxa"/>
                  <w:tcBorders>
                    <w:top w:val="nil"/>
                    <w:left w:val="nil"/>
                    <w:bottom w:val="single" w:sz="4" w:space="0" w:color="auto"/>
                    <w:right w:val="single" w:sz="4" w:space="0" w:color="auto"/>
                  </w:tcBorders>
                  <w:shd w:val="clear" w:color="000000" w:fill="FFFFFF"/>
                  <w:vAlign w:val="center"/>
                  <w:hideMark/>
                </w:tcPr>
                <w:p w:rsidR="00327DE9" w:rsidRPr="00143C9A" w:rsidRDefault="00327DE9">
                  <w:pPr>
                    <w:jc w:val="right"/>
                    <w:rPr>
                      <w:sz w:val="12"/>
                      <w:szCs w:val="12"/>
                    </w:rPr>
                  </w:pPr>
                  <w:r w:rsidRPr="00143C9A">
                    <w:rPr>
                      <w:sz w:val="12"/>
                      <w:szCs w:val="12"/>
                    </w:rPr>
                    <w:t>7260,03</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rPr>
                      <w:sz w:val="12"/>
                      <w:szCs w:val="12"/>
                    </w:rPr>
                  </w:pPr>
                  <w:r w:rsidRPr="00143C9A">
                    <w:rPr>
                      <w:sz w:val="12"/>
                      <w:szCs w:val="12"/>
                    </w:rPr>
                    <w:t> </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right"/>
                    <w:rPr>
                      <w:sz w:val="12"/>
                      <w:szCs w:val="12"/>
                    </w:rPr>
                  </w:pPr>
                  <w:r w:rsidRPr="00143C9A">
                    <w:rPr>
                      <w:sz w:val="12"/>
                      <w:szCs w:val="12"/>
                    </w:rPr>
                    <w:t>18469,96</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rPr>
                      <w:sz w:val="12"/>
                      <w:szCs w:val="12"/>
                    </w:rPr>
                  </w:pPr>
                  <w:r w:rsidRPr="00143C9A">
                    <w:rPr>
                      <w:sz w:val="12"/>
                      <w:szCs w:val="12"/>
                    </w:rPr>
                    <w:t> </w:t>
                  </w:r>
                </w:p>
              </w:tc>
              <w:tc>
                <w:tcPr>
                  <w:tcW w:w="66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right"/>
                    <w:rPr>
                      <w:sz w:val="12"/>
                      <w:szCs w:val="12"/>
                    </w:rPr>
                  </w:pPr>
                  <w:r w:rsidRPr="00143C9A">
                    <w:rPr>
                      <w:sz w:val="12"/>
                      <w:szCs w:val="12"/>
                    </w:rPr>
                    <w:t>18469,96</w:t>
                  </w:r>
                </w:p>
              </w:tc>
              <w:tc>
                <w:tcPr>
                  <w:tcW w:w="65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rPr>
                      <w:sz w:val="12"/>
                      <w:szCs w:val="12"/>
                    </w:rPr>
                  </w:pPr>
                  <w:r w:rsidRPr="00143C9A">
                    <w:rPr>
                      <w:sz w:val="12"/>
                      <w:szCs w:val="12"/>
                    </w:rPr>
                    <w:t> </w:t>
                  </w:r>
                </w:p>
              </w:tc>
              <w:tc>
                <w:tcPr>
                  <w:tcW w:w="696" w:type="dxa"/>
                  <w:tcBorders>
                    <w:top w:val="nil"/>
                    <w:left w:val="nil"/>
                    <w:bottom w:val="single" w:sz="4" w:space="0" w:color="auto"/>
                    <w:right w:val="single" w:sz="4" w:space="0" w:color="auto"/>
                  </w:tcBorders>
                  <w:shd w:val="clear" w:color="000000" w:fill="FFFFFF"/>
                  <w:vAlign w:val="center"/>
                  <w:hideMark/>
                </w:tcPr>
                <w:p w:rsidR="00327DE9" w:rsidRPr="00143C9A" w:rsidRDefault="00327DE9" w:rsidP="0068180B">
                  <w:pPr>
                    <w:jc w:val="right"/>
                    <w:rPr>
                      <w:sz w:val="12"/>
                      <w:szCs w:val="12"/>
                    </w:rPr>
                  </w:pPr>
                  <w:r w:rsidRPr="00143C9A">
                    <w:rPr>
                      <w:sz w:val="12"/>
                      <w:szCs w:val="12"/>
                    </w:rPr>
                    <w:t>18469,96</w:t>
                  </w:r>
                </w:p>
              </w:tc>
            </w:tr>
            <w:tr w:rsidR="00143C9A" w:rsidRPr="00143C9A" w:rsidTr="00327DE9">
              <w:trPr>
                <w:trHeight w:val="315"/>
              </w:trPr>
              <w:tc>
                <w:tcPr>
                  <w:tcW w:w="1771" w:type="dxa"/>
                  <w:tcBorders>
                    <w:top w:val="nil"/>
                    <w:left w:val="single" w:sz="4" w:space="0" w:color="auto"/>
                    <w:bottom w:val="single" w:sz="4" w:space="0" w:color="auto"/>
                    <w:right w:val="single" w:sz="4" w:space="0" w:color="auto"/>
                  </w:tcBorders>
                  <w:shd w:val="clear" w:color="auto" w:fill="auto"/>
                  <w:noWrap/>
                  <w:vAlign w:val="bottom"/>
                  <w:hideMark/>
                </w:tcPr>
                <w:p w:rsidR="00327DE9" w:rsidRPr="00143C9A" w:rsidRDefault="00327DE9" w:rsidP="0068180B">
                  <w:pPr>
                    <w:rPr>
                      <w:sz w:val="12"/>
                      <w:szCs w:val="12"/>
                    </w:rPr>
                  </w:pPr>
                  <w:r w:rsidRPr="00143C9A">
                    <w:rPr>
                      <w:sz w:val="12"/>
                      <w:szCs w:val="12"/>
                    </w:rPr>
                    <w:t>Izmaiņas salīdzinot ar 2016.g.plānu</w:t>
                  </w:r>
                </w:p>
              </w:tc>
              <w:tc>
                <w:tcPr>
                  <w:tcW w:w="800" w:type="dxa"/>
                  <w:tcBorders>
                    <w:top w:val="nil"/>
                    <w:left w:val="nil"/>
                    <w:bottom w:val="single" w:sz="4" w:space="0" w:color="auto"/>
                    <w:right w:val="single" w:sz="4" w:space="0" w:color="auto"/>
                  </w:tcBorders>
                  <w:shd w:val="clear" w:color="auto" w:fill="auto"/>
                  <w:noWrap/>
                  <w:vAlign w:val="bottom"/>
                  <w:hideMark/>
                </w:tcPr>
                <w:p w:rsidR="00327DE9" w:rsidRPr="00143C9A" w:rsidRDefault="00327DE9" w:rsidP="0068180B">
                  <w:pPr>
                    <w:rPr>
                      <w:sz w:val="12"/>
                      <w:szCs w:val="12"/>
                    </w:rPr>
                  </w:pPr>
                  <w:r w:rsidRPr="00143C9A">
                    <w:rPr>
                      <w:sz w:val="12"/>
                      <w:szCs w:val="12"/>
                    </w:rPr>
                    <w:t> </w:t>
                  </w:r>
                </w:p>
              </w:tc>
              <w:tc>
                <w:tcPr>
                  <w:tcW w:w="843" w:type="dxa"/>
                  <w:tcBorders>
                    <w:top w:val="nil"/>
                    <w:left w:val="nil"/>
                    <w:bottom w:val="single" w:sz="4" w:space="0" w:color="auto"/>
                    <w:right w:val="single" w:sz="4" w:space="0" w:color="auto"/>
                  </w:tcBorders>
                  <w:shd w:val="clear" w:color="auto" w:fill="auto"/>
                  <w:noWrap/>
                  <w:vAlign w:val="bottom"/>
                  <w:hideMark/>
                </w:tcPr>
                <w:p w:rsidR="00327DE9" w:rsidRPr="00143C9A" w:rsidRDefault="00327DE9">
                  <w:pPr>
                    <w:rPr>
                      <w:sz w:val="12"/>
                      <w:szCs w:val="12"/>
                    </w:rPr>
                  </w:pPr>
                  <w:r w:rsidRPr="00143C9A">
                    <w:rPr>
                      <w:sz w:val="12"/>
                      <w:szCs w:val="12"/>
                    </w:rPr>
                    <w:t> </w:t>
                  </w:r>
                </w:p>
              </w:tc>
              <w:tc>
                <w:tcPr>
                  <w:tcW w:w="703" w:type="dxa"/>
                  <w:tcBorders>
                    <w:top w:val="nil"/>
                    <w:left w:val="nil"/>
                    <w:bottom w:val="single" w:sz="4" w:space="0" w:color="auto"/>
                    <w:right w:val="single" w:sz="4" w:space="0" w:color="auto"/>
                  </w:tcBorders>
                  <w:shd w:val="clear" w:color="auto" w:fill="auto"/>
                  <w:noWrap/>
                  <w:vAlign w:val="bottom"/>
                  <w:hideMark/>
                </w:tcPr>
                <w:p w:rsidR="00327DE9" w:rsidRPr="00143C9A" w:rsidRDefault="00327DE9">
                  <w:pPr>
                    <w:jc w:val="right"/>
                    <w:rPr>
                      <w:sz w:val="12"/>
                      <w:szCs w:val="12"/>
                    </w:rPr>
                  </w:pPr>
                  <w:r w:rsidRPr="00143C9A">
                    <w:rPr>
                      <w:sz w:val="12"/>
                      <w:szCs w:val="12"/>
                    </w:rPr>
                    <w:t>4698,03</w:t>
                  </w:r>
                </w:p>
              </w:tc>
              <w:tc>
                <w:tcPr>
                  <w:tcW w:w="656" w:type="dxa"/>
                  <w:tcBorders>
                    <w:top w:val="nil"/>
                    <w:left w:val="nil"/>
                    <w:bottom w:val="single" w:sz="4" w:space="0" w:color="auto"/>
                    <w:right w:val="single" w:sz="4" w:space="0" w:color="auto"/>
                  </w:tcBorders>
                  <w:shd w:val="clear" w:color="auto" w:fill="auto"/>
                  <w:noWrap/>
                  <w:vAlign w:val="bottom"/>
                  <w:hideMark/>
                </w:tcPr>
                <w:p w:rsidR="00327DE9" w:rsidRPr="00143C9A" w:rsidRDefault="00327DE9" w:rsidP="0068180B">
                  <w:pPr>
                    <w:rPr>
                      <w:sz w:val="12"/>
                      <w:szCs w:val="12"/>
                    </w:rPr>
                  </w:pPr>
                  <w:r w:rsidRPr="00143C9A">
                    <w:rPr>
                      <w:sz w:val="12"/>
                      <w:szCs w:val="12"/>
                    </w:rPr>
                    <w:t> </w:t>
                  </w:r>
                </w:p>
              </w:tc>
              <w:tc>
                <w:tcPr>
                  <w:tcW w:w="666" w:type="dxa"/>
                  <w:tcBorders>
                    <w:top w:val="nil"/>
                    <w:left w:val="nil"/>
                    <w:bottom w:val="single" w:sz="4" w:space="0" w:color="auto"/>
                    <w:right w:val="single" w:sz="4" w:space="0" w:color="auto"/>
                  </w:tcBorders>
                  <w:shd w:val="clear" w:color="auto" w:fill="auto"/>
                  <w:noWrap/>
                  <w:vAlign w:val="bottom"/>
                  <w:hideMark/>
                </w:tcPr>
                <w:p w:rsidR="00327DE9" w:rsidRPr="00143C9A" w:rsidRDefault="00327DE9" w:rsidP="0068180B">
                  <w:pPr>
                    <w:jc w:val="right"/>
                    <w:rPr>
                      <w:sz w:val="12"/>
                      <w:szCs w:val="12"/>
                    </w:rPr>
                  </w:pPr>
                  <w:r w:rsidRPr="00143C9A">
                    <w:rPr>
                      <w:sz w:val="12"/>
                      <w:szCs w:val="12"/>
                    </w:rPr>
                    <w:t>15907,96</w:t>
                  </w:r>
                </w:p>
              </w:tc>
              <w:tc>
                <w:tcPr>
                  <w:tcW w:w="656" w:type="dxa"/>
                  <w:tcBorders>
                    <w:top w:val="nil"/>
                    <w:left w:val="nil"/>
                    <w:bottom w:val="single" w:sz="4" w:space="0" w:color="auto"/>
                    <w:right w:val="single" w:sz="4" w:space="0" w:color="auto"/>
                  </w:tcBorders>
                  <w:shd w:val="clear" w:color="auto" w:fill="auto"/>
                  <w:noWrap/>
                  <w:vAlign w:val="bottom"/>
                  <w:hideMark/>
                </w:tcPr>
                <w:p w:rsidR="00327DE9" w:rsidRPr="00143C9A" w:rsidRDefault="00327DE9" w:rsidP="0068180B">
                  <w:pPr>
                    <w:rPr>
                      <w:sz w:val="12"/>
                      <w:szCs w:val="12"/>
                    </w:rPr>
                  </w:pPr>
                  <w:r w:rsidRPr="00143C9A">
                    <w:rPr>
                      <w:sz w:val="12"/>
                      <w:szCs w:val="12"/>
                    </w:rPr>
                    <w:t> </w:t>
                  </w:r>
                </w:p>
              </w:tc>
              <w:tc>
                <w:tcPr>
                  <w:tcW w:w="666" w:type="dxa"/>
                  <w:tcBorders>
                    <w:top w:val="nil"/>
                    <w:left w:val="nil"/>
                    <w:bottom w:val="single" w:sz="4" w:space="0" w:color="auto"/>
                    <w:right w:val="single" w:sz="4" w:space="0" w:color="auto"/>
                  </w:tcBorders>
                  <w:shd w:val="clear" w:color="auto" w:fill="auto"/>
                  <w:noWrap/>
                  <w:vAlign w:val="bottom"/>
                  <w:hideMark/>
                </w:tcPr>
                <w:p w:rsidR="00327DE9" w:rsidRPr="00143C9A" w:rsidRDefault="00327DE9" w:rsidP="0068180B">
                  <w:pPr>
                    <w:jc w:val="right"/>
                    <w:rPr>
                      <w:sz w:val="12"/>
                      <w:szCs w:val="12"/>
                    </w:rPr>
                  </w:pPr>
                  <w:r w:rsidRPr="00143C9A">
                    <w:rPr>
                      <w:sz w:val="12"/>
                      <w:szCs w:val="12"/>
                    </w:rPr>
                    <w:t>15907,96</w:t>
                  </w:r>
                </w:p>
              </w:tc>
              <w:tc>
                <w:tcPr>
                  <w:tcW w:w="656" w:type="dxa"/>
                  <w:tcBorders>
                    <w:top w:val="nil"/>
                    <w:left w:val="nil"/>
                    <w:bottom w:val="single" w:sz="4" w:space="0" w:color="auto"/>
                    <w:right w:val="single" w:sz="4" w:space="0" w:color="auto"/>
                  </w:tcBorders>
                  <w:shd w:val="clear" w:color="auto" w:fill="auto"/>
                  <w:noWrap/>
                  <w:vAlign w:val="bottom"/>
                  <w:hideMark/>
                </w:tcPr>
                <w:p w:rsidR="00327DE9" w:rsidRPr="00143C9A" w:rsidRDefault="00327DE9" w:rsidP="0068180B">
                  <w:pPr>
                    <w:rPr>
                      <w:sz w:val="12"/>
                      <w:szCs w:val="12"/>
                    </w:rPr>
                  </w:pPr>
                  <w:r w:rsidRPr="00143C9A">
                    <w:rPr>
                      <w:sz w:val="12"/>
                      <w:szCs w:val="12"/>
                    </w:rPr>
                    <w:t> </w:t>
                  </w:r>
                </w:p>
              </w:tc>
              <w:tc>
                <w:tcPr>
                  <w:tcW w:w="696" w:type="dxa"/>
                  <w:tcBorders>
                    <w:top w:val="nil"/>
                    <w:left w:val="nil"/>
                    <w:bottom w:val="single" w:sz="4" w:space="0" w:color="auto"/>
                    <w:right w:val="single" w:sz="4" w:space="0" w:color="auto"/>
                  </w:tcBorders>
                  <w:shd w:val="clear" w:color="auto" w:fill="auto"/>
                  <w:noWrap/>
                  <w:vAlign w:val="bottom"/>
                  <w:hideMark/>
                </w:tcPr>
                <w:p w:rsidR="00327DE9" w:rsidRPr="00143C9A" w:rsidRDefault="00327DE9" w:rsidP="0068180B">
                  <w:pPr>
                    <w:jc w:val="right"/>
                    <w:rPr>
                      <w:sz w:val="12"/>
                      <w:szCs w:val="12"/>
                    </w:rPr>
                  </w:pPr>
                  <w:r w:rsidRPr="00143C9A">
                    <w:rPr>
                      <w:sz w:val="12"/>
                      <w:szCs w:val="12"/>
                    </w:rPr>
                    <w:t>15907,96</w:t>
                  </w:r>
                </w:p>
              </w:tc>
            </w:tr>
          </w:tbl>
          <w:p w:rsidR="00743CD0" w:rsidRPr="00143C9A" w:rsidRDefault="00743CD0" w:rsidP="0068180B">
            <w:pPr>
              <w:jc w:val="both"/>
            </w:pPr>
          </w:p>
          <w:tbl>
            <w:tblPr>
              <w:tblW w:w="8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403"/>
              <w:gridCol w:w="1577"/>
              <w:gridCol w:w="1674"/>
              <w:gridCol w:w="1742"/>
            </w:tblGrid>
            <w:tr w:rsidR="007F1E26" w:rsidRPr="00143C9A" w:rsidTr="007F1E26">
              <w:tc>
                <w:tcPr>
                  <w:tcW w:w="1718" w:type="dxa"/>
                  <w:shd w:val="clear" w:color="auto" w:fill="auto"/>
                  <w:vAlign w:val="center"/>
                </w:tcPr>
                <w:p w:rsidR="007F1E26" w:rsidRPr="00143C9A" w:rsidRDefault="007F1E26" w:rsidP="007F1E26">
                  <w:pPr>
                    <w:jc w:val="center"/>
                    <w:rPr>
                      <w:sz w:val="20"/>
                      <w:szCs w:val="20"/>
                    </w:rPr>
                  </w:pPr>
                  <w:r w:rsidRPr="00143C9A">
                    <w:rPr>
                      <w:sz w:val="20"/>
                      <w:szCs w:val="20"/>
                    </w:rPr>
                    <w:t>Ieņēmumi</w:t>
                  </w:r>
                </w:p>
              </w:tc>
              <w:tc>
                <w:tcPr>
                  <w:tcW w:w="1403" w:type="dxa"/>
                </w:tcPr>
                <w:p w:rsidR="007F1E26" w:rsidRPr="007F1E26" w:rsidRDefault="007F1E26" w:rsidP="007F1E26">
                  <w:pPr>
                    <w:jc w:val="center"/>
                    <w:rPr>
                      <w:sz w:val="20"/>
                      <w:szCs w:val="20"/>
                    </w:rPr>
                  </w:pPr>
                  <w:r w:rsidRPr="007F1E26">
                    <w:rPr>
                      <w:sz w:val="20"/>
                      <w:szCs w:val="20"/>
                    </w:rPr>
                    <w:t>2016.g.</w:t>
                  </w:r>
                </w:p>
              </w:tc>
              <w:tc>
                <w:tcPr>
                  <w:tcW w:w="1577" w:type="dxa"/>
                  <w:shd w:val="clear" w:color="auto" w:fill="auto"/>
                  <w:vAlign w:val="center"/>
                </w:tcPr>
                <w:p w:rsidR="007F1E26" w:rsidRPr="00143C9A" w:rsidRDefault="007F1E26" w:rsidP="007F1E26">
                  <w:pPr>
                    <w:jc w:val="center"/>
                    <w:rPr>
                      <w:sz w:val="20"/>
                      <w:szCs w:val="20"/>
                    </w:rPr>
                  </w:pPr>
                  <w:r w:rsidRPr="00143C9A">
                    <w:rPr>
                      <w:sz w:val="20"/>
                      <w:szCs w:val="20"/>
                    </w:rPr>
                    <w:t>2017.g.</w:t>
                  </w:r>
                </w:p>
              </w:tc>
              <w:tc>
                <w:tcPr>
                  <w:tcW w:w="1674" w:type="dxa"/>
                  <w:shd w:val="clear" w:color="auto" w:fill="auto"/>
                  <w:vAlign w:val="center"/>
                </w:tcPr>
                <w:p w:rsidR="007F1E26" w:rsidRPr="00143C9A" w:rsidRDefault="007F1E26" w:rsidP="007F1E26">
                  <w:pPr>
                    <w:jc w:val="center"/>
                    <w:rPr>
                      <w:sz w:val="20"/>
                      <w:szCs w:val="20"/>
                    </w:rPr>
                  </w:pPr>
                  <w:r w:rsidRPr="00143C9A">
                    <w:rPr>
                      <w:sz w:val="20"/>
                      <w:szCs w:val="20"/>
                    </w:rPr>
                    <w:t>2018</w:t>
                  </w:r>
                  <w:r w:rsidRPr="00143C9A">
                    <w:rPr>
                      <w:sz w:val="20"/>
                      <w:szCs w:val="20"/>
                    </w:rPr>
                    <w:cr/>
                    <w:t>g.</w:t>
                  </w:r>
                </w:p>
              </w:tc>
              <w:tc>
                <w:tcPr>
                  <w:tcW w:w="1742" w:type="dxa"/>
                  <w:shd w:val="clear" w:color="auto" w:fill="auto"/>
                  <w:vAlign w:val="center"/>
                </w:tcPr>
                <w:p w:rsidR="007F1E26" w:rsidRPr="00143C9A" w:rsidRDefault="007F1E26" w:rsidP="007F1E26">
                  <w:pPr>
                    <w:jc w:val="center"/>
                    <w:rPr>
                      <w:sz w:val="20"/>
                      <w:szCs w:val="20"/>
                    </w:rPr>
                  </w:pPr>
                  <w:r w:rsidRPr="00143C9A">
                    <w:rPr>
                      <w:sz w:val="20"/>
                      <w:szCs w:val="20"/>
                    </w:rPr>
                    <w:t>2019.g.</w:t>
                  </w:r>
                </w:p>
              </w:tc>
            </w:tr>
            <w:tr w:rsidR="007F1E26" w:rsidRPr="00143C9A" w:rsidTr="007F1E26">
              <w:tc>
                <w:tcPr>
                  <w:tcW w:w="1718" w:type="dxa"/>
                  <w:shd w:val="clear" w:color="auto" w:fill="auto"/>
                  <w:vAlign w:val="center"/>
                </w:tcPr>
                <w:p w:rsidR="007F1E26" w:rsidRPr="00143C9A" w:rsidRDefault="007F1E26" w:rsidP="007F1E26">
                  <w:pPr>
                    <w:jc w:val="center"/>
                    <w:rPr>
                      <w:sz w:val="20"/>
                      <w:szCs w:val="20"/>
                    </w:rPr>
                  </w:pPr>
                  <w:r w:rsidRPr="00143C9A">
                    <w:rPr>
                      <w:sz w:val="20"/>
                      <w:szCs w:val="20"/>
                    </w:rPr>
                    <w:t>ieņēmumi no maksas pakalpojumiem</w:t>
                  </w:r>
                </w:p>
              </w:tc>
              <w:tc>
                <w:tcPr>
                  <w:tcW w:w="1403" w:type="dxa"/>
                </w:tcPr>
                <w:p w:rsidR="007F1E26" w:rsidRPr="007F1E26" w:rsidRDefault="007F1E26" w:rsidP="007F1E26">
                  <w:pPr>
                    <w:jc w:val="center"/>
                    <w:rPr>
                      <w:b/>
                      <w:sz w:val="16"/>
                      <w:szCs w:val="16"/>
                    </w:rPr>
                  </w:pPr>
                  <w:r w:rsidRPr="007F1E26">
                    <w:rPr>
                      <w:b/>
                      <w:sz w:val="16"/>
                      <w:szCs w:val="16"/>
                    </w:rPr>
                    <w:t>7260</w:t>
                  </w:r>
                </w:p>
              </w:tc>
              <w:tc>
                <w:tcPr>
                  <w:tcW w:w="1577" w:type="dxa"/>
                  <w:shd w:val="clear" w:color="auto" w:fill="auto"/>
                </w:tcPr>
                <w:p w:rsidR="007F1E26" w:rsidRPr="00143C9A" w:rsidRDefault="007F1E26" w:rsidP="007F1E26">
                  <w:pPr>
                    <w:jc w:val="center"/>
                    <w:rPr>
                      <w:sz w:val="20"/>
                      <w:szCs w:val="20"/>
                    </w:rPr>
                  </w:pPr>
                  <w:r w:rsidRPr="00143C9A">
                    <w:rPr>
                      <w:b/>
                      <w:sz w:val="16"/>
                      <w:szCs w:val="16"/>
                    </w:rPr>
                    <w:t>18470</w:t>
                  </w:r>
                </w:p>
              </w:tc>
              <w:tc>
                <w:tcPr>
                  <w:tcW w:w="1674" w:type="dxa"/>
                  <w:shd w:val="clear" w:color="auto" w:fill="auto"/>
                </w:tcPr>
                <w:p w:rsidR="007F1E26" w:rsidRPr="00143C9A" w:rsidRDefault="007F1E26" w:rsidP="007F1E26">
                  <w:pPr>
                    <w:jc w:val="center"/>
                  </w:pPr>
                  <w:r w:rsidRPr="00143C9A">
                    <w:rPr>
                      <w:b/>
                      <w:sz w:val="16"/>
                      <w:szCs w:val="16"/>
                    </w:rPr>
                    <w:t>18470</w:t>
                  </w:r>
                </w:p>
              </w:tc>
              <w:tc>
                <w:tcPr>
                  <w:tcW w:w="1742" w:type="dxa"/>
                  <w:shd w:val="clear" w:color="auto" w:fill="auto"/>
                </w:tcPr>
                <w:p w:rsidR="007F1E26" w:rsidRPr="00143C9A" w:rsidRDefault="007F1E26" w:rsidP="007F1E26">
                  <w:pPr>
                    <w:jc w:val="center"/>
                  </w:pPr>
                  <w:r w:rsidRPr="00143C9A">
                    <w:rPr>
                      <w:b/>
                      <w:sz w:val="16"/>
                      <w:szCs w:val="16"/>
                    </w:rPr>
                    <w:t>18470</w:t>
                  </w:r>
                </w:p>
              </w:tc>
            </w:tr>
            <w:tr w:rsidR="007F1E26" w:rsidRPr="00143C9A" w:rsidTr="007F1E26">
              <w:tc>
                <w:tcPr>
                  <w:tcW w:w="1718" w:type="dxa"/>
                  <w:shd w:val="clear" w:color="auto" w:fill="auto"/>
                  <w:vAlign w:val="center"/>
                </w:tcPr>
                <w:p w:rsidR="007F1E26" w:rsidRPr="00143C9A" w:rsidRDefault="007F1E26" w:rsidP="007F1E26">
                  <w:pPr>
                    <w:jc w:val="center"/>
                    <w:rPr>
                      <w:sz w:val="20"/>
                      <w:szCs w:val="20"/>
                    </w:rPr>
                  </w:pPr>
                  <w:r w:rsidRPr="00143C9A">
                    <w:rPr>
                      <w:sz w:val="20"/>
                      <w:szCs w:val="20"/>
                    </w:rPr>
                    <w:t>Kopā</w:t>
                  </w:r>
                </w:p>
              </w:tc>
              <w:tc>
                <w:tcPr>
                  <w:tcW w:w="1403" w:type="dxa"/>
                </w:tcPr>
                <w:p w:rsidR="007F1E26" w:rsidRPr="007F1E26" w:rsidRDefault="007F1E26" w:rsidP="007F1E26">
                  <w:pPr>
                    <w:jc w:val="center"/>
                    <w:rPr>
                      <w:b/>
                      <w:sz w:val="16"/>
                      <w:szCs w:val="16"/>
                    </w:rPr>
                  </w:pPr>
                  <w:r w:rsidRPr="007F1E26">
                    <w:rPr>
                      <w:b/>
                      <w:sz w:val="16"/>
                      <w:szCs w:val="16"/>
                    </w:rPr>
                    <w:t>7260</w:t>
                  </w:r>
                </w:p>
              </w:tc>
              <w:tc>
                <w:tcPr>
                  <w:tcW w:w="1577" w:type="dxa"/>
                  <w:shd w:val="clear" w:color="auto" w:fill="auto"/>
                </w:tcPr>
                <w:p w:rsidR="007F1E26" w:rsidRPr="00143C9A" w:rsidRDefault="007F1E26" w:rsidP="007F1E26">
                  <w:pPr>
                    <w:jc w:val="center"/>
                    <w:rPr>
                      <w:sz w:val="20"/>
                      <w:szCs w:val="20"/>
                    </w:rPr>
                  </w:pPr>
                  <w:r w:rsidRPr="00143C9A">
                    <w:rPr>
                      <w:b/>
                      <w:sz w:val="16"/>
                      <w:szCs w:val="16"/>
                    </w:rPr>
                    <w:t>18470</w:t>
                  </w:r>
                </w:p>
              </w:tc>
              <w:tc>
                <w:tcPr>
                  <w:tcW w:w="1674" w:type="dxa"/>
                  <w:shd w:val="clear" w:color="auto" w:fill="auto"/>
                </w:tcPr>
                <w:p w:rsidR="007F1E26" w:rsidRPr="00143C9A" w:rsidRDefault="007F1E26" w:rsidP="007F1E26">
                  <w:pPr>
                    <w:jc w:val="center"/>
                  </w:pPr>
                  <w:r w:rsidRPr="00143C9A">
                    <w:rPr>
                      <w:b/>
                      <w:sz w:val="16"/>
                      <w:szCs w:val="16"/>
                    </w:rPr>
                    <w:t>18470</w:t>
                  </w:r>
                </w:p>
              </w:tc>
              <w:tc>
                <w:tcPr>
                  <w:tcW w:w="1742" w:type="dxa"/>
                  <w:shd w:val="clear" w:color="auto" w:fill="auto"/>
                </w:tcPr>
                <w:p w:rsidR="007F1E26" w:rsidRPr="00143C9A" w:rsidRDefault="007F1E26" w:rsidP="007F1E26">
                  <w:pPr>
                    <w:jc w:val="center"/>
                  </w:pPr>
                  <w:r w:rsidRPr="00143C9A">
                    <w:rPr>
                      <w:b/>
                      <w:sz w:val="16"/>
                      <w:szCs w:val="16"/>
                    </w:rPr>
                    <w:t>18470</w:t>
                  </w:r>
                </w:p>
              </w:tc>
            </w:tr>
          </w:tbl>
          <w:p w:rsidR="00743CD0" w:rsidRPr="00143C9A" w:rsidRDefault="00743CD0" w:rsidP="0068180B">
            <w:pPr>
              <w:jc w:val="both"/>
            </w:pPr>
          </w:p>
          <w:p w:rsidR="00743CD0" w:rsidRPr="00143C9A" w:rsidRDefault="00743CD0" w:rsidP="0068180B">
            <w:pPr>
              <w:jc w:val="both"/>
            </w:pPr>
            <w:r w:rsidRPr="00143C9A">
              <w:t>Detalizēts izdevumu aprēķins:</w:t>
            </w:r>
          </w:p>
          <w:tbl>
            <w:tblPr>
              <w:tblW w:w="7860" w:type="dxa"/>
              <w:tblLook w:val="04A0" w:firstRow="1" w:lastRow="0" w:firstColumn="1" w:lastColumn="0" w:noHBand="0" w:noVBand="1"/>
            </w:tblPr>
            <w:tblGrid>
              <w:gridCol w:w="1259"/>
              <w:gridCol w:w="1356"/>
              <w:gridCol w:w="1276"/>
              <w:gridCol w:w="1276"/>
              <w:gridCol w:w="1276"/>
              <w:gridCol w:w="1417"/>
            </w:tblGrid>
            <w:tr w:rsidR="00143C9A" w:rsidRPr="00143C9A" w:rsidTr="0068180B">
              <w:trPr>
                <w:trHeight w:val="690"/>
              </w:trPr>
              <w:tc>
                <w:tcPr>
                  <w:tcW w:w="12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8180B" w:rsidRPr="00143C9A" w:rsidRDefault="0068180B" w:rsidP="0068180B">
                  <w:pPr>
                    <w:jc w:val="center"/>
                    <w:rPr>
                      <w:sz w:val="16"/>
                      <w:szCs w:val="16"/>
                    </w:rPr>
                  </w:pPr>
                  <w:r w:rsidRPr="00143C9A">
                    <w:rPr>
                      <w:sz w:val="16"/>
                      <w:szCs w:val="16"/>
                    </w:rPr>
                    <w:t>EKK</w:t>
                  </w:r>
                </w:p>
              </w:tc>
              <w:tc>
                <w:tcPr>
                  <w:tcW w:w="1356" w:type="dxa"/>
                  <w:tcBorders>
                    <w:top w:val="single" w:sz="8" w:space="0" w:color="auto"/>
                    <w:left w:val="nil"/>
                    <w:bottom w:val="single" w:sz="8" w:space="0" w:color="auto"/>
                    <w:right w:val="single" w:sz="4" w:space="0" w:color="auto"/>
                  </w:tcBorders>
                  <w:shd w:val="clear" w:color="auto" w:fill="auto"/>
                  <w:vAlign w:val="center"/>
                  <w:hideMark/>
                </w:tcPr>
                <w:p w:rsidR="0068180B" w:rsidRPr="00143C9A" w:rsidRDefault="0068180B" w:rsidP="0068180B">
                  <w:pPr>
                    <w:jc w:val="center"/>
                    <w:rPr>
                      <w:sz w:val="16"/>
                      <w:szCs w:val="16"/>
                    </w:rPr>
                  </w:pPr>
                  <w:r w:rsidRPr="00143C9A">
                    <w:rPr>
                      <w:sz w:val="16"/>
                      <w:szCs w:val="16"/>
                    </w:rPr>
                    <w:t>Izdevumu veidi</w:t>
                  </w:r>
                </w:p>
              </w:tc>
              <w:tc>
                <w:tcPr>
                  <w:tcW w:w="1276" w:type="dxa"/>
                  <w:tcBorders>
                    <w:top w:val="single" w:sz="4" w:space="0" w:color="auto"/>
                    <w:left w:val="single" w:sz="4" w:space="0" w:color="auto"/>
                    <w:bottom w:val="single" w:sz="4" w:space="0" w:color="auto"/>
                    <w:right w:val="single" w:sz="4" w:space="0" w:color="auto"/>
                  </w:tcBorders>
                </w:tcPr>
                <w:p w:rsidR="0068180B" w:rsidRPr="00143C9A" w:rsidRDefault="0068180B" w:rsidP="005A1311">
                  <w:pPr>
                    <w:jc w:val="center"/>
                    <w:rPr>
                      <w:sz w:val="16"/>
                      <w:szCs w:val="16"/>
                    </w:rPr>
                  </w:pPr>
                  <w:r w:rsidRPr="00143C9A">
                    <w:rPr>
                      <w:sz w:val="16"/>
                      <w:szCs w:val="16"/>
                    </w:rPr>
                    <w:t>2016.g.</w:t>
                  </w:r>
                  <w:r w:rsidR="005A1311" w:rsidRPr="00143C9A">
                    <w:rPr>
                      <w:sz w:val="16"/>
                      <w:szCs w:val="16"/>
                    </w:rPr>
                    <w:t>IV cet.</w:t>
                  </w:r>
                </w:p>
              </w:tc>
              <w:tc>
                <w:tcPr>
                  <w:tcW w:w="12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68180B" w:rsidRPr="00143C9A" w:rsidRDefault="0068180B" w:rsidP="00A51F9D">
                  <w:pPr>
                    <w:jc w:val="center"/>
                    <w:rPr>
                      <w:sz w:val="16"/>
                      <w:szCs w:val="16"/>
                    </w:rPr>
                  </w:pPr>
                  <w:r w:rsidRPr="00143C9A">
                    <w:rPr>
                      <w:sz w:val="16"/>
                      <w:szCs w:val="16"/>
                    </w:rPr>
                    <w:t>2017.g. plāns, EUR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8180B" w:rsidRPr="00143C9A" w:rsidRDefault="0068180B" w:rsidP="00A51F9D">
                  <w:pPr>
                    <w:jc w:val="both"/>
                    <w:rPr>
                      <w:sz w:val="16"/>
                      <w:szCs w:val="16"/>
                    </w:rPr>
                  </w:pPr>
                  <w:r w:rsidRPr="00143C9A">
                    <w:rPr>
                      <w:sz w:val="16"/>
                      <w:szCs w:val="16"/>
                    </w:rPr>
                    <w:t>2018.g. plāns, EUR</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68180B" w:rsidRPr="00143C9A" w:rsidRDefault="0068180B" w:rsidP="00A51F9D">
                  <w:pPr>
                    <w:jc w:val="both"/>
                    <w:rPr>
                      <w:sz w:val="16"/>
                      <w:szCs w:val="16"/>
                    </w:rPr>
                  </w:pPr>
                  <w:r w:rsidRPr="00143C9A">
                    <w:rPr>
                      <w:sz w:val="16"/>
                      <w:szCs w:val="16"/>
                    </w:rPr>
                    <w:t xml:space="preserve">2019.g. plāns, EUR </w:t>
                  </w:r>
                </w:p>
              </w:tc>
            </w:tr>
            <w:tr w:rsidR="00143C9A" w:rsidRPr="00143C9A" w:rsidTr="0068180B">
              <w:trPr>
                <w:trHeight w:val="405"/>
              </w:trPr>
              <w:tc>
                <w:tcPr>
                  <w:tcW w:w="1259" w:type="dxa"/>
                  <w:tcBorders>
                    <w:top w:val="nil"/>
                    <w:left w:val="single" w:sz="8" w:space="0" w:color="auto"/>
                    <w:bottom w:val="nil"/>
                    <w:right w:val="single" w:sz="8" w:space="0" w:color="auto"/>
                  </w:tcBorders>
                  <w:shd w:val="clear" w:color="auto" w:fill="auto"/>
                  <w:vAlign w:val="center"/>
                  <w:hideMark/>
                </w:tcPr>
                <w:p w:rsidR="0068180B" w:rsidRPr="00143C9A" w:rsidRDefault="0068180B" w:rsidP="0068180B">
                  <w:pPr>
                    <w:jc w:val="both"/>
                    <w:rPr>
                      <w:sz w:val="16"/>
                      <w:szCs w:val="16"/>
                    </w:rPr>
                  </w:pPr>
                  <w:r w:rsidRPr="00143C9A">
                    <w:rPr>
                      <w:sz w:val="16"/>
                      <w:szCs w:val="16"/>
                    </w:rPr>
                    <w:t>1000-4000;</w:t>
                  </w:r>
                </w:p>
              </w:tc>
              <w:tc>
                <w:tcPr>
                  <w:tcW w:w="1356" w:type="dxa"/>
                  <w:vMerge w:val="restart"/>
                  <w:tcBorders>
                    <w:top w:val="nil"/>
                    <w:left w:val="single" w:sz="8" w:space="0" w:color="auto"/>
                    <w:bottom w:val="single" w:sz="8" w:space="0" w:color="000000"/>
                    <w:right w:val="single" w:sz="4" w:space="0" w:color="auto"/>
                  </w:tcBorders>
                  <w:shd w:val="clear" w:color="auto" w:fill="auto"/>
                  <w:vAlign w:val="center"/>
                  <w:hideMark/>
                </w:tcPr>
                <w:p w:rsidR="0068180B" w:rsidRPr="00143C9A" w:rsidRDefault="0068180B" w:rsidP="0068180B">
                  <w:pPr>
                    <w:rPr>
                      <w:b/>
                      <w:bCs/>
                      <w:sz w:val="16"/>
                      <w:szCs w:val="16"/>
                    </w:rPr>
                  </w:pPr>
                  <w:r w:rsidRPr="00143C9A">
                    <w:rPr>
                      <w:b/>
                      <w:bCs/>
                      <w:sz w:val="16"/>
                      <w:szCs w:val="16"/>
                    </w:rPr>
                    <w:t>Uzturēšanas izdevumi</w:t>
                  </w:r>
                </w:p>
              </w:tc>
              <w:tc>
                <w:tcPr>
                  <w:tcW w:w="1276" w:type="dxa"/>
                  <w:vMerge w:val="restart"/>
                  <w:tcBorders>
                    <w:top w:val="single" w:sz="4" w:space="0" w:color="auto"/>
                    <w:left w:val="single" w:sz="4" w:space="0" w:color="auto"/>
                    <w:right w:val="single" w:sz="4" w:space="0" w:color="auto"/>
                  </w:tcBorders>
                </w:tcPr>
                <w:p w:rsidR="0068180B" w:rsidRPr="00143C9A" w:rsidRDefault="009D0F00" w:rsidP="0068180B">
                  <w:pPr>
                    <w:jc w:val="center"/>
                    <w:rPr>
                      <w:b/>
                      <w:sz w:val="16"/>
                      <w:szCs w:val="16"/>
                    </w:rPr>
                  </w:pPr>
                  <w:r w:rsidRPr="00143C9A">
                    <w:rPr>
                      <w:b/>
                      <w:sz w:val="16"/>
                      <w:szCs w:val="16"/>
                    </w:rPr>
                    <w:t>7260</w:t>
                  </w:r>
                </w:p>
              </w:tc>
              <w:tc>
                <w:tcPr>
                  <w:tcW w:w="1276" w:type="dxa"/>
                  <w:vMerge w:val="restart"/>
                  <w:tcBorders>
                    <w:top w:val="nil"/>
                    <w:left w:val="single" w:sz="4" w:space="0" w:color="auto"/>
                    <w:bottom w:val="single" w:sz="8" w:space="0" w:color="000000"/>
                    <w:right w:val="single" w:sz="8" w:space="0" w:color="auto"/>
                  </w:tcBorders>
                  <w:shd w:val="clear" w:color="auto" w:fill="auto"/>
                </w:tcPr>
                <w:p w:rsidR="0068180B" w:rsidRPr="00143C9A" w:rsidRDefault="0068180B" w:rsidP="0068180B">
                  <w:pPr>
                    <w:jc w:val="center"/>
                    <w:rPr>
                      <w:sz w:val="20"/>
                      <w:szCs w:val="20"/>
                    </w:rPr>
                  </w:pPr>
                  <w:r w:rsidRPr="00143C9A">
                    <w:rPr>
                      <w:b/>
                      <w:sz w:val="16"/>
                      <w:szCs w:val="16"/>
                    </w:rPr>
                    <w:t>18470</w:t>
                  </w:r>
                </w:p>
              </w:tc>
              <w:tc>
                <w:tcPr>
                  <w:tcW w:w="1276" w:type="dxa"/>
                  <w:vMerge w:val="restart"/>
                  <w:tcBorders>
                    <w:top w:val="nil"/>
                    <w:left w:val="single" w:sz="8" w:space="0" w:color="auto"/>
                    <w:bottom w:val="single" w:sz="8" w:space="0" w:color="000000"/>
                    <w:right w:val="single" w:sz="8" w:space="0" w:color="auto"/>
                  </w:tcBorders>
                  <w:shd w:val="clear" w:color="auto" w:fill="auto"/>
                </w:tcPr>
                <w:p w:rsidR="0068180B" w:rsidRPr="00143C9A" w:rsidRDefault="0068180B" w:rsidP="0068180B">
                  <w:pPr>
                    <w:jc w:val="center"/>
                  </w:pPr>
                  <w:r w:rsidRPr="00143C9A">
                    <w:rPr>
                      <w:b/>
                      <w:sz w:val="16"/>
                      <w:szCs w:val="16"/>
                    </w:rPr>
                    <w:t>18470</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68180B" w:rsidRPr="00143C9A" w:rsidRDefault="0068180B" w:rsidP="0068180B">
                  <w:pPr>
                    <w:jc w:val="center"/>
                  </w:pPr>
                  <w:r w:rsidRPr="00143C9A">
                    <w:rPr>
                      <w:b/>
                      <w:sz w:val="16"/>
                      <w:szCs w:val="16"/>
                    </w:rPr>
                    <w:t>18470</w:t>
                  </w:r>
                </w:p>
              </w:tc>
            </w:tr>
            <w:tr w:rsidR="00143C9A" w:rsidRPr="00143C9A" w:rsidTr="0068180B">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68180B" w:rsidRPr="00143C9A" w:rsidRDefault="0068180B" w:rsidP="0068180B">
                  <w:pPr>
                    <w:jc w:val="both"/>
                    <w:rPr>
                      <w:sz w:val="16"/>
                      <w:szCs w:val="16"/>
                    </w:rPr>
                  </w:pPr>
                  <w:r w:rsidRPr="00143C9A">
                    <w:rPr>
                      <w:sz w:val="16"/>
                      <w:szCs w:val="16"/>
                    </w:rPr>
                    <w:t>6000-7000</w:t>
                  </w:r>
                </w:p>
              </w:tc>
              <w:tc>
                <w:tcPr>
                  <w:tcW w:w="1356" w:type="dxa"/>
                  <w:vMerge/>
                  <w:tcBorders>
                    <w:top w:val="nil"/>
                    <w:left w:val="single" w:sz="8" w:space="0" w:color="auto"/>
                    <w:bottom w:val="single" w:sz="8" w:space="0" w:color="000000"/>
                    <w:right w:val="single" w:sz="4" w:space="0" w:color="auto"/>
                  </w:tcBorders>
                  <w:vAlign w:val="center"/>
                  <w:hideMark/>
                </w:tcPr>
                <w:p w:rsidR="0068180B" w:rsidRPr="00143C9A" w:rsidRDefault="0068180B" w:rsidP="0068180B">
                  <w:pPr>
                    <w:rPr>
                      <w:b/>
                      <w:bCs/>
                      <w:sz w:val="16"/>
                      <w:szCs w:val="16"/>
                    </w:rPr>
                  </w:pPr>
                </w:p>
              </w:tc>
              <w:tc>
                <w:tcPr>
                  <w:tcW w:w="1276" w:type="dxa"/>
                  <w:vMerge/>
                  <w:tcBorders>
                    <w:left w:val="single" w:sz="4" w:space="0" w:color="auto"/>
                    <w:bottom w:val="single" w:sz="4" w:space="0" w:color="auto"/>
                    <w:right w:val="single" w:sz="4" w:space="0" w:color="auto"/>
                  </w:tcBorders>
                </w:tcPr>
                <w:p w:rsidR="0068180B" w:rsidRPr="00143C9A" w:rsidRDefault="0068180B" w:rsidP="0068180B">
                  <w:pPr>
                    <w:rPr>
                      <w:b/>
                      <w:bCs/>
                      <w:sz w:val="16"/>
                      <w:szCs w:val="16"/>
                    </w:rPr>
                  </w:pPr>
                </w:p>
              </w:tc>
              <w:tc>
                <w:tcPr>
                  <w:tcW w:w="1276" w:type="dxa"/>
                  <w:vMerge/>
                  <w:tcBorders>
                    <w:top w:val="nil"/>
                    <w:left w:val="single" w:sz="4" w:space="0" w:color="auto"/>
                    <w:bottom w:val="single" w:sz="8" w:space="0" w:color="000000"/>
                    <w:right w:val="single" w:sz="8" w:space="0" w:color="auto"/>
                  </w:tcBorders>
                  <w:vAlign w:val="center"/>
                </w:tcPr>
                <w:p w:rsidR="0068180B" w:rsidRPr="00143C9A" w:rsidRDefault="0068180B" w:rsidP="0068180B">
                  <w:pPr>
                    <w:rPr>
                      <w:b/>
                      <w:bCs/>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68180B" w:rsidRPr="00143C9A" w:rsidRDefault="0068180B" w:rsidP="0068180B">
                  <w:pPr>
                    <w:rPr>
                      <w:b/>
                      <w:bCs/>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68180B" w:rsidRPr="00143C9A" w:rsidRDefault="0068180B" w:rsidP="0068180B">
                  <w:pPr>
                    <w:rPr>
                      <w:b/>
                      <w:bCs/>
                      <w:sz w:val="16"/>
                      <w:szCs w:val="16"/>
                    </w:rPr>
                  </w:pPr>
                </w:p>
              </w:tc>
            </w:tr>
            <w:tr w:rsidR="00143C9A" w:rsidRPr="00143C9A" w:rsidTr="0068180B">
              <w:trPr>
                <w:trHeight w:val="625"/>
              </w:trPr>
              <w:tc>
                <w:tcPr>
                  <w:tcW w:w="1259" w:type="dxa"/>
                  <w:tcBorders>
                    <w:top w:val="nil"/>
                    <w:left w:val="single" w:sz="8" w:space="0" w:color="auto"/>
                    <w:bottom w:val="single" w:sz="8" w:space="0" w:color="000000"/>
                    <w:right w:val="single" w:sz="8" w:space="0" w:color="auto"/>
                  </w:tcBorders>
                  <w:shd w:val="clear" w:color="auto" w:fill="auto"/>
                  <w:vAlign w:val="center"/>
                  <w:hideMark/>
                </w:tcPr>
                <w:p w:rsidR="0068180B" w:rsidRPr="00143C9A" w:rsidRDefault="0068180B" w:rsidP="0068180B">
                  <w:pPr>
                    <w:jc w:val="both"/>
                    <w:rPr>
                      <w:sz w:val="16"/>
                      <w:szCs w:val="16"/>
                    </w:rPr>
                  </w:pPr>
                  <w:r w:rsidRPr="00143C9A">
                    <w:rPr>
                      <w:sz w:val="16"/>
                      <w:szCs w:val="16"/>
                    </w:rPr>
                    <w:t>1000-2000</w:t>
                  </w:r>
                </w:p>
              </w:tc>
              <w:tc>
                <w:tcPr>
                  <w:tcW w:w="1356" w:type="dxa"/>
                  <w:tcBorders>
                    <w:top w:val="nil"/>
                    <w:left w:val="single" w:sz="8" w:space="0" w:color="auto"/>
                    <w:bottom w:val="single" w:sz="8" w:space="0" w:color="000000"/>
                    <w:right w:val="single" w:sz="4" w:space="0" w:color="auto"/>
                  </w:tcBorders>
                  <w:shd w:val="clear" w:color="auto" w:fill="auto"/>
                  <w:vAlign w:val="center"/>
                  <w:hideMark/>
                </w:tcPr>
                <w:p w:rsidR="0068180B" w:rsidRPr="00143C9A" w:rsidRDefault="0068180B" w:rsidP="0068180B">
                  <w:pPr>
                    <w:rPr>
                      <w:b/>
                      <w:bCs/>
                      <w:sz w:val="16"/>
                      <w:szCs w:val="16"/>
                    </w:rPr>
                  </w:pPr>
                  <w:r w:rsidRPr="00143C9A">
                    <w:rPr>
                      <w:b/>
                      <w:bCs/>
                      <w:sz w:val="16"/>
                      <w:szCs w:val="16"/>
                    </w:rPr>
                    <w:t>Kārtējie izdevumi</w:t>
                  </w:r>
                </w:p>
              </w:tc>
              <w:tc>
                <w:tcPr>
                  <w:tcW w:w="1276" w:type="dxa"/>
                  <w:tcBorders>
                    <w:top w:val="single" w:sz="4" w:space="0" w:color="auto"/>
                    <w:left w:val="single" w:sz="4" w:space="0" w:color="auto"/>
                    <w:right w:val="single" w:sz="4" w:space="0" w:color="auto"/>
                  </w:tcBorders>
                </w:tcPr>
                <w:p w:rsidR="0068180B" w:rsidRPr="00143C9A" w:rsidRDefault="009D0F00" w:rsidP="0068180B">
                  <w:pPr>
                    <w:jc w:val="center"/>
                    <w:rPr>
                      <w:b/>
                      <w:sz w:val="16"/>
                      <w:szCs w:val="16"/>
                    </w:rPr>
                  </w:pPr>
                  <w:r w:rsidRPr="00143C9A">
                    <w:rPr>
                      <w:b/>
                      <w:sz w:val="16"/>
                      <w:szCs w:val="16"/>
                    </w:rPr>
                    <w:t>7260</w:t>
                  </w:r>
                </w:p>
              </w:tc>
              <w:tc>
                <w:tcPr>
                  <w:tcW w:w="1276" w:type="dxa"/>
                  <w:tcBorders>
                    <w:top w:val="nil"/>
                    <w:left w:val="single" w:sz="4" w:space="0" w:color="auto"/>
                    <w:bottom w:val="single" w:sz="8" w:space="0" w:color="000000"/>
                    <w:right w:val="single" w:sz="8" w:space="0" w:color="auto"/>
                  </w:tcBorders>
                  <w:shd w:val="clear" w:color="auto" w:fill="auto"/>
                </w:tcPr>
                <w:p w:rsidR="0068180B" w:rsidRPr="00143C9A" w:rsidRDefault="0068180B" w:rsidP="0068180B">
                  <w:pPr>
                    <w:jc w:val="center"/>
                    <w:rPr>
                      <w:sz w:val="20"/>
                      <w:szCs w:val="20"/>
                    </w:rPr>
                  </w:pPr>
                  <w:r w:rsidRPr="00143C9A">
                    <w:rPr>
                      <w:b/>
                      <w:sz w:val="16"/>
                      <w:szCs w:val="16"/>
                    </w:rPr>
                    <w:t>18470</w:t>
                  </w:r>
                </w:p>
              </w:tc>
              <w:tc>
                <w:tcPr>
                  <w:tcW w:w="1276" w:type="dxa"/>
                  <w:tcBorders>
                    <w:top w:val="nil"/>
                    <w:left w:val="single" w:sz="8" w:space="0" w:color="auto"/>
                    <w:bottom w:val="single" w:sz="8" w:space="0" w:color="000000"/>
                    <w:right w:val="single" w:sz="8" w:space="0" w:color="auto"/>
                  </w:tcBorders>
                  <w:shd w:val="clear" w:color="auto" w:fill="auto"/>
                </w:tcPr>
                <w:p w:rsidR="0068180B" w:rsidRPr="00143C9A" w:rsidRDefault="0068180B" w:rsidP="0068180B">
                  <w:pPr>
                    <w:jc w:val="center"/>
                  </w:pPr>
                  <w:r w:rsidRPr="00143C9A">
                    <w:rPr>
                      <w:b/>
                      <w:sz w:val="16"/>
                      <w:szCs w:val="16"/>
                    </w:rPr>
                    <w:t>18470</w:t>
                  </w:r>
                </w:p>
              </w:tc>
              <w:tc>
                <w:tcPr>
                  <w:tcW w:w="1417" w:type="dxa"/>
                  <w:tcBorders>
                    <w:top w:val="nil"/>
                    <w:left w:val="single" w:sz="8" w:space="0" w:color="auto"/>
                    <w:bottom w:val="single" w:sz="8" w:space="0" w:color="000000"/>
                    <w:right w:val="single" w:sz="8" w:space="0" w:color="auto"/>
                  </w:tcBorders>
                  <w:shd w:val="clear" w:color="auto" w:fill="auto"/>
                </w:tcPr>
                <w:p w:rsidR="0068180B" w:rsidRPr="00143C9A" w:rsidRDefault="0068180B" w:rsidP="0068180B">
                  <w:pPr>
                    <w:jc w:val="center"/>
                  </w:pPr>
                  <w:r w:rsidRPr="00143C9A">
                    <w:rPr>
                      <w:b/>
                      <w:sz w:val="16"/>
                      <w:szCs w:val="16"/>
                    </w:rPr>
                    <w:t>18470</w:t>
                  </w:r>
                </w:p>
              </w:tc>
            </w:tr>
            <w:tr w:rsidR="00143C9A" w:rsidRPr="00143C9A" w:rsidTr="0068180B">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68180B" w:rsidRPr="00143C9A" w:rsidRDefault="0068180B" w:rsidP="0068180B">
                  <w:pPr>
                    <w:jc w:val="both"/>
                    <w:rPr>
                      <w:sz w:val="16"/>
                      <w:szCs w:val="16"/>
                    </w:rPr>
                  </w:pPr>
                  <w:r w:rsidRPr="00143C9A">
                    <w:rPr>
                      <w:sz w:val="16"/>
                      <w:szCs w:val="16"/>
                    </w:rPr>
                    <w:t>1000</w:t>
                  </w:r>
                </w:p>
              </w:tc>
              <w:tc>
                <w:tcPr>
                  <w:tcW w:w="1356" w:type="dxa"/>
                  <w:tcBorders>
                    <w:top w:val="nil"/>
                    <w:left w:val="nil"/>
                    <w:bottom w:val="single" w:sz="8" w:space="0" w:color="auto"/>
                    <w:right w:val="single" w:sz="4" w:space="0" w:color="auto"/>
                  </w:tcBorders>
                  <w:shd w:val="clear" w:color="auto" w:fill="auto"/>
                  <w:vAlign w:val="center"/>
                  <w:hideMark/>
                </w:tcPr>
                <w:p w:rsidR="0068180B" w:rsidRPr="00143C9A" w:rsidRDefault="0068180B" w:rsidP="0068180B">
                  <w:pPr>
                    <w:rPr>
                      <w:sz w:val="16"/>
                      <w:szCs w:val="16"/>
                    </w:rPr>
                  </w:pPr>
                  <w:r w:rsidRPr="00143C9A">
                    <w:rPr>
                      <w:sz w:val="16"/>
                      <w:szCs w:val="16"/>
                    </w:rPr>
                    <w:t>Atlīdzība</w:t>
                  </w:r>
                </w:p>
              </w:tc>
              <w:tc>
                <w:tcPr>
                  <w:tcW w:w="1276" w:type="dxa"/>
                  <w:tcBorders>
                    <w:top w:val="single" w:sz="4" w:space="0" w:color="auto"/>
                    <w:left w:val="single" w:sz="4" w:space="0" w:color="auto"/>
                    <w:bottom w:val="single" w:sz="4" w:space="0" w:color="auto"/>
                    <w:right w:val="single" w:sz="4" w:space="0" w:color="auto"/>
                  </w:tcBorders>
                </w:tcPr>
                <w:p w:rsidR="0068180B" w:rsidRPr="00143C9A" w:rsidRDefault="009D0F00" w:rsidP="0068180B">
                  <w:pPr>
                    <w:jc w:val="center"/>
                    <w:rPr>
                      <w:sz w:val="16"/>
                      <w:szCs w:val="16"/>
                    </w:rPr>
                  </w:pPr>
                  <w:r w:rsidRPr="00143C9A">
                    <w:rPr>
                      <w:sz w:val="16"/>
                      <w:szCs w:val="16"/>
                    </w:rPr>
                    <w:t>2144</w:t>
                  </w:r>
                </w:p>
              </w:tc>
              <w:tc>
                <w:tcPr>
                  <w:tcW w:w="1276" w:type="dxa"/>
                  <w:tcBorders>
                    <w:top w:val="nil"/>
                    <w:left w:val="single" w:sz="4" w:space="0" w:color="auto"/>
                    <w:bottom w:val="single" w:sz="4" w:space="0" w:color="auto"/>
                    <w:right w:val="single" w:sz="8" w:space="0" w:color="auto"/>
                  </w:tcBorders>
                  <w:shd w:val="clear" w:color="auto" w:fill="auto"/>
                  <w:vAlign w:val="center"/>
                </w:tcPr>
                <w:p w:rsidR="0068180B" w:rsidRPr="00143C9A" w:rsidRDefault="0068180B" w:rsidP="0068180B">
                  <w:pPr>
                    <w:jc w:val="center"/>
                    <w:rPr>
                      <w:sz w:val="16"/>
                      <w:szCs w:val="16"/>
                    </w:rPr>
                  </w:pPr>
                  <w:r w:rsidRPr="00143C9A">
                    <w:rPr>
                      <w:sz w:val="16"/>
                      <w:szCs w:val="16"/>
                    </w:rPr>
                    <w:t>6124</w:t>
                  </w:r>
                </w:p>
              </w:tc>
              <w:tc>
                <w:tcPr>
                  <w:tcW w:w="1276" w:type="dxa"/>
                  <w:tcBorders>
                    <w:top w:val="nil"/>
                    <w:left w:val="nil"/>
                    <w:bottom w:val="single" w:sz="8" w:space="0" w:color="auto"/>
                    <w:right w:val="single" w:sz="8" w:space="0" w:color="auto"/>
                  </w:tcBorders>
                  <w:shd w:val="clear" w:color="auto" w:fill="auto"/>
                  <w:vAlign w:val="center"/>
                </w:tcPr>
                <w:p w:rsidR="0068180B" w:rsidRPr="00143C9A" w:rsidRDefault="0068180B" w:rsidP="0068180B">
                  <w:pPr>
                    <w:jc w:val="center"/>
                    <w:rPr>
                      <w:sz w:val="16"/>
                      <w:szCs w:val="16"/>
                    </w:rPr>
                  </w:pPr>
                  <w:r w:rsidRPr="00143C9A">
                    <w:rPr>
                      <w:sz w:val="16"/>
                      <w:szCs w:val="16"/>
                    </w:rPr>
                    <w:t>6124</w:t>
                  </w:r>
                </w:p>
              </w:tc>
              <w:tc>
                <w:tcPr>
                  <w:tcW w:w="1417" w:type="dxa"/>
                  <w:tcBorders>
                    <w:top w:val="nil"/>
                    <w:left w:val="nil"/>
                    <w:bottom w:val="single" w:sz="8" w:space="0" w:color="auto"/>
                    <w:right w:val="single" w:sz="8" w:space="0" w:color="auto"/>
                  </w:tcBorders>
                  <w:shd w:val="clear" w:color="auto" w:fill="auto"/>
                  <w:vAlign w:val="center"/>
                </w:tcPr>
                <w:p w:rsidR="0068180B" w:rsidRPr="00143C9A" w:rsidRDefault="0068180B" w:rsidP="0068180B">
                  <w:pPr>
                    <w:jc w:val="center"/>
                    <w:rPr>
                      <w:sz w:val="16"/>
                      <w:szCs w:val="16"/>
                    </w:rPr>
                  </w:pPr>
                  <w:r w:rsidRPr="00143C9A">
                    <w:rPr>
                      <w:sz w:val="16"/>
                      <w:szCs w:val="16"/>
                    </w:rPr>
                    <w:t>6124</w:t>
                  </w:r>
                </w:p>
              </w:tc>
            </w:tr>
            <w:tr w:rsidR="00143C9A" w:rsidRPr="00143C9A" w:rsidTr="0068180B">
              <w:trPr>
                <w:trHeight w:val="31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68180B" w:rsidRPr="00143C9A" w:rsidRDefault="0068180B" w:rsidP="0068180B">
                  <w:pPr>
                    <w:jc w:val="both"/>
                    <w:rPr>
                      <w:sz w:val="16"/>
                      <w:szCs w:val="16"/>
                    </w:rPr>
                  </w:pPr>
                  <w:r w:rsidRPr="00143C9A">
                    <w:rPr>
                      <w:sz w:val="16"/>
                      <w:szCs w:val="16"/>
                    </w:rPr>
                    <w:t>1100</w:t>
                  </w:r>
                </w:p>
              </w:tc>
              <w:tc>
                <w:tcPr>
                  <w:tcW w:w="1356" w:type="dxa"/>
                  <w:tcBorders>
                    <w:top w:val="nil"/>
                    <w:left w:val="nil"/>
                    <w:bottom w:val="single" w:sz="8" w:space="0" w:color="auto"/>
                    <w:right w:val="single" w:sz="4" w:space="0" w:color="auto"/>
                  </w:tcBorders>
                  <w:shd w:val="clear" w:color="auto" w:fill="auto"/>
                  <w:vAlign w:val="center"/>
                  <w:hideMark/>
                </w:tcPr>
                <w:p w:rsidR="0068180B" w:rsidRPr="00143C9A" w:rsidRDefault="0068180B" w:rsidP="0068180B">
                  <w:pPr>
                    <w:rPr>
                      <w:sz w:val="16"/>
                      <w:szCs w:val="16"/>
                    </w:rPr>
                  </w:pPr>
                  <w:r w:rsidRPr="00143C9A">
                    <w:rPr>
                      <w:sz w:val="16"/>
                      <w:szCs w:val="16"/>
                    </w:rPr>
                    <w:t>Atalgojums</w:t>
                  </w:r>
                </w:p>
              </w:tc>
              <w:tc>
                <w:tcPr>
                  <w:tcW w:w="1276" w:type="dxa"/>
                  <w:tcBorders>
                    <w:top w:val="single" w:sz="4" w:space="0" w:color="auto"/>
                    <w:left w:val="single" w:sz="4" w:space="0" w:color="auto"/>
                    <w:bottom w:val="single" w:sz="4" w:space="0" w:color="auto"/>
                    <w:right w:val="single" w:sz="4" w:space="0" w:color="auto"/>
                  </w:tcBorders>
                </w:tcPr>
                <w:p w:rsidR="0068180B" w:rsidRPr="00143C9A" w:rsidRDefault="009D0F00" w:rsidP="0068180B">
                  <w:pPr>
                    <w:jc w:val="center"/>
                    <w:rPr>
                      <w:sz w:val="16"/>
                      <w:szCs w:val="16"/>
                    </w:rPr>
                  </w:pPr>
                  <w:r w:rsidRPr="00143C9A">
                    <w:rPr>
                      <w:sz w:val="16"/>
                      <w:szCs w:val="16"/>
                    </w:rPr>
                    <w:t>1735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8180B" w:rsidRPr="00143C9A" w:rsidRDefault="0068180B" w:rsidP="0068180B">
                  <w:pPr>
                    <w:jc w:val="center"/>
                    <w:rPr>
                      <w:sz w:val="16"/>
                      <w:szCs w:val="16"/>
                    </w:rPr>
                  </w:pPr>
                  <w:r w:rsidRPr="00143C9A">
                    <w:rPr>
                      <w:sz w:val="16"/>
                      <w:szCs w:val="16"/>
                    </w:rPr>
                    <w:t>4955</w:t>
                  </w:r>
                </w:p>
              </w:tc>
              <w:tc>
                <w:tcPr>
                  <w:tcW w:w="1276" w:type="dxa"/>
                  <w:tcBorders>
                    <w:top w:val="nil"/>
                    <w:left w:val="single" w:sz="4" w:space="0" w:color="auto"/>
                    <w:bottom w:val="single" w:sz="8" w:space="0" w:color="auto"/>
                    <w:right w:val="single" w:sz="8" w:space="0" w:color="auto"/>
                  </w:tcBorders>
                  <w:shd w:val="clear" w:color="auto" w:fill="auto"/>
                </w:tcPr>
                <w:p w:rsidR="0068180B" w:rsidRPr="00143C9A" w:rsidRDefault="0068180B" w:rsidP="0068180B">
                  <w:pPr>
                    <w:jc w:val="center"/>
                    <w:rPr>
                      <w:sz w:val="16"/>
                      <w:szCs w:val="16"/>
                    </w:rPr>
                  </w:pPr>
                  <w:r w:rsidRPr="00143C9A">
                    <w:rPr>
                      <w:sz w:val="16"/>
                      <w:szCs w:val="16"/>
                    </w:rPr>
                    <w:t>4955</w:t>
                  </w:r>
                </w:p>
              </w:tc>
              <w:tc>
                <w:tcPr>
                  <w:tcW w:w="1417" w:type="dxa"/>
                  <w:tcBorders>
                    <w:top w:val="nil"/>
                    <w:left w:val="nil"/>
                    <w:bottom w:val="single" w:sz="8" w:space="0" w:color="auto"/>
                    <w:right w:val="single" w:sz="8" w:space="0" w:color="auto"/>
                  </w:tcBorders>
                  <w:shd w:val="clear" w:color="auto" w:fill="auto"/>
                </w:tcPr>
                <w:p w:rsidR="0068180B" w:rsidRPr="00143C9A" w:rsidRDefault="0068180B" w:rsidP="0068180B">
                  <w:pPr>
                    <w:jc w:val="center"/>
                    <w:rPr>
                      <w:sz w:val="16"/>
                      <w:szCs w:val="16"/>
                    </w:rPr>
                  </w:pPr>
                  <w:r w:rsidRPr="00143C9A">
                    <w:rPr>
                      <w:sz w:val="16"/>
                      <w:szCs w:val="16"/>
                    </w:rPr>
                    <w:t>4955</w:t>
                  </w:r>
                </w:p>
              </w:tc>
            </w:tr>
            <w:tr w:rsidR="00143C9A" w:rsidRPr="00143C9A" w:rsidTr="00045935">
              <w:trPr>
                <w:trHeight w:val="465"/>
              </w:trPr>
              <w:tc>
                <w:tcPr>
                  <w:tcW w:w="1259" w:type="dxa"/>
                  <w:tcBorders>
                    <w:top w:val="nil"/>
                    <w:left w:val="single" w:sz="8" w:space="0" w:color="auto"/>
                    <w:bottom w:val="single" w:sz="8" w:space="0" w:color="auto"/>
                    <w:right w:val="single" w:sz="8" w:space="0" w:color="auto"/>
                  </w:tcBorders>
                  <w:shd w:val="clear" w:color="auto" w:fill="auto"/>
                  <w:vAlign w:val="center"/>
                  <w:hideMark/>
                </w:tcPr>
                <w:p w:rsidR="0068180B" w:rsidRPr="00143C9A" w:rsidRDefault="0068180B" w:rsidP="0068180B">
                  <w:pPr>
                    <w:jc w:val="both"/>
                    <w:rPr>
                      <w:sz w:val="16"/>
                      <w:szCs w:val="16"/>
                    </w:rPr>
                  </w:pPr>
                  <w:r w:rsidRPr="00143C9A">
                    <w:rPr>
                      <w:sz w:val="16"/>
                      <w:szCs w:val="16"/>
                    </w:rPr>
                    <w:t>2000</w:t>
                  </w:r>
                </w:p>
              </w:tc>
              <w:tc>
                <w:tcPr>
                  <w:tcW w:w="1356" w:type="dxa"/>
                  <w:tcBorders>
                    <w:top w:val="nil"/>
                    <w:left w:val="nil"/>
                    <w:bottom w:val="single" w:sz="8" w:space="0" w:color="auto"/>
                    <w:right w:val="single" w:sz="4" w:space="0" w:color="auto"/>
                  </w:tcBorders>
                  <w:shd w:val="clear" w:color="auto" w:fill="auto"/>
                  <w:vAlign w:val="center"/>
                  <w:hideMark/>
                </w:tcPr>
                <w:p w:rsidR="0068180B" w:rsidRPr="00143C9A" w:rsidRDefault="0068180B" w:rsidP="0068180B">
                  <w:pPr>
                    <w:rPr>
                      <w:sz w:val="16"/>
                      <w:szCs w:val="16"/>
                    </w:rPr>
                  </w:pPr>
                  <w:r w:rsidRPr="00143C9A">
                    <w:rPr>
                      <w:sz w:val="16"/>
                      <w:szCs w:val="16"/>
                    </w:rPr>
                    <w:t>Preces un pakalpojumi</w:t>
                  </w:r>
                </w:p>
              </w:tc>
              <w:tc>
                <w:tcPr>
                  <w:tcW w:w="1276" w:type="dxa"/>
                  <w:tcBorders>
                    <w:top w:val="single" w:sz="4" w:space="0" w:color="auto"/>
                    <w:left w:val="single" w:sz="4" w:space="0" w:color="auto"/>
                    <w:bottom w:val="single" w:sz="4" w:space="0" w:color="auto"/>
                    <w:right w:val="single" w:sz="4" w:space="0" w:color="auto"/>
                  </w:tcBorders>
                  <w:vAlign w:val="center"/>
                </w:tcPr>
                <w:p w:rsidR="0068180B" w:rsidRPr="00143C9A" w:rsidRDefault="009D0F00" w:rsidP="00045935">
                  <w:pPr>
                    <w:jc w:val="center"/>
                    <w:rPr>
                      <w:sz w:val="16"/>
                      <w:szCs w:val="16"/>
                    </w:rPr>
                  </w:pPr>
                  <w:r w:rsidRPr="00143C9A">
                    <w:rPr>
                      <w:sz w:val="16"/>
                      <w:szCs w:val="16"/>
                    </w:rPr>
                    <w:t>5116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8180B" w:rsidRPr="00143C9A" w:rsidRDefault="0068180B" w:rsidP="0068180B">
                  <w:pPr>
                    <w:jc w:val="center"/>
                    <w:rPr>
                      <w:sz w:val="16"/>
                      <w:szCs w:val="16"/>
                    </w:rPr>
                  </w:pPr>
                  <w:r w:rsidRPr="00143C9A">
                    <w:rPr>
                      <w:sz w:val="16"/>
                      <w:szCs w:val="16"/>
                    </w:rPr>
                    <w:t>12346</w:t>
                  </w:r>
                </w:p>
              </w:tc>
              <w:tc>
                <w:tcPr>
                  <w:tcW w:w="1276" w:type="dxa"/>
                  <w:tcBorders>
                    <w:top w:val="nil"/>
                    <w:left w:val="single" w:sz="4" w:space="0" w:color="auto"/>
                    <w:bottom w:val="single" w:sz="8" w:space="0" w:color="auto"/>
                    <w:right w:val="single" w:sz="8" w:space="0" w:color="auto"/>
                  </w:tcBorders>
                  <w:shd w:val="clear" w:color="auto" w:fill="auto"/>
                  <w:vAlign w:val="center"/>
                </w:tcPr>
                <w:p w:rsidR="0068180B" w:rsidRPr="00143C9A" w:rsidRDefault="0068180B" w:rsidP="0068180B">
                  <w:pPr>
                    <w:jc w:val="center"/>
                    <w:rPr>
                      <w:sz w:val="16"/>
                      <w:szCs w:val="16"/>
                    </w:rPr>
                  </w:pPr>
                  <w:r w:rsidRPr="00143C9A">
                    <w:rPr>
                      <w:sz w:val="16"/>
                      <w:szCs w:val="16"/>
                    </w:rPr>
                    <w:t>12346</w:t>
                  </w:r>
                </w:p>
              </w:tc>
              <w:tc>
                <w:tcPr>
                  <w:tcW w:w="1417" w:type="dxa"/>
                  <w:tcBorders>
                    <w:top w:val="nil"/>
                    <w:left w:val="nil"/>
                    <w:bottom w:val="single" w:sz="8" w:space="0" w:color="auto"/>
                    <w:right w:val="single" w:sz="8" w:space="0" w:color="auto"/>
                  </w:tcBorders>
                  <w:shd w:val="clear" w:color="auto" w:fill="auto"/>
                  <w:vAlign w:val="center"/>
                </w:tcPr>
                <w:p w:rsidR="0068180B" w:rsidRPr="00143C9A" w:rsidRDefault="0068180B" w:rsidP="0068180B">
                  <w:pPr>
                    <w:jc w:val="center"/>
                    <w:rPr>
                      <w:sz w:val="16"/>
                      <w:szCs w:val="16"/>
                    </w:rPr>
                  </w:pPr>
                  <w:r w:rsidRPr="00143C9A">
                    <w:rPr>
                      <w:sz w:val="16"/>
                      <w:szCs w:val="16"/>
                    </w:rPr>
                    <w:t>12346</w:t>
                  </w:r>
                </w:p>
              </w:tc>
            </w:tr>
          </w:tbl>
          <w:p w:rsidR="00743CD0" w:rsidRPr="00143C9A" w:rsidRDefault="00743CD0" w:rsidP="0068180B"/>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6.1. detalizēts ieņēmumu aprēķins</w:t>
            </w:r>
          </w:p>
        </w:tc>
        <w:tc>
          <w:tcPr>
            <w:tcW w:w="8184" w:type="dxa"/>
            <w:gridSpan w:val="5"/>
            <w:vMerge/>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tc>
      </w:tr>
      <w:tr w:rsidR="00743CD0" w:rsidRPr="00A804FA" w:rsidTr="009D0F00">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t>6.2. detalizēts izdevumu aprēķins</w:t>
            </w:r>
          </w:p>
        </w:tc>
        <w:tc>
          <w:tcPr>
            <w:tcW w:w="8184" w:type="dxa"/>
            <w:gridSpan w:val="5"/>
            <w:vMerge/>
            <w:tcBorders>
              <w:top w:val="outset" w:sz="6" w:space="0" w:color="414142"/>
              <w:left w:val="outset" w:sz="6" w:space="0" w:color="414142"/>
              <w:bottom w:val="outset" w:sz="6" w:space="0" w:color="414142"/>
              <w:right w:val="outset" w:sz="6" w:space="0" w:color="414142"/>
            </w:tcBorders>
            <w:vAlign w:val="center"/>
            <w:hideMark/>
          </w:tcPr>
          <w:p w:rsidR="00743CD0" w:rsidRPr="00143C9A" w:rsidRDefault="00743CD0" w:rsidP="0068180B"/>
        </w:tc>
      </w:tr>
      <w:tr w:rsidR="00743CD0" w:rsidRPr="00A804FA" w:rsidTr="009D0F00">
        <w:trPr>
          <w:trHeight w:val="555"/>
        </w:trPr>
        <w:tc>
          <w:tcPr>
            <w:tcW w:w="1740" w:type="dxa"/>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r w:rsidRPr="00143C9A">
              <w:lastRenderedPageBreak/>
              <w:t>7. Cita informācija</w:t>
            </w:r>
          </w:p>
        </w:tc>
        <w:tc>
          <w:tcPr>
            <w:tcW w:w="8184" w:type="dxa"/>
            <w:gridSpan w:val="5"/>
            <w:tcBorders>
              <w:top w:val="outset" w:sz="6" w:space="0" w:color="414142"/>
              <w:left w:val="outset" w:sz="6" w:space="0" w:color="414142"/>
              <w:bottom w:val="outset" w:sz="6" w:space="0" w:color="414142"/>
              <w:right w:val="outset" w:sz="6" w:space="0" w:color="414142"/>
            </w:tcBorders>
            <w:hideMark/>
          </w:tcPr>
          <w:p w:rsidR="00743CD0" w:rsidRPr="00143C9A" w:rsidRDefault="00743CD0" w:rsidP="0068180B">
            <w:pPr>
              <w:jc w:val="both"/>
            </w:pPr>
            <w:r w:rsidRPr="00143C9A">
              <w:t xml:space="preserve">Piemērojot izcenojumus par kartupeļu sēklas materiāla sertifikāciju, tiks palielināti kopējie ieņēmumi no maksas pakalpojumiem programmā 27.00.00. „Augu veselība un augu aprites uzraudzība”. </w:t>
            </w:r>
          </w:p>
          <w:p w:rsidR="00743CD0" w:rsidRPr="00143C9A" w:rsidRDefault="00743CD0" w:rsidP="0068180B">
            <w:pPr>
              <w:jc w:val="both"/>
            </w:pPr>
            <w:r w:rsidRPr="00143C9A">
              <w:t>Izdevumi, kas radīsies, Valsts augu aizsardzības dienestam veicot sēklas materiāla sertifikāciju, tiks segti no ieņēmumiem par maksas pakalpojumiem.</w:t>
            </w:r>
          </w:p>
        </w:tc>
      </w:tr>
    </w:tbl>
    <w:p w:rsidR="00743CD0" w:rsidRPr="00FF75E9" w:rsidRDefault="00743CD0" w:rsidP="00743CD0">
      <w:pPr>
        <w:pStyle w:val="naisc"/>
        <w:spacing w:before="0" w:after="0"/>
        <w:ind w:firstLine="720"/>
        <w:jc w:val="both"/>
        <w:rPr>
          <w:bCs/>
          <w:i/>
        </w:rPr>
      </w:pPr>
      <w:r w:rsidRPr="0078139A">
        <w:rPr>
          <w:bCs/>
          <w:i/>
        </w:rPr>
        <w:t xml:space="preserve">Anotācijas </w:t>
      </w:r>
      <w:r>
        <w:rPr>
          <w:bCs/>
          <w:i/>
        </w:rPr>
        <w:t xml:space="preserve">IV un </w:t>
      </w:r>
      <w:r w:rsidRPr="0078139A">
        <w:rPr>
          <w:bCs/>
          <w:i/>
        </w:rPr>
        <w:t>V sadaļa– projekts šo jomu neskar.</w:t>
      </w:r>
    </w:p>
    <w:p w:rsidR="00743CD0" w:rsidRPr="005F50A1" w:rsidRDefault="00743CD0" w:rsidP="00743CD0"/>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3235"/>
        <w:gridCol w:w="6618"/>
      </w:tblGrid>
      <w:tr w:rsidR="00743CD0" w:rsidRPr="005F50A1" w:rsidTr="00F43288">
        <w:trPr>
          <w:jc w:val="center"/>
        </w:trPr>
        <w:tc>
          <w:tcPr>
            <w:tcW w:w="10163" w:type="dxa"/>
            <w:gridSpan w:val="3"/>
          </w:tcPr>
          <w:p w:rsidR="00743CD0" w:rsidRPr="005F50A1" w:rsidRDefault="00743CD0" w:rsidP="00F43288">
            <w:pPr>
              <w:pStyle w:val="naisnod"/>
              <w:spacing w:before="0" w:after="0"/>
              <w:ind w:left="57" w:right="57"/>
            </w:pPr>
            <w:r w:rsidRPr="005F50A1">
              <w:t>VI. Sabiedrības līdzdalība un komunikācijas aktivitātes</w:t>
            </w:r>
          </w:p>
        </w:tc>
      </w:tr>
      <w:tr w:rsidR="00743CD0" w:rsidRPr="008D27A6" w:rsidTr="00F43288">
        <w:trPr>
          <w:trHeight w:val="553"/>
          <w:jc w:val="center"/>
        </w:trPr>
        <w:tc>
          <w:tcPr>
            <w:tcW w:w="310" w:type="dxa"/>
          </w:tcPr>
          <w:p w:rsidR="00743CD0" w:rsidRPr="00564641" w:rsidRDefault="00743CD0" w:rsidP="00F43288">
            <w:pPr>
              <w:pStyle w:val="naiskr"/>
              <w:spacing w:before="0" w:after="0"/>
              <w:ind w:left="57" w:right="57"/>
              <w:rPr>
                <w:bCs/>
                <w:sz w:val="22"/>
                <w:szCs w:val="22"/>
              </w:rPr>
            </w:pPr>
            <w:r w:rsidRPr="00564641">
              <w:rPr>
                <w:bCs/>
                <w:sz w:val="22"/>
                <w:szCs w:val="22"/>
              </w:rPr>
              <w:t>1.</w:t>
            </w:r>
          </w:p>
        </w:tc>
        <w:tc>
          <w:tcPr>
            <w:tcW w:w="3235" w:type="dxa"/>
          </w:tcPr>
          <w:p w:rsidR="00743CD0" w:rsidRPr="0032131B" w:rsidRDefault="00743CD0" w:rsidP="00F43288">
            <w:r w:rsidRPr="0032131B">
              <w:t>Plānotās sabiedrības līdzdalības un komunikācijas aktivitātes saistībā ar projektu</w:t>
            </w:r>
          </w:p>
        </w:tc>
        <w:tc>
          <w:tcPr>
            <w:tcW w:w="6618" w:type="dxa"/>
          </w:tcPr>
          <w:p w:rsidR="00743CD0" w:rsidRDefault="00743CD0" w:rsidP="00F43288">
            <w:pPr>
              <w:jc w:val="both"/>
            </w:pPr>
            <w:r w:rsidRPr="00EA473F">
              <w:t xml:space="preserve">Noteikumu projekts tika ievietots Zemkopības ministrijas tīmekļa vietnē </w:t>
            </w:r>
            <w:hyperlink r:id="rId8" w:history="1">
              <w:r w:rsidRPr="00E84BF7">
                <w:rPr>
                  <w:rStyle w:val="Hipersaite"/>
                </w:rPr>
                <w:t>www.zm.gov.lv</w:t>
              </w:r>
            </w:hyperlink>
            <w:r w:rsidRPr="00EA473F">
              <w:t>.</w:t>
            </w:r>
            <w:r>
              <w:t xml:space="preserve"> </w:t>
            </w:r>
            <w:r w:rsidRPr="0032131B">
              <w:t xml:space="preserve">Noteikumu </w:t>
            </w:r>
            <w:r>
              <w:t xml:space="preserve">projekts tika nosūtīts </w:t>
            </w:r>
            <w:r w:rsidRPr="00D31C98">
              <w:t xml:space="preserve">elektroniski </w:t>
            </w:r>
            <w:r w:rsidRPr="00CD235C">
              <w:t>Lauksaimnieku organizāciju sadarbības padomei un Zemnieku saeimai. Minētajās organizācijās ietilpst lielākā daļa lauksaimniecības nozares pārstāvošo nelielo lauksaimnieku apvienību, tostarp sēklu ražotāji.</w:t>
            </w:r>
          </w:p>
        </w:tc>
      </w:tr>
      <w:tr w:rsidR="00743CD0" w:rsidRPr="008D27A6" w:rsidTr="00F43288">
        <w:trPr>
          <w:trHeight w:val="339"/>
          <w:jc w:val="center"/>
        </w:trPr>
        <w:tc>
          <w:tcPr>
            <w:tcW w:w="310" w:type="dxa"/>
          </w:tcPr>
          <w:p w:rsidR="00743CD0" w:rsidRPr="00564641" w:rsidRDefault="00743CD0" w:rsidP="00F43288">
            <w:pPr>
              <w:pStyle w:val="naiskr"/>
              <w:spacing w:before="0" w:after="0"/>
              <w:ind w:left="57" w:right="57"/>
              <w:rPr>
                <w:bCs/>
                <w:sz w:val="22"/>
                <w:szCs w:val="22"/>
              </w:rPr>
            </w:pPr>
            <w:r w:rsidRPr="00564641">
              <w:rPr>
                <w:bCs/>
                <w:sz w:val="22"/>
                <w:szCs w:val="22"/>
              </w:rPr>
              <w:t>2.</w:t>
            </w:r>
          </w:p>
        </w:tc>
        <w:tc>
          <w:tcPr>
            <w:tcW w:w="3235" w:type="dxa"/>
          </w:tcPr>
          <w:p w:rsidR="00743CD0" w:rsidRPr="008D27A6" w:rsidRDefault="00743CD0" w:rsidP="00F43288">
            <w:pPr>
              <w:pStyle w:val="naiskr"/>
              <w:spacing w:before="0" w:after="0"/>
              <w:ind w:left="57" w:right="57"/>
              <w:rPr>
                <w:color w:val="0070C0"/>
                <w:sz w:val="22"/>
                <w:szCs w:val="22"/>
              </w:rPr>
            </w:pPr>
            <w:r w:rsidRPr="00BC331E">
              <w:t>Sabiedrības līdzdalība projekta izstrādē</w:t>
            </w:r>
          </w:p>
        </w:tc>
        <w:tc>
          <w:tcPr>
            <w:tcW w:w="6618" w:type="dxa"/>
          </w:tcPr>
          <w:p w:rsidR="00743CD0" w:rsidRPr="007F7B52" w:rsidRDefault="00743CD0">
            <w:pPr>
              <w:pStyle w:val="naiskr"/>
              <w:ind w:left="57" w:right="57"/>
              <w:jc w:val="both"/>
            </w:pPr>
            <w:r>
              <w:t>Noteikumu Nr.12</w:t>
            </w:r>
            <w:r w:rsidR="00CC04F0" w:rsidRPr="0059571A">
              <w:t xml:space="preserve"> izstrādē</w:t>
            </w:r>
            <w:r w:rsidR="00CC04F0">
              <w:t xml:space="preserve"> (to </w:t>
            </w:r>
            <w:r>
              <w:t>anotācijā iekļauta visa informācija par jaunajiem izcenojumiem</w:t>
            </w:r>
            <w:r w:rsidR="00CC04F0">
              <w:t>)</w:t>
            </w:r>
            <w:r>
              <w:t xml:space="preserve"> </w:t>
            </w:r>
            <w:r w:rsidRPr="0059571A">
              <w:t>piedalījās Sēklkopības starpinstitūciju darba grupa, kas ir izveidota ar Zemkopības ministrijas 2015.</w:t>
            </w:r>
            <w:r>
              <w:t xml:space="preserve"> </w:t>
            </w:r>
            <w:r w:rsidRPr="0059571A">
              <w:t>gada 29.</w:t>
            </w:r>
            <w:r>
              <w:t xml:space="preserve"> </w:t>
            </w:r>
            <w:r w:rsidRPr="0059571A">
              <w:t>septembra rīkojumu Nr.</w:t>
            </w:r>
            <w:r>
              <w:t xml:space="preserve"> </w:t>
            </w:r>
            <w:r w:rsidRPr="0059571A">
              <w:t>137 „Par starpinstitūciju darba grupām”.</w:t>
            </w:r>
          </w:p>
        </w:tc>
      </w:tr>
      <w:tr w:rsidR="00743CD0" w:rsidRPr="008D27A6" w:rsidTr="00F43288">
        <w:trPr>
          <w:trHeight w:val="375"/>
          <w:jc w:val="center"/>
        </w:trPr>
        <w:tc>
          <w:tcPr>
            <w:tcW w:w="310" w:type="dxa"/>
          </w:tcPr>
          <w:p w:rsidR="00743CD0" w:rsidRPr="005F50A1" w:rsidRDefault="00743CD0" w:rsidP="00F43288">
            <w:pPr>
              <w:pStyle w:val="naiskr"/>
              <w:spacing w:before="0" w:after="0"/>
              <w:ind w:left="57" w:right="57"/>
              <w:rPr>
                <w:bCs/>
                <w:sz w:val="22"/>
                <w:szCs w:val="22"/>
              </w:rPr>
            </w:pPr>
            <w:r w:rsidRPr="005F50A1">
              <w:rPr>
                <w:bCs/>
                <w:sz w:val="22"/>
                <w:szCs w:val="22"/>
              </w:rPr>
              <w:t>3.</w:t>
            </w:r>
          </w:p>
        </w:tc>
        <w:tc>
          <w:tcPr>
            <w:tcW w:w="3235" w:type="dxa"/>
          </w:tcPr>
          <w:p w:rsidR="00743CD0" w:rsidRPr="005F50A1" w:rsidRDefault="00743CD0" w:rsidP="00F43288">
            <w:pPr>
              <w:pStyle w:val="naiskr"/>
              <w:spacing w:before="0" w:after="0"/>
              <w:ind w:left="57" w:right="57"/>
              <w:rPr>
                <w:sz w:val="22"/>
                <w:szCs w:val="22"/>
              </w:rPr>
            </w:pPr>
            <w:r w:rsidRPr="00B963D4">
              <w:rPr>
                <w:sz w:val="22"/>
                <w:szCs w:val="22"/>
              </w:rPr>
              <w:t>Sabiedrības līdzdalības rezultāti</w:t>
            </w:r>
          </w:p>
        </w:tc>
        <w:tc>
          <w:tcPr>
            <w:tcW w:w="6618" w:type="dxa"/>
          </w:tcPr>
          <w:p w:rsidR="00743CD0" w:rsidRPr="00867C9B" w:rsidRDefault="00743CD0" w:rsidP="00F43288">
            <w:pPr>
              <w:pStyle w:val="naiskr"/>
              <w:spacing w:before="0" w:after="0"/>
              <w:ind w:left="57" w:right="57"/>
              <w:jc w:val="both"/>
              <w:rPr>
                <w:sz w:val="22"/>
                <w:szCs w:val="22"/>
              </w:rPr>
            </w:pPr>
            <w:r w:rsidRPr="00E80574">
              <w:t>Lauksaimnieku organizāciju sadarbības padome atbalsta projekta tālāku virzību. Citi sabiedrības pārstāvji nav snieguši viedokli.</w:t>
            </w:r>
          </w:p>
        </w:tc>
      </w:tr>
      <w:tr w:rsidR="00743CD0" w:rsidRPr="008D27A6" w:rsidTr="00F43288">
        <w:trPr>
          <w:trHeight w:val="476"/>
          <w:jc w:val="center"/>
        </w:trPr>
        <w:tc>
          <w:tcPr>
            <w:tcW w:w="310" w:type="dxa"/>
          </w:tcPr>
          <w:p w:rsidR="00743CD0" w:rsidRPr="005F50A1" w:rsidRDefault="00743CD0" w:rsidP="00F43288">
            <w:pPr>
              <w:pStyle w:val="naiskr"/>
              <w:spacing w:before="0" w:after="0"/>
              <w:ind w:left="57" w:right="57"/>
              <w:rPr>
                <w:bCs/>
                <w:sz w:val="22"/>
                <w:szCs w:val="22"/>
              </w:rPr>
            </w:pPr>
            <w:r w:rsidRPr="005F50A1">
              <w:rPr>
                <w:bCs/>
                <w:sz w:val="22"/>
                <w:szCs w:val="22"/>
              </w:rPr>
              <w:t>4.</w:t>
            </w:r>
          </w:p>
        </w:tc>
        <w:tc>
          <w:tcPr>
            <w:tcW w:w="3235" w:type="dxa"/>
          </w:tcPr>
          <w:p w:rsidR="00743CD0" w:rsidRPr="005F50A1" w:rsidRDefault="00743CD0" w:rsidP="00F43288">
            <w:pPr>
              <w:pStyle w:val="naiskr"/>
              <w:spacing w:before="0" w:after="0"/>
              <w:ind w:left="57" w:right="57"/>
              <w:rPr>
                <w:sz w:val="22"/>
                <w:szCs w:val="22"/>
              </w:rPr>
            </w:pPr>
            <w:r w:rsidRPr="005F50A1">
              <w:rPr>
                <w:sz w:val="22"/>
                <w:szCs w:val="22"/>
              </w:rPr>
              <w:t>Cita informācija</w:t>
            </w:r>
          </w:p>
        </w:tc>
        <w:tc>
          <w:tcPr>
            <w:tcW w:w="6618" w:type="dxa"/>
          </w:tcPr>
          <w:p w:rsidR="00743CD0" w:rsidRPr="00867C9B" w:rsidRDefault="00743CD0" w:rsidP="00F43288">
            <w:pPr>
              <w:pStyle w:val="naiskr"/>
              <w:spacing w:before="0" w:after="0"/>
              <w:ind w:left="57" w:right="57"/>
              <w:jc w:val="both"/>
              <w:rPr>
                <w:sz w:val="22"/>
                <w:szCs w:val="22"/>
              </w:rPr>
            </w:pPr>
            <w:r w:rsidRPr="00867C9B">
              <w:rPr>
                <w:sz w:val="22"/>
                <w:szCs w:val="22"/>
              </w:rPr>
              <w:t>Nav.</w:t>
            </w:r>
          </w:p>
        </w:tc>
      </w:tr>
    </w:tbl>
    <w:p w:rsidR="00743CD0" w:rsidRDefault="00743CD0" w:rsidP="00743CD0">
      <w:pPr>
        <w:pStyle w:val="naisf"/>
        <w:spacing w:before="0" w:after="0"/>
        <w:rPr>
          <w:color w:val="0070C0"/>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312"/>
        <w:gridCol w:w="6578"/>
      </w:tblGrid>
      <w:tr w:rsidR="00743CD0" w:rsidRPr="008D27A6" w:rsidTr="00F43288">
        <w:tc>
          <w:tcPr>
            <w:tcW w:w="10264" w:type="dxa"/>
            <w:gridSpan w:val="3"/>
            <w:tcBorders>
              <w:top w:val="single" w:sz="4" w:space="0" w:color="auto"/>
            </w:tcBorders>
          </w:tcPr>
          <w:p w:rsidR="00743CD0" w:rsidRPr="005F50A1" w:rsidRDefault="00743CD0" w:rsidP="00F43288">
            <w:pPr>
              <w:pStyle w:val="naisnod"/>
              <w:spacing w:before="0" w:after="0"/>
              <w:ind w:left="57" w:right="57"/>
            </w:pPr>
            <w:r w:rsidRPr="005F50A1">
              <w:t>VII. Tiesību akta projekta izpildes nodrošināšana un tās ietekme uz institūcijām</w:t>
            </w:r>
          </w:p>
        </w:tc>
      </w:tr>
      <w:tr w:rsidR="00743CD0" w:rsidRPr="008D27A6" w:rsidTr="00F43288">
        <w:trPr>
          <w:trHeight w:val="427"/>
        </w:trPr>
        <w:tc>
          <w:tcPr>
            <w:tcW w:w="374" w:type="dxa"/>
          </w:tcPr>
          <w:p w:rsidR="00743CD0" w:rsidRPr="00402042" w:rsidRDefault="00743CD0" w:rsidP="00F43288">
            <w:pPr>
              <w:pStyle w:val="naisnod"/>
              <w:spacing w:before="0" w:after="0"/>
              <w:ind w:left="57" w:right="57"/>
              <w:jc w:val="left"/>
              <w:rPr>
                <w:b w:val="0"/>
                <w:sz w:val="22"/>
                <w:szCs w:val="22"/>
              </w:rPr>
            </w:pPr>
            <w:r w:rsidRPr="00402042">
              <w:rPr>
                <w:b w:val="0"/>
                <w:sz w:val="22"/>
                <w:szCs w:val="22"/>
              </w:rPr>
              <w:t>1.</w:t>
            </w:r>
          </w:p>
        </w:tc>
        <w:tc>
          <w:tcPr>
            <w:tcW w:w="3312" w:type="dxa"/>
          </w:tcPr>
          <w:p w:rsidR="00743CD0" w:rsidRPr="00402042" w:rsidRDefault="00743CD0" w:rsidP="00F43288">
            <w:pPr>
              <w:pStyle w:val="naisf"/>
              <w:spacing w:before="0" w:after="0"/>
              <w:ind w:left="57" w:right="57" w:firstLine="0"/>
              <w:jc w:val="left"/>
              <w:rPr>
                <w:sz w:val="22"/>
                <w:szCs w:val="22"/>
              </w:rPr>
            </w:pPr>
            <w:r w:rsidRPr="00402042">
              <w:rPr>
                <w:sz w:val="22"/>
                <w:szCs w:val="22"/>
              </w:rPr>
              <w:t xml:space="preserve">Projekta izpildē iesaistītās institūcijas </w:t>
            </w:r>
          </w:p>
        </w:tc>
        <w:tc>
          <w:tcPr>
            <w:tcW w:w="6578" w:type="dxa"/>
          </w:tcPr>
          <w:p w:rsidR="00743CD0" w:rsidRPr="007F7B52" w:rsidRDefault="00743CD0" w:rsidP="00F43288">
            <w:pPr>
              <w:pStyle w:val="naisnod"/>
              <w:spacing w:before="0" w:after="0"/>
              <w:ind w:left="57" w:right="57"/>
              <w:jc w:val="both"/>
              <w:rPr>
                <w:b w:val="0"/>
              </w:rPr>
            </w:pPr>
            <w:r w:rsidRPr="007F7B52">
              <w:rPr>
                <w:b w:val="0"/>
              </w:rPr>
              <w:t>Noteikumu projekta izpildi nodrošinās Valsts augu aizsardzības dienests</w:t>
            </w:r>
            <w:r>
              <w:rPr>
                <w:b w:val="0"/>
              </w:rPr>
              <w:t xml:space="preserve">. </w:t>
            </w:r>
          </w:p>
        </w:tc>
      </w:tr>
      <w:tr w:rsidR="00743CD0" w:rsidRPr="008D27A6" w:rsidTr="00F43288">
        <w:trPr>
          <w:trHeight w:val="463"/>
        </w:trPr>
        <w:tc>
          <w:tcPr>
            <w:tcW w:w="374" w:type="dxa"/>
          </w:tcPr>
          <w:p w:rsidR="00743CD0" w:rsidRPr="00A86D8D" w:rsidRDefault="00743CD0" w:rsidP="00F43288">
            <w:pPr>
              <w:pStyle w:val="naisnod"/>
              <w:spacing w:before="0" w:after="0"/>
              <w:ind w:left="57" w:right="57"/>
              <w:jc w:val="left"/>
              <w:rPr>
                <w:b w:val="0"/>
                <w:sz w:val="22"/>
                <w:szCs w:val="22"/>
              </w:rPr>
            </w:pPr>
            <w:r w:rsidRPr="00A86D8D">
              <w:rPr>
                <w:b w:val="0"/>
                <w:sz w:val="22"/>
                <w:szCs w:val="22"/>
              </w:rPr>
              <w:t>2.</w:t>
            </w:r>
          </w:p>
        </w:tc>
        <w:tc>
          <w:tcPr>
            <w:tcW w:w="3312" w:type="dxa"/>
          </w:tcPr>
          <w:p w:rsidR="00743CD0" w:rsidRPr="00A86D8D" w:rsidRDefault="00743CD0" w:rsidP="00F43288">
            <w:pPr>
              <w:rPr>
                <w:rFonts w:eastAsia="Calibri"/>
                <w:lang w:eastAsia="en-US"/>
              </w:rPr>
            </w:pPr>
            <w:r w:rsidRPr="00A86D8D">
              <w:rPr>
                <w:rFonts w:eastAsia="Calibri"/>
                <w:lang w:eastAsia="en-US"/>
              </w:rPr>
              <w:t xml:space="preserve">Projekta izpildes ietekme uz pārvaldes funkcijām un institucionālo struktūru. </w:t>
            </w:r>
          </w:p>
          <w:p w:rsidR="00743CD0" w:rsidRPr="008D27A6" w:rsidRDefault="00743CD0" w:rsidP="00F43288">
            <w:pPr>
              <w:pStyle w:val="naisf"/>
              <w:spacing w:before="0" w:after="0"/>
              <w:ind w:left="57" w:right="57" w:firstLine="0"/>
              <w:jc w:val="left"/>
              <w:rPr>
                <w:color w:val="0070C0"/>
                <w:sz w:val="22"/>
                <w:szCs w:val="22"/>
              </w:rPr>
            </w:pPr>
            <w:r w:rsidRPr="00A86D8D">
              <w:rPr>
                <w:rFonts w:eastAsia="Calibri"/>
                <w:lang w:eastAsia="en-US"/>
              </w:rPr>
              <w:t>Jaunu institūciju izveide, esošu institūciju likvidācija vai reorganizācija, to ietekme uz institūcijas cilvēkresursiem</w:t>
            </w:r>
          </w:p>
        </w:tc>
        <w:tc>
          <w:tcPr>
            <w:tcW w:w="6578" w:type="dxa"/>
          </w:tcPr>
          <w:p w:rsidR="00743CD0" w:rsidRPr="007F7B52" w:rsidRDefault="00743CD0" w:rsidP="00F43288">
            <w:pPr>
              <w:pStyle w:val="Bezatstarpm"/>
              <w:jc w:val="both"/>
              <w:rPr>
                <w:rFonts w:ascii="Times New Roman" w:hAnsi="Times New Roman"/>
                <w:sz w:val="24"/>
                <w:szCs w:val="24"/>
              </w:rPr>
            </w:pPr>
            <w:r w:rsidRPr="007F7B52">
              <w:rPr>
                <w:rFonts w:ascii="Times New Roman" w:hAnsi="Times New Roman"/>
                <w:sz w:val="24"/>
                <w:szCs w:val="24"/>
              </w:rPr>
              <w:t>Noteikumu projekta izpilde tiks nodrošināta, pamatojoties uz esošo institūciju funkcijām.</w:t>
            </w:r>
          </w:p>
          <w:p w:rsidR="00743CD0" w:rsidRPr="007F7B52" w:rsidRDefault="00743CD0" w:rsidP="00F43288">
            <w:pPr>
              <w:pStyle w:val="Bezatstarpm"/>
              <w:jc w:val="both"/>
              <w:rPr>
                <w:rFonts w:ascii="Times New Roman" w:hAnsi="Times New Roman"/>
                <w:sz w:val="24"/>
                <w:szCs w:val="24"/>
              </w:rPr>
            </w:pPr>
            <w:r w:rsidRPr="007F7B52">
              <w:rPr>
                <w:rFonts w:ascii="Times New Roman" w:hAnsi="Times New Roman"/>
                <w:sz w:val="24"/>
                <w:szCs w:val="24"/>
              </w:rPr>
              <w:t>Saistībā ar projekta izpildi nav nepieciešams veidot jaunas, ne arī likvidēt vai reorganizēt esošas institūcijas.</w:t>
            </w:r>
          </w:p>
          <w:p w:rsidR="00743CD0" w:rsidRPr="007F7B52" w:rsidRDefault="00743CD0" w:rsidP="00F43288">
            <w:pPr>
              <w:pStyle w:val="Bezatstarpm"/>
              <w:jc w:val="both"/>
              <w:rPr>
                <w:sz w:val="24"/>
                <w:szCs w:val="24"/>
              </w:rPr>
            </w:pPr>
            <w:r w:rsidRPr="007F7B52">
              <w:rPr>
                <w:rFonts w:ascii="Times New Roman" w:hAnsi="Times New Roman"/>
                <w:sz w:val="24"/>
                <w:szCs w:val="24"/>
              </w:rPr>
              <w:t xml:space="preserve">Projekta izpilde ietekmēs </w:t>
            </w:r>
            <w:r w:rsidRPr="00552C2C">
              <w:rPr>
                <w:rFonts w:ascii="Times New Roman" w:hAnsi="Times New Roman"/>
                <w:sz w:val="24"/>
                <w:szCs w:val="24"/>
              </w:rPr>
              <w:t>Valsts augu aizsardzības dienestam</w:t>
            </w:r>
            <w:r w:rsidRPr="007F7B52">
              <w:rPr>
                <w:rFonts w:ascii="Times New Roman" w:hAnsi="Times New Roman"/>
                <w:sz w:val="24"/>
                <w:szCs w:val="24"/>
              </w:rPr>
              <w:t xml:space="preserve"> paredzamo darbu apjomu, lai nodrošinātu noteikumu prasību izpildi.</w:t>
            </w:r>
          </w:p>
        </w:tc>
      </w:tr>
      <w:tr w:rsidR="00743CD0" w:rsidRPr="008D27A6" w:rsidTr="00F43288">
        <w:trPr>
          <w:trHeight w:val="211"/>
        </w:trPr>
        <w:tc>
          <w:tcPr>
            <w:tcW w:w="374" w:type="dxa"/>
          </w:tcPr>
          <w:p w:rsidR="00743CD0" w:rsidRPr="00A86D8D" w:rsidRDefault="00743CD0" w:rsidP="00F43288">
            <w:pPr>
              <w:pStyle w:val="naiskr"/>
              <w:spacing w:before="0" w:after="0"/>
              <w:ind w:left="57" w:right="57"/>
              <w:rPr>
                <w:sz w:val="22"/>
                <w:szCs w:val="22"/>
              </w:rPr>
            </w:pPr>
            <w:r w:rsidRPr="00A86D8D">
              <w:rPr>
                <w:sz w:val="22"/>
                <w:szCs w:val="22"/>
              </w:rPr>
              <w:t>3.</w:t>
            </w:r>
          </w:p>
        </w:tc>
        <w:tc>
          <w:tcPr>
            <w:tcW w:w="3312" w:type="dxa"/>
          </w:tcPr>
          <w:p w:rsidR="00743CD0" w:rsidRPr="00A86D8D" w:rsidRDefault="00743CD0" w:rsidP="00F43288">
            <w:pPr>
              <w:pStyle w:val="naiskr"/>
              <w:spacing w:before="0" w:after="0"/>
              <w:ind w:left="57" w:right="57"/>
              <w:rPr>
                <w:sz w:val="22"/>
                <w:szCs w:val="22"/>
              </w:rPr>
            </w:pPr>
            <w:r w:rsidRPr="00A86D8D">
              <w:rPr>
                <w:sz w:val="22"/>
                <w:szCs w:val="22"/>
              </w:rPr>
              <w:t>Cita informācija</w:t>
            </w:r>
          </w:p>
        </w:tc>
        <w:tc>
          <w:tcPr>
            <w:tcW w:w="6578" w:type="dxa"/>
          </w:tcPr>
          <w:p w:rsidR="00743CD0" w:rsidRPr="00A86D8D" w:rsidRDefault="00743CD0" w:rsidP="00F43288">
            <w:pPr>
              <w:pStyle w:val="naiskr"/>
              <w:spacing w:before="0" w:after="0"/>
              <w:ind w:left="57" w:right="57"/>
              <w:rPr>
                <w:sz w:val="22"/>
                <w:szCs w:val="22"/>
              </w:rPr>
            </w:pPr>
            <w:r w:rsidRPr="00A86D8D">
              <w:rPr>
                <w:sz w:val="22"/>
                <w:szCs w:val="22"/>
              </w:rPr>
              <w:t>Nav.</w:t>
            </w:r>
          </w:p>
        </w:tc>
      </w:tr>
    </w:tbl>
    <w:p w:rsidR="00743CD0" w:rsidRDefault="00743CD0" w:rsidP="00743CD0">
      <w:pPr>
        <w:rPr>
          <w:color w:val="0070C0"/>
          <w:sz w:val="28"/>
          <w:szCs w:val="28"/>
        </w:rPr>
      </w:pPr>
    </w:p>
    <w:p w:rsidR="00743CD0" w:rsidRDefault="00743CD0" w:rsidP="00743CD0">
      <w:pPr>
        <w:rPr>
          <w:color w:val="0070C0"/>
          <w:sz w:val="28"/>
          <w:szCs w:val="28"/>
        </w:rPr>
      </w:pPr>
    </w:p>
    <w:p w:rsidR="00743CD0" w:rsidRDefault="00743CD0" w:rsidP="00743CD0">
      <w:r w:rsidRPr="005C57E7">
        <w:t>Zemkopības ministrs</w:t>
      </w:r>
      <w:r w:rsidRPr="005C57E7">
        <w:tab/>
      </w:r>
      <w:r w:rsidRPr="005C57E7">
        <w:tab/>
      </w:r>
      <w:r>
        <w:tab/>
      </w:r>
      <w:r>
        <w:tab/>
      </w:r>
      <w:r w:rsidRPr="005C57E7">
        <w:tab/>
      </w:r>
      <w:r w:rsidRPr="005C57E7">
        <w:tab/>
      </w:r>
      <w:r w:rsidRPr="005C57E7">
        <w:tab/>
      </w:r>
      <w:r w:rsidRPr="005C57E7">
        <w:tab/>
        <w:t>J</w:t>
      </w:r>
      <w:r>
        <w:t>ānis Dūklavs</w:t>
      </w:r>
    </w:p>
    <w:p w:rsidR="00743CD0" w:rsidRDefault="00743CD0" w:rsidP="00743CD0"/>
    <w:p w:rsidR="00743CD0" w:rsidRDefault="00743CD0" w:rsidP="00743CD0"/>
    <w:p w:rsidR="00743CD0" w:rsidRDefault="00743CD0" w:rsidP="00743CD0"/>
    <w:p w:rsidR="00743CD0" w:rsidRDefault="00743CD0" w:rsidP="00743CD0"/>
    <w:p w:rsidR="00743CD0" w:rsidRDefault="00743CD0" w:rsidP="00743CD0"/>
    <w:p w:rsidR="006728D4" w:rsidRDefault="006728D4" w:rsidP="00743CD0"/>
    <w:p w:rsidR="006728D4" w:rsidRDefault="006728D4" w:rsidP="00743CD0"/>
    <w:p w:rsidR="006728D4" w:rsidRDefault="006728D4" w:rsidP="00743CD0"/>
    <w:p w:rsidR="006728D4" w:rsidRDefault="006728D4" w:rsidP="00743CD0"/>
    <w:p w:rsidR="006728D4" w:rsidRDefault="006728D4" w:rsidP="00743CD0">
      <w:pPr>
        <w:pStyle w:val="Pamattekstsaratkpi"/>
        <w:ind w:firstLine="0"/>
        <w:rPr>
          <w:sz w:val="20"/>
        </w:rPr>
      </w:pPr>
      <w:r>
        <w:rPr>
          <w:sz w:val="20"/>
        </w:rPr>
        <w:t>13.10.2016. 15:24</w:t>
      </w:r>
    </w:p>
    <w:p w:rsidR="006728D4" w:rsidRDefault="006728D4" w:rsidP="00743CD0">
      <w:pPr>
        <w:pStyle w:val="Pamattekstsaratkpi"/>
        <w:ind w:firstLine="0"/>
        <w:rPr>
          <w:sz w:val="20"/>
        </w:rPr>
      </w:pPr>
      <w:r>
        <w:rPr>
          <w:sz w:val="20"/>
        </w:rPr>
        <w:fldChar w:fldCharType="begin"/>
      </w:r>
      <w:r>
        <w:rPr>
          <w:sz w:val="20"/>
        </w:rPr>
        <w:instrText xml:space="preserve"> NUMWORDS   \* MERGEFORMAT </w:instrText>
      </w:r>
      <w:r>
        <w:rPr>
          <w:sz w:val="20"/>
        </w:rPr>
        <w:fldChar w:fldCharType="separate"/>
      </w:r>
      <w:r>
        <w:rPr>
          <w:noProof/>
          <w:sz w:val="20"/>
        </w:rPr>
        <w:t>1692</w:t>
      </w:r>
      <w:r>
        <w:rPr>
          <w:sz w:val="20"/>
        </w:rPr>
        <w:fldChar w:fldCharType="end"/>
      </w:r>
    </w:p>
    <w:p w:rsidR="00743CD0" w:rsidRPr="005C7E7D" w:rsidRDefault="006801C3" w:rsidP="00743CD0">
      <w:pPr>
        <w:pStyle w:val="Pamattekstsaratkpi"/>
        <w:ind w:firstLine="0"/>
        <w:rPr>
          <w:sz w:val="20"/>
        </w:rPr>
      </w:pPr>
      <w:bookmarkStart w:id="0" w:name="_GoBack"/>
      <w:bookmarkEnd w:id="0"/>
      <w:proofErr w:type="spellStart"/>
      <w:r>
        <w:rPr>
          <w:sz w:val="20"/>
        </w:rPr>
        <w:t>R.Grosbārdis</w:t>
      </w:r>
      <w:proofErr w:type="spellEnd"/>
    </w:p>
    <w:p w:rsidR="00880009" w:rsidRDefault="00743CD0" w:rsidP="00E80574">
      <w:pPr>
        <w:pStyle w:val="Pamattekstsaratkpi"/>
        <w:ind w:firstLine="0"/>
      </w:pPr>
      <w:r w:rsidRPr="005C7E7D">
        <w:rPr>
          <w:sz w:val="20"/>
        </w:rPr>
        <w:t xml:space="preserve">67027309, </w:t>
      </w:r>
      <w:r w:rsidR="006801C3">
        <w:rPr>
          <w:sz w:val="20"/>
        </w:rPr>
        <w:t>Raivis.Grosbardis</w:t>
      </w:r>
      <w:r w:rsidRPr="005C7E7D">
        <w:rPr>
          <w:sz w:val="20"/>
        </w:rPr>
        <w:t>@vaad.gov.lv</w:t>
      </w:r>
    </w:p>
    <w:sectPr w:rsidR="00880009" w:rsidSect="00F43288">
      <w:headerReference w:type="even" r:id="rId9"/>
      <w:headerReference w:type="default" r:id="rId10"/>
      <w:footerReference w:type="even" r:id="rId11"/>
      <w:footerReference w:type="default" r:id="rId12"/>
      <w:footerReference w:type="first" r:id="rId13"/>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07D" w:rsidRDefault="0001707D">
      <w:r>
        <w:separator/>
      </w:r>
    </w:p>
  </w:endnote>
  <w:endnote w:type="continuationSeparator" w:id="0">
    <w:p w:rsidR="0001707D" w:rsidRDefault="0001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8D4" w:rsidRDefault="006728D4" w:rsidP="006728D4">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A8" w:rsidRPr="00D12B2D" w:rsidRDefault="006728D4" w:rsidP="006728D4">
    <w:pPr>
      <w:pStyle w:val="Kjene"/>
      <w:jc w:val="both"/>
      <w:rPr>
        <w:sz w:val="20"/>
        <w:szCs w:val="20"/>
      </w:rPr>
    </w:pPr>
    <w:r w:rsidRPr="006728D4">
      <w:rPr>
        <w:sz w:val="20"/>
        <w:szCs w:val="20"/>
      </w:rPr>
      <w:t>ZMAnot_131016_VAADcenr</w:t>
    </w:r>
    <w:r w:rsidR="00D261A8">
      <w:rPr>
        <w:sz w:val="20"/>
        <w:szCs w:val="20"/>
      </w:rPr>
      <w:t xml:space="preserve">; </w:t>
    </w:r>
    <w:r w:rsidR="00D261A8" w:rsidRPr="00D31C98">
      <w:rPr>
        <w:sz w:val="20"/>
        <w:szCs w:val="20"/>
      </w:rPr>
      <w:t>Ministru kabineta noteikumu projekta „Grozījumi Ministru kabineta 2012. gada 10. jūlija noteikumos Nr. 493 „Valsts augu aizsardzības dienesta maksas pakalpojumu cenrādis”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A8" w:rsidRPr="00D12B2D" w:rsidRDefault="006728D4" w:rsidP="006728D4">
    <w:pPr>
      <w:pStyle w:val="Kjene"/>
      <w:jc w:val="both"/>
      <w:rPr>
        <w:sz w:val="20"/>
        <w:szCs w:val="20"/>
      </w:rPr>
    </w:pPr>
    <w:r w:rsidRPr="006728D4">
      <w:rPr>
        <w:sz w:val="20"/>
        <w:szCs w:val="20"/>
      </w:rPr>
      <w:t>ZMAnot_131016_VAADcenr</w:t>
    </w:r>
    <w:r w:rsidR="00D261A8">
      <w:rPr>
        <w:sz w:val="20"/>
        <w:szCs w:val="20"/>
      </w:rPr>
      <w:t xml:space="preserve">; </w:t>
    </w:r>
    <w:r w:rsidR="00D261A8" w:rsidRPr="00D31C98">
      <w:rPr>
        <w:sz w:val="20"/>
        <w:szCs w:val="20"/>
      </w:rPr>
      <w:t>Ministru kabineta noteikumu projekta „Grozījumi Ministru kabineta 2012. gada 10. jūlija noteikumos Nr. 493 „Valsts augu aizsardzības dienesta maksas pakalpojumu cenrādis”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07D" w:rsidRDefault="0001707D">
      <w:r>
        <w:separator/>
      </w:r>
    </w:p>
  </w:footnote>
  <w:footnote w:type="continuationSeparator" w:id="0">
    <w:p w:rsidR="0001707D" w:rsidRDefault="00017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A8" w:rsidRDefault="00D261A8" w:rsidP="00F4328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261A8" w:rsidRDefault="00D261A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A8" w:rsidRDefault="00D261A8" w:rsidP="00F4328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728D4">
      <w:rPr>
        <w:rStyle w:val="Lappusesnumurs"/>
        <w:noProof/>
      </w:rPr>
      <w:t>6</w:t>
    </w:r>
    <w:r>
      <w:rPr>
        <w:rStyle w:val="Lappusesnumurs"/>
      </w:rPr>
      <w:fldChar w:fldCharType="end"/>
    </w:r>
  </w:p>
  <w:p w:rsidR="00D261A8" w:rsidRDefault="00D261A8" w:rsidP="006728D4">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0"/>
    <w:rsid w:val="0001707D"/>
    <w:rsid w:val="00045935"/>
    <w:rsid w:val="000A4EFB"/>
    <w:rsid w:val="000C6B05"/>
    <w:rsid w:val="00140182"/>
    <w:rsid w:val="00143C9A"/>
    <w:rsid w:val="001446CD"/>
    <w:rsid w:val="001A17C0"/>
    <w:rsid w:val="001A33AD"/>
    <w:rsid w:val="001F19EF"/>
    <w:rsid w:val="001F7301"/>
    <w:rsid w:val="002A3CFB"/>
    <w:rsid w:val="00327DE9"/>
    <w:rsid w:val="003638C2"/>
    <w:rsid w:val="00400B33"/>
    <w:rsid w:val="005A1311"/>
    <w:rsid w:val="00606C96"/>
    <w:rsid w:val="006728D4"/>
    <w:rsid w:val="006801C3"/>
    <w:rsid w:val="0068180B"/>
    <w:rsid w:val="007153C3"/>
    <w:rsid w:val="00716258"/>
    <w:rsid w:val="00743CD0"/>
    <w:rsid w:val="00783F82"/>
    <w:rsid w:val="007F1E26"/>
    <w:rsid w:val="008201D3"/>
    <w:rsid w:val="00880009"/>
    <w:rsid w:val="008B3DFC"/>
    <w:rsid w:val="009B185C"/>
    <w:rsid w:val="009D0F00"/>
    <w:rsid w:val="00A51F9D"/>
    <w:rsid w:val="00AC7464"/>
    <w:rsid w:val="00AE0572"/>
    <w:rsid w:val="00AF531E"/>
    <w:rsid w:val="00B45670"/>
    <w:rsid w:val="00B83C8C"/>
    <w:rsid w:val="00C4424F"/>
    <w:rsid w:val="00CC04F0"/>
    <w:rsid w:val="00D261A8"/>
    <w:rsid w:val="00DD4504"/>
    <w:rsid w:val="00E80574"/>
    <w:rsid w:val="00F43288"/>
    <w:rsid w:val="00F617B6"/>
    <w:rsid w:val="00FF04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176D5-85E2-4009-BF72-3197B77A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3CD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743CD0"/>
    <w:pPr>
      <w:tabs>
        <w:tab w:val="center" w:pos="4153"/>
        <w:tab w:val="right" w:pos="8306"/>
      </w:tabs>
    </w:pPr>
  </w:style>
  <w:style w:type="character" w:customStyle="1" w:styleId="GalveneRakstz">
    <w:name w:val="Galvene Rakstz."/>
    <w:basedOn w:val="Noklusjumarindkopasfonts"/>
    <w:link w:val="Galvene"/>
    <w:rsid w:val="00743CD0"/>
    <w:rPr>
      <w:rFonts w:ascii="Times New Roman" w:eastAsia="Times New Roman" w:hAnsi="Times New Roman" w:cs="Times New Roman"/>
      <w:sz w:val="24"/>
      <w:szCs w:val="24"/>
      <w:lang w:eastAsia="lv-LV"/>
    </w:rPr>
  </w:style>
  <w:style w:type="character" w:styleId="Lappusesnumurs">
    <w:name w:val="page number"/>
    <w:basedOn w:val="Noklusjumarindkopasfonts"/>
    <w:rsid w:val="00743CD0"/>
  </w:style>
  <w:style w:type="paragraph" w:customStyle="1" w:styleId="naisf">
    <w:name w:val="naisf"/>
    <w:basedOn w:val="Parasts"/>
    <w:rsid w:val="00743CD0"/>
    <w:pPr>
      <w:spacing w:before="75" w:after="75"/>
      <w:ind w:firstLine="375"/>
      <w:jc w:val="both"/>
    </w:pPr>
  </w:style>
  <w:style w:type="paragraph" w:customStyle="1" w:styleId="naisnod">
    <w:name w:val="naisnod"/>
    <w:basedOn w:val="Parasts"/>
    <w:rsid w:val="00743CD0"/>
    <w:pPr>
      <w:spacing w:before="150" w:after="150"/>
      <w:jc w:val="center"/>
    </w:pPr>
    <w:rPr>
      <w:b/>
      <w:bCs/>
    </w:rPr>
  </w:style>
  <w:style w:type="paragraph" w:customStyle="1" w:styleId="naislab">
    <w:name w:val="naislab"/>
    <w:basedOn w:val="Parasts"/>
    <w:rsid w:val="00743CD0"/>
    <w:pPr>
      <w:spacing w:before="75" w:after="75"/>
      <w:jc w:val="right"/>
    </w:pPr>
  </w:style>
  <w:style w:type="paragraph" w:customStyle="1" w:styleId="naiskr">
    <w:name w:val="naiskr"/>
    <w:basedOn w:val="Parasts"/>
    <w:rsid w:val="00743CD0"/>
    <w:pPr>
      <w:spacing w:before="75" w:after="75"/>
    </w:pPr>
  </w:style>
  <w:style w:type="paragraph" w:styleId="Kjene">
    <w:name w:val="footer"/>
    <w:basedOn w:val="Parasts"/>
    <w:link w:val="KjeneRakstz"/>
    <w:rsid w:val="00743CD0"/>
    <w:pPr>
      <w:tabs>
        <w:tab w:val="center" w:pos="4153"/>
        <w:tab w:val="right" w:pos="8306"/>
      </w:tabs>
    </w:pPr>
  </w:style>
  <w:style w:type="character" w:customStyle="1" w:styleId="KjeneRakstz">
    <w:name w:val="Kājene Rakstz."/>
    <w:basedOn w:val="Noklusjumarindkopasfonts"/>
    <w:link w:val="Kjene"/>
    <w:rsid w:val="00743CD0"/>
    <w:rPr>
      <w:rFonts w:ascii="Times New Roman" w:eastAsia="Times New Roman" w:hAnsi="Times New Roman" w:cs="Times New Roman"/>
      <w:sz w:val="24"/>
      <w:szCs w:val="24"/>
      <w:lang w:eastAsia="lv-LV"/>
    </w:rPr>
  </w:style>
  <w:style w:type="paragraph" w:customStyle="1" w:styleId="naisc">
    <w:name w:val="naisc"/>
    <w:basedOn w:val="Parasts"/>
    <w:rsid w:val="00743CD0"/>
    <w:pPr>
      <w:spacing w:before="75" w:after="75"/>
      <w:jc w:val="center"/>
    </w:pPr>
  </w:style>
  <w:style w:type="paragraph" w:styleId="Pamattekstsaratkpi">
    <w:name w:val="Body Text Indent"/>
    <w:basedOn w:val="Parasts"/>
    <w:link w:val="PamattekstsaratkpiRakstz"/>
    <w:rsid w:val="00743CD0"/>
    <w:pPr>
      <w:ind w:firstLine="720"/>
      <w:jc w:val="both"/>
    </w:pPr>
    <w:rPr>
      <w:sz w:val="28"/>
      <w:szCs w:val="20"/>
    </w:rPr>
  </w:style>
  <w:style w:type="character" w:customStyle="1" w:styleId="PamattekstsaratkpiRakstz">
    <w:name w:val="Pamatteksts ar atkāpi Rakstz."/>
    <w:basedOn w:val="Noklusjumarindkopasfonts"/>
    <w:link w:val="Pamattekstsaratkpi"/>
    <w:rsid w:val="00743CD0"/>
    <w:rPr>
      <w:rFonts w:ascii="Times New Roman" w:eastAsia="Times New Roman" w:hAnsi="Times New Roman" w:cs="Times New Roman"/>
      <w:sz w:val="28"/>
      <w:szCs w:val="20"/>
      <w:lang w:eastAsia="lv-LV"/>
    </w:rPr>
  </w:style>
  <w:style w:type="paragraph" w:styleId="Bezatstarpm">
    <w:name w:val="No Spacing"/>
    <w:uiPriority w:val="99"/>
    <w:qFormat/>
    <w:rsid w:val="00743CD0"/>
    <w:pPr>
      <w:spacing w:after="0" w:line="240" w:lineRule="auto"/>
    </w:pPr>
    <w:rPr>
      <w:rFonts w:ascii="Calibri" w:eastAsia="Calibri" w:hAnsi="Calibri" w:cs="Times New Roman"/>
    </w:rPr>
  </w:style>
  <w:style w:type="paragraph" w:styleId="Sarakstarindkopa">
    <w:name w:val="List Paragraph"/>
    <w:basedOn w:val="Parasts"/>
    <w:uiPriority w:val="34"/>
    <w:qFormat/>
    <w:rsid w:val="00743CD0"/>
    <w:pPr>
      <w:ind w:left="720"/>
      <w:contextualSpacing/>
    </w:pPr>
  </w:style>
  <w:style w:type="character" w:styleId="Hipersaite">
    <w:name w:val="Hyperlink"/>
    <w:basedOn w:val="Noklusjumarindkopasfonts"/>
    <w:uiPriority w:val="99"/>
    <w:unhideWhenUsed/>
    <w:rsid w:val="00743CD0"/>
    <w:rPr>
      <w:color w:val="0000FF" w:themeColor="hyperlink"/>
      <w:u w:val="single"/>
    </w:rPr>
  </w:style>
  <w:style w:type="paragraph" w:styleId="Balonteksts">
    <w:name w:val="Balloon Text"/>
    <w:basedOn w:val="Parasts"/>
    <w:link w:val="BalontekstsRakstz"/>
    <w:uiPriority w:val="99"/>
    <w:semiHidden/>
    <w:unhideWhenUsed/>
    <w:rsid w:val="007F1E2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1E2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34367">
      <w:bodyDiv w:val="1"/>
      <w:marLeft w:val="0"/>
      <w:marRight w:val="0"/>
      <w:marTop w:val="0"/>
      <w:marBottom w:val="0"/>
      <w:divBdr>
        <w:top w:val="none" w:sz="0" w:space="0" w:color="auto"/>
        <w:left w:val="none" w:sz="0" w:space="0" w:color="auto"/>
        <w:bottom w:val="none" w:sz="0" w:space="0" w:color="auto"/>
        <w:right w:val="none" w:sz="0" w:space="0" w:color="auto"/>
      </w:divBdr>
    </w:div>
    <w:div w:id="1541087709">
      <w:bodyDiv w:val="1"/>
      <w:marLeft w:val="0"/>
      <w:marRight w:val="0"/>
      <w:marTop w:val="0"/>
      <w:marBottom w:val="0"/>
      <w:divBdr>
        <w:top w:val="none" w:sz="0" w:space="0" w:color="auto"/>
        <w:left w:val="none" w:sz="0" w:space="0" w:color="auto"/>
        <w:bottom w:val="none" w:sz="0" w:space="0" w:color="auto"/>
        <w:right w:val="none" w:sz="0" w:space="0" w:color="auto"/>
      </w:divBdr>
    </w:div>
    <w:div w:id="201256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547A-7A13-4FA9-AC0D-B3D1EBF1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1737</Words>
  <Characters>11450</Characters>
  <Application>Microsoft Office Word</Application>
  <DocSecurity>0</DocSecurity>
  <Lines>763</Lines>
  <Paragraphs>376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Sanita Žagare</cp:lastModifiedBy>
  <cp:revision>6</cp:revision>
  <dcterms:created xsi:type="dcterms:W3CDTF">2016-10-11T13:24:00Z</dcterms:created>
  <dcterms:modified xsi:type="dcterms:W3CDTF">2016-10-13T12:24:00Z</dcterms:modified>
</cp:coreProperties>
</file>