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4FD9" w14:textId="77777777" w:rsidR="00D12371" w:rsidRPr="00170801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170801">
        <w:rPr>
          <w:b/>
          <w:lang w:val="lv-LV"/>
        </w:rPr>
        <w:t>Ministru kabineta noteikumu projekta</w:t>
      </w:r>
    </w:p>
    <w:p w14:paraId="1388FA4C" w14:textId="4CFC5C32" w:rsidR="00E312B1" w:rsidRPr="00170801" w:rsidRDefault="002669C3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170801">
        <w:rPr>
          <w:b/>
          <w:bCs/>
          <w:lang w:val="lv-LV"/>
        </w:rPr>
        <w:t>Grozījumi Ministru kabineta 2004.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gada 17.</w:t>
      </w:r>
      <w:r w:rsidR="007740E5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februāra noteikumos Nr.</w:t>
      </w:r>
      <w:r w:rsidR="009956CF">
        <w:rPr>
          <w:b/>
          <w:bCs/>
          <w:lang w:val="lv-LV"/>
        </w:rPr>
        <w:t xml:space="preserve"> </w:t>
      </w:r>
      <w:r w:rsidR="00E312B1" w:rsidRPr="00170801">
        <w:rPr>
          <w:b/>
          <w:bCs/>
          <w:lang w:val="lv-LV"/>
        </w:rPr>
        <w:t>83</w:t>
      </w:r>
    </w:p>
    <w:p w14:paraId="08F6ED82" w14:textId="77777777" w:rsidR="00D12371" w:rsidRDefault="00E312B1" w:rsidP="00E312B1">
      <w:pPr>
        <w:jc w:val="center"/>
        <w:rPr>
          <w:b/>
          <w:bCs/>
          <w:lang w:val="lv-LV"/>
        </w:rPr>
      </w:pPr>
      <w:r w:rsidRPr="00170801">
        <w:rPr>
          <w:b/>
          <w:bCs/>
          <w:lang w:val="lv-LV"/>
        </w:rPr>
        <w:t>„Āfrikas cūku mēra likvidēšanas un draudu novēršanas kārtība”</w:t>
      </w:r>
      <w:r w:rsidR="002669C3" w:rsidRPr="00170801">
        <w:rPr>
          <w:b/>
          <w:bCs/>
          <w:lang w:val="lv-LV"/>
        </w:rPr>
        <w:t>”</w:t>
      </w:r>
    </w:p>
    <w:p w14:paraId="04025B0A" w14:textId="77777777" w:rsidR="008B0C60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lang w:val="lv-LV"/>
        </w:rPr>
      </w:pPr>
      <w:r w:rsidRPr="00170801">
        <w:rPr>
          <w:b/>
          <w:lang w:val="lv-LV"/>
        </w:rPr>
        <w:t xml:space="preserve">sākotnējās </w:t>
      </w:r>
      <w:r w:rsidR="00757B05" w:rsidRPr="00170801">
        <w:rPr>
          <w:b/>
          <w:lang w:val="lv-LV"/>
        </w:rPr>
        <w:t>ietekmes novērtējuma ziņojums</w:t>
      </w:r>
      <w:r w:rsidR="00757B05" w:rsidRPr="00170801">
        <w:rPr>
          <w:b/>
          <w:bCs/>
          <w:lang w:val="lv-LV"/>
        </w:rPr>
        <w:t xml:space="preserve"> (anotācija)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952"/>
        <w:gridCol w:w="6658"/>
      </w:tblGrid>
      <w:tr w:rsidR="005D73DE" w:rsidRPr="002A39FB" w14:paraId="0E82166F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0D174FE" w14:textId="77777777"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2A39FB" w14:paraId="360CE155" w14:textId="77777777" w:rsidTr="00C25CC1">
        <w:tc>
          <w:tcPr>
            <w:tcW w:w="250" w:type="pct"/>
          </w:tcPr>
          <w:p w14:paraId="2FA351DA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077" w:type="pct"/>
          </w:tcPr>
          <w:p w14:paraId="2787F482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14:paraId="25BBF0AD" w14:textId="77777777"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</w:t>
            </w:r>
            <w:r w:rsidR="007740E5"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CA52C8" w14:paraId="1D3A0A8B" w14:textId="77777777" w:rsidTr="00C25CC1">
        <w:tc>
          <w:tcPr>
            <w:tcW w:w="250" w:type="pct"/>
          </w:tcPr>
          <w:p w14:paraId="272D5478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077" w:type="pct"/>
          </w:tcPr>
          <w:p w14:paraId="110E4A3A" w14:textId="77777777"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p w14:paraId="6C42433F" w14:textId="5F07B09E" w:rsidR="00B61E57" w:rsidRPr="00D52D0F" w:rsidRDefault="004E4242" w:rsidP="00A10C8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Ir stājies spēkā</w:t>
            </w:r>
            <w:r w:rsidR="00D52D0F">
              <w:rPr>
                <w:lang w:val="lv-LV"/>
              </w:rPr>
              <w:t xml:space="preserve"> </w:t>
            </w:r>
            <w:r w:rsidR="00B11E53" w:rsidRPr="00FF1C00">
              <w:rPr>
                <w:bCs/>
                <w:lang w:val="lv-LV"/>
              </w:rPr>
              <w:t xml:space="preserve">Komisijas </w:t>
            </w:r>
            <w:r w:rsidR="009928F2" w:rsidRPr="00FF1C00">
              <w:rPr>
                <w:bCs/>
                <w:lang w:val="lv-LV"/>
              </w:rPr>
              <w:t xml:space="preserve">2016. gada 30. septembra </w:t>
            </w:r>
            <w:r w:rsidR="00B11E53" w:rsidRPr="00FF1C00">
              <w:rPr>
                <w:bCs/>
                <w:lang w:val="lv-LV"/>
              </w:rPr>
              <w:t>Īst</w:t>
            </w:r>
            <w:r w:rsidR="009928F2" w:rsidRPr="00FF1C00">
              <w:rPr>
                <w:bCs/>
                <w:lang w:val="lv-LV"/>
              </w:rPr>
              <w:t>enošanas lēmums (ES) 2016/1771</w:t>
            </w:r>
            <w:r w:rsidR="00B11E53" w:rsidRPr="00FF1C00">
              <w:rPr>
                <w:bCs/>
                <w:lang w:val="lv-LV"/>
              </w:rPr>
              <w:t>, ar ko attiecībā uz ierakstiem par Lietuvu un Poliju groza pielikumu Īstenošanas lēmumam 2014/709/ES par dzīvnieku veselības kontroles pasākumiem saistībā ar Āfrikas cūku mēri dažās dalībvalstīs</w:t>
            </w:r>
            <w:r w:rsidR="00B11E53" w:rsidRPr="00B11E53">
              <w:rPr>
                <w:b/>
                <w:bCs/>
                <w:lang w:val="lv-LV"/>
              </w:rPr>
              <w:t xml:space="preserve"> </w:t>
            </w:r>
            <w:r w:rsidR="002B7EC7" w:rsidRPr="00E73EB6">
              <w:rPr>
                <w:bCs/>
                <w:lang w:val="lv-LV"/>
              </w:rPr>
              <w:t xml:space="preserve">(turpmāk – Īstenošanas lēmums </w:t>
            </w:r>
            <w:r w:rsidR="00B11E53">
              <w:rPr>
                <w:bCs/>
                <w:lang w:val="lv-LV"/>
              </w:rPr>
              <w:t>2016/177</w:t>
            </w:r>
            <w:r w:rsidR="00A10C84">
              <w:rPr>
                <w:bCs/>
                <w:lang w:val="lv-LV"/>
              </w:rPr>
              <w:t>1</w:t>
            </w:r>
            <w:r w:rsidR="009956CF">
              <w:rPr>
                <w:bCs/>
                <w:lang w:val="lv-LV"/>
              </w:rPr>
              <w:t>/ES</w:t>
            </w:r>
            <w:r w:rsidR="002B7EC7" w:rsidRPr="00E73EB6">
              <w:rPr>
                <w:bCs/>
                <w:lang w:val="lv-LV"/>
              </w:rPr>
              <w:t>)</w:t>
            </w:r>
            <w:r w:rsidR="00D3276F" w:rsidRPr="00E73EB6">
              <w:rPr>
                <w:bCs/>
                <w:lang w:val="lv-LV"/>
              </w:rPr>
              <w:t>.</w:t>
            </w:r>
          </w:p>
          <w:p w14:paraId="316D8F51" w14:textId="77777777" w:rsidR="006C4C6D" w:rsidRDefault="004A3463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Grozījumi Komisijas</w:t>
            </w:r>
            <w:r w:rsidR="005F0F85">
              <w:rPr>
                <w:lang w:val="lv-LV"/>
              </w:rPr>
              <w:t xml:space="preserve"> 2014. gada 9. oktobra</w:t>
            </w:r>
            <w:r>
              <w:rPr>
                <w:lang w:val="lv-LV"/>
              </w:rPr>
              <w:t xml:space="preserve"> </w:t>
            </w:r>
            <w:r w:rsidR="0007595E">
              <w:rPr>
                <w:lang w:val="lv-LV"/>
              </w:rPr>
              <w:t>Ī</w:t>
            </w:r>
            <w:r>
              <w:rPr>
                <w:lang w:val="lv-LV"/>
              </w:rPr>
              <w:t xml:space="preserve">stenošanas lēmumā 2014/709/ES </w:t>
            </w:r>
            <w:r w:rsidR="005F0F85">
              <w:rPr>
                <w:lang w:val="lv-LV"/>
              </w:rPr>
              <w:t xml:space="preserve">par dzīvnieku veselības kontroles pasākumiem saistībā ar Āfrikas cūku mēri dažās dalībvalstīs un ar ko atceļ </w:t>
            </w:r>
            <w:r w:rsidR="00492C45">
              <w:rPr>
                <w:lang w:val="lv-LV"/>
              </w:rPr>
              <w:t>Ī</w:t>
            </w:r>
            <w:r w:rsidR="005F0F85">
              <w:rPr>
                <w:lang w:val="lv-LV"/>
              </w:rPr>
              <w:t>stenošanas lēmumu 2014/178/ES</w:t>
            </w:r>
            <w:r w:rsidR="007740E5">
              <w:rPr>
                <w:lang w:val="lv-LV"/>
              </w:rPr>
              <w:t xml:space="preserve"> </w:t>
            </w:r>
            <w:r w:rsidR="00FB3F9C">
              <w:rPr>
                <w:lang w:val="lv-LV"/>
              </w:rPr>
              <w:t>(turpmāk – Īstenošanas lēmums 2014/709</w:t>
            </w:r>
            <w:r w:rsidR="00B861A1">
              <w:rPr>
                <w:lang w:val="lv-LV"/>
              </w:rPr>
              <w:t>/ES</w:t>
            </w:r>
            <w:r w:rsidR="00FB3F9C">
              <w:rPr>
                <w:lang w:val="lv-LV"/>
              </w:rPr>
              <w:t xml:space="preserve">) </w:t>
            </w:r>
            <w:r>
              <w:rPr>
                <w:lang w:val="lv-LV"/>
              </w:rPr>
              <w:t xml:space="preserve">tika </w:t>
            </w:r>
            <w:r w:rsidR="00BE33E4">
              <w:rPr>
                <w:lang w:val="lv-LV"/>
              </w:rPr>
              <w:t>izdar</w:t>
            </w:r>
            <w:r>
              <w:rPr>
                <w:lang w:val="lv-LV"/>
              </w:rPr>
              <w:t>īt</w:t>
            </w:r>
            <w:r w:rsidR="0007595E">
              <w:rPr>
                <w:lang w:val="lv-LV"/>
              </w:rPr>
              <w:t>i</w:t>
            </w:r>
            <w:r w:rsidR="00BE33E4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BE33E4">
              <w:rPr>
                <w:lang w:val="lv-LV"/>
              </w:rPr>
              <w:t xml:space="preserve">ievērojot </w:t>
            </w:r>
            <w:r w:rsidR="00FB3F9C">
              <w:rPr>
                <w:lang w:val="lv-LV"/>
              </w:rPr>
              <w:t xml:space="preserve">to, </w:t>
            </w:r>
            <w:r w:rsidR="00A10C84">
              <w:rPr>
                <w:lang w:val="lv-LV"/>
              </w:rPr>
              <w:t>ka</w:t>
            </w:r>
            <w:r w:rsidR="009928F2">
              <w:rPr>
                <w:lang w:val="lv-LV"/>
              </w:rPr>
              <w:t>:</w:t>
            </w:r>
            <w:r w:rsidR="00D52D0F">
              <w:rPr>
                <w:lang w:val="lv-LV"/>
              </w:rPr>
              <w:t xml:space="preserve"> </w:t>
            </w:r>
          </w:p>
          <w:p w14:paraId="60E2D8BA" w14:textId="531FF522" w:rsidR="00B11E53" w:rsidRDefault="009928F2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031FB2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atsevišķos </w:t>
            </w:r>
            <w:r w:rsidRPr="00B11E53">
              <w:rPr>
                <w:lang w:val="lv-LV"/>
              </w:rPr>
              <w:t>Polijas apgabalos, kas patlaban ir norādīti Īstenošanas lēmuma 2014/709/ES pielikuma II </w:t>
            </w:r>
            <w:r w:rsidR="0013203F">
              <w:rPr>
                <w:lang w:val="lv-LV"/>
              </w:rPr>
              <w:t>daļā</w:t>
            </w:r>
            <w:r>
              <w:rPr>
                <w:lang w:val="lv-LV"/>
              </w:rPr>
              <w:t xml:space="preserve"> un atrodas vistālāk uz ziemeļiem, nav novēroti Āfrikas cūku mēra uzliesmojumi mežacūku populācijā</w:t>
            </w:r>
            <w:r w:rsidRPr="00B11E53">
              <w:rPr>
                <w:lang w:val="lv-LV"/>
              </w:rPr>
              <w:t xml:space="preserve">. </w:t>
            </w:r>
            <w:r>
              <w:rPr>
                <w:lang w:val="lv-LV"/>
              </w:rPr>
              <w:t>Šis apstāklis ir</w:t>
            </w:r>
            <w:r w:rsidRPr="00B11E53">
              <w:rPr>
                <w:lang w:val="lv-LV"/>
              </w:rPr>
              <w:t xml:space="preserve"> ņem</w:t>
            </w:r>
            <w:r w:rsidR="009A17A9">
              <w:rPr>
                <w:lang w:val="lv-LV"/>
              </w:rPr>
              <w:t>ts</w:t>
            </w:r>
            <w:r w:rsidRPr="00B11E53">
              <w:rPr>
                <w:lang w:val="lv-LV"/>
              </w:rPr>
              <w:t xml:space="preserve"> vērā</w:t>
            </w:r>
            <w:r w:rsidR="00C836E4">
              <w:rPr>
                <w:lang w:val="lv-LV"/>
              </w:rPr>
              <w:t>,</w:t>
            </w:r>
            <w:r w:rsidRPr="00B11E53">
              <w:rPr>
                <w:lang w:val="lv-LV"/>
              </w:rPr>
              <w:t xml:space="preserve"> un Īstenošanas lēmuma 2014/709/ES pielikuma II daļa </w:t>
            </w:r>
            <w:r>
              <w:rPr>
                <w:lang w:val="lv-LV"/>
              </w:rPr>
              <w:t>ir</w:t>
            </w:r>
            <w:r w:rsidRPr="00B11E53">
              <w:rPr>
                <w:lang w:val="lv-LV"/>
              </w:rPr>
              <w:t xml:space="preserve"> pārskat</w:t>
            </w:r>
            <w:r w:rsidR="009A17A9">
              <w:rPr>
                <w:lang w:val="lv-LV"/>
              </w:rPr>
              <w:t>īta</w:t>
            </w:r>
            <w:r w:rsidRPr="00B11E53">
              <w:rPr>
                <w:lang w:val="lv-LV"/>
              </w:rPr>
              <w:t xml:space="preserve">. Tādējādi daži Polijas apgabali, kas </w:t>
            </w:r>
            <w:r w:rsidR="009A17A9">
              <w:rPr>
                <w:lang w:val="lv-LV"/>
              </w:rPr>
              <w:t>bija</w:t>
            </w:r>
            <w:r w:rsidRPr="00B11E53">
              <w:rPr>
                <w:lang w:val="lv-LV"/>
              </w:rPr>
              <w:t xml:space="preserve"> </w:t>
            </w:r>
            <w:r w:rsidR="00C836E4">
              <w:rPr>
                <w:lang w:val="lv-LV"/>
              </w:rPr>
              <w:t>norādīti</w:t>
            </w:r>
            <w:r w:rsidRPr="00B11E53">
              <w:rPr>
                <w:lang w:val="lv-LV"/>
              </w:rPr>
              <w:t xml:space="preserve"> </w:t>
            </w:r>
            <w:r w:rsidR="004022F7" w:rsidRPr="00B11E53">
              <w:rPr>
                <w:lang w:val="lv-LV"/>
              </w:rPr>
              <w:t xml:space="preserve">Īstenošanas lēmuma 2014/709/ES </w:t>
            </w:r>
            <w:r w:rsidRPr="00B11E53">
              <w:rPr>
                <w:lang w:val="lv-LV"/>
              </w:rPr>
              <w:t xml:space="preserve">pielikuma II daļā, </w:t>
            </w:r>
            <w:r>
              <w:rPr>
                <w:lang w:val="lv-LV"/>
              </w:rPr>
              <w:t>ir</w:t>
            </w:r>
            <w:r w:rsidRPr="00B11E53">
              <w:rPr>
                <w:lang w:val="lv-LV"/>
              </w:rPr>
              <w:t xml:space="preserve"> iekļau</w:t>
            </w:r>
            <w:r w:rsidR="00C836E4">
              <w:rPr>
                <w:lang w:val="lv-LV"/>
              </w:rPr>
              <w:t>ti</w:t>
            </w:r>
            <w:r w:rsidRPr="00B11E53">
              <w:rPr>
                <w:lang w:val="lv-LV"/>
              </w:rPr>
              <w:t xml:space="preserve"> </w:t>
            </w:r>
            <w:r>
              <w:rPr>
                <w:lang w:val="lv-LV"/>
              </w:rPr>
              <w:t>minētā lēmuma</w:t>
            </w:r>
            <w:r w:rsidRPr="00B11E53">
              <w:rPr>
                <w:lang w:val="lv-LV"/>
              </w:rPr>
              <w:t xml:space="preserve"> I daļā</w:t>
            </w:r>
            <w:r w:rsidR="004225CB">
              <w:rPr>
                <w:lang w:val="lv-LV"/>
              </w:rPr>
              <w:t>;</w:t>
            </w:r>
          </w:p>
          <w:p w14:paraId="51C5C7EF" w14:textId="16B10947" w:rsidR="009928F2" w:rsidRDefault="009928F2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Pr="00B11E53">
              <w:rPr>
                <w:lang w:val="lv-LV"/>
              </w:rPr>
              <w:t xml:space="preserve"> </w:t>
            </w:r>
            <w:r>
              <w:rPr>
                <w:lang w:val="lv-LV"/>
              </w:rPr>
              <w:t>v</w:t>
            </w:r>
            <w:r w:rsidRPr="00B11E53">
              <w:rPr>
                <w:lang w:val="lv-LV"/>
              </w:rPr>
              <w:t xml:space="preserve">iens Āfrikas cūku mēra uzliesmojums mājas cūkām tika konstatēts 2016. gada septembrī </w:t>
            </w:r>
            <w:proofErr w:type="spellStart"/>
            <w:r w:rsidRPr="00B11E53">
              <w:rPr>
                <w:lang w:val="lv-LV"/>
              </w:rPr>
              <w:t>Ķēdaiņu</w:t>
            </w:r>
            <w:proofErr w:type="spellEnd"/>
            <w:r w:rsidRPr="00B11E53">
              <w:rPr>
                <w:lang w:val="lv-LV"/>
              </w:rPr>
              <w:t xml:space="preserve"> rajona pašvaldības teritorijā Lietuvā – apgabalā, kas </w:t>
            </w:r>
            <w:r w:rsidR="008E0802">
              <w:rPr>
                <w:lang w:val="lv-LV"/>
              </w:rPr>
              <w:t>bija</w:t>
            </w:r>
            <w:r w:rsidRPr="00B11E53">
              <w:rPr>
                <w:lang w:val="lv-LV"/>
              </w:rPr>
              <w:t xml:space="preserve"> </w:t>
            </w:r>
            <w:r w:rsidR="00C836E4">
              <w:rPr>
                <w:lang w:val="lv-LV"/>
              </w:rPr>
              <w:t>norādīts</w:t>
            </w:r>
            <w:r w:rsidRPr="00B11E53">
              <w:rPr>
                <w:lang w:val="lv-LV"/>
              </w:rPr>
              <w:t xml:space="preserve"> Īstenošanas lēmuma 2014/709/ES pielikuma II daļā. Šis uzliesmojums, kā arī epidemioloģiskās situācijas nesenās izmaiņas paaugstina riska līmeni</w:t>
            </w:r>
            <w:r w:rsidR="00C836E4">
              <w:rPr>
                <w:lang w:val="lv-LV"/>
              </w:rPr>
              <w:t>, tāpēc</w:t>
            </w:r>
            <w:r>
              <w:rPr>
                <w:lang w:val="lv-LV"/>
              </w:rPr>
              <w:t xml:space="preserve"> daž</w:t>
            </w:r>
            <w:r w:rsidR="008E0802">
              <w:rPr>
                <w:lang w:val="lv-LV"/>
              </w:rPr>
              <w:t>i</w:t>
            </w:r>
            <w:r>
              <w:rPr>
                <w:lang w:val="lv-LV"/>
              </w:rPr>
              <w:t xml:space="preserve"> Lietuvas apgabal</w:t>
            </w:r>
            <w:r w:rsidR="008E0802">
              <w:rPr>
                <w:lang w:val="lv-LV"/>
              </w:rPr>
              <w:t>i</w:t>
            </w:r>
            <w:r w:rsidRPr="00B11E53">
              <w:rPr>
                <w:lang w:val="lv-LV"/>
              </w:rPr>
              <w:t xml:space="preserve">, kas minēti Īstenošanas lēmuma 2014/709/ES pielikuma II daļā, tagad </w:t>
            </w:r>
            <w:r>
              <w:rPr>
                <w:lang w:val="lv-LV"/>
              </w:rPr>
              <w:t>ir iekļau</w:t>
            </w:r>
            <w:r w:rsidR="008E0802">
              <w:rPr>
                <w:lang w:val="lv-LV"/>
              </w:rPr>
              <w:t>ti</w:t>
            </w:r>
            <w:r w:rsidRPr="00B11E53">
              <w:rPr>
                <w:lang w:val="lv-LV"/>
              </w:rPr>
              <w:t xml:space="preserve"> minētā </w:t>
            </w:r>
            <w:r>
              <w:rPr>
                <w:lang w:val="lv-LV"/>
              </w:rPr>
              <w:t xml:space="preserve">lēmuma </w:t>
            </w:r>
            <w:r w:rsidRPr="00B11E53">
              <w:rPr>
                <w:lang w:val="lv-LV"/>
              </w:rPr>
              <w:t>pielikuma III daļā.</w:t>
            </w:r>
          </w:p>
          <w:p w14:paraId="56803ACC" w14:textId="6CA459E1" w:rsidR="009928F2" w:rsidRDefault="006C4C6D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FC162A">
              <w:rPr>
                <w:lang w:val="lv-LV"/>
              </w:rPr>
              <w:t>r stājies spēkā</w:t>
            </w:r>
            <w:r w:rsidR="002B3293">
              <w:rPr>
                <w:lang w:val="lv-LV"/>
              </w:rPr>
              <w:t xml:space="preserve"> </w:t>
            </w:r>
            <w:r w:rsidR="00FC162A">
              <w:rPr>
                <w:lang w:val="lv-LV"/>
              </w:rPr>
              <w:t xml:space="preserve">Komisijas 2016. gada 26. oktobra </w:t>
            </w:r>
            <w:r w:rsidR="002B3293">
              <w:rPr>
                <w:lang w:val="lv-LV"/>
              </w:rPr>
              <w:t>Īstenošanas lēmums</w:t>
            </w:r>
            <w:r w:rsidR="00FC162A">
              <w:rPr>
                <w:lang w:val="lv-LV"/>
              </w:rPr>
              <w:t xml:space="preserve"> </w:t>
            </w:r>
            <w:r w:rsidRPr="006C4C6D">
              <w:rPr>
                <w:lang w:val="lv-LV"/>
              </w:rPr>
              <w:t>2016/1</w:t>
            </w:r>
            <w:r w:rsidR="00AA4A7D">
              <w:rPr>
                <w:lang w:val="lv-LV"/>
              </w:rPr>
              <w:t>900</w:t>
            </w:r>
            <w:r w:rsidRPr="006C4C6D">
              <w:rPr>
                <w:lang w:val="lv-LV"/>
              </w:rPr>
              <w:t>/</w:t>
            </w:r>
            <w:r>
              <w:rPr>
                <w:lang w:val="lv-LV"/>
              </w:rPr>
              <w:t>ES</w:t>
            </w:r>
            <w:r w:rsidR="00150845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FC162A">
              <w:rPr>
                <w:lang w:val="lv-LV"/>
              </w:rPr>
              <w:t>ar ko attiecībā uz ierakstiem par Igauniju, Latviju un Poliju groza pielikumu</w:t>
            </w:r>
            <w:r w:rsidR="002B3293">
              <w:rPr>
                <w:lang w:val="lv-LV"/>
              </w:rPr>
              <w:t xml:space="preserve"> Īstenošanas lēmuma</w:t>
            </w:r>
            <w:r w:rsidR="00FC162A">
              <w:rPr>
                <w:lang w:val="lv-LV"/>
              </w:rPr>
              <w:t>m</w:t>
            </w:r>
            <w:r w:rsidR="002B3293">
              <w:rPr>
                <w:lang w:val="lv-LV"/>
              </w:rPr>
              <w:t xml:space="preserve"> 2014/709/ES </w:t>
            </w:r>
            <w:r w:rsidR="00FC162A">
              <w:rPr>
                <w:lang w:val="lv-LV"/>
              </w:rPr>
              <w:t>par dzīvnieku veselības kontroles pasākumiem saistībā ar Āfrikas cūku mēri dažās dalībvalstīs</w:t>
            </w:r>
            <w:r w:rsidR="00C836E4">
              <w:rPr>
                <w:lang w:val="lv-LV"/>
              </w:rPr>
              <w:t xml:space="preserve"> (turpmāk – </w:t>
            </w:r>
            <w:r w:rsidR="00FC162A">
              <w:rPr>
                <w:lang w:val="lv-LV"/>
              </w:rPr>
              <w:t xml:space="preserve">Īstenošanas lēmums </w:t>
            </w:r>
            <w:r w:rsidRPr="006C4C6D">
              <w:rPr>
                <w:lang w:val="lv-LV"/>
              </w:rPr>
              <w:t>2016/</w:t>
            </w:r>
            <w:r w:rsidR="00AA4A7D" w:rsidRPr="006C4C6D">
              <w:rPr>
                <w:lang w:val="lv-LV"/>
              </w:rPr>
              <w:t>1</w:t>
            </w:r>
            <w:r w:rsidR="00AA4A7D">
              <w:rPr>
                <w:lang w:val="lv-LV"/>
              </w:rPr>
              <w:t>900</w:t>
            </w:r>
            <w:r w:rsidRPr="006C4C6D">
              <w:rPr>
                <w:lang w:val="lv-LV"/>
              </w:rPr>
              <w:t>/ES</w:t>
            </w:r>
            <w:r w:rsidR="00C836E4">
              <w:rPr>
                <w:lang w:val="lv-LV"/>
              </w:rPr>
              <w:t>)</w:t>
            </w:r>
            <w:r w:rsidR="002B3293">
              <w:rPr>
                <w:lang w:val="lv-LV"/>
              </w:rPr>
              <w:t>.</w:t>
            </w:r>
          </w:p>
          <w:p w14:paraId="4DEA759C" w14:textId="78190DD6" w:rsidR="002B3293" w:rsidRDefault="00FC162A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Īstenošanas lēmuma</w:t>
            </w:r>
            <w:r w:rsidR="004B6420">
              <w:rPr>
                <w:lang w:val="lv-LV"/>
              </w:rPr>
              <w:t xml:space="preserve"> </w:t>
            </w:r>
            <w:r w:rsidR="006C4C6D" w:rsidRPr="006C4C6D">
              <w:rPr>
                <w:lang w:val="lv-LV"/>
              </w:rPr>
              <w:t>2016/</w:t>
            </w:r>
            <w:r w:rsidR="00AA4A7D" w:rsidRPr="006C4C6D">
              <w:rPr>
                <w:lang w:val="lv-LV"/>
              </w:rPr>
              <w:t>1</w:t>
            </w:r>
            <w:r w:rsidR="00AA4A7D">
              <w:rPr>
                <w:lang w:val="lv-LV"/>
              </w:rPr>
              <w:t>900</w:t>
            </w:r>
            <w:r w:rsidR="006C4C6D" w:rsidRPr="006C4C6D">
              <w:rPr>
                <w:lang w:val="lv-LV"/>
              </w:rPr>
              <w:t xml:space="preserve">/ES </w:t>
            </w:r>
            <w:r w:rsidR="004B6420">
              <w:rPr>
                <w:lang w:val="lv-LV"/>
              </w:rPr>
              <w:t>pamatojumā norādīts, ka:</w:t>
            </w:r>
            <w:r w:rsidR="006C4C6D">
              <w:rPr>
                <w:lang w:val="lv-LV"/>
              </w:rPr>
              <w:t xml:space="preserve"> </w:t>
            </w:r>
          </w:p>
          <w:p w14:paraId="57701374" w14:textId="3354CE7F" w:rsidR="002B3293" w:rsidRPr="002B3293" w:rsidRDefault="004B6420" w:rsidP="002B329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4225CB">
              <w:rPr>
                <w:lang w:val="lv-LV"/>
              </w:rPr>
              <w:t xml:space="preserve"> </w:t>
            </w:r>
            <w:r w:rsidR="0013203F">
              <w:rPr>
                <w:lang w:val="lv-LV"/>
              </w:rPr>
              <w:t>š</w:t>
            </w:r>
            <w:r w:rsidR="002B3293" w:rsidRPr="002B3293">
              <w:rPr>
                <w:lang w:val="lv-LV"/>
              </w:rPr>
              <w:t>ā gada augustā viens Ā</w:t>
            </w:r>
            <w:r w:rsidR="0013203F">
              <w:rPr>
                <w:lang w:val="lv-LV"/>
              </w:rPr>
              <w:t>frikas cūku mēra</w:t>
            </w:r>
            <w:r w:rsidR="002B3293" w:rsidRPr="002B3293">
              <w:rPr>
                <w:lang w:val="lv-LV"/>
              </w:rPr>
              <w:t xml:space="preserve"> uzliesmoju</w:t>
            </w:r>
            <w:r w:rsidR="0013203F">
              <w:rPr>
                <w:lang w:val="lv-LV"/>
              </w:rPr>
              <w:t xml:space="preserve">ms ir bijis mājas cūkām Polijā </w:t>
            </w:r>
            <w:proofErr w:type="spellStart"/>
            <w:r w:rsidR="0013203F">
              <w:rPr>
                <w:lang w:val="lv-LV"/>
              </w:rPr>
              <w:t>M</w:t>
            </w:r>
            <w:r w:rsidR="002B3293" w:rsidRPr="002B3293">
              <w:rPr>
                <w:lang w:val="lv-LV"/>
              </w:rPr>
              <w:t>oņķu</w:t>
            </w:r>
            <w:proofErr w:type="spellEnd"/>
            <w:r w:rsidR="002B3293" w:rsidRPr="002B3293">
              <w:rPr>
                <w:lang w:val="lv-LV"/>
              </w:rPr>
              <w:t xml:space="preserve"> apriņķī, kas </w:t>
            </w:r>
            <w:r w:rsidR="00722399">
              <w:rPr>
                <w:lang w:val="lv-LV"/>
              </w:rPr>
              <w:t>patlaban</w:t>
            </w:r>
            <w:r w:rsidR="0013203F">
              <w:rPr>
                <w:lang w:val="lv-LV"/>
              </w:rPr>
              <w:t xml:space="preserve"> ir iekļauts Ī</w:t>
            </w:r>
            <w:r w:rsidR="002B3293" w:rsidRPr="002B3293">
              <w:rPr>
                <w:lang w:val="lv-LV"/>
              </w:rPr>
              <w:t xml:space="preserve">stenošanas lēmuma 2014/709/ES I </w:t>
            </w:r>
            <w:r w:rsidR="0013203F">
              <w:rPr>
                <w:lang w:val="lv-LV"/>
              </w:rPr>
              <w:t>daļā. S</w:t>
            </w:r>
            <w:r w:rsidR="002B3293" w:rsidRPr="002B3293">
              <w:rPr>
                <w:lang w:val="lv-LV"/>
              </w:rPr>
              <w:t>eptembrī šajā pašā apgabalā ir konstatēts viens gadījums mežacūku populācijā</w:t>
            </w:r>
            <w:r w:rsidR="0013203F">
              <w:rPr>
                <w:lang w:val="lv-LV"/>
              </w:rPr>
              <w:t xml:space="preserve">, bet </w:t>
            </w:r>
            <w:proofErr w:type="spellStart"/>
            <w:r w:rsidR="0013203F">
              <w:rPr>
                <w:lang w:val="lv-LV"/>
              </w:rPr>
              <w:t>Losices</w:t>
            </w:r>
            <w:proofErr w:type="spellEnd"/>
            <w:r w:rsidR="0013203F">
              <w:rPr>
                <w:lang w:val="lv-LV"/>
              </w:rPr>
              <w:t xml:space="preserve"> un </w:t>
            </w:r>
            <w:proofErr w:type="spellStart"/>
            <w:r w:rsidR="0013203F">
              <w:rPr>
                <w:lang w:val="lv-LV"/>
              </w:rPr>
              <w:t>Semjatičes</w:t>
            </w:r>
            <w:proofErr w:type="spellEnd"/>
            <w:r w:rsidR="0013203F">
              <w:rPr>
                <w:lang w:val="lv-LV"/>
              </w:rPr>
              <w:t xml:space="preserve"> apriņķī</w:t>
            </w:r>
            <w:r w:rsidR="002B3293" w:rsidRPr="002B3293">
              <w:rPr>
                <w:lang w:val="lv-LV"/>
              </w:rPr>
              <w:t xml:space="preserve"> konstatēti pa vienam Ā</w:t>
            </w:r>
            <w:r w:rsidR="0013203F">
              <w:rPr>
                <w:lang w:val="lv-LV"/>
              </w:rPr>
              <w:t>frikas cūku mēra uzliesmojuma mājas cūku novietnēs</w:t>
            </w:r>
            <w:r w:rsidR="007767AC">
              <w:rPr>
                <w:lang w:val="lv-LV"/>
              </w:rPr>
              <w:t>;</w:t>
            </w:r>
          </w:p>
          <w:p w14:paraId="29DFD087" w14:textId="5793D8A0" w:rsidR="002B3293" w:rsidRPr="0013203F" w:rsidRDefault="004B6420" w:rsidP="002B329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="007767AC">
              <w:rPr>
                <w:lang w:val="lv-LV"/>
              </w:rPr>
              <w:t xml:space="preserve"> </w:t>
            </w:r>
            <w:r w:rsidR="0013203F">
              <w:rPr>
                <w:lang w:val="lv-LV"/>
              </w:rPr>
              <w:t>k</w:t>
            </w:r>
            <w:r w:rsidR="002B3293" w:rsidRPr="002B3293">
              <w:rPr>
                <w:lang w:val="lv-LV"/>
              </w:rPr>
              <w:t xml:space="preserve">opš 2015. </w:t>
            </w:r>
            <w:r w:rsidR="0013203F">
              <w:rPr>
                <w:lang w:val="lv-LV"/>
              </w:rPr>
              <w:t>g</w:t>
            </w:r>
            <w:r w:rsidR="002B3293" w:rsidRPr="002B3293">
              <w:rPr>
                <w:lang w:val="lv-LV"/>
              </w:rPr>
              <w:t>ada oktobra atsevišķos Igaunijas apgabalos nav novēroti Ā</w:t>
            </w:r>
            <w:r w:rsidR="0013203F">
              <w:rPr>
                <w:lang w:val="lv-LV"/>
              </w:rPr>
              <w:t xml:space="preserve">frikas cūku mēra </w:t>
            </w:r>
            <w:r w:rsidR="002B3293" w:rsidRPr="002B3293">
              <w:rPr>
                <w:lang w:val="lv-LV"/>
              </w:rPr>
              <w:t xml:space="preserve">uzliesmojumi mājas </w:t>
            </w:r>
            <w:r w:rsidR="0013203F">
              <w:rPr>
                <w:lang w:val="lv-LV"/>
              </w:rPr>
              <w:t>cūku novietnēs</w:t>
            </w:r>
            <w:r w:rsidR="002B3293" w:rsidRPr="002B3293">
              <w:rPr>
                <w:lang w:val="lv-LV"/>
              </w:rPr>
              <w:t xml:space="preserve">. Šie apgabali ir iekļauti Īstenošanas lēmuma 2014/709/ES III </w:t>
            </w:r>
            <w:r w:rsidR="0013203F">
              <w:rPr>
                <w:lang w:val="lv-LV"/>
              </w:rPr>
              <w:t>daļā</w:t>
            </w:r>
            <w:r w:rsidR="002B3293" w:rsidRPr="002B3293">
              <w:rPr>
                <w:lang w:val="lv-LV"/>
              </w:rPr>
              <w:t xml:space="preserve">. </w:t>
            </w:r>
            <w:r w:rsidR="0013203F">
              <w:rPr>
                <w:lang w:val="lv-LV"/>
              </w:rPr>
              <w:t xml:space="preserve">Saskaņā ar Igaunijas kompetentās iestādes sniegto informāciju </w:t>
            </w:r>
            <w:r w:rsidR="002B3293" w:rsidRPr="002B3293">
              <w:rPr>
                <w:lang w:val="lv-LV"/>
              </w:rPr>
              <w:t xml:space="preserve">šajos </w:t>
            </w:r>
            <w:r w:rsidR="002B3293" w:rsidRPr="002B3293">
              <w:rPr>
                <w:lang w:val="lv-LV"/>
              </w:rPr>
              <w:lastRenderedPageBreak/>
              <w:t xml:space="preserve">apgabalos ir ieviesti biodrošības pasākumi mājas cūku novietnēs </w:t>
            </w:r>
            <w:r w:rsidR="0013203F">
              <w:rPr>
                <w:lang w:val="lv-LV"/>
              </w:rPr>
              <w:t>atbilstoši na</w:t>
            </w:r>
            <w:r w:rsidR="002B3293" w:rsidRPr="002B3293">
              <w:rPr>
                <w:lang w:val="lv-LV"/>
              </w:rPr>
              <w:t xml:space="preserve">cionālajā programmā noteiktajām prasībām. Ņemot vērā </w:t>
            </w:r>
            <w:r w:rsidR="0013203F">
              <w:rPr>
                <w:lang w:val="lv-LV"/>
              </w:rPr>
              <w:t>kompetentās iestādes veiktos kontroles pasākumus, kuru laikā vērtēja</w:t>
            </w:r>
            <w:r w:rsidR="002B3293" w:rsidRPr="002B3293">
              <w:rPr>
                <w:lang w:val="lv-LV"/>
              </w:rPr>
              <w:t xml:space="preserve"> biodrošības pasākumu ieviešanu novietnēs</w:t>
            </w:r>
            <w:r w:rsidR="0013203F">
              <w:rPr>
                <w:lang w:val="lv-LV"/>
              </w:rPr>
              <w:t>,</w:t>
            </w:r>
            <w:r w:rsidR="002B3293" w:rsidRPr="002B3293">
              <w:rPr>
                <w:lang w:val="lv-LV"/>
              </w:rPr>
              <w:t xml:space="preserve"> </w:t>
            </w:r>
            <w:r w:rsidR="0013203F">
              <w:rPr>
                <w:lang w:val="lv-LV"/>
              </w:rPr>
              <w:t xml:space="preserve">ir </w:t>
            </w:r>
            <w:r w:rsidR="002B3293" w:rsidRPr="002B3293">
              <w:rPr>
                <w:lang w:val="lv-LV"/>
              </w:rPr>
              <w:t>iegūti rezultāti</w:t>
            </w:r>
            <w:r w:rsidR="0013203F">
              <w:rPr>
                <w:lang w:val="lv-LV"/>
              </w:rPr>
              <w:t>, kas norāda</w:t>
            </w:r>
            <w:r w:rsidR="002B3293" w:rsidRPr="002B3293">
              <w:rPr>
                <w:lang w:val="lv-LV"/>
              </w:rPr>
              <w:t xml:space="preserve"> uz </w:t>
            </w:r>
            <w:r w:rsidR="0013203F">
              <w:rPr>
                <w:lang w:val="lv-LV"/>
              </w:rPr>
              <w:t>biodrošības</w:t>
            </w:r>
            <w:r w:rsidR="002B3293" w:rsidRPr="002B3293">
              <w:rPr>
                <w:lang w:val="lv-LV"/>
              </w:rPr>
              <w:t xml:space="preserve"> pasākumu efektī</w:t>
            </w:r>
            <w:r w:rsidR="00C836E4">
              <w:rPr>
                <w:lang w:val="lv-LV"/>
              </w:rPr>
              <w:t>v</w:t>
            </w:r>
            <w:r w:rsidR="002B3293" w:rsidRPr="002B3293">
              <w:rPr>
                <w:lang w:val="lv-LV"/>
              </w:rPr>
              <w:t>u ieviešanu</w:t>
            </w:r>
            <w:r w:rsidR="00C836E4">
              <w:rPr>
                <w:lang w:val="lv-LV"/>
              </w:rPr>
              <w:t xml:space="preserve">, tāpēc </w:t>
            </w:r>
            <w:r w:rsidR="002B3293" w:rsidRPr="0013203F">
              <w:rPr>
                <w:lang w:val="lv-LV"/>
              </w:rPr>
              <w:t xml:space="preserve">šos </w:t>
            </w:r>
            <w:r w:rsidR="0013203F" w:rsidRPr="0013203F">
              <w:rPr>
                <w:lang w:val="lv-LV"/>
              </w:rPr>
              <w:t xml:space="preserve">Igaunijas </w:t>
            </w:r>
            <w:r w:rsidR="002B3293" w:rsidRPr="0013203F">
              <w:rPr>
                <w:lang w:val="lv-LV"/>
              </w:rPr>
              <w:t xml:space="preserve">apgabalus ir </w:t>
            </w:r>
            <w:r w:rsidR="0013203F">
              <w:rPr>
                <w:lang w:val="lv-LV"/>
              </w:rPr>
              <w:t>lietderīgi iekļa</w:t>
            </w:r>
            <w:r w:rsidR="002B3293" w:rsidRPr="0013203F">
              <w:rPr>
                <w:lang w:val="lv-LV"/>
              </w:rPr>
              <w:t xml:space="preserve">ut </w:t>
            </w:r>
            <w:r w:rsidR="00713508">
              <w:rPr>
                <w:lang w:val="lv-LV"/>
              </w:rPr>
              <w:t>Ī</w:t>
            </w:r>
            <w:r w:rsidR="0013203F">
              <w:rPr>
                <w:lang w:val="lv-LV"/>
              </w:rPr>
              <w:t>stenošanas lēmuma 2014/709</w:t>
            </w:r>
            <w:r w:rsidR="00B861A1">
              <w:rPr>
                <w:lang w:val="lv-LV"/>
              </w:rPr>
              <w:t>/ES</w:t>
            </w:r>
            <w:r w:rsidR="0013203F">
              <w:rPr>
                <w:lang w:val="lv-LV"/>
              </w:rPr>
              <w:t xml:space="preserve"> pielikuma </w:t>
            </w:r>
            <w:r w:rsidR="002B3293" w:rsidRPr="0013203F">
              <w:rPr>
                <w:lang w:val="lv-LV"/>
              </w:rPr>
              <w:t xml:space="preserve">II </w:t>
            </w:r>
            <w:r w:rsidR="0013203F">
              <w:rPr>
                <w:lang w:val="lv-LV"/>
              </w:rPr>
              <w:t>daļ</w:t>
            </w:r>
            <w:r w:rsidR="007D0B96">
              <w:rPr>
                <w:lang w:val="lv-LV"/>
              </w:rPr>
              <w:t>ā minēto</w:t>
            </w:r>
            <w:r w:rsidR="002B3293" w:rsidRPr="0013203F">
              <w:rPr>
                <w:lang w:val="lv-LV"/>
              </w:rPr>
              <w:t xml:space="preserve"> apgabalu sarakstā</w:t>
            </w:r>
            <w:r w:rsidR="007D0B96">
              <w:rPr>
                <w:lang w:val="lv-LV"/>
              </w:rPr>
              <w:t>;</w:t>
            </w:r>
          </w:p>
          <w:p w14:paraId="7E97914A" w14:textId="01C44525" w:rsidR="002B3293" w:rsidRPr="0013203F" w:rsidRDefault="004B6420" w:rsidP="002B3293">
            <w:pPr>
              <w:jc w:val="both"/>
              <w:rPr>
                <w:lang w:val="lv-LV"/>
              </w:rPr>
            </w:pPr>
            <w:r w:rsidRPr="0013203F">
              <w:rPr>
                <w:lang w:val="lv-LV"/>
              </w:rPr>
              <w:t xml:space="preserve">3) </w:t>
            </w:r>
            <w:r w:rsidR="0013203F" w:rsidRPr="0013203F">
              <w:rPr>
                <w:lang w:val="lv-LV"/>
              </w:rPr>
              <w:t>s</w:t>
            </w:r>
            <w:r w:rsidR="002B3293" w:rsidRPr="0013203F">
              <w:rPr>
                <w:lang w:val="lv-LV"/>
              </w:rPr>
              <w:t>eptembrī viens Ā</w:t>
            </w:r>
            <w:r w:rsidR="0013203F" w:rsidRPr="0013203F">
              <w:rPr>
                <w:lang w:val="lv-LV"/>
              </w:rPr>
              <w:t>frikas cūku m</w:t>
            </w:r>
            <w:r w:rsidR="0013203F">
              <w:rPr>
                <w:lang w:val="lv-LV"/>
              </w:rPr>
              <w:t>ēra</w:t>
            </w:r>
            <w:r w:rsidR="002B3293" w:rsidRPr="0013203F">
              <w:rPr>
                <w:lang w:val="lv-LV"/>
              </w:rPr>
              <w:t xml:space="preserve"> uzliesmojums ir konstatēts Gulbenes novadā Latvijā. </w:t>
            </w:r>
            <w:r w:rsidR="0013203F" w:rsidRPr="0013203F">
              <w:rPr>
                <w:lang w:val="lv-LV"/>
              </w:rPr>
              <w:t xml:space="preserve">Šis novads </w:t>
            </w:r>
            <w:r w:rsidR="0080386D">
              <w:rPr>
                <w:lang w:val="lv-LV"/>
              </w:rPr>
              <w:t>patlaban</w:t>
            </w:r>
            <w:r w:rsidR="0080386D" w:rsidRPr="0013203F">
              <w:rPr>
                <w:lang w:val="lv-LV"/>
              </w:rPr>
              <w:t xml:space="preserve"> </w:t>
            </w:r>
            <w:r w:rsidR="002B3293" w:rsidRPr="0013203F">
              <w:rPr>
                <w:lang w:val="lv-LV"/>
              </w:rPr>
              <w:t xml:space="preserve">ir iekļauts II </w:t>
            </w:r>
            <w:r w:rsidR="0013203F" w:rsidRPr="0013203F">
              <w:rPr>
                <w:lang w:val="lv-LV"/>
              </w:rPr>
              <w:t>daļas</w:t>
            </w:r>
            <w:r w:rsidR="002B3293" w:rsidRPr="0013203F">
              <w:rPr>
                <w:lang w:val="lv-LV"/>
              </w:rPr>
              <w:t xml:space="preserve"> apgabalu sarakstā. </w:t>
            </w:r>
            <w:r w:rsidR="0013203F" w:rsidRPr="0013203F">
              <w:rPr>
                <w:lang w:val="lv-LV"/>
              </w:rPr>
              <w:t>Pēc uzliesmojuma konstatēšanas m</w:t>
            </w:r>
            <w:r w:rsidR="0013203F">
              <w:rPr>
                <w:lang w:val="lv-LV"/>
              </w:rPr>
              <w:t>ājas cūku novietnē noteikti Latvijas novadi</w:t>
            </w:r>
            <w:r w:rsidR="002B3293" w:rsidRPr="0013203F">
              <w:rPr>
                <w:lang w:val="lv-LV"/>
              </w:rPr>
              <w:t xml:space="preserve"> ir jāiekļauj </w:t>
            </w:r>
            <w:r w:rsidR="0013203F">
              <w:rPr>
                <w:lang w:val="lv-LV"/>
              </w:rPr>
              <w:t>Īstenošanas lēmuma 2014/709</w:t>
            </w:r>
            <w:r w:rsidR="00B861A1">
              <w:rPr>
                <w:lang w:val="lv-LV"/>
              </w:rPr>
              <w:t>/ES</w:t>
            </w:r>
            <w:r w:rsidR="0013203F">
              <w:rPr>
                <w:lang w:val="lv-LV"/>
              </w:rPr>
              <w:t xml:space="preserve"> pielikuma </w:t>
            </w:r>
            <w:r w:rsidR="002B3293" w:rsidRPr="0013203F">
              <w:rPr>
                <w:lang w:val="lv-LV"/>
              </w:rPr>
              <w:t xml:space="preserve">III </w:t>
            </w:r>
            <w:r w:rsidR="0013203F">
              <w:rPr>
                <w:lang w:val="lv-LV"/>
              </w:rPr>
              <w:t>daļ</w:t>
            </w:r>
            <w:r w:rsidR="00E779FA">
              <w:rPr>
                <w:lang w:val="lv-LV"/>
              </w:rPr>
              <w:t>ā</w:t>
            </w:r>
            <w:r w:rsidR="002B3293" w:rsidRPr="0013203F">
              <w:rPr>
                <w:lang w:val="lv-LV"/>
              </w:rPr>
              <w:t xml:space="preserve"> </w:t>
            </w:r>
            <w:r w:rsidR="00C836E4">
              <w:rPr>
                <w:lang w:val="lv-LV"/>
              </w:rPr>
              <w:t>norādīto</w:t>
            </w:r>
            <w:r w:rsidR="00E779FA">
              <w:rPr>
                <w:lang w:val="lv-LV"/>
              </w:rPr>
              <w:t xml:space="preserve"> </w:t>
            </w:r>
            <w:r w:rsidR="002B3293" w:rsidRPr="0013203F">
              <w:rPr>
                <w:lang w:val="lv-LV"/>
              </w:rPr>
              <w:t>apgabalu sarakstā.</w:t>
            </w:r>
          </w:p>
          <w:p w14:paraId="3ECB3BC5" w14:textId="2E102544" w:rsidR="009928F2" w:rsidRDefault="0013203F" w:rsidP="002060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Eiropas Komisija, iz</w:t>
            </w:r>
            <w:r w:rsidR="009928F2" w:rsidRPr="00B11E53">
              <w:rPr>
                <w:lang w:val="lv-LV"/>
              </w:rPr>
              <w:t>vērtēj</w:t>
            </w:r>
            <w:r>
              <w:rPr>
                <w:lang w:val="lv-LV"/>
              </w:rPr>
              <w:t>ot dzīvnieku veselības risku, kas</w:t>
            </w:r>
            <w:r w:rsidR="009928F2" w:rsidRPr="00B11E53">
              <w:rPr>
                <w:lang w:val="lv-LV"/>
              </w:rPr>
              <w:t xml:space="preserve"> rad</w:t>
            </w:r>
            <w:r>
              <w:rPr>
                <w:lang w:val="lv-LV"/>
              </w:rPr>
              <w:t>ies</w:t>
            </w:r>
            <w:r w:rsidR="00C836E4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C836E4">
              <w:rPr>
                <w:lang w:val="lv-LV"/>
              </w:rPr>
              <w:t>Latvijā,</w:t>
            </w:r>
            <w:r w:rsidR="00C836E4" w:rsidRPr="00B11E53">
              <w:rPr>
                <w:lang w:val="lv-LV"/>
              </w:rPr>
              <w:t xml:space="preserve"> Lietuvā un Polijā</w:t>
            </w:r>
            <w:r w:rsidR="00C836E4" w:rsidDel="00C836E4">
              <w:rPr>
                <w:lang w:val="lv-LV"/>
              </w:rPr>
              <w:t xml:space="preserve"> </w:t>
            </w:r>
            <w:r w:rsidR="00C836E4">
              <w:rPr>
                <w:lang w:val="lv-LV"/>
              </w:rPr>
              <w:t xml:space="preserve">izplatoties </w:t>
            </w:r>
            <w:r>
              <w:rPr>
                <w:lang w:val="lv-LV"/>
              </w:rPr>
              <w:t>Āfrikas cūku mēr</w:t>
            </w:r>
            <w:r w:rsidR="00C836E4">
              <w:rPr>
                <w:lang w:val="lv-LV"/>
              </w:rPr>
              <w:t>im</w:t>
            </w:r>
            <w:r w:rsidR="009928F2" w:rsidRPr="00B11E53">
              <w:rPr>
                <w:lang w:val="lv-LV"/>
              </w:rPr>
              <w:t xml:space="preserve">, </w:t>
            </w:r>
            <w:r>
              <w:rPr>
                <w:lang w:val="lv-LV"/>
              </w:rPr>
              <w:t>ir</w:t>
            </w:r>
            <w:r w:rsidR="009928F2" w:rsidRPr="00B11E53">
              <w:rPr>
                <w:lang w:val="lv-LV"/>
              </w:rPr>
              <w:t xml:space="preserve"> </w:t>
            </w:r>
            <w:r w:rsidR="00B861A1">
              <w:rPr>
                <w:lang w:val="lv-LV"/>
              </w:rPr>
              <w:t>ņēmusi</w:t>
            </w:r>
            <w:r w:rsidR="009928F2" w:rsidRPr="00B11E53">
              <w:rPr>
                <w:lang w:val="lv-LV"/>
              </w:rPr>
              <w:t xml:space="preserve"> vērā minētās slimības pašreizējās epidemiol</w:t>
            </w:r>
            <w:r w:rsidR="00B861A1">
              <w:rPr>
                <w:lang w:val="lv-LV"/>
              </w:rPr>
              <w:t>oģiskās situācijas attīstību</w:t>
            </w:r>
            <w:r w:rsidR="009928F2" w:rsidRPr="00B11E53">
              <w:rPr>
                <w:lang w:val="lv-LV"/>
              </w:rPr>
              <w:t xml:space="preserve"> skartajās </w:t>
            </w:r>
            <w:r w:rsidR="00B861A1">
              <w:rPr>
                <w:lang w:val="lv-LV"/>
              </w:rPr>
              <w:t>teritorijās Eiropas</w:t>
            </w:r>
            <w:r w:rsidR="009928F2" w:rsidRPr="00B11E53">
              <w:rPr>
                <w:lang w:val="lv-LV"/>
              </w:rPr>
              <w:t xml:space="preserve"> Savienībā</w:t>
            </w:r>
            <w:r w:rsidR="00B861A1">
              <w:rPr>
                <w:lang w:val="lv-LV"/>
              </w:rPr>
              <w:t xml:space="preserve"> un pieņēmusi </w:t>
            </w:r>
            <w:r w:rsidR="00162EB6">
              <w:rPr>
                <w:lang w:val="lv-LV"/>
              </w:rPr>
              <w:t xml:space="preserve">attiecīgu </w:t>
            </w:r>
            <w:r w:rsidR="00B861A1">
              <w:rPr>
                <w:lang w:val="lv-LV"/>
              </w:rPr>
              <w:t>lēmumu</w:t>
            </w:r>
            <w:r w:rsidR="009928F2" w:rsidRPr="00B11E53">
              <w:rPr>
                <w:lang w:val="lv-LV"/>
              </w:rPr>
              <w:t xml:space="preserve">. Lai veiktu mērķtiecīgus dzīvnieku veselības kontroles pasākumus, kas noteikti Īstenošanas lēmumā 2014/709/ES, un nepieļautu Āfrikas cūku mēra tālāku izplatīšanos, kā arī novērstu nevajadzīgus tirdzniecības traucējumus </w:t>
            </w:r>
            <w:r w:rsidR="00FC361E">
              <w:rPr>
                <w:lang w:val="lv-LV"/>
              </w:rPr>
              <w:t xml:space="preserve">Eiropas </w:t>
            </w:r>
            <w:r w:rsidR="009928F2" w:rsidRPr="00B11E53">
              <w:rPr>
                <w:lang w:val="lv-LV"/>
              </w:rPr>
              <w:t xml:space="preserve">Savienībā un izvairītos no tā, ka trešās valstis nosaka nepamatotus šķēršļus tirdzniecībai, </w:t>
            </w:r>
            <w:r w:rsidR="00C836E4">
              <w:rPr>
                <w:lang w:val="lv-LV"/>
              </w:rPr>
              <w:t xml:space="preserve">ir grozīts </w:t>
            </w:r>
            <w:r w:rsidR="00B861A1">
              <w:rPr>
                <w:lang w:val="lv-LV"/>
              </w:rPr>
              <w:t>Ī</w:t>
            </w:r>
            <w:r w:rsidR="009928F2" w:rsidRPr="00B11E53">
              <w:rPr>
                <w:lang w:val="lv-LV"/>
              </w:rPr>
              <w:t xml:space="preserve">stenošanas lēmuma </w:t>
            </w:r>
            <w:r w:rsidR="00B861A1">
              <w:rPr>
                <w:lang w:val="lv-LV"/>
              </w:rPr>
              <w:t xml:space="preserve">2014/709/ES </w:t>
            </w:r>
            <w:r w:rsidR="009928F2" w:rsidRPr="00B11E53">
              <w:rPr>
                <w:lang w:val="lv-LV"/>
              </w:rPr>
              <w:t xml:space="preserve">pielikumā paredzētais </w:t>
            </w:r>
            <w:r w:rsidR="00B861A1">
              <w:rPr>
                <w:lang w:val="lv-LV"/>
              </w:rPr>
              <w:t xml:space="preserve">dalībvalstu </w:t>
            </w:r>
            <w:r w:rsidR="009928F2" w:rsidRPr="00B11E53">
              <w:rPr>
                <w:lang w:val="lv-LV"/>
              </w:rPr>
              <w:t xml:space="preserve">saraksts ar </w:t>
            </w:r>
            <w:r w:rsidR="00B861A1">
              <w:rPr>
                <w:lang w:val="lv-LV"/>
              </w:rPr>
              <w:t xml:space="preserve">atsevišķiem </w:t>
            </w:r>
            <w:r w:rsidR="009928F2" w:rsidRPr="00B11E53">
              <w:rPr>
                <w:lang w:val="lv-LV"/>
              </w:rPr>
              <w:t>apgabaliem, kur</w:t>
            </w:r>
            <w:r w:rsidR="00C836E4">
              <w:rPr>
                <w:lang w:val="lv-LV"/>
              </w:rPr>
              <w:t>os</w:t>
            </w:r>
            <w:r w:rsidR="009928F2" w:rsidRPr="00B11E53">
              <w:rPr>
                <w:lang w:val="lv-LV"/>
              </w:rPr>
              <w:t xml:space="preserve"> piemēro dzīvnieku veselības kontroles pasākumus.</w:t>
            </w:r>
          </w:p>
          <w:p w14:paraId="2E4D19C2" w14:textId="7434C9BE" w:rsidR="004338D9" w:rsidRDefault="004338D9" w:rsidP="00FB3F9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Āfrikas cūku mēra uzraudzība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>, kontrole</w:t>
            </w:r>
            <w:r w:rsidR="00671E53">
              <w:rPr>
                <w:lang w:val="lv-LV"/>
              </w:rPr>
              <w:t>s</w:t>
            </w:r>
            <w:r>
              <w:rPr>
                <w:lang w:val="lv-LV"/>
              </w:rPr>
              <w:t xml:space="preserve"> un apkarošana</w:t>
            </w:r>
            <w:r w:rsidR="00671E53">
              <w:rPr>
                <w:lang w:val="lv-LV"/>
              </w:rPr>
              <w:t>s kārtība</w:t>
            </w:r>
            <w:r>
              <w:rPr>
                <w:lang w:val="lv-LV"/>
              </w:rPr>
              <w:t xml:space="preserve">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</w:t>
            </w:r>
            <w:r w:rsidR="00EB4AE1" w:rsidRPr="009D669A">
              <w:rPr>
                <w:lang w:val="lv-LV"/>
              </w:rPr>
              <w:t>Ministru kabineta 2004. gada 17. februāra noteikum</w:t>
            </w:r>
            <w:r w:rsidR="005648B8">
              <w:rPr>
                <w:lang w:val="lv-LV"/>
              </w:rPr>
              <w:t>os</w:t>
            </w:r>
            <w:r w:rsidR="00EB4AE1" w:rsidRPr="009D669A">
              <w:rPr>
                <w:lang w:val="lv-LV"/>
              </w:rPr>
              <w:t xml:space="preserve"> Nr.83 „Āfrikas cūku mēra likvidēšanas un draudu novēršanas kārtība”</w:t>
            </w:r>
            <w:r w:rsidR="00B55D14">
              <w:rPr>
                <w:lang w:val="lv-LV"/>
              </w:rPr>
              <w:t xml:space="preserve"> </w:t>
            </w:r>
            <w:proofErr w:type="gramStart"/>
            <w:r w:rsidR="00B55D14">
              <w:rPr>
                <w:lang w:val="lv-LV"/>
              </w:rPr>
              <w:t>(</w:t>
            </w:r>
            <w:proofErr w:type="gramEnd"/>
            <w:r w:rsidR="00B55D14">
              <w:rPr>
                <w:lang w:val="lv-LV"/>
              </w:rPr>
              <w:t>turpmāk – noteikumi Nr. 83)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</w:t>
            </w:r>
            <w:r w:rsidR="00AB2EE0">
              <w:rPr>
                <w:lang w:val="lv-LV"/>
              </w:rPr>
              <w:t xml:space="preserve">Īstenošanas Lēmuma </w:t>
            </w:r>
            <w:r w:rsidR="00B861A1">
              <w:rPr>
                <w:bCs/>
                <w:lang w:val="lv-LV"/>
              </w:rPr>
              <w:t>2016/177</w:t>
            </w:r>
            <w:r w:rsidR="00FB09C9" w:rsidRPr="00FB09C9">
              <w:rPr>
                <w:bCs/>
                <w:lang w:val="lv-LV"/>
              </w:rPr>
              <w:t>1</w:t>
            </w:r>
            <w:r w:rsidR="00D52D0F">
              <w:rPr>
                <w:bCs/>
                <w:lang w:val="lv-LV"/>
              </w:rPr>
              <w:t>/ES</w:t>
            </w:r>
            <w:r w:rsidR="00FB09C9">
              <w:rPr>
                <w:bCs/>
                <w:lang w:val="lv-LV"/>
              </w:rPr>
              <w:t xml:space="preserve"> </w:t>
            </w:r>
            <w:r w:rsidR="00FC162A">
              <w:rPr>
                <w:bCs/>
                <w:lang w:val="lv-LV"/>
              </w:rPr>
              <w:t xml:space="preserve">un Īstenošanas lēmuma </w:t>
            </w:r>
            <w:r w:rsidR="006C4C6D" w:rsidRPr="006C4C6D">
              <w:rPr>
                <w:bCs/>
                <w:lang w:val="lv-LV"/>
              </w:rPr>
              <w:t>2016/</w:t>
            </w:r>
            <w:r w:rsidR="00AA4A7D" w:rsidRPr="006C4C6D">
              <w:rPr>
                <w:bCs/>
                <w:lang w:val="lv-LV"/>
              </w:rPr>
              <w:t>1</w:t>
            </w:r>
            <w:r w:rsidR="00AA4A7D">
              <w:rPr>
                <w:bCs/>
                <w:lang w:val="lv-LV"/>
              </w:rPr>
              <w:t>900</w:t>
            </w:r>
            <w:r w:rsidR="006C4C6D" w:rsidRPr="006C4C6D">
              <w:rPr>
                <w:bCs/>
                <w:lang w:val="lv-LV"/>
              </w:rPr>
              <w:t xml:space="preserve">/ES </w:t>
            </w:r>
            <w:r w:rsidR="00AF7992">
              <w:rPr>
                <w:lang w:val="lv-LV"/>
              </w:rPr>
              <w:t>normas.</w:t>
            </w:r>
          </w:p>
          <w:p w14:paraId="1BBFABAA" w14:textId="50D622FE" w:rsidR="00B11E53" w:rsidRDefault="00671E53" w:rsidP="006349F7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Ievērojot minēto,</w:t>
            </w:r>
            <w:r w:rsidR="00AF7992">
              <w:rPr>
                <w:lang w:val="lv-LV"/>
              </w:rPr>
              <w:t xml:space="preserve"> </w:t>
            </w:r>
            <w:r w:rsidR="00D03677">
              <w:rPr>
                <w:lang w:val="lv-LV"/>
              </w:rPr>
              <w:t xml:space="preserve">Ministru kabineta </w:t>
            </w:r>
            <w:r w:rsidR="0079339B">
              <w:rPr>
                <w:lang w:val="lv-LV"/>
              </w:rPr>
              <w:t xml:space="preserve">noteikumu </w:t>
            </w:r>
            <w:r w:rsidR="00D03677">
              <w:rPr>
                <w:lang w:val="lv-LV"/>
              </w:rPr>
              <w:t xml:space="preserve">projektā </w:t>
            </w:r>
            <w:r w:rsidR="00D03677" w:rsidRPr="00D03677">
              <w:rPr>
                <w:bCs/>
                <w:lang w:val="lv-LV"/>
              </w:rPr>
              <w:t>„Grozījumi Ministru kabineta 2004. gada 17. februāra noteikumos Nr.83</w:t>
            </w:r>
            <w:r w:rsidR="00D03677">
              <w:rPr>
                <w:bCs/>
                <w:lang w:val="lv-LV"/>
              </w:rPr>
              <w:t xml:space="preserve"> </w:t>
            </w:r>
            <w:r w:rsidR="00D03677" w:rsidRPr="00D03677">
              <w:rPr>
                <w:bCs/>
                <w:lang w:val="lv-LV"/>
              </w:rPr>
              <w:t>„Āfrikas cūku mēra likvidēšanas un draudu novēršanas kārtība””</w:t>
            </w:r>
            <w:r w:rsidR="00D03677">
              <w:rPr>
                <w:bCs/>
                <w:lang w:val="lv-LV"/>
              </w:rPr>
              <w:t xml:space="preserve"> (turpmāk – noteikumu projekts)</w:t>
            </w:r>
            <w:r w:rsidR="00D03677">
              <w:rPr>
                <w:b/>
                <w:bCs/>
                <w:lang w:val="lv-LV"/>
              </w:rPr>
              <w:t xml:space="preserve"> </w:t>
            </w:r>
            <w:r w:rsidR="00BE7DED">
              <w:rPr>
                <w:bCs/>
                <w:lang w:val="lv-LV"/>
              </w:rPr>
              <w:t>paredzēts</w:t>
            </w:r>
            <w:r w:rsidR="00E73EB6">
              <w:rPr>
                <w:bCs/>
                <w:lang w:val="lv-LV"/>
              </w:rPr>
              <w:t xml:space="preserve"> </w:t>
            </w:r>
            <w:r w:rsidR="00C338B6">
              <w:rPr>
                <w:bCs/>
                <w:lang w:val="lv-LV"/>
              </w:rPr>
              <w:t>precizēt</w:t>
            </w:r>
            <w:r w:rsidR="00B861A1">
              <w:rPr>
                <w:bCs/>
                <w:lang w:val="lv-LV"/>
              </w:rPr>
              <w:t xml:space="preserve"> I, II un III riska zonas Latvijā, Lietuvā, Igaunijā un Polijā.</w:t>
            </w:r>
          </w:p>
          <w:p w14:paraId="0019FC49" w14:textId="77777777" w:rsidR="006C4C6D" w:rsidRDefault="00C836E4" w:rsidP="00E848B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Turklāt ar</w:t>
            </w:r>
            <w:r w:rsidR="00B861A1">
              <w:rPr>
                <w:bCs/>
                <w:lang w:val="lv-LV"/>
              </w:rPr>
              <w:t xml:space="preserve"> noteikumu projekta 1.</w:t>
            </w:r>
            <w:r w:rsidR="00A01364">
              <w:rPr>
                <w:bCs/>
                <w:lang w:val="lv-LV"/>
              </w:rPr>
              <w:t>punkt</w:t>
            </w:r>
            <w:r>
              <w:rPr>
                <w:bCs/>
                <w:lang w:val="lv-LV"/>
              </w:rPr>
              <w:t>u</w:t>
            </w:r>
            <w:r w:rsidR="00B861A1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 xml:space="preserve">izdarīts </w:t>
            </w:r>
            <w:r w:rsidR="00B861A1">
              <w:rPr>
                <w:bCs/>
                <w:lang w:val="lv-LV"/>
              </w:rPr>
              <w:t>grozījum</w:t>
            </w:r>
            <w:r>
              <w:rPr>
                <w:bCs/>
                <w:lang w:val="lv-LV"/>
              </w:rPr>
              <w:t>s</w:t>
            </w:r>
            <w:r w:rsidR="00B861A1">
              <w:rPr>
                <w:bCs/>
                <w:lang w:val="lv-LV"/>
              </w:rPr>
              <w:t xml:space="preserve"> noteikumu Nr. 83 normās, kas regulē dzīvnieku izcelsmes blakusproduktu pārstrādi un apriti. Noteikumu projektā paredzēts noteikt plašākas dzīvnieku izcelsmes blak</w:t>
            </w:r>
            <w:r w:rsidR="002A66A7">
              <w:rPr>
                <w:bCs/>
                <w:lang w:val="lv-LV"/>
              </w:rPr>
              <w:t xml:space="preserve">usproduktu pārstrādes iespējas </w:t>
            </w:r>
            <w:r>
              <w:rPr>
                <w:bCs/>
                <w:lang w:val="lv-LV"/>
              </w:rPr>
              <w:t xml:space="preserve">– </w:t>
            </w:r>
            <w:r w:rsidR="002A66A7">
              <w:rPr>
                <w:bCs/>
                <w:lang w:val="lv-LV"/>
              </w:rPr>
              <w:t>pārstrādi, aprakšanu, sadedzināšanu un likvidēšanu. P</w:t>
            </w:r>
            <w:r w:rsidR="00B861A1">
              <w:rPr>
                <w:bCs/>
                <w:lang w:val="lv-LV"/>
              </w:rPr>
              <w:t>ašreizējā noteikumu Nr. 83 norma nosaka tikai vienu iespēju dzīvnieku izcelsmes blakusproduktu pārstrādi</w:t>
            </w:r>
            <w:r w:rsidR="00EA2C11" w:rsidRPr="00EA2C11">
              <w:rPr>
                <w:rStyle w:val="Komentraatsauce"/>
                <w:lang w:val="lv-LV"/>
              </w:rPr>
              <w:t>,</w:t>
            </w:r>
            <w:r w:rsidR="00B861A1">
              <w:rPr>
                <w:bCs/>
                <w:lang w:val="lv-LV"/>
              </w:rPr>
              <w:t xml:space="preserve"> </w:t>
            </w:r>
            <w:r w:rsidR="00EA2C11" w:rsidRPr="00EA2C11">
              <w:rPr>
                <w:bCs/>
                <w:lang w:val="lv-LV"/>
              </w:rPr>
              <w:t xml:space="preserve">piemērojot </w:t>
            </w:r>
            <w:r w:rsidRPr="00BE4097">
              <w:rPr>
                <w:bCs/>
                <w:lang w:val="lv-LV"/>
              </w:rPr>
              <w:t>pārstrādes metodes un nosacījumus</w:t>
            </w:r>
            <w:r>
              <w:rPr>
                <w:bCs/>
                <w:lang w:val="lv-LV"/>
              </w:rPr>
              <w:t>, kas</w:t>
            </w:r>
            <w:r w:rsidRPr="00EA2C11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noteikti</w:t>
            </w:r>
            <w:r w:rsidRPr="00EA2C11">
              <w:rPr>
                <w:bCs/>
                <w:lang w:val="lv-LV"/>
              </w:rPr>
              <w:t xml:space="preserve"> </w:t>
            </w:r>
            <w:r w:rsidR="00EA2C11" w:rsidRPr="00EA2C11">
              <w:rPr>
                <w:bCs/>
                <w:lang w:val="lv-LV"/>
              </w:rPr>
              <w:t>Eiropas Parlamenta un Padomes 2009.</w:t>
            </w:r>
            <w:r w:rsidR="006C4C6D">
              <w:rPr>
                <w:bCs/>
                <w:lang w:val="lv-LV"/>
              </w:rPr>
              <w:t xml:space="preserve"> </w:t>
            </w:r>
            <w:r w:rsidR="00EA2C11" w:rsidRPr="00EA2C11">
              <w:rPr>
                <w:bCs/>
                <w:lang w:val="lv-LV"/>
              </w:rPr>
              <w:t>gada 21.</w:t>
            </w:r>
            <w:r w:rsidR="006C4C6D">
              <w:rPr>
                <w:bCs/>
                <w:lang w:val="lv-LV"/>
              </w:rPr>
              <w:t xml:space="preserve"> </w:t>
            </w:r>
            <w:r w:rsidR="00EA2C11" w:rsidRPr="00EA2C11">
              <w:rPr>
                <w:bCs/>
                <w:lang w:val="lv-LV"/>
              </w:rPr>
              <w:t>oktobra Regul</w:t>
            </w:r>
            <w:r>
              <w:rPr>
                <w:bCs/>
                <w:lang w:val="lv-LV"/>
              </w:rPr>
              <w:t>ā</w:t>
            </w:r>
            <w:r w:rsidR="00EA2C11" w:rsidRPr="00EA2C11">
              <w:rPr>
                <w:bCs/>
                <w:lang w:val="lv-LV"/>
              </w:rPr>
              <w:t xml:space="preserve"> (EK) Nr. </w:t>
            </w:r>
            <w:hyperlink r:id="rId7" w:tgtFrame="_blank" w:history="1">
              <w:r w:rsidR="00EA2C11" w:rsidRPr="00EA2C11">
                <w:rPr>
                  <w:rStyle w:val="Hipersaite"/>
                  <w:bCs/>
                </w:rPr>
                <w:t>1069/2009</w:t>
              </w:r>
            </w:hyperlink>
            <w:r w:rsidR="00EA2C11" w:rsidRPr="00EA2C11">
              <w:rPr>
                <w:bCs/>
              </w:rPr>
              <w:t xml:space="preserve">, </w:t>
            </w:r>
            <w:proofErr w:type="spellStart"/>
            <w:r w:rsidR="00EA2C11" w:rsidRPr="00EA2C11">
              <w:rPr>
                <w:bCs/>
              </w:rPr>
              <w:t>ar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ko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nosaka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veselības</w:t>
            </w:r>
            <w:proofErr w:type="spellEnd"/>
            <w:r w:rsidR="00EA2C11" w:rsidRPr="00EA2C11">
              <w:rPr>
                <w:bCs/>
              </w:rPr>
              <w:t xml:space="preserve"> aizsardzības </w:t>
            </w:r>
            <w:proofErr w:type="spellStart"/>
            <w:r w:rsidR="00EA2C11" w:rsidRPr="00EA2C11">
              <w:rPr>
                <w:bCs/>
              </w:rPr>
              <w:t>noteikumus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attiecībā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uz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dzīvnieku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izcelsmes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blakusproduktiem</w:t>
            </w:r>
            <w:proofErr w:type="spellEnd"/>
            <w:r w:rsidR="00EA2C11" w:rsidRPr="00EA2C11">
              <w:rPr>
                <w:bCs/>
              </w:rPr>
              <w:t xml:space="preserve"> un </w:t>
            </w:r>
            <w:proofErr w:type="spellStart"/>
            <w:r w:rsidR="00EA2C11" w:rsidRPr="00EA2C11">
              <w:rPr>
                <w:bCs/>
              </w:rPr>
              <w:t>atvasinātajiem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produktiem</w:t>
            </w:r>
            <w:proofErr w:type="spellEnd"/>
            <w:r w:rsidR="00EA2C11" w:rsidRPr="00EA2C11">
              <w:rPr>
                <w:bCs/>
              </w:rPr>
              <w:t xml:space="preserve">, </w:t>
            </w:r>
            <w:proofErr w:type="spellStart"/>
            <w:r w:rsidR="00EA2C11" w:rsidRPr="00EA2C11">
              <w:rPr>
                <w:bCs/>
              </w:rPr>
              <w:t>kuri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nav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paredzēti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cilvēku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patēriņam</w:t>
            </w:r>
            <w:proofErr w:type="spellEnd"/>
            <w:r w:rsidR="00EA2C11" w:rsidRPr="00EA2C11">
              <w:rPr>
                <w:bCs/>
              </w:rPr>
              <w:t xml:space="preserve">, un </w:t>
            </w:r>
            <w:proofErr w:type="spellStart"/>
            <w:r w:rsidR="00EA2C11" w:rsidRPr="00EA2C11">
              <w:rPr>
                <w:bCs/>
              </w:rPr>
              <w:t>ar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ko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atceļ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Regulu</w:t>
            </w:r>
            <w:proofErr w:type="spellEnd"/>
            <w:r w:rsidR="00EA2C11" w:rsidRPr="00EA2C11">
              <w:rPr>
                <w:bCs/>
              </w:rPr>
              <w:t xml:space="preserve"> (ES) </w:t>
            </w:r>
            <w:proofErr w:type="spellStart"/>
            <w:r w:rsidR="00EA2C11" w:rsidRPr="00EA2C11">
              <w:rPr>
                <w:bCs/>
              </w:rPr>
              <w:t>Nr</w:t>
            </w:r>
            <w:proofErr w:type="spellEnd"/>
            <w:r w:rsidR="00EA2C11" w:rsidRPr="00EA2C11">
              <w:rPr>
                <w:bCs/>
              </w:rPr>
              <w:t xml:space="preserve">. </w:t>
            </w:r>
            <w:hyperlink r:id="rId8" w:tgtFrame="_blank" w:history="1">
              <w:r w:rsidR="00EA2C11" w:rsidRPr="00EA2C11">
                <w:rPr>
                  <w:rStyle w:val="Hipersaite"/>
                  <w:bCs/>
                </w:rPr>
                <w:t>1774/2002</w:t>
              </w:r>
            </w:hyperlink>
            <w:r w:rsidR="00EA2C11" w:rsidRPr="00EA2C11">
              <w:rPr>
                <w:bCs/>
              </w:rPr>
              <w:t xml:space="preserve">, un </w:t>
            </w:r>
            <w:proofErr w:type="spellStart"/>
            <w:r w:rsidR="00EA2C11" w:rsidRPr="00EA2C11">
              <w:rPr>
                <w:bCs/>
              </w:rPr>
              <w:t>Eiropas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Komisi</w:t>
            </w:r>
            <w:r w:rsidR="00EA2C11">
              <w:rPr>
                <w:bCs/>
              </w:rPr>
              <w:t>jas</w:t>
            </w:r>
            <w:proofErr w:type="spellEnd"/>
            <w:r w:rsidR="00EA2C11">
              <w:rPr>
                <w:bCs/>
              </w:rPr>
              <w:t xml:space="preserve"> 2011.</w:t>
            </w:r>
            <w:r w:rsidR="006C4C6D">
              <w:rPr>
                <w:bCs/>
              </w:rPr>
              <w:t xml:space="preserve"> </w:t>
            </w:r>
            <w:proofErr w:type="spellStart"/>
            <w:r w:rsidR="00EA2C11">
              <w:rPr>
                <w:bCs/>
              </w:rPr>
              <w:t>gada</w:t>
            </w:r>
            <w:proofErr w:type="spellEnd"/>
            <w:r w:rsidR="00EA2C11">
              <w:rPr>
                <w:bCs/>
              </w:rPr>
              <w:t xml:space="preserve"> 25.</w:t>
            </w:r>
            <w:r w:rsidR="006C4C6D">
              <w:rPr>
                <w:bCs/>
              </w:rPr>
              <w:t xml:space="preserve"> </w:t>
            </w:r>
            <w:proofErr w:type="spellStart"/>
            <w:r w:rsidR="00EA2C11">
              <w:rPr>
                <w:bCs/>
              </w:rPr>
              <w:t>februāra</w:t>
            </w:r>
            <w:proofErr w:type="spellEnd"/>
            <w:r w:rsidR="00EA2C11">
              <w:rPr>
                <w:bCs/>
              </w:rPr>
              <w:t xml:space="preserve"> </w:t>
            </w:r>
            <w:proofErr w:type="spellStart"/>
            <w:r w:rsidR="00EA2C11">
              <w:rPr>
                <w:bCs/>
              </w:rPr>
              <w:t>Regul</w:t>
            </w:r>
            <w:r>
              <w:rPr>
                <w:bCs/>
              </w:rPr>
              <w:t>ā</w:t>
            </w:r>
            <w:proofErr w:type="spellEnd"/>
            <w:r w:rsidR="00EA2C11" w:rsidRPr="00EA2C11">
              <w:rPr>
                <w:bCs/>
              </w:rPr>
              <w:t xml:space="preserve"> (ES) </w:t>
            </w:r>
            <w:proofErr w:type="spellStart"/>
            <w:r w:rsidR="00EA2C11" w:rsidRPr="00EA2C11">
              <w:rPr>
                <w:bCs/>
              </w:rPr>
              <w:t>Nr</w:t>
            </w:r>
            <w:proofErr w:type="spellEnd"/>
            <w:r w:rsidR="00EA2C11" w:rsidRPr="00EA2C11">
              <w:rPr>
                <w:bCs/>
              </w:rPr>
              <w:t xml:space="preserve">. </w:t>
            </w:r>
            <w:hyperlink r:id="rId9" w:tgtFrame="_blank" w:history="1">
              <w:r w:rsidR="00EA2C11" w:rsidRPr="00EA2C11">
                <w:rPr>
                  <w:rStyle w:val="Hipersaite"/>
                  <w:bCs/>
                </w:rPr>
                <w:t>142/2011</w:t>
              </w:r>
            </w:hyperlink>
            <w:r w:rsidR="00EA2C11" w:rsidRPr="00EA2C11">
              <w:rPr>
                <w:bCs/>
              </w:rPr>
              <w:t xml:space="preserve">, </w:t>
            </w:r>
            <w:proofErr w:type="spellStart"/>
            <w:r w:rsidR="00EA2C11" w:rsidRPr="00EA2C11">
              <w:rPr>
                <w:bCs/>
              </w:rPr>
              <w:t>ar</w:t>
            </w:r>
            <w:proofErr w:type="spellEnd"/>
            <w:r w:rsidR="00EA2C11" w:rsidRPr="00EA2C11">
              <w:rPr>
                <w:bCs/>
              </w:rPr>
              <w:t xml:space="preserve"> kuru </w:t>
            </w:r>
            <w:proofErr w:type="spellStart"/>
            <w:r w:rsidR="00EA2C11" w:rsidRPr="00EA2C11">
              <w:rPr>
                <w:bCs/>
              </w:rPr>
              <w:t>īsteno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Eiropas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Parlamenta</w:t>
            </w:r>
            <w:proofErr w:type="spellEnd"/>
            <w:r w:rsidR="00EA2C11" w:rsidRPr="00EA2C11">
              <w:rPr>
                <w:bCs/>
              </w:rPr>
              <w:t xml:space="preserve"> un </w:t>
            </w:r>
            <w:proofErr w:type="spellStart"/>
            <w:r w:rsidR="00EA2C11" w:rsidRPr="00EA2C11">
              <w:rPr>
                <w:bCs/>
              </w:rPr>
              <w:t>Padomes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Regulu</w:t>
            </w:r>
            <w:proofErr w:type="spellEnd"/>
            <w:r w:rsidR="00EA2C11" w:rsidRPr="00EA2C11">
              <w:rPr>
                <w:bCs/>
              </w:rPr>
              <w:t xml:space="preserve"> (EK) </w:t>
            </w:r>
            <w:proofErr w:type="spellStart"/>
            <w:r w:rsidR="00EA2C11" w:rsidRPr="00EA2C11">
              <w:rPr>
                <w:bCs/>
              </w:rPr>
              <w:t>Nr</w:t>
            </w:r>
            <w:proofErr w:type="spellEnd"/>
            <w:r w:rsidR="00EA2C11" w:rsidRPr="00EA2C11">
              <w:rPr>
                <w:bCs/>
              </w:rPr>
              <w:t xml:space="preserve">. </w:t>
            </w:r>
            <w:hyperlink r:id="rId10" w:tgtFrame="_blank" w:history="1">
              <w:r w:rsidR="00EA2C11" w:rsidRPr="00EA2C11">
                <w:rPr>
                  <w:rStyle w:val="Hipersaite"/>
                  <w:bCs/>
                </w:rPr>
                <w:t>1069/2009</w:t>
              </w:r>
            </w:hyperlink>
            <w:r w:rsidR="00EA2C11" w:rsidRPr="00EA2C11">
              <w:rPr>
                <w:bCs/>
              </w:rPr>
              <w:t xml:space="preserve">, </w:t>
            </w:r>
            <w:proofErr w:type="spellStart"/>
            <w:r w:rsidR="00EA2C11" w:rsidRPr="00EA2C11">
              <w:rPr>
                <w:bCs/>
              </w:rPr>
              <w:t>ar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ko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nosaka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veselības</w:t>
            </w:r>
            <w:proofErr w:type="spellEnd"/>
            <w:r w:rsidR="00EA2C11" w:rsidRPr="00EA2C11">
              <w:rPr>
                <w:bCs/>
              </w:rPr>
              <w:t xml:space="preserve"> aizsardzības </w:t>
            </w:r>
            <w:proofErr w:type="spellStart"/>
            <w:r w:rsidR="00EA2C11" w:rsidRPr="00EA2C11">
              <w:rPr>
                <w:bCs/>
              </w:rPr>
              <w:t>noteikumus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attiecībā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uz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dzīvnieku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izcelsmes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blakusproduktiem</w:t>
            </w:r>
            <w:proofErr w:type="spellEnd"/>
            <w:r w:rsidR="00EA2C11" w:rsidRPr="00EA2C11">
              <w:rPr>
                <w:bCs/>
              </w:rPr>
              <w:t xml:space="preserve"> un </w:t>
            </w:r>
            <w:proofErr w:type="spellStart"/>
            <w:r w:rsidR="00EA2C11" w:rsidRPr="00EA2C11">
              <w:rPr>
                <w:bCs/>
              </w:rPr>
              <w:t>atvasinātajiem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lastRenderedPageBreak/>
              <w:t>produktiem</w:t>
            </w:r>
            <w:proofErr w:type="spellEnd"/>
            <w:r w:rsidR="00EA2C11" w:rsidRPr="00EA2C11">
              <w:rPr>
                <w:bCs/>
              </w:rPr>
              <w:t xml:space="preserve">, </w:t>
            </w:r>
            <w:proofErr w:type="spellStart"/>
            <w:r w:rsidR="00EA2C11" w:rsidRPr="00EA2C11">
              <w:rPr>
                <w:bCs/>
              </w:rPr>
              <w:t>kuri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nav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paredzēti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cilvēku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patēriņam</w:t>
            </w:r>
            <w:proofErr w:type="spellEnd"/>
            <w:r w:rsidR="00EA2C11" w:rsidRPr="00EA2C11">
              <w:rPr>
                <w:bCs/>
              </w:rPr>
              <w:t xml:space="preserve">, un </w:t>
            </w:r>
            <w:proofErr w:type="spellStart"/>
            <w:r w:rsidR="00EA2C11" w:rsidRPr="00EA2C11">
              <w:rPr>
                <w:bCs/>
              </w:rPr>
              <w:t>īsteno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Padomes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Direktīvu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hyperlink r:id="rId11" w:tgtFrame="_blank" w:history="1">
              <w:r w:rsidR="00EA2C11" w:rsidRPr="00EA2C11">
                <w:rPr>
                  <w:rStyle w:val="Hipersaite"/>
                  <w:bCs/>
                </w:rPr>
                <w:t>97/78/EK</w:t>
              </w:r>
            </w:hyperlink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attiecībā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uz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dažiem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paraugiem</w:t>
            </w:r>
            <w:proofErr w:type="spellEnd"/>
            <w:r w:rsidR="00EA2C11" w:rsidRPr="00EA2C11">
              <w:rPr>
                <w:bCs/>
              </w:rPr>
              <w:t xml:space="preserve"> un </w:t>
            </w:r>
            <w:proofErr w:type="spellStart"/>
            <w:r w:rsidR="00EA2C11" w:rsidRPr="00EA2C11">
              <w:rPr>
                <w:bCs/>
              </w:rPr>
              <w:t>precēm</w:t>
            </w:r>
            <w:proofErr w:type="spellEnd"/>
            <w:r w:rsidR="00EA2C11" w:rsidRPr="00EA2C11">
              <w:rPr>
                <w:bCs/>
              </w:rPr>
              <w:t xml:space="preserve">, </w:t>
            </w:r>
            <w:proofErr w:type="spellStart"/>
            <w:r w:rsidR="00EA2C11" w:rsidRPr="00EA2C11">
              <w:rPr>
                <w:bCs/>
              </w:rPr>
              <w:t>kam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uz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robežas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neveic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veterinārās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pārbaudes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atbilstīgi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minētajai</w:t>
            </w:r>
            <w:proofErr w:type="spellEnd"/>
            <w:r w:rsidR="00EA2C11" w:rsidRPr="00EA2C11">
              <w:rPr>
                <w:bCs/>
              </w:rPr>
              <w:t xml:space="preserve"> </w:t>
            </w:r>
            <w:proofErr w:type="spellStart"/>
            <w:r w:rsidR="00EA2C11" w:rsidRPr="00EA2C11">
              <w:rPr>
                <w:bCs/>
              </w:rPr>
              <w:t>direktīvai</w:t>
            </w:r>
            <w:proofErr w:type="spellEnd"/>
            <w:r w:rsidR="00B861A1">
              <w:rPr>
                <w:bCs/>
                <w:lang w:val="lv-LV"/>
              </w:rPr>
              <w:t>.</w:t>
            </w:r>
            <w:r w:rsidR="00FC162A">
              <w:rPr>
                <w:bCs/>
                <w:lang w:val="lv-LV"/>
              </w:rPr>
              <w:t xml:space="preserve"> </w:t>
            </w:r>
          </w:p>
          <w:p w14:paraId="5EE1F327" w14:textId="2AFA5059" w:rsidR="002058A8" w:rsidRPr="008E74C8" w:rsidRDefault="00FC162A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Papildus tam noteikumu projekta 14., 18. un 19. punktā </w:t>
            </w:r>
            <w:r w:rsidR="00150845">
              <w:rPr>
                <w:bCs/>
                <w:lang w:val="lv-LV"/>
              </w:rPr>
              <w:t>izdarī</w:t>
            </w:r>
            <w:r>
              <w:rPr>
                <w:bCs/>
                <w:lang w:val="lv-LV"/>
              </w:rPr>
              <w:t xml:space="preserve">ti redakcionāli labojumi </w:t>
            </w:r>
            <w:r w:rsidR="00E848B4">
              <w:rPr>
                <w:bCs/>
                <w:lang w:val="lv-LV"/>
              </w:rPr>
              <w:t xml:space="preserve">attiecīgajos </w:t>
            </w:r>
            <w:r w:rsidR="006C4C6D">
              <w:rPr>
                <w:bCs/>
                <w:lang w:val="lv-LV"/>
              </w:rPr>
              <w:t xml:space="preserve">noteikumu Nr. 83 </w:t>
            </w:r>
            <w:r w:rsidR="00E848B4">
              <w:rPr>
                <w:bCs/>
                <w:lang w:val="lv-LV"/>
              </w:rPr>
              <w:t>punktos</w:t>
            </w:r>
            <w:r w:rsidR="00150845">
              <w:rPr>
                <w:bCs/>
                <w:lang w:val="lv-LV"/>
              </w:rPr>
              <w:t>, precizējot</w:t>
            </w:r>
            <w:r w:rsidR="006C4C6D">
              <w:rPr>
                <w:bCs/>
                <w:lang w:val="lv-LV"/>
              </w:rPr>
              <w:t xml:space="preserve"> administratīvo teritoriju nosaukum</w:t>
            </w:r>
            <w:r w:rsidR="00150845">
              <w:rPr>
                <w:bCs/>
                <w:lang w:val="lv-LV"/>
              </w:rPr>
              <w:t>u</w:t>
            </w:r>
            <w:r w:rsidR="006C4C6D">
              <w:rPr>
                <w:bCs/>
                <w:lang w:val="lv-LV"/>
              </w:rPr>
              <w:t>.</w:t>
            </w:r>
          </w:p>
        </w:tc>
      </w:tr>
      <w:tr w:rsidR="005D73DE" w:rsidRPr="00FC162A" w14:paraId="301D43AD" w14:textId="77777777" w:rsidTr="00C25CC1">
        <w:tc>
          <w:tcPr>
            <w:tcW w:w="250" w:type="pct"/>
          </w:tcPr>
          <w:p w14:paraId="56B33523" w14:textId="36AED211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077" w:type="pct"/>
          </w:tcPr>
          <w:p w14:paraId="340A53DC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14:paraId="0B3FF817" w14:textId="77777777"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D52D0F" w14:paraId="4E38FB3F" w14:textId="77777777" w:rsidTr="00C25CC1">
        <w:tc>
          <w:tcPr>
            <w:tcW w:w="250" w:type="pct"/>
          </w:tcPr>
          <w:p w14:paraId="6DBA1BF6" w14:textId="77777777"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077" w:type="pct"/>
          </w:tcPr>
          <w:p w14:paraId="17CF9D96" w14:textId="77777777"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14:paraId="12DD48A7" w14:textId="77777777"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14:paraId="7B0B6BC9" w14:textId="77777777" w:rsidR="004D267D" w:rsidRPr="009E2709" w:rsidRDefault="004D267D">
      <w:pPr>
        <w:rPr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"/>
        <w:gridCol w:w="1882"/>
        <w:gridCol w:w="6645"/>
      </w:tblGrid>
      <w:tr w:rsidR="005D73DE" w:rsidRPr="00CA52C8" w14:paraId="3F528240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2FE4D" w14:textId="77777777" w:rsidR="008F3459" w:rsidRPr="009E2709" w:rsidRDefault="008F3459" w:rsidP="005D73D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745B0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2745B0">
              <w:rPr>
                <w:b/>
                <w:szCs w:val="28"/>
                <w:lang w:val="lv-LV"/>
              </w:rPr>
              <w:t>,</w:t>
            </w:r>
            <w:r w:rsidR="00D533EA" w:rsidRPr="002745B0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CA52C8" w14:paraId="4036D9B0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5BA685" w14:textId="77777777"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10194D" w14:textId="77777777"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A788C6" w14:textId="10F3B2C8" w:rsidR="00756A4F" w:rsidRPr="00E312B1" w:rsidRDefault="00E312B1" w:rsidP="00756A4F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</w:t>
            </w:r>
            <w:r w:rsidR="00B16224">
              <w:rPr>
                <w:lang w:val="lv-LV"/>
              </w:rPr>
              <w:t xml:space="preserve"> 01.01.2016</w:t>
            </w:r>
            <w:r w:rsidR="006A29A5" w:rsidRPr="006A29A5">
              <w:rPr>
                <w:lang w:val="lv-LV"/>
              </w:rPr>
              <w:t xml:space="preserve">. </w:t>
            </w:r>
            <w:r w:rsidR="00DD5642">
              <w:rPr>
                <w:lang w:val="lv-LV"/>
              </w:rPr>
              <w:t xml:space="preserve">bija </w:t>
            </w:r>
            <w:r w:rsidR="006A29A5" w:rsidRPr="006A29A5">
              <w:rPr>
                <w:lang w:val="lv-LV"/>
              </w:rPr>
              <w:t>reģistrē</w:t>
            </w:r>
            <w:r w:rsidR="00756A4F">
              <w:rPr>
                <w:lang w:val="lv-LV"/>
              </w:rPr>
              <w:t>tas 1062</w:t>
            </w:r>
            <w:r w:rsidR="006A29A5" w:rsidRPr="006A29A5">
              <w:rPr>
                <w:lang w:val="lv-LV"/>
              </w:rPr>
              <w:t xml:space="preserve"> cūku sugas dzīvnieku </w:t>
            </w:r>
            <w:r w:rsidR="00756A4F">
              <w:rPr>
                <w:lang w:val="lv-LV"/>
              </w:rPr>
              <w:t>novietnes</w:t>
            </w:r>
            <w:r w:rsidR="006A29A5">
              <w:rPr>
                <w:lang w:val="lv-LV"/>
              </w:rPr>
              <w:t xml:space="preserve"> (</w:t>
            </w:r>
            <w:r w:rsidR="00756A4F">
              <w:rPr>
                <w:lang w:val="lv-LV"/>
              </w:rPr>
              <w:t>novietnes, kurā</w:t>
            </w:r>
            <w:r w:rsidR="006A29A5">
              <w:rPr>
                <w:lang w:val="lv-LV"/>
              </w:rPr>
              <w:t xml:space="preserve">s dzīvnieki tiek turēti </w:t>
            </w:r>
            <w:r w:rsidR="00671E53">
              <w:rPr>
                <w:lang w:val="lv-LV"/>
              </w:rPr>
              <w:t xml:space="preserve">gan </w:t>
            </w:r>
            <w:r w:rsidR="006A29A5">
              <w:rPr>
                <w:lang w:val="lv-LV"/>
              </w:rPr>
              <w:t>komerciālos nolūkos, gan pašpatēriņam)</w:t>
            </w:r>
            <w:r w:rsidR="00756A4F">
              <w:rPr>
                <w:lang w:val="lv-LV"/>
              </w:rPr>
              <w:t>, kā arī</w:t>
            </w:r>
            <w:r w:rsidR="00B16224">
              <w:rPr>
                <w:lang w:val="lv-LV"/>
              </w:rPr>
              <w:t xml:space="preserve"> </w:t>
            </w:r>
            <w:r w:rsidR="00756A4F">
              <w:rPr>
                <w:lang w:val="lv-LV"/>
              </w:rPr>
              <w:t>23 novietnes</w:t>
            </w:r>
            <w:r w:rsidR="006A29A5">
              <w:rPr>
                <w:lang w:val="lv-LV"/>
              </w:rPr>
              <w:t xml:space="preserve">, </w:t>
            </w:r>
            <w:r w:rsidR="00DD5642">
              <w:rPr>
                <w:lang w:val="lv-LV"/>
              </w:rPr>
              <w:t xml:space="preserve">par </w:t>
            </w:r>
            <w:r w:rsidR="006A29A5">
              <w:rPr>
                <w:lang w:val="lv-LV"/>
              </w:rPr>
              <w:t>kur</w:t>
            </w:r>
            <w:r w:rsidR="00756A4F">
              <w:rPr>
                <w:lang w:val="lv-LV"/>
              </w:rPr>
              <w:t>ā</w:t>
            </w:r>
            <w:r w:rsidR="00DD5642">
              <w:rPr>
                <w:lang w:val="lv-LV"/>
              </w:rPr>
              <w:t>m</w:t>
            </w:r>
            <w:r w:rsidR="006A29A5">
              <w:rPr>
                <w:lang w:val="lv-LV"/>
              </w:rPr>
              <w:t xml:space="preserve"> ziņots</w:t>
            </w:r>
            <w:r w:rsidR="00756A4F">
              <w:rPr>
                <w:lang w:val="lv-LV"/>
              </w:rPr>
              <w:t>, ka tajā</w:t>
            </w:r>
            <w:r w:rsidR="00DD5642">
              <w:rPr>
                <w:lang w:val="lv-LV"/>
              </w:rPr>
              <w:t>s ir</w:t>
            </w:r>
            <w:r w:rsidR="006A29A5">
              <w:rPr>
                <w:lang w:val="lv-LV"/>
              </w:rPr>
              <w:t xml:space="preserve"> mežacūkas</w:t>
            </w:r>
            <w:r w:rsidRPr="00E312B1">
              <w:rPr>
                <w:lang w:val="lv-LV"/>
              </w:rPr>
              <w:t>.</w:t>
            </w:r>
            <w:r w:rsidR="00756A4F">
              <w:rPr>
                <w:lang w:val="lv-LV"/>
              </w:rPr>
              <w:t xml:space="preserve"> Kopējais reģistrētais mājas cūku skaits </w:t>
            </w:r>
            <w:r w:rsidR="00C836E4">
              <w:rPr>
                <w:lang w:val="lv-LV"/>
              </w:rPr>
              <w:t>–</w:t>
            </w:r>
            <w:r w:rsidR="00756A4F">
              <w:rPr>
                <w:lang w:val="lv-LV"/>
              </w:rPr>
              <w:t xml:space="preserve"> 285 886, bet kopējais reģistrētais mežacūku skaits – 904.</w:t>
            </w:r>
          </w:p>
        </w:tc>
      </w:tr>
      <w:tr w:rsidR="005D73DE" w:rsidRPr="00CA52C8" w14:paraId="499538A4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4A12E7" w14:textId="77777777"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C3D2DB" w14:textId="77777777"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7CD21B" w14:textId="3BCED702" w:rsidR="00307454" w:rsidRPr="00E04435" w:rsidRDefault="00855B0F" w:rsidP="00913F3A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E7DED">
              <w:rPr>
                <w:lang w:val="lv-LV"/>
              </w:rPr>
              <w:t>rojekts šo jomu neskar.</w:t>
            </w:r>
            <w:r w:rsidR="00913F3A" w:rsidRPr="00913F3A">
              <w:rPr>
                <w:lang w:val="lv-LV"/>
              </w:rPr>
              <w:t xml:space="preserve"> Projekts mazina slogu uzņēmējiem, jo paredz noteikt plašākas </w:t>
            </w:r>
            <w:r w:rsidR="00913F3A">
              <w:rPr>
                <w:bCs/>
                <w:lang w:val="lv-LV"/>
              </w:rPr>
              <w:t>dzīvnieku izcelsmes blakusproduktu pārstrādes iespējas.</w:t>
            </w:r>
          </w:p>
        </w:tc>
      </w:tr>
      <w:tr w:rsidR="005D73DE" w:rsidRPr="002A39FB" w14:paraId="2C73D35F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AAB574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002717" w14:textId="77777777"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CE8723F" w14:textId="091B4730" w:rsidR="002C59C1" w:rsidRPr="009E2709" w:rsidRDefault="00855B0F" w:rsidP="00855B0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603F7B" w:rsidRPr="00603F7B">
              <w:rPr>
                <w:lang w:val="lv-LV"/>
              </w:rPr>
              <w:t>rojekts šo jomu neskar.</w:t>
            </w:r>
          </w:p>
        </w:tc>
      </w:tr>
      <w:tr w:rsidR="005D73DE" w:rsidRPr="009E2709" w14:paraId="73BF8635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80C058" w14:textId="77777777"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5FF232" w14:textId="77777777"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DB3651" w14:textId="77777777"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54833AD2" w14:textId="1D950351" w:rsidR="008F576B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 xml:space="preserve">sadaļa </w:t>
      </w:r>
      <w:r w:rsidR="00E51A87">
        <w:rPr>
          <w:i/>
          <w:lang w:val="lv-LV" w:eastAsia="lv-LV"/>
        </w:rPr>
        <w:t xml:space="preserve">un V sadaļas 2. tabula </w:t>
      </w:r>
      <w:r w:rsidRPr="00E312B1">
        <w:rPr>
          <w:i/>
          <w:lang w:val="lv-LV" w:eastAsia="lv-LV"/>
        </w:rPr>
        <w:t>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905"/>
        <w:gridCol w:w="2456"/>
        <w:gridCol w:w="1968"/>
        <w:gridCol w:w="2239"/>
      </w:tblGrid>
      <w:tr w:rsidR="005D73DE" w:rsidRPr="002A39FB" w14:paraId="13098274" w14:textId="77777777" w:rsidTr="00CA52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974706B" w14:textId="77777777" w:rsidR="009E04D3" w:rsidRPr="009E270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2745B0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CA52C8" w14:paraId="13FBB8CD" w14:textId="77777777" w:rsidTr="00CA52C8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E5DDA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3597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29AC9" w14:textId="77777777" w:rsidR="00E848B4" w:rsidRDefault="00C14BAF" w:rsidP="002B3293">
            <w:pPr>
              <w:jc w:val="both"/>
              <w:rPr>
                <w:lang w:val="lv-LV"/>
              </w:rPr>
            </w:pPr>
            <w:r w:rsidRPr="00EB4AE1">
              <w:rPr>
                <w:lang w:val="lv-LV"/>
              </w:rPr>
              <w:t>Noteikumu projektā iekļautas tiesību normas, kas izriet no</w:t>
            </w:r>
            <w:r w:rsidR="00E848B4">
              <w:rPr>
                <w:lang w:val="lv-LV"/>
              </w:rPr>
              <w:t>:</w:t>
            </w:r>
          </w:p>
          <w:p w14:paraId="1EA7FBA6" w14:textId="3DB7A018" w:rsidR="00B11E53" w:rsidRPr="00B861A1" w:rsidRDefault="00E848B4" w:rsidP="002B3293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1)</w:t>
            </w:r>
            <w:r w:rsidR="00712C48" w:rsidRPr="00712C48">
              <w:rPr>
                <w:lang w:val="lv-LV"/>
              </w:rPr>
              <w:t xml:space="preserve"> </w:t>
            </w:r>
            <w:r w:rsidR="002B3293" w:rsidRPr="00B861A1">
              <w:rPr>
                <w:bCs/>
                <w:lang w:val="lv-LV"/>
              </w:rPr>
              <w:t>Komisijas 2016. gada 30. septembra Īstenošanas lēmuma (ES) 2016/1771, ar ko attiecībā uz ierakstiem par Lietuvu un Poliju groza pielikumu Īstenošanas lēmumam 2014/709/ES par dzīvnieku veselības kontroles pasākumiem saistībā ar Āfrikas cūku mēri dažās dalībvalstīs</w:t>
            </w:r>
            <w:r>
              <w:rPr>
                <w:bCs/>
                <w:lang w:val="lv-LV"/>
              </w:rPr>
              <w:t>;</w:t>
            </w:r>
          </w:p>
          <w:p w14:paraId="2895C037" w14:textId="282C79BB" w:rsidR="00B861A1" w:rsidRPr="00D03677" w:rsidRDefault="00E848B4" w:rsidP="00AA4A7D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2)</w:t>
            </w:r>
            <w:r w:rsidRPr="00E848B4">
              <w:rPr>
                <w:lang w:val="lv-LV"/>
              </w:rPr>
              <w:t xml:space="preserve"> </w:t>
            </w:r>
            <w:r w:rsidRPr="00E848B4">
              <w:rPr>
                <w:bCs/>
                <w:lang w:val="lv-LV"/>
              </w:rPr>
              <w:t xml:space="preserve">Komisijas 2016. gada 26. oktobra </w:t>
            </w:r>
            <w:r>
              <w:rPr>
                <w:bCs/>
                <w:lang w:val="lv-LV"/>
              </w:rPr>
              <w:t>Īstenošanas lēmuma</w:t>
            </w:r>
            <w:r w:rsidRPr="00E848B4">
              <w:rPr>
                <w:bCs/>
                <w:lang w:val="lv-LV"/>
              </w:rPr>
              <w:t xml:space="preserve"> </w:t>
            </w:r>
            <w:r w:rsidR="006C4C6D" w:rsidRPr="006C4C6D">
              <w:rPr>
                <w:bCs/>
                <w:lang w:val="lv-LV"/>
              </w:rPr>
              <w:t>2016/</w:t>
            </w:r>
            <w:r w:rsidR="00AA4A7D" w:rsidRPr="006C4C6D">
              <w:rPr>
                <w:bCs/>
                <w:lang w:val="lv-LV"/>
              </w:rPr>
              <w:t>1</w:t>
            </w:r>
            <w:r w:rsidR="00AA4A7D">
              <w:rPr>
                <w:bCs/>
                <w:lang w:val="lv-LV"/>
              </w:rPr>
              <w:t>900</w:t>
            </w:r>
            <w:r w:rsidR="006C4C6D" w:rsidRPr="006C4C6D">
              <w:rPr>
                <w:bCs/>
                <w:lang w:val="lv-LV"/>
              </w:rPr>
              <w:t>/ES</w:t>
            </w:r>
            <w:r w:rsidR="00150845">
              <w:rPr>
                <w:bCs/>
                <w:lang w:val="lv-LV"/>
              </w:rPr>
              <w:t>,</w:t>
            </w:r>
            <w:r w:rsidR="006C4C6D" w:rsidRPr="006C4C6D">
              <w:rPr>
                <w:bCs/>
                <w:lang w:val="lv-LV"/>
              </w:rPr>
              <w:t xml:space="preserve"> </w:t>
            </w:r>
            <w:r w:rsidRPr="00E848B4">
              <w:rPr>
                <w:bCs/>
                <w:lang w:val="lv-LV"/>
              </w:rPr>
              <w:t xml:space="preserve">ar ko attiecībā uz ierakstiem par Igauniju, Latviju un Poliju groza pielikumu Īstenošanas lēmumam 2014/709/ES par </w:t>
            </w:r>
            <w:r w:rsidRPr="00E848B4">
              <w:rPr>
                <w:bCs/>
                <w:lang w:val="lv-LV"/>
              </w:rPr>
              <w:lastRenderedPageBreak/>
              <w:t>dzīvnieku veselības kontroles pasākumiem saistībā ar Āfrikas cūku mēri dažās dalībvalstīs.</w:t>
            </w:r>
          </w:p>
        </w:tc>
      </w:tr>
      <w:tr w:rsidR="005D73DE" w:rsidRPr="00F20442" w14:paraId="1FE8B462" w14:textId="77777777" w:rsidTr="00CA52C8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D5A81" w14:textId="6DF8F01A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2.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5CC06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0CEC1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14:paraId="0D4D0F32" w14:textId="77777777" w:rsidTr="00CA52C8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C727" w14:textId="77777777"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0FBCF" w14:textId="77777777"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90977" w14:textId="77777777"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2A39FB" w14:paraId="641B795A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5"/>
            <w:vAlign w:val="center"/>
          </w:tcPr>
          <w:p w14:paraId="604CB965" w14:textId="77777777"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14:paraId="7A71356C" w14:textId="77777777"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CA52C8" w14:paraId="0BE409B4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14:paraId="0D0B5B1F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t>Attiecīgā ES tiesību akta datums, numurs un nosaukums</w:t>
            </w:r>
          </w:p>
        </w:tc>
        <w:tc>
          <w:tcPr>
            <w:tcW w:w="3676" w:type="pct"/>
            <w:gridSpan w:val="3"/>
          </w:tcPr>
          <w:p w14:paraId="3FBA5521" w14:textId="77777777" w:rsidR="00AB2EE0" w:rsidRDefault="002B3293" w:rsidP="00604F22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B861A1">
              <w:rPr>
                <w:bCs/>
              </w:rPr>
              <w:t>Komisijas 2016. gada 30. septembra Īstenošanas lēmums (ES) 2016/1771, ar ko attiecībā uz ierakstiem par Lietuvu un Poliju groza pielikumu Īstenošanas lēmumam 2014/709/ES par dzīvnieku veselības kontroles pasākumiem saistībā ar Āfrikas cūku mēri dažās dalībvalstīs</w:t>
            </w:r>
            <w:r w:rsidRPr="002B3293">
              <w:rPr>
                <w:b/>
                <w:bCs/>
              </w:rPr>
              <w:t xml:space="preserve"> </w:t>
            </w:r>
            <w:r w:rsidR="00D03677">
              <w:rPr>
                <w:bCs/>
              </w:rPr>
              <w:t>(turpm</w:t>
            </w:r>
            <w:r w:rsidR="00B11E53">
              <w:rPr>
                <w:bCs/>
              </w:rPr>
              <w:t>āk – Īstenošanas lēmums 2016/177</w:t>
            </w:r>
            <w:r w:rsidR="00D03677">
              <w:rPr>
                <w:bCs/>
              </w:rPr>
              <w:t>1/ES)</w:t>
            </w:r>
            <w:r w:rsidR="00712C48" w:rsidRPr="00712C48">
              <w:rPr>
                <w:bCs/>
              </w:rPr>
              <w:t>.</w:t>
            </w:r>
          </w:p>
          <w:p w14:paraId="07B37D8C" w14:textId="30BC88D8" w:rsidR="004919FF" w:rsidRPr="00E848B4" w:rsidRDefault="00E848B4" w:rsidP="00AA4A7D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E848B4">
              <w:rPr>
                <w:bCs/>
              </w:rPr>
              <w:t xml:space="preserve">Komisijas 2016. gada 26. oktobra Īstenošanas lēmums </w:t>
            </w:r>
            <w:r w:rsidR="006C4C6D">
              <w:rPr>
                <w:bCs/>
              </w:rPr>
              <w:t xml:space="preserve">(ES) </w:t>
            </w:r>
            <w:r w:rsidR="006C4C6D" w:rsidRPr="006C4C6D">
              <w:rPr>
                <w:bCs/>
              </w:rPr>
              <w:t>2016/</w:t>
            </w:r>
            <w:r w:rsidR="00AA4A7D" w:rsidRPr="006C4C6D">
              <w:rPr>
                <w:bCs/>
              </w:rPr>
              <w:t>1</w:t>
            </w:r>
            <w:r w:rsidR="00AA4A7D">
              <w:rPr>
                <w:bCs/>
              </w:rPr>
              <w:t>900</w:t>
            </w:r>
            <w:r w:rsidR="00150845">
              <w:rPr>
                <w:bCs/>
              </w:rPr>
              <w:t>,</w:t>
            </w:r>
            <w:r w:rsidR="006C4C6D" w:rsidRPr="006C4C6D">
              <w:rPr>
                <w:bCs/>
              </w:rPr>
              <w:t xml:space="preserve"> </w:t>
            </w:r>
            <w:r w:rsidRPr="00E848B4">
              <w:rPr>
                <w:bCs/>
              </w:rPr>
              <w:t xml:space="preserve">ar ko attiecībā uz ierakstiem par Igauniju, Latviju un Poliju groza pielikumu Īstenošanas lēmumam 2014/709/ES par dzīvnieku veselības kontroles pasākumiem saistībā ar Āfrikas cūku mēri dažās dalībvalstīs (turpmāk – Īstenošanas lēmums </w:t>
            </w:r>
            <w:r w:rsidR="006C4C6D" w:rsidRPr="006C4C6D">
              <w:rPr>
                <w:bCs/>
              </w:rPr>
              <w:t>2016/</w:t>
            </w:r>
            <w:r w:rsidR="00AA4A7D" w:rsidRPr="006C4C6D">
              <w:rPr>
                <w:bCs/>
              </w:rPr>
              <w:t>1</w:t>
            </w:r>
            <w:r w:rsidR="00AA4A7D">
              <w:rPr>
                <w:bCs/>
              </w:rPr>
              <w:t>900</w:t>
            </w:r>
            <w:r w:rsidR="006C4C6D" w:rsidRPr="006C4C6D">
              <w:rPr>
                <w:bCs/>
              </w:rPr>
              <w:t>/ES</w:t>
            </w:r>
            <w:r w:rsidRPr="00E848B4">
              <w:rPr>
                <w:bCs/>
              </w:rPr>
              <w:t>).</w:t>
            </w:r>
          </w:p>
        </w:tc>
      </w:tr>
      <w:tr w:rsidR="005D73DE" w:rsidRPr="00384CF4" w14:paraId="1A6926A7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14:paraId="4654E774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355" w:type="pct"/>
            <w:vAlign w:val="center"/>
          </w:tcPr>
          <w:p w14:paraId="4240154C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6" w:type="pct"/>
            <w:vAlign w:val="center"/>
          </w:tcPr>
          <w:p w14:paraId="2F7DDB6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5" w:type="pct"/>
            <w:vAlign w:val="center"/>
          </w:tcPr>
          <w:p w14:paraId="0A55D8C1" w14:textId="77777777"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CA52C8" w14:paraId="74C10CF6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</w:tcPr>
          <w:p w14:paraId="4EFC9388" w14:textId="77777777"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</w:tcPr>
          <w:p w14:paraId="4AB4B175" w14:textId="77777777"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6" w:type="pct"/>
          </w:tcPr>
          <w:p w14:paraId="1108A24F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13476B25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14:paraId="35E637FE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14:paraId="5BFEE509" w14:textId="77777777"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14:paraId="5CA57B56" w14:textId="77777777"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14:paraId="53796FC0" w14:textId="77777777"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12946" w:rsidRPr="00CA52C8" w14:paraId="72FA0E58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D1B2F02" w14:textId="4BDAA075" w:rsidR="00812946" w:rsidRPr="00374518" w:rsidRDefault="006C4C6D" w:rsidP="00AA4A7D">
            <w:pPr>
              <w:jc w:val="both"/>
              <w:rPr>
                <w:bCs/>
                <w:lang w:val="lv-LV"/>
              </w:rPr>
            </w:pPr>
            <w:r w:rsidRPr="006C4C6D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s</w:t>
            </w:r>
            <w:r w:rsidRPr="006C4C6D">
              <w:rPr>
                <w:bCs/>
                <w:lang w:val="lv-LV"/>
              </w:rPr>
              <w:t xml:space="preserve"> 2016/</w:t>
            </w:r>
            <w:r w:rsidR="00AA4A7D" w:rsidRPr="006C4C6D">
              <w:rPr>
                <w:bCs/>
                <w:lang w:val="lv-LV"/>
              </w:rPr>
              <w:t>1</w:t>
            </w:r>
            <w:r w:rsidR="00AA4A7D">
              <w:rPr>
                <w:bCs/>
                <w:lang w:val="lv-LV"/>
              </w:rPr>
              <w:t>900</w:t>
            </w:r>
            <w:r w:rsidRPr="006C4C6D">
              <w:rPr>
                <w:bCs/>
                <w:lang w:val="lv-LV"/>
              </w:rPr>
              <w:t>/ES</w:t>
            </w:r>
          </w:p>
        </w:tc>
        <w:tc>
          <w:tcPr>
            <w:tcW w:w="1355" w:type="pct"/>
            <w:vAlign w:val="center"/>
          </w:tcPr>
          <w:p w14:paraId="06E71A19" w14:textId="6E774CC5" w:rsidR="00812946" w:rsidRDefault="00031FB2" w:rsidP="006C4C6D">
            <w:pPr>
              <w:pStyle w:val="naiskr"/>
              <w:spacing w:before="0" w:beforeAutospacing="0" w:after="0" w:afterAutospacing="0"/>
              <w:jc w:val="both"/>
            </w:pPr>
            <w:r>
              <w:t>N</w:t>
            </w:r>
            <w:r w:rsidR="001B6C24">
              <w:t>oteikumu projekta 2.</w:t>
            </w:r>
            <w:r w:rsidR="00C836E4">
              <w:t>–</w:t>
            </w:r>
            <w:r w:rsidR="006C4C6D">
              <w:t>13.</w:t>
            </w:r>
            <w:r w:rsidR="00D03677">
              <w:t xml:space="preserve"> </w:t>
            </w:r>
            <w:r w:rsidR="00FF1C00">
              <w:t>punkts</w:t>
            </w:r>
            <w:r w:rsidR="006C4C6D">
              <w:t>, 15.</w:t>
            </w:r>
            <w:r w:rsidR="00A264CC" w:rsidRPr="00A264CC">
              <w:t>–</w:t>
            </w:r>
            <w:r w:rsidR="006C4C6D">
              <w:t xml:space="preserve">17. punkts, </w:t>
            </w:r>
            <w:r w:rsidR="00A264CC">
              <w:t>20.</w:t>
            </w:r>
            <w:r w:rsidR="00A264CC" w:rsidRPr="00A264CC">
              <w:t>–</w:t>
            </w:r>
            <w:r w:rsidR="00A264CC">
              <w:t>24. punkts</w:t>
            </w:r>
            <w:r w:rsidR="00FF1C00">
              <w:t xml:space="preserve"> un 2</w:t>
            </w:r>
            <w:r w:rsidR="006C4C6D">
              <w:t>6</w:t>
            </w:r>
            <w:r w:rsidR="00FF1C00">
              <w:t>.</w:t>
            </w:r>
            <w:r w:rsidR="00C836E4">
              <w:t>–</w:t>
            </w:r>
            <w:r w:rsidR="006C4C6D">
              <w:t>30</w:t>
            </w:r>
            <w:r w:rsidR="00D03677">
              <w:t>. punkts</w:t>
            </w:r>
          </w:p>
        </w:tc>
        <w:tc>
          <w:tcPr>
            <w:tcW w:w="1086" w:type="pct"/>
          </w:tcPr>
          <w:p w14:paraId="6AE0F7AA" w14:textId="77777777" w:rsidR="00812946" w:rsidRPr="005A2A04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FB3F9C">
              <w:t>ES tiesību akta vienība tiek ieviesta pilnībā.</w:t>
            </w:r>
          </w:p>
        </w:tc>
        <w:tc>
          <w:tcPr>
            <w:tcW w:w="1235" w:type="pct"/>
          </w:tcPr>
          <w:p w14:paraId="538A12A4" w14:textId="77777777" w:rsidR="00812946" w:rsidRPr="00812946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812946">
              <w:t>Attiecīgais noteikumu projekta punkts neparedz stingrākas prasības kā ES tiesību aktā.</w:t>
            </w:r>
          </w:p>
        </w:tc>
      </w:tr>
      <w:tr w:rsidR="001B6C24" w:rsidRPr="00CA52C8" w14:paraId="0167CAB6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404759B" w14:textId="1A4176FE" w:rsidR="001B6C24" w:rsidRDefault="00FF1C00" w:rsidP="00E73EB6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Īstenošanas lēmuma 2016/1771/ES pielikums</w:t>
            </w:r>
          </w:p>
        </w:tc>
        <w:tc>
          <w:tcPr>
            <w:tcW w:w="1355" w:type="pct"/>
            <w:vAlign w:val="center"/>
          </w:tcPr>
          <w:p w14:paraId="5A2073A7" w14:textId="2488602E" w:rsidR="001B6C24" w:rsidRDefault="00031FB2" w:rsidP="00CD093E">
            <w:pPr>
              <w:pStyle w:val="naiskr"/>
              <w:spacing w:before="0" w:beforeAutospacing="0" w:after="0" w:afterAutospacing="0"/>
              <w:jc w:val="both"/>
            </w:pPr>
            <w:r>
              <w:t>N</w:t>
            </w:r>
            <w:r w:rsidR="001B6C24">
              <w:t>oteikumu projekta 2</w:t>
            </w:r>
            <w:r w:rsidR="006C4C6D">
              <w:t>5</w:t>
            </w:r>
            <w:r w:rsidR="001B6C24">
              <w:t>.</w:t>
            </w:r>
            <w:r w:rsidR="00C836E4">
              <w:t> </w:t>
            </w:r>
            <w:r w:rsidR="001B6C24">
              <w:t>punkts</w:t>
            </w:r>
          </w:p>
        </w:tc>
        <w:tc>
          <w:tcPr>
            <w:tcW w:w="1086" w:type="pct"/>
          </w:tcPr>
          <w:p w14:paraId="2A01BE49" w14:textId="6DF0D764" w:rsidR="001B6C24" w:rsidRPr="00FB3F9C" w:rsidRDefault="00FF1C00" w:rsidP="005D73DE">
            <w:pPr>
              <w:pStyle w:val="naiskr"/>
              <w:spacing w:before="0" w:beforeAutospacing="0" w:after="0" w:afterAutospacing="0"/>
              <w:jc w:val="both"/>
            </w:pPr>
            <w:r w:rsidRPr="00BE4097">
              <w:t>ES tiesību akta vienība tiek ieviesta pilnībā.</w:t>
            </w:r>
          </w:p>
        </w:tc>
        <w:tc>
          <w:tcPr>
            <w:tcW w:w="1235" w:type="pct"/>
          </w:tcPr>
          <w:p w14:paraId="1FEDD096" w14:textId="6D231A11" w:rsidR="001B6C24" w:rsidRPr="00FF1C00" w:rsidRDefault="00FF1C00" w:rsidP="005D73DE">
            <w:pPr>
              <w:pStyle w:val="naiskr"/>
              <w:spacing w:before="0" w:beforeAutospacing="0" w:after="0" w:afterAutospacing="0"/>
              <w:jc w:val="both"/>
            </w:pPr>
            <w:r w:rsidRPr="00FF1C00">
              <w:t>Attiecīgais noteikumu projekta punkts neparedz stingrākas prasības kā ES tiesību aktā.</w:t>
            </w:r>
          </w:p>
        </w:tc>
      </w:tr>
      <w:tr w:rsidR="00812946" w:rsidRPr="00CA52C8" w14:paraId="2817A8D7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14:paraId="7E052DF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 ir izmantota ES tiesību aktā paredzētā rīcības brīvība dalībvalstij pārņemt vai 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676" w:type="pct"/>
            <w:gridSpan w:val="3"/>
          </w:tcPr>
          <w:p w14:paraId="27C1616E" w14:textId="0930F146" w:rsidR="00812946" w:rsidRPr="00447AAF" w:rsidRDefault="00812946" w:rsidP="00712C48">
            <w:pPr>
              <w:pStyle w:val="naiskr"/>
              <w:spacing w:before="0" w:beforeAutospacing="0" w:after="0" w:afterAutospacing="0"/>
              <w:jc w:val="both"/>
            </w:pPr>
          </w:p>
          <w:p w14:paraId="2B4B72AA" w14:textId="1D4A881D" w:rsidR="006C4C6D" w:rsidRPr="006C4C6D" w:rsidRDefault="006C4C6D" w:rsidP="006C4C6D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Īstenošanas lēmumā</w:t>
            </w:r>
            <w:r w:rsidRPr="006C4C6D">
              <w:rPr>
                <w:bCs/>
              </w:rPr>
              <w:t xml:space="preserve"> 2016/1771/ES un Īstenošanas lēmum</w:t>
            </w:r>
            <w:r>
              <w:rPr>
                <w:bCs/>
              </w:rPr>
              <w:t>ā</w:t>
            </w:r>
            <w:r w:rsidRPr="006C4C6D">
              <w:rPr>
                <w:bCs/>
              </w:rPr>
              <w:t xml:space="preserve"> 2016/</w:t>
            </w:r>
            <w:r w:rsidR="00AA4A7D" w:rsidRPr="006C4C6D">
              <w:rPr>
                <w:bCs/>
              </w:rPr>
              <w:t>1</w:t>
            </w:r>
            <w:r w:rsidR="00AA4A7D">
              <w:rPr>
                <w:bCs/>
              </w:rPr>
              <w:t>900</w:t>
            </w:r>
            <w:r w:rsidRPr="006C4C6D">
              <w:rPr>
                <w:bCs/>
              </w:rPr>
              <w:t>/ES</w:t>
            </w:r>
            <w:r>
              <w:rPr>
                <w:bCs/>
              </w:rPr>
              <w:t xml:space="preserve"> </w:t>
            </w:r>
            <w:r w:rsidRPr="006C4C6D">
              <w:rPr>
                <w:bCs/>
              </w:rPr>
              <w:t>nav dota rīcības brīvība dalībvalstij ieviest tiesību normas.</w:t>
            </w:r>
          </w:p>
          <w:p w14:paraId="40C386D0" w14:textId="0E9BDE15" w:rsidR="00812946" w:rsidRPr="006C4C6D" w:rsidRDefault="00812946" w:rsidP="00812946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12946" w:rsidRPr="002A39FB" w14:paraId="03A90807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14:paraId="2EB4FA53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3"/>
          </w:tcPr>
          <w:p w14:paraId="6FF42129" w14:textId="35A4CF41" w:rsidR="00812946" w:rsidRPr="009E2709" w:rsidRDefault="00655E8B" w:rsidP="00655E8B">
            <w:pPr>
              <w:pStyle w:val="naiskr"/>
              <w:spacing w:before="0" w:beforeAutospacing="0" w:after="0" w:afterAutospacing="0"/>
            </w:pPr>
            <w:r>
              <w:t>P</w:t>
            </w:r>
            <w:r w:rsidR="00812946">
              <w:t>rojekts šo jomu neskar.</w:t>
            </w:r>
          </w:p>
        </w:tc>
      </w:tr>
      <w:tr w:rsidR="00812946" w:rsidRPr="009E2709" w14:paraId="4442D16B" w14:textId="77777777" w:rsidTr="00CA52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1" w:type="pct"/>
            <w:gridSpan w:val="2"/>
          </w:tcPr>
          <w:p w14:paraId="06A597D7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676" w:type="pct"/>
            <w:gridSpan w:val="3"/>
          </w:tcPr>
          <w:p w14:paraId="19BEB56D" w14:textId="77777777" w:rsidR="00812946" w:rsidRPr="009E2709" w:rsidRDefault="00812946" w:rsidP="0081294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5268BFE6" w14:textId="77777777" w:rsidR="009E04D3" w:rsidRDefault="009E04D3" w:rsidP="005D73DE">
      <w:pPr>
        <w:rPr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119"/>
        <w:gridCol w:w="4385"/>
      </w:tblGrid>
      <w:tr w:rsidR="00106A29" w:rsidRPr="00CA52C8" w14:paraId="0E39B9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6C614" w14:textId="77777777" w:rsidR="00106A29" w:rsidRPr="00106A29" w:rsidRDefault="00106A29" w:rsidP="00A81B93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CA52C8" w14:paraId="6046D08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79B5F5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272" w:type="pct"/>
          </w:tcPr>
          <w:p w14:paraId="7EA6996C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858C33D" w14:textId="4F5491AF" w:rsidR="00106A29" w:rsidRPr="009E2709" w:rsidRDefault="00CB0881" w:rsidP="00AA4A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CB0881">
              <w:rPr>
                <w:lang w:val="lv-LV"/>
              </w:rPr>
              <w:t>abiedr</w:t>
            </w:r>
            <w:r>
              <w:rPr>
                <w:lang w:val="lv-LV"/>
              </w:rPr>
              <w:t xml:space="preserve">ības </w:t>
            </w:r>
            <w:r w:rsidRPr="00CB0881">
              <w:rPr>
                <w:lang w:val="lv-LV"/>
              </w:rPr>
              <w:t xml:space="preserve">līdzdalība nav nepieciešama, jo </w:t>
            </w:r>
            <w:r>
              <w:rPr>
                <w:lang w:val="lv-LV"/>
              </w:rPr>
              <w:t xml:space="preserve">noteikumu projekts </w:t>
            </w:r>
            <w:r w:rsidRPr="00CB0881">
              <w:rPr>
                <w:lang w:val="lv-LV"/>
              </w:rPr>
              <w:t xml:space="preserve">tehniski pārņem </w:t>
            </w:r>
            <w:r w:rsidR="00B11E53">
              <w:rPr>
                <w:bCs/>
                <w:lang w:val="lv-LV"/>
              </w:rPr>
              <w:t>Īstenošanas lēmuma 2016/177</w:t>
            </w:r>
            <w:r w:rsidRPr="00CB0881">
              <w:rPr>
                <w:bCs/>
                <w:lang w:val="lv-LV"/>
              </w:rPr>
              <w:t xml:space="preserve">1/ES </w:t>
            </w:r>
            <w:r w:rsidR="00CC78D2">
              <w:rPr>
                <w:bCs/>
                <w:lang w:val="lv-LV"/>
              </w:rPr>
              <w:t xml:space="preserve">un Īstenošanas lēmuma </w:t>
            </w:r>
            <w:r w:rsidR="006C4C6D" w:rsidRPr="006C4C6D">
              <w:rPr>
                <w:bCs/>
                <w:lang w:val="lv-LV"/>
              </w:rPr>
              <w:t>2016/</w:t>
            </w:r>
            <w:r w:rsidR="00AA4A7D" w:rsidRPr="006C4C6D">
              <w:rPr>
                <w:bCs/>
                <w:lang w:val="lv-LV"/>
              </w:rPr>
              <w:t>1</w:t>
            </w:r>
            <w:r w:rsidR="00AA4A7D">
              <w:rPr>
                <w:bCs/>
                <w:lang w:val="lv-LV"/>
              </w:rPr>
              <w:t>900</w:t>
            </w:r>
            <w:r w:rsidR="006C4C6D" w:rsidRPr="006C4C6D">
              <w:rPr>
                <w:bCs/>
                <w:lang w:val="lv-LV"/>
              </w:rPr>
              <w:t xml:space="preserve">/ES </w:t>
            </w:r>
            <w:r w:rsidRPr="00CB0881">
              <w:rPr>
                <w:lang w:val="lv-LV"/>
              </w:rPr>
              <w:t>normas</w:t>
            </w:r>
            <w:r>
              <w:rPr>
                <w:lang w:val="lv-LV"/>
              </w:rPr>
              <w:t>.</w:t>
            </w:r>
            <w:r w:rsidRPr="00CB0881">
              <w:rPr>
                <w:lang w:val="lv-LV"/>
              </w:rPr>
              <w:t xml:space="preserve"> </w:t>
            </w:r>
          </w:p>
        </w:tc>
      </w:tr>
      <w:tr w:rsidR="00106A29" w:rsidRPr="00E73EB6" w14:paraId="4C28B9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7B9BA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2272" w:type="pct"/>
          </w:tcPr>
          <w:p w14:paraId="4B31F86F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2419" w:type="pct"/>
          </w:tcPr>
          <w:p w14:paraId="5714986F" w14:textId="0EAFB104" w:rsidR="00E51A87" w:rsidRPr="009E2709" w:rsidRDefault="0078718E" w:rsidP="0078718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>
              <w:rPr>
                <w:lang w:val="en-GB"/>
              </w:rPr>
              <w:t>P</w:t>
            </w:r>
            <w:r w:rsidR="00CB0881" w:rsidRPr="00CB0881">
              <w:rPr>
                <w:lang w:val="en-GB"/>
              </w:rPr>
              <w:t>rojekts</w:t>
            </w:r>
            <w:proofErr w:type="spellEnd"/>
            <w:r w:rsidR="00CB0881" w:rsidRPr="00CB0881">
              <w:rPr>
                <w:lang w:val="en-GB"/>
              </w:rPr>
              <w:t xml:space="preserve"> </w:t>
            </w:r>
            <w:proofErr w:type="spellStart"/>
            <w:r w:rsidR="00CB0881" w:rsidRPr="00CB0881">
              <w:rPr>
                <w:lang w:val="en-GB"/>
              </w:rPr>
              <w:t>šo</w:t>
            </w:r>
            <w:proofErr w:type="spellEnd"/>
            <w:r w:rsidR="00CB0881" w:rsidRPr="00CB0881">
              <w:rPr>
                <w:lang w:val="en-GB"/>
              </w:rPr>
              <w:t xml:space="preserve"> </w:t>
            </w:r>
            <w:proofErr w:type="spellStart"/>
            <w:r w:rsidR="00CB0881" w:rsidRPr="00CB0881">
              <w:rPr>
                <w:lang w:val="en-GB"/>
              </w:rPr>
              <w:t>jomu</w:t>
            </w:r>
            <w:proofErr w:type="spellEnd"/>
            <w:r w:rsidR="00CB0881" w:rsidRPr="00CB0881">
              <w:rPr>
                <w:lang w:val="en-GB"/>
              </w:rPr>
              <w:t xml:space="preserve"> </w:t>
            </w:r>
            <w:proofErr w:type="spellStart"/>
            <w:r w:rsidR="00CB0881" w:rsidRPr="00CB0881">
              <w:rPr>
                <w:lang w:val="en-GB"/>
              </w:rPr>
              <w:t>neskar</w:t>
            </w:r>
            <w:proofErr w:type="spellEnd"/>
            <w:r w:rsidR="00CB0881" w:rsidRPr="00CB0881">
              <w:rPr>
                <w:lang w:val="en-GB"/>
              </w:rPr>
              <w:t>.</w:t>
            </w:r>
          </w:p>
        </w:tc>
      </w:tr>
      <w:tr w:rsidR="00106A29" w:rsidRPr="002A39FB" w14:paraId="1588DD8F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5163779E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2272" w:type="pct"/>
          </w:tcPr>
          <w:p w14:paraId="6FF0CBFA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2419" w:type="pct"/>
          </w:tcPr>
          <w:p w14:paraId="03CE1F06" w14:textId="0526B1AF" w:rsidR="00106A29" w:rsidRPr="009E2709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lang w:val="en-GB"/>
              </w:rPr>
              <w:t>P</w:t>
            </w:r>
            <w:r w:rsidR="00CB0881" w:rsidRPr="00CB0881">
              <w:rPr>
                <w:rFonts w:eastAsia="Arial Unicode MS"/>
                <w:lang w:val="en-GB"/>
              </w:rPr>
              <w:t>rojekts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="00CB0881" w:rsidRPr="00CB0881">
              <w:rPr>
                <w:rFonts w:eastAsia="Arial Unicode MS"/>
                <w:lang w:val="en-GB"/>
              </w:rPr>
              <w:t>šo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="00CB0881" w:rsidRPr="00CB0881">
              <w:rPr>
                <w:rFonts w:eastAsia="Arial Unicode MS"/>
                <w:lang w:val="en-GB"/>
              </w:rPr>
              <w:t>jomu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 xml:space="preserve"> </w:t>
            </w:r>
            <w:proofErr w:type="spellStart"/>
            <w:r w:rsidR="00CB0881" w:rsidRPr="00CB0881">
              <w:rPr>
                <w:rFonts w:eastAsia="Arial Unicode MS"/>
                <w:lang w:val="en-GB"/>
              </w:rPr>
              <w:t>neskar</w:t>
            </w:r>
            <w:proofErr w:type="spellEnd"/>
            <w:r w:rsidR="00CB0881" w:rsidRPr="00CB0881">
              <w:rPr>
                <w:rFonts w:eastAsia="Arial Unicode MS"/>
                <w:lang w:val="en-GB"/>
              </w:rPr>
              <w:t>.</w:t>
            </w:r>
          </w:p>
        </w:tc>
      </w:tr>
      <w:tr w:rsidR="00106A29" w:rsidRPr="00E51A87" w14:paraId="3E622448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3EA8692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</w:pPr>
            <w:r w:rsidRPr="009E2709">
              <w:t>4.</w:t>
            </w:r>
          </w:p>
        </w:tc>
        <w:tc>
          <w:tcPr>
            <w:tcW w:w="2272" w:type="pct"/>
          </w:tcPr>
          <w:p w14:paraId="5DD6CB77" w14:textId="77777777" w:rsidR="00106A29" w:rsidRPr="009E2709" w:rsidRDefault="00106A29" w:rsidP="00A81B93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2419" w:type="pct"/>
          </w:tcPr>
          <w:p w14:paraId="14488D51" w14:textId="77777777" w:rsidR="00106A29" w:rsidRPr="009E2709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FB351D" w14:paraId="41BA1681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6BF6A" w14:textId="77777777" w:rsidR="00A162FE" w:rsidRPr="009E270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2745B0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14:paraId="0D616FD2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E3A44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E0FA8" w14:textId="77777777"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7B686A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2A39FB" w14:paraId="5C25A4ED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B7F70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4D5B6" w14:textId="77777777"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22781DC" w14:textId="77777777"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8720" w14:textId="387B4823" w:rsidR="005F1986" w:rsidRPr="009E2709" w:rsidRDefault="00134D78" w:rsidP="00134D78">
            <w:pPr>
              <w:pStyle w:val="naiskr"/>
              <w:spacing w:before="0" w:beforeAutospacing="0" w:after="0" w:afterAutospacing="0"/>
              <w:jc w:val="both"/>
            </w:pPr>
            <w:r>
              <w:t>P</w:t>
            </w:r>
            <w:r w:rsidR="001532AD">
              <w:t>rojekts šo jomu neskar.</w:t>
            </w:r>
          </w:p>
        </w:tc>
      </w:tr>
      <w:tr w:rsidR="005D73DE" w:rsidRPr="009E2709" w14:paraId="6F3BE046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501D3" w14:textId="77777777"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3BA72" w14:textId="77777777"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46321" w14:textId="77777777"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4DB986F" w14:textId="77777777" w:rsidR="00E62AA5" w:rsidRPr="00CA52C8" w:rsidRDefault="00E62AA5" w:rsidP="005D73DE">
      <w:pPr>
        <w:pStyle w:val="naisf"/>
        <w:spacing w:before="0" w:beforeAutospacing="0" w:after="0" w:afterAutospacing="0"/>
        <w:rPr>
          <w:lang w:val="lv-LV"/>
        </w:rPr>
      </w:pPr>
    </w:p>
    <w:p w14:paraId="0228A0C7" w14:textId="77777777" w:rsidR="00CB0881" w:rsidRPr="00CA52C8" w:rsidRDefault="00CB0881" w:rsidP="005D73DE">
      <w:pPr>
        <w:pStyle w:val="naisf"/>
        <w:spacing w:before="0" w:beforeAutospacing="0" w:after="0" w:afterAutospacing="0"/>
        <w:rPr>
          <w:lang w:val="lv-LV"/>
        </w:rPr>
      </w:pPr>
    </w:p>
    <w:p w14:paraId="4773A94C" w14:textId="50AB24F0" w:rsidR="00105AE2" w:rsidRPr="002745B0" w:rsidRDefault="00096D79" w:rsidP="00CA52C8">
      <w:pPr>
        <w:pStyle w:val="Virsraksts1"/>
        <w:keepNext w:val="0"/>
        <w:widowControl w:val="0"/>
        <w:jc w:val="left"/>
        <w:rPr>
          <w:b w:val="0"/>
          <w:sz w:val="24"/>
          <w:szCs w:val="28"/>
        </w:rPr>
      </w:pPr>
      <w:r w:rsidRPr="002745B0">
        <w:rPr>
          <w:b w:val="0"/>
          <w:sz w:val="24"/>
          <w:szCs w:val="28"/>
        </w:rPr>
        <w:t xml:space="preserve">Zemkopības </w:t>
      </w:r>
      <w:r w:rsidR="001532AD" w:rsidRPr="002745B0">
        <w:rPr>
          <w:b w:val="0"/>
          <w:sz w:val="24"/>
          <w:szCs w:val="28"/>
        </w:rPr>
        <w:t>ministrs</w:t>
      </w:r>
      <w:r w:rsidR="00105AE2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A22819" w:rsidRPr="002745B0">
        <w:rPr>
          <w:b w:val="0"/>
          <w:sz w:val="24"/>
          <w:szCs w:val="28"/>
        </w:rPr>
        <w:tab/>
      </w:r>
      <w:r w:rsidR="00CA52C8">
        <w:rPr>
          <w:b w:val="0"/>
          <w:sz w:val="24"/>
          <w:szCs w:val="28"/>
        </w:rPr>
        <w:tab/>
      </w:r>
      <w:r w:rsidR="00CA52C8">
        <w:rPr>
          <w:b w:val="0"/>
          <w:sz w:val="24"/>
          <w:szCs w:val="28"/>
        </w:rPr>
        <w:tab/>
      </w:r>
      <w:r w:rsidR="00105AE2" w:rsidRPr="002745B0">
        <w:rPr>
          <w:b w:val="0"/>
          <w:sz w:val="24"/>
          <w:szCs w:val="28"/>
        </w:rPr>
        <w:tab/>
      </w:r>
      <w:r w:rsidR="007740E5">
        <w:rPr>
          <w:b w:val="0"/>
          <w:sz w:val="24"/>
          <w:szCs w:val="28"/>
        </w:rPr>
        <w:tab/>
      </w:r>
      <w:proofErr w:type="spellStart"/>
      <w:r w:rsidR="001532AD" w:rsidRPr="002745B0">
        <w:rPr>
          <w:b w:val="0"/>
          <w:sz w:val="24"/>
          <w:szCs w:val="28"/>
        </w:rPr>
        <w:t>J.Dūklavs</w:t>
      </w:r>
      <w:proofErr w:type="spellEnd"/>
    </w:p>
    <w:p w14:paraId="50B4DFEE" w14:textId="77777777" w:rsidR="00CA52C8" w:rsidRDefault="00CA52C8" w:rsidP="001532AD">
      <w:pPr>
        <w:jc w:val="both"/>
        <w:rPr>
          <w:sz w:val="20"/>
          <w:szCs w:val="20"/>
          <w:lang w:val="lv-LV"/>
        </w:rPr>
      </w:pPr>
    </w:p>
    <w:p w14:paraId="66B5EB4B" w14:textId="77777777" w:rsidR="00CA52C8" w:rsidRDefault="00CA52C8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14.11.2016. 9:58</w:t>
      </w:r>
    </w:p>
    <w:p w14:paraId="78B75B4C" w14:textId="77777777" w:rsidR="00CA52C8" w:rsidRDefault="00CA52C8" w:rsidP="001532A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1607</w:t>
      </w:r>
      <w:r>
        <w:rPr>
          <w:sz w:val="20"/>
          <w:szCs w:val="20"/>
        </w:rPr>
        <w:fldChar w:fldCharType="end"/>
      </w:r>
    </w:p>
    <w:p w14:paraId="0392E9F4" w14:textId="2D3677AF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bookmarkStart w:id="2" w:name="_GoBack"/>
      <w:bookmarkEnd w:id="2"/>
      <w:r w:rsidRPr="001532AD">
        <w:rPr>
          <w:sz w:val="20"/>
          <w:szCs w:val="20"/>
          <w:lang w:val="lv-LV"/>
        </w:rPr>
        <w:t>O.Vecuma-Veco</w:t>
      </w:r>
    </w:p>
    <w:p w14:paraId="3625F901" w14:textId="77777777"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sectPr w:rsidR="001532AD" w:rsidRPr="001532AD" w:rsidSect="00CA52C8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839C" w14:textId="77777777" w:rsidR="00C72B71" w:rsidRDefault="00C72B71">
      <w:r>
        <w:separator/>
      </w:r>
    </w:p>
  </w:endnote>
  <w:endnote w:type="continuationSeparator" w:id="0">
    <w:p w14:paraId="78E8070E" w14:textId="77777777" w:rsidR="00C72B71" w:rsidRDefault="00C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3EDF" w14:textId="0700A017"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CA52C8">
      <w:rPr>
        <w:sz w:val="20"/>
        <w:szCs w:val="20"/>
        <w:lang w:val="lv-LV"/>
      </w:rPr>
      <w:t>A</w:t>
    </w:r>
    <w:r w:rsidR="00C33628">
      <w:rPr>
        <w:sz w:val="20"/>
        <w:szCs w:val="20"/>
        <w:lang w:val="lv-LV"/>
      </w:rPr>
      <w:t>not_</w:t>
    </w:r>
    <w:r w:rsidR="004625E8">
      <w:rPr>
        <w:sz w:val="20"/>
        <w:szCs w:val="20"/>
        <w:lang w:val="lv-LV"/>
      </w:rPr>
      <w:t>1</w:t>
    </w:r>
    <w:r w:rsidR="009E61BF">
      <w:rPr>
        <w:sz w:val="20"/>
        <w:szCs w:val="20"/>
        <w:lang w:val="lv-LV"/>
      </w:rPr>
      <w:t>4</w:t>
    </w:r>
    <w:r w:rsidR="00CC78D2">
      <w:rPr>
        <w:sz w:val="20"/>
        <w:szCs w:val="20"/>
        <w:lang w:val="lv-LV"/>
      </w:rPr>
      <w:t>11</w:t>
    </w:r>
    <w:r w:rsidRPr="00A17DD9">
      <w:rPr>
        <w:sz w:val="20"/>
        <w:szCs w:val="20"/>
        <w:lang w:val="lv-LV"/>
      </w:rPr>
      <w:t>1</w:t>
    </w:r>
    <w:r w:rsidR="008F6EF8">
      <w:rPr>
        <w:sz w:val="20"/>
        <w:szCs w:val="20"/>
        <w:lang w:val="lv-LV"/>
      </w:rPr>
      <w:t>6</w:t>
    </w:r>
    <w:r>
      <w:rPr>
        <w:sz w:val="20"/>
        <w:szCs w:val="20"/>
        <w:lang w:val="lv-LV"/>
      </w:rPr>
      <w:t>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>„Grozījumi Ministru kabineta 2004.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gada 17.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februāra noteikumos Nr.</w:t>
    </w:r>
    <w:r w:rsidR="002745B0"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13B0" w14:textId="3C863171" w:rsidR="0031149B" w:rsidRPr="001532AD" w:rsidRDefault="0031149B" w:rsidP="00CA52C8">
    <w:pPr>
      <w:pStyle w:val="Kjene"/>
      <w:jc w:val="both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CA52C8">
      <w:rPr>
        <w:rFonts w:ascii="Times New Roman" w:hAnsi="Times New Roman"/>
        <w:sz w:val="20"/>
      </w:rPr>
      <w:t>MA</w:t>
    </w:r>
    <w:r w:rsidR="00C33628">
      <w:rPr>
        <w:rFonts w:ascii="Times New Roman" w:hAnsi="Times New Roman"/>
        <w:sz w:val="20"/>
      </w:rPr>
      <w:t>not_</w:t>
    </w:r>
    <w:r w:rsidR="004625E8">
      <w:rPr>
        <w:rFonts w:ascii="Times New Roman" w:hAnsi="Times New Roman"/>
        <w:sz w:val="20"/>
      </w:rPr>
      <w:t>1</w:t>
    </w:r>
    <w:r w:rsidR="009E61BF">
      <w:rPr>
        <w:rFonts w:ascii="Times New Roman" w:hAnsi="Times New Roman"/>
        <w:sz w:val="20"/>
      </w:rPr>
      <w:t>4</w:t>
    </w:r>
    <w:r w:rsidR="00CC78D2">
      <w:rPr>
        <w:rFonts w:ascii="Times New Roman" w:hAnsi="Times New Roman"/>
        <w:sz w:val="20"/>
      </w:rPr>
      <w:t>11</w:t>
    </w:r>
    <w:r w:rsidR="008F6EF8">
      <w:rPr>
        <w:rFonts w:ascii="Times New Roman" w:hAnsi="Times New Roman"/>
        <w:sz w:val="20"/>
      </w:rPr>
      <w:t>16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>„Grozījumi Ministru kabineta 2004.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gada 17.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februāra noteikumos Nr.</w:t>
    </w:r>
    <w:r w:rsidR="002745B0">
      <w:rPr>
        <w:rFonts w:ascii="Times New Roman" w:hAnsi="Times New Roman"/>
        <w:bCs/>
        <w:sz w:val="20"/>
      </w:rPr>
      <w:t xml:space="preserve"> </w:t>
    </w:r>
    <w:r w:rsidRPr="001532AD">
      <w:rPr>
        <w:rFonts w:ascii="Times New Roman" w:hAnsi="Times New Roman"/>
        <w:bCs/>
        <w:sz w:val="20"/>
      </w:rPr>
      <w:t>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F1934" w14:textId="77777777" w:rsidR="00C72B71" w:rsidRDefault="00C72B71">
      <w:r>
        <w:separator/>
      </w:r>
    </w:p>
  </w:footnote>
  <w:footnote w:type="continuationSeparator" w:id="0">
    <w:p w14:paraId="2661416E" w14:textId="77777777" w:rsidR="00C72B71" w:rsidRDefault="00C7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92FC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6BBBDA4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EA22" w14:textId="00F6B5FB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A52C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0BEE4C1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46FA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66B6"/>
    <w:rsid w:val="00147201"/>
    <w:rsid w:val="00150011"/>
    <w:rsid w:val="00150845"/>
    <w:rsid w:val="0015254E"/>
    <w:rsid w:val="001532AD"/>
    <w:rsid w:val="00153C68"/>
    <w:rsid w:val="0015551E"/>
    <w:rsid w:val="00155B89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4F01"/>
    <w:rsid w:val="0019798B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4904"/>
    <w:rsid w:val="001C5F46"/>
    <w:rsid w:val="001C7CA2"/>
    <w:rsid w:val="001D06A3"/>
    <w:rsid w:val="001D180D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0A1"/>
    <w:rsid w:val="0020639A"/>
    <w:rsid w:val="00210E44"/>
    <w:rsid w:val="00211F0D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1CBC"/>
    <w:rsid w:val="00321CF7"/>
    <w:rsid w:val="00323410"/>
    <w:rsid w:val="0032382E"/>
    <w:rsid w:val="00326D8C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2458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47AAF"/>
    <w:rsid w:val="00452962"/>
    <w:rsid w:val="00453031"/>
    <w:rsid w:val="00454E19"/>
    <w:rsid w:val="00457FF3"/>
    <w:rsid w:val="00460952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641E"/>
    <w:rsid w:val="00486F47"/>
    <w:rsid w:val="00487096"/>
    <w:rsid w:val="004878C7"/>
    <w:rsid w:val="00487CE5"/>
    <w:rsid w:val="00490A06"/>
    <w:rsid w:val="004919FF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420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1B"/>
    <w:rsid w:val="00517314"/>
    <w:rsid w:val="005174AF"/>
    <w:rsid w:val="005206CF"/>
    <w:rsid w:val="00521C50"/>
    <w:rsid w:val="00522F58"/>
    <w:rsid w:val="0052640F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7B70"/>
    <w:rsid w:val="00570BD3"/>
    <w:rsid w:val="00571E48"/>
    <w:rsid w:val="0057206B"/>
    <w:rsid w:val="00572BC9"/>
    <w:rsid w:val="00573715"/>
    <w:rsid w:val="0057449E"/>
    <w:rsid w:val="00575B15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6AF8"/>
    <w:rsid w:val="005A71C2"/>
    <w:rsid w:val="005A7D0E"/>
    <w:rsid w:val="005B0543"/>
    <w:rsid w:val="005B1AAA"/>
    <w:rsid w:val="005B1B7C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9CE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A17"/>
    <w:rsid w:val="00683E47"/>
    <w:rsid w:val="00684DF8"/>
    <w:rsid w:val="0068624D"/>
    <w:rsid w:val="0069043D"/>
    <w:rsid w:val="00691CB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D02E2"/>
    <w:rsid w:val="006D1AD8"/>
    <w:rsid w:val="006D2434"/>
    <w:rsid w:val="006D42DC"/>
    <w:rsid w:val="006D4AD9"/>
    <w:rsid w:val="006D5174"/>
    <w:rsid w:val="006D726E"/>
    <w:rsid w:val="006E0585"/>
    <w:rsid w:val="006E3915"/>
    <w:rsid w:val="006E4A20"/>
    <w:rsid w:val="006E4D0B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6A4F"/>
    <w:rsid w:val="00757B05"/>
    <w:rsid w:val="00766002"/>
    <w:rsid w:val="007671F2"/>
    <w:rsid w:val="0076750E"/>
    <w:rsid w:val="007677EC"/>
    <w:rsid w:val="0077380D"/>
    <w:rsid w:val="00773A0C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96440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B7907"/>
    <w:rsid w:val="007C1617"/>
    <w:rsid w:val="007C1935"/>
    <w:rsid w:val="007C3E31"/>
    <w:rsid w:val="007C4B74"/>
    <w:rsid w:val="007C77C6"/>
    <w:rsid w:val="007D0664"/>
    <w:rsid w:val="007D0B96"/>
    <w:rsid w:val="007D3B45"/>
    <w:rsid w:val="007D44C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386D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31A6C"/>
    <w:rsid w:val="00833431"/>
    <w:rsid w:val="00835193"/>
    <w:rsid w:val="00836F29"/>
    <w:rsid w:val="00843128"/>
    <w:rsid w:val="00843DF3"/>
    <w:rsid w:val="0084563D"/>
    <w:rsid w:val="00845CD4"/>
    <w:rsid w:val="00846711"/>
    <w:rsid w:val="00846F1D"/>
    <w:rsid w:val="00854598"/>
    <w:rsid w:val="00855B0F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5210"/>
    <w:rsid w:val="0089539C"/>
    <w:rsid w:val="008A14F2"/>
    <w:rsid w:val="008A33A9"/>
    <w:rsid w:val="008A4B6E"/>
    <w:rsid w:val="008A4C9D"/>
    <w:rsid w:val="008A54A5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384F"/>
    <w:rsid w:val="008E4991"/>
    <w:rsid w:val="008E4D21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356D"/>
    <w:rsid w:val="009138D4"/>
    <w:rsid w:val="00913F3A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816F5"/>
    <w:rsid w:val="00982973"/>
    <w:rsid w:val="0098399E"/>
    <w:rsid w:val="00985B95"/>
    <w:rsid w:val="0099066A"/>
    <w:rsid w:val="009928F2"/>
    <w:rsid w:val="0099390A"/>
    <w:rsid w:val="009956CF"/>
    <w:rsid w:val="00996A3D"/>
    <w:rsid w:val="009A0242"/>
    <w:rsid w:val="009A17A9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61C1"/>
    <w:rsid w:val="009C6B02"/>
    <w:rsid w:val="009C7611"/>
    <w:rsid w:val="009C7745"/>
    <w:rsid w:val="009D0D27"/>
    <w:rsid w:val="009D2A06"/>
    <w:rsid w:val="009D379B"/>
    <w:rsid w:val="009D3A54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20DD"/>
    <w:rsid w:val="00A22819"/>
    <w:rsid w:val="00A262F2"/>
    <w:rsid w:val="00A264CC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FBC"/>
    <w:rsid w:val="00AB2EE0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C16"/>
    <w:rsid w:val="00B26E52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61A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E7"/>
    <w:rsid w:val="00BE7DED"/>
    <w:rsid w:val="00BE7E71"/>
    <w:rsid w:val="00BF0780"/>
    <w:rsid w:val="00BF0AB8"/>
    <w:rsid w:val="00BF1615"/>
    <w:rsid w:val="00BF407A"/>
    <w:rsid w:val="00BF49C9"/>
    <w:rsid w:val="00BF50BA"/>
    <w:rsid w:val="00C018B4"/>
    <w:rsid w:val="00C01D97"/>
    <w:rsid w:val="00C0292C"/>
    <w:rsid w:val="00C03D98"/>
    <w:rsid w:val="00C05396"/>
    <w:rsid w:val="00C07314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A52C8"/>
    <w:rsid w:val="00CB0289"/>
    <w:rsid w:val="00CB0881"/>
    <w:rsid w:val="00CB1453"/>
    <w:rsid w:val="00CB2125"/>
    <w:rsid w:val="00CB2E57"/>
    <w:rsid w:val="00CB3495"/>
    <w:rsid w:val="00CB3C4A"/>
    <w:rsid w:val="00CB4237"/>
    <w:rsid w:val="00CB575A"/>
    <w:rsid w:val="00CB6D16"/>
    <w:rsid w:val="00CB6F1D"/>
    <w:rsid w:val="00CC005F"/>
    <w:rsid w:val="00CC26BC"/>
    <w:rsid w:val="00CC55EC"/>
    <w:rsid w:val="00CC5867"/>
    <w:rsid w:val="00CC5A4B"/>
    <w:rsid w:val="00CC6D1C"/>
    <w:rsid w:val="00CC6F44"/>
    <w:rsid w:val="00CC709B"/>
    <w:rsid w:val="00CC78D2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386A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4CDF"/>
    <w:rsid w:val="00E207CA"/>
    <w:rsid w:val="00E2125C"/>
    <w:rsid w:val="00E212B0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CD7"/>
    <w:rsid w:val="00EE0E6E"/>
    <w:rsid w:val="00EE34B2"/>
    <w:rsid w:val="00EE5A45"/>
    <w:rsid w:val="00EE5B1D"/>
    <w:rsid w:val="00EE6AA3"/>
    <w:rsid w:val="00EE7139"/>
    <w:rsid w:val="00EF22FA"/>
    <w:rsid w:val="00EF3C41"/>
    <w:rsid w:val="00EF74B6"/>
    <w:rsid w:val="00EF7A30"/>
    <w:rsid w:val="00F016A8"/>
    <w:rsid w:val="00F01AFC"/>
    <w:rsid w:val="00F040F5"/>
    <w:rsid w:val="00F0454C"/>
    <w:rsid w:val="00F04E9C"/>
    <w:rsid w:val="00F10386"/>
    <w:rsid w:val="00F10CA9"/>
    <w:rsid w:val="00F13546"/>
    <w:rsid w:val="00F15953"/>
    <w:rsid w:val="00F15B4A"/>
    <w:rsid w:val="00F16197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33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B3F"/>
    <w:rsid w:val="00FC1248"/>
    <w:rsid w:val="00FC13D5"/>
    <w:rsid w:val="00FC162A"/>
    <w:rsid w:val="00FC1AAF"/>
    <w:rsid w:val="00FC25E0"/>
    <w:rsid w:val="00FC303D"/>
    <w:rsid w:val="00FC361E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73C4E4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2/1774?locale=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09/1069?locale=LV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eli/dir/1997/78?locale=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09/1069?locale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/2011/142?locale=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1672</Words>
  <Characters>11276</Characters>
  <Application>Microsoft Office Word</Application>
  <DocSecurity>0</DocSecurity>
  <Lines>388</Lines>
  <Paragraphs>136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Sanita Žagare</cp:lastModifiedBy>
  <cp:revision>3</cp:revision>
  <cp:lastPrinted>2016-01-08T08:49:00Z</cp:lastPrinted>
  <dcterms:created xsi:type="dcterms:W3CDTF">2016-11-14T07:52:00Z</dcterms:created>
  <dcterms:modified xsi:type="dcterms:W3CDTF">2016-11-14T07:58:00Z</dcterms:modified>
</cp:coreProperties>
</file>