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76" w:rsidRPr="003D6047" w:rsidRDefault="00E018D8" w:rsidP="00D13364">
      <w:pPr>
        <w:spacing w:before="60" w:after="60"/>
        <w:jc w:val="center"/>
        <w:rPr>
          <w:rFonts w:ascii="Times New Roman" w:hAnsi="Times New Roman"/>
          <w:b/>
          <w:sz w:val="24"/>
          <w:szCs w:val="24"/>
        </w:rPr>
      </w:pPr>
      <w:r w:rsidRPr="003D6047">
        <w:rPr>
          <w:rFonts w:ascii="Times New Roman" w:hAnsi="Times New Roman"/>
          <w:b/>
          <w:sz w:val="24"/>
          <w:szCs w:val="24"/>
        </w:rPr>
        <w:t xml:space="preserve">Informatīvais ziņojums par </w:t>
      </w:r>
      <w:r w:rsidR="00215621" w:rsidRPr="003D6047">
        <w:rPr>
          <w:rFonts w:ascii="Times New Roman" w:hAnsi="Times New Roman"/>
          <w:b/>
          <w:sz w:val="24"/>
          <w:szCs w:val="24"/>
        </w:rPr>
        <w:t>situāciju graudu nozarē</w:t>
      </w:r>
    </w:p>
    <w:p w:rsidR="007C1330" w:rsidRPr="003D6047" w:rsidRDefault="007C1330" w:rsidP="00E018D8">
      <w:pPr>
        <w:spacing w:before="60" w:after="60"/>
        <w:ind w:firstLine="709"/>
        <w:jc w:val="both"/>
        <w:rPr>
          <w:sz w:val="24"/>
          <w:szCs w:val="24"/>
        </w:rPr>
      </w:pPr>
    </w:p>
    <w:p w:rsidR="00E018D8" w:rsidRPr="003D6047" w:rsidRDefault="00357C0E" w:rsidP="009A2938">
      <w:pPr>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Zemkopības ministrija</w:t>
      </w:r>
      <w:r w:rsidR="0092724E" w:rsidRPr="003D6047">
        <w:rPr>
          <w:rFonts w:ascii="Times New Roman" w:hAnsi="Times New Roman"/>
          <w:color w:val="000000" w:themeColor="text1"/>
          <w:sz w:val="24"/>
          <w:szCs w:val="24"/>
        </w:rPr>
        <w:t xml:space="preserve"> </w:t>
      </w:r>
      <w:r w:rsidRPr="003D6047">
        <w:rPr>
          <w:rFonts w:ascii="Times New Roman" w:hAnsi="Times New Roman"/>
          <w:color w:val="000000" w:themeColor="text1"/>
          <w:sz w:val="24"/>
          <w:szCs w:val="24"/>
        </w:rPr>
        <w:t>iesniedz izskatīšanai Ministr</w:t>
      </w:r>
      <w:r w:rsidR="006D20BD" w:rsidRPr="003D6047">
        <w:rPr>
          <w:rFonts w:ascii="Times New Roman" w:hAnsi="Times New Roman"/>
          <w:color w:val="000000" w:themeColor="text1"/>
          <w:sz w:val="24"/>
          <w:szCs w:val="24"/>
        </w:rPr>
        <w:t xml:space="preserve">u kabinetā informatīvo ziņojumu </w:t>
      </w:r>
      <w:r w:rsidR="009E765A" w:rsidRPr="003D6047">
        <w:rPr>
          <w:rFonts w:ascii="Times New Roman" w:hAnsi="Times New Roman"/>
          <w:color w:val="000000" w:themeColor="text1"/>
          <w:sz w:val="24"/>
          <w:szCs w:val="24"/>
        </w:rPr>
        <w:t xml:space="preserve">par </w:t>
      </w:r>
      <w:r w:rsidR="00D13364" w:rsidRPr="003D6047">
        <w:rPr>
          <w:rStyle w:val="spelle"/>
          <w:rFonts w:ascii="Times New Roman" w:hAnsi="Times New Roman"/>
          <w:color w:val="000000" w:themeColor="text1"/>
          <w:sz w:val="24"/>
          <w:szCs w:val="24"/>
        </w:rPr>
        <w:t>pārejas posma valsts atbalsta finansējuma pārdales nepieciešamību</w:t>
      </w:r>
      <w:r w:rsidR="00915890" w:rsidRPr="003D6047">
        <w:rPr>
          <w:rFonts w:ascii="Times New Roman" w:hAnsi="Times New Roman"/>
          <w:color w:val="000000" w:themeColor="text1"/>
          <w:sz w:val="24"/>
          <w:szCs w:val="24"/>
        </w:rPr>
        <w:t xml:space="preserve">, </w:t>
      </w:r>
      <w:r w:rsidR="00353D4E" w:rsidRPr="003D6047">
        <w:rPr>
          <w:rFonts w:ascii="Times New Roman" w:hAnsi="Times New Roman"/>
          <w:color w:val="000000" w:themeColor="text1"/>
          <w:sz w:val="24"/>
          <w:szCs w:val="24"/>
        </w:rPr>
        <w:t xml:space="preserve">lai </w:t>
      </w:r>
      <w:r w:rsidR="00D13364" w:rsidRPr="003D6047">
        <w:rPr>
          <w:rFonts w:ascii="Times New Roman" w:hAnsi="Times New Roman"/>
          <w:color w:val="000000" w:themeColor="text1"/>
          <w:sz w:val="24"/>
          <w:szCs w:val="24"/>
        </w:rPr>
        <w:t>risinātu finanšu</w:t>
      </w:r>
      <w:r w:rsidR="00353D4E" w:rsidRPr="003D6047">
        <w:rPr>
          <w:rFonts w:ascii="Times New Roman" w:hAnsi="Times New Roman"/>
          <w:color w:val="000000" w:themeColor="text1"/>
          <w:sz w:val="24"/>
          <w:szCs w:val="24"/>
        </w:rPr>
        <w:t xml:space="preserve"> </w:t>
      </w:r>
      <w:r w:rsidR="00915890" w:rsidRPr="003D6047">
        <w:rPr>
          <w:rFonts w:ascii="Times New Roman" w:hAnsi="Times New Roman"/>
          <w:color w:val="000000" w:themeColor="text1"/>
          <w:sz w:val="24"/>
          <w:szCs w:val="24"/>
        </w:rPr>
        <w:t>grūtīb</w:t>
      </w:r>
      <w:r w:rsidR="00D13364" w:rsidRPr="003D6047">
        <w:rPr>
          <w:rFonts w:ascii="Times New Roman" w:hAnsi="Times New Roman"/>
          <w:color w:val="000000" w:themeColor="text1"/>
          <w:sz w:val="24"/>
          <w:szCs w:val="24"/>
        </w:rPr>
        <w:t>as</w:t>
      </w:r>
      <w:r w:rsidR="00915890" w:rsidRPr="003D6047">
        <w:rPr>
          <w:rFonts w:ascii="Times New Roman" w:hAnsi="Times New Roman"/>
          <w:color w:val="000000" w:themeColor="text1"/>
          <w:sz w:val="24"/>
          <w:szCs w:val="24"/>
        </w:rPr>
        <w:t xml:space="preserve"> </w:t>
      </w:r>
      <w:r w:rsidR="00CC2F17" w:rsidRPr="003D6047">
        <w:rPr>
          <w:rFonts w:ascii="Times New Roman" w:hAnsi="Times New Roman"/>
          <w:color w:val="000000" w:themeColor="text1"/>
          <w:sz w:val="24"/>
          <w:szCs w:val="24"/>
        </w:rPr>
        <w:t>graudaugu</w:t>
      </w:r>
      <w:r w:rsidR="00915890" w:rsidRPr="003D6047">
        <w:rPr>
          <w:rFonts w:ascii="Times New Roman" w:hAnsi="Times New Roman"/>
          <w:color w:val="000000" w:themeColor="text1"/>
          <w:sz w:val="24"/>
          <w:szCs w:val="24"/>
        </w:rPr>
        <w:t xml:space="preserve"> sektorā sa</w:t>
      </w:r>
      <w:r w:rsidR="00A961FD" w:rsidRPr="003D6047">
        <w:rPr>
          <w:rFonts w:ascii="Times New Roman" w:hAnsi="Times New Roman"/>
          <w:color w:val="000000" w:themeColor="text1"/>
          <w:sz w:val="24"/>
          <w:szCs w:val="24"/>
        </w:rPr>
        <w:t>istībā</w:t>
      </w:r>
      <w:r w:rsidR="00915890" w:rsidRPr="003D6047">
        <w:rPr>
          <w:rFonts w:ascii="Times New Roman" w:hAnsi="Times New Roman"/>
          <w:color w:val="000000" w:themeColor="text1"/>
          <w:sz w:val="24"/>
          <w:szCs w:val="24"/>
        </w:rPr>
        <w:t xml:space="preserve"> ar </w:t>
      </w:r>
      <w:r w:rsidR="00D13364" w:rsidRPr="003D6047">
        <w:rPr>
          <w:rFonts w:ascii="Times New Roman" w:hAnsi="Times New Roman"/>
          <w:color w:val="000000" w:themeColor="text1"/>
          <w:sz w:val="24"/>
          <w:szCs w:val="24"/>
        </w:rPr>
        <w:t xml:space="preserve">nelabvēlīgu audzēšanas apstākļu, graudu kvalitātes un iepirkuma cenu krituma radītu ieņēmumu samazinājumu un </w:t>
      </w:r>
      <w:r w:rsidR="00937BB2" w:rsidRPr="003D6047">
        <w:rPr>
          <w:rFonts w:ascii="Times New Roman" w:hAnsi="Times New Roman"/>
          <w:color w:val="000000" w:themeColor="text1"/>
          <w:sz w:val="24"/>
          <w:szCs w:val="24"/>
        </w:rPr>
        <w:t>graudu ražošanas un pirmapstrādes</w:t>
      </w:r>
      <w:r w:rsidR="00D13364" w:rsidRPr="003D6047">
        <w:rPr>
          <w:rFonts w:ascii="Times New Roman" w:hAnsi="Times New Roman"/>
          <w:color w:val="000000" w:themeColor="text1"/>
          <w:sz w:val="24"/>
          <w:szCs w:val="24"/>
        </w:rPr>
        <w:t xml:space="preserve"> izmaksu palielinājumu</w:t>
      </w:r>
      <w:r w:rsidR="00B60AF9" w:rsidRPr="003D6047">
        <w:rPr>
          <w:rFonts w:ascii="Times New Roman" w:hAnsi="Times New Roman"/>
          <w:color w:val="000000" w:themeColor="text1"/>
          <w:sz w:val="24"/>
          <w:szCs w:val="24"/>
        </w:rPr>
        <w:t xml:space="preserve">. </w:t>
      </w:r>
    </w:p>
    <w:p w:rsidR="00D13364" w:rsidRPr="003D6047" w:rsidRDefault="00D13364" w:rsidP="009A2938">
      <w:pPr>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 xml:space="preserve">Zemkopības ministrijā </w:t>
      </w:r>
      <w:r w:rsidR="0092724E" w:rsidRPr="003D6047">
        <w:rPr>
          <w:rFonts w:ascii="Times New Roman" w:hAnsi="Times New Roman"/>
          <w:color w:val="000000" w:themeColor="text1"/>
          <w:sz w:val="24"/>
          <w:szCs w:val="24"/>
        </w:rPr>
        <w:t xml:space="preserve">(turpmāk – ZM) </w:t>
      </w:r>
      <w:r w:rsidRPr="003D6047">
        <w:rPr>
          <w:rFonts w:ascii="Times New Roman" w:hAnsi="Times New Roman"/>
          <w:color w:val="000000" w:themeColor="text1"/>
          <w:sz w:val="24"/>
          <w:szCs w:val="24"/>
        </w:rPr>
        <w:t xml:space="preserve">ir vērsušies </w:t>
      </w:r>
      <w:r w:rsidR="007C1330" w:rsidRPr="003D6047">
        <w:rPr>
          <w:rFonts w:ascii="Times New Roman" w:hAnsi="Times New Roman"/>
          <w:color w:val="000000" w:themeColor="text1"/>
          <w:sz w:val="24"/>
          <w:szCs w:val="24"/>
        </w:rPr>
        <w:t>graudu ražošanas</w:t>
      </w:r>
      <w:r w:rsidRPr="003D6047">
        <w:rPr>
          <w:rFonts w:ascii="Times New Roman" w:hAnsi="Times New Roman"/>
          <w:color w:val="000000" w:themeColor="text1"/>
          <w:sz w:val="24"/>
          <w:szCs w:val="24"/>
        </w:rPr>
        <w:t xml:space="preserve"> nozares pārstāvji ar lūgumu sniegt atbalstu, kas graud</w:t>
      </w:r>
      <w:r w:rsidR="007C1330" w:rsidRPr="003D6047">
        <w:rPr>
          <w:rFonts w:ascii="Times New Roman" w:hAnsi="Times New Roman"/>
          <w:color w:val="000000" w:themeColor="text1"/>
          <w:sz w:val="24"/>
          <w:szCs w:val="24"/>
        </w:rPr>
        <w:t>u ražotājiem</w:t>
      </w:r>
      <w:r w:rsidRPr="003D6047">
        <w:rPr>
          <w:rFonts w:ascii="Times New Roman" w:hAnsi="Times New Roman"/>
          <w:color w:val="000000" w:themeColor="text1"/>
          <w:sz w:val="24"/>
          <w:szCs w:val="24"/>
        </w:rPr>
        <w:t xml:space="preserve"> </w:t>
      </w:r>
      <w:r w:rsidR="00A961FD" w:rsidRPr="003D6047">
        <w:rPr>
          <w:rFonts w:ascii="Times New Roman" w:hAnsi="Times New Roman"/>
          <w:color w:val="000000" w:themeColor="text1"/>
          <w:sz w:val="24"/>
          <w:szCs w:val="24"/>
        </w:rPr>
        <w:t xml:space="preserve">kompensētu </w:t>
      </w:r>
      <w:r w:rsidRPr="003D6047">
        <w:rPr>
          <w:rFonts w:ascii="Times New Roman" w:hAnsi="Times New Roman"/>
          <w:color w:val="000000" w:themeColor="text1"/>
          <w:sz w:val="24"/>
          <w:szCs w:val="24"/>
        </w:rPr>
        <w:t>ieņēmumu samazinājumu un nodrošinātu nozares dzīvotspējas saglabāšanos.</w:t>
      </w:r>
    </w:p>
    <w:p w:rsidR="00D13364" w:rsidRPr="003D6047" w:rsidRDefault="00D13364" w:rsidP="009A2938">
      <w:pPr>
        <w:ind w:firstLine="720"/>
        <w:jc w:val="both"/>
        <w:rPr>
          <w:rFonts w:ascii="Times New Roman" w:hAnsi="Times New Roman"/>
          <w:color w:val="000000" w:themeColor="text1"/>
          <w:sz w:val="24"/>
          <w:szCs w:val="24"/>
        </w:rPr>
      </w:pPr>
      <w:r w:rsidRPr="003D6047">
        <w:rPr>
          <w:rFonts w:ascii="Times New Roman" w:hAnsi="Times New Roman"/>
          <w:bCs/>
          <w:color w:val="000000" w:themeColor="text1"/>
          <w:sz w:val="24"/>
          <w:szCs w:val="24"/>
        </w:rPr>
        <w:t>2016. gada 16. augusta Latvijas Republikas Ministru kabineta sēdes protokola Nr.40 59.§ 4.punkt</w:t>
      </w:r>
      <w:r w:rsidR="00A961FD" w:rsidRPr="003D6047">
        <w:rPr>
          <w:rFonts w:ascii="Times New Roman" w:hAnsi="Times New Roman"/>
          <w:bCs/>
          <w:color w:val="000000" w:themeColor="text1"/>
          <w:sz w:val="24"/>
          <w:szCs w:val="24"/>
        </w:rPr>
        <w:t>ā</w:t>
      </w:r>
      <w:r w:rsidRPr="003D6047">
        <w:rPr>
          <w:rFonts w:ascii="Times New Roman" w:hAnsi="Times New Roman"/>
          <w:bCs/>
          <w:color w:val="000000" w:themeColor="text1"/>
          <w:sz w:val="24"/>
          <w:szCs w:val="24"/>
        </w:rPr>
        <w:t xml:space="preserve"> noteikts, ka </w:t>
      </w:r>
      <w:r w:rsidR="00A961FD" w:rsidRPr="003D6047">
        <w:rPr>
          <w:rFonts w:ascii="Times New Roman" w:hAnsi="Times New Roman"/>
          <w:bCs/>
          <w:color w:val="000000" w:themeColor="text1"/>
          <w:sz w:val="24"/>
          <w:szCs w:val="24"/>
        </w:rPr>
        <w:t>p</w:t>
      </w:r>
      <w:r w:rsidRPr="003D6047">
        <w:rPr>
          <w:rFonts w:ascii="Times New Roman" w:hAnsi="Times New Roman"/>
          <w:bCs/>
          <w:color w:val="000000" w:themeColor="text1"/>
          <w:sz w:val="24"/>
          <w:szCs w:val="24"/>
        </w:rPr>
        <w:t xml:space="preserve">ārejas posma valsts atbalstam </w:t>
      </w:r>
      <w:r w:rsidR="000515E7" w:rsidRPr="003D6047">
        <w:rPr>
          <w:rFonts w:ascii="Times New Roman" w:hAnsi="Times New Roman"/>
          <w:bCs/>
          <w:color w:val="000000" w:themeColor="text1"/>
          <w:sz w:val="24"/>
          <w:szCs w:val="24"/>
        </w:rPr>
        <w:t xml:space="preserve">nepieciešamais finansējums </w:t>
      </w:r>
      <w:r w:rsidRPr="003D6047">
        <w:rPr>
          <w:rFonts w:ascii="Times New Roman" w:hAnsi="Times New Roman"/>
          <w:bCs/>
          <w:color w:val="000000" w:themeColor="text1"/>
          <w:sz w:val="24"/>
          <w:szCs w:val="24"/>
        </w:rPr>
        <w:t>2017.</w:t>
      </w:r>
      <w:r w:rsidR="000515E7" w:rsidRPr="003D6047">
        <w:rPr>
          <w:rFonts w:ascii="Times New Roman" w:hAnsi="Times New Roman"/>
          <w:bCs/>
          <w:color w:val="000000" w:themeColor="text1"/>
          <w:sz w:val="24"/>
          <w:szCs w:val="24"/>
        </w:rPr>
        <w:t xml:space="preserve"> </w:t>
      </w:r>
      <w:r w:rsidRPr="003D6047">
        <w:rPr>
          <w:rFonts w:ascii="Times New Roman" w:hAnsi="Times New Roman"/>
          <w:bCs/>
          <w:color w:val="000000" w:themeColor="text1"/>
          <w:sz w:val="24"/>
          <w:szCs w:val="24"/>
        </w:rPr>
        <w:t xml:space="preserve">gadam </w:t>
      </w:r>
      <w:r w:rsidR="000515E7" w:rsidRPr="003D6047">
        <w:rPr>
          <w:rFonts w:ascii="Times New Roman" w:hAnsi="Times New Roman"/>
          <w:bCs/>
          <w:color w:val="000000" w:themeColor="text1"/>
          <w:sz w:val="24"/>
          <w:szCs w:val="24"/>
        </w:rPr>
        <w:t xml:space="preserve">ir nodrošināts </w:t>
      </w:r>
      <w:r w:rsidRPr="003D6047">
        <w:rPr>
          <w:rFonts w:ascii="Times New Roman" w:hAnsi="Times New Roman"/>
          <w:bCs/>
          <w:color w:val="000000" w:themeColor="text1"/>
          <w:sz w:val="24"/>
          <w:szCs w:val="24"/>
        </w:rPr>
        <w:t xml:space="preserve">13 000 000 </w:t>
      </w:r>
      <w:proofErr w:type="spellStart"/>
      <w:r w:rsidR="007401D9" w:rsidRPr="003D6047">
        <w:rPr>
          <w:rFonts w:ascii="Times New Roman" w:hAnsi="Times New Roman"/>
          <w:bCs/>
          <w:i/>
          <w:color w:val="000000" w:themeColor="text1"/>
          <w:sz w:val="24"/>
          <w:szCs w:val="24"/>
        </w:rPr>
        <w:t>euro</w:t>
      </w:r>
      <w:proofErr w:type="spellEnd"/>
      <w:r w:rsidRPr="003D6047">
        <w:rPr>
          <w:rFonts w:ascii="Times New Roman" w:hAnsi="Times New Roman"/>
          <w:bCs/>
          <w:color w:val="000000" w:themeColor="text1"/>
          <w:sz w:val="24"/>
          <w:szCs w:val="24"/>
        </w:rPr>
        <w:t xml:space="preserve"> apmērā no budžeta resora "74.Gadskārtējā valsts budžeta izpildes procesā pārdalāmais finansējums" programmas 80.00.00 "Nesadalītais finansējums Eiropas Savienības politiku instrumentiem un pārējai ārvalstu finanšu palīdzībai".</w:t>
      </w:r>
    </w:p>
    <w:p w:rsidR="00D13364" w:rsidRPr="003D6047" w:rsidRDefault="000515E7" w:rsidP="00A961FD">
      <w:pPr>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Ņ</w:t>
      </w:r>
      <w:r w:rsidR="00D13364" w:rsidRPr="003D6047">
        <w:rPr>
          <w:rFonts w:ascii="Times New Roman" w:hAnsi="Times New Roman"/>
          <w:color w:val="000000" w:themeColor="text1"/>
          <w:sz w:val="24"/>
          <w:szCs w:val="24"/>
        </w:rPr>
        <w:t xml:space="preserve">emot vērā </w:t>
      </w:r>
      <w:r w:rsidRPr="003D6047">
        <w:rPr>
          <w:rFonts w:ascii="Times New Roman" w:hAnsi="Times New Roman"/>
          <w:color w:val="000000" w:themeColor="text1"/>
          <w:sz w:val="24"/>
          <w:szCs w:val="24"/>
        </w:rPr>
        <w:t>informatīv</w:t>
      </w:r>
      <w:r w:rsidR="00A961FD" w:rsidRPr="003D6047">
        <w:rPr>
          <w:rFonts w:ascii="Times New Roman" w:hAnsi="Times New Roman"/>
          <w:color w:val="000000" w:themeColor="text1"/>
          <w:sz w:val="24"/>
          <w:szCs w:val="24"/>
        </w:rPr>
        <w:t>aj</w:t>
      </w:r>
      <w:r w:rsidR="00D13364" w:rsidRPr="003D6047">
        <w:rPr>
          <w:rFonts w:ascii="Times New Roman" w:hAnsi="Times New Roman"/>
          <w:color w:val="000000" w:themeColor="text1"/>
          <w:sz w:val="24"/>
          <w:szCs w:val="24"/>
        </w:rPr>
        <w:t>ā ziņoj</w:t>
      </w:r>
      <w:r w:rsidRPr="003D6047">
        <w:rPr>
          <w:rFonts w:ascii="Times New Roman" w:hAnsi="Times New Roman"/>
          <w:color w:val="000000" w:themeColor="text1"/>
          <w:sz w:val="24"/>
          <w:szCs w:val="24"/>
        </w:rPr>
        <w:t>um</w:t>
      </w:r>
      <w:r w:rsidR="00A961FD" w:rsidRPr="003D6047">
        <w:rPr>
          <w:rFonts w:ascii="Times New Roman" w:hAnsi="Times New Roman"/>
          <w:color w:val="000000" w:themeColor="text1"/>
          <w:sz w:val="24"/>
          <w:szCs w:val="24"/>
        </w:rPr>
        <w:t>ā sniegto</w:t>
      </w:r>
      <w:r w:rsidR="00D13364" w:rsidRPr="003D6047">
        <w:rPr>
          <w:rFonts w:ascii="Times New Roman" w:hAnsi="Times New Roman"/>
          <w:color w:val="000000" w:themeColor="text1"/>
          <w:sz w:val="24"/>
          <w:szCs w:val="24"/>
        </w:rPr>
        <w:t xml:space="preserve"> informāciju</w:t>
      </w:r>
      <w:r w:rsidRPr="003D6047">
        <w:rPr>
          <w:rFonts w:ascii="Times New Roman" w:hAnsi="Times New Roman"/>
          <w:color w:val="000000" w:themeColor="text1"/>
          <w:sz w:val="24"/>
          <w:szCs w:val="24"/>
        </w:rPr>
        <w:t xml:space="preserve"> par graud</w:t>
      </w:r>
      <w:r w:rsidR="007C1330" w:rsidRPr="003D6047">
        <w:rPr>
          <w:rFonts w:ascii="Times New Roman" w:hAnsi="Times New Roman"/>
          <w:color w:val="000000" w:themeColor="text1"/>
          <w:sz w:val="24"/>
          <w:szCs w:val="24"/>
        </w:rPr>
        <w:t>u ražošanas</w:t>
      </w:r>
      <w:r w:rsidRPr="003D6047">
        <w:rPr>
          <w:rFonts w:ascii="Times New Roman" w:hAnsi="Times New Roman"/>
          <w:color w:val="000000" w:themeColor="text1"/>
          <w:sz w:val="24"/>
          <w:szCs w:val="24"/>
        </w:rPr>
        <w:t xml:space="preserve"> nozares finanšu grūtībām,</w:t>
      </w:r>
      <w:r w:rsidR="00D13364" w:rsidRPr="003D6047">
        <w:rPr>
          <w:rFonts w:ascii="Times New Roman" w:hAnsi="Times New Roman"/>
          <w:color w:val="000000" w:themeColor="text1"/>
          <w:sz w:val="24"/>
          <w:szCs w:val="24"/>
        </w:rPr>
        <w:t xml:space="preserve"> </w:t>
      </w:r>
      <w:r w:rsidRPr="003D6047">
        <w:rPr>
          <w:rFonts w:ascii="Times New Roman" w:hAnsi="Times New Roman"/>
          <w:color w:val="000000" w:themeColor="text1"/>
          <w:sz w:val="24"/>
          <w:szCs w:val="24"/>
        </w:rPr>
        <w:t>nepieciešams pārdalīt</w:t>
      </w:r>
      <w:r w:rsidR="00D13364" w:rsidRPr="003D6047">
        <w:rPr>
          <w:rFonts w:ascii="Times New Roman" w:hAnsi="Times New Roman"/>
          <w:color w:val="000000" w:themeColor="text1"/>
          <w:sz w:val="24"/>
          <w:szCs w:val="24"/>
        </w:rPr>
        <w:t xml:space="preserve"> </w:t>
      </w:r>
      <w:r w:rsidRPr="003D6047">
        <w:rPr>
          <w:rFonts w:ascii="Times New Roman" w:hAnsi="Times New Roman"/>
          <w:color w:val="000000" w:themeColor="text1"/>
          <w:sz w:val="24"/>
          <w:szCs w:val="24"/>
        </w:rPr>
        <w:t>2017. gadā pārejas posma valsts atbalstam paredzētos finanšu līdzekļus</w:t>
      </w:r>
      <w:r w:rsidR="00D13364" w:rsidRPr="003D6047">
        <w:rPr>
          <w:rFonts w:ascii="Times New Roman" w:hAnsi="Times New Roman"/>
          <w:color w:val="000000" w:themeColor="text1"/>
          <w:sz w:val="24"/>
          <w:szCs w:val="24"/>
        </w:rPr>
        <w:t xml:space="preserve"> </w:t>
      </w:r>
      <w:r w:rsidRPr="003D6047">
        <w:rPr>
          <w:rFonts w:ascii="Times New Roman" w:hAnsi="Times New Roman"/>
          <w:bCs/>
          <w:color w:val="000000" w:themeColor="text1"/>
          <w:sz w:val="24"/>
          <w:szCs w:val="24"/>
        </w:rPr>
        <w:t xml:space="preserve">6 000 000 </w:t>
      </w:r>
      <w:proofErr w:type="spellStart"/>
      <w:r w:rsidR="007401D9" w:rsidRPr="003D6047">
        <w:rPr>
          <w:rFonts w:ascii="Times New Roman" w:hAnsi="Times New Roman"/>
          <w:bCs/>
          <w:i/>
          <w:color w:val="000000" w:themeColor="text1"/>
          <w:sz w:val="24"/>
          <w:szCs w:val="24"/>
        </w:rPr>
        <w:t>euro</w:t>
      </w:r>
      <w:proofErr w:type="spellEnd"/>
      <w:r w:rsidR="00D13364" w:rsidRPr="003D6047">
        <w:rPr>
          <w:rFonts w:ascii="Times New Roman" w:hAnsi="Times New Roman"/>
          <w:bCs/>
          <w:color w:val="000000" w:themeColor="text1"/>
          <w:sz w:val="24"/>
          <w:szCs w:val="24"/>
        </w:rPr>
        <w:t xml:space="preserve"> </w:t>
      </w:r>
      <w:r w:rsidR="00A961FD" w:rsidRPr="003D6047">
        <w:rPr>
          <w:rFonts w:ascii="Times New Roman" w:hAnsi="Times New Roman"/>
          <w:bCs/>
          <w:color w:val="000000" w:themeColor="text1"/>
          <w:sz w:val="24"/>
          <w:szCs w:val="24"/>
        </w:rPr>
        <w:t>uz 2016. gadu.</w:t>
      </w:r>
    </w:p>
    <w:p w:rsidR="00D13364" w:rsidRPr="003D6047" w:rsidRDefault="00D13364" w:rsidP="009A2938">
      <w:pPr>
        <w:ind w:firstLine="720"/>
        <w:jc w:val="both"/>
        <w:rPr>
          <w:rFonts w:ascii="Times New Roman" w:hAnsi="Times New Roman"/>
          <w:color w:val="000000" w:themeColor="text1"/>
          <w:sz w:val="24"/>
          <w:szCs w:val="24"/>
        </w:rPr>
      </w:pPr>
    </w:p>
    <w:p w:rsidR="00353D4E" w:rsidRPr="003D6047" w:rsidRDefault="00B46DA4" w:rsidP="009A2938">
      <w:pPr>
        <w:pStyle w:val="Virsraksts1"/>
        <w:numPr>
          <w:ilvl w:val="0"/>
          <w:numId w:val="30"/>
        </w:numPr>
        <w:rPr>
          <w:color w:val="000000" w:themeColor="text1"/>
          <w:sz w:val="24"/>
          <w:szCs w:val="24"/>
        </w:rPr>
      </w:pPr>
      <w:r w:rsidRPr="003D6047">
        <w:rPr>
          <w:color w:val="000000" w:themeColor="text1"/>
          <w:sz w:val="24"/>
          <w:szCs w:val="24"/>
        </w:rPr>
        <w:t>Graudu ražošanas n</w:t>
      </w:r>
      <w:r w:rsidR="00353D4E" w:rsidRPr="003D6047">
        <w:rPr>
          <w:color w:val="000000" w:themeColor="text1"/>
          <w:sz w:val="24"/>
          <w:szCs w:val="24"/>
        </w:rPr>
        <w:t xml:space="preserve">ozares </w:t>
      </w:r>
      <w:r w:rsidR="00BF2A76" w:rsidRPr="003D6047">
        <w:rPr>
          <w:color w:val="000000" w:themeColor="text1"/>
          <w:sz w:val="24"/>
          <w:szCs w:val="24"/>
        </w:rPr>
        <w:t>nozīme lauksaimniecībā</w:t>
      </w:r>
    </w:p>
    <w:p w:rsidR="00904A5F" w:rsidRPr="003D6047" w:rsidRDefault="005F5E99" w:rsidP="009A2938">
      <w:pPr>
        <w:pStyle w:val="naisf"/>
        <w:spacing w:before="0" w:after="0"/>
        <w:ind w:firstLine="720"/>
        <w:rPr>
          <w:b/>
          <w:bCs/>
          <w:color w:val="000000" w:themeColor="text1"/>
        </w:rPr>
      </w:pPr>
      <w:r w:rsidRPr="003D6047">
        <w:rPr>
          <w:bCs/>
          <w:color w:val="000000" w:themeColor="text1"/>
        </w:rPr>
        <w:t xml:space="preserve">Graudu ražošana </w:t>
      </w:r>
      <w:r w:rsidR="00904A5F" w:rsidRPr="003D6047">
        <w:rPr>
          <w:bCs/>
          <w:color w:val="000000" w:themeColor="text1"/>
        </w:rPr>
        <w:t xml:space="preserve">ir viena no nozīmīgākajām Latvijas lauksaimniecības produktu ražošanas nozarēm, </w:t>
      </w:r>
      <w:r w:rsidRPr="003D6047">
        <w:rPr>
          <w:bCs/>
          <w:color w:val="000000" w:themeColor="text1"/>
        </w:rPr>
        <w:t>jo</w:t>
      </w:r>
      <w:r w:rsidR="00802F25" w:rsidRPr="003D6047">
        <w:rPr>
          <w:bCs/>
          <w:color w:val="000000" w:themeColor="text1"/>
        </w:rPr>
        <w:t>:</w:t>
      </w:r>
    </w:p>
    <w:p w:rsidR="005F5E99" w:rsidRPr="003D6047" w:rsidRDefault="005F5E99" w:rsidP="009A2938">
      <w:pPr>
        <w:pStyle w:val="naisf"/>
        <w:numPr>
          <w:ilvl w:val="0"/>
          <w:numId w:val="28"/>
        </w:numPr>
        <w:tabs>
          <w:tab w:val="left" w:pos="1134"/>
        </w:tabs>
        <w:spacing w:before="0" w:after="0"/>
        <w:ind w:left="0" w:firstLine="720"/>
        <w:rPr>
          <w:bCs/>
          <w:color w:val="000000" w:themeColor="text1"/>
        </w:rPr>
      </w:pPr>
      <w:r w:rsidRPr="003D6047">
        <w:rPr>
          <w:bCs/>
          <w:color w:val="000000" w:themeColor="text1"/>
        </w:rPr>
        <w:t xml:space="preserve">graudu ražošanā iesaistītas </w:t>
      </w:r>
      <w:r w:rsidR="008A3385" w:rsidRPr="003D6047">
        <w:rPr>
          <w:bCs/>
          <w:color w:val="000000" w:themeColor="text1"/>
        </w:rPr>
        <w:t>22</w:t>
      </w:r>
      <w:r w:rsidR="00A72F02" w:rsidRPr="003D6047">
        <w:rPr>
          <w:bCs/>
          <w:color w:val="000000" w:themeColor="text1"/>
        </w:rPr>
        <w:t>,5</w:t>
      </w:r>
      <w:r w:rsidR="008A3385" w:rsidRPr="003D6047">
        <w:rPr>
          <w:bCs/>
          <w:color w:val="000000" w:themeColor="text1"/>
        </w:rPr>
        <w:t xml:space="preserve"> tūkst</w:t>
      </w:r>
      <w:r w:rsidRPr="003D6047">
        <w:rPr>
          <w:bCs/>
          <w:color w:val="000000" w:themeColor="text1"/>
        </w:rPr>
        <w:t>oši</w:t>
      </w:r>
      <w:r w:rsidR="008A3385" w:rsidRPr="003D6047">
        <w:rPr>
          <w:bCs/>
          <w:color w:val="000000" w:themeColor="text1"/>
        </w:rPr>
        <w:t xml:space="preserve"> saimniecības</w:t>
      </w:r>
      <w:r w:rsidRPr="003D6047">
        <w:rPr>
          <w:bCs/>
          <w:color w:val="000000" w:themeColor="text1"/>
        </w:rPr>
        <w:t xml:space="preserve">, </w:t>
      </w:r>
      <w:r w:rsidR="00A961FD" w:rsidRPr="003D6047">
        <w:rPr>
          <w:bCs/>
          <w:color w:val="000000" w:themeColor="text1"/>
        </w:rPr>
        <w:t>veidojot</w:t>
      </w:r>
      <w:r w:rsidRPr="003D6047">
        <w:rPr>
          <w:bCs/>
          <w:color w:val="000000" w:themeColor="text1"/>
        </w:rPr>
        <w:t xml:space="preserve"> 28%</w:t>
      </w:r>
      <w:r w:rsidR="008A3385" w:rsidRPr="003D6047">
        <w:rPr>
          <w:bCs/>
          <w:color w:val="000000" w:themeColor="text1"/>
        </w:rPr>
        <w:t xml:space="preserve"> </w:t>
      </w:r>
      <w:r w:rsidRPr="003D6047">
        <w:rPr>
          <w:bCs/>
          <w:color w:val="000000" w:themeColor="text1"/>
        </w:rPr>
        <w:t xml:space="preserve">no kopējā lauku saimniecību skaita </w:t>
      </w:r>
      <w:r w:rsidR="008A3385" w:rsidRPr="003D6047">
        <w:rPr>
          <w:bCs/>
          <w:color w:val="000000" w:themeColor="text1"/>
        </w:rPr>
        <w:t>2015.</w:t>
      </w:r>
      <w:r w:rsidRPr="003D6047">
        <w:rPr>
          <w:bCs/>
          <w:color w:val="000000" w:themeColor="text1"/>
        </w:rPr>
        <w:t xml:space="preserve"> </w:t>
      </w:r>
      <w:r w:rsidR="008A3385" w:rsidRPr="003D6047">
        <w:rPr>
          <w:bCs/>
          <w:color w:val="000000" w:themeColor="text1"/>
        </w:rPr>
        <w:t>g</w:t>
      </w:r>
      <w:r w:rsidRPr="003D6047">
        <w:rPr>
          <w:bCs/>
          <w:color w:val="000000" w:themeColor="text1"/>
        </w:rPr>
        <w:t>adā;</w:t>
      </w:r>
    </w:p>
    <w:p w:rsidR="00FC7194" w:rsidRPr="003D6047" w:rsidRDefault="005F5E99" w:rsidP="009A2938">
      <w:pPr>
        <w:pStyle w:val="naisf"/>
        <w:numPr>
          <w:ilvl w:val="0"/>
          <w:numId w:val="28"/>
        </w:numPr>
        <w:tabs>
          <w:tab w:val="left" w:pos="1134"/>
        </w:tabs>
        <w:spacing w:before="0" w:after="0"/>
        <w:ind w:left="0" w:firstLine="720"/>
        <w:rPr>
          <w:bCs/>
          <w:color w:val="000000" w:themeColor="text1"/>
        </w:rPr>
      </w:pPr>
      <w:r w:rsidRPr="003D6047">
        <w:rPr>
          <w:bCs/>
          <w:color w:val="000000" w:themeColor="text1"/>
        </w:rPr>
        <w:t>l</w:t>
      </w:r>
      <w:r w:rsidR="00FC7194" w:rsidRPr="003D6047">
        <w:rPr>
          <w:bCs/>
          <w:color w:val="000000" w:themeColor="text1"/>
        </w:rPr>
        <w:t xml:space="preserve">aukkopības saimniecības nodrošina </w:t>
      </w:r>
      <w:r w:rsidR="007C1330" w:rsidRPr="003D6047">
        <w:rPr>
          <w:bCs/>
          <w:color w:val="000000" w:themeColor="text1"/>
        </w:rPr>
        <w:t xml:space="preserve">darbavietu </w:t>
      </w:r>
      <w:r w:rsidRPr="003D6047">
        <w:rPr>
          <w:bCs/>
          <w:color w:val="000000" w:themeColor="text1"/>
        </w:rPr>
        <w:t>70,8 tūkst</w:t>
      </w:r>
      <w:r w:rsidR="007C1330" w:rsidRPr="003D6047">
        <w:rPr>
          <w:bCs/>
          <w:color w:val="000000" w:themeColor="text1"/>
        </w:rPr>
        <w:t>ošiem nodarbināto</w:t>
      </w:r>
      <w:r w:rsidRPr="003D6047">
        <w:rPr>
          <w:bCs/>
          <w:color w:val="000000" w:themeColor="text1"/>
        </w:rPr>
        <w:t xml:space="preserve">, </w:t>
      </w:r>
      <w:r w:rsidR="00A961FD" w:rsidRPr="003D6047">
        <w:rPr>
          <w:bCs/>
          <w:color w:val="000000" w:themeColor="text1"/>
        </w:rPr>
        <w:t>veidojot</w:t>
      </w:r>
      <w:r w:rsidR="00FC7194" w:rsidRPr="003D6047">
        <w:rPr>
          <w:bCs/>
          <w:color w:val="000000" w:themeColor="text1"/>
        </w:rPr>
        <w:t xml:space="preserve"> 40% no lauksaimniecībā </w:t>
      </w:r>
      <w:r w:rsidR="007C1330" w:rsidRPr="003D6047">
        <w:rPr>
          <w:bCs/>
          <w:color w:val="000000" w:themeColor="text1"/>
        </w:rPr>
        <w:t xml:space="preserve">nodarbināto kopskaita </w:t>
      </w:r>
      <w:r w:rsidR="00FC7194" w:rsidRPr="003D6047">
        <w:rPr>
          <w:bCs/>
          <w:color w:val="000000" w:themeColor="text1"/>
        </w:rPr>
        <w:t>2013.</w:t>
      </w:r>
      <w:r w:rsidRPr="003D6047">
        <w:rPr>
          <w:bCs/>
          <w:color w:val="000000" w:themeColor="text1"/>
        </w:rPr>
        <w:t xml:space="preserve"> </w:t>
      </w:r>
      <w:r w:rsidR="00FC7194" w:rsidRPr="003D6047">
        <w:rPr>
          <w:bCs/>
          <w:color w:val="000000" w:themeColor="text1"/>
        </w:rPr>
        <w:t>g</w:t>
      </w:r>
      <w:r w:rsidRPr="003D6047">
        <w:rPr>
          <w:bCs/>
          <w:color w:val="000000" w:themeColor="text1"/>
        </w:rPr>
        <w:t>adā</w:t>
      </w:r>
      <w:r w:rsidR="00802F25" w:rsidRPr="003D6047">
        <w:rPr>
          <w:bCs/>
          <w:color w:val="000000" w:themeColor="text1"/>
        </w:rPr>
        <w:t>;</w:t>
      </w:r>
      <w:r w:rsidR="00FC7194" w:rsidRPr="003D6047">
        <w:rPr>
          <w:bCs/>
          <w:color w:val="000000" w:themeColor="text1"/>
        </w:rPr>
        <w:t xml:space="preserve"> </w:t>
      </w:r>
    </w:p>
    <w:p w:rsidR="00FC7194" w:rsidRPr="003D6047" w:rsidRDefault="007C1330" w:rsidP="009A2938">
      <w:pPr>
        <w:pStyle w:val="naisf"/>
        <w:numPr>
          <w:ilvl w:val="0"/>
          <w:numId w:val="28"/>
        </w:numPr>
        <w:tabs>
          <w:tab w:val="left" w:pos="1134"/>
        </w:tabs>
        <w:spacing w:before="0" w:after="0"/>
        <w:ind w:left="0" w:firstLine="720"/>
        <w:rPr>
          <w:bCs/>
          <w:color w:val="000000" w:themeColor="text1"/>
        </w:rPr>
      </w:pPr>
      <w:r w:rsidRPr="003D6047">
        <w:rPr>
          <w:bCs/>
          <w:color w:val="000000" w:themeColor="text1"/>
        </w:rPr>
        <w:t>g</w:t>
      </w:r>
      <w:r w:rsidR="00FC7194" w:rsidRPr="003D6047">
        <w:rPr>
          <w:bCs/>
          <w:color w:val="000000" w:themeColor="text1"/>
        </w:rPr>
        <w:t>raud</w:t>
      </w:r>
      <w:r w:rsidR="005F5E99" w:rsidRPr="003D6047">
        <w:rPr>
          <w:bCs/>
          <w:color w:val="000000" w:themeColor="text1"/>
        </w:rPr>
        <w:t xml:space="preserve">u izlaides īpatsvars </w:t>
      </w:r>
      <w:r w:rsidR="00A961FD" w:rsidRPr="003D6047">
        <w:rPr>
          <w:bCs/>
          <w:color w:val="000000" w:themeColor="text1"/>
        </w:rPr>
        <w:t>ir</w:t>
      </w:r>
      <w:r w:rsidR="005F5E99" w:rsidRPr="003D6047">
        <w:rPr>
          <w:bCs/>
          <w:color w:val="000000" w:themeColor="text1"/>
        </w:rPr>
        <w:t xml:space="preserve"> 32% no </w:t>
      </w:r>
      <w:r w:rsidR="00FC7194" w:rsidRPr="003D6047">
        <w:rPr>
          <w:bCs/>
          <w:color w:val="000000" w:themeColor="text1"/>
        </w:rPr>
        <w:t xml:space="preserve">lauksaimniecības preču galaprodukcijas izlaides </w:t>
      </w:r>
      <w:r w:rsidR="005F5E99" w:rsidRPr="003D6047">
        <w:rPr>
          <w:bCs/>
          <w:color w:val="000000" w:themeColor="text1"/>
        </w:rPr>
        <w:t xml:space="preserve">vērtības jeb </w:t>
      </w:r>
      <w:r w:rsidR="00FC7194" w:rsidRPr="003D6047">
        <w:rPr>
          <w:bCs/>
          <w:color w:val="000000" w:themeColor="text1"/>
        </w:rPr>
        <w:t xml:space="preserve">384 milj. </w:t>
      </w:r>
      <w:proofErr w:type="spellStart"/>
      <w:r w:rsidR="00FC7194" w:rsidRPr="003D6047">
        <w:rPr>
          <w:bCs/>
          <w:i/>
          <w:color w:val="000000" w:themeColor="text1"/>
        </w:rPr>
        <w:t>euro</w:t>
      </w:r>
      <w:proofErr w:type="spellEnd"/>
      <w:r w:rsidR="00FC7194" w:rsidRPr="003D6047">
        <w:rPr>
          <w:bCs/>
          <w:color w:val="000000" w:themeColor="text1"/>
        </w:rPr>
        <w:t xml:space="preserve"> 2015.</w:t>
      </w:r>
      <w:r w:rsidR="00F36A0B" w:rsidRPr="003D6047">
        <w:rPr>
          <w:bCs/>
          <w:color w:val="000000" w:themeColor="text1"/>
        </w:rPr>
        <w:t xml:space="preserve"> </w:t>
      </w:r>
      <w:r w:rsidR="00FC7194" w:rsidRPr="003D6047">
        <w:rPr>
          <w:bCs/>
          <w:color w:val="000000" w:themeColor="text1"/>
        </w:rPr>
        <w:t>g</w:t>
      </w:r>
      <w:r w:rsidR="005F5E99" w:rsidRPr="003D6047">
        <w:rPr>
          <w:bCs/>
          <w:color w:val="000000" w:themeColor="text1"/>
        </w:rPr>
        <w:t>adā</w:t>
      </w:r>
      <w:r w:rsidR="00802F25" w:rsidRPr="003D6047">
        <w:rPr>
          <w:bCs/>
          <w:color w:val="000000" w:themeColor="text1"/>
        </w:rPr>
        <w:t>;</w:t>
      </w:r>
    </w:p>
    <w:p w:rsidR="00A72F02" w:rsidRPr="003D6047" w:rsidRDefault="007C1330" w:rsidP="009A2938">
      <w:pPr>
        <w:pStyle w:val="naisf"/>
        <w:numPr>
          <w:ilvl w:val="0"/>
          <w:numId w:val="28"/>
        </w:numPr>
        <w:tabs>
          <w:tab w:val="left" w:pos="1134"/>
        </w:tabs>
        <w:spacing w:before="0" w:after="0"/>
        <w:ind w:left="0" w:firstLine="720"/>
        <w:rPr>
          <w:bCs/>
          <w:color w:val="000000" w:themeColor="text1"/>
        </w:rPr>
      </w:pPr>
      <w:r w:rsidRPr="003D6047">
        <w:rPr>
          <w:bCs/>
          <w:color w:val="000000" w:themeColor="text1"/>
        </w:rPr>
        <w:t>g</w:t>
      </w:r>
      <w:r w:rsidR="00A72F02" w:rsidRPr="003D6047">
        <w:rPr>
          <w:bCs/>
          <w:color w:val="000000" w:themeColor="text1"/>
        </w:rPr>
        <w:t>raud</w:t>
      </w:r>
      <w:r w:rsidR="003D0E2A" w:rsidRPr="003D6047">
        <w:rPr>
          <w:bCs/>
          <w:color w:val="000000" w:themeColor="text1"/>
        </w:rPr>
        <w:t>i</w:t>
      </w:r>
      <w:r w:rsidR="00A72F02" w:rsidRPr="003D6047">
        <w:rPr>
          <w:bCs/>
          <w:color w:val="000000" w:themeColor="text1"/>
        </w:rPr>
        <w:t xml:space="preserve"> ir otr</w:t>
      </w:r>
      <w:r w:rsidR="003D0E2A" w:rsidRPr="003D6047">
        <w:rPr>
          <w:bCs/>
          <w:color w:val="000000" w:themeColor="text1"/>
        </w:rPr>
        <w:t>a</w:t>
      </w:r>
      <w:r w:rsidR="00A72F02" w:rsidRPr="003D6047">
        <w:rPr>
          <w:bCs/>
          <w:color w:val="000000" w:themeColor="text1"/>
        </w:rPr>
        <w:t xml:space="preserve"> nozīmīgāk</w:t>
      </w:r>
      <w:r w:rsidR="003D0E2A" w:rsidRPr="003D6047">
        <w:rPr>
          <w:bCs/>
          <w:color w:val="000000" w:themeColor="text1"/>
        </w:rPr>
        <w:t>ā produktu grupa</w:t>
      </w:r>
      <w:r w:rsidR="00A72F02" w:rsidRPr="003D6047">
        <w:rPr>
          <w:bCs/>
          <w:color w:val="000000" w:themeColor="text1"/>
        </w:rPr>
        <w:t xml:space="preserve"> Latvijas </w:t>
      </w:r>
      <w:r w:rsidR="003D0E2A" w:rsidRPr="003D6047">
        <w:rPr>
          <w:bCs/>
          <w:color w:val="000000" w:themeColor="text1"/>
        </w:rPr>
        <w:t xml:space="preserve">lauksaimniecības un pārtikas </w:t>
      </w:r>
      <w:r w:rsidR="00A72F02" w:rsidRPr="003D6047">
        <w:rPr>
          <w:bCs/>
          <w:color w:val="000000" w:themeColor="text1"/>
        </w:rPr>
        <w:t>produkt</w:t>
      </w:r>
      <w:r w:rsidR="003D0E2A" w:rsidRPr="003D6047">
        <w:rPr>
          <w:bCs/>
          <w:color w:val="000000" w:themeColor="text1"/>
        </w:rPr>
        <w:t>u eksporta struktūrā</w:t>
      </w:r>
      <w:r w:rsidR="00A72F02" w:rsidRPr="003D6047">
        <w:rPr>
          <w:bCs/>
          <w:color w:val="000000" w:themeColor="text1"/>
        </w:rPr>
        <w:t xml:space="preserve">, </w:t>
      </w:r>
      <w:r w:rsidR="00A961FD" w:rsidRPr="003D6047">
        <w:rPr>
          <w:bCs/>
          <w:color w:val="000000" w:themeColor="text1"/>
        </w:rPr>
        <w:t>to</w:t>
      </w:r>
      <w:r w:rsidR="00144AF3" w:rsidRPr="003D6047">
        <w:rPr>
          <w:bCs/>
          <w:color w:val="000000" w:themeColor="text1"/>
        </w:rPr>
        <w:t xml:space="preserve"> eksporta vērtība 2015.</w:t>
      </w:r>
      <w:r w:rsidRPr="003D6047">
        <w:rPr>
          <w:bCs/>
          <w:color w:val="000000" w:themeColor="text1"/>
        </w:rPr>
        <w:t xml:space="preserve"> </w:t>
      </w:r>
      <w:r w:rsidR="00144AF3" w:rsidRPr="003D6047">
        <w:rPr>
          <w:bCs/>
          <w:color w:val="000000" w:themeColor="text1"/>
        </w:rPr>
        <w:t xml:space="preserve">gadā bija 394 milj. </w:t>
      </w:r>
      <w:proofErr w:type="spellStart"/>
      <w:r w:rsidR="00144AF3" w:rsidRPr="003D6047">
        <w:rPr>
          <w:bCs/>
          <w:i/>
          <w:color w:val="000000" w:themeColor="text1"/>
        </w:rPr>
        <w:t>euro</w:t>
      </w:r>
      <w:proofErr w:type="spellEnd"/>
      <w:r w:rsidR="00144AF3" w:rsidRPr="003D6047">
        <w:rPr>
          <w:bCs/>
          <w:color w:val="000000" w:themeColor="text1"/>
        </w:rPr>
        <w:t xml:space="preserve"> un </w:t>
      </w:r>
      <w:r w:rsidR="00A961FD" w:rsidRPr="003D6047">
        <w:rPr>
          <w:bCs/>
          <w:color w:val="000000" w:themeColor="text1"/>
        </w:rPr>
        <w:t>veidoja</w:t>
      </w:r>
      <w:r w:rsidR="00144AF3" w:rsidRPr="003D6047">
        <w:rPr>
          <w:bCs/>
          <w:color w:val="000000" w:themeColor="text1"/>
        </w:rPr>
        <w:t xml:space="preserve"> </w:t>
      </w:r>
      <w:r w:rsidR="00A72F02" w:rsidRPr="003D6047">
        <w:rPr>
          <w:bCs/>
          <w:color w:val="000000" w:themeColor="text1"/>
        </w:rPr>
        <w:t>18% no kopējās pārtikas un lauksaimniecības produktu eksporta vērtības</w:t>
      </w:r>
      <w:r w:rsidRPr="003D6047">
        <w:rPr>
          <w:bCs/>
          <w:color w:val="000000" w:themeColor="text1"/>
        </w:rPr>
        <w:t>.</w:t>
      </w:r>
    </w:p>
    <w:p w:rsidR="0092724E" w:rsidRPr="003D6047" w:rsidRDefault="0092724E" w:rsidP="009A2938">
      <w:pPr>
        <w:pStyle w:val="Virsraksts1"/>
        <w:tabs>
          <w:tab w:val="clear" w:pos="432"/>
        </w:tabs>
        <w:ind w:left="0" w:firstLine="720"/>
        <w:rPr>
          <w:color w:val="000000" w:themeColor="text1"/>
          <w:sz w:val="24"/>
          <w:szCs w:val="24"/>
        </w:rPr>
      </w:pPr>
    </w:p>
    <w:p w:rsidR="00DC1F2A" w:rsidRPr="003D6047" w:rsidRDefault="00EA112A" w:rsidP="00DC1F2A">
      <w:pPr>
        <w:pStyle w:val="Virsraksts1"/>
        <w:tabs>
          <w:tab w:val="clear" w:pos="432"/>
        </w:tabs>
        <w:ind w:left="0" w:firstLine="720"/>
        <w:jc w:val="both"/>
        <w:rPr>
          <w:color w:val="000000" w:themeColor="text1"/>
          <w:sz w:val="24"/>
          <w:szCs w:val="24"/>
        </w:rPr>
      </w:pPr>
      <w:r w:rsidRPr="003D6047">
        <w:rPr>
          <w:color w:val="000000" w:themeColor="text1"/>
          <w:sz w:val="24"/>
          <w:szCs w:val="24"/>
        </w:rPr>
        <w:t xml:space="preserve">2. </w:t>
      </w:r>
      <w:r w:rsidR="00BF2A76" w:rsidRPr="003D6047">
        <w:rPr>
          <w:color w:val="000000" w:themeColor="text1"/>
          <w:sz w:val="24"/>
          <w:szCs w:val="24"/>
        </w:rPr>
        <w:t>Graudu ražošanu ietekmējošo laik</w:t>
      </w:r>
      <w:r w:rsidR="00B0726F" w:rsidRPr="003D6047">
        <w:rPr>
          <w:color w:val="000000" w:themeColor="text1"/>
          <w:sz w:val="24"/>
          <w:szCs w:val="24"/>
        </w:rPr>
        <w:t xml:space="preserve">apstākļu raksturojums </w:t>
      </w:r>
      <w:proofErr w:type="gramStart"/>
      <w:r w:rsidR="00B0726F" w:rsidRPr="003D6047">
        <w:rPr>
          <w:color w:val="000000" w:themeColor="text1"/>
          <w:sz w:val="24"/>
          <w:szCs w:val="24"/>
        </w:rPr>
        <w:t>2016.gadā</w:t>
      </w:r>
      <w:proofErr w:type="gramEnd"/>
    </w:p>
    <w:p w:rsidR="007C1330" w:rsidRPr="003D6047" w:rsidRDefault="007539BD" w:rsidP="009A2938">
      <w:pPr>
        <w:pStyle w:val="naisf"/>
        <w:spacing w:before="0" w:after="0"/>
        <w:ind w:firstLine="720"/>
        <w:rPr>
          <w:bCs/>
          <w:color w:val="000000" w:themeColor="text1"/>
        </w:rPr>
      </w:pPr>
      <w:r w:rsidRPr="003D6047">
        <w:rPr>
          <w:bCs/>
          <w:color w:val="000000" w:themeColor="text1"/>
        </w:rPr>
        <w:t>Laikapstākļi šī</w:t>
      </w:r>
      <w:r w:rsidR="00DA74BB" w:rsidRPr="003D6047">
        <w:rPr>
          <w:bCs/>
          <w:color w:val="000000" w:themeColor="text1"/>
        </w:rPr>
        <w:t xml:space="preserve"> </w:t>
      </w:r>
      <w:r w:rsidRPr="003D6047">
        <w:rPr>
          <w:bCs/>
          <w:color w:val="000000" w:themeColor="text1"/>
        </w:rPr>
        <w:t>gada graudu ražošanas sezonā uzskatāmi par nelabvēlīgiem, jo to ietekmē samazinājusies</w:t>
      </w:r>
      <w:r w:rsidR="007C1330" w:rsidRPr="003D6047">
        <w:rPr>
          <w:bCs/>
          <w:color w:val="000000" w:themeColor="text1"/>
        </w:rPr>
        <w:t xml:space="preserve"> graudaugu ražība un </w:t>
      </w:r>
      <w:r w:rsidRPr="003D6047">
        <w:rPr>
          <w:bCs/>
          <w:color w:val="000000" w:themeColor="text1"/>
        </w:rPr>
        <w:t xml:space="preserve">būtiski pasliktinājušies graudu </w:t>
      </w:r>
      <w:r w:rsidR="007C1330" w:rsidRPr="003D6047">
        <w:rPr>
          <w:bCs/>
          <w:color w:val="000000" w:themeColor="text1"/>
        </w:rPr>
        <w:t>kvalitātes rādītāj</w:t>
      </w:r>
      <w:r w:rsidRPr="003D6047">
        <w:rPr>
          <w:bCs/>
          <w:color w:val="000000" w:themeColor="text1"/>
        </w:rPr>
        <w:t>i</w:t>
      </w:r>
      <w:r w:rsidR="007C1330" w:rsidRPr="003D6047">
        <w:rPr>
          <w:bCs/>
          <w:color w:val="000000" w:themeColor="text1"/>
        </w:rPr>
        <w:t>,</w:t>
      </w:r>
      <w:r w:rsidRPr="003D6047">
        <w:rPr>
          <w:bCs/>
          <w:color w:val="000000" w:themeColor="text1"/>
        </w:rPr>
        <w:t xml:space="preserve"> </w:t>
      </w:r>
      <w:r w:rsidR="00A961FD" w:rsidRPr="003D6047">
        <w:rPr>
          <w:bCs/>
          <w:color w:val="000000" w:themeColor="text1"/>
        </w:rPr>
        <w:t xml:space="preserve">līdz ar to </w:t>
      </w:r>
      <w:r w:rsidR="007C1330" w:rsidRPr="003D6047">
        <w:rPr>
          <w:bCs/>
          <w:color w:val="000000" w:themeColor="text1"/>
        </w:rPr>
        <w:t xml:space="preserve">graudu </w:t>
      </w:r>
      <w:r w:rsidRPr="003D6047">
        <w:rPr>
          <w:bCs/>
          <w:color w:val="000000" w:themeColor="text1"/>
        </w:rPr>
        <w:t>ražotā</w:t>
      </w:r>
      <w:r w:rsidR="007C1330" w:rsidRPr="003D6047">
        <w:rPr>
          <w:bCs/>
          <w:color w:val="000000" w:themeColor="text1"/>
        </w:rPr>
        <w:t>jiem rad</w:t>
      </w:r>
      <w:r w:rsidR="00A961FD" w:rsidRPr="003D6047">
        <w:rPr>
          <w:bCs/>
          <w:color w:val="000000" w:themeColor="text1"/>
        </w:rPr>
        <w:t>ot</w:t>
      </w:r>
      <w:r w:rsidR="007C1330" w:rsidRPr="003D6047">
        <w:rPr>
          <w:bCs/>
          <w:color w:val="000000" w:themeColor="text1"/>
        </w:rPr>
        <w:t xml:space="preserve"> </w:t>
      </w:r>
      <w:r w:rsidRPr="003D6047">
        <w:rPr>
          <w:bCs/>
          <w:color w:val="000000" w:themeColor="text1"/>
        </w:rPr>
        <w:t>neparedzētas</w:t>
      </w:r>
      <w:r w:rsidR="007C1330" w:rsidRPr="003D6047">
        <w:rPr>
          <w:bCs/>
          <w:color w:val="000000" w:themeColor="text1"/>
        </w:rPr>
        <w:t xml:space="preserve"> </w:t>
      </w:r>
      <w:r w:rsidRPr="003D6047">
        <w:rPr>
          <w:bCs/>
          <w:color w:val="000000" w:themeColor="text1"/>
        </w:rPr>
        <w:t xml:space="preserve">izmaksas saistībā ar energoresursu patēriņa palielinājumu graudu novākšanai un </w:t>
      </w:r>
      <w:r w:rsidR="007C1330" w:rsidRPr="003D6047">
        <w:rPr>
          <w:bCs/>
          <w:color w:val="000000" w:themeColor="text1"/>
        </w:rPr>
        <w:t>kaltēšana</w:t>
      </w:r>
      <w:r w:rsidRPr="003D6047">
        <w:rPr>
          <w:bCs/>
          <w:color w:val="000000" w:themeColor="text1"/>
        </w:rPr>
        <w:t>i</w:t>
      </w:r>
      <w:r w:rsidR="007C1330" w:rsidRPr="003D6047">
        <w:rPr>
          <w:bCs/>
          <w:color w:val="000000" w:themeColor="text1"/>
        </w:rPr>
        <w:t>.</w:t>
      </w:r>
    </w:p>
    <w:p w:rsidR="00E95AD2" w:rsidRPr="003D6047" w:rsidRDefault="00E95AD2" w:rsidP="009A2938">
      <w:pPr>
        <w:pStyle w:val="naisf"/>
        <w:spacing w:before="0" w:after="0"/>
        <w:ind w:firstLine="720"/>
        <w:rPr>
          <w:bCs/>
          <w:color w:val="000000" w:themeColor="text1"/>
        </w:rPr>
      </w:pPr>
      <w:r w:rsidRPr="003D6047">
        <w:rPr>
          <w:bCs/>
          <w:color w:val="000000" w:themeColor="text1"/>
        </w:rPr>
        <w:t>Vairākos</w:t>
      </w:r>
      <w:r w:rsidR="007539BD" w:rsidRPr="003D6047">
        <w:rPr>
          <w:bCs/>
          <w:color w:val="000000" w:themeColor="text1"/>
        </w:rPr>
        <w:t xml:space="preserve"> Latvijas reģionos šī gada maijā</w:t>
      </w:r>
      <w:r w:rsidRPr="003D6047">
        <w:rPr>
          <w:bCs/>
          <w:color w:val="000000" w:themeColor="text1"/>
        </w:rPr>
        <w:t xml:space="preserve"> un jūnija sākumā valdīja sausums, kas kavēja graudaugu cero</w:t>
      </w:r>
      <w:r w:rsidR="00AB4A44" w:rsidRPr="003D6047">
        <w:rPr>
          <w:bCs/>
          <w:color w:val="000000" w:themeColor="text1"/>
        </w:rPr>
        <w:t>šanu</w:t>
      </w:r>
      <w:r w:rsidRPr="003D6047">
        <w:rPr>
          <w:bCs/>
          <w:color w:val="000000" w:themeColor="text1"/>
        </w:rPr>
        <w:t xml:space="preserve"> un augu attīstību, tādējādi samazinot ražību. </w:t>
      </w:r>
    </w:p>
    <w:p w:rsidR="00B60AF9" w:rsidRPr="003D6047" w:rsidRDefault="00E95AD2" w:rsidP="009A2938">
      <w:pPr>
        <w:pStyle w:val="naisf"/>
        <w:spacing w:before="0" w:after="0"/>
        <w:ind w:firstLine="720"/>
        <w:rPr>
          <w:color w:val="000000" w:themeColor="text1"/>
        </w:rPr>
      </w:pPr>
      <w:r w:rsidRPr="003D6047">
        <w:rPr>
          <w:bCs/>
          <w:color w:val="000000" w:themeColor="text1"/>
        </w:rPr>
        <w:t xml:space="preserve">Savukārt </w:t>
      </w:r>
      <w:r w:rsidR="005A4B17" w:rsidRPr="003D6047">
        <w:rPr>
          <w:bCs/>
          <w:color w:val="000000" w:themeColor="text1"/>
        </w:rPr>
        <w:t xml:space="preserve">jūlijs un augusts </w:t>
      </w:r>
      <w:r w:rsidRPr="003D6047">
        <w:rPr>
          <w:bCs/>
          <w:color w:val="000000" w:themeColor="text1"/>
        </w:rPr>
        <w:t xml:space="preserve">bija </w:t>
      </w:r>
      <w:r w:rsidR="005A4B17" w:rsidRPr="003D6047">
        <w:rPr>
          <w:bCs/>
          <w:color w:val="000000" w:themeColor="text1"/>
        </w:rPr>
        <w:t>bagāt</w:t>
      </w:r>
      <w:r w:rsidRPr="003D6047">
        <w:rPr>
          <w:bCs/>
          <w:color w:val="000000" w:themeColor="text1"/>
        </w:rPr>
        <w:t>s</w:t>
      </w:r>
      <w:r w:rsidR="005A4B17" w:rsidRPr="003D6047">
        <w:rPr>
          <w:bCs/>
          <w:color w:val="000000" w:themeColor="text1"/>
        </w:rPr>
        <w:t xml:space="preserve"> </w:t>
      </w:r>
      <w:r w:rsidRPr="003D6047">
        <w:rPr>
          <w:bCs/>
          <w:color w:val="000000" w:themeColor="text1"/>
        </w:rPr>
        <w:t xml:space="preserve">ar </w:t>
      </w:r>
      <w:r w:rsidR="005A4B17" w:rsidRPr="003D6047">
        <w:rPr>
          <w:bCs/>
          <w:color w:val="000000" w:themeColor="text1"/>
        </w:rPr>
        <w:t>nokrišņ</w:t>
      </w:r>
      <w:r w:rsidRPr="003D6047">
        <w:rPr>
          <w:bCs/>
          <w:color w:val="000000" w:themeColor="text1"/>
        </w:rPr>
        <w:t xml:space="preserve">iem, </w:t>
      </w:r>
      <w:r w:rsidR="00A961FD" w:rsidRPr="003D6047">
        <w:rPr>
          <w:bCs/>
          <w:color w:val="000000" w:themeColor="text1"/>
        </w:rPr>
        <w:t>un to</w:t>
      </w:r>
      <w:r w:rsidRPr="003D6047">
        <w:rPr>
          <w:bCs/>
          <w:color w:val="000000" w:themeColor="text1"/>
        </w:rPr>
        <w:t xml:space="preserve"> ietekmē samazināj</w:t>
      </w:r>
      <w:r w:rsidR="00AB4A44" w:rsidRPr="003D6047">
        <w:rPr>
          <w:bCs/>
          <w:color w:val="000000" w:themeColor="text1"/>
        </w:rPr>
        <w:t>ās</w:t>
      </w:r>
      <w:r w:rsidRPr="003D6047">
        <w:rPr>
          <w:bCs/>
          <w:color w:val="000000" w:themeColor="text1"/>
        </w:rPr>
        <w:t xml:space="preserve"> graudu kvalitāte, </w:t>
      </w:r>
      <w:r w:rsidR="00BF2A76" w:rsidRPr="003D6047">
        <w:rPr>
          <w:bCs/>
          <w:color w:val="000000" w:themeColor="text1"/>
        </w:rPr>
        <w:t>samazinājās</w:t>
      </w:r>
      <w:r w:rsidRPr="003D6047">
        <w:rPr>
          <w:bCs/>
          <w:color w:val="000000" w:themeColor="text1"/>
        </w:rPr>
        <w:t xml:space="preserve"> ražība</w:t>
      </w:r>
      <w:r w:rsidR="00BF2A76" w:rsidRPr="003D6047">
        <w:rPr>
          <w:bCs/>
          <w:color w:val="000000" w:themeColor="text1"/>
        </w:rPr>
        <w:t>, bieži bija novērojama graudaugu sējumu veldrēšanās</w:t>
      </w:r>
      <w:r w:rsidRPr="003D6047">
        <w:rPr>
          <w:bCs/>
          <w:color w:val="000000" w:themeColor="text1"/>
        </w:rPr>
        <w:t xml:space="preserve"> un tika kavēta </w:t>
      </w:r>
      <w:r w:rsidR="00AB4A44" w:rsidRPr="003D6047">
        <w:rPr>
          <w:bCs/>
          <w:color w:val="000000" w:themeColor="text1"/>
        </w:rPr>
        <w:t xml:space="preserve">un apgrūtināta </w:t>
      </w:r>
      <w:r w:rsidRPr="003D6047">
        <w:rPr>
          <w:bCs/>
          <w:color w:val="000000" w:themeColor="text1"/>
        </w:rPr>
        <w:t>graudu novākšana.</w:t>
      </w:r>
    </w:p>
    <w:p w:rsidR="004937E2" w:rsidRPr="003D6047" w:rsidRDefault="004937E2" w:rsidP="009A2938">
      <w:pPr>
        <w:pStyle w:val="naisf"/>
        <w:spacing w:before="0" w:after="0"/>
        <w:ind w:firstLine="720"/>
        <w:rPr>
          <w:bCs/>
          <w:color w:val="000000" w:themeColor="text1"/>
        </w:rPr>
      </w:pPr>
      <w:r w:rsidRPr="003D6047">
        <w:rPr>
          <w:bCs/>
          <w:color w:val="000000" w:themeColor="text1"/>
        </w:rPr>
        <w:t>Jūlijs bija nokrišņiem bagāts mēnesis visā Latvijas teritorijā, īpaši Latgalē un Vidzemē. Kopējais nokrišņu daudzums Latvijā sasniedz</w:t>
      </w:r>
      <w:r w:rsidR="00AB4A44" w:rsidRPr="003D6047">
        <w:rPr>
          <w:bCs/>
          <w:color w:val="000000" w:themeColor="text1"/>
        </w:rPr>
        <w:t>a</w:t>
      </w:r>
      <w:r w:rsidRPr="003D6047">
        <w:rPr>
          <w:bCs/>
          <w:color w:val="000000" w:themeColor="text1"/>
        </w:rPr>
        <w:t xml:space="preserve"> 105,2 mm, kas </w:t>
      </w:r>
      <w:r w:rsidR="00AB4A44" w:rsidRPr="003D6047">
        <w:rPr>
          <w:bCs/>
          <w:color w:val="000000" w:themeColor="text1"/>
        </w:rPr>
        <w:t xml:space="preserve">bija </w:t>
      </w:r>
      <w:r w:rsidRPr="003D6047">
        <w:rPr>
          <w:bCs/>
          <w:color w:val="000000" w:themeColor="text1"/>
        </w:rPr>
        <w:t xml:space="preserve">37% virs mēneša normas (76,9 mm). </w:t>
      </w:r>
    </w:p>
    <w:p w:rsidR="005A4B17" w:rsidRPr="003D6047" w:rsidRDefault="00C36915" w:rsidP="009A2938">
      <w:pPr>
        <w:pStyle w:val="naisf"/>
        <w:spacing w:before="0" w:after="0"/>
        <w:ind w:firstLine="720"/>
        <w:rPr>
          <w:bCs/>
          <w:color w:val="000000" w:themeColor="text1"/>
        </w:rPr>
      </w:pPr>
      <w:r w:rsidRPr="003D6047">
        <w:rPr>
          <w:bCs/>
          <w:color w:val="000000" w:themeColor="text1"/>
        </w:rPr>
        <w:t>Arī a</w:t>
      </w:r>
      <w:r w:rsidR="005A4B17" w:rsidRPr="003D6047">
        <w:rPr>
          <w:bCs/>
          <w:color w:val="000000" w:themeColor="text1"/>
        </w:rPr>
        <w:t>ugusts</w:t>
      </w:r>
      <w:r w:rsidR="00A961FD" w:rsidRPr="003D6047">
        <w:rPr>
          <w:bCs/>
          <w:color w:val="000000" w:themeColor="text1"/>
        </w:rPr>
        <w:t>, tāpat kā</w:t>
      </w:r>
      <w:r w:rsidR="005A4B17" w:rsidRPr="003D6047">
        <w:rPr>
          <w:bCs/>
          <w:color w:val="000000" w:themeColor="text1"/>
        </w:rPr>
        <w:t xml:space="preserve"> jūlij</w:t>
      </w:r>
      <w:r w:rsidR="00A961FD" w:rsidRPr="003D6047">
        <w:rPr>
          <w:bCs/>
          <w:color w:val="000000" w:themeColor="text1"/>
        </w:rPr>
        <w:t>s,</w:t>
      </w:r>
      <w:r w:rsidR="005A4B17" w:rsidRPr="003D6047">
        <w:rPr>
          <w:bCs/>
          <w:color w:val="000000" w:themeColor="text1"/>
        </w:rPr>
        <w:t xml:space="preserve"> bija nokrišņiem bagāts</w:t>
      </w:r>
      <w:r w:rsidR="00534262" w:rsidRPr="003D6047">
        <w:rPr>
          <w:bCs/>
          <w:color w:val="000000" w:themeColor="text1"/>
        </w:rPr>
        <w:t>.</w:t>
      </w:r>
      <w:r w:rsidR="005A4B17" w:rsidRPr="003D6047">
        <w:rPr>
          <w:bCs/>
          <w:color w:val="000000" w:themeColor="text1"/>
        </w:rPr>
        <w:t xml:space="preserve"> 24. augusts bija pirmā </w:t>
      </w:r>
      <w:r w:rsidR="00AB4A44" w:rsidRPr="003D6047">
        <w:rPr>
          <w:bCs/>
          <w:color w:val="000000" w:themeColor="text1"/>
        </w:rPr>
        <w:t xml:space="preserve">vasaras </w:t>
      </w:r>
      <w:r w:rsidR="005A4B17" w:rsidRPr="003D6047">
        <w:rPr>
          <w:bCs/>
          <w:color w:val="000000" w:themeColor="text1"/>
        </w:rPr>
        <w:t>diena</w:t>
      </w:r>
      <w:r w:rsidR="00AB4A44" w:rsidRPr="003D6047">
        <w:rPr>
          <w:bCs/>
          <w:color w:val="000000" w:themeColor="text1"/>
        </w:rPr>
        <w:t xml:space="preserve"> kopš 28. jūnija</w:t>
      </w:r>
      <w:r w:rsidR="005A4B17" w:rsidRPr="003D6047">
        <w:rPr>
          <w:bCs/>
          <w:color w:val="000000" w:themeColor="text1"/>
        </w:rPr>
        <w:t>, kad nevienā novērojumu stacijā nokrišņu daudzums nepārsniedz</w:t>
      </w:r>
      <w:r w:rsidR="00534262" w:rsidRPr="003D6047">
        <w:rPr>
          <w:bCs/>
          <w:color w:val="000000" w:themeColor="text1"/>
        </w:rPr>
        <w:t>a</w:t>
      </w:r>
      <w:r w:rsidR="005A4B17" w:rsidRPr="003D6047">
        <w:rPr>
          <w:bCs/>
          <w:color w:val="000000" w:themeColor="text1"/>
        </w:rPr>
        <w:t xml:space="preserve"> 1</w:t>
      </w:r>
      <w:r w:rsidR="00B60AF9" w:rsidRPr="003D6047">
        <w:rPr>
          <w:bCs/>
          <w:color w:val="000000" w:themeColor="text1"/>
        </w:rPr>
        <w:t xml:space="preserve"> </w:t>
      </w:r>
      <w:r w:rsidR="005A4B17" w:rsidRPr="003D6047">
        <w:rPr>
          <w:bCs/>
          <w:color w:val="000000" w:themeColor="text1"/>
        </w:rPr>
        <w:t>mm. Kopējais nokrišņu daudzums augustā Latvijā sasniedza 128,5</w:t>
      </w:r>
      <w:r w:rsidR="00A961FD" w:rsidRPr="003D6047">
        <w:rPr>
          <w:bCs/>
          <w:color w:val="000000" w:themeColor="text1"/>
        </w:rPr>
        <w:t> </w:t>
      </w:r>
      <w:r w:rsidR="005A4B17" w:rsidRPr="003D6047">
        <w:rPr>
          <w:bCs/>
          <w:color w:val="000000" w:themeColor="text1"/>
        </w:rPr>
        <w:t xml:space="preserve">mm, </w:t>
      </w:r>
      <w:r w:rsidR="00A961FD" w:rsidRPr="003D6047">
        <w:rPr>
          <w:bCs/>
          <w:color w:val="000000" w:themeColor="text1"/>
        </w:rPr>
        <w:t>t.i.,</w:t>
      </w:r>
      <w:r w:rsidR="00AB4A44" w:rsidRPr="003D6047">
        <w:rPr>
          <w:bCs/>
          <w:color w:val="000000" w:themeColor="text1"/>
        </w:rPr>
        <w:t xml:space="preserve"> </w:t>
      </w:r>
      <w:r w:rsidR="005A4B17" w:rsidRPr="003D6047">
        <w:rPr>
          <w:bCs/>
          <w:color w:val="000000" w:themeColor="text1"/>
        </w:rPr>
        <w:t>67% virs mēneša normas (77,1 mm).</w:t>
      </w:r>
    </w:p>
    <w:p w:rsidR="00EA112A" w:rsidRPr="003D6047" w:rsidRDefault="00BF2A76" w:rsidP="009A2938">
      <w:pPr>
        <w:pStyle w:val="naisf"/>
        <w:spacing w:before="0" w:after="0"/>
        <w:ind w:firstLine="720"/>
        <w:rPr>
          <w:rStyle w:val="Izteiksmgs"/>
          <w:color w:val="000000" w:themeColor="text1"/>
        </w:rPr>
      </w:pPr>
      <w:r w:rsidRPr="003D6047">
        <w:rPr>
          <w:bCs/>
          <w:color w:val="000000" w:themeColor="text1"/>
        </w:rPr>
        <w:lastRenderedPageBreak/>
        <w:t xml:space="preserve">Nelabvēlīgu laikapstākļu ietekmē </w:t>
      </w:r>
      <w:r w:rsidR="00177658" w:rsidRPr="003D6047">
        <w:rPr>
          <w:bCs/>
          <w:color w:val="000000" w:themeColor="text1"/>
        </w:rPr>
        <w:t xml:space="preserve">graudu kvalitātes </w:t>
      </w:r>
      <w:r w:rsidR="003C74AE" w:rsidRPr="003D6047">
        <w:rPr>
          <w:color w:val="000000" w:themeColor="text1"/>
        </w:rPr>
        <w:t xml:space="preserve">rādītāji </w:t>
      </w:r>
      <w:r w:rsidRPr="003D6047">
        <w:rPr>
          <w:color w:val="000000" w:themeColor="text1"/>
        </w:rPr>
        <w:t xml:space="preserve">ir pasliktinājušies un lielākā daļa graudu kopražas neatbilst pārtikas graudu kvalitātes prasībām un ir realizējami </w:t>
      </w:r>
      <w:r w:rsidR="003C74AE" w:rsidRPr="003D6047">
        <w:rPr>
          <w:rStyle w:val="Izteiksmgs"/>
          <w:b w:val="0"/>
          <w:color w:val="000000" w:themeColor="text1"/>
        </w:rPr>
        <w:t>lopbarības</w:t>
      </w:r>
      <w:r w:rsidRPr="003D6047">
        <w:rPr>
          <w:rStyle w:val="Izteiksmgs"/>
          <w:b w:val="0"/>
          <w:color w:val="000000" w:themeColor="text1"/>
        </w:rPr>
        <w:t xml:space="preserve"> vajadzībām</w:t>
      </w:r>
      <w:r w:rsidR="003C74AE" w:rsidRPr="003D6047">
        <w:rPr>
          <w:rStyle w:val="Izteiksmgs"/>
          <w:b w:val="0"/>
          <w:color w:val="000000" w:themeColor="text1"/>
        </w:rPr>
        <w:t>.</w:t>
      </w:r>
      <w:r w:rsidR="003C74AE" w:rsidRPr="003D6047">
        <w:rPr>
          <w:rStyle w:val="Izteiksmgs"/>
          <w:color w:val="000000" w:themeColor="text1"/>
        </w:rPr>
        <w:t xml:space="preserve"> </w:t>
      </w:r>
    </w:p>
    <w:p w:rsidR="00FE2BB8" w:rsidRPr="003D6047" w:rsidRDefault="00FE2BB8" w:rsidP="009A2938">
      <w:pPr>
        <w:pStyle w:val="naisf"/>
        <w:spacing w:before="0" w:after="0"/>
        <w:ind w:firstLine="720"/>
        <w:rPr>
          <w:color w:val="000000" w:themeColor="text1"/>
        </w:rPr>
      </w:pPr>
    </w:p>
    <w:p w:rsidR="00A11D2B" w:rsidRPr="003D6047" w:rsidRDefault="00EA112A" w:rsidP="009A2938">
      <w:pPr>
        <w:pStyle w:val="Virsraksts1"/>
        <w:tabs>
          <w:tab w:val="clear" w:pos="432"/>
        </w:tabs>
        <w:ind w:left="0" w:firstLine="720"/>
        <w:rPr>
          <w:color w:val="000000" w:themeColor="text1"/>
          <w:sz w:val="24"/>
          <w:szCs w:val="24"/>
        </w:rPr>
      </w:pPr>
      <w:r w:rsidRPr="003D6047">
        <w:rPr>
          <w:color w:val="000000" w:themeColor="text1"/>
          <w:sz w:val="24"/>
          <w:szCs w:val="24"/>
        </w:rPr>
        <w:t xml:space="preserve">3. </w:t>
      </w:r>
      <w:r w:rsidR="005A4B17" w:rsidRPr="003D6047">
        <w:rPr>
          <w:color w:val="000000" w:themeColor="text1"/>
          <w:sz w:val="24"/>
          <w:szCs w:val="24"/>
        </w:rPr>
        <w:t xml:space="preserve">Graudu </w:t>
      </w:r>
      <w:r w:rsidR="006D7DAC" w:rsidRPr="003D6047">
        <w:rPr>
          <w:color w:val="000000" w:themeColor="text1"/>
          <w:sz w:val="24"/>
          <w:szCs w:val="24"/>
        </w:rPr>
        <w:t>kopražas</w:t>
      </w:r>
      <w:r w:rsidR="00BF2A76" w:rsidRPr="003D6047">
        <w:rPr>
          <w:color w:val="000000" w:themeColor="text1"/>
          <w:sz w:val="24"/>
          <w:szCs w:val="24"/>
        </w:rPr>
        <w:t xml:space="preserve"> </w:t>
      </w:r>
      <w:r w:rsidR="005A4B17" w:rsidRPr="003D6047">
        <w:rPr>
          <w:color w:val="000000" w:themeColor="text1"/>
          <w:sz w:val="24"/>
          <w:szCs w:val="24"/>
        </w:rPr>
        <w:t>prognoze</w:t>
      </w:r>
    </w:p>
    <w:p w:rsidR="00CD1474" w:rsidRPr="003D6047" w:rsidRDefault="00CB40B9" w:rsidP="009A2938">
      <w:pPr>
        <w:pStyle w:val="naisf"/>
        <w:spacing w:before="0" w:after="0"/>
        <w:ind w:firstLine="720"/>
        <w:rPr>
          <w:bCs/>
          <w:color w:val="000000" w:themeColor="text1"/>
        </w:rPr>
      </w:pPr>
      <w:r w:rsidRPr="003D6047">
        <w:rPr>
          <w:bCs/>
          <w:color w:val="000000" w:themeColor="text1"/>
        </w:rPr>
        <w:t xml:space="preserve">Ņemot vērā </w:t>
      </w:r>
      <w:r w:rsidR="00C0484B" w:rsidRPr="003D6047">
        <w:rPr>
          <w:bCs/>
          <w:color w:val="000000" w:themeColor="text1"/>
        </w:rPr>
        <w:t>nelabvēlīgos graudaugu augšanas un novākšanas</w:t>
      </w:r>
      <w:r w:rsidR="00CD1474" w:rsidRPr="003D6047">
        <w:rPr>
          <w:bCs/>
          <w:color w:val="000000" w:themeColor="text1"/>
        </w:rPr>
        <w:t xml:space="preserve"> apstākļus, </w:t>
      </w:r>
      <w:r w:rsidR="00C0484B" w:rsidRPr="003D6047">
        <w:rPr>
          <w:bCs/>
          <w:color w:val="000000" w:themeColor="text1"/>
        </w:rPr>
        <w:t>visu galveno graudaugu kultūraugu (kvieš</w:t>
      </w:r>
      <w:r w:rsidR="00A961FD" w:rsidRPr="003D6047">
        <w:rPr>
          <w:bCs/>
          <w:color w:val="000000" w:themeColor="text1"/>
        </w:rPr>
        <w:t>u</w:t>
      </w:r>
      <w:r w:rsidR="00C0484B" w:rsidRPr="003D6047">
        <w:rPr>
          <w:bCs/>
          <w:color w:val="000000" w:themeColor="text1"/>
        </w:rPr>
        <w:t>, rudz</w:t>
      </w:r>
      <w:r w:rsidR="00A961FD" w:rsidRPr="003D6047">
        <w:rPr>
          <w:bCs/>
          <w:color w:val="000000" w:themeColor="text1"/>
        </w:rPr>
        <w:t>u</w:t>
      </w:r>
      <w:r w:rsidR="00C0484B" w:rsidRPr="003D6047">
        <w:rPr>
          <w:bCs/>
          <w:color w:val="000000" w:themeColor="text1"/>
        </w:rPr>
        <w:t>, miež</w:t>
      </w:r>
      <w:r w:rsidR="00A961FD" w:rsidRPr="003D6047">
        <w:rPr>
          <w:bCs/>
          <w:color w:val="000000" w:themeColor="text1"/>
        </w:rPr>
        <w:t>u</w:t>
      </w:r>
      <w:r w:rsidR="00C0484B" w:rsidRPr="003D6047">
        <w:rPr>
          <w:bCs/>
          <w:color w:val="000000" w:themeColor="text1"/>
        </w:rPr>
        <w:t>, auz</w:t>
      </w:r>
      <w:r w:rsidR="00A961FD" w:rsidRPr="003D6047">
        <w:rPr>
          <w:bCs/>
          <w:color w:val="000000" w:themeColor="text1"/>
        </w:rPr>
        <w:t>u</w:t>
      </w:r>
      <w:r w:rsidR="00C0484B" w:rsidRPr="003D6047">
        <w:rPr>
          <w:bCs/>
          <w:color w:val="000000" w:themeColor="text1"/>
        </w:rPr>
        <w:t xml:space="preserve">) kopraža </w:t>
      </w:r>
      <w:r w:rsidR="00CD1474" w:rsidRPr="003D6047">
        <w:rPr>
          <w:bCs/>
          <w:color w:val="000000" w:themeColor="text1"/>
        </w:rPr>
        <w:t xml:space="preserve">Latvijā </w:t>
      </w:r>
      <w:r w:rsidR="00C0484B" w:rsidRPr="003D6047">
        <w:rPr>
          <w:bCs/>
          <w:color w:val="000000" w:themeColor="text1"/>
        </w:rPr>
        <w:t xml:space="preserve">šogad </w:t>
      </w:r>
      <w:r w:rsidR="00937BB2" w:rsidRPr="003D6047">
        <w:rPr>
          <w:bCs/>
          <w:color w:val="000000" w:themeColor="text1"/>
        </w:rPr>
        <w:t xml:space="preserve">ir </w:t>
      </w:r>
      <w:r w:rsidR="00C0484B" w:rsidRPr="003D6047">
        <w:rPr>
          <w:bCs/>
          <w:color w:val="000000" w:themeColor="text1"/>
        </w:rPr>
        <w:t>samazinā</w:t>
      </w:r>
      <w:r w:rsidR="00937BB2" w:rsidRPr="003D6047">
        <w:rPr>
          <w:bCs/>
          <w:color w:val="000000" w:themeColor="text1"/>
        </w:rPr>
        <w:t>ju</w:t>
      </w:r>
      <w:r w:rsidR="00C0484B" w:rsidRPr="003D6047">
        <w:rPr>
          <w:bCs/>
          <w:color w:val="000000" w:themeColor="text1"/>
        </w:rPr>
        <w:t>sies</w:t>
      </w:r>
      <w:r w:rsidR="00CD1474" w:rsidRPr="003D6047">
        <w:rPr>
          <w:bCs/>
          <w:color w:val="000000" w:themeColor="text1"/>
        </w:rPr>
        <w:t>.</w:t>
      </w:r>
    </w:p>
    <w:p w:rsidR="006A5CFC" w:rsidRPr="003D6047" w:rsidRDefault="00A961FD" w:rsidP="009A2938">
      <w:pPr>
        <w:pStyle w:val="naisf"/>
        <w:spacing w:before="0" w:after="0"/>
        <w:ind w:firstLine="720"/>
        <w:rPr>
          <w:bCs/>
          <w:color w:val="000000" w:themeColor="text1"/>
        </w:rPr>
      </w:pPr>
      <w:r w:rsidRPr="003D6047">
        <w:rPr>
          <w:bCs/>
          <w:color w:val="000000" w:themeColor="text1"/>
        </w:rPr>
        <w:t>Lai gan</w:t>
      </w:r>
      <w:r w:rsidR="00CD1474" w:rsidRPr="003D6047">
        <w:rPr>
          <w:bCs/>
          <w:color w:val="000000" w:themeColor="text1"/>
        </w:rPr>
        <w:t xml:space="preserve"> </w:t>
      </w:r>
      <w:r w:rsidR="00C0484B" w:rsidRPr="003D6047">
        <w:rPr>
          <w:bCs/>
          <w:color w:val="000000" w:themeColor="text1"/>
        </w:rPr>
        <w:t xml:space="preserve">graudaugu </w:t>
      </w:r>
      <w:r w:rsidR="002F4570" w:rsidRPr="003D6047">
        <w:rPr>
          <w:bCs/>
          <w:color w:val="000000" w:themeColor="text1"/>
        </w:rPr>
        <w:t>sējumu platīb</w:t>
      </w:r>
      <w:r w:rsidR="00C0484B" w:rsidRPr="003D6047">
        <w:rPr>
          <w:bCs/>
          <w:color w:val="000000" w:themeColor="text1"/>
        </w:rPr>
        <w:t>a</w:t>
      </w:r>
      <w:r w:rsidR="002F4570" w:rsidRPr="003D6047">
        <w:rPr>
          <w:bCs/>
          <w:color w:val="000000" w:themeColor="text1"/>
        </w:rPr>
        <w:t xml:space="preserve"> </w:t>
      </w:r>
      <w:r w:rsidR="00C0484B" w:rsidRPr="003D6047">
        <w:rPr>
          <w:bCs/>
          <w:color w:val="000000" w:themeColor="text1"/>
        </w:rPr>
        <w:t xml:space="preserve">šogad </w:t>
      </w:r>
      <w:r w:rsidRPr="003D6047">
        <w:rPr>
          <w:bCs/>
          <w:color w:val="000000" w:themeColor="text1"/>
        </w:rPr>
        <w:t xml:space="preserve">salīdzinājumā ar 2015. gadu bija </w:t>
      </w:r>
      <w:r w:rsidR="002F4570" w:rsidRPr="003D6047">
        <w:rPr>
          <w:bCs/>
          <w:color w:val="000000" w:themeColor="text1"/>
        </w:rPr>
        <w:t>par 42 tūkst</w:t>
      </w:r>
      <w:r w:rsidR="00C0484B" w:rsidRPr="003D6047">
        <w:rPr>
          <w:bCs/>
          <w:color w:val="000000" w:themeColor="text1"/>
        </w:rPr>
        <w:t>ošiem</w:t>
      </w:r>
      <w:r w:rsidR="002F4570" w:rsidRPr="003D6047">
        <w:rPr>
          <w:bCs/>
          <w:color w:val="000000" w:themeColor="text1"/>
        </w:rPr>
        <w:t xml:space="preserve"> ha jeb 6,3%</w:t>
      </w:r>
      <w:r w:rsidR="00CD1474" w:rsidRPr="003D6047">
        <w:rPr>
          <w:bCs/>
          <w:color w:val="000000" w:themeColor="text1"/>
        </w:rPr>
        <w:t xml:space="preserve"> </w:t>
      </w:r>
      <w:r w:rsidRPr="003D6047">
        <w:rPr>
          <w:bCs/>
          <w:color w:val="000000" w:themeColor="text1"/>
        </w:rPr>
        <w:t xml:space="preserve">lielāka </w:t>
      </w:r>
      <w:r w:rsidR="00CD1474" w:rsidRPr="003D6047">
        <w:rPr>
          <w:bCs/>
          <w:color w:val="000000" w:themeColor="text1"/>
        </w:rPr>
        <w:t>(</w:t>
      </w:r>
      <w:r w:rsidR="00C0484B" w:rsidRPr="003D6047">
        <w:rPr>
          <w:bCs/>
          <w:color w:val="000000" w:themeColor="text1"/>
        </w:rPr>
        <w:t>sk</w:t>
      </w:r>
      <w:r w:rsidRPr="003D6047">
        <w:rPr>
          <w:bCs/>
          <w:color w:val="000000" w:themeColor="text1"/>
        </w:rPr>
        <w:t>.</w:t>
      </w:r>
      <w:r w:rsidR="00C0484B" w:rsidRPr="003D6047">
        <w:rPr>
          <w:bCs/>
          <w:color w:val="000000" w:themeColor="text1"/>
        </w:rPr>
        <w:t xml:space="preserve"> </w:t>
      </w:r>
      <w:r w:rsidR="00CD1474" w:rsidRPr="003D6047">
        <w:rPr>
          <w:bCs/>
          <w:color w:val="000000" w:themeColor="text1"/>
        </w:rPr>
        <w:t>2.att</w:t>
      </w:r>
      <w:r w:rsidR="00C0484B" w:rsidRPr="003D6047">
        <w:rPr>
          <w:bCs/>
          <w:color w:val="000000" w:themeColor="text1"/>
        </w:rPr>
        <w:t>ēlu</w:t>
      </w:r>
      <w:r w:rsidR="00CD1474" w:rsidRPr="003D6047">
        <w:rPr>
          <w:bCs/>
          <w:color w:val="000000" w:themeColor="text1"/>
        </w:rPr>
        <w:t>)</w:t>
      </w:r>
      <w:r w:rsidR="002F4570" w:rsidRPr="003D6047">
        <w:rPr>
          <w:bCs/>
          <w:color w:val="000000" w:themeColor="text1"/>
        </w:rPr>
        <w:t xml:space="preserve">, </w:t>
      </w:r>
      <w:r w:rsidR="00C0484B" w:rsidRPr="003D6047">
        <w:rPr>
          <w:bCs/>
          <w:color w:val="000000" w:themeColor="text1"/>
        </w:rPr>
        <w:t>kopējā graudu kopraža būs par 17% mazāka</w:t>
      </w:r>
      <w:r w:rsidRPr="003D6047">
        <w:rPr>
          <w:bCs/>
          <w:color w:val="000000" w:themeColor="text1"/>
        </w:rPr>
        <w:t>, t.i.,</w:t>
      </w:r>
      <w:r w:rsidR="00C0484B" w:rsidRPr="003D6047">
        <w:rPr>
          <w:bCs/>
          <w:color w:val="000000" w:themeColor="text1"/>
        </w:rPr>
        <w:t xml:space="preserve"> aptuveni 2,509 miljonu tonnu apjomā. </w:t>
      </w:r>
      <w:r w:rsidRPr="003D6047">
        <w:rPr>
          <w:bCs/>
          <w:color w:val="000000" w:themeColor="text1"/>
        </w:rPr>
        <w:t>Pēc Latvijas Lauku konsultāciju un izglītības centra (turpmāk – LLKC) un ZM speciālistu prognozes, g</w:t>
      </w:r>
      <w:r w:rsidR="00C0484B" w:rsidRPr="003D6047">
        <w:rPr>
          <w:bCs/>
          <w:color w:val="000000" w:themeColor="text1"/>
        </w:rPr>
        <w:t xml:space="preserve">raudu kopraža šogad būs par 513 tūkst. tonnām mazāka </w:t>
      </w:r>
      <w:r w:rsidR="00DA74BB" w:rsidRPr="003D6047">
        <w:rPr>
          <w:bCs/>
          <w:color w:val="000000" w:themeColor="text1"/>
        </w:rPr>
        <w:t xml:space="preserve">nekā pērn </w:t>
      </w:r>
      <w:r w:rsidR="00C0484B" w:rsidRPr="003D6047">
        <w:rPr>
          <w:bCs/>
          <w:color w:val="000000" w:themeColor="text1"/>
        </w:rPr>
        <w:t>(sk</w:t>
      </w:r>
      <w:r w:rsidRPr="003D6047">
        <w:rPr>
          <w:bCs/>
          <w:color w:val="000000" w:themeColor="text1"/>
        </w:rPr>
        <w:t>.</w:t>
      </w:r>
      <w:r w:rsidR="00C0484B" w:rsidRPr="003D6047">
        <w:rPr>
          <w:bCs/>
          <w:color w:val="000000" w:themeColor="text1"/>
        </w:rPr>
        <w:t xml:space="preserve"> 1.attēlu).</w:t>
      </w:r>
    </w:p>
    <w:p w:rsidR="007C1330" w:rsidRPr="003D6047" w:rsidRDefault="00937BB2" w:rsidP="009A2938">
      <w:pPr>
        <w:pStyle w:val="naisf"/>
        <w:tabs>
          <w:tab w:val="left" w:pos="1134"/>
        </w:tabs>
        <w:spacing w:before="0" w:after="0"/>
        <w:ind w:firstLine="720"/>
        <w:rPr>
          <w:bCs/>
          <w:color w:val="000000" w:themeColor="text1"/>
        </w:rPr>
      </w:pPr>
      <w:r w:rsidRPr="003D6047">
        <w:rPr>
          <w:bCs/>
          <w:color w:val="000000" w:themeColor="text1"/>
        </w:rPr>
        <w:t>G</w:t>
      </w:r>
      <w:r w:rsidR="007C1330" w:rsidRPr="003D6047">
        <w:rPr>
          <w:bCs/>
          <w:color w:val="000000" w:themeColor="text1"/>
        </w:rPr>
        <w:t xml:space="preserve">raudu kopražas struktūrā 2016. gadā lielāko īpatsvaru </w:t>
      </w:r>
      <w:r w:rsidRPr="003D6047">
        <w:rPr>
          <w:bCs/>
          <w:color w:val="000000" w:themeColor="text1"/>
        </w:rPr>
        <w:t>sastāda</w:t>
      </w:r>
      <w:r w:rsidR="007C1330" w:rsidRPr="003D6047">
        <w:rPr>
          <w:bCs/>
          <w:color w:val="000000" w:themeColor="text1"/>
        </w:rPr>
        <w:t xml:space="preserve"> ziemas kvieši</w:t>
      </w:r>
      <w:r w:rsidR="0092724E" w:rsidRPr="003D6047">
        <w:rPr>
          <w:bCs/>
          <w:color w:val="000000" w:themeColor="text1"/>
        </w:rPr>
        <w:t>, attiecīgi</w:t>
      </w:r>
      <w:r w:rsidR="007C1330" w:rsidRPr="003D6047">
        <w:rPr>
          <w:bCs/>
          <w:color w:val="000000" w:themeColor="text1"/>
        </w:rPr>
        <w:t xml:space="preserve"> 54%, </w:t>
      </w:r>
      <w:r w:rsidR="0092724E" w:rsidRPr="003D6047">
        <w:rPr>
          <w:bCs/>
          <w:color w:val="000000" w:themeColor="text1"/>
        </w:rPr>
        <w:t xml:space="preserve">kamēr </w:t>
      </w:r>
      <w:r w:rsidR="007C1330" w:rsidRPr="003D6047">
        <w:rPr>
          <w:bCs/>
          <w:color w:val="000000" w:themeColor="text1"/>
        </w:rPr>
        <w:t>vasaras kvieši</w:t>
      </w:r>
      <w:r w:rsidR="0092724E" w:rsidRPr="003D6047">
        <w:rPr>
          <w:bCs/>
          <w:color w:val="000000" w:themeColor="text1"/>
        </w:rPr>
        <w:t xml:space="preserve"> 21%</w:t>
      </w:r>
      <w:r w:rsidR="007C1330" w:rsidRPr="003D6047">
        <w:rPr>
          <w:bCs/>
          <w:color w:val="000000" w:themeColor="text1"/>
        </w:rPr>
        <w:t>,</w:t>
      </w:r>
      <w:r w:rsidR="0092724E" w:rsidRPr="003D6047">
        <w:rPr>
          <w:bCs/>
          <w:color w:val="000000" w:themeColor="text1"/>
        </w:rPr>
        <w:t xml:space="preserve"> </w:t>
      </w:r>
      <w:r w:rsidR="007C1330" w:rsidRPr="003D6047">
        <w:rPr>
          <w:bCs/>
          <w:color w:val="000000" w:themeColor="text1"/>
        </w:rPr>
        <w:t>vasaras mieži</w:t>
      </w:r>
      <w:r w:rsidR="0092724E" w:rsidRPr="003D6047">
        <w:rPr>
          <w:bCs/>
          <w:color w:val="000000" w:themeColor="text1"/>
        </w:rPr>
        <w:t xml:space="preserve"> 11%</w:t>
      </w:r>
      <w:r w:rsidR="007C1330" w:rsidRPr="003D6047">
        <w:rPr>
          <w:bCs/>
          <w:color w:val="000000" w:themeColor="text1"/>
        </w:rPr>
        <w:t>, auzas</w:t>
      </w:r>
      <w:r w:rsidR="0092724E" w:rsidRPr="003D6047">
        <w:rPr>
          <w:bCs/>
          <w:color w:val="000000" w:themeColor="text1"/>
        </w:rPr>
        <w:t xml:space="preserve"> 6%</w:t>
      </w:r>
      <w:r w:rsidR="007C1330" w:rsidRPr="003D6047">
        <w:rPr>
          <w:bCs/>
          <w:color w:val="000000" w:themeColor="text1"/>
        </w:rPr>
        <w:t>, rudzi</w:t>
      </w:r>
      <w:r w:rsidR="0092724E" w:rsidRPr="003D6047">
        <w:rPr>
          <w:bCs/>
          <w:color w:val="000000" w:themeColor="text1"/>
        </w:rPr>
        <w:t xml:space="preserve"> 5%</w:t>
      </w:r>
      <w:r w:rsidR="007C1330" w:rsidRPr="003D6047">
        <w:rPr>
          <w:bCs/>
          <w:color w:val="000000" w:themeColor="text1"/>
        </w:rPr>
        <w:t>, savukārt pārēj</w:t>
      </w:r>
      <w:r w:rsidR="0092724E" w:rsidRPr="003D6047">
        <w:rPr>
          <w:bCs/>
          <w:color w:val="000000" w:themeColor="text1"/>
        </w:rPr>
        <w:t>ie</w:t>
      </w:r>
      <w:r w:rsidR="007C1330" w:rsidRPr="003D6047">
        <w:rPr>
          <w:bCs/>
          <w:color w:val="000000" w:themeColor="text1"/>
        </w:rPr>
        <w:t xml:space="preserve"> graudaugu kultūra</w:t>
      </w:r>
      <w:r w:rsidR="0092724E" w:rsidRPr="003D6047">
        <w:rPr>
          <w:bCs/>
          <w:color w:val="000000" w:themeColor="text1"/>
        </w:rPr>
        <w:t>ugi</w:t>
      </w:r>
      <w:r w:rsidR="007C1330" w:rsidRPr="003D6047">
        <w:rPr>
          <w:bCs/>
          <w:color w:val="000000" w:themeColor="text1"/>
        </w:rPr>
        <w:t xml:space="preserve"> </w:t>
      </w:r>
      <w:r w:rsidR="0092724E" w:rsidRPr="003D6047">
        <w:rPr>
          <w:bCs/>
          <w:color w:val="000000" w:themeColor="text1"/>
        </w:rPr>
        <w:t>ap</w:t>
      </w:r>
      <w:r w:rsidR="007C1330" w:rsidRPr="003D6047">
        <w:rPr>
          <w:bCs/>
          <w:color w:val="000000" w:themeColor="text1"/>
        </w:rPr>
        <w:t xml:space="preserve"> 1%.</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63"/>
      </w:tblGrid>
      <w:tr w:rsidR="00DC1F2A" w:rsidRPr="00DC1F2A" w:rsidTr="009A2938">
        <w:trPr>
          <w:trHeight w:val="3344"/>
        </w:trPr>
        <w:tc>
          <w:tcPr>
            <w:tcW w:w="4609" w:type="dxa"/>
          </w:tcPr>
          <w:p w:rsidR="00E21062" w:rsidRPr="00DC1F2A" w:rsidRDefault="00E21062" w:rsidP="00E018D8">
            <w:pPr>
              <w:spacing w:before="60" w:after="60"/>
              <w:rPr>
                <w:rFonts w:ascii="Times New Roman" w:hAnsi="Times New Roman"/>
                <w:color w:val="000000" w:themeColor="text1"/>
                <w:sz w:val="28"/>
                <w:szCs w:val="28"/>
              </w:rPr>
            </w:pPr>
            <w:r w:rsidRPr="00DC1F2A">
              <w:rPr>
                <w:rFonts w:ascii="Times New Roman" w:hAnsi="Times New Roman"/>
                <w:noProof/>
                <w:color w:val="000000" w:themeColor="text1"/>
                <w:sz w:val="28"/>
                <w:szCs w:val="28"/>
              </w:rPr>
              <w:drawing>
                <wp:inline distT="0" distB="0" distL="0" distR="0" wp14:anchorId="30881417" wp14:editId="6F777FEF">
                  <wp:extent cx="2863850" cy="2753995"/>
                  <wp:effectExtent l="0" t="0" r="12700" b="8255"/>
                  <wp:docPr id="1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462" w:type="dxa"/>
          </w:tcPr>
          <w:p w:rsidR="00E21062" w:rsidRPr="00DC1F2A" w:rsidRDefault="00E21062" w:rsidP="00E018D8">
            <w:pPr>
              <w:spacing w:before="60" w:after="60"/>
              <w:jc w:val="both"/>
              <w:rPr>
                <w:rFonts w:ascii="Times New Roman" w:hAnsi="Times New Roman"/>
                <w:color w:val="000000" w:themeColor="text1"/>
                <w:sz w:val="28"/>
                <w:szCs w:val="28"/>
              </w:rPr>
            </w:pPr>
            <w:r w:rsidRPr="00DC1F2A">
              <w:rPr>
                <w:rFonts w:ascii="Times New Roman" w:hAnsi="Times New Roman"/>
                <w:noProof/>
                <w:color w:val="000000" w:themeColor="text1"/>
                <w:sz w:val="28"/>
                <w:szCs w:val="28"/>
              </w:rPr>
              <w:drawing>
                <wp:inline distT="0" distB="0" distL="0" distR="0" wp14:anchorId="5673DBE6" wp14:editId="35C7EBEF">
                  <wp:extent cx="2771775" cy="2753995"/>
                  <wp:effectExtent l="0" t="0" r="9525" b="8255"/>
                  <wp:docPr id="1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DC1F2A" w:rsidRPr="003D6047" w:rsidTr="009A2938">
        <w:trPr>
          <w:trHeight w:val="350"/>
        </w:trPr>
        <w:tc>
          <w:tcPr>
            <w:tcW w:w="4609" w:type="dxa"/>
          </w:tcPr>
          <w:p w:rsidR="003D6047" w:rsidRDefault="003D6047" w:rsidP="00E018D8">
            <w:pPr>
              <w:pStyle w:val="naisf"/>
              <w:spacing w:before="60" w:after="60"/>
              <w:ind w:firstLine="0"/>
              <w:rPr>
                <w:noProof/>
                <w:color w:val="000000" w:themeColor="text1"/>
              </w:rPr>
            </w:pPr>
          </w:p>
          <w:p w:rsidR="0092724E" w:rsidRPr="003D6047" w:rsidRDefault="0092724E" w:rsidP="00E018D8">
            <w:pPr>
              <w:pStyle w:val="naisf"/>
              <w:spacing w:before="60" w:after="60"/>
              <w:ind w:firstLine="0"/>
              <w:rPr>
                <w:i/>
                <w:noProof/>
                <w:color w:val="000000" w:themeColor="text1"/>
              </w:rPr>
            </w:pPr>
            <w:r w:rsidRPr="003D6047">
              <w:rPr>
                <w:noProof/>
                <w:color w:val="000000" w:themeColor="text1"/>
              </w:rPr>
              <w:t>1. attēls</w:t>
            </w:r>
            <w:r w:rsidR="00A961FD" w:rsidRPr="003D6047">
              <w:rPr>
                <w:noProof/>
                <w:color w:val="000000" w:themeColor="text1"/>
              </w:rPr>
              <w:t>.</w:t>
            </w:r>
            <w:r w:rsidRPr="003D6047">
              <w:rPr>
                <w:noProof/>
                <w:color w:val="000000" w:themeColor="text1"/>
              </w:rPr>
              <w:t xml:space="preserve"> Graudu kopraža</w:t>
            </w:r>
          </w:p>
        </w:tc>
        <w:tc>
          <w:tcPr>
            <w:tcW w:w="4462" w:type="dxa"/>
          </w:tcPr>
          <w:p w:rsidR="003D6047" w:rsidRDefault="003D6047" w:rsidP="00E018D8">
            <w:pPr>
              <w:spacing w:before="60" w:after="60"/>
              <w:jc w:val="both"/>
              <w:rPr>
                <w:rFonts w:ascii="Times New Roman" w:hAnsi="Times New Roman"/>
                <w:noProof/>
                <w:color w:val="000000" w:themeColor="text1"/>
                <w:sz w:val="24"/>
                <w:szCs w:val="24"/>
              </w:rPr>
            </w:pPr>
          </w:p>
          <w:p w:rsidR="0092724E" w:rsidRPr="003D6047" w:rsidRDefault="0092724E" w:rsidP="00E018D8">
            <w:pPr>
              <w:spacing w:before="60" w:after="60"/>
              <w:jc w:val="both"/>
              <w:rPr>
                <w:rFonts w:ascii="Times New Roman" w:hAnsi="Times New Roman"/>
                <w:i/>
                <w:noProof/>
                <w:color w:val="000000" w:themeColor="text1"/>
                <w:sz w:val="24"/>
                <w:szCs w:val="24"/>
              </w:rPr>
            </w:pPr>
            <w:r w:rsidRPr="003D6047">
              <w:rPr>
                <w:rFonts w:ascii="Times New Roman" w:hAnsi="Times New Roman"/>
                <w:noProof/>
                <w:color w:val="000000" w:themeColor="text1"/>
                <w:sz w:val="24"/>
                <w:szCs w:val="24"/>
              </w:rPr>
              <w:t>2. attēls</w:t>
            </w:r>
            <w:r w:rsidR="00A961FD" w:rsidRPr="003D6047">
              <w:rPr>
                <w:rFonts w:ascii="Times New Roman" w:hAnsi="Times New Roman"/>
                <w:noProof/>
                <w:color w:val="000000" w:themeColor="text1"/>
                <w:sz w:val="24"/>
                <w:szCs w:val="24"/>
              </w:rPr>
              <w:t>.</w:t>
            </w:r>
            <w:r w:rsidRPr="003D6047">
              <w:rPr>
                <w:rFonts w:ascii="Times New Roman" w:hAnsi="Times New Roman"/>
                <w:noProof/>
                <w:color w:val="000000" w:themeColor="text1"/>
                <w:sz w:val="24"/>
                <w:szCs w:val="24"/>
              </w:rPr>
              <w:t xml:space="preserve"> Graudaugu sējumu platības</w:t>
            </w:r>
          </w:p>
        </w:tc>
      </w:tr>
      <w:tr w:rsidR="00DC1F2A" w:rsidRPr="003D6047" w:rsidTr="009A2938">
        <w:trPr>
          <w:trHeight w:val="350"/>
        </w:trPr>
        <w:tc>
          <w:tcPr>
            <w:tcW w:w="4609" w:type="dxa"/>
          </w:tcPr>
          <w:p w:rsidR="00D0081A" w:rsidRPr="003D6047" w:rsidRDefault="00D0081A" w:rsidP="00E018D8">
            <w:pPr>
              <w:pStyle w:val="naisf"/>
              <w:spacing w:before="60" w:after="60"/>
              <w:ind w:firstLine="0"/>
              <w:rPr>
                <w:bCs/>
                <w:i/>
                <w:color w:val="000000" w:themeColor="text1"/>
              </w:rPr>
            </w:pPr>
            <w:r w:rsidRPr="003D6047">
              <w:rPr>
                <w:i/>
                <w:noProof/>
                <w:color w:val="000000" w:themeColor="text1"/>
              </w:rPr>
              <w:t xml:space="preserve">Avots: CSP, </w:t>
            </w:r>
            <w:r w:rsidRPr="003D6047">
              <w:rPr>
                <w:bCs/>
                <w:i/>
                <w:color w:val="000000" w:themeColor="text1"/>
              </w:rPr>
              <w:t>(p) – LLKC un ZM prognoze</w:t>
            </w:r>
          </w:p>
        </w:tc>
        <w:tc>
          <w:tcPr>
            <w:tcW w:w="4462" w:type="dxa"/>
          </w:tcPr>
          <w:p w:rsidR="00D0081A" w:rsidRPr="003D6047" w:rsidRDefault="00D0081A" w:rsidP="00E018D8">
            <w:pPr>
              <w:spacing w:before="60" w:after="60"/>
              <w:jc w:val="both"/>
              <w:rPr>
                <w:rFonts w:ascii="Times New Roman" w:hAnsi="Times New Roman"/>
                <w:i/>
                <w:noProof/>
                <w:color w:val="000000" w:themeColor="text1"/>
                <w:sz w:val="24"/>
                <w:szCs w:val="24"/>
              </w:rPr>
            </w:pPr>
            <w:r w:rsidRPr="003D6047">
              <w:rPr>
                <w:rFonts w:ascii="Times New Roman" w:hAnsi="Times New Roman"/>
                <w:i/>
                <w:noProof/>
                <w:color w:val="000000" w:themeColor="text1"/>
                <w:sz w:val="24"/>
                <w:szCs w:val="24"/>
              </w:rPr>
              <w:t xml:space="preserve">Avots: CSP, </w:t>
            </w:r>
            <w:r w:rsidRPr="003D6047">
              <w:rPr>
                <w:rFonts w:ascii="Times New Roman" w:hAnsi="Times New Roman"/>
                <w:bCs/>
                <w:i/>
                <w:color w:val="000000" w:themeColor="text1"/>
                <w:sz w:val="24"/>
                <w:szCs w:val="24"/>
              </w:rPr>
              <w:t>(p) – LLKC un ZM prognoze</w:t>
            </w:r>
          </w:p>
        </w:tc>
      </w:tr>
    </w:tbl>
    <w:p w:rsidR="00D75228" w:rsidRPr="003D6047" w:rsidRDefault="00D75228" w:rsidP="009A2938">
      <w:pPr>
        <w:pStyle w:val="naisf"/>
        <w:spacing w:before="0" w:after="0"/>
        <w:ind w:firstLine="720"/>
        <w:rPr>
          <w:color w:val="000000" w:themeColor="text1"/>
        </w:rPr>
      </w:pPr>
      <w:r w:rsidRPr="003D6047">
        <w:rPr>
          <w:bCs/>
          <w:color w:val="000000" w:themeColor="text1"/>
        </w:rPr>
        <w:t xml:space="preserve">Vislielākais </w:t>
      </w:r>
      <w:r w:rsidR="0092724E" w:rsidRPr="003D6047">
        <w:rPr>
          <w:bCs/>
          <w:color w:val="000000" w:themeColor="text1"/>
        </w:rPr>
        <w:t>kop</w:t>
      </w:r>
      <w:r w:rsidRPr="003D6047">
        <w:rPr>
          <w:bCs/>
          <w:color w:val="000000" w:themeColor="text1"/>
        </w:rPr>
        <w:t xml:space="preserve">ražas </w:t>
      </w:r>
      <w:r w:rsidR="0092724E" w:rsidRPr="003D6047">
        <w:rPr>
          <w:bCs/>
          <w:color w:val="000000" w:themeColor="text1"/>
        </w:rPr>
        <w:t>samazinājums</w:t>
      </w:r>
      <w:r w:rsidRPr="003D6047">
        <w:rPr>
          <w:bCs/>
          <w:color w:val="000000" w:themeColor="text1"/>
        </w:rPr>
        <w:t xml:space="preserve"> </w:t>
      </w:r>
      <w:r w:rsidR="003029D7" w:rsidRPr="003D6047">
        <w:rPr>
          <w:bCs/>
          <w:color w:val="000000" w:themeColor="text1"/>
        </w:rPr>
        <w:t>2016.</w:t>
      </w:r>
      <w:r w:rsidR="00937BB2" w:rsidRPr="003D6047">
        <w:rPr>
          <w:bCs/>
          <w:color w:val="000000" w:themeColor="text1"/>
        </w:rPr>
        <w:t xml:space="preserve"> </w:t>
      </w:r>
      <w:r w:rsidR="003029D7" w:rsidRPr="003D6047">
        <w:rPr>
          <w:bCs/>
          <w:color w:val="000000" w:themeColor="text1"/>
        </w:rPr>
        <w:t xml:space="preserve">gadā </w:t>
      </w:r>
      <w:r w:rsidR="0092724E" w:rsidRPr="003D6047">
        <w:rPr>
          <w:bCs/>
          <w:color w:val="000000" w:themeColor="text1"/>
        </w:rPr>
        <w:t>tiek</w:t>
      </w:r>
      <w:r w:rsidR="003029D7" w:rsidRPr="003D6047">
        <w:rPr>
          <w:bCs/>
          <w:color w:val="000000" w:themeColor="text1"/>
        </w:rPr>
        <w:t xml:space="preserve"> prognozēts</w:t>
      </w:r>
      <w:r w:rsidRPr="003D6047">
        <w:rPr>
          <w:color w:val="000000" w:themeColor="text1"/>
        </w:rPr>
        <w:t xml:space="preserve"> </w:t>
      </w:r>
      <w:r w:rsidR="00937BB2" w:rsidRPr="003D6047">
        <w:rPr>
          <w:bCs/>
          <w:color w:val="000000" w:themeColor="text1"/>
        </w:rPr>
        <w:t>ziemas kviešiem</w:t>
      </w:r>
      <w:r w:rsidR="00937BB2" w:rsidRPr="003D6047">
        <w:rPr>
          <w:color w:val="000000" w:themeColor="text1"/>
        </w:rPr>
        <w:t xml:space="preserve"> – par 253,5 tūkst. tonnām jeb 16%, </w:t>
      </w:r>
      <w:r w:rsidR="00937BB2" w:rsidRPr="003D6047">
        <w:rPr>
          <w:bCs/>
          <w:color w:val="000000" w:themeColor="text1"/>
        </w:rPr>
        <w:t>vasaras kviešiem</w:t>
      </w:r>
      <w:r w:rsidR="00937BB2" w:rsidRPr="003D6047">
        <w:rPr>
          <w:color w:val="000000" w:themeColor="text1"/>
        </w:rPr>
        <w:t xml:space="preserve"> – par 112,1 tūkst. tonnām jeb 17% un </w:t>
      </w:r>
      <w:r w:rsidRPr="003D6047">
        <w:rPr>
          <w:bCs/>
          <w:color w:val="000000" w:themeColor="text1"/>
        </w:rPr>
        <w:t>vasaras miežiem</w:t>
      </w:r>
      <w:r w:rsidR="002A74FF" w:rsidRPr="003D6047">
        <w:rPr>
          <w:bCs/>
          <w:color w:val="000000" w:themeColor="text1"/>
        </w:rPr>
        <w:t xml:space="preserve"> </w:t>
      </w:r>
      <w:r w:rsidR="00A961FD" w:rsidRPr="003D6047">
        <w:rPr>
          <w:bCs/>
          <w:color w:val="000000" w:themeColor="text1"/>
        </w:rPr>
        <w:t xml:space="preserve">– </w:t>
      </w:r>
      <w:r w:rsidR="002A74FF" w:rsidRPr="003D6047">
        <w:rPr>
          <w:bCs/>
          <w:color w:val="000000" w:themeColor="text1"/>
        </w:rPr>
        <w:t>par</w:t>
      </w:r>
      <w:r w:rsidRPr="003D6047">
        <w:rPr>
          <w:color w:val="000000" w:themeColor="text1"/>
        </w:rPr>
        <w:t xml:space="preserve"> 85,5 tūkst. t</w:t>
      </w:r>
      <w:r w:rsidR="002A74FF" w:rsidRPr="003D6047">
        <w:rPr>
          <w:color w:val="000000" w:themeColor="text1"/>
        </w:rPr>
        <w:t>onnām</w:t>
      </w:r>
      <w:r w:rsidRPr="003D6047">
        <w:rPr>
          <w:color w:val="000000" w:themeColor="text1"/>
        </w:rPr>
        <w:t xml:space="preserve"> </w:t>
      </w:r>
      <w:r w:rsidR="002A74FF" w:rsidRPr="003D6047">
        <w:rPr>
          <w:color w:val="000000" w:themeColor="text1"/>
        </w:rPr>
        <w:t xml:space="preserve">jeb </w:t>
      </w:r>
      <w:r w:rsidRPr="003D6047">
        <w:rPr>
          <w:color w:val="000000" w:themeColor="text1"/>
        </w:rPr>
        <w:t>23%</w:t>
      </w:r>
      <w:r w:rsidR="00937BB2" w:rsidRPr="003D6047">
        <w:rPr>
          <w:color w:val="000000" w:themeColor="text1"/>
        </w:rPr>
        <w:t>.</w:t>
      </w:r>
    </w:p>
    <w:p w:rsidR="00912339" w:rsidRPr="003D6047" w:rsidRDefault="00912339" w:rsidP="009A2938">
      <w:pPr>
        <w:pStyle w:val="Virsraksts1"/>
        <w:tabs>
          <w:tab w:val="clear" w:pos="432"/>
        </w:tabs>
        <w:ind w:left="0" w:firstLine="720"/>
        <w:rPr>
          <w:color w:val="000000" w:themeColor="text1"/>
          <w:sz w:val="24"/>
          <w:szCs w:val="24"/>
        </w:rPr>
      </w:pPr>
    </w:p>
    <w:p w:rsidR="00A10B51" w:rsidRPr="003D6047" w:rsidRDefault="00DF0197" w:rsidP="009A2938">
      <w:pPr>
        <w:pStyle w:val="Virsraksts1"/>
        <w:tabs>
          <w:tab w:val="clear" w:pos="432"/>
        </w:tabs>
        <w:ind w:left="0" w:firstLine="720"/>
        <w:rPr>
          <w:color w:val="000000" w:themeColor="text1"/>
          <w:sz w:val="24"/>
          <w:szCs w:val="24"/>
        </w:rPr>
      </w:pPr>
      <w:r w:rsidRPr="003D6047">
        <w:rPr>
          <w:color w:val="000000" w:themeColor="text1"/>
          <w:sz w:val="24"/>
          <w:szCs w:val="24"/>
        </w:rPr>
        <w:t xml:space="preserve">4. </w:t>
      </w:r>
      <w:r w:rsidR="002A74FF" w:rsidRPr="003D6047">
        <w:rPr>
          <w:color w:val="000000" w:themeColor="text1"/>
          <w:sz w:val="24"/>
          <w:szCs w:val="24"/>
        </w:rPr>
        <w:t xml:space="preserve">Graudu iepirkuma </w:t>
      </w:r>
      <w:r w:rsidR="00B22B9E" w:rsidRPr="003D6047">
        <w:rPr>
          <w:color w:val="000000" w:themeColor="text1"/>
          <w:sz w:val="24"/>
          <w:szCs w:val="24"/>
        </w:rPr>
        <w:t>cenas</w:t>
      </w:r>
    </w:p>
    <w:p w:rsidR="00B72C1B" w:rsidRPr="003D6047" w:rsidRDefault="002A74FF" w:rsidP="009A2938">
      <w:pPr>
        <w:ind w:firstLine="720"/>
        <w:jc w:val="both"/>
        <w:rPr>
          <w:rFonts w:ascii="Times New Roman" w:hAnsi="Times New Roman"/>
          <w:color w:val="000000" w:themeColor="text1"/>
          <w:sz w:val="24"/>
          <w:szCs w:val="24"/>
        </w:rPr>
      </w:pPr>
      <w:r w:rsidRPr="003D6047">
        <w:rPr>
          <w:rFonts w:ascii="Times New Roman" w:eastAsia="Times New Roman" w:hAnsi="Times New Roman"/>
          <w:color w:val="000000" w:themeColor="text1"/>
          <w:sz w:val="24"/>
          <w:szCs w:val="24"/>
        </w:rPr>
        <w:t>Graudu tirgū jau kopš 2012.</w:t>
      </w:r>
      <w:r w:rsidR="003807B3" w:rsidRPr="003D6047">
        <w:rPr>
          <w:rFonts w:ascii="Times New Roman" w:eastAsia="Times New Roman" w:hAnsi="Times New Roman"/>
          <w:color w:val="000000" w:themeColor="text1"/>
          <w:sz w:val="24"/>
          <w:szCs w:val="24"/>
        </w:rPr>
        <w:t xml:space="preserve"> </w:t>
      </w:r>
      <w:r w:rsidRPr="003D6047">
        <w:rPr>
          <w:rFonts w:ascii="Times New Roman" w:eastAsia="Times New Roman" w:hAnsi="Times New Roman"/>
          <w:color w:val="000000" w:themeColor="text1"/>
          <w:sz w:val="24"/>
          <w:szCs w:val="24"/>
        </w:rPr>
        <w:t>gada sākuma vērojama pakāpeniska graudu iepirkuma cenu samazināšanās</w:t>
      </w:r>
      <w:r w:rsidR="003807B3" w:rsidRPr="003D6047">
        <w:rPr>
          <w:rFonts w:ascii="Times New Roman" w:eastAsia="Times New Roman" w:hAnsi="Times New Roman"/>
          <w:color w:val="000000" w:themeColor="text1"/>
          <w:sz w:val="24"/>
          <w:szCs w:val="24"/>
        </w:rPr>
        <w:t>.</w:t>
      </w:r>
      <w:r w:rsidRPr="003D6047">
        <w:rPr>
          <w:rFonts w:ascii="Times New Roman" w:eastAsia="Times New Roman" w:hAnsi="Times New Roman"/>
          <w:color w:val="000000" w:themeColor="text1"/>
          <w:sz w:val="24"/>
          <w:szCs w:val="24"/>
        </w:rPr>
        <w:t xml:space="preserve"> </w:t>
      </w:r>
      <w:r w:rsidR="00DF0197" w:rsidRPr="003D6047">
        <w:rPr>
          <w:rFonts w:ascii="Times New Roman" w:hAnsi="Times New Roman"/>
          <w:color w:val="000000" w:themeColor="text1"/>
          <w:sz w:val="24"/>
          <w:szCs w:val="24"/>
        </w:rPr>
        <w:t>P</w:t>
      </w:r>
      <w:r w:rsidR="00CA2931" w:rsidRPr="003D6047">
        <w:rPr>
          <w:rFonts w:ascii="Times New Roman" w:hAnsi="Times New Roman"/>
          <w:color w:val="000000" w:themeColor="text1"/>
          <w:sz w:val="24"/>
          <w:szCs w:val="24"/>
        </w:rPr>
        <w:t>ārtikas kviešu</w:t>
      </w:r>
      <w:r w:rsidR="00DF0197" w:rsidRPr="003D6047">
        <w:rPr>
          <w:rFonts w:ascii="Times New Roman" w:hAnsi="Times New Roman"/>
          <w:color w:val="000000" w:themeColor="text1"/>
          <w:sz w:val="24"/>
          <w:szCs w:val="24"/>
        </w:rPr>
        <w:t xml:space="preserve"> un lopbarības kviešu</w:t>
      </w:r>
      <w:r w:rsidR="00CA2931" w:rsidRPr="003D6047">
        <w:rPr>
          <w:rFonts w:ascii="Times New Roman" w:hAnsi="Times New Roman"/>
          <w:color w:val="000000" w:themeColor="text1"/>
          <w:sz w:val="24"/>
          <w:szCs w:val="24"/>
        </w:rPr>
        <w:t xml:space="preserve"> </w:t>
      </w:r>
      <w:r w:rsidR="00DF0197" w:rsidRPr="003D6047">
        <w:rPr>
          <w:rFonts w:ascii="Times New Roman" w:hAnsi="Times New Roman"/>
          <w:color w:val="000000" w:themeColor="text1"/>
          <w:sz w:val="24"/>
          <w:szCs w:val="24"/>
        </w:rPr>
        <w:t xml:space="preserve">iepirkuma </w:t>
      </w:r>
      <w:r w:rsidR="00CA2931" w:rsidRPr="003D6047">
        <w:rPr>
          <w:rFonts w:ascii="Times New Roman" w:hAnsi="Times New Roman"/>
          <w:color w:val="000000" w:themeColor="text1"/>
          <w:sz w:val="24"/>
          <w:szCs w:val="24"/>
        </w:rPr>
        <w:t>cena</w:t>
      </w:r>
      <w:r w:rsidR="00DF0197" w:rsidRPr="003D6047">
        <w:rPr>
          <w:rFonts w:ascii="Times New Roman" w:hAnsi="Times New Roman"/>
          <w:color w:val="000000" w:themeColor="text1"/>
          <w:sz w:val="24"/>
          <w:szCs w:val="24"/>
        </w:rPr>
        <w:t xml:space="preserve"> šī gada septembrī</w:t>
      </w:r>
      <w:r w:rsidR="00CA2931" w:rsidRPr="003D6047">
        <w:rPr>
          <w:rFonts w:ascii="Times New Roman" w:hAnsi="Times New Roman"/>
          <w:color w:val="000000" w:themeColor="text1"/>
          <w:sz w:val="24"/>
          <w:szCs w:val="24"/>
        </w:rPr>
        <w:t xml:space="preserve"> ir </w:t>
      </w:r>
      <w:r w:rsidR="00DF0197" w:rsidRPr="003D6047">
        <w:rPr>
          <w:rFonts w:ascii="Times New Roman" w:hAnsi="Times New Roman"/>
          <w:color w:val="000000" w:themeColor="text1"/>
          <w:sz w:val="24"/>
          <w:szCs w:val="24"/>
        </w:rPr>
        <w:t>samazinājusies</w:t>
      </w:r>
      <w:r w:rsidR="00CA2931" w:rsidRPr="003D6047">
        <w:rPr>
          <w:rFonts w:ascii="Times New Roman" w:hAnsi="Times New Roman"/>
          <w:color w:val="000000" w:themeColor="text1"/>
          <w:sz w:val="24"/>
          <w:szCs w:val="24"/>
        </w:rPr>
        <w:t xml:space="preserve"> </w:t>
      </w:r>
      <w:r w:rsidR="00BB5A8A" w:rsidRPr="003D6047">
        <w:rPr>
          <w:rFonts w:ascii="Times New Roman" w:hAnsi="Times New Roman"/>
          <w:color w:val="000000" w:themeColor="text1"/>
          <w:sz w:val="24"/>
          <w:szCs w:val="24"/>
        </w:rPr>
        <w:t xml:space="preserve">attiecīgi </w:t>
      </w:r>
      <w:r w:rsidR="00CA2931" w:rsidRPr="003D6047">
        <w:rPr>
          <w:rFonts w:ascii="Times New Roman" w:hAnsi="Times New Roman"/>
          <w:color w:val="000000" w:themeColor="text1"/>
          <w:sz w:val="24"/>
          <w:szCs w:val="24"/>
        </w:rPr>
        <w:t xml:space="preserve">par </w:t>
      </w:r>
      <w:r w:rsidR="00BB5A8A" w:rsidRPr="003D6047">
        <w:rPr>
          <w:rFonts w:ascii="Times New Roman" w:hAnsi="Times New Roman"/>
          <w:color w:val="000000" w:themeColor="text1"/>
          <w:sz w:val="24"/>
          <w:szCs w:val="24"/>
        </w:rPr>
        <w:t>16</w:t>
      </w:r>
      <w:r w:rsidR="00CA2931" w:rsidRPr="003D6047">
        <w:rPr>
          <w:rFonts w:ascii="Times New Roman" w:hAnsi="Times New Roman"/>
          <w:color w:val="000000" w:themeColor="text1"/>
          <w:sz w:val="24"/>
          <w:szCs w:val="24"/>
        </w:rPr>
        <w:t>%</w:t>
      </w:r>
      <w:r w:rsidR="00BB5A8A" w:rsidRPr="003D6047">
        <w:rPr>
          <w:rFonts w:ascii="Times New Roman" w:hAnsi="Times New Roman"/>
          <w:color w:val="000000" w:themeColor="text1"/>
          <w:sz w:val="24"/>
          <w:szCs w:val="24"/>
        </w:rPr>
        <w:t xml:space="preserve"> un 14%</w:t>
      </w:r>
      <w:r w:rsidR="00CA2931" w:rsidRPr="003D6047">
        <w:rPr>
          <w:rFonts w:ascii="Times New Roman" w:hAnsi="Times New Roman"/>
          <w:color w:val="000000" w:themeColor="text1"/>
          <w:sz w:val="24"/>
          <w:szCs w:val="24"/>
        </w:rPr>
        <w:t>,</w:t>
      </w:r>
      <w:r w:rsidR="00DF0197" w:rsidRPr="003D6047">
        <w:rPr>
          <w:rFonts w:ascii="Times New Roman" w:hAnsi="Times New Roman"/>
          <w:color w:val="000000" w:themeColor="text1"/>
          <w:sz w:val="24"/>
          <w:szCs w:val="24"/>
        </w:rPr>
        <w:t xml:space="preserve"> ja </w:t>
      </w:r>
      <w:r w:rsidR="00A961FD" w:rsidRPr="003D6047">
        <w:rPr>
          <w:rFonts w:ascii="Times New Roman" w:hAnsi="Times New Roman"/>
          <w:color w:val="000000" w:themeColor="text1"/>
          <w:sz w:val="24"/>
          <w:szCs w:val="24"/>
        </w:rPr>
        <w:t xml:space="preserve">to </w:t>
      </w:r>
      <w:r w:rsidR="00DF0197" w:rsidRPr="003D6047">
        <w:rPr>
          <w:rFonts w:ascii="Times New Roman" w:hAnsi="Times New Roman"/>
          <w:color w:val="000000" w:themeColor="text1"/>
          <w:sz w:val="24"/>
          <w:szCs w:val="24"/>
        </w:rPr>
        <w:t>salīdzin</w:t>
      </w:r>
      <w:r w:rsidR="00A961FD" w:rsidRPr="003D6047">
        <w:rPr>
          <w:rFonts w:ascii="Times New Roman" w:hAnsi="Times New Roman"/>
          <w:color w:val="000000" w:themeColor="text1"/>
          <w:sz w:val="24"/>
          <w:szCs w:val="24"/>
        </w:rPr>
        <w:t>a</w:t>
      </w:r>
      <w:r w:rsidR="00DF0197" w:rsidRPr="003D6047">
        <w:rPr>
          <w:rFonts w:ascii="Times New Roman" w:hAnsi="Times New Roman"/>
          <w:color w:val="000000" w:themeColor="text1"/>
          <w:sz w:val="24"/>
          <w:szCs w:val="24"/>
        </w:rPr>
        <w:t xml:space="preserve"> ar </w:t>
      </w:r>
      <w:r w:rsidR="00BB5A8A" w:rsidRPr="003D6047">
        <w:rPr>
          <w:rFonts w:ascii="Times New Roman" w:hAnsi="Times New Roman"/>
          <w:color w:val="000000" w:themeColor="text1"/>
          <w:sz w:val="24"/>
          <w:szCs w:val="24"/>
        </w:rPr>
        <w:t>iepriekšējo triju gadu vidējo svērto iepirkuma cenu</w:t>
      </w:r>
      <w:r w:rsidR="00937BB2" w:rsidRPr="003D6047">
        <w:rPr>
          <w:rFonts w:ascii="Times New Roman" w:hAnsi="Times New Roman"/>
          <w:color w:val="000000" w:themeColor="text1"/>
          <w:sz w:val="24"/>
          <w:szCs w:val="24"/>
        </w:rPr>
        <w:t xml:space="preserve"> 168 </w:t>
      </w:r>
      <w:proofErr w:type="spellStart"/>
      <w:r w:rsidR="00937BB2" w:rsidRPr="003D6047">
        <w:rPr>
          <w:rFonts w:ascii="Times New Roman" w:hAnsi="Times New Roman"/>
          <w:i/>
          <w:color w:val="000000" w:themeColor="text1"/>
          <w:sz w:val="24"/>
          <w:szCs w:val="24"/>
        </w:rPr>
        <w:t>euro</w:t>
      </w:r>
      <w:proofErr w:type="spellEnd"/>
      <w:r w:rsidR="00937BB2" w:rsidRPr="003D6047">
        <w:rPr>
          <w:rFonts w:ascii="Times New Roman" w:hAnsi="Times New Roman"/>
          <w:i/>
          <w:color w:val="000000" w:themeColor="text1"/>
          <w:sz w:val="24"/>
          <w:szCs w:val="24"/>
        </w:rPr>
        <w:t>/t</w:t>
      </w:r>
      <w:r w:rsidR="00DF0197" w:rsidRPr="003D6047">
        <w:rPr>
          <w:rFonts w:ascii="Times New Roman" w:hAnsi="Times New Roman"/>
          <w:color w:val="000000" w:themeColor="text1"/>
          <w:sz w:val="24"/>
          <w:szCs w:val="24"/>
        </w:rPr>
        <w:t xml:space="preserve"> (sk</w:t>
      </w:r>
      <w:r w:rsidR="00A961FD" w:rsidRPr="003D6047">
        <w:rPr>
          <w:rFonts w:ascii="Times New Roman" w:hAnsi="Times New Roman"/>
          <w:color w:val="000000" w:themeColor="text1"/>
          <w:sz w:val="24"/>
          <w:szCs w:val="24"/>
        </w:rPr>
        <w:t>.</w:t>
      </w:r>
      <w:r w:rsidR="00DF0197" w:rsidRPr="003D6047">
        <w:rPr>
          <w:rFonts w:ascii="Times New Roman" w:hAnsi="Times New Roman"/>
          <w:color w:val="000000" w:themeColor="text1"/>
          <w:sz w:val="24"/>
          <w:szCs w:val="24"/>
        </w:rPr>
        <w:t xml:space="preserve"> </w:t>
      </w:r>
      <w:r w:rsidR="008C30A6" w:rsidRPr="003D6047">
        <w:rPr>
          <w:rFonts w:ascii="Times New Roman" w:hAnsi="Times New Roman"/>
          <w:color w:val="000000" w:themeColor="text1"/>
          <w:sz w:val="24"/>
          <w:szCs w:val="24"/>
        </w:rPr>
        <w:t>3.att</w:t>
      </w:r>
      <w:r w:rsidR="00DF0197" w:rsidRPr="003D6047">
        <w:rPr>
          <w:rFonts w:ascii="Times New Roman" w:hAnsi="Times New Roman"/>
          <w:color w:val="000000" w:themeColor="text1"/>
          <w:sz w:val="24"/>
          <w:szCs w:val="24"/>
        </w:rPr>
        <w:t>ēlu</w:t>
      </w:r>
      <w:r w:rsidR="008C30A6" w:rsidRPr="003D6047">
        <w:rPr>
          <w:rFonts w:ascii="Times New Roman" w:hAnsi="Times New Roman"/>
          <w:color w:val="000000" w:themeColor="text1"/>
          <w:sz w:val="24"/>
          <w:szCs w:val="24"/>
        </w:rPr>
        <w:t>)</w:t>
      </w:r>
      <w:r w:rsidR="00DF0197" w:rsidRPr="003D6047">
        <w:rPr>
          <w:rFonts w:ascii="Times New Roman" w:hAnsi="Times New Roman"/>
          <w:color w:val="000000" w:themeColor="text1"/>
          <w:sz w:val="24"/>
          <w:szCs w:val="24"/>
        </w:rPr>
        <w:t xml:space="preserve">. </w:t>
      </w:r>
    </w:p>
    <w:p w:rsidR="003202C1" w:rsidRPr="003D6047" w:rsidRDefault="00B72C1B" w:rsidP="009A2938">
      <w:pPr>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 xml:space="preserve">Saskaņā ar nozares </w:t>
      </w:r>
      <w:r w:rsidR="00BB5A8A" w:rsidRPr="003D6047">
        <w:rPr>
          <w:rFonts w:ascii="Times New Roman" w:hAnsi="Times New Roman"/>
          <w:color w:val="000000" w:themeColor="text1"/>
          <w:sz w:val="24"/>
          <w:szCs w:val="24"/>
        </w:rPr>
        <w:t>ekspertu vērtējumu</w:t>
      </w:r>
      <w:r w:rsidRPr="003D6047">
        <w:rPr>
          <w:rFonts w:ascii="Times New Roman" w:hAnsi="Times New Roman"/>
          <w:color w:val="000000" w:themeColor="text1"/>
          <w:sz w:val="24"/>
          <w:szCs w:val="24"/>
        </w:rPr>
        <w:t xml:space="preserve">, </w:t>
      </w:r>
      <w:r w:rsidR="00BB5A8A" w:rsidRPr="003D6047">
        <w:rPr>
          <w:rFonts w:ascii="Times New Roman" w:hAnsi="Times New Roman"/>
          <w:color w:val="000000" w:themeColor="text1"/>
          <w:sz w:val="24"/>
          <w:szCs w:val="24"/>
        </w:rPr>
        <w:t xml:space="preserve">vairāk nekā </w:t>
      </w:r>
      <w:r w:rsidRPr="003D6047">
        <w:rPr>
          <w:rFonts w:ascii="Times New Roman" w:hAnsi="Times New Roman"/>
          <w:color w:val="000000" w:themeColor="text1"/>
          <w:sz w:val="24"/>
          <w:szCs w:val="24"/>
        </w:rPr>
        <w:t>80%</w:t>
      </w:r>
      <w:r w:rsidR="00BB5A8A" w:rsidRPr="003D6047">
        <w:rPr>
          <w:rFonts w:ascii="Times New Roman" w:hAnsi="Times New Roman"/>
          <w:color w:val="000000" w:themeColor="text1"/>
          <w:sz w:val="24"/>
          <w:szCs w:val="24"/>
        </w:rPr>
        <w:t xml:space="preserve"> no</w:t>
      </w:r>
      <w:r w:rsidR="00DF0197" w:rsidRPr="003D6047">
        <w:rPr>
          <w:rFonts w:ascii="Times New Roman" w:hAnsi="Times New Roman"/>
          <w:color w:val="000000" w:themeColor="text1"/>
          <w:sz w:val="24"/>
          <w:szCs w:val="24"/>
        </w:rPr>
        <w:t xml:space="preserve"> kviešu graud</w:t>
      </w:r>
      <w:r w:rsidR="00A961FD" w:rsidRPr="003D6047">
        <w:rPr>
          <w:rFonts w:ascii="Times New Roman" w:hAnsi="Times New Roman"/>
          <w:color w:val="000000" w:themeColor="text1"/>
          <w:sz w:val="24"/>
          <w:szCs w:val="24"/>
        </w:rPr>
        <w:t>u</w:t>
      </w:r>
      <w:r w:rsidR="00BB5A8A" w:rsidRPr="003D6047">
        <w:rPr>
          <w:rFonts w:ascii="Times New Roman" w:hAnsi="Times New Roman"/>
          <w:color w:val="000000" w:themeColor="text1"/>
          <w:sz w:val="24"/>
          <w:szCs w:val="24"/>
        </w:rPr>
        <w:t xml:space="preserve"> kopražas </w:t>
      </w:r>
      <w:r w:rsidR="00A210E3" w:rsidRPr="003D6047">
        <w:rPr>
          <w:rFonts w:ascii="Times New Roman" w:hAnsi="Times New Roman"/>
          <w:color w:val="000000" w:themeColor="text1"/>
          <w:sz w:val="24"/>
          <w:szCs w:val="24"/>
        </w:rPr>
        <w:t>šogad atbilst</w:t>
      </w:r>
      <w:r w:rsidR="00DF0197" w:rsidRPr="003D6047">
        <w:rPr>
          <w:rFonts w:ascii="Times New Roman" w:hAnsi="Times New Roman"/>
          <w:color w:val="000000" w:themeColor="text1"/>
          <w:sz w:val="24"/>
          <w:szCs w:val="24"/>
        </w:rPr>
        <w:t xml:space="preserve"> lopbarības kvalit</w:t>
      </w:r>
      <w:r w:rsidR="003202C1" w:rsidRPr="003D6047">
        <w:rPr>
          <w:rFonts w:ascii="Times New Roman" w:hAnsi="Times New Roman"/>
          <w:color w:val="000000" w:themeColor="text1"/>
          <w:sz w:val="24"/>
          <w:szCs w:val="24"/>
        </w:rPr>
        <w:t xml:space="preserve">ātes </w:t>
      </w:r>
      <w:r w:rsidR="00BB5A8A" w:rsidRPr="003D6047">
        <w:rPr>
          <w:rFonts w:ascii="Times New Roman" w:hAnsi="Times New Roman"/>
          <w:color w:val="000000" w:themeColor="text1"/>
          <w:sz w:val="24"/>
          <w:szCs w:val="24"/>
        </w:rPr>
        <w:t>kritērijiem</w:t>
      </w:r>
      <w:r w:rsidR="003202C1" w:rsidRPr="003D6047">
        <w:rPr>
          <w:rFonts w:ascii="Times New Roman" w:hAnsi="Times New Roman"/>
          <w:color w:val="000000" w:themeColor="text1"/>
          <w:sz w:val="24"/>
          <w:szCs w:val="24"/>
        </w:rPr>
        <w:t xml:space="preserve">, </w:t>
      </w:r>
      <w:r w:rsidR="00BB5A8A" w:rsidRPr="003D6047">
        <w:rPr>
          <w:rFonts w:ascii="Times New Roman" w:hAnsi="Times New Roman"/>
          <w:color w:val="000000" w:themeColor="text1"/>
          <w:sz w:val="24"/>
          <w:szCs w:val="24"/>
        </w:rPr>
        <w:t>savukārt iepriekšējo triju gadu periodā lopbarībai tika realizēti tikai 32% no kviešu kopražas.</w:t>
      </w:r>
      <w:r w:rsidR="00226DC4" w:rsidRPr="003D6047">
        <w:rPr>
          <w:rFonts w:ascii="Times New Roman" w:hAnsi="Times New Roman"/>
          <w:color w:val="000000" w:themeColor="text1"/>
          <w:sz w:val="24"/>
          <w:szCs w:val="24"/>
        </w:rPr>
        <w:t xml:space="preserve"> Ņemot vērā apstākli, ka lielāko daļu graudu apjoma no šī gada ražas varēs realizēt tikai kā lopbarību</w:t>
      </w:r>
      <w:r w:rsidR="003202C1" w:rsidRPr="003D6047">
        <w:rPr>
          <w:rFonts w:ascii="Times New Roman" w:hAnsi="Times New Roman"/>
          <w:color w:val="000000" w:themeColor="text1"/>
          <w:sz w:val="24"/>
          <w:szCs w:val="24"/>
        </w:rPr>
        <w:t xml:space="preserve">, tad iepirkuma cenas un ieņēmumu samazinājums ir vēl lielāks un salīdzinoši sasniedz </w:t>
      </w:r>
      <w:r w:rsidR="00937BB2" w:rsidRPr="003D6047">
        <w:rPr>
          <w:rFonts w:ascii="Times New Roman" w:hAnsi="Times New Roman"/>
          <w:color w:val="000000" w:themeColor="text1"/>
          <w:sz w:val="24"/>
          <w:szCs w:val="24"/>
        </w:rPr>
        <w:t>jau</w:t>
      </w:r>
      <w:r w:rsidR="003202C1" w:rsidRPr="003D6047">
        <w:rPr>
          <w:rFonts w:ascii="Times New Roman" w:hAnsi="Times New Roman"/>
          <w:color w:val="000000" w:themeColor="text1"/>
          <w:sz w:val="24"/>
          <w:szCs w:val="24"/>
        </w:rPr>
        <w:t xml:space="preserve"> </w:t>
      </w:r>
      <w:r w:rsidR="00226DC4" w:rsidRPr="003D6047">
        <w:rPr>
          <w:rFonts w:ascii="Times New Roman" w:hAnsi="Times New Roman"/>
          <w:color w:val="000000" w:themeColor="text1"/>
          <w:sz w:val="24"/>
          <w:szCs w:val="24"/>
        </w:rPr>
        <w:t>29</w:t>
      </w:r>
      <w:r w:rsidR="003202C1" w:rsidRPr="003D6047">
        <w:rPr>
          <w:rFonts w:ascii="Times New Roman" w:hAnsi="Times New Roman"/>
          <w:color w:val="000000" w:themeColor="text1"/>
          <w:sz w:val="24"/>
          <w:szCs w:val="24"/>
        </w:rPr>
        <w:t>%</w:t>
      </w:r>
      <w:r w:rsidR="003A2878" w:rsidRPr="003D6047">
        <w:rPr>
          <w:rFonts w:ascii="Times New Roman" w:hAnsi="Times New Roman"/>
          <w:color w:val="000000" w:themeColor="text1"/>
          <w:sz w:val="24"/>
          <w:szCs w:val="24"/>
        </w:rPr>
        <w:t xml:space="preserve"> (sk. 3.attēlu)</w:t>
      </w:r>
      <w:r w:rsidR="003202C1" w:rsidRPr="003D6047">
        <w:rPr>
          <w:rFonts w:ascii="Times New Roman" w:hAnsi="Times New Roman"/>
          <w:color w:val="000000" w:themeColor="text1"/>
          <w:sz w:val="24"/>
          <w:szCs w:val="24"/>
        </w:rPr>
        <w:t>.</w:t>
      </w:r>
    </w:p>
    <w:p w:rsidR="00A9773F" w:rsidRPr="003D6047" w:rsidRDefault="003202C1" w:rsidP="00A9773F">
      <w:pPr>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lastRenderedPageBreak/>
        <w:t>L</w:t>
      </w:r>
      <w:r w:rsidR="00CA2931" w:rsidRPr="003D6047">
        <w:rPr>
          <w:rFonts w:ascii="Times New Roman" w:hAnsi="Times New Roman"/>
          <w:color w:val="000000" w:themeColor="text1"/>
          <w:sz w:val="24"/>
          <w:szCs w:val="24"/>
        </w:rPr>
        <w:t xml:space="preserve">opbarības miežu </w:t>
      </w:r>
      <w:r w:rsidRPr="003D6047">
        <w:rPr>
          <w:rFonts w:ascii="Times New Roman" w:hAnsi="Times New Roman"/>
          <w:color w:val="000000" w:themeColor="text1"/>
          <w:sz w:val="24"/>
          <w:szCs w:val="24"/>
        </w:rPr>
        <w:t xml:space="preserve">iepirkuma </w:t>
      </w:r>
      <w:r w:rsidR="00CA2931" w:rsidRPr="003D6047">
        <w:rPr>
          <w:rFonts w:ascii="Times New Roman" w:hAnsi="Times New Roman"/>
          <w:color w:val="000000" w:themeColor="text1"/>
          <w:sz w:val="24"/>
          <w:szCs w:val="24"/>
        </w:rPr>
        <w:t>cena</w:t>
      </w:r>
      <w:r w:rsidRPr="003D6047">
        <w:rPr>
          <w:rFonts w:ascii="Times New Roman" w:hAnsi="Times New Roman"/>
          <w:color w:val="000000" w:themeColor="text1"/>
          <w:sz w:val="24"/>
          <w:szCs w:val="24"/>
        </w:rPr>
        <w:t xml:space="preserve"> </w:t>
      </w:r>
      <w:r w:rsidR="00226DC4" w:rsidRPr="003D6047">
        <w:rPr>
          <w:rFonts w:ascii="Times New Roman" w:hAnsi="Times New Roman"/>
          <w:color w:val="000000" w:themeColor="text1"/>
          <w:sz w:val="24"/>
          <w:szCs w:val="24"/>
        </w:rPr>
        <w:t xml:space="preserve">šogad </w:t>
      </w:r>
      <w:r w:rsidRPr="003D6047">
        <w:rPr>
          <w:rFonts w:ascii="Times New Roman" w:hAnsi="Times New Roman"/>
          <w:color w:val="000000" w:themeColor="text1"/>
          <w:sz w:val="24"/>
          <w:szCs w:val="24"/>
        </w:rPr>
        <w:t>ir samazinājusies</w:t>
      </w:r>
      <w:r w:rsidR="00CA2931" w:rsidRPr="003D6047">
        <w:rPr>
          <w:rFonts w:ascii="Times New Roman" w:hAnsi="Times New Roman"/>
          <w:color w:val="000000" w:themeColor="text1"/>
          <w:sz w:val="24"/>
          <w:szCs w:val="24"/>
        </w:rPr>
        <w:t xml:space="preserve"> par </w:t>
      </w:r>
      <w:r w:rsidR="00226DC4" w:rsidRPr="003D6047">
        <w:rPr>
          <w:rFonts w:ascii="Times New Roman" w:hAnsi="Times New Roman"/>
          <w:color w:val="000000" w:themeColor="text1"/>
          <w:sz w:val="24"/>
          <w:szCs w:val="24"/>
        </w:rPr>
        <w:t>21</w:t>
      </w:r>
      <w:r w:rsidR="00CA2931" w:rsidRPr="003D6047">
        <w:rPr>
          <w:rFonts w:ascii="Times New Roman" w:hAnsi="Times New Roman"/>
          <w:color w:val="000000" w:themeColor="text1"/>
          <w:sz w:val="24"/>
          <w:szCs w:val="24"/>
        </w:rPr>
        <w:t>%</w:t>
      </w:r>
      <w:r w:rsidRPr="003D6047">
        <w:rPr>
          <w:rFonts w:ascii="Times New Roman" w:hAnsi="Times New Roman"/>
          <w:color w:val="000000" w:themeColor="text1"/>
          <w:sz w:val="24"/>
          <w:szCs w:val="24"/>
        </w:rPr>
        <w:t xml:space="preserve">, </w:t>
      </w:r>
      <w:r w:rsidR="00226DC4" w:rsidRPr="003D6047">
        <w:rPr>
          <w:rFonts w:ascii="Times New Roman" w:hAnsi="Times New Roman"/>
          <w:color w:val="000000" w:themeColor="text1"/>
          <w:sz w:val="24"/>
          <w:szCs w:val="24"/>
        </w:rPr>
        <w:t xml:space="preserve">salīdzinot ar iepriekšējo triju gadu vidējo svērto iepirkuma cenu </w:t>
      </w:r>
      <w:r w:rsidR="008C30A6" w:rsidRPr="003D6047">
        <w:rPr>
          <w:rFonts w:ascii="Times New Roman" w:hAnsi="Times New Roman"/>
          <w:color w:val="000000" w:themeColor="text1"/>
          <w:sz w:val="24"/>
          <w:szCs w:val="24"/>
        </w:rPr>
        <w:t>(</w:t>
      </w:r>
      <w:r w:rsidRPr="003D6047">
        <w:rPr>
          <w:rFonts w:ascii="Times New Roman" w:hAnsi="Times New Roman"/>
          <w:color w:val="000000" w:themeColor="text1"/>
          <w:sz w:val="24"/>
          <w:szCs w:val="24"/>
        </w:rPr>
        <w:t>sk</w:t>
      </w:r>
      <w:r w:rsidR="00A961FD" w:rsidRPr="003D6047">
        <w:rPr>
          <w:rFonts w:ascii="Times New Roman" w:hAnsi="Times New Roman"/>
          <w:color w:val="000000" w:themeColor="text1"/>
          <w:sz w:val="24"/>
          <w:szCs w:val="24"/>
        </w:rPr>
        <w:t>.</w:t>
      </w:r>
      <w:r w:rsidRPr="003D6047">
        <w:rPr>
          <w:rFonts w:ascii="Times New Roman" w:hAnsi="Times New Roman"/>
          <w:color w:val="000000" w:themeColor="text1"/>
          <w:sz w:val="24"/>
          <w:szCs w:val="24"/>
        </w:rPr>
        <w:t xml:space="preserve"> </w:t>
      </w:r>
      <w:r w:rsidR="008C30A6" w:rsidRPr="003D6047">
        <w:rPr>
          <w:rFonts w:ascii="Times New Roman" w:hAnsi="Times New Roman"/>
          <w:color w:val="000000" w:themeColor="text1"/>
          <w:sz w:val="24"/>
          <w:szCs w:val="24"/>
        </w:rPr>
        <w:t>4.att</w:t>
      </w:r>
      <w:r w:rsidRPr="003D6047">
        <w:rPr>
          <w:rFonts w:ascii="Times New Roman" w:hAnsi="Times New Roman"/>
          <w:color w:val="000000" w:themeColor="text1"/>
          <w:sz w:val="24"/>
          <w:szCs w:val="24"/>
        </w:rPr>
        <w:t>ēlu</w:t>
      </w:r>
      <w:r w:rsidR="008C30A6" w:rsidRPr="003D6047">
        <w:rPr>
          <w:rFonts w:ascii="Times New Roman" w:hAnsi="Times New Roman"/>
          <w:color w:val="000000" w:themeColor="text1"/>
          <w:sz w:val="24"/>
          <w:szCs w:val="24"/>
        </w:rPr>
        <w:t>)</w:t>
      </w:r>
      <w:r w:rsidR="00A210E3" w:rsidRPr="003D6047">
        <w:rPr>
          <w:rFonts w:ascii="Times New Roman" w:hAnsi="Times New Roman"/>
          <w:color w:val="000000" w:themeColor="text1"/>
          <w:sz w:val="24"/>
          <w:szCs w:val="24"/>
        </w:rPr>
        <w:t>, kamēr</w:t>
      </w:r>
      <w:r w:rsidR="00226DC4" w:rsidRPr="003D6047">
        <w:rPr>
          <w:rFonts w:ascii="Times New Roman" w:hAnsi="Times New Roman"/>
          <w:color w:val="000000" w:themeColor="text1"/>
          <w:sz w:val="24"/>
          <w:szCs w:val="24"/>
        </w:rPr>
        <w:t xml:space="preserve"> r</w:t>
      </w:r>
      <w:r w:rsidR="00CA2931" w:rsidRPr="003D6047">
        <w:rPr>
          <w:rFonts w:ascii="Times New Roman" w:hAnsi="Times New Roman"/>
          <w:color w:val="000000" w:themeColor="text1"/>
          <w:sz w:val="24"/>
          <w:szCs w:val="24"/>
        </w:rPr>
        <w:t>udzu</w:t>
      </w:r>
      <w:r w:rsidRPr="003D6047">
        <w:rPr>
          <w:rFonts w:ascii="Times New Roman" w:hAnsi="Times New Roman"/>
          <w:color w:val="000000" w:themeColor="text1"/>
          <w:sz w:val="24"/>
          <w:szCs w:val="24"/>
        </w:rPr>
        <w:t xml:space="preserve"> iepirkuma</w:t>
      </w:r>
      <w:r w:rsidR="00CA2931" w:rsidRPr="003D6047">
        <w:rPr>
          <w:rFonts w:ascii="Times New Roman" w:hAnsi="Times New Roman"/>
          <w:color w:val="000000" w:themeColor="text1"/>
          <w:sz w:val="24"/>
          <w:szCs w:val="24"/>
        </w:rPr>
        <w:t xml:space="preserve"> cena</w:t>
      </w:r>
      <w:r w:rsidR="00226DC4" w:rsidRPr="003D6047">
        <w:rPr>
          <w:rFonts w:ascii="Times New Roman" w:hAnsi="Times New Roman"/>
          <w:color w:val="000000" w:themeColor="text1"/>
          <w:sz w:val="24"/>
          <w:szCs w:val="24"/>
        </w:rPr>
        <w:t>s</w:t>
      </w:r>
      <w:r w:rsidR="00A210E3" w:rsidRPr="003D6047">
        <w:rPr>
          <w:rFonts w:ascii="Times New Roman" w:hAnsi="Times New Roman"/>
          <w:color w:val="000000" w:themeColor="text1"/>
          <w:sz w:val="24"/>
          <w:szCs w:val="24"/>
        </w:rPr>
        <w:t xml:space="preserve"> attiecīgais </w:t>
      </w:r>
      <w:r w:rsidRPr="003D6047">
        <w:rPr>
          <w:rFonts w:ascii="Times New Roman" w:hAnsi="Times New Roman"/>
          <w:color w:val="000000" w:themeColor="text1"/>
          <w:sz w:val="24"/>
          <w:szCs w:val="24"/>
        </w:rPr>
        <w:t>samazināju</w:t>
      </w:r>
      <w:r w:rsidR="00226DC4" w:rsidRPr="003D6047">
        <w:rPr>
          <w:rFonts w:ascii="Times New Roman" w:hAnsi="Times New Roman"/>
          <w:color w:val="000000" w:themeColor="text1"/>
          <w:sz w:val="24"/>
          <w:szCs w:val="24"/>
        </w:rPr>
        <w:t>m</w:t>
      </w:r>
      <w:r w:rsidRPr="003D6047">
        <w:rPr>
          <w:rFonts w:ascii="Times New Roman" w:hAnsi="Times New Roman"/>
          <w:color w:val="000000" w:themeColor="text1"/>
          <w:sz w:val="24"/>
          <w:szCs w:val="24"/>
        </w:rPr>
        <w:t>s</w:t>
      </w:r>
      <w:r w:rsidR="00226DC4" w:rsidRPr="003D6047">
        <w:rPr>
          <w:rFonts w:ascii="Times New Roman" w:hAnsi="Times New Roman"/>
          <w:color w:val="000000" w:themeColor="text1"/>
          <w:sz w:val="24"/>
          <w:szCs w:val="24"/>
        </w:rPr>
        <w:t xml:space="preserve"> sastāda</w:t>
      </w:r>
      <w:r w:rsidR="00CA2931" w:rsidRPr="003D6047">
        <w:rPr>
          <w:rFonts w:ascii="Times New Roman" w:hAnsi="Times New Roman"/>
          <w:color w:val="000000" w:themeColor="text1"/>
          <w:sz w:val="24"/>
          <w:szCs w:val="24"/>
        </w:rPr>
        <w:t xml:space="preserve"> </w:t>
      </w:r>
      <w:r w:rsidR="00226DC4" w:rsidRPr="003D6047">
        <w:rPr>
          <w:rFonts w:ascii="Times New Roman" w:hAnsi="Times New Roman"/>
          <w:color w:val="000000" w:themeColor="text1"/>
          <w:sz w:val="24"/>
          <w:szCs w:val="24"/>
        </w:rPr>
        <w:t>11</w:t>
      </w:r>
      <w:r w:rsidR="00CA2931" w:rsidRPr="003D6047">
        <w:rPr>
          <w:rFonts w:ascii="Times New Roman" w:hAnsi="Times New Roman"/>
          <w:color w:val="000000" w:themeColor="text1"/>
          <w:sz w:val="24"/>
          <w:szCs w:val="24"/>
        </w:rPr>
        <w:t>%</w:t>
      </w:r>
      <w:r w:rsidRPr="003D6047">
        <w:rPr>
          <w:rFonts w:ascii="Times New Roman" w:hAnsi="Times New Roman"/>
          <w:color w:val="000000" w:themeColor="text1"/>
          <w:sz w:val="24"/>
          <w:szCs w:val="24"/>
        </w:rPr>
        <w:t xml:space="preserve">. </w:t>
      </w:r>
    </w:p>
    <w:p w:rsidR="00A32C5B" w:rsidRPr="00DC1F2A" w:rsidRDefault="00A32C5B" w:rsidP="009A2938">
      <w:pPr>
        <w:ind w:firstLine="720"/>
        <w:jc w:val="both"/>
        <w:rPr>
          <w:rFonts w:ascii="Times New Roman" w:hAnsi="Times New Roman"/>
          <w:color w:val="000000" w:themeColor="text1"/>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4"/>
      </w:tblGrid>
      <w:tr w:rsidR="00DC1F2A" w:rsidRPr="00DC1F2A" w:rsidTr="003202C1">
        <w:trPr>
          <w:trHeight w:val="3344"/>
        </w:trPr>
        <w:tc>
          <w:tcPr>
            <w:tcW w:w="4517" w:type="dxa"/>
          </w:tcPr>
          <w:p w:rsidR="008C30A6" w:rsidRPr="00DC1F2A" w:rsidRDefault="003A2878" w:rsidP="00E018D8">
            <w:pPr>
              <w:spacing w:before="60" w:after="60"/>
              <w:rPr>
                <w:rFonts w:ascii="Times New Roman" w:hAnsi="Times New Roman"/>
                <w:noProof/>
                <w:color w:val="000000" w:themeColor="text1"/>
                <w:sz w:val="28"/>
                <w:szCs w:val="28"/>
              </w:rPr>
            </w:pPr>
            <w:r>
              <w:rPr>
                <w:noProof/>
                <w:color w:val="000000" w:themeColor="text1"/>
              </w:rPr>
              <mc:AlternateContent>
                <mc:Choice Requires="wps">
                  <w:drawing>
                    <wp:anchor distT="0" distB="0" distL="114300" distR="114300" simplePos="0" relativeHeight="251660288" behindDoc="0" locked="0" layoutInCell="1" allowOverlap="1" wp14:anchorId="5AC1D858" wp14:editId="5995863A">
                      <wp:simplePos x="0" y="0"/>
                      <wp:positionH relativeFrom="column">
                        <wp:posOffset>2386330</wp:posOffset>
                      </wp:positionH>
                      <wp:positionV relativeFrom="paragraph">
                        <wp:posOffset>1019810</wp:posOffset>
                      </wp:positionV>
                      <wp:extent cx="6350" cy="457200"/>
                      <wp:effectExtent l="76200" t="38100" r="72390" b="51435"/>
                      <wp:wrapNone/>
                      <wp:docPr id="2" name="Straight Arrow Connector 2"/>
                      <wp:cNvGraphicFramePr/>
                      <a:graphic xmlns:a="http://schemas.openxmlformats.org/drawingml/2006/main">
                        <a:graphicData uri="http://schemas.microsoft.com/office/word/2010/wordprocessingShape">
                          <wps:wsp>
                            <wps:cNvCnPr/>
                            <wps:spPr>
                              <a:xfrm>
                                <a:off x="0" y="0"/>
                                <a:ext cx="6350" cy="457200"/>
                              </a:xfrm>
                              <a:prstGeom prst="straightConnector1">
                                <a:avLst/>
                              </a:prstGeom>
                              <a:ln>
                                <a:solidFill>
                                  <a:schemeClr val="bg1">
                                    <a:lumMod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40776E" id="_x0000_t32" coordsize="21600,21600" o:spt="32" o:oned="t" path="m,l21600,21600e" filled="f">
                      <v:path arrowok="t" fillok="f" o:connecttype="none"/>
                      <o:lock v:ext="edit" shapetype="t"/>
                    </v:shapetype>
                    <v:shape id="Straight Arrow Connector 2" o:spid="_x0000_s1026" type="#_x0000_t32" style="position:absolute;margin-left:187.9pt;margin-top:80.3pt;width:.5pt;height: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" strokecolor="#7f7f7f [1612]">
                      <v:stroke startarrow="block" endarrow="block"/>
                    </v:shape>
                  </w:pict>
                </mc:Fallback>
              </mc:AlternateContent>
            </w:r>
            <w:r w:rsidR="009A2938" w:rsidRPr="00DC1F2A">
              <w:rPr>
                <w:noProof/>
                <w:color w:val="000000" w:themeColor="text1"/>
              </w:rPr>
              <w:drawing>
                <wp:inline distT="0" distB="0" distL="0" distR="0" wp14:anchorId="584B4C3D" wp14:editId="5BB8B2F3">
                  <wp:extent cx="2722728" cy="2414905"/>
                  <wp:effectExtent l="0" t="0" r="1905" b="4445"/>
                  <wp:docPr id="1"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554" w:type="dxa"/>
          </w:tcPr>
          <w:p w:rsidR="008C30A6" w:rsidRPr="00DC1F2A" w:rsidRDefault="009A2938" w:rsidP="00E018D8">
            <w:pPr>
              <w:spacing w:before="60" w:after="60"/>
              <w:jc w:val="both"/>
              <w:rPr>
                <w:rFonts w:ascii="Times New Roman" w:hAnsi="Times New Roman"/>
                <w:noProof/>
                <w:color w:val="000000" w:themeColor="text1"/>
                <w:sz w:val="28"/>
                <w:szCs w:val="28"/>
              </w:rPr>
            </w:pPr>
            <w:r w:rsidRPr="00DC1F2A">
              <w:rPr>
                <w:noProof/>
                <w:color w:val="000000" w:themeColor="text1"/>
              </w:rPr>
              <w:drawing>
                <wp:anchor distT="0" distB="0" distL="114300" distR="114300" simplePos="0" relativeHeight="251659264" behindDoc="0" locked="0" layoutInCell="1" allowOverlap="1" wp14:anchorId="358AC4CD" wp14:editId="27ACB2FB">
                  <wp:simplePos x="0" y="0"/>
                  <wp:positionH relativeFrom="column">
                    <wp:posOffset>-3810</wp:posOffset>
                  </wp:positionH>
                  <wp:positionV relativeFrom="paragraph">
                    <wp:posOffset>1905</wp:posOffset>
                  </wp:positionV>
                  <wp:extent cx="2787650" cy="2448560"/>
                  <wp:effectExtent l="0" t="0" r="9525" b="11430"/>
                  <wp:wrapNone/>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c>
      </w:tr>
      <w:tr w:rsidR="00DC1F2A" w:rsidRPr="003D6047" w:rsidTr="003202C1">
        <w:trPr>
          <w:trHeight w:val="411"/>
        </w:trPr>
        <w:tc>
          <w:tcPr>
            <w:tcW w:w="4517" w:type="dxa"/>
          </w:tcPr>
          <w:p w:rsidR="003D6047" w:rsidRDefault="003D6047">
            <w:pPr>
              <w:pStyle w:val="naisf"/>
              <w:spacing w:before="60" w:after="60"/>
              <w:ind w:firstLine="0"/>
              <w:rPr>
                <w:noProof/>
                <w:color w:val="000000" w:themeColor="text1"/>
              </w:rPr>
            </w:pPr>
          </w:p>
          <w:p w:rsidR="003202C1" w:rsidRPr="003D6047" w:rsidRDefault="003202C1">
            <w:pPr>
              <w:pStyle w:val="naisf"/>
              <w:spacing w:before="60" w:after="60"/>
              <w:ind w:firstLine="0"/>
              <w:rPr>
                <w:i/>
                <w:noProof/>
                <w:color w:val="000000" w:themeColor="text1"/>
              </w:rPr>
            </w:pPr>
            <w:r w:rsidRPr="003D6047">
              <w:rPr>
                <w:noProof/>
                <w:color w:val="000000" w:themeColor="text1"/>
              </w:rPr>
              <w:t>3. attēls</w:t>
            </w:r>
            <w:r w:rsidR="00A961FD" w:rsidRPr="003D6047">
              <w:rPr>
                <w:noProof/>
                <w:color w:val="000000" w:themeColor="text1"/>
              </w:rPr>
              <w:t>.</w:t>
            </w:r>
            <w:r w:rsidRPr="003D6047">
              <w:rPr>
                <w:noProof/>
                <w:color w:val="000000" w:themeColor="text1"/>
              </w:rPr>
              <w:t xml:space="preserve"> Pārtikas un lopbarības kviešu iep</w:t>
            </w:r>
            <w:r w:rsidR="00A961FD" w:rsidRPr="003D6047">
              <w:rPr>
                <w:noProof/>
                <w:color w:val="000000" w:themeColor="text1"/>
              </w:rPr>
              <w:t>ir</w:t>
            </w:r>
            <w:r w:rsidRPr="003D6047">
              <w:rPr>
                <w:noProof/>
                <w:color w:val="000000" w:themeColor="text1"/>
              </w:rPr>
              <w:t>kuma cenas</w:t>
            </w:r>
          </w:p>
        </w:tc>
        <w:tc>
          <w:tcPr>
            <w:tcW w:w="4554" w:type="dxa"/>
          </w:tcPr>
          <w:p w:rsidR="003D6047" w:rsidRDefault="003D6047">
            <w:pPr>
              <w:spacing w:before="60" w:after="60"/>
              <w:jc w:val="both"/>
              <w:rPr>
                <w:rFonts w:ascii="Times New Roman" w:hAnsi="Times New Roman"/>
                <w:noProof/>
                <w:color w:val="000000" w:themeColor="text1"/>
                <w:sz w:val="24"/>
                <w:szCs w:val="24"/>
              </w:rPr>
            </w:pPr>
          </w:p>
          <w:p w:rsidR="003202C1" w:rsidRPr="003D6047" w:rsidRDefault="003202C1">
            <w:pPr>
              <w:spacing w:before="60" w:after="60"/>
              <w:jc w:val="both"/>
              <w:rPr>
                <w:rFonts w:ascii="Times New Roman" w:hAnsi="Times New Roman"/>
                <w:i/>
                <w:noProof/>
                <w:color w:val="000000" w:themeColor="text1"/>
                <w:sz w:val="24"/>
                <w:szCs w:val="24"/>
              </w:rPr>
            </w:pPr>
            <w:r w:rsidRPr="003D6047">
              <w:rPr>
                <w:rFonts w:ascii="Times New Roman" w:hAnsi="Times New Roman"/>
                <w:noProof/>
                <w:color w:val="000000" w:themeColor="text1"/>
                <w:sz w:val="24"/>
                <w:szCs w:val="24"/>
              </w:rPr>
              <w:t>4. attēls</w:t>
            </w:r>
            <w:r w:rsidR="00A961FD" w:rsidRPr="003D6047">
              <w:rPr>
                <w:rFonts w:ascii="Times New Roman" w:hAnsi="Times New Roman"/>
                <w:noProof/>
                <w:color w:val="000000" w:themeColor="text1"/>
                <w:sz w:val="24"/>
                <w:szCs w:val="24"/>
              </w:rPr>
              <w:t>.</w:t>
            </w:r>
            <w:r w:rsidR="00822FB8" w:rsidRPr="003D6047">
              <w:rPr>
                <w:rFonts w:ascii="Times New Roman" w:hAnsi="Times New Roman"/>
                <w:noProof/>
                <w:color w:val="000000" w:themeColor="text1"/>
                <w:sz w:val="24"/>
                <w:szCs w:val="24"/>
              </w:rPr>
              <w:t xml:space="preserve"> Lopbarī</w:t>
            </w:r>
            <w:r w:rsidRPr="003D6047">
              <w:rPr>
                <w:rFonts w:ascii="Times New Roman" w:hAnsi="Times New Roman"/>
                <w:noProof/>
                <w:color w:val="000000" w:themeColor="text1"/>
                <w:sz w:val="24"/>
                <w:szCs w:val="24"/>
              </w:rPr>
              <w:t>bas miežu iep</w:t>
            </w:r>
            <w:r w:rsidR="00A961FD" w:rsidRPr="003D6047">
              <w:rPr>
                <w:rFonts w:ascii="Times New Roman" w:hAnsi="Times New Roman"/>
                <w:noProof/>
                <w:color w:val="000000" w:themeColor="text1"/>
                <w:sz w:val="24"/>
                <w:szCs w:val="24"/>
              </w:rPr>
              <w:t>ir</w:t>
            </w:r>
            <w:r w:rsidRPr="003D6047">
              <w:rPr>
                <w:rFonts w:ascii="Times New Roman" w:hAnsi="Times New Roman"/>
                <w:noProof/>
                <w:color w:val="000000" w:themeColor="text1"/>
                <w:sz w:val="24"/>
                <w:szCs w:val="24"/>
              </w:rPr>
              <w:t>kuma cenas</w:t>
            </w:r>
          </w:p>
        </w:tc>
      </w:tr>
      <w:tr w:rsidR="003202C1" w:rsidRPr="003D6047" w:rsidTr="003202C1">
        <w:trPr>
          <w:trHeight w:val="411"/>
        </w:trPr>
        <w:tc>
          <w:tcPr>
            <w:tcW w:w="4517" w:type="dxa"/>
          </w:tcPr>
          <w:p w:rsidR="003202C1" w:rsidRPr="003D6047" w:rsidRDefault="003202C1" w:rsidP="00A210E3">
            <w:pPr>
              <w:pStyle w:val="naisf"/>
              <w:spacing w:before="60" w:after="60"/>
              <w:ind w:firstLine="0"/>
              <w:rPr>
                <w:bCs/>
                <w:i/>
                <w:color w:val="000000" w:themeColor="text1"/>
              </w:rPr>
            </w:pPr>
            <w:r w:rsidRPr="003D6047">
              <w:rPr>
                <w:i/>
                <w:noProof/>
                <w:color w:val="000000" w:themeColor="text1"/>
              </w:rPr>
              <w:t xml:space="preserve">Avots: </w:t>
            </w:r>
            <w:r w:rsidR="00A210E3" w:rsidRPr="003D6047">
              <w:rPr>
                <w:i/>
                <w:noProof/>
                <w:color w:val="000000" w:themeColor="text1"/>
              </w:rPr>
              <w:t>AREI</w:t>
            </w:r>
          </w:p>
        </w:tc>
        <w:tc>
          <w:tcPr>
            <w:tcW w:w="4554" w:type="dxa"/>
          </w:tcPr>
          <w:p w:rsidR="003202C1" w:rsidRPr="003D6047" w:rsidRDefault="003202C1" w:rsidP="00A210E3">
            <w:pPr>
              <w:spacing w:before="60" w:after="60"/>
              <w:jc w:val="both"/>
              <w:rPr>
                <w:rFonts w:ascii="Times New Roman" w:hAnsi="Times New Roman"/>
                <w:i/>
                <w:noProof/>
                <w:color w:val="000000" w:themeColor="text1"/>
                <w:sz w:val="24"/>
                <w:szCs w:val="24"/>
              </w:rPr>
            </w:pPr>
            <w:r w:rsidRPr="003D6047">
              <w:rPr>
                <w:rFonts w:ascii="Times New Roman" w:hAnsi="Times New Roman"/>
                <w:i/>
                <w:noProof/>
                <w:color w:val="000000" w:themeColor="text1"/>
                <w:sz w:val="24"/>
                <w:szCs w:val="24"/>
              </w:rPr>
              <w:t xml:space="preserve">Avots: </w:t>
            </w:r>
            <w:r w:rsidR="00A210E3" w:rsidRPr="003D6047">
              <w:rPr>
                <w:rFonts w:ascii="Times New Roman" w:hAnsi="Times New Roman"/>
                <w:i/>
                <w:noProof/>
                <w:color w:val="000000" w:themeColor="text1"/>
                <w:sz w:val="24"/>
                <w:szCs w:val="24"/>
              </w:rPr>
              <w:t>AREI</w:t>
            </w:r>
          </w:p>
        </w:tc>
      </w:tr>
    </w:tbl>
    <w:p w:rsidR="00A32C5B" w:rsidRPr="003D6047" w:rsidRDefault="00A32C5B" w:rsidP="00E018D8">
      <w:pPr>
        <w:spacing w:before="60" w:after="60"/>
        <w:ind w:firstLine="720"/>
        <w:jc w:val="both"/>
        <w:rPr>
          <w:rFonts w:ascii="Times New Roman" w:hAnsi="Times New Roman"/>
          <w:color w:val="000000" w:themeColor="text1"/>
          <w:sz w:val="24"/>
          <w:szCs w:val="24"/>
        </w:rPr>
      </w:pPr>
    </w:p>
    <w:p w:rsidR="008C30A6" w:rsidRPr="003D6047" w:rsidRDefault="00695CC3">
      <w:pPr>
        <w:pStyle w:val="naisf"/>
        <w:spacing w:before="60" w:after="60"/>
        <w:rPr>
          <w:rFonts w:eastAsiaTheme="minorHAnsi"/>
          <w:color w:val="000000" w:themeColor="text1"/>
        </w:rPr>
      </w:pPr>
      <w:r w:rsidRPr="003D6047">
        <w:rPr>
          <w:rFonts w:eastAsiaTheme="minorHAnsi"/>
          <w:color w:val="000000" w:themeColor="text1"/>
        </w:rPr>
        <w:t xml:space="preserve">Arī turpmākos mēnešus </w:t>
      </w:r>
      <w:r w:rsidR="00A961FD" w:rsidRPr="003D6047">
        <w:rPr>
          <w:rFonts w:eastAsiaTheme="minorHAnsi"/>
          <w:color w:val="000000" w:themeColor="text1"/>
        </w:rPr>
        <w:t>sagaidāms</w:t>
      </w:r>
      <w:r w:rsidRPr="003D6047">
        <w:rPr>
          <w:rFonts w:eastAsiaTheme="minorHAnsi"/>
          <w:color w:val="000000" w:themeColor="text1"/>
        </w:rPr>
        <w:t xml:space="preserve"> graudu iepirkuma cenu samazinājums, jo </w:t>
      </w:r>
      <w:r w:rsidR="008C30A6" w:rsidRPr="003D6047">
        <w:rPr>
          <w:rFonts w:eastAsiaTheme="minorHAnsi"/>
          <w:color w:val="000000" w:themeColor="text1"/>
        </w:rPr>
        <w:t>Starptautiskā graudu padome</w:t>
      </w:r>
      <w:r w:rsidRPr="003D6047">
        <w:rPr>
          <w:rFonts w:eastAsiaTheme="minorHAnsi"/>
          <w:color w:val="000000" w:themeColor="text1"/>
        </w:rPr>
        <w:t xml:space="preserve"> un </w:t>
      </w:r>
      <w:r w:rsidR="008C30A6" w:rsidRPr="003D6047">
        <w:rPr>
          <w:rFonts w:eastAsiaTheme="minorHAnsi"/>
          <w:color w:val="000000" w:themeColor="text1"/>
        </w:rPr>
        <w:t xml:space="preserve">ASV Lauksaimniecības departaments prognozē graudu ražošanas </w:t>
      </w:r>
      <w:r w:rsidRPr="003D6047">
        <w:rPr>
          <w:rFonts w:eastAsiaTheme="minorHAnsi"/>
          <w:color w:val="000000" w:themeColor="text1"/>
        </w:rPr>
        <w:t>apjom</w:t>
      </w:r>
      <w:r w:rsidR="00A961FD" w:rsidRPr="003D6047">
        <w:rPr>
          <w:rFonts w:eastAsiaTheme="minorHAnsi"/>
          <w:color w:val="000000" w:themeColor="text1"/>
        </w:rPr>
        <w:t>a</w:t>
      </w:r>
      <w:r w:rsidRPr="003D6047">
        <w:rPr>
          <w:rFonts w:eastAsiaTheme="minorHAnsi"/>
          <w:color w:val="000000" w:themeColor="text1"/>
        </w:rPr>
        <w:t xml:space="preserve"> </w:t>
      </w:r>
      <w:r w:rsidR="008C30A6" w:rsidRPr="003D6047">
        <w:rPr>
          <w:rFonts w:eastAsiaTheme="minorHAnsi"/>
          <w:color w:val="000000" w:themeColor="text1"/>
        </w:rPr>
        <w:t>p</w:t>
      </w:r>
      <w:r w:rsidR="00A961FD" w:rsidRPr="003D6047">
        <w:rPr>
          <w:rFonts w:eastAsiaTheme="minorHAnsi"/>
          <w:color w:val="000000" w:themeColor="text1"/>
        </w:rPr>
        <w:t>alielināšanos</w:t>
      </w:r>
      <w:r w:rsidR="008C30A6" w:rsidRPr="003D6047">
        <w:rPr>
          <w:rFonts w:eastAsiaTheme="minorHAnsi"/>
          <w:color w:val="000000" w:themeColor="text1"/>
        </w:rPr>
        <w:t xml:space="preserve"> pasaulē, sasniedzot jaunu ražas rekordu. Kviešu ražošana </w:t>
      </w:r>
      <w:r w:rsidR="00345631" w:rsidRPr="003D6047">
        <w:rPr>
          <w:rFonts w:eastAsiaTheme="minorHAnsi"/>
          <w:color w:val="000000" w:themeColor="text1"/>
        </w:rPr>
        <w:t>palielinās</w:t>
      </w:r>
      <w:r w:rsidR="008C30A6" w:rsidRPr="003D6047">
        <w:rPr>
          <w:rFonts w:eastAsiaTheme="minorHAnsi"/>
          <w:color w:val="000000" w:themeColor="text1"/>
        </w:rPr>
        <w:t xml:space="preserve"> visās galvenajās graudu eksportētājvalstīs</w:t>
      </w:r>
      <w:r w:rsidR="00345631" w:rsidRPr="003D6047">
        <w:rPr>
          <w:rFonts w:eastAsiaTheme="minorHAnsi"/>
          <w:color w:val="000000" w:themeColor="text1"/>
        </w:rPr>
        <w:t xml:space="preserve">, īpaši </w:t>
      </w:r>
      <w:r w:rsidR="008C30A6" w:rsidRPr="003D6047">
        <w:rPr>
          <w:rFonts w:eastAsiaTheme="minorHAnsi"/>
          <w:color w:val="000000" w:themeColor="text1"/>
        </w:rPr>
        <w:t>Krievijā, Kazahstān</w:t>
      </w:r>
      <w:r w:rsidR="00345631" w:rsidRPr="003D6047">
        <w:rPr>
          <w:rFonts w:eastAsiaTheme="minorHAnsi"/>
          <w:color w:val="000000" w:themeColor="text1"/>
        </w:rPr>
        <w:t xml:space="preserve">ā un Ukrainā. Savukārt </w:t>
      </w:r>
      <w:r w:rsidR="008C30A6" w:rsidRPr="003D6047">
        <w:rPr>
          <w:rFonts w:eastAsiaTheme="minorHAnsi"/>
          <w:color w:val="000000" w:themeColor="text1"/>
        </w:rPr>
        <w:t>Eiropas Savienīb</w:t>
      </w:r>
      <w:r w:rsidR="00345631" w:rsidRPr="003D6047">
        <w:rPr>
          <w:rFonts w:eastAsiaTheme="minorHAnsi"/>
          <w:color w:val="000000" w:themeColor="text1"/>
        </w:rPr>
        <w:t>ā kopumā prognozēts samazinājums</w:t>
      </w:r>
      <w:r w:rsidR="008C30A6" w:rsidRPr="003D6047">
        <w:rPr>
          <w:rFonts w:eastAsiaTheme="minorHAnsi"/>
          <w:color w:val="000000" w:themeColor="text1"/>
        </w:rPr>
        <w:t xml:space="preserve">. </w:t>
      </w:r>
      <w:r w:rsidR="00A961FD" w:rsidRPr="003D6047">
        <w:rPr>
          <w:rFonts w:eastAsiaTheme="minorHAnsi"/>
          <w:color w:val="000000" w:themeColor="text1"/>
        </w:rPr>
        <w:t>Šo apstākļu dēļ</w:t>
      </w:r>
      <w:r w:rsidR="008C30A6" w:rsidRPr="003D6047">
        <w:rPr>
          <w:rFonts w:eastAsiaTheme="minorHAnsi"/>
          <w:color w:val="000000" w:themeColor="text1"/>
        </w:rPr>
        <w:t xml:space="preserve"> pasaulē ievērojami palielināsies graudu krājumi, kas atstās ietekmi uz pasaules graudu cenu. Eiropas Komisija prognozē, ka turpmākos mēnešus graudu cena</w:t>
      </w:r>
      <w:r w:rsidR="00A961FD" w:rsidRPr="003D6047">
        <w:rPr>
          <w:rFonts w:eastAsiaTheme="minorHAnsi"/>
          <w:color w:val="000000" w:themeColor="text1"/>
        </w:rPr>
        <w:t>,</w:t>
      </w:r>
      <w:r w:rsidR="008C30A6" w:rsidRPr="003D6047">
        <w:rPr>
          <w:rFonts w:eastAsiaTheme="minorHAnsi"/>
          <w:color w:val="000000" w:themeColor="text1"/>
        </w:rPr>
        <w:t xml:space="preserve"> </w:t>
      </w:r>
      <w:r w:rsidR="00A961FD" w:rsidRPr="003D6047">
        <w:rPr>
          <w:rFonts w:eastAsiaTheme="minorHAnsi"/>
          <w:color w:val="000000" w:themeColor="text1"/>
        </w:rPr>
        <w:t xml:space="preserve">īpaši kviešu cena, </w:t>
      </w:r>
      <w:r w:rsidR="008C30A6" w:rsidRPr="003D6047">
        <w:rPr>
          <w:rFonts w:eastAsiaTheme="minorHAnsi"/>
          <w:color w:val="000000" w:themeColor="text1"/>
        </w:rPr>
        <w:t>būs zemā līmenī.</w:t>
      </w:r>
    </w:p>
    <w:p w:rsidR="00345631" w:rsidRPr="003D6047" w:rsidRDefault="00A961FD" w:rsidP="00765707">
      <w:pPr>
        <w:pStyle w:val="naisf"/>
        <w:spacing w:before="60" w:after="60"/>
        <w:rPr>
          <w:rFonts w:eastAsiaTheme="minorHAnsi"/>
          <w:color w:val="000000" w:themeColor="text1"/>
        </w:rPr>
      </w:pPr>
      <w:r w:rsidRPr="003D6047">
        <w:rPr>
          <w:rFonts w:eastAsiaTheme="minorHAnsi"/>
          <w:color w:val="000000" w:themeColor="text1"/>
        </w:rPr>
        <w:t>Lejupejošu c</w:t>
      </w:r>
      <w:r w:rsidR="008C30A6" w:rsidRPr="003D6047">
        <w:rPr>
          <w:rFonts w:eastAsiaTheme="minorHAnsi"/>
          <w:color w:val="000000" w:themeColor="text1"/>
        </w:rPr>
        <w:t xml:space="preserve">enu tendenci var novērot arī </w:t>
      </w:r>
      <w:r w:rsidR="00345631" w:rsidRPr="003D6047">
        <w:rPr>
          <w:rFonts w:eastAsiaTheme="minorHAnsi"/>
          <w:color w:val="000000" w:themeColor="text1"/>
        </w:rPr>
        <w:t xml:space="preserve">preču </w:t>
      </w:r>
      <w:r w:rsidR="008C30A6" w:rsidRPr="003D6047">
        <w:rPr>
          <w:rFonts w:eastAsiaTheme="minorHAnsi"/>
          <w:color w:val="000000" w:themeColor="text1"/>
        </w:rPr>
        <w:t>biržās. Čikāgas biržā (</w:t>
      </w:r>
      <w:r w:rsidR="008C30A6" w:rsidRPr="003D6047">
        <w:rPr>
          <w:rFonts w:eastAsiaTheme="minorHAnsi"/>
          <w:i/>
          <w:color w:val="000000" w:themeColor="text1"/>
        </w:rPr>
        <w:t>CBOT</w:t>
      </w:r>
      <w:r w:rsidR="008C30A6" w:rsidRPr="003D6047">
        <w:rPr>
          <w:rFonts w:eastAsiaTheme="minorHAnsi"/>
          <w:color w:val="000000" w:themeColor="text1"/>
        </w:rPr>
        <w:t>) kviešu cena š</w:t>
      </w:r>
      <w:r w:rsidR="00345631" w:rsidRPr="003D6047">
        <w:rPr>
          <w:rFonts w:eastAsiaTheme="minorHAnsi"/>
          <w:color w:val="000000" w:themeColor="text1"/>
        </w:rPr>
        <w:t xml:space="preserve">ī </w:t>
      </w:r>
      <w:r w:rsidR="008C30A6" w:rsidRPr="003D6047">
        <w:rPr>
          <w:rFonts w:eastAsiaTheme="minorHAnsi"/>
          <w:color w:val="000000" w:themeColor="text1"/>
        </w:rPr>
        <w:t>g</w:t>
      </w:r>
      <w:r w:rsidR="00345631" w:rsidRPr="003D6047">
        <w:rPr>
          <w:rFonts w:eastAsiaTheme="minorHAnsi"/>
          <w:color w:val="000000" w:themeColor="text1"/>
        </w:rPr>
        <w:t>ada</w:t>
      </w:r>
      <w:r w:rsidR="008C30A6" w:rsidRPr="003D6047">
        <w:rPr>
          <w:rFonts w:eastAsiaTheme="minorHAnsi"/>
          <w:color w:val="000000" w:themeColor="text1"/>
        </w:rPr>
        <w:t xml:space="preserve"> </w:t>
      </w:r>
      <w:r w:rsidR="00345631" w:rsidRPr="003D6047">
        <w:rPr>
          <w:rFonts w:eastAsiaTheme="minorHAnsi"/>
          <w:color w:val="000000" w:themeColor="text1"/>
        </w:rPr>
        <w:t>oktobrī ir</w:t>
      </w:r>
      <w:r w:rsidR="008C30A6" w:rsidRPr="003D6047">
        <w:rPr>
          <w:rFonts w:eastAsiaTheme="minorHAnsi"/>
          <w:color w:val="000000" w:themeColor="text1"/>
        </w:rPr>
        <w:t xml:space="preserve"> par 24% zemāka nekā iepriekšējā gada oktobrī, bet </w:t>
      </w:r>
      <w:r w:rsidR="00345631" w:rsidRPr="003D6047">
        <w:rPr>
          <w:rFonts w:eastAsiaTheme="minorHAnsi"/>
          <w:i/>
          <w:color w:val="000000" w:themeColor="text1"/>
        </w:rPr>
        <w:t>MATIF</w:t>
      </w:r>
      <w:r w:rsidR="00345631" w:rsidRPr="003D6047">
        <w:rPr>
          <w:rFonts w:eastAsiaTheme="minorHAnsi"/>
          <w:color w:val="000000" w:themeColor="text1"/>
        </w:rPr>
        <w:t xml:space="preserve"> </w:t>
      </w:r>
      <w:r w:rsidR="008C30A6" w:rsidRPr="003D6047">
        <w:rPr>
          <w:rFonts w:eastAsiaTheme="minorHAnsi"/>
          <w:color w:val="000000" w:themeColor="text1"/>
        </w:rPr>
        <w:t xml:space="preserve">biržā </w:t>
      </w:r>
      <w:r w:rsidRPr="003D6047">
        <w:rPr>
          <w:rFonts w:eastAsiaTheme="minorHAnsi"/>
          <w:color w:val="000000" w:themeColor="text1"/>
        </w:rPr>
        <w:t>–</w:t>
      </w:r>
      <w:r w:rsidR="008C30A6" w:rsidRPr="003D6047">
        <w:rPr>
          <w:rFonts w:eastAsiaTheme="minorHAnsi"/>
          <w:color w:val="000000" w:themeColor="text1"/>
        </w:rPr>
        <w:t xml:space="preserve"> par 11% zemāka. Savukārt lopbarības kviešiem cenas samazinājums ir daudz mērenāks, sasniedzot 6%.</w:t>
      </w:r>
    </w:p>
    <w:p w:rsidR="00A10B51" w:rsidRPr="003D6047" w:rsidRDefault="00345631" w:rsidP="009A2938">
      <w:pPr>
        <w:pStyle w:val="Virsraksts1"/>
        <w:tabs>
          <w:tab w:val="clear" w:pos="432"/>
        </w:tabs>
        <w:ind w:left="0" w:firstLine="720"/>
        <w:rPr>
          <w:color w:val="000000" w:themeColor="text1"/>
          <w:sz w:val="24"/>
          <w:szCs w:val="24"/>
        </w:rPr>
      </w:pPr>
      <w:r w:rsidRPr="003D6047">
        <w:rPr>
          <w:color w:val="000000" w:themeColor="text1"/>
          <w:sz w:val="24"/>
          <w:szCs w:val="24"/>
        </w:rPr>
        <w:t xml:space="preserve">5. </w:t>
      </w:r>
      <w:r w:rsidR="00A10B51" w:rsidRPr="003D6047">
        <w:rPr>
          <w:color w:val="000000" w:themeColor="text1"/>
          <w:sz w:val="24"/>
          <w:szCs w:val="24"/>
        </w:rPr>
        <w:t>Finansiālā ietekme uz nozari</w:t>
      </w:r>
    </w:p>
    <w:p w:rsidR="00DB054F" w:rsidRPr="003D6047" w:rsidRDefault="00345631" w:rsidP="009A2938">
      <w:pPr>
        <w:spacing w:before="60" w:after="60"/>
        <w:ind w:firstLine="709"/>
        <w:jc w:val="both"/>
        <w:rPr>
          <w:b/>
          <w:bCs/>
          <w:i/>
          <w:color w:val="000000" w:themeColor="text1"/>
          <w:sz w:val="24"/>
          <w:szCs w:val="24"/>
          <w:u w:val="single"/>
        </w:rPr>
      </w:pPr>
      <w:r w:rsidRPr="003D6047">
        <w:rPr>
          <w:rFonts w:ascii="Times New Roman" w:hAnsi="Times New Roman"/>
          <w:color w:val="000000" w:themeColor="text1"/>
          <w:sz w:val="24"/>
          <w:szCs w:val="24"/>
        </w:rPr>
        <w:t xml:space="preserve">Graudu ražošanas saimniecībām šogad tiek radīts būtisks ieņēmumu samazinājums un zaudējumi </w:t>
      </w:r>
      <w:r w:rsidR="00A961FD" w:rsidRPr="003D6047">
        <w:rPr>
          <w:rFonts w:ascii="Times New Roman" w:hAnsi="Times New Roman"/>
          <w:color w:val="000000" w:themeColor="text1"/>
          <w:sz w:val="24"/>
          <w:szCs w:val="24"/>
        </w:rPr>
        <w:t xml:space="preserve">gan </w:t>
      </w:r>
      <w:r w:rsidRPr="003D6047">
        <w:rPr>
          <w:rFonts w:ascii="Times New Roman" w:hAnsi="Times New Roman"/>
          <w:color w:val="000000" w:themeColor="text1"/>
          <w:sz w:val="24"/>
          <w:szCs w:val="24"/>
        </w:rPr>
        <w:t>ražības samazinā</w:t>
      </w:r>
      <w:r w:rsidR="00A961FD" w:rsidRPr="003D6047">
        <w:rPr>
          <w:rFonts w:ascii="Times New Roman" w:hAnsi="Times New Roman"/>
          <w:color w:val="000000" w:themeColor="text1"/>
          <w:sz w:val="24"/>
          <w:szCs w:val="24"/>
        </w:rPr>
        <w:t>šanās dēļ</w:t>
      </w:r>
      <w:r w:rsidRPr="003D6047">
        <w:rPr>
          <w:rFonts w:ascii="Times New Roman" w:hAnsi="Times New Roman"/>
          <w:color w:val="000000" w:themeColor="text1"/>
          <w:sz w:val="24"/>
          <w:szCs w:val="24"/>
        </w:rPr>
        <w:t>,</w:t>
      </w:r>
      <w:r w:rsidR="00054BC7" w:rsidRPr="003D6047">
        <w:rPr>
          <w:rFonts w:ascii="Times New Roman" w:hAnsi="Times New Roman"/>
          <w:color w:val="000000" w:themeColor="text1"/>
          <w:sz w:val="24"/>
          <w:szCs w:val="24"/>
        </w:rPr>
        <w:t xml:space="preserve"> k</w:t>
      </w:r>
      <w:r w:rsidR="00A961FD" w:rsidRPr="003D6047">
        <w:rPr>
          <w:rFonts w:ascii="Times New Roman" w:hAnsi="Times New Roman"/>
          <w:color w:val="000000" w:themeColor="text1"/>
          <w:sz w:val="24"/>
          <w:szCs w:val="24"/>
        </w:rPr>
        <w:t>uru</w:t>
      </w:r>
      <w:r w:rsidR="00054BC7" w:rsidRPr="003D6047">
        <w:rPr>
          <w:rFonts w:ascii="Times New Roman" w:hAnsi="Times New Roman"/>
          <w:color w:val="000000" w:themeColor="text1"/>
          <w:sz w:val="24"/>
          <w:szCs w:val="24"/>
        </w:rPr>
        <w:t xml:space="preserve"> ietekmē</w:t>
      </w:r>
      <w:r w:rsidR="00A961FD" w:rsidRPr="003D6047">
        <w:rPr>
          <w:rFonts w:ascii="Times New Roman" w:hAnsi="Times New Roman"/>
          <w:color w:val="000000" w:themeColor="text1"/>
          <w:sz w:val="24"/>
          <w:szCs w:val="24"/>
        </w:rPr>
        <w:t>juši</w:t>
      </w:r>
      <w:r w:rsidR="00054BC7" w:rsidRPr="003D6047">
        <w:rPr>
          <w:rFonts w:ascii="Times New Roman" w:hAnsi="Times New Roman"/>
          <w:color w:val="000000" w:themeColor="text1"/>
          <w:sz w:val="24"/>
          <w:szCs w:val="24"/>
        </w:rPr>
        <w:t xml:space="preserve"> nelabvēlīgie augšanas apstākļi, </w:t>
      </w:r>
      <w:r w:rsidR="00A961FD" w:rsidRPr="003D6047">
        <w:rPr>
          <w:rFonts w:ascii="Times New Roman" w:hAnsi="Times New Roman"/>
          <w:color w:val="000000" w:themeColor="text1"/>
          <w:sz w:val="24"/>
          <w:szCs w:val="24"/>
        </w:rPr>
        <w:t>gan</w:t>
      </w:r>
      <w:r w:rsidR="00054BC7" w:rsidRPr="003D6047">
        <w:rPr>
          <w:rFonts w:ascii="Times New Roman" w:hAnsi="Times New Roman"/>
          <w:color w:val="000000" w:themeColor="text1"/>
          <w:sz w:val="24"/>
          <w:szCs w:val="24"/>
        </w:rPr>
        <w:t xml:space="preserve"> iepirkuma cenu </w:t>
      </w:r>
      <w:r w:rsidR="00A210E3" w:rsidRPr="003D6047">
        <w:rPr>
          <w:rFonts w:ascii="Times New Roman" w:hAnsi="Times New Roman"/>
          <w:color w:val="000000" w:themeColor="text1"/>
          <w:sz w:val="24"/>
          <w:szCs w:val="24"/>
        </w:rPr>
        <w:t xml:space="preserve">un ieņēmumu </w:t>
      </w:r>
      <w:r w:rsidR="00054BC7" w:rsidRPr="003D6047">
        <w:rPr>
          <w:rFonts w:ascii="Times New Roman" w:hAnsi="Times New Roman"/>
          <w:color w:val="000000" w:themeColor="text1"/>
          <w:sz w:val="24"/>
          <w:szCs w:val="24"/>
        </w:rPr>
        <w:t>samazinājuma dēļ, k</w:t>
      </w:r>
      <w:r w:rsidR="00A961FD" w:rsidRPr="003D6047">
        <w:rPr>
          <w:rFonts w:ascii="Times New Roman" w:hAnsi="Times New Roman"/>
          <w:color w:val="000000" w:themeColor="text1"/>
          <w:sz w:val="24"/>
          <w:szCs w:val="24"/>
        </w:rPr>
        <w:t>uru</w:t>
      </w:r>
      <w:r w:rsidR="00054BC7" w:rsidRPr="003D6047">
        <w:rPr>
          <w:rFonts w:ascii="Times New Roman" w:hAnsi="Times New Roman"/>
          <w:color w:val="000000" w:themeColor="text1"/>
          <w:sz w:val="24"/>
          <w:szCs w:val="24"/>
        </w:rPr>
        <w:t xml:space="preserve"> savukārt ietekmē </w:t>
      </w:r>
      <w:r w:rsidR="001B19FB" w:rsidRPr="003D6047">
        <w:rPr>
          <w:rFonts w:ascii="Times New Roman" w:hAnsi="Times New Roman"/>
          <w:color w:val="000000" w:themeColor="text1"/>
          <w:sz w:val="24"/>
          <w:szCs w:val="24"/>
        </w:rPr>
        <w:t>graud</w:t>
      </w:r>
      <w:r w:rsidRPr="003D6047">
        <w:rPr>
          <w:rFonts w:ascii="Times New Roman" w:hAnsi="Times New Roman"/>
          <w:color w:val="000000" w:themeColor="text1"/>
          <w:sz w:val="24"/>
          <w:szCs w:val="24"/>
        </w:rPr>
        <w:t xml:space="preserve">u kvalitātes rādītāju pasliktināšanās un graudu </w:t>
      </w:r>
      <w:r w:rsidR="00142D2D" w:rsidRPr="003D6047">
        <w:rPr>
          <w:rFonts w:ascii="Times New Roman" w:hAnsi="Times New Roman"/>
          <w:color w:val="000000" w:themeColor="text1"/>
          <w:sz w:val="24"/>
          <w:szCs w:val="24"/>
        </w:rPr>
        <w:t xml:space="preserve">eksporta </w:t>
      </w:r>
      <w:r w:rsidRPr="003D6047">
        <w:rPr>
          <w:rFonts w:ascii="Times New Roman" w:hAnsi="Times New Roman"/>
          <w:color w:val="000000" w:themeColor="text1"/>
          <w:sz w:val="24"/>
          <w:szCs w:val="24"/>
        </w:rPr>
        <w:t xml:space="preserve">cenu </w:t>
      </w:r>
      <w:r w:rsidR="00054BC7" w:rsidRPr="003D6047">
        <w:rPr>
          <w:rFonts w:ascii="Times New Roman" w:hAnsi="Times New Roman"/>
          <w:color w:val="000000" w:themeColor="text1"/>
          <w:sz w:val="24"/>
          <w:szCs w:val="24"/>
        </w:rPr>
        <w:t>kritums</w:t>
      </w:r>
      <w:r w:rsidR="00A961FD" w:rsidRPr="003D6047">
        <w:rPr>
          <w:rFonts w:ascii="Times New Roman" w:hAnsi="Times New Roman"/>
          <w:color w:val="000000" w:themeColor="text1"/>
          <w:sz w:val="24"/>
          <w:szCs w:val="24"/>
        </w:rPr>
        <w:t xml:space="preserve"> pasaulē kopumā</w:t>
      </w:r>
      <w:r w:rsidR="00054BC7" w:rsidRPr="003D6047">
        <w:rPr>
          <w:rFonts w:ascii="Times New Roman" w:hAnsi="Times New Roman"/>
          <w:color w:val="000000" w:themeColor="text1"/>
          <w:sz w:val="24"/>
          <w:szCs w:val="24"/>
        </w:rPr>
        <w:t xml:space="preserve">. </w:t>
      </w:r>
    </w:p>
    <w:p w:rsidR="00B44C30" w:rsidRPr="003D6047" w:rsidRDefault="00DB054F" w:rsidP="009A2938">
      <w:pPr>
        <w:widowControl w:val="0"/>
        <w:shd w:val="clear" w:color="auto" w:fill="FFFFFF" w:themeFill="background1"/>
        <w:spacing w:before="60" w:after="60"/>
        <w:ind w:left="34" w:firstLine="709"/>
        <w:jc w:val="both"/>
        <w:rPr>
          <w:b/>
          <w:bCs/>
          <w:i/>
          <w:color w:val="000000" w:themeColor="text1"/>
          <w:sz w:val="24"/>
          <w:szCs w:val="24"/>
          <w:u w:val="single"/>
        </w:rPr>
      </w:pPr>
      <w:r w:rsidRPr="003D6047">
        <w:rPr>
          <w:rFonts w:ascii="Times New Roman" w:hAnsi="Times New Roman"/>
          <w:color w:val="000000" w:themeColor="text1"/>
          <w:sz w:val="24"/>
          <w:szCs w:val="24"/>
        </w:rPr>
        <w:t xml:space="preserve">Pēc </w:t>
      </w:r>
      <w:r w:rsidR="00054BC7" w:rsidRPr="003D6047">
        <w:rPr>
          <w:rFonts w:ascii="Times New Roman" w:hAnsi="Times New Roman"/>
          <w:color w:val="000000" w:themeColor="text1"/>
          <w:sz w:val="24"/>
          <w:szCs w:val="24"/>
        </w:rPr>
        <w:t>ZM</w:t>
      </w:r>
      <w:r w:rsidRPr="003D6047">
        <w:rPr>
          <w:rFonts w:ascii="Times New Roman" w:hAnsi="Times New Roman"/>
          <w:color w:val="000000" w:themeColor="text1"/>
          <w:sz w:val="24"/>
          <w:szCs w:val="24"/>
        </w:rPr>
        <w:t xml:space="preserve"> aplēsēm, </w:t>
      </w:r>
      <w:r w:rsidR="00054BC7" w:rsidRPr="003D6047">
        <w:rPr>
          <w:rFonts w:ascii="Times New Roman" w:hAnsi="Times New Roman"/>
          <w:color w:val="000000" w:themeColor="text1"/>
          <w:sz w:val="24"/>
          <w:szCs w:val="24"/>
        </w:rPr>
        <w:t xml:space="preserve">graudu </w:t>
      </w:r>
      <w:r w:rsidR="009A2938" w:rsidRPr="003D6047">
        <w:rPr>
          <w:rFonts w:ascii="Times New Roman" w:hAnsi="Times New Roman"/>
          <w:color w:val="000000" w:themeColor="text1"/>
          <w:sz w:val="24"/>
          <w:szCs w:val="24"/>
        </w:rPr>
        <w:t>nozares</w:t>
      </w:r>
      <w:r w:rsidR="00054BC7" w:rsidRPr="003D6047">
        <w:rPr>
          <w:rFonts w:ascii="Times New Roman" w:hAnsi="Times New Roman"/>
          <w:color w:val="000000" w:themeColor="text1"/>
          <w:sz w:val="24"/>
          <w:szCs w:val="24"/>
        </w:rPr>
        <w:t xml:space="preserve"> ieņēmumi 2016.</w:t>
      </w:r>
      <w:r w:rsidR="00D3173C" w:rsidRPr="003D6047">
        <w:rPr>
          <w:rFonts w:ascii="Times New Roman" w:hAnsi="Times New Roman"/>
          <w:color w:val="000000" w:themeColor="text1"/>
          <w:sz w:val="24"/>
          <w:szCs w:val="24"/>
        </w:rPr>
        <w:t xml:space="preserve">/2017. </w:t>
      </w:r>
      <w:r w:rsidR="00142D2D" w:rsidRPr="003D6047">
        <w:rPr>
          <w:rFonts w:ascii="Times New Roman" w:hAnsi="Times New Roman"/>
          <w:color w:val="000000" w:themeColor="text1"/>
          <w:sz w:val="24"/>
          <w:szCs w:val="24"/>
        </w:rPr>
        <w:t>tirdzniecības</w:t>
      </w:r>
      <w:r w:rsidR="00054BC7" w:rsidRPr="003D6047">
        <w:rPr>
          <w:rFonts w:ascii="Times New Roman" w:hAnsi="Times New Roman"/>
          <w:color w:val="000000" w:themeColor="text1"/>
          <w:sz w:val="24"/>
          <w:szCs w:val="24"/>
        </w:rPr>
        <w:t xml:space="preserve"> gadā</w:t>
      </w:r>
      <w:r w:rsidR="00D3173C" w:rsidRPr="003D6047">
        <w:rPr>
          <w:rFonts w:ascii="Times New Roman" w:hAnsi="Times New Roman"/>
          <w:color w:val="000000" w:themeColor="text1"/>
          <w:sz w:val="24"/>
          <w:szCs w:val="24"/>
        </w:rPr>
        <w:t xml:space="preserve">, salīdzinot ar iepriekšējiem trim </w:t>
      </w:r>
      <w:r w:rsidR="00142D2D" w:rsidRPr="003D6047">
        <w:rPr>
          <w:rFonts w:ascii="Times New Roman" w:hAnsi="Times New Roman"/>
          <w:color w:val="000000" w:themeColor="text1"/>
          <w:sz w:val="24"/>
          <w:szCs w:val="24"/>
        </w:rPr>
        <w:t>tirdzniecības</w:t>
      </w:r>
      <w:r w:rsidR="00226DC4" w:rsidRPr="003D6047">
        <w:rPr>
          <w:rFonts w:ascii="Times New Roman" w:hAnsi="Times New Roman"/>
          <w:color w:val="000000" w:themeColor="text1"/>
          <w:sz w:val="24"/>
          <w:szCs w:val="24"/>
        </w:rPr>
        <w:t xml:space="preserve"> </w:t>
      </w:r>
      <w:r w:rsidR="00D3173C" w:rsidRPr="003D6047">
        <w:rPr>
          <w:rFonts w:ascii="Times New Roman" w:hAnsi="Times New Roman"/>
          <w:color w:val="000000" w:themeColor="text1"/>
          <w:sz w:val="24"/>
          <w:szCs w:val="24"/>
        </w:rPr>
        <w:t>gadiem,</w:t>
      </w:r>
      <w:r w:rsidR="00054BC7" w:rsidRPr="003D6047">
        <w:rPr>
          <w:rFonts w:ascii="Times New Roman" w:hAnsi="Times New Roman"/>
          <w:color w:val="000000" w:themeColor="text1"/>
          <w:sz w:val="24"/>
          <w:szCs w:val="24"/>
        </w:rPr>
        <w:t xml:space="preserve"> samazinā</w:t>
      </w:r>
      <w:r w:rsidR="00A210E3" w:rsidRPr="003D6047">
        <w:rPr>
          <w:rFonts w:ascii="Times New Roman" w:hAnsi="Times New Roman"/>
          <w:color w:val="000000" w:themeColor="text1"/>
          <w:sz w:val="24"/>
          <w:szCs w:val="24"/>
        </w:rPr>
        <w:t>juši</w:t>
      </w:r>
      <w:r w:rsidR="00054BC7" w:rsidRPr="003D6047">
        <w:rPr>
          <w:rFonts w:ascii="Times New Roman" w:hAnsi="Times New Roman"/>
          <w:color w:val="000000" w:themeColor="text1"/>
          <w:sz w:val="24"/>
          <w:szCs w:val="24"/>
        </w:rPr>
        <w:t xml:space="preserve">es par </w:t>
      </w:r>
      <w:r w:rsidR="00D3173C" w:rsidRPr="003D6047">
        <w:rPr>
          <w:rFonts w:ascii="Times New Roman" w:hAnsi="Times New Roman"/>
          <w:color w:val="000000" w:themeColor="text1"/>
          <w:sz w:val="24"/>
          <w:szCs w:val="24"/>
        </w:rPr>
        <w:t>54</w:t>
      </w:r>
      <w:r w:rsidR="00054BC7" w:rsidRPr="003D6047">
        <w:rPr>
          <w:rFonts w:ascii="Times New Roman" w:hAnsi="Times New Roman"/>
          <w:color w:val="000000" w:themeColor="text1"/>
          <w:sz w:val="24"/>
          <w:szCs w:val="24"/>
        </w:rPr>
        <w:t xml:space="preserve"> milj. </w:t>
      </w:r>
      <w:proofErr w:type="spellStart"/>
      <w:r w:rsidR="00054BC7" w:rsidRPr="003D6047">
        <w:rPr>
          <w:rFonts w:ascii="Times New Roman" w:hAnsi="Times New Roman"/>
          <w:i/>
          <w:color w:val="000000" w:themeColor="text1"/>
          <w:sz w:val="24"/>
          <w:szCs w:val="24"/>
        </w:rPr>
        <w:t>euro</w:t>
      </w:r>
      <w:proofErr w:type="spellEnd"/>
      <w:r w:rsidR="00D3173C" w:rsidRPr="003D6047">
        <w:rPr>
          <w:rFonts w:ascii="Times New Roman" w:hAnsi="Times New Roman"/>
          <w:color w:val="000000" w:themeColor="text1"/>
          <w:sz w:val="24"/>
          <w:szCs w:val="24"/>
        </w:rPr>
        <w:t xml:space="preserve">. Aprēķini veikti, </w:t>
      </w:r>
      <w:r w:rsidRPr="003D6047">
        <w:rPr>
          <w:rFonts w:ascii="Times New Roman" w:hAnsi="Times New Roman"/>
          <w:color w:val="000000" w:themeColor="text1"/>
          <w:sz w:val="24"/>
          <w:szCs w:val="24"/>
        </w:rPr>
        <w:t xml:space="preserve">ņemot vērā </w:t>
      </w:r>
      <w:r w:rsidR="007B2119" w:rsidRPr="003D6047">
        <w:rPr>
          <w:rFonts w:ascii="Times New Roman" w:hAnsi="Times New Roman"/>
          <w:color w:val="000000" w:themeColor="text1"/>
          <w:sz w:val="24"/>
          <w:szCs w:val="24"/>
        </w:rPr>
        <w:t>2016./2017</w:t>
      </w:r>
      <w:r w:rsidR="00142D2D" w:rsidRPr="003D6047">
        <w:rPr>
          <w:rFonts w:ascii="Times New Roman" w:hAnsi="Times New Roman"/>
          <w:color w:val="000000" w:themeColor="text1"/>
          <w:sz w:val="24"/>
          <w:szCs w:val="24"/>
        </w:rPr>
        <w:t>. tirdzniecības</w:t>
      </w:r>
      <w:r w:rsidR="007B2119" w:rsidRPr="003D6047">
        <w:rPr>
          <w:rFonts w:ascii="Times New Roman" w:hAnsi="Times New Roman"/>
          <w:color w:val="000000" w:themeColor="text1"/>
          <w:sz w:val="24"/>
          <w:szCs w:val="24"/>
        </w:rPr>
        <w:t xml:space="preserve"> gadā prognozēto kopraž</w:t>
      </w:r>
      <w:r w:rsidR="00226DC4" w:rsidRPr="003D6047">
        <w:rPr>
          <w:rFonts w:ascii="Times New Roman" w:hAnsi="Times New Roman"/>
          <w:color w:val="000000" w:themeColor="text1"/>
          <w:sz w:val="24"/>
          <w:szCs w:val="24"/>
        </w:rPr>
        <w:t>as samazinājumu</w:t>
      </w:r>
      <w:r w:rsidR="007B2119" w:rsidRPr="003D6047">
        <w:rPr>
          <w:rFonts w:ascii="Times New Roman" w:hAnsi="Times New Roman"/>
          <w:color w:val="000000" w:themeColor="text1"/>
          <w:sz w:val="24"/>
          <w:szCs w:val="24"/>
        </w:rPr>
        <w:t xml:space="preserve">, </w:t>
      </w:r>
      <w:r w:rsidR="00054BC7" w:rsidRPr="003D6047">
        <w:rPr>
          <w:rFonts w:ascii="Times New Roman" w:hAnsi="Times New Roman"/>
          <w:color w:val="000000" w:themeColor="text1"/>
          <w:sz w:val="24"/>
          <w:szCs w:val="24"/>
        </w:rPr>
        <w:t xml:space="preserve">iepirkuma cenu </w:t>
      </w:r>
      <w:r w:rsidRPr="003D6047">
        <w:rPr>
          <w:rFonts w:ascii="Times New Roman" w:hAnsi="Times New Roman"/>
          <w:color w:val="000000" w:themeColor="text1"/>
          <w:sz w:val="24"/>
          <w:szCs w:val="24"/>
        </w:rPr>
        <w:t>samazinājumu</w:t>
      </w:r>
      <w:r w:rsidR="007B2119" w:rsidRPr="003D6047">
        <w:rPr>
          <w:rFonts w:ascii="Times New Roman" w:hAnsi="Times New Roman"/>
          <w:color w:val="000000" w:themeColor="text1"/>
          <w:sz w:val="24"/>
          <w:szCs w:val="24"/>
        </w:rPr>
        <w:t xml:space="preserve"> un </w:t>
      </w:r>
      <w:r w:rsidR="00226DC4" w:rsidRPr="003D6047">
        <w:rPr>
          <w:rFonts w:ascii="Times New Roman" w:hAnsi="Times New Roman"/>
          <w:color w:val="000000" w:themeColor="text1"/>
          <w:sz w:val="24"/>
          <w:szCs w:val="24"/>
        </w:rPr>
        <w:t>apstākli, ka 80%</w:t>
      </w:r>
      <w:r w:rsidR="00D3173C" w:rsidRPr="003D6047">
        <w:rPr>
          <w:rFonts w:ascii="Times New Roman" w:hAnsi="Times New Roman"/>
          <w:color w:val="000000" w:themeColor="text1"/>
          <w:sz w:val="24"/>
          <w:szCs w:val="24"/>
        </w:rPr>
        <w:t xml:space="preserve"> </w:t>
      </w:r>
      <w:r w:rsidR="00226DC4" w:rsidRPr="003D6047">
        <w:rPr>
          <w:rFonts w:ascii="Times New Roman" w:hAnsi="Times New Roman"/>
          <w:color w:val="000000" w:themeColor="text1"/>
          <w:sz w:val="24"/>
          <w:szCs w:val="24"/>
        </w:rPr>
        <w:t>novākt</w:t>
      </w:r>
      <w:r w:rsidR="007B2119" w:rsidRPr="003D6047">
        <w:rPr>
          <w:rFonts w:ascii="Times New Roman" w:hAnsi="Times New Roman"/>
          <w:color w:val="000000" w:themeColor="text1"/>
          <w:sz w:val="24"/>
          <w:szCs w:val="24"/>
        </w:rPr>
        <w:t>o</w:t>
      </w:r>
      <w:r w:rsidR="00226DC4" w:rsidRPr="003D6047">
        <w:rPr>
          <w:rFonts w:ascii="Times New Roman" w:hAnsi="Times New Roman"/>
          <w:color w:val="000000" w:themeColor="text1"/>
          <w:sz w:val="24"/>
          <w:szCs w:val="24"/>
        </w:rPr>
        <w:t xml:space="preserve"> kviešu</w:t>
      </w:r>
      <w:r w:rsidR="00D3173C" w:rsidRPr="003D6047">
        <w:rPr>
          <w:rFonts w:ascii="Times New Roman" w:hAnsi="Times New Roman"/>
          <w:color w:val="000000" w:themeColor="text1"/>
          <w:sz w:val="24"/>
          <w:szCs w:val="24"/>
        </w:rPr>
        <w:t xml:space="preserve"> graudu </w:t>
      </w:r>
      <w:r w:rsidR="00226DC4" w:rsidRPr="003D6047">
        <w:rPr>
          <w:rFonts w:ascii="Times New Roman" w:hAnsi="Times New Roman"/>
          <w:color w:val="000000" w:themeColor="text1"/>
          <w:sz w:val="24"/>
          <w:szCs w:val="24"/>
        </w:rPr>
        <w:t xml:space="preserve">varēs </w:t>
      </w:r>
      <w:r w:rsidR="00D3173C" w:rsidRPr="003D6047">
        <w:rPr>
          <w:rFonts w:ascii="Times New Roman" w:hAnsi="Times New Roman"/>
          <w:color w:val="000000" w:themeColor="text1"/>
          <w:sz w:val="24"/>
          <w:szCs w:val="24"/>
        </w:rPr>
        <w:t xml:space="preserve">realizēt </w:t>
      </w:r>
      <w:r w:rsidR="00226DC4" w:rsidRPr="003D6047">
        <w:rPr>
          <w:rFonts w:ascii="Times New Roman" w:hAnsi="Times New Roman"/>
          <w:color w:val="000000" w:themeColor="text1"/>
          <w:sz w:val="24"/>
          <w:szCs w:val="24"/>
        </w:rPr>
        <w:t xml:space="preserve">tikai </w:t>
      </w:r>
      <w:r w:rsidR="00D3173C" w:rsidRPr="003D6047">
        <w:rPr>
          <w:rFonts w:ascii="Times New Roman" w:hAnsi="Times New Roman"/>
          <w:color w:val="000000" w:themeColor="text1"/>
          <w:sz w:val="24"/>
          <w:szCs w:val="24"/>
        </w:rPr>
        <w:t>kā lopbarības graudus</w:t>
      </w:r>
      <w:r w:rsidR="007B2119" w:rsidRPr="003D6047">
        <w:rPr>
          <w:rFonts w:ascii="Times New Roman" w:hAnsi="Times New Roman"/>
          <w:color w:val="000000" w:themeColor="text1"/>
          <w:sz w:val="24"/>
          <w:szCs w:val="24"/>
        </w:rPr>
        <w:t>.</w:t>
      </w:r>
    </w:p>
    <w:p w:rsidR="004B13D3" w:rsidRPr="003D6047" w:rsidRDefault="00A961FD" w:rsidP="00E018D8">
      <w:pPr>
        <w:spacing w:before="60" w:after="60"/>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Pamatoj</w:t>
      </w:r>
      <w:r w:rsidR="008D214B" w:rsidRPr="003D6047">
        <w:rPr>
          <w:rFonts w:ascii="Times New Roman" w:hAnsi="Times New Roman"/>
          <w:color w:val="000000" w:themeColor="text1"/>
          <w:sz w:val="24"/>
          <w:szCs w:val="24"/>
        </w:rPr>
        <w:t xml:space="preserve">oties uz saimniecību ekonomiskās analīzes rezultātiem, </w:t>
      </w:r>
      <w:r w:rsidR="00054BC7" w:rsidRPr="003D6047">
        <w:rPr>
          <w:rFonts w:ascii="Times New Roman" w:hAnsi="Times New Roman"/>
          <w:color w:val="000000" w:themeColor="text1"/>
          <w:sz w:val="24"/>
          <w:szCs w:val="24"/>
        </w:rPr>
        <w:t xml:space="preserve">ir aprēķinātas laukaugu specializācijas saimniecību </w:t>
      </w:r>
      <w:r w:rsidR="004402C1" w:rsidRPr="003D6047">
        <w:rPr>
          <w:rFonts w:ascii="Times New Roman" w:hAnsi="Times New Roman"/>
          <w:color w:val="000000" w:themeColor="text1"/>
          <w:sz w:val="24"/>
          <w:szCs w:val="24"/>
        </w:rPr>
        <w:t xml:space="preserve">graudu izlaides </w:t>
      </w:r>
      <w:r w:rsidR="00054BC7" w:rsidRPr="003D6047">
        <w:rPr>
          <w:rFonts w:ascii="Times New Roman" w:hAnsi="Times New Roman"/>
          <w:color w:val="000000" w:themeColor="text1"/>
          <w:sz w:val="24"/>
          <w:szCs w:val="24"/>
        </w:rPr>
        <w:t xml:space="preserve">un </w:t>
      </w:r>
      <w:r w:rsidR="004402C1" w:rsidRPr="003D6047">
        <w:rPr>
          <w:rFonts w:ascii="Times New Roman" w:hAnsi="Times New Roman"/>
          <w:color w:val="000000" w:themeColor="text1"/>
          <w:sz w:val="24"/>
          <w:szCs w:val="24"/>
        </w:rPr>
        <w:t xml:space="preserve">graudu ražošanas </w:t>
      </w:r>
      <w:r w:rsidR="00054BC7" w:rsidRPr="003D6047">
        <w:rPr>
          <w:rFonts w:ascii="Times New Roman" w:hAnsi="Times New Roman"/>
          <w:color w:val="000000" w:themeColor="text1"/>
          <w:sz w:val="24"/>
          <w:szCs w:val="24"/>
        </w:rPr>
        <w:t>izmaksu izmaiņas pa gadiem un tās salīdzināta</w:t>
      </w:r>
      <w:r w:rsidRPr="003D6047">
        <w:rPr>
          <w:rFonts w:ascii="Times New Roman" w:hAnsi="Times New Roman"/>
          <w:color w:val="000000" w:themeColor="text1"/>
          <w:sz w:val="24"/>
          <w:szCs w:val="24"/>
        </w:rPr>
        <w:t>s</w:t>
      </w:r>
      <w:r w:rsidR="00054BC7" w:rsidRPr="003D6047">
        <w:rPr>
          <w:rFonts w:ascii="Times New Roman" w:hAnsi="Times New Roman"/>
          <w:color w:val="000000" w:themeColor="text1"/>
          <w:sz w:val="24"/>
          <w:szCs w:val="24"/>
        </w:rPr>
        <w:t xml:space="preserve"> ar 2013. gadu (sk</w:t>
      </w:r>
      <w:r w:rsidRPr="003D6047">
        <w:rPr>
          <w:rFonts w:ascii="Times New Roman" w:hAnsi="Times New Roman"/>
          <w:color w:val="000000" w:themeColor="text1"/>
          <w:sz w:val="24"/>
          <w:szCs w:val="24"/>
        </w:rPr>
        <w:t>.</w:t>
      </w:r>
      <w:r w:rsidR="00054BC7" w:rsidRPr="003D6047">
        <w:rPr>
          <w:rFonts w:ascii="Times New Roman" w:hAnsi="Times New Roman"/>
          <w:color w:val="000000" w:themeColor="text1"/>
          <w:sz w:val="24"/>
          <w:szCs w:val="24"/>
        </w:rPr>
        <w:t xml:space="preserve"> </w:t>
      </w:r>
      <w:r w:rsidR="001C3DCA" w:rsidRPr="003D6047">
        <w:rPr>
          <w:rFonts w:ascii="Times New Roman" w:hAnsi="Times New Roman"/>
          <w:color w:val="000000" w:themeColor="text1"/>
          <w:sz w:val="24"/>
          <w:szCs w:val="24"/>
        </w:rPr>
        <w:t xml:space="preserve">5. un 6. </w:t>
      </w:r>
      <w:r w:rsidR="008D214B" w:rsidRPr="003D6047">
        <w:rPr>
          <w:rFonts w:ascii="Times New Roman" w:hAnsi="Times New Roman"/>
          <w:color w:val="000000" w:themeColor="text1"/>
          <w:sz w:val="24"/>
          <w:szCs w:val="24"/>
        </w:rPr>
        <w:t>attēl</w:t>
      </w:r>
      <w:r w:rsidR="00054BC7" w:rsidRPr="003D6047">
        <w:rPr>
          <w:rFonts w:ascii="Times New Roman" w:hAnsi="Times New Roman"/>
          <w:color w:val="000000" w:themeColor="text1"/>
          <w:sz w:val="24"/>
          <w:szCs w:val="24"/>
        </w:rPr>
        <w:t>u)</w:t>
      </w:r>
      <w:r w:rsidR="008D214B" w:rsidRPr="003D6047">
        <w:rPr>
          <w:rFonts w:ascii="Times New Roman" w:hAnsi="Times New Roman"/>
          <w:color w:val="000000" w:themeColor="text1"/>
          <w:sz w:val="24"/>
          <w:szCs w:val="24"/>
        </w:rPr>
        <w:t xml:space="preserve">. </w:t>
      </w:r>
    </w:p>
    <w:p w:rsidR="004B13D3" w:rsidRPr="003D6047" w:rsidRDefault="00B12FC7" w:rsidP="007401D9">
      <w:pPr>
        <w:spacing w:before="60" w:after="60"/>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 xml:space="preserve">Vērojams, ka kopējās graudu ražošanas izmaksas uz graudaugu hektāru līdz 2015. gadam bija nemainīgas vai pat samazinājās, taču 2016. gadā izmaksas palielinājās dēļ graudu </w:t>
      </w:r>
      <w:r w:rsidRPr="003D6047">
        <w:rPr>
          <w:rFonts w:ascii="Times New Roman" w:hAnsi="Times New Roman"/>
          <w:color w:val="000000" w:themeColor="text1"/>
          <w:sz w:val="24"/>
          <w:szCs w:val="24"/>
        </w:rPr>
        <w:lastRenderedPageBreak/>
        <w:t xml:space="preserve">novākšanas (degvielas) un kaltēšanas izmaksu pieauguma un izmaksu pieaugums sastādīja 5% punktus </w:t>
      </w:r>
      <w:r w:rsidR="00157CBE" w:rsidRPr="003D6047">
        <w:rPr>
          <w:rFonts w:ascii="Times New Roman" w:hAnsi="Times New Roman"/>
          <w:color w:val="000000" w:themeColor="text1"/>
          <w:sz w:val="24"/>
          <w:szCs w:val="24"/>
        </w:rPr>
        <w:t xml:space="preserve">gan </w:t>
      </w:r>
      <w:r w:rsidRPr="003D6047">
        <w:rPr>
          <w:rFonts w:ascii="Times New Roman" w:hAnsi="Times New Roman"/>
          <w:color w:val="000000" w:themeColor="text1"/>
          <w:sz w:val="24"/>
          <w:szCs w:val="24"/>
        </w:rPr>
        <w:t>vidēji saimniecīb</w:t>
      </w:r>
      <w:r w:rsidR="00157CBE" w:rsidRPr="003D6047">
        <w:rPr>
          <w:rFonts w:ascii="Times New Roman" w:hAnsi="Times New Roman"/>
          <w:color w:val="000000" w:themeColor="text1"/>
          <w:sz w:val="24"/>
          <w:szCs w:val="24"/>
        </w:rPr>
        <w:t>ās</w:t>
      </w:r>
      <w:r w:rsidR="00CD6F88" w:rsidRPr="003D6047">
        <w:rPr>
          <w:rFonts w:ascii="Times New Roman" w:hAnsi="Times New Roman"/>
          <w:color w:val="000000" w:themeColor="text1"/>
          <w:sz w:val="24"/>
          <w:szCs w:val="24"/>
        </w:rPr>
        <w:t xml:space="preserve"> (</w:t>
      </w:r>
      <w:r w:rsidR="00CD6F88" w:rsidRPr="003D6047">
        <w:rPr>
          <w:rFonts w:ascii="Times New Roman" w:hAnsi="Times New Roman"/>
          <w:i/>
          <w:color w:val="000000" w:themeColor="text1"/>
          <w:sz w:val="24"/>
          <w:szCs w:val="24"/>
        </w:rPr>
        <w:t>vidējais graudaugu ha skaits SUDAT izlases saimniecībās ir 80 ha</w:t>
      </w:r>
      <w:r w:rsidR="00CD6F88" w:rsidRPr="003D6047">
        <w:rPr>
          <w:rFonts w:ascii="Times New Roman" w:hAnsi="Times New Roman"/>
          <w:color w:val="000000" w:themeColor="text1"/>
          <w:sz w:val="24"/>
          <w:szCs w:val="24"/>
        </w:rPr>
        <w:t>)</w:t>
      </w:r>
      <w:r w:rsidR="00157CBE" w:rsidRPr="003D6047">
        <w:rPr>
          <w:rFonts w:ascii="Times New Roman" w:hAnsi="Times New Roman"/>
          <w:color w:val="000000" w:themeColor="text1"/>
          <w:sz w:val="24"/>
          <w:szCs w:val="24"/>
        </w:rPr>
        <w:t xml:space="preserve"> gan </w:t>
      </w:r>
      <w:r w:rsidRPr="003D6047">
        <w:rPr>
          <w:rFonts w:ascii="Times New Roman" w:hAnsi="Times New Roman"/>
          <w:color w:val="000000" w:themeColor="text1"/>
          <w:sz w:val="24"/>
          <w:szCs w:val="24"/>
        </w:rPr>
        <w:t>lielajās laukaugu saimniecībās</w:t>
      </w:r>
      <w:r w:rsidR="00CD6F88" w:rsidRPr="003D6047">
        <w:rPr>
          <w:rFonts w:ascii="Times New Roman" w:hAnsi="Times New Roman"/>
          <w:color w:val="000000" w:themeColor="text1"/>
          <w:sz w:val="24"/>
          <w:szCs w:val="24"/>
        </w:rPr>
        <w:t xml:space="preserve"> (</w:t>
      </w:r>
      <w:r w:rsidR="00CD6F88" w:rsidRPr="003D6047">
        <w:rPr>
          <w:rFonts w:ascii="Times New Roman" w:hAnsi="Times New Roman"/>
          <w:i/>
          <w:color w:val="000000" w:themeColor="text1"/>
          <w:sz w:val="24"/>
          <w:szCs w:val="24"/>
        </w:rPr>
        <w:t xml:space="preserve">graudaugu ha skaits SUDAT izlases lielajās saimniecībās ir </w:t>
      </w:r>
      <w:r w:rsidR="00C76A2B" w:rsidRPr="003D6047">
        <w:rPr>
          <w:rFonts w:ascii="Times New Roman" w:hAnsi="Times New Roman"/>
          <w:i/>
          <w:color w:val="000000" w:themeColor="text1"/>
          <w:sz w:val="24"/>
          <w:szCs w:val="24"/>
        </w:rPr>
        <w:t>lielāks nekā 300</w:t>
      </w:r>
      <w:r w:rsidR="00CD6F88" w:rsidRPr="003D6047">
        <w:rPr>
          <w:rFonts w:ascii="Times New Roman" w:hAnsi="Times New Roman"/>
          <w:i/>
          <w:color w:val="000000" w:themeColor="text1"/>
          <w:sz w:val="24"/>
          <w:szCs w:val="24"/>
        </w:rPr>
        <w:t xml:space="preserve"> ha</w:t>
      </w:r>
      <w:r w:rsidR="00CD6F88" w:rsidRPr="003D6047">
        <w:rPr>
          <w:rFonts w:ascii="Times New Roman" w:hAnsi="Times New Roman"/>
          <w:color w:val="000000" w:themeColor="text1"/>
          <w:sz w:val="24"/>
          <w:szCs w:val="24"/>
        </w:rPr>
        <w:t>)</w:t>
      </w:r>
      <w:r w:rsidRPr="003D6047">
        <w:rPr>
          <w:rFonts w:ascii="Times New Roman" w:hAnsi="Times New Roman"/>
          <w:color w:val="000000" w:themeColor="text1"/>
          <w:sz w:val="24"/>
          <w:szCs w:val="24"/>
        </w:rPr>
        <w:t>, ja sal</w:t>
      </w:r>
      <w:r w:rsidR="00157CBE" w:rsidRPr="003D6047">
        <w:rPr>
          <w:rFonts w:ascii="Times New Roman" w:hAnsi="Times New Roman"/>
          <w:color w:val="000000" w:themeColor="text1"/>
          <w:sz w:val="24"/>
          <w:szCs w:val="24"/>
        </w:rPr>
        <w:t>īdzina ar 2015</w:t>
      </w:r>
      <w:r w:rsidRPr="003D6047">
        <w:rPr>
          <w:rFonts w:ascii="Times New Roman" w:hAnsi="Times New Roman"/>
          <w:color w:val="000000" w:themeColor="text1"/>
          <w:sz w:val="24"/>
          <w:szCs w:val="24"/>
        </w:rPr>
        <w:t>.</w:t>
      </w:r>
      <w:r w:rsidR="00CD6F88" w:rsidRPr="003D6047">
        <w:rPr>
          <w:rFonts w:ascii="Times New Roman" w:hAnsi="Times New Roman"/>
          <w:color w:val="000000" w:themeColor="text1"/>
          <w:sz w:val="24"/>
          <w:szCs w:val="24"/>
        </w:rPr>
        <w:t xml:space="preserve"> </w:t>
      </w:r>
      <w:r w:rsidRPr="003D6047">
        <w:rPr>
          <w:rFonts w:ascii="Times New Roman" w:hAnsi="Times New Roman"/>
          <w:color w:val="000000" w:themeColor="text1"/>
          <w:sz w:val="24"/>
          <w:szCs w:val="24"/>
        </w:rPr>
        <w:t>gadu</w:t>
      </w:r>
      <w:r w:rsidR="00CD6F88" w:rsidRPr="003D6047">
        <w:rPr>
          <w:rFonts w:ascii="Times New Roman" w:hAnsi="Times New Roman"/>
          <w:color w:val="000000" w:themeColor="text1"/>
          <w:sz w:val="24"/>
          <w:szCs w:val="24"/>
        </w:rPr>
        <w:t xml:space="preserve"> (skatīt 5. un 6.attēlu)</w:t>
      </w:r>
      <w:r w:rsidRPr="003D6047">
        <w:rPr>
          <w:rFonts w:ascii="Times New Roman" w:hAnsi="Times New Roman"/>
          <w:color w:val="000000" w:themeColor="text1"/>
          <w:sz w:val="24"/>
          <w:szCs w:val="24"/>
        </w:rPr>
        <w:t>.</w:t>
      </w:r>
    </w:p>
    <w:p w:rsidR="00157CBE" w:rsidRPr="003D6047" w:rsidRDefault="00157CBE" w:rsidP="007401D9">
      <w:pPr>
        <w:spacing w:before="60" w:after="60"/>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 xml:space="preserve">Savukārt graudu izlaide uz hektāru graudaugu samazinājusies par 37% punktiem vidēji laukaugu saimniecībās, kamēr lielajās saimniecībās </w:t>
      </w:r>
      <w:r w:rsidR="00CD6F88" w:rsidRPr="003D6047">
        <w:rPr>
          <w:rFonts w:ascii="Times New Roman" w:hAnsi="Times New Roman"/>
          <w:color w:val="000000" w:themeColor="text1"/>
          <w:sz w:val="24"/>
          <w:szCs w:val="24"/>
        </w:rPr>
        <w:t>par 35% punktiem, salīdzinot ar 2015. gadu, ņemot vērā vidējo iepirkuma cenu un ražības kritumu šogad.</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496"/>
      </w:tblGrid>
      <w:tr w:rsidR="004402C1" w:rsidRPr="00DC1F2A" w:rsidTr="004402C1">
        <w:trPr>
          <w:trHeight w:val="3344"/>
        </w:trPr>
        <w:tc>
          <w:tcPr>
            <w:tcW w:w="4575" w:type="dxa"/>
          </w:tcPr>
          <w:p w:rsidR="00B44C30" w:rsidRPr="00DC1F2A" w:rsidRDefault="004402C1" w:rsidP="00E018D8">
            <w:pPr>
              <w:spacing w:before="60" w:after="60"/>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30873D3E">
                  <wp:extent cx="2750820" cy="21526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439" cy="2157054"/>
                          </a:xfrm>
                          <a:prstGeom prst="rect">
                            <a:avLst/>
                          </a:prstGeom>
                          <a:noFill/>
                        </pic:spPr>
                      </pic:pic>
                    </a:graphicData>
                  </a:graphic>
                </wp:inline>
              </w:drawing>
            </w:r>
          </w:p>
        </w:tc>
        <w:tc>
          <w:tcPr>
            <w:tcW w:w="4496" w:type="dxa"/>
          </w:tcPr>
          <w:p w:rsidR="00B44C30" w:rsidRPr="00DC1F2A" w:rsidRDefault="004402C1" w:rsidP="00E018D8">
            <w:pPr>
              <w:spacing w:before="60" w:after="60"/>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65CAA94B">
                  <wp:extent cx="2711450" cy="21164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8010" cy="2121529"/>
                          </a:xfrm>
                          <a:prstGeom prst="rect">
                            <a:avLst/>
                          </a:prstGeom>
                          <a:noFill/>
                        </pic:spPr>
                      </pic:pic>
                    </a:graphicData>
                  </a:graphic>
                </wp:inline>
              </w:drawing>
            </w:r>
          </w:p>
        </w:tc>
      </w:tr>
      <w:tr w:rsidR="004402C1" w:rsidRPr="003D6047" w:rsidTr="004402C1">
        <w:trPr>
          <w:trHeight w:val="392"/>
        </w:trPr>
        <w:tc>
          <w:tcPr>
            <w:tcW w:w="4575" w:type="dxa"/>
          </w:tcPr>
          <w:p w:rsidR="003D6047" w:rsidRDefault="003D6047" w:rsidP="004402C1">
            <w:pPr>
              <w:pStyle w:val="naisf"/>
              <w:spacing w:before="60" w:after="60"/>
              <w:ind w:firstLine="0"/>
              <w:rPr>
                <w:noProof/>
                <w:color w:val="000000" w:themeColor="text1"/>
              </w:rPr>
            </w:pPr>
          </w:p>
          <w:p w:rsidR="00A1475F" w:rsidRPr="003D6047" w:rsidRDefault="00142D2D" w:rsidP="004402C1">
            <w:pPr>
              <w:pStyle w:val="naisf"/>
              <w:spacing w:before="60" w:after="60"/>
              <w:ind w:firstLine="0"/>
              <w:rPr>
                <w:i/>
                <w:noProof/>
                <w:color w:val="000000" w:themeColor="text1"/>
              </w:rPr>
            </w:pPr>
            <w:r w:rsidRPr="003D6047">
              <w:rPr>
                <w:noProof/>
                <w:color w:val="000000" w:themeColor="text1"/>
              </w:rPr>
              <w:t>5</w:t>
            </w:r>
            <w:r w:rsidR="00A1475F" w:rsidRPr="003D6047">
              <w:rPr>
                <w:noProof/>
                <w:color w:val="000000" w:themeColor="text1"/>
              </w:rPr>
              <w:t>. att</w:t>
            </w:r>
            <w:r w:rsidR="004408D1" w:rsidRPr="003D6047">
              <w:rPr>
                <w:noProof/>
                <w:color w:val="000000" w:themeColor="text1"/>
              </w:rPr>
              <w:t>ēls</w:t>
            </w:r>
            <w:r w:rsidR="00A961FD" w:rsidRPr="003D6047">
              <w:rPr>
                <w:noProof/>
                <w:color w:val="000000" w:themeColor="text1"/>
              </w:rPr>
              <w:t>.</w:t>
            </w:r>
            <w:r w:rsidR="00A1475F" w:rsidRPr="003D6047">
              <w:rPr>
                <w:noProof/>
                <w:color w:val="000000" w:themeColor="text1"/>
              </w:rPr>
              <w:t xml:space="preserve"> </w:t>
            </w:r>
            <w:r w:rsidR="004402C1" w:rsidRPr="003D6047">
              <w:rPr>
                <w:noProof/>
                <w:color w:val="000000" w:themeColor="text1"/>
              </w:rPr>
              <w:t>Viena hektāra g</w:t>
            </w:r>
            <w:r w:rsidR="004408D1" w:rsidRPr="003D6047">
              <w:rPr>
                <w:noProof/>
                <w:color w:val="000000" w:themeColor="text1"/>
              </w:rPr>
              <w:t>raudu izlaides un izmaksu izmaiņas v</w:t>
            </w:r>
            <w:r w:rsidR="00A1475F" w:rsidRPr="003D6047">
              <w:rPr>
                <w:noProof/>
                <w:color w:val="000000" w:themeColor="text1"/>
              </w:rPr>
              <w:t>idēji laukaugu saimniecībā</w:t>
            </w:r>
          </w:p>
        </w:tc>
        <w:tc>
          <w:tcPr>
            <w:tcW w:w="4496" w:type="dxa"/>
          </w:tcPr>
          <w:p w:rsidR="003D6047" w:rsidRDefault="003D6047" w:rsidP="00B12FC7">
            <w:pPr>
              <w:pStyle w:val="naisf"/>
              <w:spacing w:before="60" w:after="60"/>
              <w:ind w:firstLine="0"/>
              <w:rPr>
                <w:noProof/>
                <w:color w:val="000000" w:themeColor="text1"/>
              </w:rPr>
            </w:pPr>
          </w:p>
          <w:p w:rsidR="00A1475F" w:rsidRPr="003D6047" w:rsidRDefault="00142D2D" w:rsidP="00B12FC7">
            <w:pPr>
              <w:pStyle w:val="naisf"/>
              <w:spacing w:before="60" w:after="60"/>
              <w:ind w:firstLine="0"/>
              <w:rPr>
                <w:i/>
                <w:noProof/>
                <w:color w:val="000000" w:themeColor="text1"/>
              </w:rPr>
            </w:pPr>
            <w:r w:rsidRPr="003D6047">
              <w:rPr>
                <w:noProof/>
                <w:color w:val="000000" w:themeColor="text1"/>
              </w:rPr>
              <w:t>6</w:t>
            </w:r>
            <w:r w:rsidR="00A1475F" w:rsidRPr="003D6047">
              <w:rPr>
                <w:noProof/>
                <w:color w:val="000000" w:themeColor="text1"/>
              </w:rPr>
              <w:t>. att</w:t>
            </w:r>
            <w:r w:rsidR="004408D1" w:rsidRPr="003D6047">
              <w:rPr>
                <w:noProof/>
                <w:color w:val="000000" w:themeColor="text1"/>
              </w:rPr>
              <w:t>ēls</w:t>
            </w:r>
            <w:r w:rsidR="00A961FD" w:rsidRPr="003D6047">
              <w:rPr>
                <w:noProof/>
                <w:color w:val="000000" w:themeColor="text1"/>
              </w:rPr>
              <w:t>.</w:t>
            </w:r>
            <w:r w:rsidR="00A1475F" w:rsidRPr="003D6047">
              <w:rPr>
                <w:noProof/>
                <w:color w:val="000000" w:themeColor="text1"/>
              </w:rPr>
              <w:t xml:space="preserve"> </w:t>
            </w:r>
            <w:r w:rsidR="00B12FC7" w:rsidRPr="003D6047">
              <w:rPr>
                <w:noProof/>
                <w:color w:val="000000" w:themeColor="text1"/>
              </w:rPr>
              <w:t>Viena hektāra graudu izlaides un izmaksu izmaiņas lielajās laukaugu saimniecībā</w:t>
            </w:r>
            <w:r w:rsidR="00CD6F88" w:rsidRPr="003D6047">
              <w:rPr>
                <w:noProof/>
                <w:color w:val="000000" w:themeColor="text1"/>
              </w:rPr>
              <w:t>s</w:t>
            </w:r>
          </w:p>
        </w:tc>
      </w:tr>
      <w:tr w:rsidR="004402C1" w:rsidRPr="003D6047" w:rsidTr="004402C1">
        <w:trPr>
          <w:trHeight w:val="392"/>
        </w:trPr>
        <w:tc>
          <w:tcPr>
            <w:tcW w:w="4575" w:type="dxa"/>
          </w:tcPr>
          <w:p w:rsidR="00A1475F" w:rsidRPr="003D6047" w:rsidRDefault="00A1475F" w:rsidP="00A1475F">
            <w:pPr>
              <w:pStyle w:val="naisf"/>
              <w:spacing w:before="60" w:after="60"/>
              <w:ind w:firstLine="0"/>
              <w:rPr>
                <w:i/>
                <w:noProof/>
                <w:color w:val="000000" w:themeColor="text1"/>
              </w:rPr>
            </w:pPr>
            <w:r w:rsidRPr="003D6047">
              <w:rPr>
                <w:i/>
                <w:noProof/>
                <w:color w:val="000000" w:themeColor="text1"/>
              </w:rPr>
              <w:t>Avots: ZM aprēķini pēc SUDAT</w:t>
            </w:r>
          </w:p>
        </w:tc>
        <w:tc>
          <w:tcPr>
            <w:tcW w:w="4496" w:type="dxa"/>
          </w:tcPr>
          <w:p w:rsidR="00A1475F" w:rsidRPr="003D6047" w:rsidRDefault="00A1475F" w:rsidP="00A1475F">
            <w:pPr>
              <w:pStyle w:val="naisf"/>
              <w:spacing w:before="60" w:after="60"/>
              <w:ind w:firstLine="0"/>
              <w:rPr>
                <w:i/>
                <w:noProof/>
                <w:color w:val="000000" w:themeColor="text1"/>
              </w:rPr>
            </w:pPr>
            <w:r w:rsidRPr="003D6047">
              <w:rPr>
                <w:i/>
                <w:noProof/>
                <w:color w:val="000000" w:themeColor="text1"/>
              </w:rPr>
              <w:t>Avots: ZM aprēķini pēc SUDAT</w:t>
            </w:r>
          </w:p>
        </w:tc>
      </w:tr>
    </w:tbl>
    <w:p w:rsidR="004402C1" w:rsidRPr="003D6047" w:rsidRDefault="00CD6F88" w:rsidP="004402C1">
      <w:pPr>
        <w:spacing w:before="60" w:after="60"/>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Saskaņā ar</w:t>
      </w:r>
      <w:r w:rsidR="004402C1" w:rsidRPr="003D6047">
        <w:rPr>
          <w:rFonts w:ascii="Times New Roman" w:hAnsi="Times New Roman"/>
          <w:color w:val="000000" w:themeColor="text1"/>
          <w:sz w:val="24"/>
          <w:szCs w:val="24"/>
        </w:rPr>
        <w:t xml:space="preserve"> aprēķinu rezultāt</w:t>
      </w:r>
      <w:r w:rsidRPr="003D6047">
        <w:rPr>
          <w:rFonts w:ascii="Times New Roman" w:hAnsi="Times New Roman"/>
          <w:color w:val="000000" w:themeColor="text1"/>
          <w:sz w:val="24"/>
          <w:szCs w:val="24"/>
        </w:rPr>
        <w:t>iem</w:t>
      </w:r>
      <w:r w:rsidR="004402C1" w:rsidRPr="003D6047">
        <w:rPr>
          <w:rFonts w:ascii="Times New Roman" w:hAnsi="Times New Roman"/>
          <w:color w:val="000000" w:themeColor="text1"/>
          <w:sz w:val="24"/>
          <w:szCs w:val="24"/>
        </w:rPr>
        <w:t xml:space="preserve">, </w:t>
      </w:r>
      <w:r w:rsidRPr="003D6047">
        <w:rPr>
          <w:rFonts w:ascii="Times New Roman" w:hAnsi="Times New Roman"/>
          <w:color w:val="000000" w:themeColor="text1"/>
          <w:sz w:val="24"/>
          <w:szCs w:val="24"/>
        </w:rPr>
        <w:t>secinām</w:t>
      </w:r>
      <w:r w:rsidR="004402C1" w:rsidRPr="003D6047">
        <w:rPr>
          <w:rFonts w:ascii="Times New Roman" w:hAnsi="Times New Roman"/>
          <w:color w:val="000000" w:themeColor="text1"/>
          <w:sz w:val="24"/>
          <w:szCs w:val="24"/>
        </w:rPr>
        <w:t>s, ka šogad vidēji laukaugu saimniecībās izmaksu palielinājums un ieņēmumu (</w:t>
      </w:r>
      <w:r w:rsidR="00432E3E" w:rsidRPr="003D6047">
        <w:rPr>
          <w:rFonts w:ascii="Times New Roman" w:hAnsi="Times New Roman"/>
          <w:color w:val="000000" w:themeColor="text1"/>
          <w:sz w:val="24"/>
          <w:szCs w:val="24"/>
        </w:rPr>
        <w:t>izlaides</w:t>
      </w:r>
      <w:r w:rsidR="004402C1" w:rsidRPr="003D6047">
        <w:rPr>
          <w:rFonts w:ascii="Times New Roman" w:hAnsi="Times New Roman"/>
          <w:color w:val="000000" w:themeColor="text1"/>
          <w:sz w:val="24"/>
          <w:szCs w:val="24"/>
        </w:rPr>
        <w:t xml:space="preserve">) samazinājums ir radījis zaudējumus aptuveni 16 </w:t>
      </w:r>
      <w:proofErr w:type="spellStart"/>
      <w:r w:rsidR="004402C1" w:rsidRPr="003D6047">
        <w:rPr>
          <w:rFonts w:ascii="Times New Roman" w:hAnsi="Times New Roman"/>
          <w:i/>
          <w:color w:val="000000" w:themeColor="text1"/>
          <w:sz w:val="24"/>
          <w:szCs w:val="24"/>
        </w:rPr>
        <w:t>euro</w:t>
      </w:r>
      <w:proofErr w:type="spellEnd"/>
      <w:r w:rsidR="004402C1" w:rsidRPr="003D6047">
        <w:rPr>
          <w:rFonts w:ascii="Times New Roman" w:hAnsi="Times New Roman"/>
          <w:color w:val="000000" w:themeColor="text1"/>
          <w:sz w:val="24"/>
          <w:szCs w:val="24"/>
        </w:rPr>
        <w:t xml:space="preserve"> apmērā par graudu tonnu</w:t>
      </w:r>
      <w:r w:rsidR="00432E3E" w:rsidRPr="003D6047">
        <w:rPr>
          <w:rFonts w:ascii="Times New Roman" w:hAnsi="Times New Roman"/>
          <w:color w:val="000000" w:themeColor="text1"/>
          <w:sz w:val="24"/>
          <w:szCs w:val="24"/>
        </w:rPr>
        <w:t xml:space="preserve"> </w:t>
      </w:r>
      <w:r w:rsidR="00166905" w:rsidRPr="003D6047">
        <w:rPr>
          <w:rFonts w:ascii="Times New Roman" w:hAnsi="Times New Roman"/>
          <w:color w:val="000000" w:themeColor="text1"/>
          <w:sz w:val="24"/>
          <w:szCs w:val="24"/>
        </w:rPr>
        <w:t>vai</w:t>
      </w:r>
      <w:r w:rsidR="00432E3E" w:rsidRPr="003D6047">
        <w:rPr>
          <w:rFonts w:ascii="Times New Roman" w:hAnsi="Times New Roman"/>
          <w:color w:val="000000" w:themeColor="text1"/>
          <w:sz w:val="24"/>
          <w:szCs w:val="24"/>
        </w:rPr>
        <w:t xml:space="preserve"> 65 </w:t>
      </w:r>
      <w:proofErr w:type="spellStart"/>
      <w:r w:rsidR="00432E3E" w:rsidRPr="003D6047">
        <w:rPr>
          <w:rFonts w:ascii="Times New Roman" w:hAnsi="Times New Roman"/>
          <w:i/>
          <w:color w:val="000000" w:themeColor="text1"/>
          <w:sz w:val="24"/>
          <w:szCs w:val="24"/>
        </w:rPr>
        <w:t>euro</w:t>
      </w:r>
      <w:proofErr w:type="spellEnd"/>
      <w:r w:rsidR="00432E3E" w:rsidRPr="003D6047">
        <w:rPr>
          <w:rFonts w:ascii="Times New Roman" w:hAnsi="Times New Roman"/>
          <w:color w:val="000000" w:themeColor="text1"/>
          <w:sz w:val="24"/>
          <w:szCs w:val="24"/>
        </w:rPr>
        <w:t xml:space="preserve"> par ha</w:t>
      </w:r>
      <w:r w:rsidR="004402C1" w:rsidRPr="003D6047">
        <w:rPr>
          <w:rFonts w:ascii="Times New Roman" w:hAnsi="Times New Roman"/>
          <w:color w:val="000000" w:themeColor="text1"/>
          <w:sz w:val="24"/>
          <w:szCs w:val="24"/>
        </w:rPr>
        <w:t>.</w:t>
      </w:r>
    </w:p>
    <w:p w:rsidR="00BC4E07" w:rsidRPr="003D6047" w:rsidRDefault="004402C1" w:rsidP="004402C1">
      <w:pPr>
        <w:spacing w:before="60" w:after="60"/>
        <w:ind w:firstLine="720"/>
        <w:jc w:val="both"/>
        <w:rPr>
          <w:rFonts w:ascii="Times New Roman" w:hAnsi="Times New Roman"/>
          <w:color w:val="000000" w:themeColor="text1"/>
          <w:sz w:val="24"/>
          <w:szCs w:val="24"/>
        </w:rPr>
      </w:pPr>
      <w:r w:rsidRPr="003D6047">
        <w:rPr>
          <w:rFonts w:ascii="Times New Roman" w:hAnsi="Times New Roman"/>
          <w:color w:val="000000" w:themeColor="text1"/>
          <w:sz w:val="24"/>
          <w:szCs w:val="24"/>
        </w:rPr>
        <w:t xml:space="preserve">Savukārt lielāko saimniecību grupā, kuras katra apsaimnieko vairāk nekā 300 ha lauksaimniecības zemes, kopumā apsaimniekojot vairāk nekā 0,5 milj. ha lauksaimniecības zemes </w:t>
      </w:r>
      <w:r w:rsidR="00166905" w:rsidRPr="003D6047">
        <w:rPr>
          <w:rFonts w:ascii="Times New Roman" w:hAnsi="Times New Roman"/>
          <w:color w:val="000000" w:themeColor="text1"/>
          <w:sz w:val="24"/>
          <w:szCs w:val="24"/>
        </w:rPr>
        <w:t>un,</w:t>
      </w:r>
      <w:r w:rsidRPr="003D6047">
        <w:rPr>
          <w:rFonts w:ascii="Times New Roman" w:hAnsi="Times New Roman"/>
          <w:color w:val="000000" w:themeColor="text1"/>
          <w:sz w:val="24"/>
          <w:szCs w:val="24"/>
        </w:rPr>
        <w:t xml:space="preserve"> saražojot vairāk nekā 65% no graudu kopražas valstī, ir vērojama sliktāka situācija, jo izmaksu palielinājums un ieņēmumu (</w:t>
      </w:r>
      <w:r w:rsidR="00166905" w:rsidRPr="003D6047">
        <w:rPr>
          <w:rFonts w:ascii="Times New Roman" w:hAnsi="Times New Roman"/>
          <w:color w:val="000000" w:themeColor="text1"/>
          <w:sz w:val="24"/>
          <w:szCs w:val="24"/>
        </w:rPr>
        <w:t>izlaides</w:t>
      </w:r>
      <w:r w:rsidRPr="003D6047">
        <w:rPr>
          <w:rFonts w:ascii="Times New Roman" w:hAnsi="Times New Roman"/>
          <w:color w:val="000000" w:themeColor="text1"/>
          <w:sz w:val="24"/>
          <w:szCs w:val="24"/>
        </w:rPr>
        <w:t xml:space="preserve">) samazinājums ir radījis zaudējumus aptuveni 23 </w:t>
      </w:r>
      <w:proofErr w:type="spellStart"/>
      <w:r w:rsidRPr="003D6047">
        <w:rPr>
          <w:rFonts w:ascii="Times New Roman" w:hAnsi="Times New Roman"/>
          <w:i/>
          <w:color w:val="000000" w:themeColor="text1"/>
          <w:sz w:val="24"/>
          <w:szCs w:val="24"/>
        </w:rPr>
        <w:t>euro</w:t>
      </w:r>
      <w:proofErr w:type="spellEnd"/>
      <w:r w:rsidRPr="003D6047">
        <w:rPr>
          <w:rFonts w:ascii="Times New Roman" w:hAnsi="Times New Roman"/>
          <w:color w:val="000000" w:themeColor="text1"/>
          <w:sz w:val="24"/>
          <w:szCs w:val="24"/>
        </w:rPr>
        <w:t xml:space="preserve"> par saražotu graudu tonnu </w:t>
      </w:r>
      <w:r w:rsidR="00756567" w:rsidRPr="003D6047">
        <w:rPr>
          <w:rFonts w:ascii="Times New Roman" w:hAnsi="Times New Roman"/>
          <w:color w:val="000000" w:themeColor="text1"/>
          <w:sz w:val="24"/>
          <w:szCs w:val="24"/>
        </w:rPr>
        <w:t xml:space="preserve">vai 105 </w:t>
      </w:r>
      <w:proofErr w:type="spellStart"/>
      <w:r w:rsidR="00756567" w:rsidRPr="003D6047">
        <w:rPr>
          <w:rFonts w:ascii="Times New Roman" w:hAnsi="Times New Roman"/>
          <w:i/>
          <w:color w:val="000000" w:themeColor="text1"/>
          <w:sz w:val="24"/>
          <w:szCs w:val="24"/>
        </w:rPr>
        <w:t>euro</w:t>
      </w:r>
      <w:proofErr w:type="spellEnd"/>
      <w:r w:rsidR="00756567" w:rsidRPr="003D6047">
        <w:rPr>
          <w:rFonts w:ascii="Times New Roman" w:hAnsi="Times New Roman"/>
          <w:color w:val="000000" w:themeColor="text1"/>
          <w:sz w:val="24"/>
          <w:szCs w:val="24"/>
        </w:rPr>
        <w:t xml:space="preserve"> par ha</w:t>
      </w:r>
      <w:r w:rsidRPr="003D6047">
        <w:rPr>
          <w:rFonts w:ascii="Times New Roman" w:hAnsi="Times New Roman"/>
          <w:color w:val="000000" w:themeColor="text1"/>
          <w:sz w:val="24"/>
          <w:szCs w:val="24"/>
        </w:rPr>
        <w:t>.</w:t>
      </w:r>
    </w:p>
    <w:p w:rsidR="00166905" w:rsidRPr="003D6047" w:rsidRDefault="00166905" w:rsidP="004402C1">
      <w:pPr>
        <w:spacing w:before="60" w:after="60"/>
        <w:ind w:firstLine="720"/>
        <w:jc w:val="both"/>
        <w:rPr>
          <w:rFonts w:ascii="Times New Roman" w:hAnsi="Times New Roman"/>
          <w:color w:val="000000" w:themeColor="text1"/>
          <w:sz w:val="24"/>
          <w:szCs w:val="24"/>
        </w:rPr>
      </w:pPr>
    </w:p>
    <w:p w:rsidR="00A10B51" w:rsidRPr="003D6047" w:rsidRDefault="004408D1" w:rsidP="009A2938">
      <w:pPr>
        <w:pStyle w:val="Virsraksts1"/>
        <w:tabs>
          <w:tab w:val="clear" w:pos="432"/>
        </w:tabs>
        <w:ind w:left="0" w:firstLine="720"/>
        <w:rPr>
          <w:color w:val="000000" w:themeColor="text1"/>
          <w:sz w:val="24"/>
          <w:szCs w:val="24"/>
        </w:rPr>
      </w:pPr>
      <w:r w:rsidRPr="003D6047">
        <w:rPr>
          <w:color w:val="000000" w:themeColor="text1"/>
          <w:sz w:val="24"/>
          <w:szCs w:val="24"/>
        </w:rPr>
        <w:t>6. R</w:t>
      </w:r>
      <w:r w:rsidR="00A10B51" w:rsidRPr="003D6047">
        <w:rPr>
          <w:color w:val="000000" w:themeColor="text1"/>
          <w:sz w:val="24"/>
          <w:szCs w:val="24"/>
        </w:rPr>
        <w:t>isinājum</w:t>
      </w:r>
      <w:r w:rsidRPr="003D6047">
        <w:rPr>
          <w:color w:val="000000" w:themeColor="text1"/>
          <w:sz w:val="24"/>
          <w:szCs w:val="24"/>
        </w:rPr>
        <w:t>a priekšlikums finanšu grūtību mazināšanai graudu ražošanas saimniecībās</w:t>
      </w:r>
    </w:p>
    <w:p w:rsidR="000E7B24" w:rsidRPr="003D6047" w:rsidRDefault="00DA5EED" w:rsidP="009A2938">
      <w:pPr>
        <w:ind w:firstLine="720"/>
        <w:jc w:val="both"/>
        <w:rPr>
          <w:rFonts w:ascii="Times New Roman" w:hAnsi="Times New Roman"/>
          <w:bCs/>
          <w:color w:val="000000" w:themeColor="text1"/>
          <w:sz w:val="24"/>
          <w:szCs w:val="24"/>
        </w:rPr>
      </w:pPr>
      <w:r w:rsidRPr="003D6047">
        <w:rPr>
          <w:rFonts w:ascii="Times New Roman" w:hAnsi="Times New Roman"/>
          <w:color w:val="000000" w:themeColor="text1"/>
          <w:sz w:val="24"/>
          <w:szCs w:val="24"/>
        </w:rPr>
        <w:t xml:space="preserve">Lai risinātu finanšu grūtības graudaugu sektorā saistībā ar nelabvēlīgu audzēšanas apstākļu, graudu kvalitātes un iepirkuma cenu krituma radītu ieņēmumu samazinājumu un </w:t>
      </w:r>
      <w:r w:rsidR="00A210E3" w:rsidRPr="003D6047">
        <w:rPr>
          <w:rFonts w:ascii="Times New Roman" w:hAnsi="Times New Roman"/>
          <w:color w:val="000000" w:themeColor="text1"/>
          <w:sz w:val="24"/>
          <w:szCs w:val="24"/>
        </w:rPr>
        <w:t>graudu ražošanas un pirmapstrādes</w:t>
      </w:r>
      <w:r w:rsidRPr="003D6047">
        <w:rPr>
          <w:rFonts w:ascii="Times New Roman" w:hAnsi="Times New Roman"/>
          <w:color w:val="000000" w:themeColor="text1"/>
          <w:sz w:val="24"/>
          <w:szCs w:val="24"/>
        </w:rPr>
        <w:t xml:space="preserve"> izmaksu palielinājumu, </w:t>
      </w:r>
      <w:r w:rsidR="004408D1" w:rsidRPr="003D6047">
        <w:rPr>
          <w:rFonts w:ascii="Times New Roman" w:hAnsi="Times New Roman"/>
          <w:color w:val="000000" w:themeColor="text1"/>
          <w:sz w:val="24"/>
          <w:szCs w:val="24"/>
        </w:rPr>
        <w:t xml:space="preserve">ZM rosina </w:t>
      </w:r>
      <w:r w:rsidR="00BC4E07" w:rsidRPr="003D6047">
        <w:rPr>
          <w:rFonts w:ascii="Times New Roman" w:hAnsi="Times New Roman"/>
          <w:color w:val="000000" w:themeColor="text1"/>
          <w:sz w:val="24"/>
          <w:szCs w:val="24"/>
        </w:rPr>
        <w:t xml:space="preserve">jau </w:t>
      </w:r>
      <w:proofErr w:type="gramStart"/>
      <w:r w:rsidR="00BC4E07" w:rsidRPr="003D6047">
        <w:rPr>
          <w:rFonts w:ascii="Times New Roman" w:hAnsi="Times New Roman"/>
          <w:color w:val="000000" w:themeColor="text1"/>
          <w:sz w:val="24"/>
          <w:szCs w:val="24"/>
        </w:rPr>
        <w:t>2016.gadā</w:t>
      </w:r>
      <w:proofErr w:type="gramEnd"/>
      <w:r w:rsidR="00BC4E07" w:rsidRPr="003D6047">
        <w:rPr>
          <w:rFonts w:ascii="Times New Roman" w:hAnsi="Times New Roman"/>
          <w:color w:val="000000" w:themeColor="text1"/>
          <w:sz w:val="24"/>
          <w:szCs w:val="24"/>
        </w:rPr>
        <w:t xml:space="preserve"> </w:t>
      </w:r>
      <w:r w:rsidR="004408D1" w:rsidRPr="003D6047">
        <w:rPr>
          <w:rFonts w:ascii="Times New Roman" w:hAnsi="Times New Roman"/>
          <w:color w:val="000000" w:themeColor="text1"/>
          <w:sz w:val="24"/>
          <w:szCs w:val="24"/>
        </w:rPr>
        <w:t xml:space="preserve">piešķirt papildu </w:t>
      </w:r>
      <w:r w:rsidR="00A961FD" w:rsidRPr="003D6047">
        <w:rPr>
          <w:rFonts w:ascii="Times New Roman" w:hAnsi="Times New Roman"/>
          <w:color w:val="000000" w:themeColor="text1"/>
          <w:sz w:val="24"/>
          <w:szCs w:val="24"/>
        </w:rPr>
        <w:t>p</w:t>
      </w:r>
      <w:r w:rsidR="004408D1" w:rsidRPr="003D6047">
        <w:rPr>
          <w:rFonts w:ascii="Times New Roman" w:hAnsi="Times New Roman"/>
          <w:color w:val="000000" w:themeColor="text1"/>
          <w:sz w:val="24"/>
          <w:szCs w:val="24"/>
        </w:rPr>
        <w:t xml:space="preserve">ārejas posma valsts atbalstu </w:t>
      </w:r>
      <w:r w:rsidR="008A13C1" w:rsidRPr="003D6047">
        <w:rPr>
          <w:rFonts w:ascii="Times New Roman" w:hAnsi="Times New Roman"/>
          <w:color w:val="000000" w:themeColor="text1"/>
          <w:sz w:val="24"/>
          <w:szCs w:val="24"/>
        </w:rPr>
        <w:t xml:space="preserve">graudu ražošanas saimniecībām, </w:t>
      </w:r>
      <w:r w:rsidR="00BC4E07" w:rsidRPr="003D6047">
        <w:rPr>
          <w:rFonts w:ascii="Times New Roman" w:hAnsi="Times New Roman"/>
          <w:color w:val="000000" w:themeColor="text1"/>
          <w:sz w:val="24"/>
          <w:szCs w:val="24"/>
        </w:rPr>
        <w:t xml:space="preserve">šim mērķim pārdalot finansējumu </w:t>
      </w:r>
      <w:r w:rsidR="00BC4E07" w:rsidRPr="003D6047">
        <w:rPr>
          <w:rFonts w:ascii="Times New Roman" w:hAnsi="Times New Roman"/>
          <w:bCs/>
          <w:color w:val="000000" w:themeColor="text1"/>
          <w:sz w:val="24"/>
          <w:szCs w:val="24"/>
        </w:rPr>
        <w:t xml:space="preserve">6 000 000 </w:t>
      </w:r>
      <w:proofErr w:type="spellStart"/>
      <w:r w:rsidR="00BC4E07" w:rsidRPr="003D6047">
        <w:rPr>
          <w:rFonts w:ascii="Times New Roman" w:hAnsi="Times New Roman"/>
          <w:bCs/>
          <w:i/>
          <w:color w:val="000000" w:themeColor="text1"/>
          <w:sz w:val="24"/>
          <w:szCs w:val="24"/>
        </w:rPr>
        <w:t>euro</w:t>
      </w:r>
      <w:proofErr w:type="spellEnd"/>
      <w:r w:rsidR="00BC4E07" w:rsidRPr="003D6047">
        <w:rPr>
          <w:rFonts w:ascii="Times New Roman" w:hAnsi="Times New Roman"/>
          <w:bCs/>
          <w:color w:val="000000" w:themeColor="text1"/>
          <w:sz w:val="24"/>
          <w:szCs w:val="24"/>
        </w:rPr>
        <w:t xml:space="preserve"> </w:t>
      </w:r>
      <w:r w:rsidR="00BC4E07" w:rsidRPr="003D6047">
        <w:rPr>
          <w:rFonts w:ascii="Times New Roman" w:hAnsi="Times New Roman"/>
          <w:color w:val="000000" w:themeColor="text1"/>
          <w:sz w:val="24"/>
          <w:szCs w:val="24"/>
        </w:rPr>
        <w:t xml:space="preserve">no 2017. gadam paredzētajiem </w:t>
      </w:r>
      <w:r w:rsidR="00A961FD" w:rsidRPr="003D6047">
        <w:rPr>
          <w:rFonts w:ascii="Times New Roman" w:hAnsi="Times New Roman"/>
          <w:color w:val="000000" w:themeColor="text1"/>
          <w:sz w:val="24"/>
          <w:szCs w:val="24"/>
        </w:rPr>
        <w:t xml:space="preserve">finanšu līdzekļiem </w:t>
      </w:r>
      <w:r w:rsidR="00BC4E07" w:rsidRPr="003D6047">
        <w:rPr>
          <w:rFonts w:ascii="Times New Roman" w:hAnsi="Times New Roman"/>
          <w:color w:val="000000" w:themeColor="text1"/>
          <w:sz w:val="24"/>
          <w:szCs w:val="24"/>
        </w:rPr>
        <w:t>pārejas posma valsts atbalstam</w:t>
      </w:r>
      <w:r w:rsidR="008A13C1" w:rsidRPr="003D6047">
        <w:rPr>
          <w:rFonts w:ascii="Times New Roman" w:hAnsi="Times New Roman"/>
          <w:bCs/>
          <w:color w:val="000000" w:themeColor="text1"/>
          <w:sz w:val="24"/>
          <w:szCs w:val="24"/>
        </w:rPr>
        <w:t xml:space="preserve">, </w:t>
      </w:r>
    </w:p>
    <w:p w:rsidR="00A10B51" w:rsidRPr="003D6047" w:rsidRDefault="000E7B24" w:rsidP="009A2938">
      <w:pPr>
        <w:ind w:firstLine="720"/>
        <w:jc w:val="both"/>
        <w:rPr>
          <w:rFonts w:ascii="Times New Roman" w:hAnsi="Times New Roman"/>
          <w:color w:val="000000" w:themeColor="text1"/>
          <w:sz w:val="24"/>
          <w:szCs w:val="24"/>
        </w:rPr>
      </w:pPr>
      <w:r w:rsidRPr="003D6047">
        <w:rPr>
          <w:rFonts w:ascii="Times New Roman" w:hAnsi="Times New Roman"/>
          <w:bCs/>
          <w:color w:val="000000" w:themeColor="text1"/>
          <w:sz w:val="24"/>
          <w:szCs w:val="24"/>
        </w:rPr>
        <w:t xml:space="preserve">Zemkopības ministrija iesniegs Finanšu ministrijā pieprasījumu papildu finansējuma pārdalei </w:t>
      </w:r>
      <w:r w:rsidR="008A13C1" w:rsidRPr="003D6047">
        <w:rPr>
          <w:rFonts w:ascii="Times New Roman" w:hAnsi="Times New Roman"/>
          <w:bCs/>
          <w:color w:val="000000" w:themeColor="text1"/>
          <w:sz w:val="24"/>
          <w:szCs w:val="24"/>
        </w:rPr>
        <w:t>s</w:t>
      </w:r>
      <w:r w:rsidR="008A13C1" w:rsidRPr="003D6047">
        <w:rPr>
          <w:rFonts w:ascii="Times New Roman" w:hAnsi="Times New Roman"/>
          <w:color w:val="000000" w:themeColor="text1"/>
          <w:sz w:val="24"/>
          <w:szCs w:val="24"/>
        </w:rPr>
        <w:t xml:space="preserve">askaņā ar </w:t>
      </w:r>
      <w:proofErr w:type="gramStart"/>
      <w:r w:rsidR="008A13C1" w:rsidRPr="003D6047">
        <w:rPr>
          <w:rFonts w:ascii="Times New Roman" w:hAnsi="Times New Roman"/>
          <w:color w:val="000000" w:themeColor="text1"/>
          <w:sz w:val="24"/>
          <w:szCs w:val="24"/>
        </w:rPr>
        <w:t>2010.gada</w:t>
      </w:r>
      <w:proofErr w:type="gramEnd"/>
      <w:r w:rsidR="008A13C1" w:rsidRPr="003D6047">
        <w:rPr>
          <w:rFonts w:ascii="Times New Roman" w:hAnsi="Times New Roman"/>
          <w:color w:val="000000" w:themeColor="text1"/>
          <w:sz w:val="24"/>
          <w:szCs w:val="24"/>
        </w:rPr>
        <w:t xml:space="preserve"> 18.maija Ministru kabineta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noteikto kārtību.</w:t>
      </w:r>
    </w:p>
    <w:p w:rsidR="00A10B51" w:rsidRPr="003D6047" w:rsidRDefault="00A10B51" w:rsidP="009A2938">
      <w:pPr>
        <w:ind w:firstLine="720"/>
        <w:jc w:val="both"/>
        <w:rPr>
          <w:rFonts w:ascii="Times New Roman" w:hAnsi="Times New Roman"/>
          <w:color w:val="000000" w:themeColor="text1"/>
          <w:sz w:val="24"/>
          <w:szCs w:val="24"/>
        </w:rPr>
      </w:pPr>
      <w:r w:rsidRPr="003D6047">
        <w:rPr>
          <w:rFonts w:ascii="Times New Roman" w:hAnsi="Times New Roman"/>
          <w:bCs/>
          <w:color w:val="000000" w:themeColor="text1"/>
          <w:sz w:val="24"/>
          <w:szCs w:val="24"/>
        </w:rPr>
        <w:lastRenderedPageBreak/>
        <w:t>2016. gada 16. augusta Latvijas Republikas Ministru kabineta sēdes protokola Nr.40 59.§ 4.punkt</w:t>
      </w:r>
      <w:r w:rsidR="00A961FD" w:rsidRPr="003D6047">
        <w:rPr>
          <w:rFonts w:ascii="Times New Roman" w:hAnsi="Times New Roman"/>
          <w:bCs/>
          <w:color w:val="000000" w:themeColor="text1"/>
          <w:sz w:val="24"/>
          <w:szCs w:val="24"/>
        </w:rPr>
        <w:t>ā</w:t>
      </w:r>
      <w:r w:rsidRPr="003D6047">
        <w:rPr>
          <w:rFonts w:ascii="Times New Roman" w:hAnsi="Times New Roman"/>
          <w:bCs/>
          <w:color w:val="000000" w:themeColor="text1"/>
          <w:sz w:val="24"/>
          <w:szCs w:val="24"/>
        </w:rPr>
        <w:t xml:space="preserve"> noteikts, ka Zemkopības ministrijai nepieciešamais finansējums </w:t>
      </w:r>
      <w:r w:rsidR="00A961FD" w:rsidRPr="003D6047">
        <w:rPr>
          <w:rFonts w:ascii="Times New Roman" w:hAnsi="Times New Roman"/>
          <w:bCs/>
          <w:color w:val="000000" w:themeColor="text1"/>
          <w:sz w:val="24"/>
          <w:szCs w:val="24"/>
        </w:rPr>
        <w:t>p</w:t>
      </w:r>
      <w:r w:rsidRPr="003D6047">
        <w:rPr>
          <w:rFonts w:ascii="Times New Roman" w:hAnsi="Times New Roman"/>
          <w:bCs/>
          <w:color w:val="000000" w:themeColor="text1"/>
          <w:sz w:val="24"/>
          <w:szCs w:val="24"/>
        </w:rPr>
        <w:t xml:space="preserve">ārejas posma valsts atbalstam </w:t>
      </w:r>
      <w:proofErr w:type="gramStart"/>
      <w:r w:rsidRPr="003D6047">
        <w:rPr>
          <w:rFonts w:ascii="Times New Roman" w:hAnsi="Times New Roman"/>
          <w:bCs/>
          <w:color w:val="000000" w:themeColor="text1"/>
          <w:sz w:val="24"/>
          <w:szCs w:val="24"/>
        </w:rPr>
        <w:t>2017.gadam</w:t>
      </w:r>
      <w:proofErr w:type="gramEnd"/>
      <w:r w:rsidRPr="003D6047">
        <w:rPr>
          <w:rFonts w:ascii="Times New Roman" w:hAnsi="Times New Roman"/>
          <w:bCs/>
          <w:color w:val="000000" w:themeColor="text1"/>
          <w:sz w:val="24"/>
          <w:szCs w:val="24"/>
        </w:rPr>
        <w:t xml:space="preserve"> 13 000 000 </w:t>
      </w:r>
      <w:proofErr w:type="spellStart"/>
      <w:r w:rsidR="007401D9" w:rsidRPr="003D6047">
        <w:rPr>
          <w:rFonts w:ascii="Times New Roman" w:hAnsi="Times New Roman"/>
          <w:bCs/>
          <w:i/>
          <w:color w:val="000000" w:themeColor="text1"/>
          <w:sz w:val="24"/>
          <w:szCs w:val="24"/>
        </w:rPr>
        <w:t>euro</w:t>
      </w:r>
      <w:proofErr w:type="spellEnd"/>
      <w:r w:rsidRPr="003D6047">
        <w:rPr>
          <w:rFonts w:ascii="Times New Roman" w:hAnsi="Times New Roman"/>
          <w:bCs/>
          <w:color w:val="000000" w:themeColor="text1"/>
          <w:sz w:val="24"/>
          <w:szCs w:val="24"/>
        </w:rPr>
        <w:t xml:space="preserve"> apmērā ir nodrošināts no budžeta resora "74.Gadskārtējā valsts budžeta izpildes procesā pārdalāmais finansējums" programmas 80.00.00 "Nesadalītais finansējums Eiropas Savienības politiku instrumentiem un pārējai ārvalstu finanšu palīdzībai".</w:t>
      </w:r>
    </w:p>
    <w:p w:rsidR="00A10B51" w:rsidRPr="003D6047" w:rsidRDefault="00A10B51" w:rsidP="00E018D8">
      <w:pPr>
        <w:spacing w:before="60" w:after="60"/>
        <w:jc w:val="both"/>
        <w:rPr>
          <w:rFonts w:ascii="Times New Roman" w:hAnsi="Times New Roman"/>
          <w:color w:val="000000" w:themeColor="text1"/>
          <w:sz w:val="24"/>
          <w:szCs w:val="24"/>
        </w:rPr>
      </w:pPr>
    </w:p>
    <w:p w:rsidR="00BC4E07" w:rsidRPr="003D6047" w:rsidRDefault="00BC4E07" w:rsidP="009A2938">
      <w:pPr>
        <w:pStyle w:val="Pamatteksts"/>
        <w:spacing w:before="60" w:after="60"/>
        <w:jc w:val="both"/>
        <w:rPr>
          <w:b w:val="0"/>
          <w:sz w:val="24"/>
          <w:szCs w:val="24"/>
        </w:rPr>
      </w:pPr>
    </w:p>
    <w:p w:rsidR="00A10B51" w:rsidRPr="003D6047" w:rsidRDefault="00A10B51" w:rsidP="009A2938">
      <w:pPr>
        <w:pStyle w:val="Pamatteksts"/>
        <w:spacing w:before="60" w:after="60"/>
        <w:jc w:val="both"/>
        <w:rPr>
          <w:b w:val="0"/>
          <w:sz w:val="24"/>
          <w:szCs w:val="24"/>
        </w:rPr>
      </w:pPr>
      <w:r w:rsidRPr="003D6047">
        <w:rPr>
          <w:b w:val="0"/>
          <w:sz w:val="24"/>
          <w:szCs w:val="24"/>
        </w:rPr>
        <w:t>Zemkopības ministrs</w:t>
      </w:r>
      <w:r w:rsidRPr="003D6047">
        <w:rPr>
          <w:b w:val="0"/>
          <w:sz w:val="24"/>
          <w:szCs w:val="24"/>
        </w:rPr>
        <w:tab/>
      </w:r>
      <w:r w:rsidRPr="003D6047">
        <w:rPr>
          <w:b w:val="0"/>
          <w:sz w:val="24"/>
          <w:szCs w:val="24"/>
        </w:rPr>
        <w:tab/>
      </w:r>
      <w:r w:rsidRPr="003D6047">
        <w:rPr>
          <w:b w:val="0"/>
          <w:sz w:val="24"/>
          <w:szCs w:val="24"/>
        </w:rPr>
        <w:tab/>
      </w:r>
      <w:r w:rsidRPr="003D6047">
        <w:rPr>
          <w:b w:val="0"/>
          <w:sz w:val="24"/>
          <w:szCs w:val="24"/>
        </w:rPr>
        <w:tab/>
      </w:r>
      <w:r w:rsidRPr="003D6047">
        <w:rPr>
          <w:b w:val="0"/>
          <w:sz w:val="24"/>
          <w:szCs w:val="24"/>
        </w:rPr>
        <w:tab/>
      </w:r>
      <w:r w:rsidRPr="003D6047">
        <w:rPr>
          <w:b w:val="0"/>
          <w:sz w:val="24"/>
          <w:szCs w:val="24"/>
        </w:rPr>
        <w:tab/>
      </w:r>
      <w:r w:rsidRPr="003D6047">
        <w:rPr>
          <w:b w:val="0"/>
          <w:sz w:val="24"/>
          <w:szCs w:val="24"/>
        </w:rPr>
        <w:tab/>
      </w:r>
      <w:r w:rsidRPr="003D6047">
        <w:rPr>
          <w:b w:val="0"/>
          <w:sz w:val="24"/>
          <w:szCs w:val="24"/>
        </w:rPr>
        <w:tab/>
      </w:r>
      <w:proofErr w:type="spellStart"/>
      <w:r w:rsidRPr="003D6047">
        <w:rPr>
          <w:b w:val="0"/>
          <w:sz w:val="24"/>
          <w:szCs w:val="24"/>
        </w:rPr>
        <w:t>J.Dūklavs</w:t>
      </w:r>
      <w:proofErr w:type="spellEnd"/>
    </w:p>
    <w:p w:rsidR="00A10B51" w:rsidRPr="00E018D8" w:rsidRDefault="00A10B51" w:rsidP="00E018D8">
      <w:pPr>
        <w:spacing w:before="60" w:after="60"/>
        <w:jc w:val="both"/>
        <w:rPr>
          <w:rFonts w:ascii="Times New Roman" w:hAnsi="Times New Roman"/>
          <w:sz w:val="28"/>
          <w:szCs w:val="28"/>
        </w:rPr>
      </w:pPr>
    </w:p>
    <w:p w:rsidR="00A10B51" w:rsidRPr="00E018D8" w:rsidRDefault="00A10B51" w:rsidP="00E018D8">
      <w:pPr>
        <w:spacing w:before="60" w:after="60"/>
        <w:jc w:val="both"/>
        <w:rPr>
          <w:rFonts w:ascii="Times New Roman" w:hAnsi="Times New Roman"/>
          <w:sz w:val="28"/>
          <w:szCs w:val="28"/>
        </w:rPr>
      </w:pPr>
    </w:p>
    <w:p w:rsidR="00DC1F2A" w:rsidRDefault="00DC1F2A" w:rsidP="00E018D8">
      <w:pPr>
        <w:pStyle w:val="naisf"/>
        <w:spacing w:before="60" w:after="60"/>
        <w:ind w:firstLine="0"/>
        <w:rPr>
          <w:sz w:val="28"/>
          <w:szCs w:val="28"/>
        </w:rPr>
      </w:pPr>
    </w:p>
    <w:p w:rsidR="00DC1F2A" w:rsidRDefault="00DC1F2A"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Default="003D6047" w:rsidP="00E018D8">
      <w:pPr>
        <w:pStyle w:val="naisf"/>
        <w:spacing w:before="60" w:after="60"/>
        <w:ind w:firstLine="0"/>
        <w:rPr>
          <w:sz w:val="28"/>
          <w:szCs w:val="28"/>
        </w:rPr>
      </w:pPr>
    </w:p>
    <w:p w:rsidR="003D6047" w:rsidRPr="00E018D8" w:rsidRDefault="003D6047" w:rsidP="00E018D8">
      <w:pPr>
        <w:pStyle w:val="naisf"/>
        <w:spacing w:before="60" w:after="60"/>
        <w:ind w:firstLine="0"/>
        <w:rPr>
          <w:sz w:val="28"/>
          <w:szCs w:val="28"/>
        </w:rPr>
      </w:pPr>
    </w:p>
    <w:p w:rsidR="003D6047" w:rsidRDefault="003D6047" w:rsidP="003D6047">
      <w:pPr>
        <w:rPr>
          <w:rFonts w:ascii="Times New Roman" w:hAnsi="Times New Roman"/>
          <w:sz w:val="20"/>
          <w:szCs w:val="20"/>
        </w:rPr>
      </w:pPr>
      <w:r>
        <w:rPr>
          <w:rFonts w:ascii="Times New Roman" w:hAnsi="Times New Roman"/>
          <w:sz w:val="20"/>
          <w:szCs w:val="20"/>
        </w:rPr>
        <w:t>19.10.2016. 18:15</w:t>
      </w:r>
    </w:p>
    <w:p w:rsidR="003D6047" w:rsidRDefault="003D6047" w:rsidP="003D6047">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1409</w:t>
      </w:r>
      <w:r>
        <w:rPr>
          <w:rFonts w:ascii="Times New Roman" w:hAnsi="Times New Roman"/>
          <w:sz w:val="20"/>
          <w:szCs w:val="20"/>
        </w:rPr>
        <w:fldChar w:fldCharType="end"/>
      </w:r>
    </w:p>
    <w:p w:rsidR="000864E6" w:rsidRPr="00EB0CAD" w:rsidRDefault="00EB0CAD" w:rsidP="003D6047">
      <w:pPr>
        <w:rPr>
          <w:rFonts w:ascii="Times New Roman" w:hAnsi="Times New Roman"/>
          <w:sz w:val="20"/>
          <w:szCs w:val="20"/>
        </w:rPr>
      </w:pPr>
      <w:bookmarkStart w:id="0" w:name="_GoBack"/>
      <w:bookmarkEnd w:id="0"/>
      <w:r w:rsidRPr="00EB0CAD">
        <w:rPr>
          <w:rFonts w:ascii="Times New Roman" w:hAnsi="Times New Roman"/>
          <w:sz w:val="20"/>
          <w:szCs w:val="20"/>
        </w:rPr>
        <w:t>Kļaviņa</w:t>
      </w:r>
      <w:r w:rsidR="000864E6" w:rsidRPr="00EB0CAD">
        <w:rPr>
          <w:rFonts w:ascii="Times New Roman" w:hAnsi="Times New Roman"/>
          <w:sz w:val="20"/>
          <w:szCs w:val="20"/>
        </w:rPr>
        <w:t xml:space="preserve"> </w:t>
      </w:r>
    </w:p>
    <w:p w:rsidR="00BE7885" w:rsidRPr="00EB0CAD" w:rsidRDefault="00EB0CAD" w:rsidP="003D6047">
      <w:pPr>
        <w:jc w:val="both"/>
        <w:rPr>
          <w:rFonts w:ascii="Times New Roman" w:hAnsi="Times New Roman"/>
          <w:sz w:val="20"/>
          <w:szCs w:val="20"/>
        </w:rPr>
      </w:pPr>
      <w:bookmarkStart w:id="1" w:name="OLE_LINK1"/>
      <w:bookmarkStart w:id="2" w:name="OLE_LINK2"/>
      <w:r w:rsidRPr="00EB0CAD">
        <w:rPr>
          <w:rFonts w:ascii="Times New Roman" w:hAnsi="Times New Roman"/>
          <w:sz w:val="20"/>
          <w:szCs w:val="20"/>
        </w:rPr>
        <w:t>67027</w:t>
      </w:r>
      <w:bookmarkEnd w:id="1"/>
      <w:bookmarkEnd w:id="2"/>
      <w:r w:rsidRPr="00EB0CAD">
        <w:rPr>
          <w:rFonts w:ascii="Times New Roman" w:hAnsi="Times New Roman"/>
          <w:sz w:val="20"/>
          <w:szCs w:val="20"/>
        </w:rPr>
        <w:t>644</w:t>
      </w:r>
      <w:r>
        <w:rPr>
          <w:rFonts w:ascii="Times New Roman" w:hAnsi="Times New Roman"/>
          <w:sz w:val="20"/>
          <w:szCs w:val="20"/>
        </w:rPr>
        <w:t xml:space="preserve">, </w:t>
      </w:r>
      <w:r w:rsidRPr="00EB0CAD">
        <w:rPr>
          <w:rFonts w:ascii="Times New Roman" w:hAnsi="Times New Roman"/>
          <w:sz w:val="20"/>
          <w:szCs w:val="20"/>
        </w:rPr>
        <w:t>Baiba.Klavina@zm.gov.lv</w:t>
      </w:r>
    </w:p>
    <w:sectPr w:rsidR="00BE7885" w:rsidRPr="00EB0CAD" w:rsidSect="003D6047">
      <w:headerReference w:type="default" r:id="rId14"/>
      <w:footerReference w:type="default" r:id="rId15"/>
      <w:headerReference w:type="first" r:id="rId16"/>
      <w:footerReference w:type="first" r:id="rId17"/>
      <w:pgSz w:w="11906" w:h="16838" w:code="9"/>
      <w:pgMar w:top="851"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8F" w:rsidRDefault="00294B8F" w:rsidP="00F81EDC">
      <w:r>
        <w:separator/>
      </w:r>
    </w:p>
  </w:endnote>
  <w:endnote w:type="continuationSeparator" w:id="0">
    <w:p w:rsidR="00294B8F" w:rsidRDefault="00294B8F" w:rsidP="00F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97" w:rsidRPr="003D6047" w:rsidRDefault="003D6047" w:rsidP="003D6047">
    <w:pPr>
      <w:pStyle w:val="Kjene"/>
      <w:jc w:val="both"/>
      <w:rPr>
        <w:b/>
        <w:sz w:val="20"/>
      </w:rPr>
    </w:pPr>
    <w:r w:rsidRPr="003D6047">
      <w:rPr>
        <w:sz w:val="20"/>
      </w:rPr>
      <w:t>ZMZin_191016</w:t>
    </w:r>
    <w:r>
      <w:rPr>
        <w:sz w:val="20"/>
      </w:rPr>
      <w:t xml:space="preserve">; </w:t>
    </w:r>
    <w:r w:rsidRPr="009A2938">
      <w:rPr>
        <w:sz w:val="20"/>
      </w:rPr>
      <w:t xml:space="preserve">Informatīvais </w:t>
    </w:r>
    <w:r w:rsidRPr="00215621">
      <w:rPr>
        <w:sz w:val="20"/>
      </w:rPr>
      <w:t>ziņojums par situāciju graudu nozarē</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A3" w:rsidRPr="003D6047" w:rsidRDefault="003D6047" w:rsidP="003D6047">
    <w:pPr>
      <w:pStyle w:val="Kjene"/>
      <w:jc w:val="both"/>
      <w:rPr>
        <w:b/>
        <w:sz w:val="20"/>
      </w:rPr>
    </w:pPr>
    <w:r w:rsidRPr="003D6047">
      <w:rPr>
        <w:sz w:val="20"/>
      </w:rPr>
      <w:t>ZMZin_191016</w:t>
    </w:r>
    <w:r w:rsidR="008559A0">
      <w:rPr>
        <w:sz w:val="20"/>
      </w:rPr>
      <w:t xml:space="preserve">; </w:t>
    </w:r>
    <w:r w:rsidR="00CD32A3" w:rsidRPr="009A2938">
      <w:rPr>
        <w:sz w:val="20"/>
      </w:rPr>
      <w:t xml:space="preserve">Informatīvais </w:t>
    </w:r>
    <w:r w:rsidR="00CD32A3" w:rsidRPr="00215621">
      <w:rPr>
        <w:sz w:val="20"/>
      </w:rPr>
      <w:t xml:space="preserve">ziņojums </w:t>
    </w:r>
    <w:r w:rsidR="00215621" w:rsidRPr="00215621">
      <w:rPr>
        <w:sz w:val="20"/>
      </w:rPr>
      <w:t>par situāciju graudu nozarē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8F" w:rsidRDefault="00294B8F" w:rsidP="00F81EDC">
      <w:r>
        <w:separator/>
      </w:r>
    </w:p>
  </w:footnote>
  <w:footnote w:type="continuationSeparator" w:id="0">
    <w:p w:rsidR="00294B8F" w:rsidRDefault="00294B8F" w:rsidP="00F8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97" w:rsidRPr="00081B6F" w:rsidRDefault="00DF0197" w:rsidP="00081B6F">
    <w:pPr>
      <w:pStyle w:val="Galvene"/>
      <w:jc w:val="center"/>
      <w:rPr>
        <w:sz w:val="28"/>
        <w:szCs w:val="28"/>
      </w:rPr>
    </w:pPr>
    <w:r>
      <w:rPr>
        <w:rStyle w:val="Lappusesnumurs"/>
      </w:rPr>
      <w:fldChar w:fldCharType="begin"/>
    </w:r>
    <w:r>
      <w:rPr>
        <w:rStyle w:val="Lappusesnumurs"/>
      </w:rPr>
      <w:instrText xml:space="preserve"> PAGE </w:instrText>
    </w:r>
    <w:r>
      <w:rPr>
        <w:rStyle w:val="Lappusesnumurs"/>
      </w:rPr>
      <w:fldChar w:fldCharType="separate"/>
    </w:r>
    <w:r w:rsidR="003D6047">
      <w:rPr>
        <w:rStyle w:val="Lappusesnumurs"/>
        <w:noProof/>
      </w:rPr>
      <w:t>4</w:t>
    </w:r>
    <w:r>
      <w:rPr>
        <w:rStyle w:val="Lappusesnumur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47" w:rsidRDefault="003D6047" w:rsidP="003D6047">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BF"/>
    <w:multiLevelType w:val="hybridMultilevel"/>
    <w:tmpl w:val="34AAD1CC"/>
    <w:lvl w:ilvl="0" w:tplc="FDE6F2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B86CC7"/>
    <w:multiLevelType w:val="hybridMultilevel"/>
    <w:tmpl w:val="F7144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026E04"/>
    <w:multiLevelType w:val="hybridMultilevel"/>
    <w:tmpl w:val="CEB6CC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ECA50E0"/>
    <w:multiLevelType w:val="hybridMultilevel"/>
    <w:tmpl w:val="CB200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3B7A29"/>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8B2DEA"/>
    <w:multiLevelType w:val="hybridMultilevel"/>
    <w:tmpl w:val="2D149E6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 w15:restartNumberingAfterBreak="0">
    <w:nsid w:val="2C5E449B"/>
    <w:multiLevelType w:val="multilevel"/>
    <w:tmpl w:val="16FE8A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FC60E0B"/>
    <w:multiLevelType w:val="hybridMultilevel"/>
    <w:tmpl w:val="CC381AE2"/>
    <w:lvl w:ilvl="0" w:tplc="C0228C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CE1E22"/>
    <w:multiLevelType w:val="hybridMultilevel"/>
    <w:tmpl w:val="6D98D1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0D35337"/>
    <w:multiLevelType w:val="hybridMultilevel"/>
    <w:tmpl w:val="C7C6A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CDB414B0">
      <w:start w:val="4"/>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C14877"/>
    <w:multiLevelType w:val="hybridMultilevel"/>
    <w:tmpl w:val="65A85F6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336C72C4"/>
    <w:multiLevelType w:val="hybridMultilevel"/>
    <w:tmpl w:val="38EC33B8"/>
    <w:lvl w:ilvl="0" w:tplc="018CA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A1C0B11"/>
    <w:multiLevelType w:val="hybridMultilevel"/>
    <w:tmpl w:val="97528A6C"/>
    <w:lvl w:ilvl="0" w:tplc="F4EEF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33429E"/>
    <w:multiLevelType w:val="hybridMultilevel"/>
    <w:tmpl w:val="CEB0E560"/>
    <w:lvl w:ilvl="0" w:tplc="0426000F">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14" w15:restartNumberingAfterBreak="0">
    <w:nsid w:val="43792BD8"/>
    <w:multiLevelType w:val="hybridMultilevel"/>
    <w:tmpl w:val="BF3CE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691902"/>
    <w:multiLevelType w:val="hybridMultilevel"/>
    <w:tmpl w:val="16C291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62D664B"/>
    <w:multiLevelType w:val="hybridMultilevel"/>
    <w:tmpl w:val="25BCED24"/>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7" w15:restartNumberingAfterBreak="0">
    <w:nsid w:val="546E51D2"/>
    <w:multiLevelType w:val="hybridMultilevel"/>
    <w:tmpl w:val="53F8D7A8"/>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18" w15:restartNumberingAfterBreak="0">
    <w:nsid w:val="589D4434"/>
    <w:multiLevelType w:val="multilevel"/>
    <w:tmpl w:val="801087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9BF40BA"/>
    <w:multiLevelType w:val="hybridMultilevel"/>
    <w:tmpl w:val="D2045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0702E2"/>
    <w:multiLevelType w:val="hybridMultilevel"/>
    <w:tmpl w:val="59F0D59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5CAC73A4"/>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33F4024"/>
    <w:multiLevelType w:val="hybridMultilevel"/>
    <w:tmpl w:val="B82C294C"/>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687A584B"/>
    <w:multiLevelType w:val="hybridMultilevel"/>
    <w:tmpl w:val="976EBFC4"/>
    <w:lvl w:ilvl="0" w:tplc="ADD42B5C">
      <w:numFmt w:val="bullet"/>
      <w:lvlText w:val="•"/>
      <w:lvlJc w:val="left"/>
      <w:pPr>
        <w:ind w:left="1080" w:hanging="72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ECF3E47"/>
    <w:multiLevelType w:val="hybridMultilevel"/>
    <w:tmpl w:val="02389D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97444"/>
    <w:multiLevelType w:val="hybridMultilevel"/>
    <w:tmpl w:val="54A012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AA154A"/>
    <w:multiLevelType w:val="multilevel"/>
    <w:tmpl w:val="F97EE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1F7538D"/>
    <w:multiLevelType w:val="hybridMultilevel"/>
    <w:tmpl w:val="5E2666BC"/>
    <w:lvl w:ilvl="0" w:tplc="2B68B8A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43157"/>
    <w:multiLevelType w:val="hybridMultilevel"/>
    <w:tmpl w:val="71100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350901"/>
    <w:multiLevelType w:val="hybridMultilevel"/>
    <w:tmpl w:val="89B44DCC"/>
    <w:lvl w:ilvl="0" w:tplc="CA3E6A3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19"/>
  </w:num>
  <w:num w:numId="3">
    <w:abstractNumId w:val="29"/>
  </w:num>
  <w:num w:numId="4">
    <w:abstractNumId w:val="26"/>
  </w:num>
  <w:num w:numId="5">
    <w:abstractNumId w:val="0"/>
  </w:num>
  <w:num w:numId="6">
    <w:abstractNumId w:val="25"/>
  </w:num>
  <w:num w:numId="7">
    <w:abstractNumId w:val="7"/>
  </w:num>
  <w:num w:numId="8">
    <w:abstractNumId w:val="18"/>
  </w:num>
  <w:num w:numId="9">
    <w:abstractNumId w:val="21"/>
  </w:num>
  <w:num w:numId="10">
    <w:abstractNumId w:val="11"/>
  </w:num>
  <w:num w:numId="11">
    <w:abstractNumId w:val="16"/>
  </w:num>
  <w:num w:numId="12">
    <w:abstractNumId w:val="9"/>
  </w:num>
  <w:num w:numId="13">
    <w:abstractNumId w:val="3"/>
  </w:num>
  <w:num w:numId="14">
    <w:abstractNumId w:val="14"/>
  </w:num>
  <w:num w:numId="15">
    <w:abstractNumId w:val="13"/>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5"/>
  </w:num>
  <w:num w:numId="23">
    <w:abstractNumId w:val="23"/>
  </w:num>
  <w:num w:numId="24">
    <w:abstractNumId w:val="15"/>
  </w:num>
  <w:num w:numId="25">
    <w:abstractNumId w:val="8"/>
  </w:num>
  <w:num w:numId="26">
    <w:abstractNumId w:val="10"/>
  </w:num>
  <w:num w:numId="27">
    <w:abstractNumId w:val="2"/>
  </w:num>
  <w:num w:numId="28">
    <w:abstractNumId w:val="22"/>
  </w:num>
  <w:num w:numId="29">
    <w:abstractNumId w:val="28"/>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76"/>
    <w:rsid w:val="000001B0"/>
    <w:rsid w:val="00002900"/>
    <w:rsid w:val="000041C1"/>
    <w:rsid w:val="000043C7"/>
    <w:rsid w:val="00004E45"/>
    <w:rsid w:val="00011DE3"/>
    <w:rsid w:val="00012369"/>
    <w:rsid w:val="00012A45"/>
    <w:rsid w:val="00012F8C"/>
    <w:rsid w:val="00016AB7"/>
    <w:rsid w:val="0001760D"/>
    <w:rsid w:val="00023789"/>
    <w:rsid w:val="00032833"/>
    <w:rsid w:val="0003285C"/>
    <w:rsid w:val="000338AB"/>
    <w:rsid w:val="00034AF0"/>
    <w:rsid w:val="00035895"/>
    <w:rsid w:val="00041BB2"/>
    <w:rsid w:val="00041E81"/>
    <w:rsid w:val="000433BD"/>
    <w:rsid w:val="00046C8E"/>
    <w:rsid w:val="00046F2E"/>
    <w:rsid w:val="000515E7"/>
    <w:rsid w:val="00054BC7"/>
    <w:rsid w:val="00056B56"/>
    <w:rsid w:val="00057979"/>
    <w:rsid w:val="0006124E"/>
    <w:rsid w:val="00061302"/>
    <w:rsid w:val="00062E27"/>
    <w:rsid w:val="000643D9"/>
    <w:rsid w:val="00066875"/>
    <w:rsid w:val="0008050F"/>
    <w:rsid w:val="00081B6F"/>
    <w:rsid w:val="0008218A"/>
    <w:rsid w:val="00083AC4"/>
    <w:rsid w:val="000864E6"/>
    <w:rsid w:val="00096834"/>
    <w:rsid w:val="00097BD6"/>
    <w:rsid w:val="000B356B"/>
    <w:rsid w:val="000B5CB8"/>
    <w:rsid w:val="000C4227"/>
    <w:rsid w:val="000C4C0A"/>
    <w:rsid w:val="000C5948"/>
    <w:rsid w:val="000C6E5B"/>
    <w:rsid w:val="000D03F7"/>
    <w:rsid w:val="000D73D2"/>
    <w:rsid w:val="000D7BC3"/>
    <w:rsid w:val="000E0646"/>
    <w:rsid w:val="000E3D1E"/>
    <w:rsid w:val="000E43F5"/>
    <w:rsid w:val="000E7B24"/>
    <w:rsid w:val="000F4CCC"/>
    <w:rsid w:val="000F5B9B"/>
    <w:rsid w:val="000F6114"/>
    <w:rsid w:val="000F7146"/>
    <w:rsid w:val="00104606"/>
    <w:rsid w:val="0010488B"/>
    <w:rsid w:val="0010691B"/>
    <w:rsid w:val="00106EA0"/>
    <w:rsid w:val="00116863"/>
    <w:rsid w:val="00116965"/>
    <w:rsid w:val="00117E98"/>
    <w:rsid w:val="00121A03"/>
    <w:rsid w:val="00121E79"/>
    <w:rsid w:val="00124F5F"/>
    <w:rsid w:val="0013006B"/>
    <w:rsid w:val="00132FBF"/>
    <w:rsid w:val="00136E97"/>
    <w:rsid w:val="0013706B"/>
    <w:rsid w:val="0014219F"/>
    <w:rsid w:val="00142D2D"/>
    <w:rsid w:val="00144AF3"/>
    <w:rsid w:val="00156EE1"/>
    <w:rsid w:val="00156FF9"/>
    <w:rsid w:val="00157CBE"/>
    <w:rsid w:val="0016066B"/>
    <w:rsid w:val="00166905"/>
    <w:rsid w:val="00167DF2"/>
    <w:rsid w:val="00175031"/>
    <w:rsid w:val="00177658"/>
    <w:rsid w:val="001836F5"/>
    <w:rsid w:val="00183FE2"/>
    <w:rsid w:val="00191A17"/>
    <w:rsid w:val="00194F8B"/>
    <w:rsid w:val="001A61E4"/>
    <w:rsid w:val="001B19FB"/>
    <w:rsid w:val="001B7D36"/>
    <w:rsid w:val="001C12B3"/>
    <w:rsid w:val="001C2E69"/>
    <w:rsid w:val="001C3DCA"/>
    <w:rsid w:val="001C4979"/>
    <w:rsid w:val="001D405A"/>
    <w:rsid w:val="001E4A2C"/>
    <w:rsid w:val="001E62A2"/>
    <w:rsid w:val="001F2F6D"/>
    <w:rsid w:val="001F52A2"/>
    <w:rsid w:val="002051A8"/>
    <w:rsid w:val="00205FC6"/>
    <w:rsid w:val="00206958"/>
    <w:rsid w:val="00210EC0"/>
    <w:rsid w:val="00211E18"/>
    <w:rsid w:val="002129A0"/>
    <w:rsid w:val="00214695"/>
    <w:rsid w:val="00214765"/>
    <w:rsid w:val="00215621"/>
    <w:rsid w:val="00221027"/>
    <w:rsid w:val="00226DC4"/>
    <w:rsid w:val="002347AA"/>
    <w:rsid w:val="00235D47"/>
    <w:rsid w:val="0024116A"/>
    <w:rsid w:val="0024391F"/>
    <w:rsid w:val="00244694"/>
    <w:rsid w:val="00246AEB"/>
    <w:rsid w:val="002518AF"/>
    <w:rsid w:val="0026051A"/>
    <w:rsid w:val="002664F2"/>
    <w:rsid w:val="00271D87"/>
    <w:rsid w:val="00272125"/>
    <w:rsid w:val="00272CE7"/>
    <w:rsid w:val="00276542"/>
    <w:rsid w:val="0029131C"/>
    <w:rsid w:val="00292057"/>
    <w:rsid w:val="0029498B"/>
    <w:rsid w:val="00294B8F"/>
    <w:rsid w:val="00296EB7"/>
    <w:rsid w:val="002971CD"/>
    <w:rsid w:val="002A4C8B"/>
    <w:rsid w:val="002A74FF"/>
    <w:rsid w:val="002C3883"/>
    <w:rsid w:val="002C3B40"/>
    <w:rsid w:val="002C3D78"/>
    <w:rsid w:val="002C4E65"/>
    <w:rsid w:val="002C59E6"/>
    <w:rsid w:val="002C685E"/>
    <w:rsid w:val="002C6F5C"/>
    <w:rsid w:val="002D00C5"/>
    <w:rsid w:val="002D2051"/>
    <w:rsid w:val="002D420F"/>
    <w:rsid w:val="002D5643"/>
    <w:rsid w:val="002D74A7"/>
    <w:rsid w:val="002E5D18"/>
    <w:rsid w:val="002F0615"/>
    <w:rsid w:val="002F4570"/>
    <w:rsid w:val="002F7547"/>
    <w:rsid w:val="0030264D"/>
    <w:rsid w:val="003029D7"/>
    <w:rsid w:val="00303D39"/>
    <w:rsid w:val="003057A4"/>
    <w:rsid w:val="00306408"/>
    <w:rsid w:val="003202C1"/>
    <w:rsid w:val="0032049A"/>
    <w:rsid w:val="00321AAE"/>
    <w:rsid w:val="00323F02"/>
    <w:rsid w:val="00327B13"/>
    <w:rsid w:val="00327DC2"/>
    <w:rsid w:val="00333A47"/>
    <w:rsid w:val="0034553A"/>
    <w:rsid w:val="00345631"/>
    <w:rsid w:val="00352099"/>
    <w:rsid w:val="00352A73"/>
    <w:rsid w:val="00353D4E"/>
    <w:rsid w:val="00355F88"/>
    <w:rsid w:val="00356CEA"/>
    <w:rsid w:val="00357837"/>
    <w:rsid w:val="00357C0E"/>
    <w:rsid w:val="00367491"/>
    <w:rsid w:val="0037204E"/>
    <w:rsid w:val="00373245"/>
    <w:rsid w:val="00374702"/>
    <w:rsid w:val="003807B3"/>
    <w:rsid w:val="00382511"/>
    <w:rsid w:val="003867A0"/>
    <w:rsid w:val="003876F2"/>
    <w:rsid w:val="00390BEE"/>
    <w:rsid w:val="003914E2"/>
    <w:rsid w:val="00392FD7"/>
    <w:rsid w:val="00395183"/>
    <w:rsid w:val="003962C5"/>
    <w:rsid w:val="003970D3"/>
    <w:rsid w:val="003974A9"/>
    <w:rsid w:val="003A2878"/>
    <w:rsid w:val="003A7E0F"/>
    <w:rsid w:val="003B1110"/>
    <w:rsid w:val="003B41E9"/>
    <w:rsid w:val="003B7757"/>
    <w:rsid w:val="003C2F9D"/>
    <w:rsid w:val="003C4231"/>
    <w:rsid w:val="003C74AE"/>
    <w:rsid w:val="003D0E2A"/>
    <w:rsid w:val="003D1F08"/>
    <w:rsid w:val="003D3C22"/>
    <w:rsid w:val="003D4042"/>
    <w:rsid w:val="003D6047"/>
    <w:rsid w:val="003E17C7"/>
    <w:rsid w:val="003E78FA"/>
    <w:rsid w:val="003F4AD9"/>
    <w:rsid w:val="003F7DB4"/>
    <w:rsid w:val="003F7F70"/>
    <w:rsid w:val="00400CD6"/>
    <w:rsid w:val="00405E83"/>
    <w:rsid w:val="00406C97"/>
    <w:rsid w:val="00426F49"/>
    <w:rsid w:val="00431466"/>
    <w:rsid w:val="00432E3E"/>
    <w:rsid w:val="00434D67"/>
    <w:rsid w:val="004402C1"/>
    <w:rsid w:val="004408D1"/>
    <w:rsid w:val="00440CD0"/>
    <w:rsid w:val="00442EE3"/>
    <w:rsid w:val="00446A1E"/>
    <w:rsid w:val="004504F3"/>
    <w:rsid w:val="00453821"/>
    <w:rsid w:val="004646C4"/>
    <w:rsid w:val="00471517"/>
    <w:rsid w:val="0047430D"/>
    <w:rsid w:val="00477806"/>
    <w:rsid w:val="004817DD"/>
    <w:rsid w:val="004879A9"/>
    <w:rsid w:val="004937E2"/>
    <w:rsid w:val="00497374"/>
    <w:rsid w:val="004B13D3"/>
    <w:rsid w:val="004B3851"/>
    <w:rsid w:val="004B4A0E"/>
    <w:rsid w:val="004C5849"/>
    <w:rsid w:val="004C706E"/>
    <w:rsid w:val="004C712D"/>
    <w:rsid w:val="004C7394"/>
    <w:rsid w:val="004D03AE"/>
    <w:rsid w:val="004D1CD5"/>
    <w:rsid w:val="004D25FD"/>
    <w:rsid w:val="004E2F76"/>
    <w:rsid w:val="004E4F77"/>
    <w:rsid w:val="004F0867"/>
    <w:rsid w:val="004F0A5F"/>
    <w:rsid w:val="004F3BC9"/>
    <w:rsid w:val="004F6BE9"/>
    <w:rsid w:val="0050032A"/>
    <w:rsid w:val="005010E5"/>
    <w:rsid w:val="005129BD"/>
    <w:rsid w:val="00513633"/>
    <w:rsid w:val="0051385B"/>
    <w:rsid w:val="00516194"/>
    <w:rsid w:val="00520E01"/>
    <w:rsid w:val="00521F8A"/>
    <w:rsid w:val="00523ADF"/>
    <w:rsid w:val="00525548"/>
    <w:rsid w:val="005268AC"/>
    <w:rsid w:val="005272FB"/>
    <w:rsid w:val="00530B26"/>
    <w:rsid w:val="0053347C"/>
    <w:rsid w:val="00533E24"/>
    <w:rsid w:val="00534262"/>
    <w:rsid w:val="005441E9"/>
    <w:rsid w:val="005515A5"/>
    <w:rsid w:val="0055344E"/>
    <w:rsid w:val="00567904"/>
    <w:rsid w:val="0057137E"/>
    <w:rsid w:val="00573495"/>
    <w:rsid w:val="00573838"/>
    <w:rsid w:val="00576D54"/>
    <w:rsid w:val="0059045E"/>
    <w:rsid w:val="0059382B"/>
    <w:rsid w:val="00595ACE"/>
    <w:rsid w:val="005A4B17"/>
    <w:rsid w:val="005B3B3D"/>
    <w:rsid w:val="005B4A1B"/>
    <w:rsid w:val="005C031F"/>
    <w:rsid w:val="005C5422"/>
    <w:rsid w:val="005D00A3"/>
    <w:rsid w:val="005D3524"/>
    <w:rsid w:val="005E1CD8"/>
    <w:rsid w:val="005E57CA"/>
    <w:rsid w:val="005F5E99"/>
    <w:rsid w:val="005F7D85"/>
    <w:rsid w:val="00600084"/>
    <w:rsid w:val="00600FF9"/>
    <w:rsid w:val="006077C2"/>
    <w:rsid w:val="00611850"/>
    <w:rsid w:val="006161D2"/>
    <w:rsid w:val="006179DD"/>
    <w:rsid w:val="00621A15"/>
    <w:rsid w:val="006222A1"/>
    <w:rsid w:val="00625A29"/>
    <w:rsid w:val="006271B7"/>
    <w:rsid w:val="006309CC"/>
    <w:rsid w:val="006310C5"/>
    <w:rsid w:val="00633219"/>
    <w:rsid w:val="00646298"/>
    <w:rsid w:val="00646A91"/>
    <w:rsid w:val="006504ED"/>
    <w:rsid w:val="00651150"/>
    <w:rsid w:val="006548AF"/>
    <w:rsid w:val="00657C74"/>
    <w:rsid w:val="00661F56"/>
    <w:rsid w:val="006639B2"/>
    <w:rsid w:val="00665AAA"/>
    <w:rsid w:val="00666386"/>
    <w:rsid w:val="00666620"/>
    <w:rsid w:val="00667AF4"/>
    <w:rsid w:val="00674AF7"/>
    <w:rsid w:val="00674FEF"/>
    <w:rsid w:val="006756E0"/>
    <w:rsid w:val="006779F5"/>
    <w:rsid w:val="00683771"/>
    <w:rsid w:val="00683AE1"/>
    <w:rsid w:val="00691362"/>
    <w:rsid w:val="00695CC3"/>
    <w:rsid w:val="006966C3"/>
    <w:rsid w:val="006A047C"/>
    <w:rsid w:val="006A5CFC"/>
    <w:rsid w:val="006A6EAF"/>
    <w:rsid w:val="006B0AA1"/>
    <w:rsid w:val="006B2353"/>
    <w:rsid w:val="006C23EF"/>
    <w:rsid w:val="006C375B"/>
    <w:rsid w:val="006D1F54"/>
    <w:rsid w:val="006D20BD"/>
    <w:rsid w:val="006D400B"/>
    <w:rsid w:val="006D58E9"/>
    <w:rsid w:val="006D6EE1"/>
    <w:rsid w:val="006D7DAC"/>
    <w:rsid w:val="006E17F9"/>
    <w:rsid w:val="006E4B82"/>
    <w:rsid w:val="006E5E67"/>
    <w:rsid w:val="006E76C0"/>
    <w:rsid w:val="006F1905"/>
    <w:rsid w:val="006F2F3F"/>
    <w:rsid w:val="006F34D5"/>
    <w:rsid w:val="006F5755"/>
    <w:rsid w:val="0070690E"/>
    <w:rsid w:val="0071166B"/>
    <w:rsid w:val="00712A91"/>
    <w:rsid w:val="00713AC4"/>
    <w:rsid w:val="0071436D"/>
    <w:rsid w:val="007153C1"/>
    <w:rsid w:val="0071604B"/>
    <w:rsid w:val="00717F6A"/>
    <w:rsid w:val="0072068A"/>
    <w:rsid w:val="007209DB"/>
    <w:rsid w:val="0072528B"/>
    <w:rsid w:val="00725DA7"/>
    <w:rsid w:val="00726EC8"/>
    <w:rsid w:val="00731A4E"/>
    <w:rsid w:val="00731BD8"/>
    <w:rsid w:val="00735E8F"/>
    <w:rsid w:val="0073640D"/>
    <w:rsid w:val="0073676C"/>
    <w:rsid w:val="007401D9"/>
    <w:rsid w:val="007539BD"/>
    <w:rsid w:val="00756567"/>
    <w:rsid w:val="00763E1A"/>
    <w:rsid w:val="00765707"/>
    <w:rsid w:val="00766791"/>
    <w:rsid w:val="00774841"/>
    <w:rsid w:val="0078462E"/>
    <w:rsid w:val="007851F8"/>
    <w:rsid w:val="00794582"/>
    <w:rsid w:val="00795027"/>
    <w:rsid w:val="007A1BE8"/>
    <w:rsid w:val="007A6F5E"/>
    <w:rsid w:val="007B2119"/>
    <w:rsid w:val="007B2974"/>
    <w:rsid w:val="007B3E0C"/>
    <w:rsid w:val="007C1323"/>
    <w:rsid w:val="007C1330"/>
    <w:rsid w:val="007D5C71"/>
    <w:rsid w:val="007E2259"/>
    <w:rsid w:val="007E3DD0"/>
    <w:rsid w:val="007F1A7C"/>
    <w:rsid w:val="0080288D"/>
    <w:rsid w:val="00802F25"/>
    <w:rsid w:val="00804540"/>
    <w:rsid w:val="008076B8"/>
    <w:rsid w:val="008145B6"/>
    <w:rsid w:val="00822FB8"/>
    <w:rsid w:val="00824EF5"/>
    <w:rsid w:val="00826BBA"/>
    <w:rsid w:val="00827BCA"/>
    <w:rsid w:val="00834FFE"/>
    <w:rsid w:val="008401CF"/>
    <w:rsid w:val="00840B6B"/>
    <w:rsid w:val="008413E1"/>
    <w:rsid w:val="00841D3A"/>
    <w:rsid w:val="00841F31"/>
    <w:rsid w:val="00842599"/>
    <w:rsid w:val="00845AFF"/>
    <w:rsid w:val="008559A0"/>
    <w:rsid w:val="008601BD"/>
    <w:rsid w:val="00861E39"/>
    <w:rsid w:val="008622AB"/>
    <w:rsid w:val="00864310"/>
    <w:rsid w:val="00865C89"/>
    <w:rsid w:val="008704EF"/>
    <w:rsid w:val="00870B5E"/>
    <w:rsid w:val="008737F1"/>
    <w:rsid w:val="00874CF3"/>
    <w:rsid w:val="00881E7B"/>
    <w:rsid w:val="00885ED7"/>
    <w:rsid w:val="00892A89"/>
    <w:rsid w:val="00897433"/>
    <w:rsid w:val="008A13C1"/>
    <w:rsid w:val="008A2696"/>
    <w:rsid w:val="008A3385"/>
    <w:rsid w:val="008A50EC"/>
    <w:rsid w:val="008B0B96"/>
    <w:rsid w:val="008B2C94"/>
    <w:rsid w:val="008B3D11"/>
    <w:rsid w:val="008B7FA5"/>
    <w:rsid w:val="008C30A6"/>
    <w:rsid w:val="008C331F"/>
    <w:rsid w:val="008D1517"/>
    <w:rsid w:val="008D1AE5"/>
    <w:rsid w:val="008D1FE4"/>
    <w:rsid w:val="008D214B"/>
    <w:rsid w:val="008D7B00"/>
    <w:rsid w:val="008E02C1"/>
    <w:rsid w:val="008F23FF"/>
    <w:rsid w:val="008F2E60"/>
    <w:rsid w:val="00904A5F"/>
    <w:rsid w:val="00906B7E"/>
    <w:rsid w:val="00906F2F"/>
    <w:rsid w:val="00911A71"/>
    <w:rsid w:val="00912339"/>
    <w:rsid w:val="00914A9D"/>
    <w:rsid w:val="00915890"/>
    <w:rsid w:val="00920230"/>
    <w:rsid w:val="00925E07"/>
    <w:rsid w:val="0092724E"/>
    <w:rsid w:val="0093516D"/>
    <w:rsid w:val="0093536B"/>
    <w:rsid w:val="00937BB2"/>
    <w:rsid w:val="009414BE"/>
    <w:rsid w:val="00942B32"/>
    <w:rsid w:val="00952221"/>
    <w:rsid w:val="00954B56"/>
    <w:rsid w:val="009560CF"/>
    <w:rsid w:val="00960EB6"/>
    <w:rsid w:val="00961CB8"/>
    <w:rsid w:val="009679D4"/>
    <w:rsid w:val="0097033B"/>
    <w:rsid w:val="00973016"/>
    <w:rsid w:val="0097344C"/>
    <w:rsid w:val="0098062C"/>
    <w:rsid w:val="0098166A"/>
    <w:rsid w:val="00984501"/>
    <w:rsid w:val="009850D4"/>
    <w:rsid w:val="0098571C"/>
    <w:rsid w:val="00986881"/>
    <w:rsid w:val="009917FE"/>
    <w:rsid w:val="00991807"/>
    <w:rsid w:val="009939C7"/>
    <w:rsid w:val="009971CF"/>
    <w:rsid w:val="009975E5"/>
    <w:rsid w:val="00997EAC"/>
    <w:rsid w:val="009A1555"/>
    <w:rsid w:val="009A2938"/>
    <w:rsid w:val="009A386B"/>
    <w:rsid w:val="009B3F55"/>
    <w:rsid w:val="009B4176"/>
    <w:rsid w:val="009C2E15"/>
    <w:rsid w:val="009C3FBD"/>
    <w:rsid w:val="009C5A31"/>
    <w:rsid w:val="009C70EA"/>
    <w:rsid w:val="009E3277"/>
    <w:rsid w:val="009E5AC5"/>
    <w:rsid w:val="009E765A"/>
    <w:rsid w:val="009F1B8B"/>
    <w:rsid w:val="009F4CA8"/>
    <w:rsid w:val="00A01B37"/>
    <w:rsid w:val="00A020C8"/>
    <w:rsid w:val="00A037A2"/>
    <w:rsid w:val="00A03AFB"/>
    <w:rsid w:val="00A0700C"/>
    <w:rsid w:val="00A10B51"/>
    <w:rsid w:val="00A11D2B"/>
    <w:rsid w:val="00A1475F"/>
    <w:rsid w:val="00A210E3"/>
    <w:rsid w:val="00A21648"/>
    <w:rsid w:val="00A21CC0"/>
    <w:rsid w:val="00A30D3C"/>
    <w:rsid w:val="00A313FD"/>
    <w:rsid w:val="00A32C5B"/>
    <w:rsid w:val="00A357CE"/>
    <w:rsid w:val="00A37A12"/>
    <w:rsid w:val="00A37FBE"/>
    <w:rsid w:val="00A51839"/>
    <w:rsid w:val="00A5250F"/>
    <w:rsid w:val="00A52CE4"/>
    <w:rsid w:val="00A5359F"/>
    <w:rsid w:val="00A53C5D"/>
    <w:rsid w:val="00A651B7"/>
    <w:rsid w:val="00A6528F"/>
    <w:rsid w:val="00A7121A"/>
    <w:rsid w:val="00A72F02"/>
    <w:rsid w:val="00A77D4E"/>
    <w:rsid w:val="00A915C9"/>
    <w:rsid w:val="00A916BC"/>
    <w:rsid w:val="00A961FD"/>
    <w:rsid w:val="00A96CA0"/>
    <w:rsid w:val="00A97256"/>
    <w:rsid w:val="00A9773F"/>
    <w:rsid w:val="00AA1266"/>
    <w:rsid w:val="00AA3CD0"/>
    <w:rsid w:val="00AB4A44"/>
    <w:rsid w:val="00AB5372"/>
    <w:rsid w:val="00AB7696"/>
    <w:rsid w:val="00AC52B0"/>
    <w:rsid w:val="00AD1010"/>
    <w:rsid w:val="00AD18B6"/>
    <w:rsid w:val="00AD2C56"/>
    <w:rsid w:val="00AD7952"/>
    <w:rsid w:val="00AD7B40"/>
    <w:rsid w:val="00AE4CB1"/>
    <w:rsid w:val="00AF2C26"/>
    <w:rsid w:val="00AF3F2F"/>
    <w:rsid w:val="00AF439A"/>
    <w:rsid w:val="00AF706E"/>
    <w:rsid w:val="00B04127"/>
    <w:rsid w:val="00B0726F"/>
    <w:rsid w:val="00B11039"/>
    <w:rsid w:val="00B111B7"/>
    <w:rsid w:val="00B12FC7"/>
    <w:rsid w:val="00B13976"/>
    <w:rsid w:val="00B13B95"/>
    <w:rsid w:val="00B22B9E"/>
    <w:rsid w:val="00B26327"/>
    <w:rsid w:val="00B31300"/>
    <w:rsid w:val="00B37C77"/>
    <w:rsid w:val="00B44C30"/>
    <w:rsid w:val="00B44F5A"/>
    <w:rsid w:val="00B46DA4"/>
    <w:rsid w:val="00B52201"/>
    <w:rsid w:val="00B541FF"/>
    <w:rsid w:val="00B562C3"/>
    <w:rsid w:val="00B57819"/>
    <w:rsid w:val="00B609E7"/>
    <w:rsid w:val="00B60AF9"/>
    <w:rsid w:val="00B70F50"/>
    <w:rsid w:val="00B71E8B"/>
    <w:rsid w:val="00B72C1B"/>
    <w:rsid w:val="00B75240"/>
    <w:rsid w:val="00B764CE"/>
    <w:rsid w:val="00B77023"/>
    <w:rsid w:val="00B77D6E"/>
    <w:rsid w:val="00B87B1C"/>
    <w:rsid w:val="00B9090F"/>
    <w:rsid w:val="00BA7C5B"/>
    <w:rsid w:val="00BB21C3"/>
    <w:rsid w:val="00BB50E8"/>
    <w:rsid w:val="00BB513C"/>
    <w:rsid w:val="00BB5833"/>
    <w:rsid w:val="00BB5A8A"/>
    <w:rsid w:val="00BC308A"/>
    <w:rsid w:val="00BC3460"/>
    <w:rsid w:val="00BC4E07"/>
    <w:rsid w:val="00BC68A2"/>
    <w:rsid w:val="00BC7D99"/>
    <w:rsid w:val="00BD152C"/>
    <w:rsid w:val="00BD574F"/>
    <w:rsid w:val="00BD5A7A"/>
    <w:rsid w:val="00BD767D"/>
    <w:rsid w:val="00BE3FE4"/>
    <w:rsid w:val="00BE48AD"/>
    <w:rsid w:val="00BE4E92"/>
    <w:rsid w:val="00BE7885"/>
    <w:rsid w:val="00BE7FF1"/>
    <w:rsid w:val="00BF2A76"/>
    <w:rsid w:val="00BF7447"/>
    <w:rsid w:val="00C0306F"/>
    <w:rsid w:val="00C03B88"/>
    <w:rsid w:val="00C0484B"/>
    <w:rsid w:val="00C04AA1"/>
    <w:rsid w:val="00C06424"/>
    <w:rsid w:val="00C06C03"/>
    <w:rsid w:val="00C136CD"/>
    <w:rsid w:val="00C14BF7"/>
    <w:rsid w:val="00C16E6A"/>
    <w:rsid w:val="00C1753E"/>
    <w:rsid w:val="00C2130F"/>
    <w:rsid w:val="00C22CCA"/>
    <w:rsid w:val="00C24DDE"/>
    <w:rsid w:val="00C25D1F"/>
    <w:rsid w:val="00C362BC"/>
    <w:rsid w:val="00C36915"/>
    <w:rsid w:val="00C37E64"/>
    <w:rsid w:val="00C41910"/>
    <w:rsid w:val="00C45AF2"/>
    <w:rsid w:val="00C508E3"/>
    <w:rsid w:val="00C51206"/>
    <w:rsid w:val="00C64284"/>
    <w:rsid w:val="00C64D8F"/>
    <w:rsid w:val="00C6572E"/>
    <w:rsid w:val="00C76A2B"/>
    <w:rsid w:val="00C80BCA"/>
    <w:rsid w:val="00C85C3B"/>
    <w:rsid w:val="00C860DB"/>
    <w:rsid w:val="00C9183B"/>
    <w:rsid w:val="00C97FD4"/>
    <w:rsid w:val="00CA2931"/>
    <w:rsid w:val="00CA2C30"/>
    <w:rsid w:val="00CA4841"/>
    <w:rsid w:val="00CB1C1A"/>
    <w:rsid w:val="00CB1F1D"/>
    <w:rsid w:val="00CB3287"/>
    <w:rsid w:val="00CB3830"/>
    <w:rsid w:val="00CB3F99"/>
    <w:rsid w:val="00CB40B9"/>
    <w:rsid w:val="00CB446D"/>
    <w:rsid w:val="00CB7350"/>
    <w:rsid w:val="00CC07BE"/>
    <w:rsid w:val="00CC25CE"/>
    <w:rsid w:val="00CC2BE3"/>
    <w:rsid w:val="00CC2F17"/>
    <w:rsid w:val="00CC3B78"/>
    <w:rsid w:val="00CC7865"/>
    <w:rsid w:val="00CD1474"/>
    <w:rsid w:val="00CD2066"/>
    <w:rsid w:val="00CD32A3"/>
    <w:rsid w:val="00CD3DD4"/>
    <w:rsid w:val="00CD6D45"/>
    <w:rsid w:val="00CD6F88"/>
    <w:rsid w:val="00CE00D5"/>
    <w:rsid w:val="00CE1462"/>
    <w:rsid w:val="00CE23B1"/>
    <w:rsid w:val="00CE7354"/>
    <w:rsid w:val="00CF1974"/>
    <w:rsid w:val="00CF2A8E"/>
    <w:rsid w:val="00CF34F2"/>
    <w:rsid w:val="00CF5A36"/>
    <w:rsid w:val="00D0081A"/>
    <w:rsid w:val="00D02787"/>
    <w:rsid w:val="00D0440C"/>
    <w:rsid w:val="00D13364"/>
    <w:rsid w:val="00D151A8"/>
    <w:rsid w:val="00D17A6E"/>
    <w:rsid w:val="00D306A7"/>
    <w:rsid w:val="00D30F8D"/>
    <w:rsid w:val="00D313E2"/>
    <w:rsid w:val="00D3173C"/>
    <w:rsid w:val="00D328E9"/>
    <w:rsid w:val="00D43A12"/>
    <w:rsid w:val="00D53A1A"/>
    <w:rsid w:val="00D603BB"/>
    <w:rsid w:val="00D604BC"/>
    <w:rsid w:val="00D61DD0"/>
    <w:rsid w:val="00D629B9"/>
    <w:rsid w:val="00D635CF"/>
    <w:rsid w:val="00D63B95"/>
    <w:rsid w:val="00D63DCE"/>
    <w:rsid w:val="00D63F7E"/>
    <w:rsid w:val="00D673AF"/>
    <w:rsid w:val="00D75228"/>
    <w:rsid w:val="00D86AF7"/>
    <w:rsid w:val="00D94F1F"/>
    <w:rsid w:val="00D958AE"/>
    <w:rsid w:val="00DA1C16"/>
    <w:rsid w:val="00DA308D"/>
    <w:rsid w:val="00DA5EED"/>
    <w:rsid w:val="00DA74BB"/>
    <w:rsid w:val="00DB054F"/>
    <w:rsid w:val="00DB6AA6"/>
    <w:rsid w:val="00DB7BCF"/>
    <w:rsid w:val="00DB7D3B"/>
    <w:rsid w:val="00DC1F2A"/>
    <w:rsid w:val="00DD46F9"/>
    <w:rsid w:val="00DE0020"/>
    <w:rsid w:val="00DE06B3"/>
    <w:rsid w:val="00DE32DB"/>
    <w:rsid w:val="00DE5E80"/>
    <w:rsid w:val="00DF0197"/>
    <w:rsid w:val="00DF2C6F"/>
    <w:rsid w:val="00E000D1"/>
    <w:rsid w:val="00E018D8"/>
    <w:rsid w:val="00E0240B"/>
    <w:rsid w:val="00E05501"/>
    <w:rsid w:val="00E058AF"/>
    <w:rsid w:val="00E11EAA"/>
    <w:rsid w:val="00E130DD"/>
    <w:rsid w:val="00E14A06"/>
    <w:rsid w:val="00E21062"/>
    <w:rsid w:val="00E26C70"/>
    <w:rsid w:val="00E30BAC"/>
    <w:rsid w:val="00E33D27"/>
    <w:rsid w:val="00E403C2"/>
    <w:rsid w:val="00E47EA2"/>
    <w:rsid w:val="00E507DD"/>
    <w:rsid w:val="00E519A5"/>
    <w:rsid w:val="00E51C7C"/>
    <w:rsid w:val="00E5548B"/>
    <w:rsid w:val="00E57D62"/>
    <w:rsid w:val="00E6699B"/>
    <w:rsid w:val="00E703DE"/>
    <w:rsid w:val="00E71D96"/>
    <w:rsid w:val="00E73859"/>
    <w:rsid w:val="00E832C1"/>
    <w:rsid w:val="00E83C5F"/>
    <w:rsid w:val="00E94AA0"/>
    <w:rsid w:val="00E95AD2"/>
    <w:rsid w:val="00E97681"/>
    <w:rsid w:val="00EA037A"/>
    <w:rsid w:val="00EA112A"/>
    <w:rsid w:val="00EB0CAD"/>
    <w:rsid w:val="00EB10B4"/>
    <w:rsid w:val="00EB4866"/>
    <w:rsid w:val="00EB558C"/>
    <w:rsid w:val="00EB585C"/>
    <w:rsid w:val="00EB7FC8"/>
    <w:rsid w:val="00ED2FEF"/>
    <w:rsid w:val="00ED357E"/>
    <w:rsid w:val="00ED38D3"/>
    <w:rsid w:val="00ED68D6"/>
    <w:rsid w:val="00EE2DC2"/>
    <w:rsid w:val="00EE31E9"/>
    <w:rsid w:val="00EE4D24"/>
    <w:rsid w:val="00EE5DD8"/>
    <w:rsid w:val="00EE79A0"/>
    <w:rsid w:val="00EF10CB"/>
    <w:rsid w:val="00EF1303"/>
    <w:rsid w:val="00EF1A84"/>
    <w:rsid w:val="00EF4C6F"/>
    <w:rsid w:val="00EF6E5D"/>
    <w:rsid w:val="00F02C41"/>
    <w:rsid w:val="00F06A6C"/>
    <w:rsid w:val="00F15848"/>
    <w:rsid w:val="00F17F54"/>
    <w:rsid w:val="00F21884"/>
    <w:rsid w:val="00F2201F"/>
    <w:rsid w:val="00F3172A"/>
    <w:rsid w:val="00F34891"/>
    <w:rsid w:val="00F36A0B"/>
    <w:rsid w:val="00F36EA9"/>
    <w:rsid w:val="00F43BFC"/>
    <w:rsid w:val="00F46E9D"/>
    <w:rsid w:val="00F52581"/>
    <w:rsid w:val="00F52837"/>
    <w:rsid w:val="00F606FB"/>
    <w:rsid w:val="00F60E4B"/>
    <w:rsid w:val="00F76971"/>
    <w:rsid w:val="00F81EDC"/>
    <w:rsid w:val="00F958CA"/>
    <w:rsid w:val="00FA75DB"/>
    <w:rsid w:val="00FB0B48"/>
    <w:rsid w:val="00FB223C"/>
    <w:rsid w:val="00FB2917"/>
    <w:rsid w:val="00FB5110"/>
    <w:rsid w:val="00FB5775"/>
    <w:rsid w:val="00FC3F91"/>
    <w:rsid w:val="00FC55EF"/>
    <w:rsid w:val="00FC60B7"/>
    <w:rsid w:val="00FC7194"/>
    <w:rsid w:val="00FD079D"/>
    <w:rsid w:val="00FD18A9"/>
    <w:rsid w:val="00FD641D"/>
    <w:rsid w:val="00FE22A1"/>
    <w:rsid w:val="00FE26F3"/>
    <w:rsid w:val="00FE2BB8"/>
    <w:rsid w:val="00FF086D"/>
    <w:rsid w:val="00FF0A31"/>
    <w:rsid w:val="00FF1850"/>
    <w:rsid w:val="00FF4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3F83C3F-033E-4D38-9C81-DA1045DA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5027"/>
    <w:rPr>
      <w:rFonts w:ascii="Calibri" w:eastAsiaTheme="minorHAnsi" w:hAnsi="Calibri"/>
      <w:sz w:val="22"/>
      <w:szCs w:val="22"/>
    </w:rPr>
  </w:style>
  <w:style w:type="paragraph" w:styleId="Virsraksts1">
    <w:name w:val="heading 1"/>
    <w:basedOn w:val="Parasts"/>
    <w:link w:val="Virsraksts1Rakstz"/>
    <w:qFormat/>
    <w:rsid w:val="00333A47"/>
    <w:pPr>
      <w:keepNext/>
      <w:tabs>
        <w:tab w:val="num" w:pos="432"/>
      </w:tabs>
      <w:ind w:left="432" w:hanging="432"/>
      <w:outlineLvl w:val="0"/>
    </w:pPr>
    <w:rPr>
      <w:rFonts w:ascii="Times New Roman" w:eastAsia="Times New Roman" w:hAnsi="Times New Roman"/>
      <w:b/>
      <w:bCs/>
      <w:kern w:val="36"/>
      <w:sz w:val="28"/>
      <w:szCs w:val="28"/>
    </w:rPr>
  </w:style>
  <w:style w:type="paragraph" w:styleId="Virsraksts2">
    <w:name w:val="heading 2"/>
    <w:basedOn w:val="Parasts"/>
    <w:link w:val="Virsraksts2Rakstz"/>
    <w:qFormat/>
    <w:rsid w:val="00333A47"/>
    <w:pPr>
      <w:keepNext/>
      <w:tabs>
        <w:tab w:val="num" w:pos="576"/>
      </w:tabs>
      <w:ind w:left="576" w:hanging="576"/>
      <w:outlineLvl w:val="1"/>
    </w:pPr>
    <w:rPr>
      <w:rFonts w:ascii="Times New Roman" w:eastAsia="Times New Roman" w:hAnsi="Times New Roman"/>
      <w:b/>
      <w:bCs/>
      <w:sz w:val="24"/>
      <w:szCs w:val="24"/>
    </w:rPr>
  </w:style>
  <w:style w:type="paragraph" w:styleId="Virsraksts3">
    <w:name w:val="heading 3"/>
    <w:basedOn w:val="Parasts"/>
    <w:next w:val="Parasts"/>
    <w:link w:val="Virsraksts3Rakstz"/>
    <w:unhideWhenUsed/>
    <w:qFormat/>
    <w:rsid w:val="00984501"/>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Virsraksts4">
    <w:name w:val="heading 4"/>
    <w:basedOn w:val="Parasts"/>
    <w:next w:val="Parasts"/>
    <w:link w:val="Virsraksts4Rakstz"/>
    <w:qFormat/>
    <w:rsid w:val="00840B6B"/>
    <w:pPr>
      <w:keepNext/>
      <w:jc w:val="center"/>
      <w:outlineLvl w:val="3"/>
    </w:pPr>
    <w:rPr>
      <w:rFonts w:ascii="Times New Roman" w:eastAsia="Times New Roman" w:hAnsi="Times New Roman"/>
      <w:sz w:val="28"/>
      <w:szCs w:val="20"/>
      <w:lang w:eastAsia="en-US"/>
    </w:rPr>
  </w:style>
  <w:style w:type="paragraph" w:styleId="Virsraksts5">
    <w:name w:val="heading 5"/>
    <w:basedOn w:val="Parasts"/>
    <w:link w:val="Virsraksts5Rakstz"/>
    <w:qFormat/>
    <w:rsid w:val="00333A47"/>
    <w:pPr>
      <w:tabs>
        <w:tab w:val="num" w:pos="1008"/>
      </w:tabs>
      <w:spacing w:before="240" w:after="60"/>
      <w:ind w:left="1008" w:hanging="1008"/>
      <w:outlineLvl w:val="4"/>
    </w:pPr>
    <w:rPr>
      <w:rFonts w:ascii="Times New Roman" w:eastAsia="Times New Roman" w:hAnsi="Times New Roman"/>
      <w:b/>
      <w:bCs/>
      <w:i/>
      <w:iCs/>
      <w:sz w:val="26"/>
      <w:szCs w:val="26"/>
    </w:rPr>
  </w:style>
  <w:style w:type="paragraph" w:styleId="Virsraksts6">
    <w:name w:val="heading 6"/>
    <w:basedOn w:val="Parasts"/>
    <w:link w:val="Virsraksts6Rakstz"/>
    <w:qFormat/>
    <w:rsid w:val="00333A47"/>
    <w:pPr>
      <w:tabs>
        <w:tab w:val="num" w:pos="1152"/>
      </w:tabs>
      <w:spacing w:before="240" w:after="60"/>
      <w:ind w:left="1152" w:hanging="1152"/>
      <w:outlineLvl w:val="5"/>
    </w:pPr>
    <w:rPr>
      <w:rFonts w:ascii="Times New Roman" w:eastAsia="Times New Roman" w:hAnsi="Times New Roman"/>
      <w:b/>
      <w:bCs/>
    </w:rPr>
  </w:style>
  <w:style w:type="paragraph" w:styleId="Virsraksts7">
    <w:name w:val="heading 7"/>
    <w:basedOn w:val="Parasts"/>
    <w:link w:val="Virsraksts7Rakstz"/>
    <w:qFormat/>
    <w:rsid w:val="00333A47"/>
    <w:pPr>
      <w:tabs>
        <w:tab w:val="num" w:pos="1296"/>
      </w:tabs>
      <w:spacing w:before="240" w:after="60"/>
      <w:ind w:left="1296" w:hanging="1296"/>
      <w:outlineLvl w:val="6"/>
    </w:pPr>
    <w:rPr>
      <w:rFonts w:ascii="Times New Roman" w:eastAsia="Times New Roman" w:hAnsi="Times New Roman"/>
      <w:sz w:val="24"/>
      <w:szCs w:val="24"/>
    </w:rPr>
  </w:style>
  <w:style w:type="paragraph" w:styleId="Virsraksts8">
    <w:name w:val="heading 8"/>
    <w:basedOn w:val="Parasts"/>
    <w:link w:val="Virsraksts8Rakstz"/>
    <w:qFormat/>
    <w:rsid w:val="00333A47"/>
    <w:pPr>
      <w:tabs>
        <w:tab w:val="num" w:pos="1440"/>
      </w:tabs>
      <w:spacing w:before="240" w:after="60"/>
      <w:ind w:left="1440" w:hanging="1440"/>
      <w:outlineLvl w:val="7"/>
    </w:pPr>
    <w:rPr>
      <w:rFonts w:ascii="Times New Roman" w:eastAsia="Times New Roman" w:hAnsi="Times New Roman"/>
      <w:i/>
      <w:iCs/>
      <w:sz w:val="24"/>
      <w:szCs w:val="24"/>
    </w:rPr>
  </w:style>
  <w:style w:type="paragraph" w:styleId="Virsraksts9">
    <w:name w:val="heading 9"/>
    <w:basedOn w:val="Parasts"/>
    <w:link w:val="Virsraksts9Rakstz"/>
    <w:qFormat/>
    <w:rsid w:val="00333A47"/>
    <w:pPr>
      <w:tabs>
        <w:tab w:val="num" w:pos="1584"/>
      </w:tabs>
      <w:spacing w:before="240" w:after="60"/>
      <w:ind w:left="1584" w:hanging="1584"/>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1B6F"/>
    <w:pPr>
      <w:tabs>
        <w:tab w:val="center" w:pos="4153"/>
        <w:tab w:val="right" w:pos="8306"/>
      </w:tabs>
    </w:pPr>
    <w:rPr>
      <w:rFonts w:ascii="Times New Roman" w:eastAsia="Times New Roman" w:hAnsi="Times New Roman"/>
      <w:sz w:val="24"/>
      <w:szCs w:val="24"/>
    </w:rPr>
  </w:style>
  <w:style w:type="paragraph" w:styleId="Kjene">
    <w:name w:val="footer"/>
    <w:basedOn w:val="Parasts"/>
    <w:rsid w:val="00081B6F"/>
    <w:pPr>
      <w:tabs>
        <w:tab w:val="center" w:pos="4153"/>
        <w:tab w:val="right" w:pos="8306"/>
      </w:tabs>
    </w:pPr>
    <w:rPr>
      <w:rFonts w:ascii="Times New Roman" w:eastAsia="Times New Roman" w:hAnsi="Times New Roman"/>
      <w:sz w:val="24"/>
      <w:szCs w:val="24"/>
    </w:rPr>
  </w:style>
  <w:style w:type="character" w:styleId="Lappusesnumurs">
    <w:name w:val="page number"/>
    <w:basedOn w:val="Noklusjumarindkopasfonts"/>
    <w:rsid w:val="00081B6F"/>
  </w:style>
  <w:style w:type="character" w:styleId="Hipersaite">
    <w:name w:val="Hyperlink"/>
    <w:basedOn w:val="Noklusjumarindkopasfonts"/>
    <w:uiPriority w:val="99"/>
    <w:rsid w:val="00F2201F"/>
    <w:rPr>
      <w:color w:val="0000FF"/>
      <w:u w:val="single"/>
    </w:rPr>
  </w:style>
  <w:style w:type="paragraph" w:styleId="Sarakstarindkopa">
    <w:name w:val="List Paragraph"/>
    <w:basedOn w:val="Parasts"/>
    <w:uiPriority w:val="34"/>
    <w:qFormat/>
    <w:rsid w:val="006756E0"/>
    <w:pPr>
      <w:ind w:left="720"/>
      <w:contextualSpacing/>
    </w:pPr>
    <w:rPr>
      <w:rFonts w:ascii="Times New Roman" w:eastAsia="Times New Roman" w:hAnsi="Times New Roman"/>
      <w:sz w:val="24"/>
      <w:szCs w:val="24"/>
    </w:rPr>
  </w:style>
  <w:style w:type="paragraph" w:styleId="Balonteksts">
    <w:name w:val="Balloon Text"/>
    <w:basedOn w:val="Parasts"/>
    <w:link w:val="BalontekstsRakstz"/>
    <w:rsid w:val="00DE06B3"/>
    <w:rPr>
      <w:rFonts w:ascii="Tahoma" w:eastAsia="Times New Roman" w:hAnsi="Tahoma" w:cs="Tahoma"/>
      <w:sz w:val="16"/>
      <w:szCs w:val="16"/>
    </w:rPr>
  </w:style>
  <w:style w:type="character" w:customStyle="1" w:styleId="BalontekstsRakstz">
    <w:name w:val="Balonteksts Rakstz."/>
    <w:basedOn w:val="Noklusjumarindkopasfonts"/>
    <w:link w:val="Balonteksts"/>
    <w:rsid w:val="00DE06B3"/>
    <w:rPr>
      <w:rFonts w:ascii="Tahoma" w:hAnsi="Tahoma" w:cs="Tahoma"/>
      <w:sz w:val="16"/>
      <w:szCs w:val="16"/>
    </w:rPr>
  </w:style>
  <w:style w:type="paragraph" w:styleId="Pamatteksts">
    <w:name w:val="Body Text"/>
    <w:basedOn w:val="Parasts"/>
    <w:link w:val="PamattekstsRakstz"/>
    <w:rsid w:val="00E130DD"/>
    <w:pPr>
      <w:jc w:val="center"/>
    </w:pPr>
    <w:rPr>
      <w:rFonts w:ascii="Times New Roman" w:eastAsia="Times New Roman" w:hAnsi="Times New Roman"/>
      <w:b/>
      <w:bCs/>
      <w:sz w:val="28"/>
      <w:szCs w:val="28"/>
      <w:lang w:eastAsia="en-US"/>
    </w:rPr>
  </w:style>
  <w:style w:type="character" w:customStyle="1" w:styleId="PamattekstsRakstz">
    <w:name w:val="Pamatteksts Rakstz."/>
    <w:basedOn w:val="Noklusjumarindkopasfonts"/>
    <w:link w:val="Pamatteksts"/>
    <w:rsid w:val="00E130DD"/>
    <w:rPr>
      <w:b/>
      <w:bCs/>
      <w:sz w:val="28"/>
      <w:szCs w:val="28"/>
      <w:lang w:eastAsia="en-US"/>
    </w:rPr>
  </w:style>
  <w:style w:type="character" w:customStyle="1" w:styleId="Virsraksts4Rakstz">
    <w:name w:val="Virsraksts 4 Rakstz."/>
    <w:basedOn w:val="Noklusjumarindkopasfonts"/>
    <w:link w:val="Virsraksts4"/>
    <w:rsid w:val="00840B6B"/>
    <w:rPr>
      <w:sz w:val="28"/>
      <w:lang w:eastAsia="en-US"/>
    </w:rPr>
  </w:style>
  <w:style w:type="table" w:styleId="Reatabula">
    <w:name w:val="Table Grid"/>
    <w:basedOn w:val="Parastatabula"/>
    <w:rsid w:val="0032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E83C5F"/>
    <w:pPr>
      <w:spacing w:before="100" w:beforeAutospacing="1" w:after="100" w:afterAutospacing="1"/>
    </w:pPr>
    <w:rPr>
      <w:rFonts w:ascii="Times New Roman" w:eastAsia="Times New Roman" w:hAnsi="Times New Roman"/>
      <w:sz w:val="24"/>
      <w:szCs w:val="24"/>
    </w:rPr>
  </w:style>
  <w:style w:type="paragraph" w:customStyle="1" w:styleId="naisf">
    <w:name w:val="naisf"/>
    <w:basedOn w:val="Parasts"/>
    <w:rsid w:val="006271B7"/>
    <w:pPr>
      <w:spacing w:before="75" w:after="75"/>
      <w:ind w:firstLine="375"/>
      <w:jc w:val="both"/>
    </w:pPr>
    <w:rPr>
      <w:rFonts w:ascii="Times New Roman" w:eastAsia="Times New Roman" w:hAnsi="Times New Roman"/>
      <w:sz w:val="24"/>
      <w:szCs w:val="24"/>
    </w:rPr>
  </w:style>
  <w:style w:type="character" w:styleId="Komentraatsauce">
    <w:name w:val="annotation reference"/>
    <w:basedOn w:val="Noklusjumarindkopasfonts"/>
    <w:semiHidden/>
    <w:unhideWhenUsed/>
    <w:rsid w:val="00F15848"/>
    <w:rPr>
      <w:sz w:val="16"/>
      <w:szCs w:val="16"/>
    </w:rPr>
  </w:style>
  <w:style w:type="paragraph" w:styleId="Komentrateksts">
    <w:name w:val="annotation text"/>
    <w:basedOn w:val="Parasts"/>
    <w:link w:val="KomentratekstsRakstz"/>
    <w:semiHidden/>
    <w:unhideWhenUsed/>
    <w:rsid w:val="00F15848"/>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semiHidden/>
    <w:rsid w:val="00F15848"/>
  </w:style>
  <w:style w:type="paragraph" w:styleId="Komentratma">
    <w:name w:val="annotation subject"/>
    <w:basedOn w:val="Komentrateksts"/>
    <w:next w:val="Komentrateksts"/>
    <w:link w:val="KomentratmaRakstz"/>
    <w:semiHidden/>
    <w:unhideWhenUsed/>
    <w:rsid w:val="00F15848"/>
    <w:rPr>
      <w:b/>
      <w:bCs/>
    </w:rPr>
  </w:style>
  <w:style w:type="character" w:customStyle="1" w:styleId="KomentratmaRakstz">
    <w:name w:val="Komentāra tēma Rakstz."/>
    <w:basedOn w:val="KomentratekstsRakstz"/>
    <w:link w:val="Komentratma"/>
    <w:semiHidden/>
    <w:rsid w:val="00F15848"/>
    <w:rPr>
      <w:b/>
      <w:bCs/>
    </w:rPr>
  </w:style>
  <w:style w:type="character" w:customStyle="1" w:styleId="Virsraksts3Rakstz">
    <w:name w:val="Virsraksts 3 Rakstz."/>
    <w:basedOn w:val="Noklusjumarindkopasfonts"/>
    <w:link w:val="Virsraksts3"/>
    <w:rsid w:val="00984501"/>
    <w:rPr>
      <w:rFonts w:asciiTheme="majorHAnsi" w:eastAsiaTheme="majorEastAsia" w:hAnsiTheme="majorHAnsi" w:cstheme="majorBidi"/>
      <w:b/>
      <w:bCs/>
      <w:color w:val="4F81BD" w:themeColor="accent1"/>
      <w:sz w:val="24"/>
      <w:szCs w:val="24"/>
    </w:rPr>
  </w:style>
  <w:style w:type="character" w:customStyle="1" w:styleId="Virsraksts1Rakstz">
    <w:name w:val="Virsraksts 1 Rakstz."/>
    <w:basedOn w:val="Noklusjumarindkopasfonts"/>
    <w:link w:val="Virsraksts1"/>
    <w:rsid w:val="00333A47"/>
    <w:rPr>
      <w:b/>
      <w:bCs/>
      <w:kern w:val="36"/>
      <w:sz w:val="28"/>
      <w:szCs w:val="28"/>
    </w:rPr>
  </w:style>
  <w:style w:type="character" w:customStyle="1" w:styleId="Virsraksts2Rakstz">
    <w:name w:val="Virsraksts 2 Rakstz."/>
    <w:basedOn w:val="Noklusjumarindkopasfonts"/>
    <w:link w:val="Virsraksts2"/>
    <w:rsid w:val="00333A47"/>
    <w:rPr>
      <w:b/>
      <w:bCs/>
      <w:sz w:val="24"/>
      <w:szCs w:val="24"/>
    </w:rPr>
  </w:style>
  <w:style w:type="character" w:customStyle="1" w:styleId="Virsraksts5Rakstz">
    <w:name w:val="Virsraksts 5 Rakstz."/>
    <w:basedOn w:val="Noklusjumarindkopasfonts"/>
    <w:link w:val="Virsraksts5"/>
    <w:rsid w:val="00333A47"/>
    <w:rPr>
      <w:b/>
      <w:bCs/>
      <w:i/>
      <w:iCs/>
      <w:sz w:val="26"/>
      <w:szCs w:val="26"/>
    </w:rPr>
  </w:style>
  <w:style w:type="character" w:customStyle="1" w:styleId="Virsraksts6Rakstz">
    <w:name w:val="Virsraksts 6 Rakstz."/>
    <w:basedOn w:val="Noklusjumarindkopasfonts"/>
    <w:link w:val="Virsraksts6"/>
    <w:rsid w:val="00333A47"/>
    <w:rPr>
      <w:b/>
      <w:bCs/>
      <w:sz w:val="22"/>
      <w:szCs w:val="22"/>
    </w:rPr>
  </w:style>
  <w:style w:type="character" w:customStyle="1" w:styleId="Virsraksts7Rakstz">
    <w:name w:val="Virsraksts 7 Rakstz."/>
    <w:basedOn w:val="Noklusjumarindkopasfonts"/>
    <w:link w:val="Virsraksts7"/>
    <w:rsid w:val="00333A47"/>
    <w:rPr>
      <w:sz w:val="24"/>
      <w:szCs w:val="24"/>
    </w:rPr>
  </w:style>
  <w:style w:type="character" w:customStyle="1" w:styleId="Virsraksts8Rakstz">
    <w:name w:val="Virsraksts 8 Rakstz."/>
    <w:basedOn w:val="Noklusjumarindkopasfonts"/>
    <w:link w:val="Virsraksts8"/>
    <w:rsid w:val="00333A47"/>
    <w:rPr>
      <w:i/>
      <w:iCs/>
      <w:sz w:val="24"/>
      <w:szCs w:val="24"/>
    </w:rPr>
  </w:style>
  <w:style w:type="character" w:customStyle="1" w:styleId="Virsraksts9Rakstz">
    <w:name w:val="Virsraksts 9 Rakstz."/>
    <w:basedOn w:val="Noklusjumarindkopasfonts"/>
    <w:link w:val="Virsraksts9"/>
    <w:rsid w:val="00333A47"/>
    <w:rPr>
      <w:rFonts w:ascii="Arial" w:hAnsi="Arial" w:cs="Arial"/>
      <w:sz w:val="22"/>
      <w:szCs w:val="22"/>
    </w:rPr>
  </w:style>
  <w:style w:type="paragraph" w:styleId="Bezatstarpm">
    <w:name w:val="No Spacing"/>
    <w:uiPriority w:val="1"/>
    <w:qFormat/>
    <w:rsid w:val="00D603BB"/>
    <w:pPr>
      <w:widowControl w:val="0"/>
    </w:pPr>
    <w:rPr>
      <w:rFonts w:ascii="Calibri" w:eastAsia="Calibri" w:hAnsi="Calibri"/>
      <w:sz w:val="22"/>
      <w:szCs w:val="22"/>
      <w:lang w:val="en-US" w:eastAsia="en-US"/>
    </w:rPr>
  </w:style>
  <w:style w:type="character" w:styleId="Izteiksmgs">
    <w:name w:val="Strong"/>
    <w:basedOn w:val="Noklusjumarindkopasfonts"/>
    <w:uiPriority w:val="22"/>
    <w:qFormat/>
    <w:rsid w:val="006D6EE1"/>
    <w:rPr>
      <w:b/>
      <w:bCs/>
    </w:rPr>
  </w:style>
  <w:style w:type="character" w:customStyle="1" w:styleId="spelle">
    <w:name w:val="spelle"/>
    <w:basedOn w:val="Noklusjumarindkopasfonts"/>
    <w:rsid w:val="00E0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951">
      <w:bodyDiv w:val="1"/>
      <w:marLeft w:val="0"/>
      <w:marRight w:val="0"/>
      <w:marTop w:val="0"/>
      <w:marBottom w:val="0"/>
      <w:divBdr>
        <w:top w:val="none" w:sz="0" w:space="0" w:color="auto"/>
        <w:left w:val="none" w:sz="0" w:space="0" w:color="auto"/>
        <w:bottom w:val="none" w:sz="0" w:space="0" w:color="auto"/>
        <w:right w:val="none" w:sz="0" w:space="0" w:color="auto"/>
      </w:divBdr>
    </w:div>
    <w:div w:id="51126340">
      <w:bodyDiv w:val="1"/>
      <w:marLeft w:val="0"/>
      <w:marRight w:val="0"/>
      <w:marTop w:val="0"/>
      <w:marBottom w:val="0"/>
      <w:divBdr>
        <w:top w:val="none" w:sz="0" w:space="0" w:color="auto"/>
        <w:left w:val="none" w:sz="0" w:space="0" w:color="auto"/>
        <w:bottom w:val="none" w:sz="0" w:space="0" w:color="auto"/>
        <w:right w:val="none" w:sz="0" w:space="0" w:color="auto"/>
      </w:divBdr>
    </w:div>
    <w:div w:id="77757717">
      <w:bodyDiv w:val="1"/>
      <w:marLeft w:val="0"/>
      <w:marRight w:val="0"/>
      <w:marTop w:val="0"/>
      <w:marBottom w:val="0"/>
      <w:divBdr>
        <w:top w:val="none" w:sz="0" w:space="0" w:color="auto"/>
        <w:left w:val="none" w:sz="0" w:space="0" w:color="auto"/>
        <w:bottom w:val="none" w:sz="0" w:space="0" w:color="auto"/>
        <w:right w:val="none" w:sz="0" w:space="0" w:color="auto"/>
      </w:divBdr>
    </w:div>
    <w:div w:id="140124567">
      <w:bodyDiv w:val="1"/>
      <w:marLeft w:val="0"/>
      <w:marRight w:val="0"/>
      <w:marTop w:val="0"/>
      <w:marBottom w:val="0"/>
      <w:divBdr>
        <w:top w:val="none" w:sz="0" w:space="0" w:color="auto"/>
        <w:left w:val="none" w:sz="0" w:space="0" w:color="auto"/>
        <w:bottom w:val="none" w:sz="0" w:space="0" w:color="auto"/>
        <w:right w:val="none" w:sz="0" w:space="0" w:color="auto"/>
      </w:divBdr>
    </w:div>
    <w:div w:id="247346922">
      <w:bodyDiv w:val="1"/>
      <w:marLeft w:val="0"/>
      <w:marRight w:val="0"/>
      <w:marTop w:val="0"/>
      <w:marBottom w:val="0"/>
      <w:divBdr>
        <w:top w:val="none" w:sz="0" w:space="0" w:color="auto"/>
        <w:left w:val="none" w:sz="0" w:space="0" w:color="auto"/>
        <w:bottom w:val="none" w:sz="0" w:space="0" w:color="auto"/>
        <w:right w:val="none" w:sz="0" w:space="0" w:color="auto"/>
      </w:divBdr>
    </w:div>
    <w:div w:id="257298294">
      <w:bodyDiv w:val="1"/>
      <w:marLeft w:val="0"/>
      <w:marRight w:val="0"/>
      <w:marTop w:val="0"/>
      <w:marBottom w:val="0"/>
      <w:divBdr>
        <w:top w:val="none" w:sz="0" w:space="0" w:color="auto"/>
        <w:left w:val="none" w:sz="0" w:space="0" w:color="auto"/>
        <w:bottom w:val="none" w:sz="0" w:space="0" w:color="auto"/>
        <w:right w:val="none" w:sz="0" w:space="0" w:color="auto"/>
      </w:divBdr>
    </w:div>
    <w:div w:id="298658181">
      <w:bodyDiv w:val="1"/>
      <w:marLeft w:val="0"/>
      <w:marRight w:val="0"/>
      <w:marTop w:val="0"/>
      <w:marBottom w:val="0"/>
      <w:divBdr>
        <w:top w:val="none" w:sz="0" w:space="0" w:color="auto"/>
        <w:left w:val="none" w:sz="0" w:space="0" w:color="auto"/>
        <w:bottom w:val="none" w:sz="0" w:space="0" w:color="auto"/>
        <w:right w:val="none" w:sz="0" w:space="0" w:color="auto"/>
      </w:divBdr>
    </w:div>
    <w:div w:id="376705287">
      <w:bodyDiv w:val="1"/>
      <w:marLeft w:val="0"/>
      <w:marRight w:val="0"/>
      <w:marTop w:val="0"/>
      <w:marBottom w:val="0"/>
      <w:divBdr>
        <w:top w:val="none" w:sz="0" w:space="0" w:color="auto"/>
        <w:left w:val="none" w:sz="0" w:space="0" w:color="auto"/>
        <w:bottom w:val="none" w:sz="0" w:space="0" w:color="auto"/>
        <w:right w:val="none" w:sz="0" w:space="0" w:color="auto"/>
      </w:divBdr>
    </w:div>
    <w:div w:id="393889734">
      <w:bodyDiv w:val="1"/>
      <w:marLeft w:val="0"/>
      <w:marRight w:val="0"/>
      <w:marTop w:val="0"/>
      <w:marBottom w:val="0"/>
      <w:divBdr>
        <w:top w:val="none" w:sz="0" w:space="0" w:color="auto"/>
        <w:left w:val="none" w:sz="0" w:space="0" w:color="auto"/>
        <w:bottom w:val="none" w:sz="0" w:space="0" w:color="auto"/>
        <w:right w:val="none" w:sz="0" w:space="0" w:color="auto"/>
      </w:divBdr>
    </w:div>
    <w:div w:id="472529086">
      <w:bodyDiv w:val="1"/>
      <w:marLeft w:val="0"/>
      <w:marRight w:val="0"/>
      <w:marTop w:val="0"/>
      <w:marBottom w:val="0"/>
      <w:divBdr>
        <w:top w:val="none" w:sz="0" w:space="0" w:color="auto"/>
        <w:left w:val="none" w:sz="0" w:space="0" w:color="auto"/>
        <w:bottom w:val="none" w:sz="0" w:space="0" w:color="auto"/>
        <w:right w:val="none" w:sz="0" w:space="0" w:color="auto"/>
      </w:divBdr>
    </w:div>
    <w:div w:id="664671120">
      <w:bodyDiv w:val="1"/>
      <w:marLeft w:val="0"/>
      <w:marRight w:val="0"/>
      <w:marTop w:val="0"/>
      <w:marBottom w:val="0"/>
      <w:divBdr>
        <w:top w:val="none" w:sz="0" w:space="0" w:color="auto"/>
        <w:left w:val="none" w:sz="0" w:space="0" w:color="auto"/>
        <w:bottom w:val="none" w:sz="0" w:space="0" w:color="auto"/>
        <w:right w:val="none" w:sz="0" w:space="0" w:color="auto"/>
      </w:divBdr>
    </w:div>
    <w:div w:id="718824318">
      <w:bodyDiv w:val="1"/>
      <w:marLeft w:val="0"/>
      <w:marRight w:val="0"/>
      <w:marTop w:val="0"/>
      <w:marBottom w:val="0"/>
      <w:divBdr>
        <w:top w:val="none" w:sz="0" w:space="0" w:color="auto"/>
        <w:left w:val="none" w:sz="0" w:space="0" w:color="auto"/>
        <w:bottom w:val="none" w:sz="0" w:space="0" w:color="auto"/>
        <w:right w:val="none" w:sz="0" w:space="0" w:color="auto"/>
      </w:divBdr>
    </w:div>
    <w:div w:id="791942482">
      <w:bodyDiv w:val="1"/>
      <w:marLeft w:val="0"/>
      <w:marRight w:val="0"/>
      <w:marTop w:val="0"/>
      <w:marBottom w:val="0"/>
      <w:divBdr>
        <w:top w:val="none" w:sz="0" w:space="0" w:color="auto"/>
        <w:left w:val="none" w:sz="0" w:space="0" w:color="auto"/>
        <w:bottom w:val="none" w:sz="0" w:space="0" w:color="auto"/>
        <w:right w:val="none" w:sz="0" w:space="0" w:color="auto"/>
      </w:divBdr>
    </w:div>
    <w:div w:id="797456243">
      <w:bodyDiv w:val="1"/>
      <w:marLeft w:val="0"/>
      <w:marRight w:val="0"/>
      <w:marTop w:val="0"/>
      <w:marBottom w:val="0"/>
      <w:divBdr>
        <w:top w:val="none" w:sz="0" w:space="0" w:color="auto"/>
        <w:left w:val="none" w:sz="0" w:space="0" w:color="auto"/>
        <w:bottom w:val="none" w:sz="0" w:space="0" w:color="auto"/>
        <w:right w:val="none" w:sz="0" w:space="0" w:color="auto"/>
      </w:divBdr>
    </w:div>
    <w:div w:id="987442938">
      <w:bodyDiv w:val="1"/>
      <w:marLeft w:val="0"/>
      <w:marRight w:val="0"/>
      <w:marTop w:val="0"/>
      <w:marBottom w:val="0"/>
      <w:divBdr>
        <w:top w:val="none" w:sz="0" w:space="0" w:color="auto"/>
        <w:left w:val="none" w:sz="0" w:space="0" w:color="auto"/>
        <w:bottom w:val="none" w:sz="0" w:space="0" w:color="auto"/>
        <w:right w:val="none" w:sz="0" w:space="0" w:color="auto"/>
      </w:divBdr>
    </w:div>
    <w:div w:id="1020860595">
      <w:bodyDiv w:val="1"/>
      <w:marLeft w:val="0"/>
      <w:marRight w:val="0"/>
      <w:marTop w:val="0"/>
      <w:marBottom w:val="0"/>
      <w:divBdr>
        <w:top w:val="none" w:sz="0" w:space="0" w:color="auto"/>
        <w:left w:val="none" w:sz="0" w:space="0" w:color="auto"/>
        <w:bottom w:val="none" w:sz="0" w:space="0" w:color="auto"/>
        <w:right w:val="none" w:sz="0" w:space="0" w:color="auto"/>
      </w:divBdr>
      <w:divsChild>
        <w:div w:id="1714815681">
          <w:marLeft w:val="0"/>
          <w:marRight w:val="0"/>
          <w:marTop w:val="0"/>
          <w:marBottom w:val="0"/>
          <w:divBdr>
            <w:top w:val="none" w:sz="0" w:space="0" w:color="auto"/>
            <w:left w:val="none" w:sz="0" w:space="0" w:color="auto"/>
            <w:bottom w:val="none" w:sz="0" w:space="0" w:color="auto"/>
            <w:right w:val="none" w:sz="0" w:space="0" w:color="auto"/>
          </w:divBdr>
          <w:divsChild>
            <w:div w:id="1488939064">
              <w:marLeft w:val="0"/>
              <w:marRight w:val="0"/>
              <w:marTop w:val="0"/>
              <w:marBottom w:val="0"/>
              <w:divBdr>
                <w:top w:val="none" w:sz="0" w:space="0" w:color="auto"/>
                <w:left w:val="none" w:sz="0" w:space="0" w:color="auto"/>
                <w:bottom w:val="none" w:sz="0" w:space="0" w:color="auto"/>
                <w:right w:val="none" w:sz="0" w:space="0" w:color="auto"/>
              </w:divBdr>
              <w:divsChild>
                <w:div w:id="90467238">
                  <w:marLeft w:val="0"/>
                  <w:marRight w:val="0"/>
                  <w:marTop w:val="0"/>
                  <w:marBottom w:val="0"/>
                  <w:divBdr>
                    <w:top w:val="none" w:sz="0" w:space="0" w:color="auto"/>
                    <w:left w:val="none" w:sz="0" w:space="0" w:color="auto"/>
                    <w:bottom w:val="none" w:sz="0" w:space="0" w:color="auto"/>
                    <w:right w:val="none" w:sz="0" w:space="0" w:color="auto"/>
                  </w:divBdr>
                  <w:divsChild>
                    <w:div w:id="1462116731">
                      <w:marLeft w:val="0"/>
                      <w:marRight w:val="0"/>
                      <w:marTop w:val="0"/>
                      <w:marBottom w:val="0"/>
                      <w:divBdr>
                        <w:top w:val="none" w:sz="0" w:space="0" w:color="auto"/>
                        <w:left w:val="none" w:sz="0" w:space="0" w:color="auto"/>
                        <w:bottom w:val="none" w:sz="0" w:space="0" w:color="auto"/>
                        <w:right w:val="none" w:sz="0" w:space="0" w:color="auto"/>
                      </w:divBdr>
                      <w:divsChild>
                        <w:div w:id="981270930">
                          <w:marLeft w:val="0"/>
                          <w:marRight w:val="0"/>
                          <w:marTop w:val="0"/>
                          <w:marBottom w:val="0"/>
                          <w:divBdr>
                            <w:top w:val="none" w:sz="0" w:space="0" w:color="auto"/>
                            <w:left w:val="none" w:sz="0" w:space="0" w:color="auto"/>
                            <w:bottom w:val="none" w:sz="0" w:space="0" w:color="auto"/>
                            <w:right w:val="none" w:sz="0" w:space="0" w:color="auto"/>
                          </w:divBdr>
                          <w:divsChild>
                            <w:div w:id="1562473672">
                              <w:marLeft w:val="0"/>
                              <w:marRight w:val="0"/>
                              <w:marTop w:val="0"/>
                              <w:marBottom w:val="150"/>
                              <w:divBdr>
                                <w:top w:val="none" w:sz="0" w:space="0" w:color="auto"/>
                                <w:left w:val="none" w:sz="0" w:space="0" w:color="auto"/>
                                <w:bottom w:val="none" w:sz="0" w:space="0" w:color="auto"/>
                                <w:right w:val="none" w:sz="0" w:space="0" w:color="auto"/>
                              </w:divBdr>
                              <w:divsChild>
                                <w:div w:id="410734300">
                                  <w:marLeft w:val="0"/>
                                  <w:marRight w:val="0"/>
                                  <w:marTop w:val="0"/>
                                  <w:marBottom w:val="0"/>
                                  <w:divBdr>
                                    <w:top w:val="none" w:sz="0" w:space="0" w:color="auto"/>
                                    <w:left w:val="none" w:sz="0" w:space="0" w:color="auto"/>
                                    <w:bottom w:val="none" w:sz="0" w:space="0" w:color="auto"/>
                                    <w:right w:val="none" w:sz="0" w:space="0" w:color="auto"/>
                                  </w:divBdr>
                                  <w:divsChild>
                                    <w:div w:id="1015573645">
                                      <w:marLeft w:val="0"/>
                                      <w:marRight w:val="0"/>
                                      <w:marTop w:val="0"/>
                                      <w:marBottom w:val="0"/>
                                      <w:divBdr>
                                        <w:top w:val="none" w:sz="0" w:space="0" w:color="auto"/>
                                        <w:left w:val="none" w:sz="0" w:space="0" w:color="auto"/>
                                        <w:bottom w:val="none" w:sz="0" w:space="0" w:color="auto"/>
                                        <w:right w:val="none" w:sz="0" w:space="0" w:color="auto"/>
                                      </w:divBdr>
                                      <w:divsChild>
                                        <w:div w:id="833112060">
                                          <w:marLeft w:val="0"/>
                                          <w:marRight w:val="0"/>
                                          <w:marTop w:val="0"/>
                                          <w:marBottom w:val="0"/>
                                          <w:divBdr>
                                            <w:top w:val="none" w:sz="0" w:space="0" w:color="auto"/>
                                            <w:left w:val="none" w:sz="0" w:space="0" w:color="auto"/>
                                            <w:bottom w:val="none" w:sz="0" w:space="0" w:color="auto"/>
                                            <w:right w:val="none" w:sz="0" w:space="0" w:color="auto"/>
                                          </w:divBdr>
                                          <w:divsChild>
                                            <w:div w:id="14403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099076">
      <w:bodyDiv w:val="1"/>
      <w:marLeft w:val="0"/>
      <w:marRight w:val="0"/>
      <w:marTop w:val="0"/>
      <w:marBottom w:val="0"/>
      <w:divBdr>
        <w:top w:val="none" w:sz="0" w:space="0" w:color="auto"/>
        <w:left w:val="none" w:sz="0" w:space="0" w:color="auto"/>
        <w:bottom w:val="none" w:sz="0" w:space="0" w:color="auto"/>
        <w:right w:val="none" w:sz="0" w:space="0" w:color="auto"/>
      </w:divBdr>
      <w:divsChild>
        <w:div w:id="1669476100">
          <w:marLeft w:val="0"/>
          <w:marRight w:val="0"/>
          <w:marTop w:val="0"/>
          <w:marBottom w:val="0"/>
          <w:divBdr>
            <w:top w:val="none" w:sz="0" w:space="0" w:color="auto"/>
            <w:left w:val="none" w:sz="0" w:space="0" w:color="auto"/>
            <w:bottom w:val="none" w:sz="0" w:space="0" w:color="auto"/>
            <w:right w:val="none" w:sz="0" w:space="0" w:color="auto"/>
          </w:divBdr>
          <w:divsChild>
            <w:div w:id="19404934">
              <w:marLeft w:val="0"/>
              <w:marRight w:val="0"/>
              <w:marTop w:val="0"/>
              <w:marBottom w:val="0"/>
              <w:divBdr>
                <w:top w:val="none" w:sz="0" w:space="0" w:color="auto"/>
                <w:left w:val="none" w:sz="0" w:space="0" w:color="auto"/>
                <w:bottom w:val="none" w:sz="0" w:space="0" w:color="auto"/>
                <w:right w:val="none" w:sz="0" w:space="0" w:color="auto"/>
              </w:divBdr>
              <w:divsChild>
                <w:div w:id="469712400">
                  <w:marLeft w:val="0"/>
                  <w:marRight w:val="0"/>
                  <w:marTop w:val="0"/>
                  <w:marBottom w:val="0"/>
                  <w:divBdr>
                    <w:top w:val="none" w:sz="0" w:space="0" w:color="auto"/>
                    <w:left w:val="none" w:sz="0" w:space="0" w:color="auto"/>
                    <w:bottom w:val="none" w:sz="0" w:space="0" w:color="auto"/>
                    <w:right w:val="none" w:sz="0" w:space="0" w:color="auto"/>
                  </w:divBdr>
                  <w:divsChild>
                    <w:div w:id="1108433100">
                      <w:marLeft w:val="0"/>
                      <w:marRight w:val="0"/>
                      <w:marTop w:val="0"/>
                      <w:marBottom w:val="0"/>
                      <w:divBdr>
                        <w:top w:val="none" w:sz="0" w:space="0" w:color="auto"/>
                        <w:left w:val="none" w:sz="0" w:space="0" w:color="auto"/>
                        <w:bottom w:val="none" w:sz="0" w:space="0" w:color="auto"/>
                        <w:right w:val="none" w:sz="0" w:space="0" w:color="auto"/>
                      </w:divBdr>
                      <w:divsChild>
                        <w:div w:id="152524961">
                          <w:marLeft w:val="0"/>
                          <w:marRight w:val="0"/>
                          <w:marTop w:val="0"/>
                          <w:marBottom w:val="0"/>
                          <w:divBdr>
                            <w:top w:val="none" w:sz="0" w:space="0" w:color="auto"/>
                            <w:left w:val="none" w:sz="0" w:space="0" w:color="auto"/>
                            <w:bottom w:val="none" w:sz="0" w:space="0" w:color="auto"/>
                            <w:right w:val="none" w:sz="0" w:space="0" w:color="auto"/>
                          </w:divBdr>
                          <w:divsChild>
                            <w:div w:id="943344292">
                              <w:marLeft w:val="0"/>
                              <w:marRight w:val="0"/>
                              <w:marTop w:val="0"/>
                              <w:marBottom w:val="150"/>
                              <w:divBdr>
                                <w:top w:val="none" w:sz="0" w:space="0" w:color="auto"/>
                                <w:left w:val="none" w:sz="0" w:space="0" w:color="auto"/>
                                <w:bottom w:val="none" w:sz="0" w:space="0" w:color="auto"/>
                                <w:right w:val="none" w:sz="0" w:space="0" w:color="auto"/>
                              </w:divBdr>
                              <w:divsChild>
                                <w:div w:id="882593659">
                                  <w:marLeft w:val="0"/>
                                  <w:marRight w:val="0"/>
                                  <w:marTop w:val="0"/>
                                  <w:marBottom w:val="0"/>
                                  <w:divBdr>
                                    <w:top w:val="none" w:sz="0" w:space="0" w:color="auto"/>
                                    <w:left w:val="none" w:sz="0" w:space="0" w:color="auto"/>
                                    <w:bottom w:val="none" w:sz="0" w:space="0" w:color="auto"/>
                                    <w:right w:val="none" w:sz="0" w:space="0" w:color="auto"/>
                                  </w:divBdr>
                                  <w:divsChild>
                                    <w:div w:id="1276406492">
                                      <w:marLeft w:val="0"/>
                                      <w:marRight w:val="0"/>
                                      <w:marTop w:val="0"/>
                                      <w:marBottom w:val="0"/>
                                      <w:divBdr>
                                        <w:top w:val="none" w:sz="0" w:space="0" w:color="auto"/>
                                        <w:left w:val="none" w:sz="0" w:space="0" w:color="auto"/>
                                        <w:bottom w:val="none" w:sz="0" w:space="0" w:color="auto"/>
                                        <w:right w:val="none" w:sz="0" w:space="0" w:color="auto"/>
                                      </w:divBdr>
                                      <w:divsChild>
                                        <w:div w:id="247345431">
                                          <w:marLeft w:val="0"/>
                                          <w:marRight w:val="0"/>
                                          <w:marTop w:val="0"/>
                                          <w:marBottom w:val="0"/>
                                          <w:divBdr>
                                            <w:top w:val="none" w:sz="0" w:space="0" w:color="auto"/>
                                            <w:left w:val="none" w:sz="0" w:space="0" w:color="auto"/>
                                            <w:bottom w:val="none" w:sz="0" w:space="0" w:color="auto"/>
                                            <w:right w:val="none" w:sz="0" w:space="0" w:color="auto"/>
                                          </w:divBdr>
                                          <w:divsChild>
                                            <w:div w:id="500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5947">
      <w:bodyDiv w:val="1"/>
      <w:marLeft w:val="0"/>
      <w:marRight w:val="0"/>
      <w:marTop w:val="0"/>
      <w:marBottom w:val="0"/>
      <w:divBdr>
        <w:top w:val="none" w:sz="0" w:space="0" w:color="auto"/>
        <w:left w:val="none" w:sz="0" w:space="0" w:color="auto"/>
        <w:bottom w:val="none" w:sz="0" w:space="0" w:color="auto"/>
        <w:right w:val="none" w:sz="0" w:space="0" w:color="auto"/>
      </w:divBdr>
      <w:divsChild>
        <w:div w:id="1636643265">
          <w:marLeft w:val="0"/>
          <w:marRight w:val="0"/>
          <w:marTop w:val="0"/>
          <w:marBottom w:val="0"/>
          <w:divBdr>
            <w:top w:val="none" w:sz="0" w:space="0" w:color="auto"/>
            <w:left w:val="none" w:sz="0" w:space="0" w:color="auto"/>
            <w:bottom w:val="none" w:sz="0" w:space="0" w:color="auto"/>
            <w:right w:val="none" w:sz="0" w:space="0" w:color="auto"/>
          </w:divBdr>
          <w:divsChild>
            <w:div w:id="1218589522">
              <w:marLeft w:val="0"/>
              <w:marRight w:val="0"/>
              <w:marTop w:val="0"/>
              <w:marBottom w:val="0"/>
              <w:divBdr>
                <w:top w:val="none" w:sz="0" w:space="0" w:color="auto"/>
                <w:left w:val="none" w:sz="0" w:space="0" w:color="auto"/>
                <w:bottom w:val="none" w:sz="0" w:space="0" w:color="auto"/>
                <w:right w:val="none" w:sz="0" w:space="0" w:color="auto"/>
              </w:divBdr>
              <w:divsChild>
                <w:div w:id="1212888283">
                  <w:marLeft w:val="3150"/>
                  <w:marRight w:val="0"/>
                  <w:marTop w:val="0"/>
                  <w:marBottom w:val="0"/>
                  <w:divBdr>
                    <w:top w:val="none" w:sz="0" w:space="0" w:color="auto"/>
                    <w:left w:val="none" w:sz="0" w:space="0" w:color="auto"/>
                    <w:bottom w:val="none" w:sz="0" w:space="0" w:color="auto"/>
                    <w:right w:val="none" w:sz="0" w:space="0" w:color="auto"/>
                  </w:divBdr>
                  <w:divsChild>
                    <w:div w:id="1737505491">
                      <w:marLeft w:val="0"/>
                      <w:marRight w:val="0"/>
                      <w:marTop w:val="0"/>
                      <w:marBottom w:val="0"/>
                      <w:divBdr>
                        <w:top w:val="none" w:sz="0" w:space="0" w:color="auto"/>
                        <w:left w:val="none" w:sz="0" w:space="0" w:color="auto"/>
                        <w:bottom w:val="none" w:sz="0" w:space="0" w:color="auto"/>
                        <w:right w:val="none" w:sz="0" w:space="0" w:color="auto"/>
                      </w:divBdr>
                      <w:divsChild>
                        <w:div w:id="896817414">
                          <w:marLeft w:val="0"/>
                          <w:marRight w:val="0"/>
                          <w:marTop w:val="0"/>
                          <w:marBottom w:val="0"/>
                          <w:divBdr>
                            <w:top w:val="none" w:sz="0" w:space="0" w:color="auto"/>
                            <w:left w:val="none" w:sz="0" w:space="0" w:color="auto"/>
                            <w:bottom w:val="none" w:sz="0" w:space="0" w:color="auto"/>
                            <w:right w:val="none" w:sz="0" w:space="0" w:color="auto"/>
                          </w:divBdr>
                          <w:divsChild>
                            <w:div w:id="720062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19930">
      <w:bodyDiv w:val="1"/>
      <w:marLeft w:val="0"/>
      <w:marRight w:val="0"/>
      <w:marTop w:val="0"/>
      <w:marBottom w:val="0"/>
      <w:divBdr>
        <w:top w:val="none" w:sz="0" w:space="0" w:color="auto"/>
        <w:left w:val="none" w:sz="0" w:space="0" w:color="auto"/>
        <w:bottom w:val="none" w:sz="0" w:space="0" w:color="auto"/>
        <w:right w:val="none" w:sz="0" w:space="0" w:color="auto"/>
      </w:divBdr>
    </w:div>
    <w:div w:id="1178428881">
      <w:bodyDiv w:val="1"/>
      <w:marLeft w:val="0"/>
      <w:marRight w:val="0"/>
      <w:marTop w:val="0"/>
      <w:marBottom w:val="0"/>
      <w:divBdr>
        <w:top w:val="none" w:sz="0" w:space="0" w:color="auto"/>
        <w:left w:val="none" w:sz="0" w:space="0" w:color="auto"/>
        <w:bottom w:val="none" w:sz="0" w:space="0" w:color="auto"/>
        <w:right w:val="none" w:sz="0" w:space="0" w:color="auto"/>
      </w:divBdr>
    </w:div>
    <w:div w:id="1231693703">
      <w:bodyDiv w:val="1"/>
      <w:marLeft w:val="0"/>
      <w:marRight w:val="0"/>
      <w:marTop w:val="0"/>
      <w:marBottom w:val="0"/>
      <w:divBdr>
        <w:top w:val="none" w:sz="0" w:space="0" w:color="auto"/>
        <w:left w:val="none" w:sz="0" w:space="0" w:color="auto"/>
        <w:bottom w:val="none" w:sz="0" w:space="0" w:color="auto"/>
        <w:right w:val="none" w:sz="0" w:space="0" w:color="auto"/>
      </w:divBdr>
    </w:div>
    <w:div w:id="1269460802">
      <w:bodyDiv w:val="1"/>
      <w:marLeft w:val="0"/>
      <w:marRight w:val="0"/>
      <w:marTop w:val="0"/>
      <w:marBottom w:val="0"/>
      <w:divBdr>
        <w:top w:val="none" w:sz="0" w:space="0" w:color="auto"/>
        <w:left w:val="none" w:sz="0" w:space="0" w:color="auto"/>
        <w:bottom w:val="none" w:sz="0" w:space="0" w:color="auto"/>
        <w:right w:val="none" w:sz="0" w:space="0" w:color="auto"/>
      </w:divBdr>
    </w:div>
    <w:div w:id="1301686254">
      <w:bodyDiv w:val="1"/>
      <w:marLeft w:val="0"/>
      <w:marRight w:val="0"/>
      <w:marTop w:val="0"/>
      <w:marBottom w:val="0"/>
      <w:divBdr>
        <w:top w:val="none" w:sz="0" w:space="0" w:color="auto"/>
        <w:left w:val="none" w:sz="0" w:space="0" w:color="auto"/>
        <w:bottom w:val="none" w:sz="0" w:space="0" w:color="auto"/>
        <w:right w:val="none" w:sz="0" w:space="0" w:color="auto"/>
      </w:divBdr>
    </w:div>
    <w:div w:id="1339192378">
      <w:bodyDiv w:val="1"/>
      <w:marLeft w:val="0"/>
      <w:marRight w:val="0"/>
      <w:marTop w:val="0"/>
      <w:marBottom w:val="0"/>
      <w:divBdr>
        <w:top w:val="none" w:sz="0" w:space="0" w:color="auto"/>
        <w:left w:val="none" w:sz="0" w:space="0" w:color="auto"/>
        <w:bottom w:val="none" w:sz="0" w:space="0" w:color="auto"/>
        <w:right w:val="none" w:sz="0" w:space="0" w:color="auto"/>
      </w:divBdr>
    </w:div>
    <w:div w:id="1439791995">
      <w:bodyDiv w:val="1"/>
      <w:marLeft w:val="0"/>
      <w:marRight w:val="0"/>
      <w:marTop w:val="0"/>
      <w:marBottom w:val="0"/>
      <w:divBdr>
        <w:top w:val="none" w:sz="0" w:space="0" w:color="auto"/>
        <w:left w:val="none" w:sz="0" w:space="0" w:color="auto"/>
        <w:bottom w:val="none" w:sz="0" w:space="0" w:color="auto"/>
        <w:right w:val="none" w:sz="0" w:space="0" w:color="auto"/>
      </w:divBdr>
    </w:div>
    <w:div w:id="1531335096">
      <w:bodyDiv w:val="1"/>
      <w:marLeft w:val="0"/>
      <w:marRight w:val="0"/>
      <w:marTop w:val="0"/>
      <w:marBottom w:val="0"/>
      <w:divBdr>
        <w:top w:val="none" w:sz="0" w:space="0" w:color="auto"/>
        <w:left w:val="none" w:sz="0" w:space="0" w:color="auto"/>
        <w:bottom w:val="none" w:sz="0" w:space="0" w:color="auto"/>
        <w:right w:val="none" w:sz="0" w:space="0" w:color="auto"/>
      </w:divBdr>
    </w:div>
    <w:div w:id="1536384169">
      <w:bodyDiv w:val="1"/>
      <w:marLeft w:val="0"/>
      <w:marRight w:val="0"/>
      <w:marTop w:val="0"/>
      <w:marBottom w:val="0"/>
      <w:divBdr>
        <w:top w:val="none" w:sz="0" w:space="0" w:color="auto"/>
        <w:left w:val="none" w:sz="0" w:space="0" w:color="auto"/>
        <w:bottom w:val="none" w:sz="0" w:space="0" w:color="auto"/>
        <w:right w:val="none" w:sz="0" w:space="0" w:color="auto"/>
      </w:divBdr>
    </w:div>
    <w:div w:id="1592541505">
      <w:bodyDiv w:val="1"/>
      <w:marLeft w:val="0"/>
      <w:marRight w:val="0"/>
      <w:marTop w:val="0"/>
      <w:marBottom w:val="0"/>
      <w:divBdr>
        <w:top w:val="none" w:sz="0" w:space="0" w:color="auto"/>
        <w:left w:val="none" w:sz="0" w:space="0" w:color="auto"/>
        <w:bottom w:val="none" w:sz="0" w:space="0" w:color="auto"/>
        <w:right w:val="none" w:sz="0" w:space="0" w:color="auto"/>
      </w:divBdr>
    </w:div>
    <w:div w:id="1606384097">
      <w:bodyDiv w:val="1"/>
      <w:marLeft w:val="0"/>
      <w:marRight w:val="0"/>
      <w:marTop w:val="0"/>
      <w:marBottom w:val="0"/>
      <w:divBdr>
        <w:top w:val="none" w:sz="0" w:space="0" w:color="auto"/>
        <w:left w:val="none" w:sz="0" w:space="0" w:color="auto"/>
        <w:bottom w:val="none" w:sz="0" w:space="0" w:color="auto"/>
        <w:right w:val="none" w:sz="0" w:space="0" w:color="auto"/>
      </w:divBdr>
    </w:div>
    <w:div w:id="1677883731">
      <w:bodyDiv w:val="1"/>
      <w:marLeft w:val="0"/>
      <w:marRight w:val="0"/>
      <w:marTop w:val="0"/>
      <w:marBottom w:val="0"/>
      <w:divBdr>
        <w:top w:val="none" w:sz="0" w:space="0" w:color="auto"/>
        <w:left w:val="none" w:sz="0" w:space="0" w:color="auto"/>
        <w:bottom w:val="none" w:sz="0" w:space="0" w:color="auto"/>
        <w:right w:val="none" w:sz="0" w:space="0" w:color="auto"/>
      </w:divBdr>
    </w:div>
    <w:div w:id="1695811199">
      <w:bodyDiv w:val="1"/>
      <w:marLeft w:val="0"/>
      <w:marRight w:val="0"/>
      <w:marTop w:val="0"/>
      <w:marBottom w:val="0"/>
      <w:divBdr>
        <w:top w:val="none" w:sz="0" w:space="0" w:color="auto"/>
        <w:left w:val="none" w:sz="0" w:space="0" w:color="auto"/>
        <w:bottom w:val="none" w:sz="0" w:space="0" w:color="auto"/>
        <w:right w:val="none" w:sz="0" w:space="0" w:color="auto"/>
      </w:divBdr>
    </w:div>
    <w:div w:id="1726832006">
      <w:bodyDiv w:val="1"/>
      <w:marLeft w:val="0"/>
      <w:marRight w:val="0"/>
      <w:marTop w:val="0"/>
      <w:marBottom w:val="0"/>
      <w:divBdr>
        <w:top w:val="none" w:sz="0" w:space="0" w:color="auto"/>
        <w:left w:val="none" w:sz="0" w:space="0" w:color="auto"/>
        <w:bottom w:val="none" w:sz="0" w:space="0" w:color="auto"/>
        <w:right w:val="none" w:sz="0" w:space="0" w:color="auto"/>
      </w:divBdr>
    </w:div>
    <w:div w:id="1782872009">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1976792708">
      <w:bodyDiv w:val="1"/>
      <w:marLeft w:val="0"/>
      <w:marRight w:val="0"/>
      <w:marTop w:val="0"/>
      <w:marBottom w:val="0"/>
      <w:divBdr>
        <w:top w:val="none" w:sz="0" w:space="0" w:color="auto"/>
        <w:left w:val="none" w:sz="0" w:space="0" w:color="auto"/>
        <w:bottom w:val="none" w:sz="0" w:space="0" w:color="auto"/>
        <w:right w:val="none" w:sz="0" w:space="0" w:color="auto"/>
      </w:divBdr>
      <w:divsChild>
        <w:div w:id="1714453249">
          <w:marLeft w:val="0"/>
          <w:marRight w:val="0"/>
          <w:marTop w:val="0"/>
          <w:marBottom w:val="0"/>
          <w:divBdr>
            <w:top w:val="none" w:sz="0" w:space="0" w:color="auto"/>
            <w:left w:val="none" w:sz="0" w:space="0" w:color="auto"/>
            <w:bottom w:val="none" w:sz="0" w:space="0" w:color="auto"/>
            <w:right w:val="none" w:sz="0" w:space="0" w:color="auto"/>
          </w:divBdr>
          <w:divsChild>
            <w:div w:id="1501774685">
              <w:marLeft w:val="0"/>
              <w:marRight w:val="0"/>
              <w:marTop w:val="0"/>
              <w:marBottom w:val="0"/>
              <w:divBdr>
                <w:top w:val="none" w:sz="0" w:space="0" w:color="auto"/>
                <w:left w:val="none" w:sz="0" w:space="0" w:color="auto"/>
                <w:bottom w:val="none" w:sz="0" w:space="0" w:color="auto"/>
                <w:right w:val="none" w:sz="0" w:space="0" w:color="auto"/>
              </w:divBdr>
              <w:divsChild>
                <w:div w:id="1989355622">
                  <w:marLeft w:val="0"/>
                  <w:marRight w:val="0"/>
                  <w:marTop w:val="0"/>
                  <w:marBottom w:val="0"/>
                  <w:divBdr>
                    <w:top w:val="none" w:sz="0" w:space="0" w:color="auto"/>
                    <w:left w:val="none" w:sz="0" w:space="0" w:color="auto"/>
                    <w:bottom w:val="none" w:sz="0" w:space="0" w:color="auto"/>
                    <w:right w:val="none" w:sz="0" w:space="0" w:color="auto"/>
                  </w:divBdr>
                  <w:divsChild>
                    <w:div w:id="2009404510">
                      <w:marLeft w:val="0"/>
                      <w:marRight w:val="0"/>
                      <w:marTop w:val="0"/>
                      <w:marBottom w:val="0"/>
                      <w:divBdr>
                        <w:top w:val="none" w:sz="0" w:space="0" w:color="auto"/>
                        <w:left w:val="none" w:sz="0" w:space="0" w:color="auto"/>
                        <w:bottom w:val="none" w:sz="0" w:space="0" w:color="auto"/>
                        <w:right w:val="none" w:sz="0" w:space="0" w:color="auto"/>
                      </w:divBdr>
                      <w:divsChild>
                        <w:div w:id="481235092">
                          <w:marLeft w:val="0"/>
                          <w:marRight w:val="0"/>
                          <w:marTop w:val="0"/>
                          <w:marBottom w:val="0"/>
                          <w:divBdr>
                            <w:top w:val="none" w:sz="0" w:space="0" w:color="auto"/>
                            <w:left w:val="none" w:sz="0" w:space="0" w:color="auto"/>
                            <w:bottom w:val="none" w:sz="0" w:space="0" w:color="auto"/>
                            <w:right w:val="none" w:sz="0" w:space="0" w:color="auto"/>
                          </w:divBdr>
                          <w:divsChild>
                            <w:div w:id="2113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930712">
      <w:bodyDiv w:val="1"/>
      <w:marLeft w:val="0"/>
      <w:marRight w:val="0"/>
      <w:marTop w:val="0"/>
      <w:marBottom w:val="0"/>
      <w:divBdr>
        <w:top w:val="none" w:sz="0" w:space="0" w:color="auto"/>
        <w:left w:val="none" w:sz="0" w:space="0" w:color="auto"/>
        <w:bottom w:val="none" w:sz="0" w:space="0" w:color="auto"/>
        <w:right w:val="none" w:sz="0" w:space="0" w:color="auto"/>
      </w:divBdr>
    </w:div>
    <w:div w:id="2005038684">
      <w:bodyDiv w:val="1"/>
      <w:marLeft w:val="0"/>
      <w:marRight w:val="0"/>
      <w:marTop w:val="0"/>
      <w:marBottom w:val="0"/>
      <w:divBdr>
        <w:top w:val="none" w:sz="0" w:space="0" w:color="auto"/>
        <w:left w:val="none" w:sz="0" w:space="0" w:color="auto"/>
        <w:bottom w:val="none" w:sz="0" w:space="0" w:color="auto"/>
        <w:right w:val="none" w:sz="0" w:space="0" w:color="auto"/>
      </w:divBdr>
    </w:div>
    <w:div w:id="20216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Dokumentiem%20tukss.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01\users$\Baiba.Konecnija\Desktop\10.10.16.%20informat&#299;vajam%20zi&#326;ojumam\Gr&#257;mata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01\users$\Baiba.Konecnija\Desktop\10.10.16.%20informat&#299;vajam%20zi&#326;ojumam\Gr&#257;mata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s-01\users$\Baiba.Konecnija\Desktop\10.10.16.%20informat&#299;vajam%20zi&#326;ojumam\Gr&#257;mata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s-01\users$\Baiba.Konecnija\Desktop\10.10.16.%20informat&#299;vajam%20zi&#326;ojumam\Gr&#257;mata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78986329591285"/>
          <c:y val="7.077977720651242E-2"/>
          <c:w val="0.76116905564188064"/>
          <c:h val="0.71092269148174658"/>
        </c:manualLayout>
      </c:layout>
      <c:areaChart>
        <c:grouping val="stacked"/>
        <c:varyColors val="0"/>
        <c:ser>
          <c:idx val="0"/>
          <c:order val="0"/>
          <c:tx>
            <c:strRef>
              <c:f>Lapa1!$B$62</c:f>
              <c:strCache>
                <c:ptCount val="1"/>
                <c:pt idx="0">
                  <c:v>Ziemas kvieši </c:v>
                </c:pt>
              </c:strCache>
            </c:strRef>
          </c:tx>
          <c:spPr>
            <a:solidFill>
              <a:schemeClr val="accent4">
                <a:lumMod val="60000"/>
                <a:lumOff val="40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Lapa1!$C$61:$I$61</c:f>
              <c:strCache>
                <c:ptCount val="7"/>
                <c:pt idx="0">
                  <c:v>2010</c:v>
                </c:pt>
                <c:pt idx="1">
                  <c:v>2011</c:v>
                </c:pt>
                <c:pt idx="2">
                  <c:v>2012</c:v>
                </c:pt>
                <c:pt idx="3">
                  <c:v>2013</c:v>
                </c:pt>
                <c:pt idx="4">
                  <c:v>2014</c:v>
                </c:pt>
                <c:pt idx="5">
                  <c:v>2015</c:v>
                </c:pt>
                <c:pt idx="6">
                  <c:v>2016 (p)</c:v>
                </c:pt>
              </c:strCache>
            </c:strRef>
          </c:cat>
          <c:val>
            <c:numRef>
              <c:f>Lapa1!$C$62:$I$62</c:f>
              <c:numCache>
                <c:formatCode>0.0</c:formatCode>
                <c:ptCount val="7"/>
                <c:pt idx="0">
                  <c:v>790.3</c:v>
                </c:pt>
                <c:pt idx="1">
                  <c:v>618.77200000000005</c:v>
                </c:pt>
                <c:pt idx="2">
                  <c:v>1221.4000000000001</c:v>
                </c:pt>
                <c:pt idx="3">
                  <c:v>1065.0999999999999</c:v>
                </c:pt>
                <c:pt idx="4">
                  <c:v>525.59299999999996</c:v>
                </c:pt>
                <c:pt idx="5">
                  <c:v>1605.7</c:v>
                </c:pt>
                <c:pt idx="6">
                  <c:v>1352.1799999999998</c:v>
                </c:pt>
              </c:numCache>
            </c:numRef>
          </c:val>
          <c:extLst xmlns:c16r2="http://schemas.microsoft.com/office/drawing/2015/06/chart">
            <c:ext xmlns:c16="http://schemas.microsoft.com/office/drawing/2014/chart" uri="{C3380CC4-5D6E-409C-BE32-E72D297353CC}">
              <c16:uniqueId val="{00000000-BD37-4C84-A6C7-B565F9A4DD7E}"/>
            </c:ext>
          </c:extLst>
        </c:ser>
        <c:ser>
          <c:idx val="1"/>
          <c:order val="1"/>
          <c:tx>
            <c:strRef>
              <c:f>Lapa1!$B$63</c:f>
              <c:strCache>
                <c:ptCount val="1"/>
                <c:pt idx="0">
                  <c:v>Vasaras kvieši </c:v>
                </c:pt>
              </c:strCache>
            </c:strRef>
          </c:tx>
          <c:spPr>
            <a:solidFill>
              <a:schemeClr val="accent6">
                <a:lumMod val="40000"/>
                <a:lumOff val="60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Lapa1!$C$61:$I$61</c:f>
              <c:strCache>
                <c:ptCount val="7"/>
                <c:pt idx="0">
                  <c:v>2010</c:v>
                </c:pt>
                <c:pt idx="1">
                  <c:v>2011</c:v>
                </c:pt>
                <c:pt idx="2">
                  <c:v>2012</c:v>
                </c:pt>
                <c:pt idx="3">
                  <c:v>2013</c:v>
                </c:pt>
                <c:pt idx="4">
                  <c:v>2014</c:v>
                </c:pt>
                <c:pt idx="5">
                  <c:v>2015</c:v>
                </c:pt>
                <c:pt idx="6">
                  <c:v>2016 (p)</c:v>
                </c:pt>
              </c:strCache>
            </c:strRef>
          </c:cat>
          <c:val>
            <c:numRef>
              <c:f>Lapa1!$C$63:$I$63</c:f>
              <c:numCache>
                <c:formatCode>0.0</c:formatCode>
                <c:ptCount val="7"/>
                <c:pt idx="0">
                  <c:v>198.774</c:v>
                </c:pt>
                <c:pt idx="1">
                  <c:v>320.16000000000003</c:v>
                </c:pt>
                <c:pt idx="2">
                  <c:v>318.39999999999998</c:v>
                </c:pt>
                <c:pt idx="3">
                  <c:v>369.9</c:v>
                </c:pt>
                <c:pt idx="4">
                  <c:v>941.89700000000005</c:v>
                </c:pt>
                <c:pt idx="5">
                  <c:v>644.4</c:v>
                </c:pt>
                <c:pt idx="6">
                  <c:v>532.31762639999999</c:v>
                </c:pt>
              </c:numCache>
            </c:numRef>
          </c:val>
          <c:extLst xmlns:c16r2="http://schemas.microsoft.com/office/drawing/2015/06/chart">
            <c:ext xmlns:c16="http://schemas.microsoft.com/office/drawing/2014/chart" uri="{C3380CC4-5D6E-409C-BE32-E72D297353CC}">
              <c16:uniqueId val="{00000001-BD37-4C84-A6C7-B565F9A4DD7E}"/>
            </c:ext>
          </c:extLst>
        </c:ser>
        <c:ser>
          <c:idx val="2"/>
          <c:order val="2"/>
          <c:tx>
            <c:strRef>
              <c:f>Lapa1!$B$64</c:f>
              <c:strCache>
                <c:ptCount val="1"/>
                <c:pt idx="0">
                  <c:v>Mieži</c:v>
                </c:pt>
              </c:strCache>
            </c:strRef>
          </c:tx>
          <c:spPr>
            <a:solidFill>
              <a:schemeClr val="accent5">
                <a:lumMod val="40000"/>
                <a:lumOff val="60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Lapa1!$C$61:$I$61</c:f>
              <c:strCache>
                <c:ptCount val="7"/>
                <c:pt idx="0">
                  <c:v>2010</c:v>
                </c:pt>
                <c:pt idx="1">
                  <c:v>2011</c:v>
                </c:pt>
                <c:pt idx="2">
                  <c:v>2012</c:v>
                </c:pt>
                <c:pt idx="3">
                  <c:v>2013</c:v>
                </c:pt>
                <c:pt idx="4">
                  <c:v>2014</c:v>
                </c:pt>
                <c:pt idx="5">
                  <c:v>2015</c:v>
                </c:pt>
                <c:pt idx="6">
                  <c:v>2016 (p)</c:v>
                </c:pt>
              </c:strCache>
            </c:strRef>
          </c:cat>
          <c:val>
            <c:numRef>
              <c:f>Lapa1!$C$64:$I$64</c:f>
              <c:numCache>
                <c:formatCode>0.0</c:formatCode>
                <c:ptCount val="7"/>
                <c:pt idx="0">
                  <c:v>228.374</c:v>
                </c:pt>
                <c:pt idx="1">
                  <c:v>236.75763000000003</c:v>
                </c:pt>
                <c:pt idx="2">
                  <c:v>248.6</c:v>
                </c:pt>
                <c:pt idx="3">
                  <c:v>258.60000000000002</c:v>
                </c:pt>
                <c:pt idx="4">
                  <c:v>418.85499999999996</c:v>
                </c:pt>
                <c:pt idx="5">
                  <c:v>385.09999999999997</c:v>
                </c:pt>
                <c:pt idx="6">
                  <c:v>282.93</c:v>
                </c:pt>
              </c:numCache>
            </c:numRef>
          </c:val>
          <c:extLst xmlns:c16r2="http://schemas.microsoft.com/office/drawing/2015/06/chart">
            <c:ext xmlns:c16="http://schemas.microsoft.com/office/drawing/2014/chart" uri="{C3380CC4-5D6E-409C-BE32-E72D297353CC}">
              <c16:uniqueId val="{00000002-BD37-4C84-A6C7-B565F9A4DD7E}"/>
            </c:ext>
          </c:extLst>
        </c:ser>
        <c:ser>
          <c:idx val="3"/>
          <c:order val="3"/>
          <c:tx>
            <c:strRef>
              <c:f>Lapa1!$B$65</c:f>
              <c:strCache>
                <c:ptCount val="1"/>
                <c:pt idx="0">
                  <c:v>Rudzi</c:v>
                </c:pt>
              </c:strCache>
            </c:strRef>
          </c:tx>
          <c:spPr>
            <a:solidFill>
              <a:schemeClr val="accent2">
                <a:lumMod val="60000"/>
                <a:lumOff val="40000"/>
              </a:schemeClr>
            </a:solidFill>
            <a:ln>
              <a:noFill/>
            </a:ln>
            <a:effectLst/>
          </c:spPr>
          <c:dLbls>
            <c:dLbl>
              <c:idx val="1"/>
              <c:layout>
                <c:manualLayout>
                  <c:x val="0"/>
                  <c:y val="3.42759211653806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37-4C84-A6C7-B565F9A4DD7E}"/>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Lapa1!$C$61:$I$61</c:f>
              <c:strCache>
                <c:ptCount val="7"/>
                <c:pt idx="0">
                  <c:v>2010</c:v>
                </c:pt>
                <c:pt idx="1">
                  <c:v>2011</c:v>
                </c:pt>
                <c:pt idx="2">
                  <c:v>2012</c:v>
                </c:pt>
                <c:pt idx="3">
                  <c:v>2013</c:v>
                </c:pt>
                <c:pt idx="4">
                  <c:v>2014</c:v>
                </c:pt>
                <c:pt idx="5">
                  <c:v>2015</c:v>
                </c:pt>
                <c:pt idx="6">
                  <c:v>2016 (p)</c:v>
                </c:pt>
              </c:strCache>
            </c:strRef>
          </c:cat>
          <c:val>
            <c:numRef>
              <c:f>Lapa1!$C$65:$I$65</c:f>
              <c:numCache>
                <c:formatCode>0.0</c:formatCode>
                <c:ptCount val="7"/>
                <c:pt idx="0">
                  <c:v>70.238000000000014</c:v>
                </c:pt>
                <c:pt idx="1">
                  <c:v>64.183999999999997</c:v>
                </c:pt>
                <c:pt idx="2">
                  <c:v>124.2</c:v>
                </c:pt>
                <c:pt idx="3">
                  <c:v>75.599999999999994</c:v>
                </c:pt>
                <c:pt idx="4">
                  <c:v>114.27800000000001</c:v>
                </c:pt>
                <c:pt idx="5">
                  <c:v>159.6</c:v>
                </c:pt>
                <c:pt idx="6">
                  <c:v>126.84456749999998</c:v>
                </c:pt>
              </c:numCache>
            </c:numRef>
          </c:val>
          <c:extLst xmlns:c16r2="http://schemas.microsoft.com/office/drawing/2015/06/chart">
            <c:ext xmlns:c16="http://schemas.microsoft.com/office/drawing/2014/chart" uri="{C3380CC4-5D6E-409C-BE32-E72D297353CC}">
              <c16:uniqueId val="{00000004-BD37-4C84-A6C7-B565F9A4DD7E}"/>
            </c:ext>
          </c:extLst>
        </c:ser>
        <c:ser>
          <c:idx val="4"/>
          <c:order val="4"/>
          <c:tx>
            <c:strRef>
              <c:f>Lapa1!$B$66</c:f>
              <c:strCache>
                <c:ptCount val="1"/>
                <c:pt idx="0">
                  <c:v>Auzas</c:v>
                </c:pt>
              </c:strCache>
            </c:strRef>
          </c:tx>
          <c:spPr>
            <a:solidFill>
              <a:srgbClr val="FFCCFF"/>
            </a:solidFill>
            <a:ln>
              <a:noFill/>
            </a:ln>
            <a:effectLst/>
          </c:spPr>
          <c:dLbls>
            <c:dLbl>
              <c:idx val="0"/>
              <c:layout>
                <c:manualLayout>
                  <c:x val="-1.5790802366536426E-17"/>
                  <c:y val="-3.42759211653819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37-4C84-A6C7-B565F9A4DD7E}"/>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Lapa1!$C$61:$I$61</c:f>
              <c:strCache>
                <c:ptCount val="7"/>
                <c:pt idx="0">
                  <c:v>2010</c:v>
                </c:pt>
                <c:pt idx="1">
                  <c:v>2011</c:v>
                </c:pt>
                <c:pt idx="2">
                  <c:v>2012</c:v>
                </c:pt>
                <c:pt idx="3">
                  <c:v>2013</c:v>
                </c:pt>
                <c:pt idx="4">
                  <c:v>2014</c:v>
                </c:pt>
                <c:pt idx="5">
                  <c:v>2015</c:v>
                </c:pt>
                <c:pt idx="6">
                  <c:v>2016 (p)</c:v>
                </c:pt>
              </c:strCache>
            </c:strRef>
          </c:cat>
          <c:val>
            <c:numRef>
              <c:f>Lapa1!$C$66:$I$66</c:f>
              <c:numCache>
                <c:formatCode>0.0</c:formatCode>
                <c:ptCount val="7"/>
                <c:pt idx="0">
                  <c:v>100.64700000000001</c:v>
                </c:pt>
                <c:pt idx="1">
                  <c:v>120.97199999999998</c:v>
                </c:pt>
                <c:pt idx="2">
                  <c:v>137</c:v>
                </c:pt>
                <c:pt idx="3">
                  <c:v>134.19999999999999</c:v>
                </c:pt>
                <c:pt idx="4">
                  <c:v>155.096</c:v>
                </c:pt>
                <c:pt idx="5">
                  <c:v>160.4</c:v>
                </c:pt>
                <c:pt idx="6">
                  <c:v>150.489</c:v>
                </c:pt>
              </c:numCache>
            </c:numRef>
          </c:val>
          <c:extLst xmlns:c16r2="http://schemas.microsoft.com/office/drawing/2015/06/chart">
            <c:ext xmlns:c16="http://schemas.microsoft.com/office/drawing/2014/chart" uri="{C3380CC4-5D6E-409C-BE32-E72D297353CC}">
              <c16:uniqueId val="{00000006-BD37-4C84-A6C7-B565F9A4DD7E}"/>
            </c:ext>
          </c:extLst>
        </c:ser>
        <c:ser>
          <c:idx val="5"/>
          <c:order val="5"/>
          <c:tx>
            <c:strRef>
              <c:f>Lapa1!$B$67</c:f>
              <c:strCache>
                <c:ptCount val="1"/>
                <c:pt idx="0">
                  <c:v>Citi</c:v>
                </c:pt>
              </c:strCache>
            </c:strRef>
          </c:tx>
          <c:spPr>
            <a:solidFill>
              <a:schemeClr val="bg1">
                <a:lumMod val="85000"/>
              </a:schemeClr>
            </a:solidFill>
            <a:ln>
              <a:noFill/>
            </a:ln>
            <a:effectLst/>
          </c:spPr>
          <c:dLbls>
            <c:dLbl>
              <c:idx val="0"/>
              <c:layout>
                <c:manualLayout>
                  <c:x val="0"/>
                  <c:y val="-1.02827763496144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37-4C84-A6C7-B565F9A4DD7E}"/>
                </c:ext>
                <c:ext xmlns:c15="http://schemas.microsoft.com/office/drawing/2012/chart" uri="{CE6537A1-D6FC-4f65-9D91-7224C49458BB}">
                  <c15:layout/>
                </c:ext>
              </c:extLst>
            </c:dLbl>
            <c:dLbl>
              <c:idx val="1"/>
              <c:layout>
                <c:manualLayout>
                  <c:x val="0"/>
                  <c:y val="-3.42759211653819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37-4C84-A6C7-B565F9A4DD7E}"/>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Lapa1!$C$61:$I$61</c:f>
              <c:strCache>
                <c:ptCount val="7"/>
                <c:pt idx="0">
                  <c:v>2010</c:v>
                </c:pt>
                <c:pt idx="1">
                  <c:v>2011</c:v>
                </c:pt>
                <c:pt idx="2">
                  <c:v>2012</c:v>
                </c:pt>
                <c:pt idx="3">
                  <c:v>2013</c:v>
                </c:pt>
                <c:pt idx="4">
                  <c:v>2014</c:v>
                </c:pt>
                <c:pt idx="5">
                  <c:v>2015</c:v>
                </c:pt>
                <c:pt idx="6">
                  <c:v>2016 (p)</c:v>
                </c:pt>
              </c:strCache>
            </c:strRef>
          </c:cat>
          <c:val>
            <c:numRef>
              <c:f>Lapa1!$C$67:$I$67</c:f>
              <c:numCache>
                <c:formatCode>0.0</c:formatCode>
                <c:ptCount val="7"/>
                <c:pt idx="0">
                  <c:v>47.172999999999874</c:v>
                </c:pt>
                <c:pt idx="1">
                  <c:v>50.690159999999821</c:v>
                </c:pt>
                <c:pt idx="2">
                  <c:v>74.899999999999466</c:v>
                </c:pt>
                <c:pt idx="3">
                  <c:v>44.989999999999981</c:v>
                </c:pt>
                <c:pt idx="4">
                  <c:v>61.484000000000094</c:v>
                </c:pt>
                <c:pt idx="5">
                  <c:v>66.300000000000011</c:v>
                </c:pt>
                <c:pt idx="6">
                  <c:v>64.544501320000137</c:v>
                </c:pt>
              </c:numCache>
            </c:numRef>
          </c:val>
          <c:extLst xmlns:c16r2="http://schemas.microsoft.com/office/drawing/2015/06/chart">
            <c:ext xmlns:c16="http://schemas.microsoft.com/office/drawing/2014/chart" uri="{C3380CC4-5D6E-409C-BE32-E72D297353CC}">
              <c16:uniqueId val="{00000009-BD37-4C84-A6C7-B565F9A4DD7E}"/>
            </c:ext>
          </c:extLst>
        </c:ser>
        <c:dLbls>
          <c:showLegendKey val="0"/>
          <c:showVal val="0"/>
          <c:showCatName val="0"/>
          <c:showSerName val="0"/>
          <c:showPercent val="0"/>
          <c:showBubbleSize val="0"/>
        </c:dLbls>
        <c:axId val="295840944"/>
        <c:axId val="295845256"/>
      </c:areaChart>
      <c:lineChart>
        <c:grouping val="standard"/>
        <c:varyColors val="0"/>
        <c:ser>
          <c:idx val="6"/>
          <c:order val="6"/>
          <c:tx>
            <c:strRef>
              <c:f>Lapa1!$B$68</c:f>
              <c:strCache>
                <c:ptCount val="1"/>
                <c:pt idx="0">
                  <c:v>Kopā</c:v>
                </c:pt>
              </c:strCache>
            </c:strRef>
          </c:tx>
          <c:spPr>
            <a:ln w="28575" cap="rnd">
              <a:noFill/>
              <a:round/>
            </a:ln>
            <a:effectLst/>
          </c:spPr>
          <c:marker>
            <c:symbol val="circle"/>
            <c:size val="6"/>
            <c:spPr>
              <a:solidFill>
                <a:schemeClr val="accent2">
                  <a:lumMod val="60000"/>
                  <a:lumOff val="40000"/>
                </a:schemeClr>
              </a:solidFill>
              <a:ln w="9525">
                <a:solidFill>
                  <a:schemeClr val="accent1">
                    <a:lumMod val="60000"/>
                  </a:schemeClr>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Lapa1!$C$61:$I$61</c:f>
              <c:strCache>
                <c:ptCount val="7"/>
                <c:pt idx="0">
                  <c:v>2010</c:v>
                </c:pt>
                <c:pt idx="1">
                  <c:v>2011</c:v>
                </c:pt>
                <c:pt idx="2">
                  <c:v>2012</c:v>
                </c:pt>
                <c:pt idx="3">
                  <c:v>2013</c:v>
                </c:pt>
                <c:pt idx="4">
                  <c:v>2014</c:v>
                </c:pt>
                <c:pt idx="5">
                  <c:v>2015</c:v>
                </c:pt>
                <c:pt idx="6">
                  <c:v>2016 (p)</c:v>
                </c:pt>
              </c:strCache>
            </c:strRef>
          </c:cat>
          <c:val>
            <c:numRef>
              <c:f>Lapa1!$C$68:$I$68</c:f>
              <c:numCache>
                <c:formatCode>0.0</c:formatCode>
                <c:ptCount val="7"/>
                <c:pt idx="0">
                  <c:v>1435.5059999999999</c:v>
                </c:pt>
                <c:pt idx="1">
                  <c:v>1411.5357899999999</c:v>
                </c:pt>
                <c:pt idx="2">
                  <c:v>2124.4999999999995</c:v>
                </c:pt>
                <c:pt idx="3">
                  <c:v>1948.3899999999999</c:v>
                </c:pt>
                <c:pt idx="4">
                  <c:v>2217.203</c:v>
                </c:pt>
                <c:pt idx="5">
                  <c:v>3021.5</c:v>
                </c:pt>
                <c:pt idx="6">
                  <c:v>2509.30569522</c:v>
                </c:pt>
              </c:numCache>
            </c:numRef>
          </c:val>
          <c:smooth val="0"/>
          <c:extLst xmlns:c16r2="http://schemas.microsoft.com/office/drawing/2015/06/chart">
            <c:ext xmlns:c16="http://schemas.microsoft.com/office/drawing/2014/chart" uri="{C3380CC4-5D6E-409C-BE32-E72D297353CC}">
              <c16:uniqueId val="{0000000A-BD37-4C84-A6C7-B565F9A4DD7E}"/>
            </c:ext>
          </c:extLst>
        </c:ser>
        <c:dLbls>
          <c:showLegendKey val="0"/>
          <c:showVal val="0"/>
          <c:showCatName val="0"/>
          <c:showSerName val="0"/>
          <c:showPercent val="0"/>
          <c:showBubbleSize val="0"/>
        </c:dLbls>
        <c:marker val="1"/>
        <c:smooth val="0"/>
        <c:axId val="236257208"/>
        <c:axId val="295846040"/>
      </c:lineChart>
      <c:catAx>
        <c:axId val="2958409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95845256"/>
        <c:crosses val="autoZero"/>
        <c:auto val="1"/>
        <c:lblAlgn val="ctr"/>
        <c:lblOffset val="100"/>
        <c:noMultiLvlLbl val="0"/>
      </c:catAx>
      <c:valAx>
        <c:axId val="295845256"/>
        <c:scaling>
          <c:orientation val="minMax"/>
          <c:max val="3100"/>
          <c:min val="0"/>
        </c:scaling>
        <c:delete val="0"/>
        <c:axPos val="l"/>
        <c:title>
          <c:tx>
            <c:rich>
              <a:bodyPr rot="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Tūkst. t</a:t>
                </a:r>
              </a:p>
            </c:rich>
          </c:tx>
          <c:layout>
            <c:manualLayout>
              <c:xMode val="edge"/>
              <c:yMode val="edge"/>
              <c:x val="0.11906384761771741"/>
              <c:y val="1.8928865157707257E-3"/>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95840944"/>
        <c:crosses val="autoZero"/>
        <c:crossBetween val="between"/>
      </c:valAx>
      <c:valAx>
        <c:axId val="295846040"/>
        <c:scaling>
          <c:orientation val="minMax"/>
          <c:max val="3100"/>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6257208"/>
        <c:crosses val="max"/>
        <c:crossBetween val="between"/>
      </c:valAx>
      <c:catAx>
        <c:axId val="236257208"/>
        <c:scaling>
          <c:orientation val="minMax"/>
        </c:scaling>
        <c:delete val="1"/>
        <c:axPos val="b"/>
        <c:numFmt formatCode="General" sourceLinked="1"/>
        <c:majorTickMark val="out"/>
        <c:minorTickMark val="none"/>
        <c:tickLblPos val="nextTo"/>
        <c:crossAx val="295846040"/>
        <c:crosses val="autoZero"/>
        <c:auto val="1"/>
        <c:lblAlgn val="ctr"/>
        <c:lblOffset val="100"/>
        <c:noMultiLvlLbl val="0"/>
      </c:catAx>
      <c:spPr>
        <a:noFill/>
        <a:ln>
          <a:noFill/>
        </a:ln>
        <a:effectLst/>
      </c:spPr>
    </c:plotArea>
    <c:legend>
      <c:legendPos val="b"/>
      <c:layout>
        <c:manualLayout>
          <c:xMode val="edge"/>
          <c:yMode val="edge"/>
          <c:x val="1.3919970529999539E-2"/>
          <c:y val="0.87477487473156768"/>
          <c:w val="0.98607987954994003"/>
          <c:h val="0.1227193987115246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624807208377309E-2"/>
          <c:y val="2.8150991682661549E-2"/>
          <c:w val="0.80933228707236338"/>
          <c:h val="0.74955118110236219"/>
        </c:manualLayout>
      </c:layout>
      <c:areaChart>
        <c:grouping val="stacked"/>
        <c:varyColors val="0"/>
        <c:ser>
          <c:idx val="0"/>
          <c:order val="0"/>
          <c:tx>
            <c:strRef>
              <c:f>Lapa1!$B$20</c:f>
              <c:strCache>
                <c:ptCount val="1"/>
                <c:pt idx="0">
                  <c:v>Ziemas kvieši </c:v>
                </c:pt>
              </c:strCache>
            </c:strRef>
          </c:tx>
          <c:spPr>
            <a:solidFill>
              <a:schemeClr val="accent4">
                <a:lumMod val="60000"/>
                <a:lumOff val="40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Lapa1!$C$19:$I$19</c:f>
              <c:strCache>
                <c:ptCount val="7"/>
                <c:pt idx="0">
                  <c:v>2010</c:v>
                </c:pt>
                <c:pt idx="1">
                  <c:v>2011</c:v>
                </c:pt>
                <c:pt idx="2">
                  <c:v>2012</c:v>
                </c:pt>
                <c:pt idx="3">
                  <c:v>2013</c:v>
                </c:pt>
                <c:pt idx="4">
                  <c:v>2014</c:v>
                </c:pt>
                <c:pt idx="5">
                  <c:v>2015</c:v>
                </c:pt>
                <c:pt idx="6">
                  <c:v>2016 (p)</c:v>
                </c:pt>
              </c:strCache>
            </c:strRef>
          </c:cat>
          <c:val>
            <c:numRef>
              <c:f>Lapa1!$C$20:$I$20</c:f>
              <c:numCache>
                <c:formatCode>General</c:formatCode>
                <c:ptCount val="7"/>
                <c:pt idx="0">
                  <c:v>225.8</c:v>
                </c:pt>
                <c:pt idx="1">
                  <c:v>200.9</c:v>
                </c:pt>
                <c:pt idx="2">
                  <c:v>258.03500000000003</c:v>
                </c:pt>
                <c:pt idx="3">
                  <c:v>253.6</c:v>
                </c:pt>
                <c:pt idx="4">
                  <c:v>164.012</c:v>
                </c:pt>
                <c:pt idx="5">
                  <c:v>290.60000000000002</c:v>
                </c:pt>
                <c:pt idx="6">
                  <c:v>329.8</c:v>
                </c:pt>
              </c:numCache>
            </c:numRef>
          </c:val>
          <c:extLst xmlns:c16r2="http://schemas.microsoft.com/office/drawing/2015/06/chart">
            <c:ext xmlns:c16="http://schemas.microsoft.com/office/drawing/2014/chart" uri="{C3380CC4-5D6E-409C-BE32-E72D297353CC}">
              <c16:uniqueId val="{00000000-9D43-4000-A8AC-DF6FAF46AEB8}"/>
            </c:ext>
          </c:extLst>
        </c:ser>
        <c:ser>
          <c:idx val="1"/>
          <c:order val="1"/>
          <c:tx>
            <c:strRef>
              <c:f>Lapa1!$B$21</c:f>
              <c:strCache>
                <c:ptCount val="1"/>
                <c:pt idx="0">
                  <c:v>Vasaras kvieši </c:v>
                </c:pt>
              </c:strCache>
            </c:strRef>
          </c:tx>
          <c:spPr>
            <a:solidFill>
              <a:schemeClr val="accent6">
                <a:lumMod val="40000"/>
                <a:lumOff val="60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Lapa1!$C$19:$I$19</c:f>
              <c:strCache>
                <c:ptCount val="7"/>
                <c:pt idx="0">
                  <c:v>2010</c:v>
                </c:pt>
                <c:pt idx="1">
                  <c:v>2011</c:v>
                </c:pt>
                <c:pt idx="2">
                  <c:v>2012</c:v>
                </c:pt>
                <c:pt idx="3">
                  <c:v>2013</c:v>
                </c:pt>
                <c:pt idx="4">
                  <c:v>2014</c:v>
                </c:pt>
                <c:pt idx="5">
                  <c:v>2015</c:v>
                </c:pt>
                <c:pt idx="6">
                  <c:v>2016 (p)</c:v>
                </c:pt>
              </c:strCache>
            </c:strRef>
          </c:cat>
          <c:val>
            <c:numRef>
              <c:f>Lapa1!$C$21:$I$21</c:f>
              <c:numCache>
                <c:formatCode>General</c:formatCode>
                <c:ptCount val="7"/>
                <c:pt idx="0">
                  <c:v>81.8</c:v>
                </c:pt>
                <c:pt idx="1">
                  <c:v>110.4</c:v>
                </c:pt>
                <c:pt idx="2">
                  <c:v>96.73</c:v>
                </c:pt>
                <c:pt idx="3">
                  <c:v>118.2</c:v>
                </c:pt>
                <c:pt idx="4">
                  <c:v>238.49100000000001</c:v>
                </c:pt>
                <c:pt idx="5">
                  <c:v>157.6</c:v>
                </c:pt>
                <c:pt idx="6">
                  <c:v>152.09075039999999</c:v>
                </c:pt>
              </c:numCache>
            </c:numRef>
          </c:val>
          <c:extLst xmlns:c16r2="http://schemas.microsoft.com/office/drawing/2015/06/chart">
            <c:ext xmlns:c16="http://schemas.microsoft.com/office/drawing/2014/chart" uri="{C3380CC4-5D6E-409C-BE32-E72D297353CC}">
              <c16:uniqueId val="{00000001-9D43-4000-A8AC-DF6FAF46AEB8}"/>
            </c:ext>
          </c:extLst>
        </c:ser>
        <c:ser>
          <c:idx val="2"/>
          <c:order val="2"/>
          <c:tx>
            <c:strRef>
              <c:f>Lapa1!$B$22</c:f>
              <c:strCache>
                <c:ptCount val="1"/>
                <c:pt idx="0">
                  <c:v>Mieži</c:v>
                </c:pt>
              </c:strCache>
            </c:strRef>
          </c:tx>
          <c:spPr>
            <a:solidFill>
              <a:schemeClr val="accent5">
                <a:lumMod val="40000"/>
                <a:lumOff val="60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Lapa1!$C$19:$I$19</c:f>
              <c:strCache>
                <c:ptCount val="7"/>
                <c:pt idx="0">
                  <c:v>2010</c:v>
                </c:pt>
                <c:pt idx="1">
                  <c:v>2011</c:v>
                </c:pt>
                <c:pt idx="2">
                  <c:v>2012</c:v>
                </c:pt>
                <c:pt idx="3">
                  <c:v>2013</c:v>
                </c:pt>
                <c:pt idx="4">
                  <c:v>2014</c:v>
                </c:pt>
                <c:pt idx="5">
                  <c:v>2015</c:v>
                </c:pt>
                <c:pt idx="6">
                  <c:v>2016 (p)</c:v>
                </c:pt>
              </c:strCache>
            </c:strRef>
          </c:cat>
          <c:val>
            <c:numRef>
              <c:f>Lapa1!$C$22:$I$22</c:f>
              <c:numCache>
                <c:formatCode>General</c:formatCode>
                <c:ptCount val="7"/>
                <c:pt idx="0">
                  <c:v>106.5</c:v>
                </c:pt>
                <c:pt idx="1">
                  <c:v>98.698999999999998</c:v>
                </c:pt>
                <c:pt idx="2">
                  <c:v>87.89</c:v>
                </c:pt>
                <c:pt idx="3">
                  <c:v>85.399999999999991</c:v>
                </c:pt>
                <c:pt idx="4">
                  <c:v>119.941</c:v>
                </c:pt>
                <c:pt idx="5">
                  <c:v>99.600000000000009</c:v>
                </c:pt>
                <c:pt idx="6">
                  <c:v>96.379000000000005</c:v>
                </c:pt>
              </c:numCache>
            </c:numRef>
          </c:val>
          <c:extLst xmlns:c16r2="http://schemas.microsoft.com/office/drawing/2015/06/chart">
            <c:ext xmlns:c16="http://schemas.microsoft.com/office/drawing/2014/chart" uri="{C3380CC4-5D6E-409C-BE32-E72D297353CC}">
              <c16:uniqueId val="{00000002-9D43-4000-A8AC-DF6FAF46AEB8}"/>
            </c:ext>
          </c:extLst>
        </c:ser>
        <c:ser>
          <c:idx val="3"/>
          <c:order val="3"/>
          <c:tx>
            <c:strRef>
              <c:f>Lapa1!$B$23</c:f>
              <c:strCache>
                <c:ptCount val="1"/>
                <c:pt idx="0">
                  <c:v>Rudzi</c:v>
                </c:pt>
              </c:strCache>
            </c:strRef>
          </c:tx>
          <c:spPr>
            <a:solidFill>
              <a:schemeClr val="accent2">
                <a:lumMod val="60000"/>
                <a:lumOff val="40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Lapa1!$C$19:$I$19</c:f>
              <c:strCache>
                <c:ptCount val="7"/>
                <c:pt idx="0">
                  <c:v>2010</c:v>
                </c:pt>
                <c:pt idx="1">
                  <c:v>2011</c:v>
                </c:pt>
                <c:pt idx="2">
                  <c:v>2012</c:v>
                </c:pt>
                <c:pt idx="3">
                  <c:v>2013</c:v>
                </c:pt>
                <c:pt idx="4">
                  <c:v>2014</c:v>
                </c:pt>
                <c:pt idx="5">
                  <c:v>2015</c:v>
                </c:pt>
                <c:pt idx="6">
                  <c:v>2016 (p)</c:v>
                </c:pt>
              </c:strCache>
            </c:strRef>
          </c:cat>
          <c:val>
            <c:numRef>
              <c:f>Lapa1!$C$23:$I$23</c:f>
              <c:numCache>
                <c:formatCode>General</c:formatCode>
                <c:ptCount val="7"/>
                <c:pt idx="0">
                  <c:v>34.6</c:v>
                </c:pt>
                <c:pt idx="1">
                  <c:v>28.4</c:v>
                </c:pt>
                <c:pt idx="2">
                  <c:v>37.029000000000003</c:v>
                </c:pt>
                <c:pt idx="3">
                  <c:v>29.1</c:v>
                </c:pt>
                <c:pt idx="4">
                  <c:v>32.302</c:v>
                </c:pt>
                <c:pt idx="5">
                  <c:v>37.4</c:v>
                </c:pt>
                <c:pt idx="6">
                  <c:v>36.241304999999997</c:v>
                </c:pt>
              </c:numCache>
            </c:numRef>
          </c:val>
          <c:extLst xmlns:c16r2="http://schemas.microsoft.com/office/drawing/2015/06/chart">
            <c:ext xmlns:c16="http://schemas.microsoft.com/office/drawing/2014/chart" uri="{C3380CC4-5D6E-409C-BE32-E72D297353CC}">
              <c16:uniqueId val="{00000003-9D43-4000-A8AC-DF6FAF46AEB8}"/>
            </c:ext>
          </c:extLst>
        </c:ser>
        <c:ser>
          <c:idx val="4"/>
          <c:order val="4"/>
          <c:tx>
            <c:strRef>
              <c:f>Lapa1!$B$24</c:f>
              <c:strCache>
                <c:ptCount val="1"/>
                <c:pt idx="0">
                  <c:v>Auzas</c:v>
                </c:pt>
              </c:strCache>
            </c:strRef>
          </c:tx>
          <c:spPr>
            <a:solidFill>
              <a:srgbClr val="FFCCFF"/>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Lapa1!$C$19:$I$19</c:f>
              <c:strCache>
                <c:ptCount val="7"/>
                <c:pt idx="0">
                  <c:v>2010</c:v>
                </c:pt>
                <c:pt idx="1">
                  <c:v>2011</c:v>
                </c:pt>
                <c:pt idx="2">
                  <c:v>2012</c:v>
                </c:pt>
                <c:pt idx="3">
                  <c:v>2013</c:v>
                </c:pt>
                <c:pt idx="4">
                  <c:v>2014</c:v>
                </c:pt>
                <c:pt idx="5">
                  <c:v>2015</c:v>
                </c:pt>
                <c:pt idx="6">
                  <c:v>2016 (p)</c:v>
                </c:pt>
              </c:strCache>
            </c:strRef>
          </c:cat>
          <c:val>
            <c:numRef>
              <c:f>Lapa1!$C$24:$I$24</c:f>
              <c:numCache>
                <c:formatCode>General</c:formatCode>
                <c:ptCount val="7"/>
                <c:pt idx="0">
                  <c:v>63.3</c:v>
                </c:pt>
                <c:pt idx="1">
                  <c:v>59.3</c:v>
                </c:pt>
                <c:pt idx="2">
                  <c:v>62</c:v>
                </c:pt>
                <c:pt idx="3">
                  <c:v>62.4</c:v>
                </c:pt>
                <c:pt idx="4">
                  <c:v>66.777000000000001</c:v>
                </c:pt>
                <c:pt idx="5">
                  <c:v>60.3</c:v>
                </c:pt>
                <c:pt idx="6">
                  <c:v>65.430000000000007</c:v>
                </c:pt>
              </c:numCache>
            </c:numRef>
          </c:val>
          <c:extLst xmlns:c16r2="http://schemas.microsoft.com/office/drawing/2015/06/chart">
            <c:ext xmlns:c16="http://schemas.microsoft.com/office/drawing/2014/chart" uri="{C3380CC4-5D6E-409C-BE32-E72D297353CC}">
              <c16:uniqueId val="{00000004-9D43-4000-A8AC-DF6FAF46AEB8}"/>
            </c:ext>
          </c:extLst>
        </c:ser>
        <c:ser>
          <c:idx val="5"/>
          <c:order val="5"/>
          <c:tx>
            <c:strRef>
              <c:f>Lapa1!$B$25</c:f>
              <c:strCache>
                <c:ptCount val="1"/>
                <c:pt idx="0">
                  <c:v>Citi</c:v>
                </c:pt>
              </c:strCache>
            </c:strRef>
          </c:tx>
          <c:spPr>
            <a:solidFill>
              <a:schemeClr val="bg1">
                <a:lumMod val="85000"/>
              </a:schemeClr>
            </a:solidFill>
            <a:ln>
              <a:noFill/>
            </a:ln>
            <a:effectLst/>
          </c:spP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Lapa1!$C$19:$I$19</c:f>
              <c:strCache>
                <c:ptCount val="7"/>
                <c:pt idx="0">
                  <c:v>2010</c:v>
                </c:pt>
                <c:pt idx="1">
                  <c:v>2011</c:v>
                </c:pt>
                <c:pt idx="2">
                  <c:v>2012</c:v>
                </c:pt>
                <c:pt idx="3">
                  <c:v>2013</c:v>
                </c:pt>
                <c:pt idx="4">
                  <c:v>2014</c:v>
                </c:pt>
                <c:pt idx="5">
                  <c:v>2015</c:v>
                </c:pt>
                <c:pt idx="6">
                  <c:v>2016 (p)</c:v>
                </c:pt>
              </c:strCache>
            </c:strRef>
          </c:cat>
          <c:val>
            <c:numRef>
              <c:f>Lapa1!$C$25:$I$25</c:f>
              <c:numCache>
                <c:formatCode>0.0</c:formatCode>
                <c:ptCount val="7"/>
                <c:pt idx="0">
                  <c:v>29.05100000000003</c:v>
                </c:pt>
                <c:pt idx="1">
                  <c:v>28.917000000000016</c:v>
                </c:pt>
                <c:pt idx="2">
                  <c:v>32.912999999999954</c:v>
                </c:pt>
                <c:pt idx="3">
                  <c:v>35.217999999999996</c:v>
                </c:pt>
                <c:pt idx="4">
                  <c:v>33.683000000000007</c:v>
                </c:pt>
                <c:pt idx="5">
                  <c:v>26.899999999999963</c:v>
                </c:pt>
                <c:pt idx="6">
                  <c:v>33.745501320000088</c:v>
                </c:pt>
              </c:numCache>
            </c:numRef>
          </c:val>
          <c:extLst xmlns:c16r2="http://schemas.microsoft.com/office/drawing/2015/06/chart">
            <c:ext xmlns:c16="http://schemas.microsoft.com/office/drawing/2014/chart" uri="{C3380CC4-5D6E-409C-BE32-E72D297353CC}">
              <c16:uniqueId val="{00000005-9D43-4000-A8AC-DF6FAF46AEB8}"/>
            </c:ext>
          </c:extLst>
        </c:ser>
        <c:dLbls>
          <c:showLegendKey val="0"/>
          <c:showVal val="0"/>
          <c:showCatName val="0"/>
          <c:showSerName val="0"/>
          <c:showPercent val="0"/>
          <c:showBubbleSize val="0"/>
        </c:dLbls>
        <c:axId val="317536216"/>
        <c:axId val="317535040"/>
      </c:areaChart>
      <c:lineChart>
        <c:grouping val="standard"/>
        <c:varyColors val="0"/>
        <c:ser>
          <c:idx val="6"/>
          <c:order val="6"/>
          <c:tx>
            <c:strRef>
              <c:f>Lapa1!$B$26</c:f>
              <c:strCache>
                <c:ptCount val="1"/>
                <c:pt idx="0">
                  <c:v>Kopā</c:v>
                </c:pt>
              </c:strCache>
            </c:strRef>
          </c:tx>
          <c:spPr>
            <a:ln w="28575" cap="rnd">
              <a:noFill/>
              <a:round/>
            </a:ln>
            <a:effectLst/>
          </c:spPr>
          <c:marker>
            <c:symbol val="circle"/>
            <c:size val="6"/>
            <c:spPr>
              <a:solidFill>
                <a:schemeClr val="accent2">
                  <a:lumMod val="60000"/>
                  <a:lumOff val="40000"/>
                </a:schemeClr>
              </a:solidFill>
              <a:ln w="9525">
                <a:solidFill>
                  <a:schemeClr val="accent1">
                    <a:lumMod val="60000"/>
                  </a:schemeClr>
                </a:solidFill>
              </a:ln>
              <a:effectLst/>
            </c:spPr>
          </c:marker>
          <c:dLbls>
            <c:dLbl>
              <c:idx val="0"/>
              <c:layout>
                <c:manualLayout>
                  <c:x val="-5.4814814814814816E-2"/>
                  <c:y val="-4.99659985683607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D43-4000-A8AC-DF6FAF46AEB8}"/>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Lapa1!$C$19:$I$19</c:f>
              <c:strCache>
                <c:ptCount val="7"/>
                <c:pt idx="0">
                  <c:v>2010</c:v>
                </c:pt>
                <c:pt idx="1">
                  <c:v>2011</c:v>
                </c:pt>
                <c:pt idx="2">
                  <c:v>2012</c:v>
                </c:pt>
                <c:pt idx="3">
                  <c:v>2013</c:v>
                </c:pt>
                <c:pt idx="4">
                  <c:v>2014</c:v>
                </c:pt>
                <c:pt idx="5">
                  <c:v>2015</c:v>
                </c:pt>
                <c:pt idx="6">
                  <c:v>2016 (p)</c:v>
                </c:pt>
              </c:strCache>
            </c:strRef>
          </c:cat>
          <c:val>
            <c:numRef>
              <c:f>Lapa1!$C$26:$I$26</c:f>
              <c:numCache>
                <c:formatCode>0.0</c:formatCode>
                <c:ptCount val="7"/>
                <c:pt idx="0">
                  <c:v>541.05100000000004</c:v>
                </c:pt>
                <c:pt idx="1">
                  <c:v>526.61599999999999</c:v>
                </c:pt>
                <c:pt idx="2">
                  <c:v>574.59699999999998</c:v>
                </c:pt>
                <c:pt idx="3">
                  <c:v>583.91800000000001</c:v>
                </c:pt>
                <c:pt idx="4">
                  <c:v>655.20600000000002</c:v>
                </c:pt>
                <c:pt idx="5">
                  <c:v>672.4</c:v>
                </c:pt>
                <c:pt idx="6">
                  <c:v>713.68655672000011</c:v>
                </c:pt>
              </c:numCache>
            </c:numRef>
          </c:val>
          <c:smooth val="0"/>
          <c:extLst xmlns:c16r2="http://schemas.microsoft.com/office/drawing/2015/06/chart">
            <c:ext xmlns:c16="http://schemas.microsoft.com/office/drawing/2014/chart" uri="{C3380CC4-5D6E-409C-BE32-E72D297353CC}">
              <c16:uniqueId val="{00000007-9D43-4000-A8AC-DF6FAF46AEB8}"/>
            </c:ext>
          </c:extLst>
        </c:ser>
        <c:dLbls>
          <c:showLegendKey val="0"/>
          <c:showVal val="0"/>
          <c:showCatName val="0"/>
          <c:showSerName val="0"/>
          <c:showPercent val="0"/>
          <c:showBubbleSize val="0"/>
        </c:dLbls>
        <c:marker val="1"/>
        <c:smooth val="0"/>
        <c:axId val="317536608"/>
        <c:axId val="317535432"/>
      </c:lineChart>
      <c:catAx>
        <c:axId val="3175362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17535040"/>
        <c:crosses val="autoZero"/>
        <c:auto val="1"/>
        <c:lblAlgn val="ctr"/>
        <c:lblOffset val="100"/>
        <c:noMultiLvlLbl val="0"/>
      </c:catAx>
      <c:valAx>
        <c:axId val="317535040"/>
        <c:scaling>
          <c:orientation val="minMax"/>
        </c:scaling>
        <c:delete val="0"/>
        <c:axPos val="l"/>
        <c:title>
          <c:tx>
            <c:rich>
              <a:bodyPr rot="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Tūkst ha</a:t>
                </a:r>
              </a:p>
            </c:rich>
          </c:tx>
          <c:layout>
            <c:manualLayout>
              <c:xMode val="edge"/>
              <c:yMode val="edge"/>
              <c:x val="0.12409232351110752"/>
              <c:y val="3.0588290828414723E-3"/>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17536216"/>
        <c:crosses val="autoZero"/>
        <c:crossBetween val="between"/>
      </c:valAx>
      <c:valAx>
        <c:axId val="317535432"/>
        <c:scaling>
          <c:orientation val="minMax"/>
          <c:max val="800"/>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17536608"/>
        <c:crosses val="max"/>
        <c:crossBetween val="between"/>
      </c:valAx>
      <c:catAx>
        <c:axId val="317536608"/>
        <c:scaling>
          <c:orientation val="minMax"/>
        </c:scaling>
        <c:delete val="1"/>
        <c:axPos val="b"/>
        <c:numFmt formatCode="General" sourceLinked="1"/>
        <c:majorTickMark val="out"/>
        <c:minorTickMark val="none"/>
        <c:tickLblPos val="nextTo"/>
        <c:crossAx val="317535432"/>
        <c:crosses val="autoZero"/>
        <c:auto val="1"/>
        <c:lblAlgn val="ctr"/>
        <c:lblOffset val="100"/>
        <c:noMultiLvlLbl val="0"/>
      </c:catAx>
      <c:spPr>
        <a:noFill/>
        <a:ln>
          <a:noFill/>
        </a:ln>
        <a:effectLst/>
      </c:spPr>
    </c:plotArea>
    <c:legend>
      <c:legendPos val="b"/>
      <c:layout>
        <c:manualLayout>
          <c:xMode val="edge"/>
          <c:yMode val="edge"/>
          <c:x val="1.3888888888888888E-2"/>
          <c:y val="0.88017108088761631"/>
          <c:w val="0.98006948870294608"/>
          <c:h val="0.1164892627057981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spcBef>
          <a:spcPts val="300"/>
        </a:spcBef>
        <a:spcAft>
          <a:spcPts val="300"/>
        </a:spcAft>
        <a:defRPr sz="8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85903913865212"/>
          <c:y val="4.9977535348181411E-2"/>
          <c:w val="0.72397708508969627"/>
          <c:h val="0.61126710988631028"/>
        </c:manualLayout>
      </c:layout>
      <c:lineChart>
        <c:grouping val="standard"/>
        <c:varyColors val="0"/>
        <c:ser>
          <c:idx val="0"/>
          <c:order val="0"/>
          <c:tx>
            <c:strRef>
              <c:f>Lapa2!$D$3</c:f>
              <c:strCache>
                <c:ptCount val="1"/>
                <c:pt idx="0">
                  <c:v>Pārtikas kvieši</c:v>
                </c:pt>
              </c:strCache>
            </c:strRef>
          </c:tx>
          <c:spPr>
            <a:ln w="22225" cap="rnd">
              <a:solidFill>
                <a:schemeClr val="accent2">
                  <a:lumMod val="75000"/>
                </a:schemeClr>
              </a:solidFill>
              <a:round/>
            </a:ln>
            <a:effectLst/>
          </c:spPr>
          <c:marker>
            <c:symbol val="none"/>
          </c:marker>
          <c:dLbls>
            <c:dLbl>
              <c:idx val="68"/>
              <c:layout>
                <c:manualLayout>
                  <c:x val="0"/>
                  <c:y val="-1.3888888888888888E-2"/>
                </c:manualLayout>
              </c:layout>
              <c:tx>
                <c:rich>
                  <a:bodyPr/>
                  <a:lstStyle/>
                  <a:p>
                    <a:r>
                      <a:rPr lang="en-US" b="1">
                        <a:solidFill>
                          <a:schemeClr val="accent2">
                            <a:lumMod val="50000"/>
                          </a:schemeClr>
                        </a:solidFill>
                        <a:latin typeface="Times New Roman" panose="02020603050405020304" pitchFamily="18" charset="0"/>
                        <a:cs typeface="Times New Roman" panose="02020603050405020304" pitchFamily="18" charset="0"/>
                      </a:rPr>
                      <a:t>141,9</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84D-4285-A43F-0321C94B188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Lapa2!$C$16:$C$84</c:f>
              <c:strCache>
                <c:ptCount val="69"/>
                <c:pt idx="0">
                  <c:v>Jan.11</c:v>
                </c:pt>
                <c:pt idx="1">
                  <c:v>Febr.11</c:v>
                </c:pt>
                <c:pt idx="2">
                  <c:v>Mar.11</c:v>
                </c:pt>
                <c:pt idx="3">
                  <c:v>Apr.11</c:v>
                </c:pt>
                <c:pt idx="4">
                  <c:v>Mai.11</c:v>
                </c:pt>
                <c:pt idx="5">
                  <c:v>Jūn.11</c:v>
                </c:pt>
                <c:pt idx="6">
                  <c:v>Jūl.11</c:v>
                </c:pt>
                <c:pt idx="7">
                  <c:v>Aug.11</c:v>
                </c:pt>
                <c:pt idx="8">
                  <c:v>Sept.11</c:v>
                </c:pt>
                <c:pt idx="9">
                  <c:v>Okt.11</c:v>
                </c:pt>
                <c:pt idx="10">
                  <c:v>Nov.11</c:v>
                </c:pt>
                <c:pt idx="11">
                  <c:v>Dec.11</c:v>
                </c:pt>
                <c:pt idx="12">
                  <c:v>Jan.12</c:v>
                </c:pt>
                <c:pt idx="13">
                  <c:v>Febr.12</c:v>
                </c:pt>
                <c:pt idx="14">
                  <c:v>Mar.12</c:v>
                </c:pt>
                <c:pt idx="15">
                  <c:v>Apr.12</c:v>
                </c:pt>
                <c:pt idx="16">
                  <c:v>Mai.12</c:v>
                </c:pt>
                <c:pt idx="17">
                  <c:v>Jūn.12</c:v>
                </c:pt>
                <c:pt idx="18">
                  <c:v>Jūl.12</c:v>
                </c:pt>
                <c:pt idx="19">
                  <c:v>Aug.12</c:v>
                </c:pt>
                <c:pt idx="20">
                  <c:v>Sept.12</c:v>
                </c:pt>
                <c:pt idx="21">
                  <c:v>Okt.12</c:v>
                </c:pt>
                <c:pt idx="22">
                  <c:v>Nov.12</c:v>
                </c:pt>
                <c:pt idx="23">
                  <c:v>Dec.12</c:v>
                </c:pt>
                <c:pt idx="24">
                  <c:v>Jan.13</c:v>
                </c:pt>
                <c:pt idx="25">
                  <c:v>Febr.13</c:v>
                </c:pt>
                <c:pt idx="26">
                  <c:v>Mar.13</c:v>
                </c:pt>
                <c:pt idx="27">
                  <c:v>Apr.13</c:v>
                </c:pt>
                <c:pt idx="28">
                  <c:v>Mai.13</c:v>
                </c:pt>
                <c:pt idx="29">
                  <c:v>Jūn.13</c:v>
                </c:pt>
                <c:pt idx="30">
                  <c:v>Jūl.13</c:v>
                </c:pt>
                <c:pt idx="31">
                  <c:v>Aug.13</c:v>
                </c:pt>
                <c:pt idx="32">
                  <c:v>Sept.13</c:v>
                </c:pt>
                <c:pt idx="33">
                  <c:v>Okt.13</c:v>
                </c:pt>
                <c:pt idx="34">
                  <c:v>Nov.13</c:v>
                </c:pt>
                <c:pt idx="35">
                  <c:v>Dec.13</c:v>
                </c:pt>
                <c:pt idx="36">
                  <c:v>Jan.14</c:v>
                </c:pt>
                <c:pt idx="37">
                  <c:v>Febr.14</c:v>
                </c:pt>
                <c:pt idx="38">
                  <c:v>Mar.14</c:v>
                </c:pt>
                <c:pt idx="39">
                  <c:v>Apr.14</c:v>
                </c:pt>
                <c:pt idx="40">
                  <c:v>Mai.14</c:v>
                </c:pt>
                <c:pt idx="41">
                  <c:v>Jūn.14</c:v>
                </c:pt>
                <c:pt idx="42">
                  <c:v>Jūl.14</c:v>
                </c:pt>
                <c:pt idx="43">
                  <c:v>Aug.14</c:v>
                </c:pt>
                <c:pt idx="44">
                  <c:v>Sept.14</c:v>
                </c:pt>
                <c:pt idx="45">
                  <c:v>Okt.14</c:v>
                </c:pt>
                <c:pt idx="46">
                  <c:v>Nov.14</c:v>
                </c:pt>
                <c:pt idx="47">
                  <c:v>Dec.14</c:v>
                </c:pt>
                <c:pt idx="48">
                  <c:v>Jan.15</c:v>
                </c:pt>
                <c:pt idx="49">
                  <c:v>Febr.15</c:v>
                </c:pt>
                <c:pt idx="50">
                  <c:v>Mar.15</c:v>
                </c:pt>
                <c:pt idx="51">
                  <c:v>Apr.15</c:v>
                </c:pt>
                <c:pt idx="52">
                  <c:v>Mai.15</c:v>
                </c:pt>
                <c:pt idx="53">
                  <c:v>Jūn.15</c:v>
                </c:pt>
                <c:pt idx="54">
                  <c:v>Jūl.15</c:v>
                </c:pt>
                <c:pt idx="55">
                  <c:v>Aug.15</c:v>
                </c:pt>
                <c:pt idx="56">
                  <c:v>Sept.15</c:v>
                </c:pt>
                <c:pt idx="57">
                  <c:v>Okt.15</c:v>
                </c:pt>
                <c:pt idx="58">
                  <c:v>Nov.15</c:v>
                </c:pt>
                <c:pt idx="59">
                  <c:v>Dec.15</c:v>
                </c:pt>
                <c:pt idx="60">
                  <c:v>Jan.16</c:v>
                </c:pt>
                <c:pt idx="61">
                  <c:v>Febr.16</c:v>
                </c:pt>
                <c:pt idx="62">
                  <c:v>Mar.16</c:v>
                </c:pt>
                <c:pt idx="63">
                  <c:v>Apr.16</c:v>
                </c:pt>
                <c:pt idx="64">
                  <c:v>Mai.16</c:v>
                </c:pt>
                <c:pt idx="65">
                  <c:v>Jūn.16</c:v>
                </c:pt>
                <c:pt idx="66">
                  <c:v>Jūl.16</c:v>
                </c:pt>
                <c:pt idx="67">
                  <c:v>Aug.16</c:v>
                </c:pt>
                <c:pt idx="68">
                  <c:v>Sept.16</c:v>
                </c:pt>
              </c:strCache>
            </c:strRef>
          </c:cat>
          <c:val>
            <c:numRef>
              <c:f>Lapa2!$D$16:$D$84</c:f>
              <c:numCache>
                <c:formatCode>0.00</c:formatCode>
                <c:ptCount val="69"/>
                <c:pt idx="0">
                  <c:v>227.18997300000001</c:v>
                </c:pt>
                <c:pt idx="1">
                  <c:v>242.12700000000001</c:v>
                </c:pt>
                <c:pt idx="2">
                  <c:v>244.483699</c:v>
                </c:pt>
                <c:pt idx="3">
                  <c:v>251.76280700000001</c:v>
                </c:pt>
                <c:pt idx="4">
                  <c:v>251.11171999999999</c:v>
                </c:pt>
                <c:pt idx="5">
                  <c:v>249.98683399999999</c:v>
                </c:pt>
                <c:pt idx="6">
                  <c:v>213.38847100000001</c:v>
                </c:pt>
                <c:pt idx="7">
                  <c:v>199.23168699999999</c:v>
                </c:pt>
                <c:pt idx="8">
                  <c:v>200.079847</c:v>
                </c:pt>
                <c:pt idx="9">
                  <c:v>208.282816</c:v>
                </c:pt>
                <c:pt idx="10">
                  <c:v>188.10546600000001</c:v>
                </c:pt>
                <c:pt idx="11">
                  <c:v>190.918857</c:v>
                </c:pt>
                <c:pt idx="12">
                  <c:v>197.49191300000001</c:v>
                </c:pt>
                <c:pt idx="13">
                  <c:v>203.76264599999999</c:v>
                </c:pt>
                <c:pt idx="14">
                  <c:v>203.71771899999999</c:v>
                </c:pt>
                <c:pt idx="15">
                  <c:v>202.112506</c:v>
                </c:pt>
                <c:pt idx="16">
                  <c:v>199.73576299999999</c:v>
                </c:pt>
                <c:pt idx="17">
                  <c:v>217.13537700000001</c:v>
                </c:pt>
                <c:pt idx="18">
                  <c:v>206.03182899999999</c:v>
                </c:pt>
                <c:pt idx="19">
                  <c:v>216.05512300000001</c:v>
                </c:pt>
                <c:pt idx="20">
                  <c:v>217.469953</c:v>
                </c:pt>
                <c:pt idx="21">
                  <c:v>225.94426100000001</c:v>
                </c:pt>
                <c:pt idx="22">
                  <c:v>236.37239400000001</c:v>
                </c:pt>
                <c:pt idx="23">
                  <c:v>242.74516700000001</c:v>
                </c:pt>
                <c:pt idx="24">
                  <c:v>235.889161</c:v>
                </c:pt>
                <c:pt idx="25">
                  <c:v>249.08795900000001</c:v>
                </c:pt>
                <c:pt idx="26">
                  <c:v>244.67927399999999</c:v>
                </c:pt>
                <c:pt idx="27">
                  <c:v>236.27156500000001</c:v>
                </c:pt>
                <c:pt idx="28">
                  <c:v>233.740972</c:v>
                </c:pt>
                <c:pt idx="29">
                  <c:v>218.46866399999999</c:v>
                </c:pt>
                <c:pt idx="30">
                  <c:v>183.24234999999999</c:v>
                </c:pt>
                <c:pt idx="31">
                  <c:v>171.32389900000001</c:v>
                </c:pt>
                <c:pt idx="32">
                  <c:v>169.92400799999999</c:v>
                </c:pt>
                <c:pt idx="33">
                  <c:v>182.956625</c:v>
                </c:pt>
                <c:pt idx="34">
                  <c:v>196.12453199999999</c:v>
                </c:pt>
                <c:pt idx="35">
                  <c:v>199.77750900000001</c:v>
                </c:pt>
                <c:pt idx="36">
                  <c:v>192.71899999999999</c:v>
                </c:pt>
                <c:pt idx="37">
                  <c:v>193.19900000000001</c:v>
                </c:pt>
                <c:pt idx="38">
                  <c:v>203.51</c:v>
                </c:pt>
                <c:pt idx="39">
                  <c:v>201.3125</c:v>
                </c:pt>
                <c:pt idx="40">
                  <c:v>199.11500000000001</c:v>
                </c:pt>
                <c:pt idx="41">
                  <c:v>196.40600000000001</c:v>
                </c:pt>
                <c:pt idx="42">
                  <c:v>179.12</c:v>
                </c:pt>
                <c:pt idx="43">
                  <c:v>163.19</c:v>
                </c:pt>
                <c:pt idx="44">
                  <c:v>147.20400000000001</c:v>
                </c:pt>
                <c:pt idx="45">
                  <c:v>164.43</c:v>
                </c:pt>
                <c:pt idx="46">
                  <c:v>167.184</c:v>
                </c:pt>
                <c:pt idx="47">
                  <c:v>192.16</c:v>
                </c:pt>
                <c:pt idx="48">
                  <c:v>203.7</c:v>
                </c:pt>
                <c:pt idx="49">
                  <c:v>165.97</c:v>
                </c:pt>
                <c:pt idx="50">
                  <c:v>192.51900000000001</c:v>
                </c:pt>
                <c:pt idx="51">
                  <c:v>187.16499999999999</c:v>
                </c:pt>
                <c:pt idx="52">
                  <c:v>187.40899999999999</c:v>
                </c:pt>
                <c:pt idx="53">
                  <c:v>184.05799999999999</c:v>
                </c:pt>
                <c:pt idx="54">
                  <c:v>192.125</c:v>
                </c:pt>
                <c:pt idx="55">
                  <c:v>161.47999999999999</c:v>
                </c:pt>
                <c:pt idx="56">
                  <c:v>153.33699999999999</c:v>
                </c:pt>
                <c:pt idx="57">
                  <c:v>140.71600000000001</c:v>
                </c:pt>
                <c:pt idx="58">
                  <c:v>152.137</c:v>
                </c:pt>
                <c:pt idx="59">
                  <c:v>166.14</c:v>
                </c:pt>
                <c:pt idx="60">
                  <c:v>146.72</c:v>
                </c:pt>
                <c:pt idx="61">
                  <c:v>136.726</c:v>
                </c:pt>
                <c:pt idx="62">
                  <c:v>146.09</c:v>
                </c:pt>
                <c:pt idx="63">
                  <c:v>136.31</c:v>
                </c:pt>
                <c:pt idx="64">
                  <c:v>143.81899999999999</c:v>
                </c:pt>
                <c:pt idx="65">
                  <c:v>145.78</c:v>
                </c:pt>
                <c:pt idx="66">
                  <c:v>150.56</c:v>
                </c:pt>
                <c:pt idx="67">
                  <c:v>150.56</c:v>
                </c:pt>
                <c:pt idx="68">
                  <c:v>141.89699999999999</c:v>
                </c:pt>
              </c:numCache>
            </c:numRef>
          </c:val>
          <c:smooth val="1"/>
          <c:extLst xmlns:c16r2="http://schemas.microsoft.com/office/drawing/2015/06/chart">
            <c:ext xmlns:c16="http://schemas.microsoft.com/office/drawing/2014/chart" uri="{C3380CC4-5D6E-409C-BE32-E72D297353CC}">
              <c16:uniqueId val="{00000001-C84D-4285-A43F-0321C94B1884}"/>
            </c:ext>
          </c:extLst>
        </c:ser>
        <c:ser>
          <c:idx val="1"/>
          <c:order val="1"/>
          <c:tx>
            <c:strRef>
              <c:f>Lapa2!$E$3</c:f>
              <c:strCache>
                <c:ptCount val="1"/>
                <c:pt idx="0">
                  <c:v>Lopbarības kvieši</c:v>
                </c:pt>
              </c:strCache>
            </c:strRef>
          </c:tx>
          <c:spPr>
            <a:ln w="22225" cap="rnd">
              <a:solidFill>
                <a:srgbClr val="FFC000"/>
              </a:solidFill>
              <a:round/>
            </a:ln>
            <a:effectLst/>
          </c:spPr>
          <c:marker>
            <c:symbol val="none"/>
          </c:marker>
          <c:dLbls>
            <c:dLbl>
              <c:idx val="68"/>
              <c:layout>
                <c:manualLayout>
                  <c:x val="0"/>
                  <c:y val="2.3148148148148147E-2"/>
                </c:manualLayout>
              </c:layout>
              <c:tx>
                <c:rich>
                  <a:bodyPr/>
                  <a:lstStyle/>
                  <a:p>
                    <a:r>
                      <a:rPr lang="en-US" b="1">
                        <a:solidFill>
                          <a:srgbClr val="FFC000"/>
                        </a:solidFill>
                        <a:latin typeface="Times New Roman" panose="02020603050405020304" pitchFamily="18" charset="0"/>
                        <a:cs typeface="Times New Roman" panose="02020603050405020304" pitchFamily="18" charset="0"/>
                      </a:rPr>
                      <a:t>120,3</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84D-4285-A43F-0321C94B188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Lapa2!$C$16:$C$84</c:f>
              <c:strCache>
                <c:ptCount val="69"/>
                <c:pt idx="0">
                  <c:v>Jan.11</c:v>
                </c:pt>
                <c:pt idx="1">
                  <c:v>Febr.11</c:v>
                </c:pt>
                <c:pt idx="2">
                  <c:v>Mar.11</c:v>
                </c:pt>
                <c:pt idx="3">
                  <c:v>Apr.11</c:v>
                </c:pt>
                <c:pt idx="4">
                  <c:v>Mai.11</c:v>
                </c:pt>
                <c:pt idx="5">
                  <c:v>Jūn.11</c:v>
                </c:pt>
                <c:pt idx="6">
                  <c:v>Jūl.11</c:v>
                </c:pt>
                <c:pt idx="7">
                  <c:v>Aug.11</c:v>
                </c:pt>
                <c:pt idx="8">
                  <c:v>Sept.11</c:v>
                </c:pt>
                <c:pt idx="9">
                  <c:v>Okt.11</c:v>
                </c:pt>
                <c:pt idx="10">
                  <c:v>Nov.11</c:v>
                </c:pt>
                <c:pt idx="11">
                  <c:v>Dec.11</c:v>
                </c:pt>
                <c:pt idx="12">
                  <c:v>Jan.12</c:v>
                </c:pt>
                <c:pt idx="13">
                  <c:v>Febr.12</c:v>
                </c:pt>
                <c:pt idx="14">
                  <c:v>Mar.12</c:v>
                </c:pt>
                <c:pt idx="15">
                  <c:v>Apr.12</c:v>
                </c:pt>
                <c:pt idx="16">
                  <c:v>Mai.12</c:v>
                </c:pt>
                <c:pt idx="17">
                  <c:v>Jūn.12</c:v>
                </c:pt>
                <c:pt idx="18">
                  <c:v>Jūl.12</c:v>
                </c:pt>
                <c:pt idx="19">
                  <c:v>Aug.12</c:v>
                </c:pt>
                <c:pt idx="20">
                  <c:v>Sept.12</c:v>
                </c:pt>
                <c:pt idx="21">
                  <c:v>Okt.12</c:v>
                </c:pt>
                <c:pt idx="22">
                  <c:v>Nov.12</c:v>
                </c:pt>
                <c:pt idx="23">
                  <c:v>Dec.12</c:v>
                </c:pt>
                <c:pt idx="24">
                  <c:v>Jan.13</c:v>
                </c:pt>
                <c:pt idx="25">
                  <c:v>Febr.13</c:v>
                </c:pt>
                <c:pt idx="26">
                  <c:v>Mar.13</c:v>
                </c:pt>
                <c:pt idx="27">
                  <c:v>Apr.13</c:v>
                </c:pt>
                <c:pt idx="28">
                  <c:v>Mai.13</c:v>
                </c:pt>
                <c:pt idx="29">
                  <c:v>Jūn.13</c:v>
                </c:pt>
                <c:pt idx="30">
                  <c:v>Jūl.13</c:v>
                </c:pt>
                <c:pt idx="31">
                  <c:v>Aug.13</c:v>
                </c:pt>
                <c:pt idx="32">
                  <c:v>Sept.13</c:v>
                </c:pt>
                <c:pt idx="33">
                  <c:v>Okt.13</c:v>
                </c:pt>
                <c:pt idx="34">
                  <c:v>Nov.13</c:v>
                </c:pt>
                <c:pt idx="35">
                  <c:v>Dec.13</c:v>
                </c:pt>
                <c:pt idx="36">
                  <c:v>Jan.14</c:v>
                </c:pt>
                <c:pt idx="37">
                  <c:v>Febr.14</c:v>
                </c:pt>
                <c:pt idx="38">
                  <c:v>Mar.14</c:v>
                </c:pt>
                <c:pt idx="39">
                  <c:v>Apr.14</c:v>
                </c:pt>
                <c:pt idx="40">
                  <c:v>Mai.14</c:v>
                </c:pt>
                <c:pt idx="41">
                  <c:v>Jūn.14</c:v>
                </c:pt>
                <c:pt idx="42">
                  <c:v>Jūl.14</c:v>
                </c:pt>
                <c:pt idx="43">
                  <c:v>Aug.14</c:v>
                </c:pt>
                <c:pt idx="44">
                  <c:v>Sept.14</c:v>
                </c:pt>
                <c:pt idx="45">
                  <c:v>Okt.14</c:v>
                </c:pt>
                <c:pt idx="46">
                  <c:v>Nov.14</c:v>
                </c:pt>
                <c:pt idx="47">
                  <c:v>Dec.14</c:v>
                </c:pt>
                <c:pt idx="48">
                  <c:v>Jan.15</c:v>
                </c:pt>
                <c:pt idx="49">
                  <c:v>Febr.15</c:v>
                </c:pt>
                <c:pt idx="50">
                  <c:v>Mar.15</c:v>
                </c:pt>
                <c:pt idx="51">
                  <c:v>Apr.15</c:v>
                </c:pt>
                <c:pt idx="52">
                  <c:v>Mai.15</c:v>
                </c:pt>
                <c:pt idx="53">
                  <c:v>Jūn.15</c:v>
                </c:pt>
                <c:pt idx="54">
                  <c:v>Jūl.15</c:v>
                </c:pt>
                <c:pt idx="55">
                  <c:v>Aug.15</c:v>
                </c:pt>
                <c:pt idx="56">
                  <c:v>Sept.15</c:v>
                </c:pt>
                <c:pt idx="57">
                  <c:v>Okt.15</c:v>
                </c:pt>
                <c:pt idx="58">
                  <c:v>Nov.15</c:v>
                </c:pt>
                <c:pt idx="59">
                  <c:v>Dec.15</c:v>
                </c:pt>
                <c:pt idx="60">
                  <c:v>Jan.16</c:v>
                </c:pt>
                <c:pt idx="61">
                  <c:v>Febr.16</c:v>
                </c:pt>
                <c:pt idx="62">
                  <c:v>Mar.16</c:v>
                </c:pt>
                <c:pt idx="63">
                  <c:v>Apr.16</c:v>
                </c:pt>
                <c:pt idx="64">
                  <c:v>Mai.16</c:v>
                </c:pt>
                <c:pt idx="65">
                  <c:v>Jūn.16</c:v>
                </c:pt>
                <c:pt idx="66">
                  <c:v>Jūl.16</c:v>
                </c:pt>
                <c:pt idx="67">
                  <c:v>Aug.16</c:v>
                </c:pt>
                <c:pt idx="68">
                  <c:v>Sept.16</c:v>
                </c:pt>
              </c:strCache>
            </c:strRef>
          </c:cat>
          <c:val>
            <c:numRef>
              <c:f>Lapa2!$E$16:$E$84</c:f>
              <c:numCache>
                <c:formatCode>0.00</c:formatCode>
                <c:ptCount val="69"/>
                <c:pt idx="0">
                  <c:v>185.70877899999999</c:v>
                </c:pt>
                <c:pt idx="1">
                  <c:v>222.18644900000001</c:v>
                </c:pt>
                <c:pt idx="2">
                  <c:v>210.177122</c:v>
                </c:pt>
                <c:pt idx="3">
                  <c:v>207.32746</c:v>
                </c:pt>
                <c:pt idx="4">
                  <c:v>204.21941699999999</c:v>
                </c:pt>
                <c:pt idx="5">
                  <c:v>234.53989100000001</c:v>
                </c:pt>
                <c:pt idx="6">
                  <c:v>183.885989</c:v>
                </c:pt>
                <c:pt idx="7">
                  <c:v>169.97919899999999</c:v>
                </c:pt>
                <c:pt idx="8">
                  <c:v>175.677403</c:v>
                </c:pt>
                <c:pt idx="9">
                  <c:v>170.845957</c:v>
                </c:pt>
                <c:pt idx="10">
                  <c:v>163.18822800000001</c:v>
                </c:pt>
                <c:pt idx="11">
                  <c:v>160.80855399999999</c:v>
                </c:pt>
                <c:pt idx="12">
                  <c:v>171.64469</c:v>
                </c:pt>
                <c:pt idx="13">
                  <c:v>175.50463099999999</c:v>
                </c:pt>
                <c:pt idx="14">
                  <c:v>181.74506700000001</c:v>
                </c:pt>
                <c:pt idx="15">
                  <c:v>183.16900799999999</c:v>
                </c:pt>
                <c:pt idx="16">
                  <c:v>188.23826800000001</c:v>
                </c:pt>
                <c:pt idx="17">
                  <c:v>188.70147800000001</c:v>
                </c:pt>
                <c:pt idx="18">
                  <c:v>190.247658</c:v>
                </c:pt>
                <c:pt idx="19">
                  <c:v>194.890502</c:v>
                </c:pt>
                <c:pt idx="20">
                  <c:v>196.67178200000001</c:v>
                </c:pt>
                <c:pt idx="21">
                  <c:v>204.15096399999999</c:v>
                </c:pt>
                <c:pt idx="22">
                  <c:v>218.61807300000001</c:v>
                </c:pt>
                <c:pt idx="23">
                  <c:v>209.91456700000001</c:v>
                </c:pt>
                <c:pt idx="24">
                  <c:v>239.29093800000001</c:v>
                </c:pt>
                <c:pt idx="25">
                  <c:v>224.94650999999999</c:v>
                </c:pt>
                <c:pt idx="26">
                  <c:v>222.66961900000001</c:v>
                </c:pt>
                <c:pt idx="27">
                  <c:v>223.65973</c:v>
                </c:pt>
                <c:pt idx="28">
                  <c:v>214.15164200000001</c:v>
                </c:pt>
                <c:pt idx="29">
                  <c:v>207.99576200000001</c:v>
                </c:pt>
                <c:pt idx="30">
                  <c:v>164.30950000000001</c:v>
                </c:pt>
                <c:pt idx="31">
                  <c:v>144.985097</c:v>
                </c:pt>
                <c:pt idx="32">
                  <c:v>146.549893</c:v>
                </c:pt>
                <c:pt idx="33">
                  <c:v>162.285742</c:v>
                </c:pt>
                <c:pt idx="34">
                  <c:v>173.47908899999999</c:v>
                </c:pt>
                <c:pt idx="35">
                  <c:v>181.633061</c:v>
                </c:pt>
                <c:pt idx="36">
                  <c:v>183.46</c:v>
                </c:pt>
                <c:pt idx="37">
                  <c:v>185.97</c:v>
                </c:pt>
                <c:pt idx="38">
                  <c:v>184.60499999999999</c:v>
                </c:pt>
                <c:pt idx="39">
                  <c:v>171.59</c:v>
                </c:pt>
                <c:pt idx="40">
                  <c:v>180.04</c:v>
                </c:pt>
                <c:pt idx="41">
                  <c:v>183.25</c:v>
                </c:pt>
                <c:pt idx="42">
                  <c:v>155.20500000000001</c:v>
                </c:pt>
                <c:pt idx="43">
                  <c:v>152.93</c:v>
                </c:pt>
                <c:pt idx="44">
                  <c:v>121.58</c:v>
                </c:pt>
                <c:pt idx="45">
                  <c:v>122.66</c:v>
                </c:pt>
                <c:pt idx="46">
                  <c:v>146.29</c:v>
                </c:pt>
                <c:pt idx="47">
                  <c:v>154.85599999999999</c:v>
                </c:pt>
                <c:pt idx="48">
                  <c:v>166.46700000000001</c:v>
                </c:pt>
                <c:pt idx="49">
                  <c:v>161.25399999999999</c:v>
                </c:pt>
                <c:pt idx="50">
                  <c:v>159.34899999999999</c:v>
                </c:pt>
                <c:pt idx="51">
                  <c:v>152.70500000000001</c:v>
                </c:pt>
                <c:pt idx="52">
                  <c:v>153.304</c:v>
                </c:pt>
                <c:pt idx="53">
                  <c:v>151.80000000000001</c:v>
                </c:pt>
                <c:pt idx="54">
                  <c:v>151.709</c:v>
                </c:pt>
                <c:pt idx="55">
                  <c:v>133.97</c:v>
                </c:pt>
                <c:pt idx="56">
                  <c:v>132.54499999999999</c:v>
                </c:pt>
                <c:pt idx="57">
                  <c:v>117.514</c:v>
                </c:pt>
                <c:pt idx="58">
                  <c:v>124.235</c:v>
                </c:pt>
                <c:pt idx="59">
                  <c:v>133.06</c:v>
                </c:pt>
                <c:pt idx="60">
                  <c:v>123.289</c:v>
                </c:pt>
                <c:pt idx="61">
                  <c:v>111.038</c:v>
                </c:pt>
                <c:pt idx="62">
                  <c:v>123.48</c:v>
                </c:pt>
                <c:pt idx="63">
                  <c:v>129.09</c:v>
                </c:pt>
                <c:pt idx="64">
                  <c:v>123.44</c:v>
                </c:pt>
                <c:pt idx="65">
                  <c:v>125.7</c:v>
                </c:pt>
                <c:pt idx="66">
                  <c:v>125.66</c:v>
                </c:pt>
                <c:pt idx="67">
                  <c:v>125.66</c:v>
                </c:pt>
                <c:pt idx="68">
                  <c:v>120.29900000000001</c:v>
                </c:pt>
              </c:numCache>
            </c:numRef>
          </c:val>
          <c:smooth val="1"/>
          <c:extLst xmlns:c16r2="http://schemas.microsoft.com/office/drawing/2015/06/chart">
            <c:ext xmlns:c16="http://schemas.microsoft.com/office/drawing/2014/chart" uri="{C3380CC4-5D6E-409C-BE32-E72D297353CC}">
              <c16:uniqueId val="{00000003-C84D-4285-A43F-0321C94B1884}"/>
            </c:ext>
          </c:extLst>
        </c:ser>
        <c:dLbls>
          <c:showLegendKey val="0"/>
          <c:showVal val="0"/>
          <c:showCatName val="0"/>
          <c:showSerName val="0"/>
          <c:showPercent val="0"/>
          <c:showBubbleSize val="0"/>
        </c:dLbls>
        <c:smooth val="0"/>
        <c:axId val="317537392"/>
        <c:axId val="317537000"/>
      </c:lineChart>
      <c:catAx>
        <c:axId val="31753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17537000"/>
        <c:crosses val="autoZero"/>
        <c:auto val="1"/>
        <c:lblAlgn val="ctr"/>
        <c:lblOffset val="100"/>
        <c:noMultiLvlLbl val="0"/>
      </c:catAx>
      <c:valAx>
        <c:axId val="317537000"/>
        <c:scaling>
          <c:orientation val="minMax"/>
          <c:max val="260"/>
          <c:min val="100"/>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EUR/t</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17537392"/>
        <c:crosses val="autoZero"/>
        <c:crossBetween val="between"/>
      </c:valAx>
      <c:spPr>
        <a:noFill/>
        <a:ln>
          <a:noFill/>
        </a:ln>
        <a:effectLst/>
      </c:spPr>
    </c:plotArea>
    <c:legend>
      <c:legendPos val="b"/>
      <c:layout>
        <c:manualLayout>
          <c:xMode val="edge"/>
          <c:yMode val="edge"/>
          <c:x val="4.3567629962485054E-2"/>
          <c:y val="0.83449657334499849"/>
          <c:w val="0.93031674705583256"/>
          <c:h val="0.1655034266550014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66901650382708"/>
          <c:y val="4.112212892475578E-2"/>
          <c:w val="0.74263813881903507"/>
          <c:h val="0.62012243931126865"/>
        </c:manualLayout>
      </c:layout>
      <c:lineChart>
        <c:grouping val="standard"/>
        <c:varyColors val="0"/>
        <c:ser>
          <c:idx val="1"/>
          <c:order val="0"/>
          <c:tx>
            <c:strRef>
              <c:f>Lapa2!$U$3</c:f>
              <c:strCache>
                <c:ptCount val="1"/>
                <c:pt idx="0">
                  <c:v>Lopbarības mieži</c:v>
                </c:pt>
              </c:strCache>
            </c:strRef>
          </c:tx>
          <c:spPr>
            <a:ln w="22225" cap="rnd">
              <a:solidFill>
                <a:schemeClr val="accent5">
                  <a:lumMod val="60000"/>
                  <a:lumOff val="40000"/>
                </a:schemeClr>
              </a:solidFill>
              <a:round/>
            </a:ln>
            <a:effectLst/>
          </c:spPr>
          <c:marker>
            <c:symbol val="none"/>
          </c:marker>
          <c:dLbls>
            <c:dLbl>
              <c:idx val="68"/>
              <c:layout>
                <c:manualLayout>
                  <c:x val="-7.411260380608992E-4"/>
                  <c:y val="1.3670483876237366E-2"/>
                </c:manualLayout>
              </c:layout>
              <c:tx>
                <c:rich>
                  <a:bodyPr/>
                  <a:lstStyle/>
                  <a:p>
                    <a:r>
                      <a:rPr lang="en-US" b="1">
                        <a:solidFill>
                          <a:schemeClr val="accent5">
                            <a:lumMod val="75000"/>
                          </a:schemeClr>
                        </a:solidFill>
                      </a:rPr>
                      <a:t>109,5</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Lapa2!$S$16:$S$84</c:f>
              <c:strCache>
                <c:ptCount val="69"/>
                <c:pt idx="0">
                  <c:v>Jan.11</c:v>
                </c:pt>
                <c:pt idx="1">
                  <c:v>Febr.11</c:v>
                </c:pt>
                <c:pt idx="2">
                  <c:v>Mar.11</c:v>
                </c:pt>
                <c:pt idx="3">
                  <c:v>Apr.11</c:v>
                </c:pt>
                <c:pt idx="4">
                  <c:v>Mai.11</c:v>
                </c:pt>
                <c:pt idx="5">
                  <c:v>Jūn.11</c:v>
                </c:pt>
                <c:pt idx="6">
                  <c:v>Jūl.11</c:v>
                </c:pt>
                <c:pt idx="7">
                  <c:v>Aug.11</c:v>
                </c:pt>
                <c:pt idx="8">
                  <c:v>Sept.11</c:v>
                </c:pt>
                <c:pt idx="9">
                  <c:v>Okt.11</c:v>
                </c:pt>
                <c:pt idx="10">
                  <c:v>Nov.11</c:v>
                </c:pt>
                <c:pt idx="11">
                  <c:v>Dec.11</c:v>
                </c:pt>
                <c:pt idx="12">
                  <c:v>Jan.12</c:v>
                </c:pt>
                <c:pt idx="13">
                  <c:v>Febr.12</c:v>
                </c:pt>
                <c:pt idx="14">
                  <c:v>Mar.12</c:v>
                </c:pt>
                <c:pt idx="15">
                  <c:v>Apr.12</c:v>
                </c:pt>
                <c:pt idx="16">
                  <c:v>Mai.12</c:v>
                </c:pt>
                <c:pt idx="17">
                  <c:v>Jūn.12</c:v>
                </c:pt>
                <c:pt idx="18">
                  <c:v>Jūl.12</c:v>
                </c:pt>
                <c:pt idx="19">
                  <c:v>Aug.12</c:v>
                </c:pt>
                <c:pt idx="20">
                  <c:v>Sept.12</c:v>
                </c:pt>
                <c:pt idx="21">
                  <c:v>Okt.12</c:v>
                </c:pt>
                <c:pt idx="22">
                  <c:v>Nov.12</c:v>
                </c:pt>
                <c:pt idx="23">
                  <c:v>Dec.12</c:v>
                </c:pt>
                <c:pt idx="24">
                  <c:v>Jan.13</c:v>
                </c:pt>
                <c:pt idx="25">
                  <c:v>Febr.13</c:v>
                </c:pt>
                <c:pt idx="26">
                  <c:v>Mar.13</c:v>
                </c:pt>
                <c:pt idx="27">
                  <c:v>Apr.13</c:v>
                </c:pt>
                <c:pt idx="28">
                  <c:v>Mai.13</c:v>
                </c:pt>
                <c:pt idx="29">
                  <c:v>Jūn.13</c:v>
                </c:pt>
                <c:pt idx="30">
                  <c:v>Jūl.13</c:v>
                </c:pt>
                <c:pt idx="31">
                  <c:v>Aug.13</c:v>
                </c:pt>
                <c:pt idx="32">
                  <c:v>Sept.13</c:v>
                </c:pt>
                <c:pt idx="33">
                  <c:v>Okt.13</c:v>
                </c:pt>
                <c:pt idx="34">
                  <c:v>Nov.13</c:v>
                </c:pt>
                <c:pt idx="35">
                  <c:v>Dec.13</c:v>
                </c:pt>
                <c:pt idx="36">
                  <c:v>Jan.14</c:v>
                </c:pt>
                <c:pt idx="37">
                  <c:v>Febr.14</c:v>
                </c:pt>
                <c:pt idx="38">
                  <c:v>Mar.14</c:v>
                </c:pt>
                <c:pt idx="39">
                  <c:v>Apr.14</c:v>
                </c:pt>
                <c:pt idx="40">
                  <c:v>Mai.14</c:v>
                </c:pt>
                <c:pt idx="41">
                  <c:v>Jūn.14</c:v>
                </c:pt>
                <c:pt idx="42">
                  <c:v>Jūl.14</c:v>
                </c:pt>
                <c:pt idx="43">
                  <c:v>Aug.14</c:v>
                </c:pt>
                <c:pt idx="44">
                  <c:v>Sept.14</c:v>
                </c:pt>
                <c:pt idx="45">
                  <c:v>Okt.14</c:v>
                </c:pt>
                <c:pt idx="46">
                  <c:v>Nov.14</c:v>
                </c:pt>
                <c:pt idx="47">
                  <c:v>Dec.14</c:v>
                </c:pt>
                <c:pt idx="48">
                  <c:v>Jan.15</c:v>
                </c:pt>
                <c:pt idx="49">
                  <c:v>Febr.15</c:v>
                </c:pt>
                <c:pt idx="50">
                  <c:v>Mar.15</c:v>
                </c:pt>
                <c:pt idx="51">
                  <c:v>Apr.15</c:v>
                </c:pt>
                <c:pt idx="52">
                  <c:v>Mai.15</c:v>
                </c:pt>
                <c:pt idx="53">
                  <c:v>Jūn.15</c:v>
                </c:pt>
                <c:pt idx="54">
                  <c:v>Jūl.15</c:v>
                </c:pt>
                <c:pt idx="55">
                  <c:v>Aug.15</c:v>
                </c:pt>
                <c:pt idx="56">
                  <c:v>Sept.15</c:v>
                </c:pt>
                <c:pt idx="57">
                  <c:v>Okt.15</c:v>
                </c:pt>
                <c:pt idx="58">
                  <c:v>Nov.15</c:v>
                </c:pt>
                <c:pt idx="59">
                  <c:v>Dec.15</c:v>
                </c:pt>
                <c:pt idx="60">
                  <c:v>Jan.16</c:v>
                </c:pt>
                <c:pt idx="61">
                  <c:v>Febr.16</c:v>
                </c:pt>
                <c:pt idx="62">
                  <c:v>Mar.16</c:v>
                </c:pt>
                <c:pt idx="63">
                  <c:v>Apr.16</c:v>
                </c:pt>
                <c:pt idx="64">
                  <c:v>Mai.16</c:v>
                </c:pt>
                <c:pt idx="65">
                  <c:v>Jūn.16</c:v>
                </c:pt>
                <c:pt idx="66">
                  <c:v>Jūl.16</c:v>
                </c:pt>
                <c:pt idx="67">
                  <c:v>Aug.16</c:v>
                </c:pt>
                <c:pt idx="68">
                  <c:v>Sept.16</c:v>
                </c:pt>
              </c:strCache>
            </c:strRef>
          </c:cat>
          <c:val>
            <c:numRef>
              <c:f>Lapa2!$U$16:$U$84</c:f>
              <c:numCache>
                <c:formatCode>0.00</c:formatCode>
                <c:ptCount val="69"/>
                <c:pt idx="0">
                  <c:v>149.808212</c:v>
                </c:pt>
                <c:pt idx="1">
                  <c:v>179.16548499999999</c:v>
                </c:pt>
                <c:pt idx="2">
                  <c:v>194.58827099999999</c:v>
                </c:pt>
                <c:pt idx="3">
                  <c:v>195.60543999999999</c:v>
                </c:pt>
                <c:pt idx="4">
                  <c:v>155.012597</c:v>
                </c:pt>
                <c:pt idx="5">
                  <c:v>184.60082199999999</c:v>
                </c:pt>
                <c:pt idx="6">
                  <c:v>160.931712</c:v>
                </c:pt>
                <c:pt idx="7">
                  <c:v>173.67748800000001</c:v>
                </c:pt>
                <c:pt idx="8">
                  <c:v>181.337636</c:v>
                </c:pt>
                <c:pt idx="9">
                  <c:v>170.707538</c:v>
                </c:pt>
                <c:pt idx="10">
                  <c:v>174.46399299999999</c:v>
                </c:pt>
                <c:pt idx="11">
                  <c:v>167.49062599999999</c:v>
                </c:pt>
                <c:pt idx="12">
                  <c:v>169.06312600000001</c:v>
                </c:pt>
                <c:pt idx="13">
                  <c:v>176.378289</c:v>
                </c:pt>
                <c:pt idx="14">
                  <c:v>170.52515299999999</c:v>
                </c:pt>
                <c:pt idx="15">
                  <c:v>154.941225</c:v>
                </c:pt>
                <c:pt idx="16">
                  <c:v>146.026364</c:v>
                </c:pt>
                <c:pt idx="17">
                  <c:v>179.387506</c:v>
                </c:pt>
                <c:pt idx="18">
                  <c:v>203.33282600000001</c:v>
                </c:pt>
                <c:pt idx="19">
                  <c:v>199.46716000000001</c:v>
                </c:pt>
                <c:pt idx="20">
                  <c:v>209.02702300000001</c:v>
                </c:pt>
                <c:pt idx="21">
                  <c:v>208.24704700000001</c:v>
                </c:pt>
                <c:pt idx="22">
                  <c:v>214.73762400000001</c:v>
                </c:pt>
                <c:pt idx="23">
                  <c:v>216.74955199999999</c:v>
                </c:pt>
                <c:pt idx="24">
                  <c:v>206.759535</c:v>
                </c:pt>
                <c:pt idx="25">
                  <c:v>225.995634</c:v>
                </c:pt>
                <c:pt idx="26">
                  <c:v>204.037272</c:v>
                </c:pt>
                <c:pt idx="27">
                  <c:v>186.143586</c:v>
                </c:pt>
                <c:pt idx="28">
                  <c:v>181.50776099999999</c:v>
                </c:pt>
                <c:pt idx="29">
                  <c:v>176.147516</c:v>
                </c:pt>
                <c:pt idx="30">
                  <c:v>145.061702</c:v>
                </c:pt>
                <c:pt idx="31">
                  <c:v>145.87594999999999</c:v>
                </c:pt>
                <c:pt idx="32">
                  <c:v>155.98338699999999</c:v>
                </c:pt>
                <c:pt idx="33">
                  <c:v>156.43163899999999</c:v>
                </c:pt>
                <c:pt idx="34">
                  <c:v>161.02153300000001</c:v>
                </c:pt>
                <c:pt idx="35">
                  <c:v>171.14238</c:v>
                </c:pt>
                <c:pt idx="36">
                  <c:v>157.23699999999999</c:v>
                </c:pt>
                <c:pt idx="37">
                  <c:v>164.22499999999999</c:v>
                </c:pt>
                <c:pt idx="38">
                  <c:v>151.49600000000001</c:v>
                </c:pt>
                <c:pt idx="39">
                  <c:v>216.29599999999999</c:v>
                </c:pt>
                <c:pt idx="40">
                  <c:v>189.2</c:v>
                </c:pt>
                <c:pt idx="41">
                  <c:v>173.10499999999999</c:v>
                </c:pt>
                <c:pt idx="42">
                  <c:v>143.88499999999999</c:v>
                </c:pt>
                <c:pt idx="43">
                  <c:v>123.456</c:v>
                </c:pt>
                <c:pt idx="44">
                  <c:v>120.12</c:v>
                </c:pt>
                <c:pt idx="45">
                  <c:v>135.77000000000001</c:v>
                </c:pt>
                <c:pt idx="46">
                  <c:v>138.767</c:v>
                </c:pt>
                <c:pt idx="47">
                  <c:v>149.95500000000001</c:v>
                </c:pt>
                <c:pt idx="48">
                  <c:v>160.12200000000001</c:v>
                </c:pt>
                <c:pt idx="49">
                  <c:v>154.375</c:v>
                </c:pt>
                <c:pt idx="50">
                  <c:v>149.33699999999999</c:v>
                </c:pt>
                <c:pt idx="51">
                  <c:v>150.78</c:v>
                </c:pt>
                <c:pt idx="52">
                  <c:v>149.62</c:v>
                </c:pt>
                <c:pt idx="53">
                  <c:v>142.76</c:v>
                </c:pt>
                <c:pt idx="54">
                  <c:v>152.864</c:v>
                </c:pt>
                <c:pt idx="55">
                  <c:v>130.28</c:v>
                </c:pt>
                <c:pt idx="56">
                  <c:v>116.88</c:v>
                </c:pt>
                <c:pt idx="57">
                  <c:v>134.31</c:v>
                </c:pt>
                <c:pt idx="58">
                  <c:v>142.797</c:v>
                </c:pt>
                <c:pt idx="59">
                  <c:v>120.02</c:v>
                </c:pt>
                <c:pt idx="60">
                  <c:v>128.13800000000001</c:v>
                </c:pt>
                <c:pt idx="61">
                  <c:v>105.706</c:v>
                </c:pt>
                <c:pt idx="62">
                  <c:v>116.71</c:v>
                </c:pt>
                <c:pt idx="63">
                  <c:v>130.94</c:v>
                </c:pt>
                <c:pt idx="64">
                  <c:v>121.226</c:v>
                </c:pt>
                <c:pt idx="65">
                  <c:v>121.43</c:v>
                </c:pt>
                <c:pt idx="66">
                  <c:v>117.52</c:v>
                </c:pt>
                <c:pt idx="67">
                  <c:v>117.52</c:v>
                </c:pt>
                <c:pt idx="68">
                  <c:v>109.44</c:v>
                </c:pt>
              </c:numCache>
            </c:numRef>
          </c:val>
          <c:smooth val="1"/>
          <c:extLst xmlns:c16r2="http://schemas.microsoft.com/office/drawing/2015/06/chart">
            <c:ext xmlns:c16="http://schemas.microsoft.com/office/drawing/2014/chart" uri="{C3380CC4-5D6E-409C-BE32-E72D297353CC}">
              <c16:uniqueId val="{00000001-B9DF-4717-BBD1-D0ACA90C0691}"/>
            </c:ext>
          </c:extLst>
        </c:ser>
        <c:dLbls>
          <c:showLegendKey val="0"/>
          <c:showVal val="0"/>
          <c:showCatName val="0"/>
          <c:showSerName val="0"/>
          <c:showPercent val="0"/>
          <c:showBubbleSize val="0"/>
        </c:dLbls>
        <c:smooth val="0"/>
        <c:axId val="317534256"/>
        <c:axId val="317249424"/>
      </c:lineChart>
      <c:catAx>
        <c:axId val="31753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17249424"/>
        <c:crosses val="autoZero"/>
        <c:auto val="1"/>
        <c:lblAlgn val="ctr"/>
        <c:lblOffset val="100"/>
        <c:noMultiLvlLbl val="0"/>
      </c:catAx>
      <c:valAx>
        <c:axId val="317249424"/>
        <c:scaling>
          <c:orientation val="minMax"/>
          <c:max val="260"/>
          <c:min val="100"/>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EUR/t</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17534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0.14896</cdr:x>
      <cdr:y>0.39182</cdr:y>
    </cdr:from>
    <cdr:to>
      <cdr:x>0.88502</cdr:x>
      <cdr:y>0.39511</cdr:y>
    </cdr:to>
    <cdr:cxnSp macro="">
      <cdr:nvCxnSpPr>
        <cdr:cNvPr id="3" name="Straight Connector 2"/>
        <cdr:cNvCxnSpPr/>
      </cdr:nvCxnSpPr>
      <cdr:spPr>
        <a:xfrm xmlns:a="http://schemas.openxmlformats.org/drawingml/2006/main">
          <a:off x="405516" y="946205"/>
          <a:ext cx="2003729" cy="7951"/>
        </a:xfrm>
        <a:prstGeom xmlns:a="http://schemas.openxmlformats.org/drawingml/2006/main" prst="line">
          <a:avLst/>
        </a:prstGeom>
        <a:ln xmlns:a="http://schemas.openxmlformats.org/drawingml/2006/main">
          <a:solidFill>
            <a:schemeClr val="accent2">
              <a:lumMod val="75000"/>
            </a:schemeClr>
          </a:solidFill>
          <a:prstDash val="sysDot"/>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0.55792</cdr:x>
      <cdr:y>0.05916</cdr:y>
    </cdr:from>
    <cdr:to>
      <cdr:x>0.98251</cdr:x>
      <cdr:y>0.24454</cdr:y>
    </cdr:to>
    <cdr:sp macro="" textlink="">
      <cdr:nvSpPr>
        <cdr:cNvPr id="6" name="Rounded Rectangular Callout 5"/>
        <cdr:cNvSpPr/>
      </cdr:nvSpPr>
      <cdr:spPr>
        <a:xfrm xmlns:a="http://schemas.openxmlformats.org/drawingml/2006/main">
          <a:off x="1518782" y="142875"/>
          <a:ext cx="1155838" cy="447675"/>
        </a:xfrm>
        <a:prstGeom xmlns:a="http://schemas.openxmlformats.org/drawingml/2006/main" prst="wedgeRoundRectCallout">
          <a:avLst>
            <a:gd name="adj1" fmla="val 5560"/>
            <a:gd name="adj2" fmla="val 130249"/>
            <a:gd name="adj3" fmla="val 16667"/>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wrap="square" lIns="0" tIns="0" rIns="0" bIns="0">
          <a:noAutofit/>
        </a:bodyPr>
        <a:lstStyle xmlns:a="http://schemas.openxmlformats.org/drawingml/2006/main"/>
        <a:p xmlns:a="http://schemas.openxmlformats.org/drawingml/2006/main">
          <a:pPr algn="ctr"/>
          <a:r>
            <a:rPr lang="lv-LV" sz="800">
              <a:latin typeface="Times New Roman" panose="02020603050405020304" pitchFamily="18" charset="0"/>
              <a:cs typeface="Times New Roman" panose="02020603050405020304" pitchFamily="18" charset="0"/>
            </a:rPr>
            <a:t>Iepriekšējo</a:t>
          </a:r>
          <a:r>
            <a:rPr lang="lv-LV" sz="800" baseline="0">
              <a:latin typeface="Times New Roman" panose="02020603050405020304" pitchFamily="18" charset="0"/>
              <a:cs typeface="Times New Roman" panose="02020603050405020304" pitchFamily="18" charset="0"/>
            </a:rPr>
            <a:t> triju tirdzniecības gadu vidējā cena 168 eur/t</a:t>
          </a:r>
          <a:endParaRPr lang="lv-LV" sz="8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0.14896</cdr:x>
      <cdr:y>0.51015</cdr:y>
    </cdr:from>
    <cdr:to>
      <cdr:x>0.88502</cdr:x>
      <cdr:y>0.51344</cdr:y>
    </cdr:to>
    <cdr:cxnSp macro="">
      <cdr:nvCxnSpPr>
        <cdr:cNvPr id="4" name="Straight Connector 3"/>
        <cdr:cNvCxnSpPr/>
      </cdr:nvCxnSpPr>
      <cdr:spPr>
        <a:xfrm xmlns:a="http://schemas.openxmlformats.org/drawingml/2006/main">
          <a:off x="405506" y="1231958"/>
          <a:ext cx="2003735" cy="7945"/>
        </a:xfrm>
        <a:prstGeom xmlns:a="http://schemas.openxmlformats.org/drawingml/2006/main" prst="line">
          <a:avLst/>
        </a:prstGeom>
        <a:ln xmlns:a="http://schemas.openxmlformats.org/drawingml/2006/main">
          <a:solidFill>
            <a:srgbClr val="FFC000"/>
          </a:solidFill>
          <a:prstDash val="sysDot"/>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0.1672</cdr:x>
      <cdr:y>0.55614</cdr:y>
    </cdr:from>
    <cdr:to>
      <cdr:x>0.3219</cdr:x>
      <cdr:y>0.62582</cdr:y>
    </cdr:to>
    <cdr:sp macro="" textlink="">
      <cdr:nvSpPr>
        <cdr:cNvPr id="5" name="Rounded Rectangular Callout 4"/>
        <cdr:cNvSpPr/>
      </cdr:nvSpPr>
      <cdr:spPr>
        <a:xfrm xmlns:a="http://schemas.openxmlformats.org/drawingml/2006/main">
          <a:off x="455157" y="1343025"/>
          <a:ext cx="421143" cy="168275"/>
        </a:xfrm>
        <a:prstGeom xmlns:a="http://schemas.openxmlformats.org/drawingml/2006/main" prst="wedgeRoundRectCallout">
          <a:avLst>
            <a:gd name="adj1" fmla="val -9273"/>
            <a:gd name="adj2" fmla="val -111286"/>
            <a:gd name="adj3" fmla="val 16667"/>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lIns="0" tIns="0" rIns="0" bIns="0">
          <a:noAutofit/>
        </a:bodyPr>
        <a:lstStyle xmlns:a="http://schemas.openxmlformats.org/drawingml/2006/main"/>
        <a:p xmlns:a="http://schemas.openxmlformats.org/drawingml/2006/main">
          <a:r>
            <a:rPr lang="lv-LV" sz="800">
              <a:latin typeface="Times New Roman" panose="02020603050405020304" pitchFamily="18" charset="0"/>
              <a:cs typeface="Times New Roman" panose="02020603050405020304" pitchFamily="18" charset="0"/>
            </a:rPr>
            <a:t>139 eur/t</a:t>
          </a:r>
        </a:p>
      </cdr:txBody>
    </cdr:sp>
  </cdr:relSizeAnchor>
  <cdr:relSizeAnchor xmlns:cdr="http://schemas.openxmlformats.org/drawingml/2006/chartDrawing">
    <cdr:from>
      <cdr:x>0.86307</cdr:x>
      <cdr:y>0.37865</cdr:y>
    </cdr:from>
    <cdr:to>
      <cdr:x>1</cdr:x>
      <cdr:y>0.49435</cdr:y>
    </cdr:to>
    <cdr:sp macro="" textlink="">
      <cdr:nvSpPr>
        <cdr:cNvPr id="2" name="Text Box 1"/>
        <cdr:cNvSpPr txBox="1"/>
      </cdr:nvSpPr>
      <cdr:spPr>
        <a:xfrm xmlns:a="http://schemas.openxmlformats.org/drawingml/2006/main">
          <a:off x="2349500" y="914400"/>
          <a:ext cx="372745" cy="279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i="1">
              <a:solidFill>
                <a:schemeClr val="bg1">
                  <a:lumMod val="50000"/>
                </a:schemeClr>
              </a:solidFill>
              <a:latin typeface="Times New Roman" panose="02020603050405020304" pitchFamily="18" charset="0"/>
              <a:cs typeface="Times New Roman" panose="02020603050405020304" pitchFamily="18" charset="0"/>
            </a:rPr>
            <a:t>29%</a:t>
          </a:r>
        </a:p>
      </cdr:txBody>
    </cdr:sp>
  </cdr:relSizeAnchor>
</c:userShapes>
</file>

<file path=word/drawings/drawing2.xml><?xml version="1.0" encoding="utf-8"?>
<c:userShapes xmlns:c="http://schemas.openxmlformats.org/drawingml/2006/chart">
  <cdr:relSizeAnchor xmlns:cdr="http://schemas.openxmlformats.org/drawingml/2006/chartDrawing">
    <cdr:from>
      <cdr:x>0.14625</cdr:x>
      <cdr:y>0.51351</cdr:y>
    </cdr:from>
    <cdr:to>
      <cdr:x>0.88043</cdr:x>
      <cdr:y>0.51675</cdr:y>
    </cdr:to>
    <cdr:cxnSp macro="">
      <cdr:nvCxnSpPr>
        <cdr:cNvPr id="2" name="Straight Connector 1"/>
        <cdr:cNvCxnSpPr/>
      </cdr:nvCxnSpPr>
      <cdr:spPr>
        <a:xfrm xmlns:a="http://schemas.openxmlformats.org/drawingml/2006/main">
          <a:off x="399156" y="1257358"/>
          <a:ext cx="2003735" cy="7945"/>
        </a:xfrm>
        <a:prstGeom xmlns:a="http://schemas.openxmlformats.org/drawingml/2006/main" prst="line">
          <a:avLst/>
        </a:prstGeom>
        <a:ln xmlns:a="http://schemas.openxmlformats.org/drawingml/2006/main">
          <a:solidFill>
            <a:schemeClr val="accent5">
              <a:lumMod val="60000"/>
              <a:lumOff val="40000"/>
            </a:schemeClr>
          </a:solidFill>
          <a:prstDash val="sysDot"/>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0.8322</cdr:x>
      <cdr:y>0.38252</cdr:y>
    </cdr:from>
    <cdr:to>
      <cdr:x>0.98651</cdr:x>
      <cdr:y>0.45124</cdr:y>
    </cdr:to>
    <cdr:sp macro="" textlink="">
      <cdr:nvSpPr>
        <cdr:cNvPr id="3" name="Rounded Rectangular Callout 2"/>
        <cdr:cNvSpPr/>
      </cdr:nvSpPr>
      <cdr:spPr>
        <a:xfrm xmlns:a="http://schemas.openxmlformats.org/drawingml/2006/main">
          <a:off x="2271257" y="936625"/>
          <a:ext cx="421143" cy="168275"/>
        </a:xfrm>
        <a:prstGeom xmlns:a="http://schemas.openxmlformats.org/drawingml/2006/main" prst="wedgeRoundRectCallout">
          <a:avLst>
            <a:gd name="adj1" fmla="val -46968"/>
            <a:gd name="adj2" fmla="val 141544"/>
            <a:gd name="adj3" fmla="val 16667"/>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wrap="square" lIns="0" tIns="0" rIns="0" bIns="0">
          <a:noAutofit/>
        </a:bodyPr>
        <a:lstStyle xmlns:a="http://schemas.openxmlformats.org/drawingml/2006/main"/>
        <a:p xmlns:a="http://schemas.openxmlformats.org/drawingml/2006/main">
          <a:r>
            <a:rPr lang="lv-LV" sz="800">
              <a:latin typeface="Times New Roman" panose="02020603050405020304" pitchFamily="18" charset="0"/>
              <a:cs typeface="Times New Roman" panose="02020603050405020304" pitchFamily="18" charset="0"/>
            </a:rPr>
            <a:t>139 eur/t</a:t>
          </a:r>
        </a:p>
      </cdr:txBody>
    </cdr:sp>
  </cdr:relSizeAnchor>
  <cdr:relSizeAnchor xmlns:cdr="http://schemas.openxmlformats.org/drawingml/2006/chartDrawing">
    <cdr:from>
      <cdr:x>0.88171</cdr:x>
      <cdr:y>0.51245</cdr:y>
    </cdr:from>
    <cdr:to>
      <cdr:x>0.88357</cdr:x>
      <cdr:y>0.63797</cdr:y>
    </cdr:to>
    <cdr:cxnSp macro="">
      <cdr:nvCxnSpPr>
        <cdr:cNvPr id="4" name="Straight Arrow Connector 3"/>
        <cdr:cNvCxnSpPr/>
      </cdr:nvCxnSpPr>
      <cdr:spPr>
        <a:xfrm xmlns:a="http://schemas.openxmlformats.org/drawingml/2006/main" flipH="1">
          <a:off x="2457893" y="1254760"/>
          <a:ext cx="5189" cy="307340"/>
        </a:xfrm>
        <a:prstGeom xmlns:a="http://schemas.openxmlformats.org/drawingml/2006/main" prst="straightConnector1">
          <a:avLst/>
        </a:prstGeom>
        <a:ln xmlns:a="http://schemas.openxmlformats.org/drawingml/2006/main">
          <a:solidFill>
            <a:schemeClr val="bg1">
              <a:lumMod val="50000"/>
            </a:schemeClr>
          </a:solidFill>
          <a:headEnd type="triangle"/>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0.86342</cdr:x>
      <cdr:y>0.50571</cdr:y>
    </cdr:from>
    <cdr:to>
      <cdr:x>1</cdr:x>
      <cdr:y>0.61981</cdr:y>
    </cdr:to>
    <cdr:sp macro="" textlink="">
      <cdr:nvSpPr>
        <cdr:cNvPr id="6" name="Text Box 1"/>
        <cdr:cNvSpPr txBox="1"/>
      </cdr:nvSpPr>
      <cdr:spPr>
        <a:xfrm xmlns:a="http://schemas.openxmlformats.org/drawingml/2006/main">
          <a:off x="2356485" y="1238250"/>
          <a:ext cx="372745" cy="279400"/>
        </a:xfrm>
        <a:prstGeom xmlns:a="http://schemas.openxmlformats.org/drawingml/2006/main" prst="rect">
          <a:avLst/>
        </a:prstGeom>
      </cdr:spPr>
    </cdr:sp>
  </cdr:relSizeAnchor>
  <cdr:relSizeAnchor xmlns:cdr="http://schemas.openxmlformats.org/drawingml/2006/chartDrawing">
    <cdr:from>
      <cdr:x>0.86319</cdr:x>
      <cdr:y>0.47977</cdr:y>
    </cdr:from>
    <cdr:to>
      <cdr:x>1</cdr:x>
      <cdr:y>0.58351</cdr:y>
    </cdr:to>
    <cdr:sp macro="" textlink="">
      <cdr:nvSpPr>
        <cdr:cNvPr id="7" name="Text Box 6"/>
        <cdr:cNvSpPr txBox="1"/>
      </cdr:nvSpPr>
      <cdr:spPr>
        <a:xfrm xmlns:a="http://schemas.openxmlformats.org/drawingml/2006/main">
          <a:off x="2355850" y="1174750"/>
          <a:ext cx="37338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i="1">
              <a:solidFill>
                <a:schemeClr val="bg1">
                  <a:lumMod val="50000"/>
                </a:schemeClr>
              </a:solidFill>
              <a:latin typeface="Times New Roman" panose="02020603050405020304" pitchFamily="18" charset="0"/>
              <a:cs typeface="Times New Roman" panose="02020603050405020304" pitchFamily="18" charset="0"/>
            </a:rPr>
            <a:t>21%</a:t>
          </a:r>
        </a:p>
      </cdr:txBody>
    </cdr:sp>
  </cdr:relSizeAnchor>
</c:userShape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5E4C-4C23-48BE-A3AF-7ED1CC0D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Dokumentiem tukss</Template>
  <TotalTime>32</TotalTime>
  <Pages>5</Pages>
  <Words>1425</Words>
  <Characters>9463</Characters>
  <Application>Microsoft Office Word</Application>
  <DocSecurity>0</DocSecurity>
  <Lines>210</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lai nodrošinātu Lauku atbalsta dienesta informācijas sistēmu pielāgošanu agrās brīdināšanas principa ieviešanai pirmreizējas pārdeklarācijas gadījumos 2016. gadā</vt:lpstr>
      <vt:lpstr>Informatīvais ziņojums par lai nodrošinātu Lauku atbalsta dienesta informācijas sistēmu pielāgošanu agrās brīdināšanas principa ieviešanai pirmreizējas pārdeklarācijas gadījumos 2016. gadā</vt:lpstr>
    </vt:vector>
  </TitlesOfParts>
  <Company>Zemkopības ministrija</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lai nodrošinātu Lauku atbalsta dienesta informācijas sistēmu pielāgošanu agrās brīdināšanas principa ieviešanai pirmreizējas pārdeklarācijas gadījumos 2016. gadā</dc:title>
  <dc:subject>informatīvais ziņojums</dc:subject>
  <dc:creator>Andris.Orlovskis@zm.gov.lv</dc:creator>
  <dc:description>andris.orlovskis@zm.gov.lv, 67027370</dc:description>
  <cp:lastModifiedBy>Sanita Žagare</cp:lastModifiedBy>
  <cp:revision>9</cp:revision>
  <cp:lastPrinted>2016-10-17T13:50:00Z</cp:lastPrinted>
  <dcterms:created xsi:type="dcterms:W3CDTF">2016-10-19T11:08:00Z</dcterms:created>
  <dcterms:modified xsi:type="dcterms:W3CDTF">2016-10-19T15:15:00Z</dcterms:modified>
</cp:coreProperties>
</file>