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48" w:rsidRPr="006C52A5" w:rsidRDefault="00C91295" w:rsidP="00D53978">
      <w:pPr>
        <w:pStyle w:val="naislab"/>
        <w:spacing w:before="0" w:after="0"/>
        <w:jc w:val="center"/>
        <w:outlineLvl w:val="0"/>
        <w:rPr>
          <w:b/>
          <w:sz w:val="28"/>
          <w:szCs w:val="28"/>
        </w:rPr>
      </w:pPr>
      <w:r w:rsidRPr="006C52A5">
        <w:rPr>
          <w:b/>
          <w:sz w:val="28"/>
          <w:szCs w:val="28"/>
        </w:rPr>
        <w:t xml:space="preserve"> </w:t>
      </w:r>
      <w:r w:rsidR="008D5DC0" w:rsidRPr="006C52A5">
        <w:rPr>
          <w:b/>
          <w:sz w:val="28"/>
          <w:szCs w:val="28"/>
        </w:rPr>
        <w:t>Minist</w:t>
      </w:r>
      <w:r w:rsidR="00F734FC" w:rsidRPr="006C52A5">
        <w:rPr>
          <w:b/>
          <w:sz w:val="28"/>
          <w:szCs w:val="28"/>
        </w:rPr>
        <w:t xml:space="preserve">ru kabineta noteikumu projekta </w:t>
      </w:r>
    </w:p>
    <w:p w:rsidR="00191848" w:rsidRPr="006C52A5" w:rsidRDefault="008D5DC0" w:rsidP="00D53978">
      <w:pPr>
        <w:pStyle w:val="naislab"/>
        <w:spacing w:before="0" w:after="0"/>
        <w:jc w:val="center"/>
        <w:outlineLvl w:val="0"/>
        <w:rPr>
          <w:b/>
          <w:sz w:val="28"/>
          <w:szCs w:val="28"/>
        </w:rPr>
      </w:pPr>
      <w:r w:rsidRPr="006C52A5">
        <w:rPr>
          <w:b/>
          <w:sz w:val="28"/>
          <w:szCs w:val="28"/>
        </w:rPr>
        <w:t>“</w:t>
      </w:r>
      <w:r w:rsidR="00F734FC" w:rsidRPr="006C52A5">
        <w:rPr>
          <w:b/>
          <w:sz w:val="28"/>
          <w:szCs w:val="28"/>
        </w:rPr>
        <w:t>Grozījum</w:t>
      </w:r>
      <w:r w:rsidR="00FC3F97" w:rsidRPr="006C52A5">
        <w:rPr>
          <w:b/>
          <w:sz w:val="28"/>
          <w:szCs w:val="28"/>
        </w:rPr>
        <w:t>i</w:t>
      </w:r>
      <w:r w:rsidR="00F734FC" w:rsidRPr="006C52A5">
        <w:rPr>
          <w:b/>
          <w:sz w:val="28"/>
          <w:szCs w:val="28"/>
        </w:rPr>
        <w:t xml:space="preserve"> Ministru kabineta 2013.gad</w:t>
      </w:r>
      <w:r w:rsidR="00054846" w:rsidRPr="006C52A5">
        <w:rPr>
          <w:b/>
          <w:sz w:val="28"/>
          <w:szCs w:val="28"/>
        </w:rPr>
        <w:t>a</w:t>
      </w:r>
      <w:r w:rsidR="00F734FC" w:rsidRPr="006C52A5">
        <w:rPr>
          <w:b/>
          <w:sz w:val="28"/>
          <w:szCs w:val="28"/>
        </w:rPr>
        <w:t xml:space="preserve"> 10.septembra noteikumos Nr.778 </w:t>
      </w:r>
      <w:r w:rsidR="00191848" w:rsidRPr="006C52A5">
        <w:rPr>
          <w:b/>
          <w:sz w:val="28"/>
          <w:szCs w:val="28"/>
        </w:rPr>
        <w:t>“</w:t>
      </w:r>
      <w:r w:rsidRPr="006C52A5">
        <w:rPr>
          <w:b/>
          <w:sz w:val="28"/>
          <w:szCs w:val="28"/>
        </w:rPr>
        <w:t>Valsts ieņēmumu dienesta maksas pakalpojumu cenrādi</w:t>
      </w:r>
      <w:r w:rsidR="00415241" w:rsidRPr="006C52A5">
        <w:rPr>
          <w:b/>
          <w:sz w:val="28"/>
          <w:szCs w:val="28"/>
        </w:rPr>
        <w:t>s</w:t>
      </w:r>
      <w:r w:rsidRPr="006C52A5">
        <w:rPr>
          <w:b/>
          <w:sz w:val="28"/>
          <w:szCs w:val="28"/>
        </w:rPr>
        <w:t>”</w:t>
      </w:r>
      <w:r w:rsidR="00F734FC" w:rsidRPr="006C52A5">
        <w:rPr>
          <w:b/>
          <w:sz w:val="28"/>
          <w:szCs w:val="28"/>
        </w:rPr>
        <w:t>”</w:t>
      </w:r>
    </w:p>
    <w:p w:rsidR="008C5649" w:rsidRPr="006C52A5" w:rsidRDefault="00947C36" w:rsidP="00D53978">
      <w:pPr>
        <w:pStyle w:val="naislab"/>
        <w:spacing w:before="0" w:after="0"/>
        <w:jc w:val="center"/>
        <w:outlineLvl w:val="0"/>
        <w:rPr>
          <w:b/>
          <w:sz w:val="28"/>
          <w:szCs w:val="28"/>
        </w:rPr>
      </w:pPr>
      <w:r w:rsidRPr="006C52A5">
        <w:rPr>
          <w:b/>
          <w:sz w:val="28"/>
          <w:szCs w:val="28"/>
        </w:rPr>
        <w:t>sākotnējās ietekmes novērtējuma ziņojums (</w:t>
      </w:r>
      <w:r w:rsidR="008D5DC0" w:rsidRPr="006C52A5">
        <w:rPr>
          <w:b/>
          <w:sz w:val="28"/>
          <w:szCs w:val="28"/>
        </w:rPr>
        <w:t>anotācija</w:t>
      </w:r>
      <w:r w:rsidRPr="006C52A5">
        <w:rPr>
          <w:b/>
          <w:sz w:val="28"/>
          <w:szCs w:val="28"/>
        </w:rPr>
        <w:t>)</w:t>
      </w:r>
    </w:p>
    <w:p w:rsidR="00D44A59" w:rsidRPr="006C52A5" w:rsidRDefault="00D44A59" w:rsidP="00D53978">
      <w:pPr>
        <w:pStyle w:val="naislab"/>
        <w:spacing w:before="0" w:after="0"/>
        <w:jc w:val="center"/>
        <w:outlineLvl w:val="0"/>
        <w:rPr>
          <w:b/>
          <w:sz w:val="20"/>
          <w:szCs w:val="20"/>
        </w:rPr>
      </w:pPr>
    </w:p>
    <w:p w:rsidR="00AF0F73" w:rsidRPr="006C52A5" w:rsidRDefault="00AF0F73" w:rsidP="00D53978">
      <w:pPr>
        <w:pStyle w:val="naislab"/>
        <w:spacing w:before="0" w:after="0"/>
        <w:jc w:val="center"/>
        <w:outlineLvl w:val="0"/>
        <w:rPr>
          <w:b/>
          <w:sz w:val="20"/>
          <w:szCs w:val="20"/>
        </w:rPr>
      </w:pPr>
    </w:p>
    <w:tbl>
      <w:tblPr>
        <w:tblpPr w:leftFromText="180" w:rightFromText="180" w:vertAnchor="text" w:horzAnchor="margin" w:tblpXSpec="center" w:tblpY="149"/>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1"/>
        <w:gridCol w:w="2421"/>
        <w:gridCol w:w="6545"/>
      </w:tblGrid>
      <w:tr w:rsidR="006C52A5" w:rsidRPr="006C52A5" w:rsidTr="002B3079">
        <w:trPr>
          <w:trHeight w:val="321"/>
        </w:trPr>
        <w:tc>
          <w:tcPr>
            <w:tcW w:w="9517" w:type="dxa"/>
            <w:gridSpan w:val="3"/>
            <w:vAlign w:val="center"/>
          </w:tcPr>
          <w:p w:rsidR="00AF0F73" w:rsidRPr="006C52A5" w:rsidRDefault="00AF0F73" w:rsidP="00D53978">
            <w:pPr>
              <w:jc w:val="center"/>
              <w:rPr>
                <w:b/>
                <w:bCs/>
              </w:rPr>
            </w:pPr>
            <w:r w:rsidRPr="006C52A5">
              <w:rPr>
                <w:b/>
                <w:bCs/>
              </w:rPr>
              <w:t>I. Tiesību akta projekta izstrādes nepieciešamība</w:t>
            </w:r>
          </w:p>
        </w:tc>
      </w:tr>
      <w:tr w:rsidR="006C52A5" w:rsidRPr="006C52A5" w:rsidTr="001E7834">
        <w:trPr>
          <w:trHeight w:val="742"/>
        </w:trPr>
        <w:tc>
          <w:tcPr>
            <w:tcW w:w="551" w:type="dxa"/>
          </w:tcPr>
          <w:p w:rsidR="00AF0F73" w:rsidRPr="006C52A5" w:rsidRDefault="00AF0F73" w:rsidP="00D53978">
            <w:pPr>
              <w:jc w:val="center"/>
            </w:pPr>
            <w:r w:rsidRPr="006C52A5">
              <w:t>1.</w:t>
            </w:r>
          </w:p>
        </w:tc>
        <w:tc>
          <w:tcPr>
            <w:tcW w:w="2421" w:type="dxa"/>
          </w:tcPr>
          <w:p w:rsidR="00AF0F73" w:rsidRPr="006C52A5" w:rsidRDefault="00AF0F73" w:rsidP="00D53978">
            <w:r w:rsidRPr="006C52A5">
              <w:t>Pamatojums</w:t>
            </w:r>
          </w:p>
          <w:p w:rsidR="00AF0F73" w:rsidRPr="006C52A5" w:rsidRDefault="00AF0F73" w:rsidP="00D53978"/>
        </w:tc>
        <w:tc>
          <w:tcPr>
            <w:tcW w:w="6545" w:type="dxa"/>
          </w:tcPr>
          <w:p w:rsidR="00790713" w:rsidRPr="006C52A5" w:rsidRDefault="001F397F" w:rsidP="007E21F1">
            <w:pPr>
              <w:jc w:val="both"/>
              <w:rPr>
                <w:bCs/>
              </w:rPr>
            </w:pPr>
            <w:r w:rsidRPr="006C52A5">
              <w:rPr>
                <w:bCs/>
              </w:rPr>
              <w:t xml:space="preserve">    </w:t>
            </w:r>
            <w:r w:rsidR="00E32002" w:rsidRPr="006C52A5">
              <w:rPr>
                <w:bCs/>
              </w:rPr>
              <w:t>Ministru kabineta n</w:t>
            </w:r>
            <w:r w:rsidR="00AF0F73" w:rsidRPr="006C52A5">
              <w:rPr>
                <w:bCs/>
              </w:rPr>
              <w:t xml:space="preserve">oteikumu projekts </w:t>
            </w:r>
            <w:r w:rsidR="00191848" w:rsidRPr="006C52A5">
              <w:rPr>
                <w:bCs/>
              </w:rPr>
              <w:t>“</w:t>
            </w:r>
            <w:r w:rsidR="00AF0F73" w:rsidRPr="006C52A5">
              <w:rPr>
                <w:bCs/>
              </w:rPr>
              <w:t>Grozījum</w:t>
            </w:r>
            <w:r w:rsidR="00E32002" w:rsidRPr="006C52A5">
              <w:rPr>
                <w:bCs/>
              </w:rPr>
              <w:t>i</w:t>
            </w:r>
            <w:r w:rsidR="00AF0F73" w:rsidRPr="006C52A5">
              <w:rPr>
                <w:bCs/>
              </w:rPr>
              <w:t xml:space="preserve"> Ministru kabineta 2013.gada 10.septembra noteikumos Nr.778 “Valsts ieņēmumu dienesta maksas pakalpojumu cenrādis””</w:t>
            </w:r>
            <w:r w:rsidR="002509EA" w:rsidRPr="006C52A5">
              <w:rPr>
                <w:bCs/>
              </w:rPr>
              <w:t xml:space="preserve"> (turpmāk – noteikumu projekts)</w:t>
            </w:r>
            <w:r w:rsidR="00AF0F73" w:rsidRPr="006C52A5">
              <w:rPr>
                <w:bCs/>
              </w:rPr>
              <w:t xml:space="preserve"> ir izstrādāts</w:t>
            </w:r>
            <w:r w:rsidR="000628BD" w:rsidRPr="006C52A5">
              <w:rPr>
                <w:bCs/>
              </w:rPr>
              <w:t xml:space="preserve"> pēc Valsts ieņēmumu dienesta (turpmāk – VID) iniciatīvas</w:t>
            </w:r>
            <w:r w:rsidR="0061251D" w:rsidRPr="006C52A5">
              <w:rPr>
                <w:bCs/>
              </w:rPr>
              <w:t>,</w:t>
            </w:r>
            <w:r w:rsidR="000628BD" w:rsidRPr="006C52A5">
              <w:rPr>
                <w:bCs/>
              </w:rPr>
              <w:t xml:space="preserve"> lai nodrošinātu</w:t>
            </w:r>
            <w:r w:rsidR="000628BD" w:rsidRPr="006C52A5">
              <w:t xml:space="preserve"> informatīvajā ziņojumā "Par valsts nodevu un maksas pakalpojumu nošķiršanu un nodevu sistēmas pilnveidošanu” noteikto un </w:t>
            </w:r>
            <w:r w:rsidR="000628BD" w:rsidRPr="006C52A5">
              <w:rPr>
                <w:bCs/>
              </w:rPr>
              <w:t>pārskatītu spēkā esošās valsts nodevas un maksas pakalpojumus, kā arī aizstātu Ministra kabineta 2013.gada 10.septembra noteikumos Nr.778 “Valsts ieņēmumu dienesta maksas pakalpojumu cenrādis” noteiktās plombas nodokļu un citu maksājumu reģistrēšanas elektroniskajām ierīcēm un iekārtām ar jaunām plombām un precizētu to cenu, atbilstoši iepirkumu līgumam.</w:t>
            </w:r>
            <w:r w:rsidR="00AF0F73" w:rsidRPr="006C52A5">
              <w:rPr>
                <w:bCs/>
              </w:rPr>
              <w:t xml:space="preserve"> </w:t>
            </w:r>
            <w:r w:rsidR="000628BD" w:rsidRPr="006C52A5">
              <w:rPr>
                <w:bCs/>
              </w:rPr>
              <w:t xml:space="preserve">Noteikumu projekts ir izstrādāts, </w:t>
            </w:r>
            <w:r w:rsidR="00790713" w:rsidRPr="006C52A5">
              <w:rPr>
                <w:bCs/>
              </w:rPr>
              <w:t xml:space="preserve">pamatojoties uz Likuma par budžetu un finanšu vadību 5.panta devīto daļu, kurā noteikts, ka </w:t>
            </w:r>
            <w:r w:rsidR="00790713" w:rsidRPr="006C52A5">
              <w:t>Ministru kabinets izdod noteikumus par valsts tiešās pārvaldes iestāžu sniegto maksas pakalpojumu cenrāžu apstiprināšanu.</w:t>
            </w:r>
          </w:p>
          <w:p w:rsidR="00AF0F73" w:rsidRPr="006C52A5" w:rsidRDefault="00AF0F73" w:rsidP="000628BD">
            <w:pPr>
              <w:jc w:val="both"/>
              <w:rPr>
                <w:bCs/>
              </w:rPr>
            </w:pPr>
          </w:p>
        </w:tc>
      </w:tr>
      <w:tr w:rsidR="006C52A5" w:rsidRPr="006C52A5" w:rsidTr="001E7834">
        <w:trPr>
          <w:trHeight w:val="64"/>
        </w:trPr>
        <w:tc>
          <w:tcPr>
            <w:tcW w:w="551" w:type="dxa"/>
          </w:tcPr>
          <w:p w:rsidR="00AF0F73" w:rsidRPr="006C52A5" w:rsidRDefault="00AF0F73" w:rsidP="00D53978">
            <w:pPr>
              <w:jc w:val="center"/>
            </w:pPr>
            <w:r w:rsidRPr="006C52A5">
              <w:t>2.</w:t>
            </w:r>
          </w:p>
        </w:tc>
        <w:tc>
          <w:tcPr>
            <w:tcW w:w="2421" w:type="dxa"/>
          </w:tcPr>
          <w:p w:rsidR="00AF0F73" w:rsidRPr="006C52A5" w:rsidRDefault="00AF0F73" w:rsidP="00D53978">
            <w:r w:rsidRPr="006C52A5">
              <w:t>Pašreizējā situācija un problēmas, kuru risināšanai tiesību akta projekts izstrādāts, tiesiskā regulējuma mērķis un būtība</w:t>
            </w:r>
          </w:p>
          <w:p w:rsidR="00AF0F73" w:rsidRPr="006C52A5" w:rsidRDefault="00AF0F73" w:rsidP="00D53978"/>
        </w:tc>
        <w:tc>
          <w:tcPr>
            <w:tcW w:w="6545" w:type="dxa"/>
          </w:tcPr>
          <w:p w:rsidR="00932F72" w:rsidRPr="006C52A5" w:rsidRDefault="001F397F" w:rsidP="003040AB">
            <w:pPr>
              <w:jc w:val="both"/>
            </w:pPr>
            <w:r w:rsidRPr="006C52A5">
              <w:t xml:space="preserve">    </w:t>
            </w:r>
            <w:r w:rsidR="00705243" w:rsidRPr="006C52A5">
              <w:t>2016.gada 5.jūlijā stājās spēkā</w:t>
            </w:r>
            <w:r w:rsidR="003040AB" w:rsidRPr="006C52A5">
              <w:t xml:space="preserve"> </w:t>
            </w:r>
            <w:r w:rsidR="00907289" w:rsidRPr="006C52A5">
              <w:t>jaunais</w:t>
            </w:r>
            <w:r w:rsidR="00705243" w:rsidRPr="006C52A5">
              <w:t xml:space="preserve"> Muitas likums</w:t>
            </w:r>
            <w:r w:rsidR="00907289" w:rsidRPr="006C52A5">
              <w:t>.</w:t>
            </w:r>
            <w:r w:rsidR="00705243" w:rsidRPr="006C52A5">
              <w:t xml:space="preserve"> </w:t>
            </w:r>
            <w:r w:rsidR="00907289" w:rsidRPr="006C52A5">
              <w:t xml:space="preserve">Minētais likums vairs </w:t>
            </w:r>
            <w:r w:rsidR="00705243" w:rsidRPr="006C52A5">
              <w:t>neparedz</w:t>
            </w:r>
            <w:r w:rsidR="003040AB" w:rsidRPr="006C52A5">
              <w:t xml:space="preserve"> deleģējum</w:t>
            </w:r>
            <w:r w:rsidR="00705243" w:rsidRPr="006C52A5">
              <w:t>u</w:t>
            </w:r>
            <w:r w:rsidR="00907289" w:rsidRPr="006C52A5">
              <w:t xml:space="preserve"> Ministru kabinetam</w:t>
            </w:r>
            <w:r w:rsidR="003040AB" w:rsidRPr="006C52A5">
              <w:t xml:space="preserve">  </w:t>
            </w:r>
            <w:r w:rsidR="00C42FC8" w:rsidRPr="006C52A5">
              <w:t xml:space="preserve"> </w:t>
            </w:r>
            <w:r w:rsidR="00907289" w:rsidRPr="006C52A5">
              <w:t>noteikt</w:t>
            </w:r>
            <w:r w:rsidR="003040AB" w:rsidRPr="006C52A5">
              <w:rPr>
                <w:i/>
              </w:rPr>
              <w:t xml:space="preserve"> </w:t>
            </w:r>
            <w:r w:rsidR="003040AB" w:rsidRPr="006C52A5">
              <w:t>valsts nodevas likmes par muitas iestāžu pakalpojumiem un šīs nodevas samaksas kārtību</w:t>
            </w:r>
            <w:r w:rsidR="00705243" w:rsidRPr="006C52A5">
              <w:t>.</w:t>
            </w:r>
            <w:r w:rsidR="00907CB1" w:rsidRPr="006C52A5">
              <w:t xml:space="preserve"> </w:t>
            </w:r>
            <w:r w:rsidR="00B5318E" w:rsidRPr="006C52A5">
              <w:t xml:space="preserve">Muitas likuma pārejas noteikumu 2.punkta 2.apakšpunktā tika noteikts, ka Ministru kabineta </w:t>
            </w:r>
            <w:r w:rsidR="000346F2" w:rsidRPr="006C52A5">
              <w:t xml:space="preserve">2005.gada 18.oktobra noteikumi Nr.774 “Noteikumi par muitas iestāžu pakalpojumu valsts nodevu” (turpmāk - MK noteikumi Nr.774) </w:t>
            </w:r>
            <w:r w:rsidR="00B5318E" w:rsidRPr="006C52A5">
              <w:t xml:space="preserve"> ir spēkā līdz attiecīgo Ministru kabineta tiesību aktu spēkā stāšanās dienai, bet ne ilgāk kā līdz 2016.gada 30.decembrim.</w:t>
            </w:r>
            <w:r w:rsidR="004A5BA6" w:rsidRPr="006C52A5">
              <w:t xml:space="preserve"> </w:t>
            </w:r>
          </w:p>
          <w:p w:rsidR="00DB10AF" w:rsidRPr="006C52A5" w:rsidRDefault="001F397F" w:rsidP="003040AB">
            <w:pPr>
              <w:jc w:val="both"/>
            </w:pPr>
            <w:r w:rsidRPr="006C52A5">
              <w:t xml:space="preserve">    </w:t>
            </w:r>
            <w:r w:rsidR="00907CB1" w:rsidRPr="006C52A5">
              <w:t>M</w:t>
            </w:r>
            <w:r w:rsidR="003C78B5" w:rsidRPr="006C52A5">
              <w:t>K</w:t>
            </w:r>
            <w:r w:rsidR="0044625B" w:rsidRPr="006C52A5">
              <w:t xml:space="preserve"> </w:t>
            </w:r>
            <w:r w:rsidR="006170BF" w:rsidRPr="006C52A5">
              <w:t xml:space="preserve">2005.gada 18.oktobra </w:t>
            </w:r>
            <w:r w:rsidR="0044625B" w:rsidRPr="006C52A5">
              <w:t>noteikumi</w:t>
            </w:r>
            <w:r w:rsidR="00907CB1" w:rsidRPr="006C52A5">
              <w:t xml:space="preserve"> Nr.774 </w:t>
            </w:r>
            <w:r w:rsidR="0044625B" w:rsidRPr="006C52A5">
              <w:t xml:space="preserve">paredz </w:t>
            </w:r>
            <w:r w:rsidR="00932F72" w:rsidRPr="006C52A5">
              <w:t>valsts nodevas likmju apmēru par muitas iestāžu pakalpo</w:t>
            </w:r>
            <w:r w:rsidR="00932F72" w:rsidRPr="006C52A5">
              <w:softHyphen/>
              <w:t xml:space="preserve">jumiem, t.sk., </w:t>
            </w:r>
          </w:p>
          <w:p w:rsidR="00DB10AF" w:rsidRPr="006C52A5" w:rsidRDefault="00DB10AF" w:rsidP="003040AB">
            <w:pPr>
              <w:jc w:val="both"/>
            </w:pPr>
            <w:r w:rsidRPr="006C52A5">
              <w:t xml:space="preserve"> - </w:t>
            </w:r>
            <w:r w:rsidR="00932F72" w:rsidRPr="006C52A5">
              <w:t>par katru muitas ierēdņa darba stundu, muitojot preces ārpus muitas iestādes atrašanās vietas (nepilna darba stunda uzskatāma par pilnu) vai ārpus darba laika, izņemot preču muitošan</w:t>
            </w:r>
            <w:r w:rsidRPr="006C52A5">
              <w:t>u, noformējot muitas procedūru -</w:t>
            </w:r>
            <w:r w:rsidR="00932F72" w:rsidRPr="006C52A5">
              <w:t xml:space="preserve"> tranzīts, </w:t>
            </w:r>
          </w:p>
          <w:p w:rsidR="003040AB" w:rsidRPr="006C52A5" w:rsidRDefault="00DB10AF" w:rsidP="003040AB">
            <w:pPr>
              <w:jc w:val="both"/>
            </w:pPr>
            <w:r w:rsidRPr="006C52A5">
              <w:t xml:space="preserve"> - </w:t>
            </w:r>
            <w:r w:rsidR="00932F72" w:rsidRPr="006C52A5">
              <w:t>par preces izcelsmes vai preces atbilstības Kombinētās nomenklatūras kodam noteikšanu, ja tiek izmantoti Valsts ieņēmumu dienesta Galvenās muitas pārvaldes M</w:t>
            </w:r>
            <w:r w:rsidR="000346F2" w:rsidRPr="006C52A5">
              <w:t>uitas laboratorijas pakalpojumi.</w:t>
            </w:r>
          </w:p>
          <w:p w:rsidR="00932F72" w:rsidRPr="006C52A5" w:rsidRDefault="001F397F" w:rsidP="00682092">
            <w:pPr>
              <w:jc w:val="both"/>
            </w:pPr>
            <w:r w:rsidRPr="006C52A5">
              <w:t xml:space="preserve">    </w:t>
            </w:r>
            <w:r w:rsidR="00486383" w:rsidRPr="006C52A5">
              <w:t xml:space="preserve">Noteikumu projekts </w:t>
            </w:r>
            <w:r w:rsidR="003C78B5" w:rsidRPr="006C52A5">
              <w:t>paredz</w:t>
            </w:r>
            <w:r w:rsidR="00BF6852" w:rsidRPr="006C52A5">
              <w:t xml:space="preserve"> noteikt</w:t>
            </w:r>
            <w:r w:rsidR="003C78B5" w:rsidRPr="006C52A5">
              <w:t xml:space="preserve">, ka </w:t>
            </w:r>
            <w:r w:rsidR="00BF6852" w:rsidRPr="006C52A5">
              <w:t>iepriekš</w:t>
            </w:r>
            <w:r w:rsidR="003C78B5" w:rsidRPr="006C52A5">
              <w:t xml:space="preserve"> minētie muitas iestāžu pakalpojumi ir maksas pakalpoju</w:t>
            </w:r>
            <w:r w:rsidR="00682092" w:rsidRPr="006C52A5">
              <w:t xml:space="preserve">mi nevis valsts nodevas objekts un attiecīgi </w:t>
            </w:r>
            <w:r w:rsidR="005A0492" w:rsidRPr="006C52A5">
              <w:t xml:space="preserve"> maksas pakalpojumu cenrādis tiks </w:t>
            </w:r>
            <w:r w:rsidR="00682092" w:rsidRPr="006C52A5">
              <w:t>papildinā</w:t>
            </w:r>
            <w:r w:rsidR="005A0492" w:rsidRPr="006C52A5">
              <w:t>t</w:t>
            </w:r>
            <w:r w:rsidR="00682092" w:rsidRPr="006C52A5">
              <w:t>s ar šādiem maksas pakalpojuma veidiem:</w:t>
            </w:r>
          </w:p>
          <w:p w:rsidR="001F397F" w:rsidRPr="006C52A5" w:rsidRDefault="00DB10AF" w:rsidP="00F537D6">
            <w:pPr>
              <w:pStyle w:val="ListParagraph"/>
              <w:numPr>
                <w:ilvl w:val="0"/>
                <w:numId w:val="15"/>
              </w:numPr>
              <w:jc w:val="both"/>
            </w:pPr>
            <w:r w:rsidRPr="006C52A5">
              <w:t>“</w:t>
            </w:r>
            <w:r w:rsidR="00F537D6" w:rsidRPr="006C52A5">
              <w:t xml:space="preserve">Preču muitošana ārpus muitas iestādes atrašanās vietas vai ārpus muitas iestādes darba laika, izņemot preču muitošanu </w:t>
            </w:r>
            <w:r w:rsidR="00F537D6" w:rsidRPr="006C52A5">
              <w:lastRenderedPageBreak/>
              <w:t xml:space="preserve">noformējot muitas procedūru – tranzīts” </w:t>
            </w:r>
            <w:r w:rsidR="00EC29B0">
              <w:t>ikdienas darba režīma</w:t>
            </w:r>
            <w:r w:rsidR="00F537D6" w:rsidRPr="006C52A5">
              <w:t xml:space="preserve"> vai svētku dienu sadalījumā;</w:t>
            </w:r>
          </w:p>
          <w:p w:rsidR="00DB10AF" w:rsidRPr="006C52A5" w:rsidRDefault="00DB10AF" w:rsidP="00F537D6">
            <w:pPr>
              <w:pStyle w:val="ListParagraph"/>
              <w:numPr>
                <w:ilvl w:val="0"/>
                <w:numId w:val="15"/>
              </w:numPr>
              <w:jc w:val="both"/>
            </w:pPr>
            <w:r w:rsidRPr="006C52A5">
              <w:rPr>
                <w:bCs/>
              </w:rPr>
              <w:t>“</w:t>
            </w:r>
            <w:r w:rsidR="00F537D6" w:rsidRPr="006C52A5">
              <w:rPr>
                <w:bCs/>
              </w:rPr>
              <w:t xml:space="preserve">Analīžu, kas nepieciešamas preces Eiropas Savienības Kombinētās nomenklatūras koda, Eiropas Savienības kopējā muitas tarifa (TARIC) koda vai papildkoda noteikšanai, veikšana Muitas laboratorijā pēc komersanta pieprasījuma” </w:t>
            </w:r>
            <w:r w:rsidRPr="006C52A5">
              <w:rPr>
                <w:bCs/>
              </w:rPr>
              <w:t xml:space="preserve"> pielietojamo metožu sadalījumā</w:t>
            </w:r>
            <w:r w:rsidR="007F0C07" w:rsidRPr="006C52A5">
              <w:rPr>
                <w:bCs/>
              </w:rPr>
              <w:t>.</w:t>
            </w:r>
          </w:p>
          <w:p w:rsidR="003040AB" w:rsidRPr="006C52A5" w:rsidRDefault="007F0C07" w:rsidP="003040AB">
            <w:pPr>
              <w:jc w:val="both"/>
            </w:pPr>
            <w:r w:rsidRPr="006C52A5">
              <w:t xml:space="preserve">    </w:t>
            </w:r>
            <w:r w:rsidR="003040AB" w:rsidRPr="006C52A5">
              <w:t>Ministru kabineta 2012.gada 20.marta sēdē tika apstiprināts Informatīvais ziņojums "Par valsts nodevu un maksas pakalpojumu nošķiršanu un nodevu sistēmas pilnveidošanu” (turpmāk – informatīvais ziņojums), no kura izriet nepieciešamība pakāpeniski pārskatīt spēkā esošās valsts nodevas un maksas pakalpojumus, izvērtējot to efektivitāti un lietderību.</w:t>
            </w:r>
          </w:p>
          <w:p w:rsidR="003040AB" w:rsidRPr="006C52A5" w:rsidRDefault="007F0C07" w:rsidP="003040AB">
            <w:pPr>
              <w:jc w:val="both"/>
            </w:pPr>
            <w:r w:rsidRPr="006C52A5">
              <w:t xml:space="preserve">    </w:t>
            </w:r>
            <w:r w:rsidR="003040AB" w:rsidRPr="006C52A5">
              <w:t>Ministru kabineta 2012.gada 20.marta sēdes protokola (Nr.16 31.§) 3.punkt</w:t>
            </w:r>
            <w:r w:rsidR="00BD772A" w:rsidRPr="006C52A5">
              <w:t>ā</w:t>
            </w:r>
            <w:r w:rsidR="003040AB" w:rsidRPr="006C52A5">
              <w:t xml:space="preserve"> visām ministrijām dots uzdevums izvērtēt kompetencē esošās valsts nodevas un maksas pakalpojumus, ņemot vērā informatīvajā ziņojumā minētos kritērijus, likumā "Par nodokļiem un nodevām" noteikto valsts nodevas, kā arī Likumā par budžetu un finanšu vadību noteikto maksas pakalpojuma definīciju. Informatīvajā ziņojumā viens no pamatkritērijiem ir noteikts, ka nodevai atšķirībā no maksas pakalpojuma pamatmērķis nav segt konkrētā pakalpojuma administratīvās izmaksas. Maksas pakalpojumi ir iestāžu sniegtie pakalpojumi, kas nav saistīti ar politikas mērķu sasniegšanu, tiešā veidā regulējot (kontrolējot, veicinot, ierobežojot) personas darbību. </w:t>
            </w:r>
          </w:p>
          <w:p w:rsidR="003040AB" w:rsidRPr="006C52A5" w:rsidRDefault="00DB258B" w:rsidP="003040AB">
            <w:pPr>
              <w:jc w:val="both"/>
            </w:pPr>
            <w:r w:rsidRPr="006C52A5">
              <w:t xml:space="preserve">    </w:t>
            </w:r>
            <w:r w:rsidR="003040AB" w:rsidRPr="006C52A5">
              <w:t xml:space="preserve">Maksas pakalpojums, veicot valsts pārvaldes uzdevumus, tiek noteikts, lai segtu ar pakalpojumu sniegšanu saistītos izdevumus – maksājuma apmērs nepārsniedz ar konkrētā pakalpojuma sniegšanu saistītos izdevumus un maksājuma apmēra noteikšana atbilst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w:t>
            </w:r>
          </w:p>
          <w:p w:rsidR="00FE37DD" w:rsidRPr="006C52A5" w:rsidRDefault="00DB258B" w:rsidP="003040AB">
            <w:pPr>
              <w:jc w:val="both"/>
            </w:pPr>
            <w:r w:rsidRPr="006C52A5">
              <w:t xml:space="preserve">    </w:t>
            </w:r>
            <w:r w:rsidR="003040AB" w:rsidRPr="006C52A5">
              <w:t xml:space="preserve">Saskaņā ar likumā „Par nodokļiem un nodevām” ietverto valsts nodevas definīciju, valsts nodeva ir obligāts maksājums valsts budžetā vai likumā </w:t>
            </w:r>
            <w:r w:rsidR="00BD772A" w:rsidRPr="006C52A5">
              <w:t xml:space="preserve">„Par nodokļiem un nodevām” </w:t>
            </w:r>
            <w:r w:rsidR="003040AB" w:rsidRPr="006C52A5">
              <w:t xml:space="preserve">noteiktajos gadījumos pašvaldības budžetā par valsts vai pašvaldības institūcijas veicamo darbību, kas izriet no šīs institūcijas funkcijām. Valsts nodevas mērķis ir personu darbību regulēšana (kontrolēšana, veicināšana, ierobežošana). Valsts nodevas apmērs nav tiešā veidā saistīts ar institūciju veikto darbību izmaksu segšanu. </w:t>
            </w:r>
            <w:r w:rsidR="00FE37DD">
              <w:t xml:space="preserve"> </w:t>
            </w:r>
          </w:p>
          <w:p w:rsidR="003040AB" w:rsidRPr="006C52A5" w:rsidRDefault="00DB258B" w:rsidP="003040AB">
            <w:pPr>
              <w:jc w:val="both"/>
            </w:pPr>
            <w:r w:rsidRPr="006C52A5">
              <w:t xml:space="preserve">    </w:t>
            </w:r>
            <w:r w:rsidR="003040AB" w:rsidRPr="006C52A5">
              <w:t xml:space="preserve">Savukārt, saskaņā ar Likumā par budžetu un finanšu vadību noteikto, maksas pakalpojums ir pasākumu kopums, ko valsts budžeta iestāde ārējos normatīvajos aktos paredzētajos gadījumos veic par samaksu, lai nodrošinātu sabiedrības vajadzību ievērošanu.  </w:t>
            </w:r>
          </w:p>
          <w:p w:rsidR="003040AB" w:rsidRDefault="00DB258B" w:rsidP="003040AB">
            <w:pPr>
              <w:jc w:val="both"/>
            </w:pPr>
            <w:r w:rsidRPr="006C52A5">
              <w:t xml:space="preserve">    </w:t>
            </w:r>
            <w:r w:rsidR="003040AB" w:rsidRPr="006C52A5">
              <w:t xml:space="preserve">Ņemot vērā minēto, secināms, ka MK noteikumos Nr.774 minētie </w:t>
            </w:r>
            <w:bookmarkStart w:id="0" w:name="_GoBack"/>
            <w:bookmarkEnd w:id="0"/>
            <w:r w:rsidR="003040AB" w:rsidRPr="006C52A5">
              <w:t>muitas iestāžu pakalpojumi ir maksas pakalpojumi nevis valsts nodevas objekts.</w:t>
            </w:r>
          </w:p>
          <w:p w:rsidR="00872000" w:rsidRPr="0081243C" w:rsidRDefault="00872000" w:rsidP="003040AB">
            <w:pPr>
              <w:jc w:val="both"/>
            </w:pPr>
            <w:r w:rsidRPr="0081243C">
              <w:t xml:space="preserve">    </w:t>
            </w:r>
            <w:r w:rsidR="00FE37DD" w:rsidRPr="0081243C">
              <w:t xml:space="preserve">Maksas pakalpojumi “Preču muitošana ārpus muitas iestādes atrašanās vietas vai ārpus muitas iestādes darba laika, izņemot preču muitošanu noformējot muitas procedūru – tranzīts” ikdienas darba </w:t>
            </w:r>
            <w:r w:rsidR="00FE37DD" w:rsidRPr="0081243C">
              <w:lastRenderedPageBreak/>
              <w:t>režīma vai svētku dienu sadalījumā  tiek sniegti pildot valsts pārvaldes (izpildvaras) funkcijas, tādēļ saskaņā ar Pievienotās vērtības nodokļa likuma 3.panta astoto daļu pievienotās vērtības nodokli</w:t>
            </w:r>
            <w:r w:rsidR="00911664" w:rsidRPr="0081243C">
              <w:t>s</w:t>
            </w:r>
            <w:r w:rsidR="00FE37DD" w:rsidRPr="0081243C">
              <w:t xml:space="preserve"> valsts pārvaldes (izpildvaras) funkciju ietvaros sniegtiem pakalpojumiem nav piemērojams.</w:t>
            </w:r>
          </w:p>
          <w:p w:rsidR="00D84CFA" w:rsidRPr="006C52A5" w:rsidRDefault="00D84CFA" w:rsidP="001E7834">
            <w:pPr>
              <w:jc w:val="both"/>
            </w:pPr>
            <w:r w:rsidRPr="006C52A5">
              <w:t xml:space="preserve">    Tāpat noteikumu projekts paredz</w:t>
            </w:r>
            <w:r w:rsidR="0078297B" w:rsidRPr="006C52A5">
              <w:t>, ka</w:t>
            </w:r>
            <w:r w:rsidRPr="006C52A5">
              <w:t xml:space="preserve"> </w:t>
            </w:r>
            <w:r w:rsidR="001E7834" w:rsidRPr="006C52A5">
              <w:t>š</w:t>
            </w:r>
            <w:r w:rsidRPr="006C52A5">
              <w:t>obrīd spēkā esošo Ministra kabineta 2013.gada 10.septembra noteikumu Nr.778 “Valsts ieņēmumu dienesta maksas pakalpojumu cenrādis”</w:t>
            </w:r>
            <w:r w:rsidRPr="006C52A5">
              <w:rPr>
                <w:bCs/>
              </w:rPr>
              <w:t xml:space="preserve"> pielikuma 1.2., 1.3., 1.4., 1.5. apakšpunktos </w:t>
            </w:r>
            <w:r w:rsidRPr="006C52A5">
              <w:t xml:space="preserve">noteiktās numurēto “A” un “B” veida stingrās uzskaites nodokļu un citu maksājumu reģistrēšanas elektroniskajām ierīcēm un iekārtām plombas vairs netiks iegādātas, jo esošo plombu materiāls un izmēri nenodrošināja </w:t>
            </w:r>
            <w:r w:rsidRPr="006C52A5">
              <w:rPr>
                <w:iCs/>
              </w:rPr>
              <w:t xml:space="preserve"> Ministru kabineta 2014.gada 11.februāra noteikumu Nr.96 “Nodokļu un citu maksājumu reģistrēšanas elektronisko ierīču un iekārtu lietošanas kārtība” 19.2. apakšpunkta un 96.punkta izpildi.</w:t>
            </w:r>
            <w:r w:rsidR="0078297B" w:rsidRPr="006C52A5">
              <w:t xml:space="preserve"> </w:t>
            </w:r>
            <w:r w:rsidRPr="006C52A5">
              <w:t>Tādēļ 2016.gada 27.aprīlī tika noslēgts līgums Nr.2015/389 ar SIA “Holography” “</w:t>
            </w:r>
            <w:r w:rsidRPr="006C52A5">
              <w:rPr>
                <w:i/>
              </w:rPr>
              <w:t>Stingrās uzskaites plombu piegāde</w:t>
            </w:r>
            <w:r w:rsidRPr="006C52A5">
              <w:t>”, kā rezultātā tiks piegādātas jaunas Ministru kabineta noteikumu prasībām atbilstošas sabrūkoša tipa hologrāfiskas, pašlīmējošas PET materiāla plombas divos izmēros (50x45; 45x75)  nodokļu un citu maksājumu reģistrēšanas elektroniskajām ierīcēm un iekārtām, kuru iepirkuma cena ir 0,19 </w:t>
            </w:r>
            <w:r w:rsidRPr="006C52A5">
              <w:rPr>
                <w:i/>
              </w:rPr>
              <w:t>euro</w:t>
            </w:r>
            <w:r w:rsidRPr="006C52A5">
              <w:t xml:space="preserve"> (t.sk. pievienotās vērtības nodoklis) un 0,22 </w:t>
            </w:r>
            <w:r w:rsidRPr="006C52A5">
              <w:rPr>
                <w:i/>
              </w:rPr>
              <w:t>euro</w:t>
            </w:r>
            <w:r w:rsidRPr="006C52A5">
              <w:t xml:space="preserve"> (t.sk. pievienotās vērtības nodoklis) par vienu gabalu. </w:t>
            </w:r>
          </w:p>
          <w:p w:rsidR="00D84CFA" w:rsidRPr="006C52A5" w:rsidRDefault="001E7834" w:rsidP="00D84CFA">
            <w:pPr>
              <w:jc w:val="both"/>
              <w:rPr>
                <w:bCs/>
              </w:rPr>
            </w:pPr>
            <w:r w:rsidRPr="006C52A5">
              <w:t xml:space="preserve">    </w:t>
            </w:r>
            <w:r w:rsidR="00D84CFA" w:rsidRPr="006C52A5">
              <w:t xml:space="preserve">Tādēļ noteikumu pielikuma </w:t>
            </w:r>
            <w:r w:rsidR="00D84CFA" w:rsidRPr="006C52A5">
              <w:rPr>
                <w:bCs/>
              </w:rPr>
              <w:t xml:space="preserve">1.2., 1.3., 1.4., 1.5. apakšpunktos  minētie plombu veidi ir jāaizstāj ar 2 citiem plombu veidiem  un jāveic izmaiņas </w:t>
            </w:r>
            <w:r w:rsidR="00D84CFA" w:rsidRPr="006C52A5">
              <w:t xml:space="preserve"> sabrūkoša tipa hologrāfiska, pašlīmējoša PET materiāla plombu cenā.</w:t>
            </w:r>
          </w:p>
          <w:p w:rsidR="00FD33DE" w:rsidRPr="006C52A5" w:rsidRDefault="00FD33DE" w:rsidP="00DB258B">
            <w:pPr>
              <w:jc w:val="both"/>
            </w:pPr>
          </w:p>
        </w:tc>
      </w:tr>
      <w:tr w:rsidR="006C52A5" w:rsidRPr="006C52A5" w:rsidTr="001E7834">
        <w:trPr>
          <w:trHeight w:val="107"/>
        </w:trPr>
        <w:tc>
          <w:tcPr>
            <w:tcW w:w="551" w:type="dxa"/>
          </w:tcPr>
          <w:p w:rsidR="00AF0F73" w:rsidRPr="006C52A5" w:rsidRDefault="00AF0F73" w:rsidP="00D53978">
            <w:pPr>
              <w:jc w:val="center"/>
            </w:pPr>
            <w:r w:rsidRPr="006C52A5">
              <w:lastRenderedPageBreak/>
              <w:t>3.</w:t>
            </w:r>
          </w:p>
        </w:tc>
        <w:tc>
          <w:tcPr>
            <w:tcW w:w="2421" w:type="dxa"/>
          </w:tcPr>
          <w:p w:rsidR="00AF0F73" w:rsidRPr="006C52A5" w:rsidRDefault="00AF0F73" w:rsidP="00D53978">
            <w:r w:rsidRPr="006C52A5">
              <w:t>Projekta izstrādē iesaistītās institūcijas</w:t>
            </w:r>
          </w:p>
        </w:tc>
        <w:tc>
          <w:tcPr>
            <w:tcW w:w="6545" w:type="dxa"/>
          </w:tcPr>
          <w:p w:rsidR="00AF0F73" w:rsidRPr="006C52A5" w:rsidRDefault="00BE047F" w:rsidP="00BE047F">
            <w:r w:rsidRPr="006C52A5">
              <w:t>Noteikum</w:t>
            </w:r>
            <w:r w:rsidR="00502C7B">
              <w:t>u</w:t>
            </w:r>
            <w:r w:rsidRPr="006C52A5">
              <w:t xml:space="preserve"> projekts šo jomu neskar.</w:t>
            </w:r>
          </w:p>
        </w:tc>
      </w:tr>
      <w:tr w:rsidR="006C52A5" w:rsidRPr="006C52A5" w:rsidTr="001E7834">
        <w:trPr>
          <w:trHeight w:val="253"/>
        </w:trPr>
        <w:tc>
          <w:tcPr>
            <w:tcW w:w="551" w:type="dxa"/>
          </w:tcPr>
          <w:p w:rsidR="00AF0F73" w:rsidRPr="006C52A5" w:rsidRDefault="00AF0F73" w:rsidP="00D53978">
            <w:pPr>
              <w:jc w:val="center"/>
            </w:pPr>
            <w:r w:rsidRPr="006C52A5">
              <w:t>4.</w:t>
            </w:r>
          </w:p>
        </w:tc>
        <w:tc>
          <w:tcPr>
            <w:tcW w:w="2421" w:type="dxa"/>
          </w:tcPr>
          <w:p w:rsidR="00AF0F73" w:rsidRPr="006C52A5" w:rsidRDefault="00AF0F73" w:rsidP="00D53978">
            <w:r w:rsidRPr="006C52A5">
              <w:t>Cita informācija</w:t>
            </w:r>
          </w:p>
        </w:tc>
        <w:tc>
          <w:tcPr>
            <w:tcW w:w="6545" w:type="dxa"/>
          </w:tcPr>
          <w:p w:rsidR="00AF0F73" w:rsidRPr="006C52A5" w:rsidRDefault="00AF0F73" w:rsidP="00D53978">
            <w:r w:rsidRPr="006C52A5">
              <w:t>Nav</w:t>
            </w:r>
          </w:p>
        </w:tc>
      </w:tr>
    </w:tbl>
    <w:p w:rsidR="009F37F8" w:rsidRPr="006C52A5" w:rsidRDefault="009F37F8" w:rsidP="00D53978"/>
    <w:p w:rsidR="00A4350A" w:rsidRPr="006C52A5" w:rsidRDefault="00A4350A" w:rsidP="00D53978"/>
    <w:p w:rsidR="00A4350A" w:rsidRPr="006C52A5" w:rsidRDefault="00A4350A" w:rsidP="00D53978"/>
    <w:tbl>
      <w:tblPr>
        <w:tblpPr w:leftFromText="180" w:rightFromText="180" w:vertAnchor="text" w:horzAnchor="margin" w:tblpY="44"/>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3975"/>
        <w:gridCol w:w="5211"/>
      </w:tblGrid>
      <w:tr w:rsidR="006C52A5" w:rsidRPr="006C52A5" w:rsidTr="002A400B">
        <w:tc>
          <w:tcPr>
            <w:tcW w:w="9611" w:type="dxa"/>
            <w:gridSpan w:val="3"/>
            <w:vAlign w:val="center"/>
          </w:tcPr>
          <w:p w:rsidR="002A400B" w:rsidRPr="006C52A5" w:rsidRDefault="002A400B" w:rsidP="00D53978">
            <w:pPr>
              <w:pStyle w:val="naisnod"/>
              <w:spacing w:before="0" w:after="0"/>
            </w:pPr>
            <w:r w:rsidRPr="006C52A5">
              <w:t>II. Tiesību akta projekta ietekme uz sabiedrību, tautsaimniecības attīstību un</w:t>
            </w:r>
          </w:p>
          <w:p w:rsidR="002A400B" w:rsidRPr="006C52A5" w:rsidRDefault="002A400B" w:rsidP="00D53978">
            <w:pPr>
              <w:pStyle w:val="naisnod"/>
              <w:spacing w:before="0" w:after="0"/>
            </w:pPr>
            <w:r w:rsidRPr="006C52A5">
              <w:t>administratīvo slogu</w:t>
            </w:r>
          </w:p>
        </w:tc>
      </w:tr>
      <w:tr w:rsidR="006C52A5" w:rsidRPr="006C52A5" w:rsidTr="002A400B">
        <w:trPr>
          <w:trHeight w:val="1559"/>
        </w:trPr>
        <w:tc>
          <w:tcPr>
            <w:tcW w:w="425" w:type="dxa"/>
          </w:tcPr>
          <w:p w:rsidR="002A400B" w:rsidRPr="006C52A5" w:rsidRDefault="002A400B" w:rsidP="00FC7904">
            <w:pPr>
              <w:pStyle w:val="naiskr"/>
              <w:spacing w:before="0" w:after="0"/>
              <w:jc w:val="both"/>
            </w:pPr>
            <w:r w:rsidRPr="006C52A5">
              <w:t>1.</w:t>
            </w:r>
          </w:p>
        </w:tc>
        <w:tc>
          <w:tcPr>
            <w:tcW w:w="3975" w:type="dxa"/>
          </w:tcPr>
          <w:p w:rsidR="002A400B" w:rsidRPr="006C52A5" w:rsidRDefault="002A400B" w:rsidP="00FC7904">
            <w:pPr>
              <w:pStyle w:val="naiskr"/>
              <w:spacing w:before="0" w:after="0"/>
              <w:jc w:val="both"/>
            </w:pPr>
            <w:r w:rsidRPr="006C52A5">
              <w:t>Sabiedrības mērķgrupas, kuras tiesiskais regulējums ietekmē vai varētu ietekmēt</w:t>
            </w:r>
          </w:p>
          <w:p w:rsidR="002A400B" w:rsidRPr="006C52A5" w:rsidRDefault="002A400B" w:rsidP="00FC7904">
            <w:pPr>
              <w:jc w:val="both"/>
            </w:pPr>
          </w:p>
        </w:tc>
        <w:tc>
          <w:tcPr>
            <w:tcW w:w="5211" w:type="dxa"/>
          </w:tcPr>
          <w:p w:rsidR="002A400B" w:rsidRPr="006C52A5" w:rsidRDefault="00FC7904" w:rsidP="00F537D6">
            <w:pPr>
              <w:jc w:val="both"/>
              <w:rPr>
                <w:iCs/>
              </w:rPr>
            </w:pPr>
            <w:r w:rsidRPr="006C52A5">
              <w:rPr>
                <w:iCs/>
              </w:rPr>
              <w:t xml:space="preserve">      </w:t>
            </w:r>
            <w:r w:rsidR="002A400B" w:rsidRPr="006C52A5">
              <w:rPr>
                <w:iCs/>
              </w:rPr>
              <w:t>Ministru kabineta noteikumu ti</w:t>
            </w:r>
            <w:r w:rsidRPr="006C52A5">
              <w:rPr>
                <w:iCs/>
              </w:rPr>
              <w:t xml:space="preserve">esiskais regulējums attiecināms </w:t>
            </w:r>
            <w:r w:rsidR="002A400B" w:rsidRPr="006C52A5">
              <w:rPr>
                <w:iCs/>
              </w:rPr>
              <w:t>uz</w:t>
            </w:r>
            <w:r w:rsidR="004613C6" w:rsidRPr="006C52A5">
              <w:rPr>
                <w:iCs/>
              </w:rPr>
              <w:t>:</w:t>
            </w:r>
            <w:r w:rsidRPr="006C52A5">
              <w:rPr>
                <w:iCs/>
              </w:rPr>
              <w:t xml:space="preserve">    </w:t>
            </w:r>
            <w:r w:rsidR="004613C6" w:rsidRPr="006C52A5">
              <w:rPr>
                <w:iCs/>
              </w:rPr>
              <w:br/>
              <w:t xml:space="preserve">   • </w:t>
            </w:r>
            <w:r w:rsidR="002A400B" w:rsidRPr="006C52A5">
              <w:rPr>
                <w:iCs/>
              </w:rPr>
              <w:t xml:space="preserve">personām, </w:t>
            </w:r>
            <w:r w:rsidR="002A400B" w:rsidRPr="006C52A5">
              <w:rPr>
                <w:rFonts w:ascii="Arial" w:hAnsi="Arial" w:cs="Arial"/>
              </w:rPr>
              <w:t xml:space="preserve"> </w:t>
            </w:r>
            <w:r w:rsidR="002A400B" w:rsidRPr="006C52A5">
              <w:rPr>
                <w:iCs/>
              </w:rPr>
              <w:t>kuras veic saimniecisko darbību un tā</w:t>
            </w:r>
            <w:r w:rsidR="003B4550" w:rsidRPr="006C52A5">
              <w:rPr>
                <w:iCs/>
              </w:rPr>
              <w:t>s</w:t>
            </w:r>
            <w:r w:rsidR="002A400B" w:rsidRPr="006C52A5">
              <w:rPr>
                <w:iCs/>
              </w:rPr>
              <w:t xml:space="preserve"> nodokļu un citu maksājumu reģistrēšanai lieto kases aparātu, hibrīda kases aparātu, kases sistēmu, specializēto ierīci vai iekārtu, pamatojoties uz Ministru kabineta 2014.gada </w:t>
            </w:r>
            <w:r w:rsidR="00285832" w:rsidRPr="006C52A5">
              <w:rPr>
                <w:iCs/>
              </w:rPr>
              <w:t>11</w:t>
            </w:r>
            <w:r w:rsidR="002A400B" w:rsidRPr="006C52A5">
              <w:rPr>
                <w:iCs/>
              </w:rPr>
              <w:t>.</w:t>
            </w:r>
            <w:r w:rsidR="00285832" w:rsidRPr="006C52A5">
              <w:rPr>
                <w:iCs/>
              </w:rPr>
              <w:t>februāra</w:t>
            </w:r>
            <w:r w:rsidR="002A400B" w:rsidRPr="006C52A5">
              <w:rPr>
                <w:iCs/>
              </w:rPr>
              <w:t xml:space="preserve"> noteikumiem Nr.</w:t>
            </w:r>
            <w:r w:rsidR="00285832" w:rsidRPr="006C52A5">
              <w:rPr>
                <w:iCs/>
              </w:rPr>
              <w:t>96</w:t>
            </w:r>
            <w:r w:rsidR="002A400B" w:rsidRPr="006C52A5">
              <w:rPr>
                <w:iCs/>
              </w:rPr>
              <w:t xml:space="preserve"> “Nodokļu un citu maksājumu reģistrēšanas elektronisko ierīču un iekārtu lietošanas kārtība</w:t>
            </w:r>
            <w:r w:rsidR="004613C6" w:rsidRPr="006C52A5">
              <w:rPr>
                <w:iCs/>
              </w:rPr>
              <w:t>;</w:t>
            </w:r>
            <w:r w:rsidR="004613C6" w:rsidRPr="006C52A5">
              <w:rPr>
                <w:iCs/>
              </w:rPr>
              <w:br/>
              <w:t xml:space="preserve">  •komersantiem</w:t>
            </w:r>
            <w:r w:rsidR="004613C6" w:rsidRPr="006C52A5">
              <w:t>, kuri veic muitošanas darbības;</w:t>
            </w:r>
            <w:r w:rsidR="004613C6" w:rsidRPr="006C52A5">
              <w:br/>
            </w:r>
            <w:r w:rsidRPr="006C52A5">
              <w:rPr>
                <w:iCs/>
              </w:rPr>
              <w:t xml:space="preserve">  </w:t>
            </w:r>
            <w:r w:rsidR="004613C6" w:rsidRPr="006C52A5">
              <w:rPr>
                <w:iCs/>
              </w:rPr>
              <w:t>•</w:t>
            </w:r>
            <w:r w:rsidRPr="006C52A5">
              <w:rPr>
                <w:iCs/>
              </w:rPr>
              <w:t>komersanti</w:t>
            </w:r>
            <w:r w:rsidR="0043694F" w:rsidRPr="006C52A5">
              <w:rPr>
                <w:iCs/>
              </w:rPr>
              <w:t>em</w:t>
            </w:r>
            <w:r w:rsidRPr="006C52A5">
              <w:rPr>
                <w:iCs/>
              </w:rPr>
              <w:t xml:space="preserve">, kuriem nepieciešams </w:t>
            </w:r>
            <w:r w:rsidR="00F163C0" w:rsidRPr="006C52A5">
              <w:rPr>
                <w:iCs/>
              </w:rPr>
              <w:t>izmantot Muitas laboratorijas pakalpojumus</w:t>
            </w:r>
            <w:r w:rsidR="00F537D6" w:rsidRPr="006C52A5">
              <w:t xml:space="preserve"> </w:t>
            </w:r>
            <w:r w:rsidR="00F537D6" w:rsidRPr="006C52A5">
              <w:rPr>
                <w:iCs/>
              </w:rPr>
              <w:t>Eiropas Savienības Kombinētās nomenklatūras koda, Eiropas Savienības kopējā muitas tarifa (TARIC) koda vai papildkoda noteikšanai</w:t>
            </w:r>
            <w:r w:rsidR="00044337" w:rsidRPr="006C52A5">
              <w:rPr>
                <w:iCs/>
              </w:rPr>
              <w:t>.</w:t>
            </w:r>
          </w:p>
        </w:tc>
      </w:tr>
      <w:tr w:rsidR="006C52A5" w:rsidRPr="006C52A5" w:rsidTr="002A400B">
        <w:trPr>
          <w:trHeight w:val="350"/>
        </w:trPr>
        <w:tc>
          <w:tcPr>
            <w:tcW w:w="425" w:type="dxa"/>
          </w:tcPr>
          <w:p w:rsidR="002A400B" w:rsidRPr="006C52A5" w:rsidRDefault="002A400B" w:rsidP="00D53978">
            <w:pPr>
              <w:pStyle w:val="naiskr"/>
              <w:spacing w:before="0" w:after="0"/>
              <w:jc w:val="center"/>
            </w:pPr>
            <w:r w:rsidRPr="006C52A5">
              <w:lastRenderedPageBreak/>
              <w:t>2.</w:t>
            </w:r>
          </w:p>
        </w:tc>
        <w:tc>
          <w:tcPr>
            <w:tcW w:w="3975" w:type="dxa"/>
          </w:tcPr>
          <w:p w:rsidR="002A400B" w:rsidRPr="006C52A5" w:rsidRDefault="002A400B" w:rsidP="00D53978">
            <w:pPr>
              <w:pStyle w:val="naiskr"/>
              <w:spacing w:before="0" w:after="0"/>
            </w:pPr>
            <w:r w:rsidRPr="006C52A5">
              <w:t>Tiesiskā regulējuma ietekme uz tautsaimniecību un administratīvo slogu</w:t>
            </w:r>
          </w:p>
        </w:tc>
        <w:tc>
          <w:tcPr>
            <w:tcW w:w="5211" w:type="dxa"/>
          </w:tcPr>
          <w:p w:rsidR="002A400B" w:rsidRPr="006C52A5" w:rsidRDefault="002A400B" w:rsidP="00D53978">
            <w:pPr>
              <w:jc w:val="both"/>
            </w:pPr>
            <w:r w:rsidRPr="006C52A5">
              <w:t>Sabiedrības grupām un institūcijām projekta tiesiskais regulējums nemaina tiesības un pienākumus, kā arī veicamās darbības.</w:t>
            </w:r>
          </w:p>
        </w:tc>
      </w:tr>
      <w:tr w:rsidR="006C52A5" w:rsidRPr="006C52A5" w:rsidTr="002A400B">
        <w:trPr>
          <w:trHeight w:val="60"/>
        </w:trPr>
        <w:tc>
          <w:tcPr>
            <w:tcW w:w="425" w:type="dxa"/>
          </w:tcPr>
          <w:p w:rsidR="002A400B" w:rsidRPr="006C52A5" w:rsidRDefault="002A400B" w:rsidP="00D53978">
            <w:pPr>
              <w:pStyle w:val="naiskr"/>
              <w:spacing w:before="0" w:after="0"/>
              <w:jc w:val="center"/>
            </w:pPr>
            <w:r w:rsidRPr="006C52A5">
              <w:t>3.</w:t>
            </w:r>
          </w:p>
        </w:tc>
        <w:tc>
          <w:tcPr>
            <w:tcW w:w="3975" w:type="dxa"/>
          </w:tcPr>
          <w:p w:rsidR="002A400B" w:rsidRPr="006C52A5" w:rsidRDefault="002A400B" w:rsidP="00D53978">
            <w:pPr>
              <w:pStyle w:val="naiskr"/>
              <w:spacing w:before="0" w:after="0"/>
            </w:pPr>
            <w:r w:rsidRPr="006C52A5">
              <w:t>Administratīvo izmaksu monetārs novērtējums</w:t>
            </w:r>
          </w:p>
        </w:tc>
        <w:tc>
          <w:tcPr>
            <w:tcW w:w="5211" w:type="dxa"/>
          </w:tcPr>
          <w:p w:rsidR="002A400B" w:rsidRPr="006C52A5" w:rsidRDefault="002A400B" w:rsidP="00D53978">
            <w:pPr>
              <w:jc w:val="both"/>
            </w:pPr>
            <w:r w:rsidRPr="006C52A5">
              <w:t>Noteikumu projekts šo jomu neskar.</w:t>
            </w:r>
          </w:p>
        </w:tc>
      </w:tr>
      <w:tr w:rsidR="006C52A5" w:rsidRPr="006C52A5" w:rsidTr="002A400B">
        <w:tc>
          <w:tcPr>
            <w:tcW w:w="425" w:type="dxa"/>
          </w:tcPr>
          <w:p w:rsidR="002A400B" w:rsidRPr="006C52A5" w:rsidRDefault="002A400B" w:rsidP="00D53978">
            <w:pPr>
              <w:pStyle w:val="naiskr"/>
              <w:spacing w:before="0" w:after="0"/>
              <w:jc w:val="center"/>
            </w:pPr>
            <w:r w:rsidRPr="006C52A5">
              <w:t>4.</w:t>
            </w:r>
          </w:p>
        </w:tc>
        <w:tc>
          <w:tcPr>
            <w:tcW w:w="3975" w:type="dxa"/>
          </w:tcPr>
          <w:p w:rsidR="002A400B" w:rsidRPr="006C52A5" w:rsidRDefault="002A400B" w:rsidP="00D53978">
            <w:pPr>
              <w:pStyle w:val="naiskr"/>
              <w:spacing w:before="0" w:after="0"/>
            </w:pPr>
            <w:r w:rsidRPr="006C52A5">
              <w:t>Cita informācija</w:t>
            </w:r>
          </w:p>
        </w:tc>
        <w:tc>
          <w:tcPr>
            <w:tcW w:w="5211" w:type="dxa"/>
          </w:tcPr>
          <w:p w:rsidR="002A400B" w:rsidRPr="006C52A5" w:rsidRDefault="002A400B" w:rsidP="00D53978">
            <w:pPr>
              <w:pStyle w:val="naiskr"/>
              <w:spacing w:before="0" w:after="0"/>
              <w:jc w:val="both"/>
            </w:pPr>
            <w:r w:rsidRPr="006C52A5">
              <w:t>Nav</w:t>
            </w:r>
          </w:p>
        </w:tc>
      </w:tr>
    </w:tbl>
    <w:p w:rsidR="002A400B" w:rsidRPr="006C52A5" w:rsidRDefault="002A400B" w:rsidP="00D53978"/>
    <w:p w:rsidR="002A400B" w:rsidRPr="006C52A5" w:rsidRDefault="002A400B" w:rsidP="00D53978">
      <w:pPr>
        <w:jc w:val="right"/>
      </w:pPr>
    </w:p>
    <w:p w:rsidR="00554EFC" w:rsidRPr="006C52A5" w:rsidRDefault="00554EFC" w:rsidP="00D53978">
      <w:pPr>
        <w:pStyle w:val="naisf"/>
        <w:spacing w:before="0" w:after="0"/>
        <w:ind w:firstLine="0"/>
        <w:rPr>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1134"/>
        <w:gridCol w:w="1276"/>
        <w:gridCol w:w="1388"/>
        <w:gridCol w:w="1559"/>
        <w:gridCol w:w="1559"/>
      </w:tblGrid>
      <w:tr w:rsidR="006C52A5" w:rsidRPr="006C52A5" w:rsidTr="0081412F">
        <w:trPr>
          <w:cantSplit/>
          <w:trHeight w:val="147"/>
        </w:trPr>
        <w:tc>
          <w:tcPr>
            <w:tcW w:w="9639" w:type="dxa"/>
            <w:gridSpan w:val="6"/>
            <w:tcBorders>
              <w:right w:val="single" w:sz="4" w:space="0" w:color="auto"/>
            </w:tcBorders>
          </w:tcPr>
          <w:p w:rsidR="002911D1" w:rsidRPr="006C52A5" w:rsidRDefault="002911D1" w:rsidP="00D53978">
            <w:pPr>
              <w:jc w:val="center"/>
              <w:rPr>
                <w:b/>
                <w:sz w:val="22"/>
                <w:szCs w:val="22"/>
                <w:lang w:eastAsia="en-US"/>
              </w:rPr>
            </w:pPr>
            <w:r w:rsidRPr="006C52A5">
              <w:rPr>
                <w:b/>
                <w:lang w:eastAsia="en-US"/>
              </w:rPr>
              <w:t>III. Tiesību akta projekta ietekme uz</w:t>
            </w:r>
            <w:r w:rsidR="00AF0F73" w:rsidRPr="006C52A5">
              <w:rPr>
                <w:b/>
                <w:lang w:eastAsia="en-US"/>
              </w:rPr>
              <w:t xml:space="preserve"> </w:t>
            </w:r>
            <w:r w:rsidRPr="006C52A5">
              <w:rPr>
                <w:b/>
                <w:lang w:eastAsia="en-US"/>
              </w:rPr>
              <w:t>valsts budžetu un pašvaldību budžetiem</w:t>
            </w:r>
          </w:p>
        </w:tc>
      </w:tr>
      <w:tr w:rsidR="006C52A5" w:rsidRPr="006C52A5" w:rsidTr="0081412F">
        <w:trPr>
          <w:cantSplit/>
          <w:trHeight w:val="147"/>
        </w:trPr>
        <w:tc>
          <w:tcPr>
            <w:tcW w:w="2723" w:type="dxa"/>
            <w:vMerge w:val="restart"/>
            <w:tcBorders>
              <w:right w:val="single" w:sz="4" w:space="0" w:color="auto"/>
            </w:tcBorders>
          </w:tcPr>
          <w:p w:rsidR="002911D1" w:rsidRPr="006C52A5" w:rsidRDefault="002911D1" w:rsidP="00D53978">
            <w:pPr>
              <w:rPr>
                <w:lang w:eastAsia="en-US"/>
              </w:rPr>
            </w:pPr>
            <w:r w:rsidRPr="006C52A5">
              <w:rPr>
                <w:lang w:eastAsia="en-US"/>
              </w:rPr>
              <w:t xml:space="preserve"> </w:t>
            </w:r>
          </w:p>
          <w:p w:rsidR="002911D1" w:rsidRPr="006C52A5" w:rsidRDefault="002911D1" w:rsidP="00D53978">
            <w:pPr>
              <w:jc w:val="center"/>
              <w:rPr>
                <w:lang w:eastAsia="en-US"/>
              </w:rPr>
            </w:pPr>
          </w:p>
          <w:p w:rsidR="002911D1" w:rsidRPr="006C52A5" w:rsidRDefault="002911D1" w:rsidP="00D53978">
            <w:pPr>
              <w:jc w:val="center"/>
              <w:rPr>
                <w:b/>
                <w:lang w:eastAsia="en-US"/>
              </w:rPr>
            </w:pPr>
            <w:r w:rsidRPr="006C52A5">
              <w:rPr>
                <w:b/>
                <w:lang w:eastAsia="en-US"/>
              </w:rPr>
              <w:t>Rādītāji</w:t>
            </w:r>
          </w:p>
        </w:tc>
        <w:tc>
          <w:tcPr>
            <w:tcW w:w="2410" w:type="dxa"/>
            <w:gridSpan w:val="2"/>
            <w:tcBorders>
              <w:right w:val="single" w:sz="4" w:space="0" w:color="auto"/>
            </w:tcBorders>
          </w:tcPr>
          <w:p w:rsidR="002911D1" w:rsidRPr="006C52A5" w:rsidRDefault="00AF562E" w:rsidP="00D53978">
            <w:pPr>
              <w:jc w:val="center"/>
              <w:rPr>
                <w:lang w:eastAsia="en-US"/>
              </w:rPr>
            </w:pPr>
            <w:r w:rsidRPr="006C52A5">
              <w:rPr>
                <w:lang w:eastAsia="en-US"/>
              </w:rPr>
              <w:t>2016</w:t>
            </w:r>
            <w:r w:rsidR="00AF0F73" w:rsidRPr="006C52A5">
              <w:rPr>
                <w:lang w:eastAsia="en-US"/>
              </w:rPr>
              <w:t>.</w:t>
            </w:r>
            <w:r w:rsidR="002911D1" w:rsidRPr="006C52A5">
              <w:rPr>
                <w:lang w:eastAsia="en-US"/>
              </w:rPr>
              <w:t>gads</w:t>
            </w:r>
          </w:p>
        </w:tc>
        <w:tc>
          <w:tcPr>
            <w:tcW w:w="4506" w:type="dxa"/>
            <w:gridSpan w:val="3"/>
            <w:tcBorders>
              <w:right w:val="single" w:sz="4" w:space="0" w:color="auto"/>
            </w:tcBorders>
          </w:tcPr>
          <w:p w:rsidR="002911D1" w:rsidRPr="006C52A5" w:rsidRDefault="002911D1" w:rsidP="00D53978">
            <w:pPr>
              <w:jc w:val="center"/>
              <w:rPr>
                <w:lang w:eastAsia="en-US"/>
              </w:rPr>
            </w:pPr>
            <w:r w:rsidRPr="006C52A5">
              <w:rPr>
                <w:lang w:eastAsia="en-US"/>
              </w:rPr>
              <w:t>Turpmākie trīs gadi (</w:t>
            </w:r>
            <w:r w:rsidR="000E6504" w:rsidRPr="006C52A5">
              <w:rPr>
                <w:i/>
                <w:lang w:eastAsia="en-US"/>
              </w:rPr>
              <w:t>euro</w:t>
            </w:r>
            <w:r w:rsidRPr="006C52A5">
              <w:rPr>
                <w:i/>
                <w:lang w:eastAsia="en-US"/>
              </w:rPr>
              <w:t>o</w:t>
            </w:r>
            <w:r w:rsidRPr="006C52A5">
              <w:rPr>
                <w:lang w:eastAsia="en-US"/>
              </w:rPr>
              <w:t>)</w:t>
            </w:r>
          </w:p>
        </w:tc>
      </w:tr>
      <w:tr w:rsidR="006C52A5" w:rsidRPr="006C52A5" w:rsidTr="000B6ECD">
        <w:trPr>
          <w:cantSplit/>
          <w:trHeight w:val="163"/>
        </w:trPr>
        <w:tc>
          <w:tcPr>
            <w:tcW w:w="2723" w:type="dxa"/>
            <w:vMerge/>
            <w:tcBorders>
              <w:right w:val="single" w:sz="4" w:space="0" w:color="auto"/>
            </w:tcBorders>
            <w:vAlign w:val="center"/>
          </w:tcPr>
          <w:p w:rsidR="002911D1" w:rsidRPr="006C52A5" w:rsidRDefault="002911D1" w:rsidP="00D53978">
            <w:pPr>
              <w:jc w:val="center"/>
              <w:rPr>
                <w:lang w:eastAsia="en-US"/>
              </w:rPr>
            </w:pPr>
          </w:p>
        </w:tc>
        <w:tc>
          <w:tcPr>
            <w:tcW w:w="1134" w:type="dxa"/>
            <w:vMerge w:val="restart"/>
            <w:tcBorders>
              <w:left w:val="single" w:sz="4" w:space="0" w:color="auto"/>
            </w:tcBorders>
            <w:vAlign w:val="center"/>
          </w:tcPr>
          <w:p w:rsidR="002911D1" w:rsidRPr="006C52A5" w:rsidRDefault="002911D1" w:rsidP="00D53978">
            <w:pPr>
              <w:jc w:val="center"/>
              <w:rPr>
                <w:lang w:eastAsia="en-US"/>
              </w:rPr>
            </w:pPr>
            <w:r w:rsidRPr="006C52A5">
              <w:rPr>
                <w:lang w:eastAsia="en-US"/>
              </w:rPr>
              <w:t>saskaņā ar valsts budžetu kārtējam gadam</w:t>
            </w:r>
          </w:p>
        </w:tc>
        <w:tc>
          <w:tcPr>
            <w:tcW w:w="1276" w:type="dxa"/>
            <w:vMerge w:val="restart"/>
          </w:tcPr>
          <w:p w:rsidR="002911D1" w:rsidRPr="006C52A5" w:rsidRDefault="002911D1" w:rsidP="00D53978">
            <w:pPr>
              <w:jc w:val="center"/>
              <w:rPr>
                <w:lang w:eastAsia="en-US"/>
              </w:rPr>
            </w:pPr>
            <w:r w:rsidRPr="006C52A5">
              <w:rPr>
                <w:lang w:eastAsia="en-US"/>
              </w:rPr>
              <w:t>izmaiņas kārtējā gadā, salīdzinot ar valsts budžetu kārtējam gadam</w:t>
            </w:r>
          </w:p>
        </w:tc>
        <w:tc>
          <w:tcPr>
            <w:tcW w:w="1388" w:type="dxa"/>
          </w:tcPr>
          <w:p w:rsidR="002911D1" w:rsidRPr="006C52A5" w:rsidRDefault="00AF0F73" w:rsidP="00D53978">
            <w:pPr>
              <w:keepNext/>
              <w:jc w:val="center"/>
              <w:outlineLvl w:val="5"/>
              <w:rPr>
                <w:lang w:eastAsia="en-US"/>
              </w:rPr>
            </w:pPr>
            <w:r w:rsidRPr="006C52A5">
              <w:rPr>
                <w:lang w:eastAsia="en-US"/>
              </w:rPr>
              <w:t>201</w:t>
            </w:r>
            <w:r w:rsidR="00AF562E" w:rsidRPr="006C52A5">
              <w:rPr>
                <w:lang w:eastAsia="en-US"/>
              </w:rPr>
              <w:t>7</w:t>
            </w:r>
            <w:r w:rsidRPr="006C52A5">
              <w:rPr>
                <w:lang w:eastAsia="en-US"/>
              </w:rPr>
              <w:t>.gads</w:t>
            </w:r>
          </w:p>
        </w:tc>
        <w:tc>
          <w:tcPr>
            <w:tcW w:w="1559" w:type="dxa"/>
          </w:tcPr>
          <w:p w:rsidR="002911D1" w:rsidRPr="006C52A5" w:rsidRDefault="00AF0F73" w:rsidP="00D53978">
            <w:pPr>
              <w:keepNext/>
              <w:jc w:val="center"/>
              <w:outlineLvl w:val="5"/>
              <w:rPr>
                <w:lang w:eastAsia="en-US"/>
              </w:rPr>
            </w:pPr>
            <w:r w:rsidRPr="006C52A5">
              <w:rPr>
                <w:lang w:eastAsia="en-US"/>
              </w:rPr>
              <w:t>201</w:t>
            </w:r>
            <w:r w:rsidR="00AF562E" w:rsidRPr="006C52A5">
              <w:rPr>
                <w:lang w:eastAsia="en-US"/>
              </w:rPr>
              <w:t>8</w:t>
            </w:r>
            <w:r w:rsidRPr="006C52A5">
              <w:rPr>
                <w:lang w:eastAsia="en-US"/>
              </w:rPr>
              <w:t>.gads</w:t>
            </w:r>
          </w:p>
        </w:tc>
        <w:tc>
          <w:tcPr>
            <w:tcW w:w="1559" w:type="dxa"/>
          </w:tcPr>
          <w:p w:rsidR="002911D1" w:rsidRPr="006C52A5" w:rsidRDefault="00AF0F73" w:rsidP="00D53978">
            <w:pPr>
              <w:keepNext/>
              <w:jc w:val="center"/>
              <w:outlineLvl w:val="5"/>
              <w:rPr>
                <w:lang w:eastAsia="en-US"/>
              </w:rPr>
            </w:pPr>
            <w:r w:rsidRPr="006C52A5">
              <w:rPr>
                <w:lang w:eastAsia="en-US"/>
              </w:rPr>
              <w:t>201</w:t>
            </w:r>
            <w:r w:rsidR="00AF562E" w:rsidRPr="006C52A5">
              <w:rPr>
                <w:lang w:eastAsia="en-US"/>
              </w:rPr>
              <w:t>9</w:t>
            </w:r>
            <w:r w:rsidRPr="006C52A5">
              <w:rPr>
                <w:lang w:eastAsia="en-US"/>
              </w:rPr>
              <w:t>.gads</w:t>
            </w:r>
          </w:p>
        </w:tc>
      </w:tr>
      <w:tr w:rsidR="006C52A5" w:rsidRPr="006C52A5" w:rsidTr="000B6ECD">
        <w:trPr>
          <w:cantSplit/>
          <w:trHeight w:val="230"/>
        </w:trPr>
        <w:tc>
          <w:tcPr>
            <w:tcW w:w="2723" w:type="dxa"/>
            <w:vMerge/>
            <w:tcBorders>
              <w:right w:val="single" w:sz="4" w:space="0" w:color="auto"/>
            </w:tcBorders>
          </w:tcPr>
          <w:p w:rsidR="002911D1" w:rsidRPr="006C52A5" w:rsidRDefault="002911D1" w:rsidP="00D53978">
            <w:pPr>
              <w:rPr>
                <w:lang w:eastAsia="en-US"/>
              </w:rPr>
            </w:pPr>
          </w:p>
        </w:tc>
        <w:tc>
          <w:tcPr>
            <w:tcW w:w="1134" w:type="dxa"/>
            <w:vMerge/>
            <w:tcBorders>
              <w:left w:val="single" w:sz="4" w:space="0" w:color="auto"/>
            </w:tcBorders>
          </w:tcPr>
          <w:p w:rsidR="002911D1" w:rsidRPr="006C52A5" w:rsidRDefault="002911D1" w:rsidP="00D53978">
            <w:pPr>
              <w:jc w:val="center"/>
              <w:rPr>
                <w:lang w:eastAsia="en-US"/>
              </w:rPr>
            </w:pPr>
          </w:p>
        </w:tc>
        <w:tc>
          <w:tcPr>
            <w:tcW w:w="1276" w:type="dxa"/>
            <w:vMerge/>
          </w:tcPr>
          <w:p w:rsidR="002911D1" w:rsidRPr="006C52A5" w:rsidRDefault="002911D1" w:rsidP="00D53978">
            <w:pPr>
              <w:jc w:val="center"/>
              <w:rPr>
                <w:lang w:eastAsia="en-US"/>
              </w:rPr>
            </w:pPr>
          </w:p>
        </w:tc>
        <w:tc>
          <w:tcPr>
            <w:tcW w:w="1388" w:type="dxa"/>
          </w:tcPr>
          <w:p w:rsidR="002911D1" w:rsidRPr="006C52A5" w:rsidRDefault="002911D1" w:rsidP="00D53978">
            <w:pPr>
              <w:jc w:val="center"/>
              <w:rPr>
                <w:lang w:eastAsia="en-US"/>
              </w:rPr>
            </w:pPr>
            <w:r w:rsidRPr="006C52A5">
              <w:rPr>
                <w:lang w:eastAsia="en-US"/>
              </w:rPr>
              <w:t>izmaiņas, salīdzinot ar kārtējo (n) gadu</w:t>
            </w:r>
          </w:p>
        </w:tc>
        <w:tc>
          <w:tcPr>
            <w:tcW w:w="1559" w:type="dxa"/>
          </w:tcPr>
          <w:p w:rsidR="002911D1" w:rsidRPr="006C52A5" w:rsidRDefault="002911D1" w:rsidP="00D53978">
            <w:pPr>
              <w:jc w:val="center"/>
              <w:rPr>
                <w:lang w:eastAsia="en-US"/>
              </w:rPr>
            </w:pPr>
            <w:r w:rsidRPr="006C52A5">
              <w:rPr>
                <w:lang w:eastAsia="en-US"/>
              </w:rPr>
              <w:t>izmaiņas, salīdzinot ar kārtējo (n) gadu</w:t>
            </w:r>
          </w:p>
        </w:tc>
        <w:tc>
          <w:tcPr>
            <w:tcW w:w="1559" w:type="dxa"/>
          </w:tcPr>
          <w:p w:rsidR="002911D1" w:rsidRPr="006C52A5" w:rsidRDefault="002911D1" w:rsidP="00D53978">
            <w:pPr>
              <w:jc w:val="center"/>
              <w:rPr>
                <w:lang w:eastAsia="en-US"/>
              </w:rPr>
            </w:pPr>
            <w:r w:rsidRPr="006C52A5">
              <w:rPr>
                <w:lang w:eastAsia="en-US"/>
              </w:rPr>
              <w:t>izmaiņas, salīdzinot ar kārtējo (n) gadu</w:t>
            </w:r>
          </w:p>
        </w:tc>
      </w:tr>
      <w:tr w:rsidR="006C52A5" w:rsidRPr="006C52A5" w:rsidTr="000B6ECD">
        <w:trPr>
          <w:trHeight w:val="147"/>
        </w:trPr>
        <w:tc>
          <w:tcPr>
            <w:tcW w:w="2723" w:type="dxa"/>
          </w:tcPr>
          <w:p w:rsidR="002911D1" w:rsidRPr="006C52A5" w:rsidRDefault="002911D1" w:rsidP="00D53978">
            <w:pPr>
              <w:jc w:val="center"/>
              <w:rPr>
                <w:lang w:eastAsia="en-US"/>
              </w:rPr>
            </w:pPr>
            <w:r w:rsidRPr="006C52A5">
              <w:rPr>
                <w:lang w:eastAsia="en-US"/>
              </w:rPr>
              <w:t>1</w:t>
            </w:r>
          </w:p>
        </w:tc>
        <w:tc>
          <w:tcPr>
            <w:tcW w:w="1134" w:type="dxa"/>
          </w:tcPr>
          <w:p w:rsidR="002911D1" w:rsidRPr="006C52A5" w:rsidRDefault="002911D1" w:rsidP="00D53978">
            <w:pPr>
              <w:jc w:val="center"/>
              <w:rPr>
                <w:lang w:eastAsia="en-US"/>
              </w:rPr>
            </w:pPr>
            <w:r w:rsidRPr="006C52A5">
              <w:rPr>
                <w:lang w:eastAsia="en-US"/>
              </w:rPr>
              <w:t>2</w:t>
            </w:r>
          </w:p>
        </w:tc>
        <w:tc>
          <w:tcPr>
            <w:tcW w:w="1276" w:type="dxa"/>
          </w:tcPr>
          <w:p w:rsidR="002911D1" w:rsidRPr="006C52A5" w:rsidRDefault="002911D1" w:rsidP="00D53978">
            <w:pPr>
              <w:jc w:val="center"/>
              <w:rPr>
                <w:lang w:eastAsia="en-US"/>
              </w:rPr>
            </w:pPr>
            <w:r w:rsidRPr="006C52A5">
              <w:rPr>
                <w:lang w:eastAsia="en-US"/>
              </w:rPr>
              <w:t>3</w:t>
            </w:r>
          </w:p>
        </w:tc>
        <w:tc>
          <w:tcPr>
            <w:tcW w:w="1388" w:type="dxa"/>
          </w:tcPr>
          <w:p w:rsidR="002911D1" w:rsidRPr="006C52A5" w:rsidRDefault="002911D1" w:rsidP="00D53978">
            <w:pPr>
              <w:jc w:val="center"/>
              <w:rPr>
                <w:lang w:eastAsia="en-US"/>
              </w:rPr>
            </w:pPr>
            <w:r w:rsidRPr="006C52A5">
              <w:rPr>
                <w:lang w:eastAsia="en-US"/>
              </w:rPr>
              <w:t>4</w:t>
            </w:r>
          </w:p>
        </w:tc>
        <w:tc>
          <w:tcPr>
            <w:tcW w:w="1559" w:type="dxa"/>
          </w:tcPr>
          <w:p w:rsidR="002911D1" w:rsidRPr="006C52A5" w:rsidRDefault="002911D1" w:rsidP="00D53978">
            <w:pPr>
              <w:jc w:val="center"/>
              <w:rPr>
                <w:lang w:eastAsia="en-US"/>
              </w:rPr>
            </w:pPr>
            <w:r w:rsidRPr="006C52A5">
              <w:rPr>
                <w:lang w:eastAsia="en-US"/>
              </w:rPr>
              <w:t>5</w:t>
            </w:r>
          </w:p>
        </w:tc>
        <w:tc>
          <w:tcPr>
            <w:tcW w:w="1559" w:type="dxa"/>
          </w:tcPr>
          <w:p w:rsidR="002911D1" w:rsidRPr="006C52A5" w:rsidRDefault="002911D1" w:rsidP="00D53978">
            <w:pPr>
              <w:jc w:val="center"/>
              <w:rPr>
                <w:lang w:eastAsia="en-US"/>
              </w:rPr>
            </w:pPr>
            <w:r w:rsidRPr="006C52A5">
              <w:rPr>
                <w:lang w:eastAsia="en-US"/>
              </w:rPr>
              <w:t>6</w:t>
            </w:r>
          </w:p>
        </w:tc>
      </w:tr>
      <w:tr w:rsidR="00502C7B" w:rsidRPr="006C52A5" w:rsidTr="000B6ECD">
        <w:trPr>
          <w:cantSplit/>
          <w:trHeight w:val="64"/>
        </w:trPr>
        <w:tc>
          <w:tcPr>
            <w:tcW w:w="2723" w:type="dxa"/>
            <w:tcBorders>
              <w:bottom w:val="single" w:sz="4" w:space="0" w:color="auto"/>
            </w:tcBorders>
          </w:tcPr>
          <w:p w:rsidR="00502C7B" w:rsidRPr="006C52A5" w:rsidRDefault="00502C7B" w:rsidP="00502C7B">
            <w:pPr>
              <w:spacing w:before="100" w:beforeAutospacing="1" w:after="100" w:afterAutospacing="1"/>
            </w:pPr>
            <w:r w:rsidRPr="006C52A5">
              <w:t>1. Budžeta ieņēmumi:</w:t>
            </w:r>
          </w:p>
        </w:tc>
        <w:tc>
          <w:tcPr>
            <w:tcW w:w="1134" w:type="dxa"/>
            <w:vAlign w:val="center"/>
          </w:tcPr>
          <w:p w:rsidR="00502C7B" w:rsidRPr="006C52A5" w:rsidRDefault="00502C7B" w:rsidP="00502C7B">
            <w:pPr>
              <w:tabs>
                <w:tab w:val="left" w:pos="4305"/>
              </w:tabs>
              <w:jc w:val="center"/>
              <w:rPr>
                <w:lang w:eastAsia="en-US"/>
              </w:rPr>
            </w:pPr>
            <w:r>
              <w:rPr>
                <w:lang w:eastAsia="en-US"/>
              </w:rPr>
              <w:t>7 114</w:t>
            </w:r>
          </w:p>
        </w:tc>
        <w:tc>
          <w:tcPr>
            <w:tcW w:w="1276" w:type="dxa"/>
            <w:vAlign w:val="center"/>
          </w:tcPr>
          <w:p w:rsidR="00502C7B" w:rsidRPr="006C52A5" w:rsidRDefault="00502C7B" w:rsidP="00502C7B">
            <w:pPr>
              <w:tabs>
                <w:tab w:val="left" w:pos="4305"/>
              </w:tabs>
              <w:jc w:val="center"/>
              <w:rPr>
                <w:lang w:eastAsia="en-US"/>
              </w:rPr>
            </w:pPr>
            <w:r w:rsidRPr="006C52A5">
              <w:rPr>
                <w:lang w:eastAsia="en-US"/>
              </w:rPr>
              <w:t>0</w:t>
            </w:r>
          </w:p>
        </w:tc>
        <w:tc>
          <w:tcPr>
            <w:tcW w:w="1388" w:type="dxa"/>
            <w:vAlign w:val="center"/>
          </w:tcPr>
          <w:p w:rsidR="00502C7B" w:rsidRPr="006C52A5" w:rsidRDefault="00502C7B" w:rsidP="00502C7B">
            <w:pPr>
              <w:tabs>
                <w:tab w:val="left" w:pos="4305"/>
              </w:tabs>
              <w:jc w:val="center"/>
              <w:rPr>
                <w:lang w:eastAsia="en-US"/>
              </w:rPr>
            </w:pPr>
            <w:r w:rsidRPr="006C52A5">
              <w:rPr>
                <w:lang w:eastAsia="en-US"/>
              </w:rPr>
              <w:t>21 3</w:t>
            </w:r>
            <w:r>
              <w:rPr>
                <w:lang w:eastAsia="en-US"/>
              </w:rPr>
              <w:t>88</w:t>
            </w:r>
          </w:p>
        </w:tc>
        <w:tc>
          <w:tcPr>
            <w:tcW w:w="1559" w:type="dxa"/>
            <w:vAlign w:val="center"/>
          </w:tcPr>
          <w:p w:rsidR="00502C7B" w:rsidRPr="006C52A5" w:rsidRDefault="00502C7B" w:rsidP="00502C7B">
            <w:pPr>
              <w:tabs>
                <w:tab w:val="left" w:pos="4305"/>
              </w:tabs>
              <w:jc w:val="center"/>
              <w:rPr>
                <w:lang w:eastAsia="en-US"/>
              </w:rPr>
            </w:pPr>
            <w:r w:rsidRPr="006C52A5">
              <w:rPr>
                <w:lang w:eastAsia="en-US"/>
              </w:rPr>
              <w:t>21 3</w:t>
            </w:r>
            <w:r>
              <w:rPr>
                <w:lang w:eastAsia="en-US"/>
              </w:rPr>
              <w:t>88</w:t>
            </w:r>
          </w:p>
        </w:tc>
        <w:tc>
          <w:tcPr>
            <w:tcW w:w="1559" w:type="dxa"/>
            <w:vAlign w:val="center"/>
          </w:tcPr>
          <w:p w:rsidR="00502C7B" w:rsidRPr="006C52A5" w:rsidRDefault="00502C7B" w:rsidP="00502C7B">
            <w:pPr>
              <w:tabs>
                <w:tab w:val="left" w:pos="4305"/>
              </w:tabs>
              <w:jc w:val="center"/>
              <w:rPr>
                <w:lang w:eastAsia="en-US"/>
              </w:rPr>
            </w:pPr>
            <w:r w:rsidRPr="006C52A5">
              <w:rPr>
                <w:lang w:eastAsia="en-US"/>
              </w:rPr>
              <w:t xml:space="preserve">21 </w:t>
            </w:r>
            <w:r>
              <w:rPr>
                <w:lang w:eastAsia="en-US"/>
              </w:rPr>
              <w:t>388</w:t>
            </w:r>
          </w:p>
        </w:tc>
      </w:tr>
      <w:tr w:rsidR="006C52A5" w:rsidRPr="006C52A5" w:rsidTr="000B6ECD">
        <w:trPr>
          <w:cantSplit/>
          <w:trHeight w:val="455"/>
        </w:trPr>
        <w:tc>
          <w:tcPr>
            <w:tcW w:w="2723" w:type="dxa"/>
            <w:tcBorders>
              <w:bottom w:val="single" w:sz="4" w:space="0" w:color="auto"/>
            </w:tcBorders>
          </w:tcPr>
          <w:p w:rsidR="002911D1" w:rsidRPr="006C52A5" w:rsidRDefault="00810C13" w:rsidP="00D53978">
            <w:r w:rsidRPr="006C52A5">
              <w:t>1.1. valsts pamatbudžets, tai skaitā</w:t>
            </w:r>
            <w:r w:rsidR="00755035" w:rsidRPr="006C52A5">
              <w:t xml:space="preserve"> ieņēmumi no maksas pakalpojumiem un citi pašu ieņēmumi</w:t>
            </w:r>
          </w:p>
        </w:tc>
        <w:tc>
          <w:tcPr>
            <w:tcW w:w="1134" w:type="dxa"/>
            <w:vAlign w:val="center"/>
          </w:tcPr>
          <w:p w:rsidR="002911D1" w:rsidRPr="006C52A5" w:rsidRDefault="00320DDE" w:rsidP="008C7DFC">
            <w:pPr>
              <w:tabs>
                <w:tab w:val="left" w:pos="4305"/>
              </w:tabs>
              <w:jc w:val="center"/>
              <w:rPr>
                <w:lang w:eastAsia="en-US"/>
              </w:rPr>
            </w:pPr>
            <w:r w:rsidRPr="006C52A5">
              <w:rPr>
                <w:lang w:eastAsia="en-US"/>
              </w:rPr>
              <w:t>7 114</w:t>
            </w:r>
          </w:p>
        </w:tc>
        <w:tc>
          <w:tcPr>
            <w:tcW w:w="1276" w:type="dxa"/>
            <w:vAlign w:val="center"/>
          </w:tcPr>
          <w:p w:rsidR="002911D1" w:rsidRPr="006C52A5" w:rsidRDefault="00366E1F" w:rsidP="00366E1F">
            <w:pPr>
              <w:tabs>
                <w:tab w:val="left" w:pos="4305"/>
              </w:tabs>
              <w:jc w:val="center"/>
              <w:rPr>
                <w:lang w:eastAsia="en-US"/>
              </w:rPr>
            </w:pPr>
            <w:r w:rsidRPr="006C52A5">
              <w:rPr>
                <w:lang w:eastAsia="en-US"/>
              </w:rPr>
              <w:t>0</w:t>
            </w:r>
          </w:p>
        </w:tc>
        <w:tc>
          <w:tcPr>
            <w:tcW w:w="1388" w:type="dxa"/>
            <w:vAlign w:val="center"/>
          </w:tcPr>
          <w:p w:rsidR="002911D1" w:rsidRPr="006C52A5" w:rsidRDefault="007F605D" w:rsidP="00E84C55">
            <w:pPr>
              <w:tabs>
                <w:tab w:val="left" w:pos="4305"/>
              </w:tabs>
              <w:jc w:val="center"/>
              <w:rPr>
                <w:lang w:eastAsia="en-US"/>
              </w:rPr>
            </w:pPr>
            <w:r w:rsidRPr="006C52A5">
              <w:rPr>
                <w:lang w:eastAsia="en-US"/>
              </w:rPr>
              <w:t>2</w:t>
            </w:r>
            <w:r w:rsidR="008A769A" w:rsidRPr="006C52A5">
              <w:rPr>
                <w:lang w:eastAsia="en-US"/>
              </w:rPr>
              <w:t>1</w:t>
            </w:r>
            <w:r w:rsidRPr="006C52A5">
              <w:rPr>
                <w:lang w:eastAsia="en-US"/>
              </w:rPr>
              <w:t xml:space="preserve"> </w:t>
            </w:r>
            <w:r w:rsidR="008A769A" w:rsidRPr="006C52A5">
              <w:rPr>
                <w:lang w:eastAsia="en-US"/>
              </w:rPr>
              <w:t>3</w:t>
            </w:r>
            <w:r w:rsidR="00E84C55">
              <w:rPr>
                <w:lang w:eastAsia="en-US"/>
              </w:rPr>
              <w:t>88</w:t>
            </w:r>
          </w:p>
        </w:tc>
        <w:tc>
          <w:tcPr>
            <w:tcW w:w="1559" w:type="dxa"/>
            <w:vAlign w:val="center"/>
          </w:tcPr>
          <w:p w:rsidR="002911D1" w:rsidRPr="006C52A5" w:rsidRDefault="00956087" w:rsidP="00E84C55">
            <w:pPr>
              <w:tabs>
                <w:tab w:val="left" w:pos="4305"/>
              </w:tabs>
              <w:jc w:val="center"/>
              <w:rPr>
                <w:lang w:eastAsia="en-US"/>
              </w:rPr>
            </w:pPr>
            <w:r w:rsidRPr="006C52A5">
              <w:rPr>
                <w:lang w:eastAsia="en-US"/>
              </w:rPr>
              <w:t>2</w:t>
            </w:r>
            <w:r w:rsidR="008A769A" w:rsidRPr="006C52A5">
              <w:rPr>
                <w:lang w:eastAsia="en-US"/>
              </w:rPr>
              <w:t>1</w:t>
            </w:r>
            <w:r w:rsidRPr="006C52A5">
              <w:rPr>
                <w:lang w:eastAsia="en-US"/>
              </w:rPr>
              <w:t xml:space="preserve"> </w:t>
            </w:r>
            <w:r w:rsidR="008A769A" w:rsidRPr="006C52A5">
              <w:rPr>
                <w:lang w:eastAsia="en-US"/>
              </w:rPr>
              <w:t>3</w:t>
            </w:r>
            <w:r w:rsidR="00E84C55">
              <w:rPr>
                <w:lang w:eastAsia="en-US"/>
              </w:rPr>
              <w:t>88</w:t>
            </w:r>
          </w:p>
        </w:tc>
        <w:tc>
          <w:tcPr>
            <w:tcW w:w="1559" w:type="dxa"/>
            <w:vAlign w:val="center"/>
          </w:tcPr>
          <w:p w:rsidR="002911D1" w:rsidRPr="006C52A5" w:rsidRDefault="00956087" w:rsidP="008A769A">
            <w:pPr>
              <w:tabs>
                <w:tab w:val="left" w:pos="4305"/>
              </w:tabs>
              <w:jc w:val="center"/>
              <w:rPr>
                <w:lang w:eastAsia="en-US"/>
              </w:rPr>
            </w:pPr>
            <w:r w:rsidRPr="006C52A5">
              <w:rPr>
                <w:lang w:eastAsia="en-US"/>
              </w:rPr>
              <w:t>2</w:t>
            </w:r>
            <w:r w:rsidR="008A769A" w:rsidRPr="006C52A5">
              <w:rPr>
                <w:lang w:eastAsia="en-US"/>
              </w:rPr>
              <w:t>1</w:t>
            </w:r>
            <w:r w:rsidRPr="006C52A5">
              <w:rPr>
                <w:lang w:eastAsia="en-US"/>
              </w:rPr>
              <w:t xml:space="preserve"> </w:t>
            </w:r>
            <w:r w:rsidR="00E84C55">
              <w:rPr>
                <w:lang w:eastAsia="en-US"/>
              </w:rPr>
              <w:t>388</w:t>
            </w:r>
          </w:p>
        </w:tc>
      </w:tr>
      <w:tr w:rsidR="006C52A5" w:rsidRPr="006C52A5" w:rsidTr="000B6ECD">
        <w:trPr>
          <w:cantSplit/>
          <w:trHeight w:val="64"/>
        </w:trPr>
        <w:tc>
          <w:tcPr>
            <w:tcW w:w="2723" w:type="dxa"/>
            <w:tcBorders>
              <w:bottom w:val="single" w:sz="4" w:space="0" w:color="auto"/>
            </w:tcBorders>
          </w:tcPr>
          <w:p w:rsidR="00093F3B" w:rsidRPr="006C52A5" w:rsidRDefault="00093F3B" w:rsidP="00093F3B">
            <w:r w:rsidRPr="006C52A5">
              <w:t>1.2. valsts speciālais budžets</w:t>
            </w:r>
          </w:p>
        </w:tc>
        <w:tc>
          <w:tcPr>
            <w:tcW w:w="1134" w:type="dxa"/>
            <w:vAlign w:val="center"/>
          </w:tcPr>
          <w:p w:rsidR="00093F3B" w:rsidRPr="006C52A5" w:rsidRDefault="00093F3B" w:rsidP="00093F3B">
            <w:pPr>
              <w:tabs>
                <w:tab w:val="left" w:pos="4305"/>
              </w:tabs>
              <w:jc w:val="center"/>
              <w:rPr>
                <w:lang w:eastAsia="en-US"/>
              </w:rPr>
            </w:pPr>
            <w:r w:rsidRPr="006C52A5">
              <w:rPr>
                <w:lang w:eastAsia="en-US"/>
              </w:rPr>
              <w:t>0</w:t>
            </w:r>
          </w:p>
        </w:tc>
        <w:tc>
          <w:tcPr>
            <w:tcW w:w="1276" w:type="dxa"/>
            <w:vAlign w:val="center"/>
          </w:tcPr>
          <w:p w:rsidR="00093F3B" w:rsidRPr="006C52A5" w:rsidRDefault="00093F3B" w:rsidP="00093F3B">
            <w:pPr>
              <w:tabs>
                <w:tab w:val="left" w:pos="4305"/>
              </w:tabs>
              <w:jc w:val="center"/>
              <w:rPr>
                <w:lang w:eastAsia="en-US"/>
              </w:rPr>
            </w:pPr>
            <w:r w:rsidRPr="006C52A5">
              <w:rPr>
                <w:lang w:eastAsia="en-US"/>
              </w:rPr>
              <w:t>0</w:t>
            </w:r>
          </w:p>
        </w:tc>
        <w:tc>
          <w:tcPr>
            <w:tcW w:w="1388" w:type="dxa"/>
            <w:vAlign w:val="center"/>
          </w:tcPr>
          <w:p w:rsidR="00093F3B" w:rsidRPr="006C52A5" w:rsidRDefault="00093F3B" w:rsidP="00093F3B">
            <w:pPr>
              <w:tabs>
                <w:tab w:val="left" w:pos="4305"/>
              </w:tabs>
              <w:jc w:val="center"/>
              <w:rPr>
                <w:lang w:eastAsia="en-US"/>
              </w:rPr>
            </w:pPr>
            <w:r w:rsidRPr="006C52A5">
              <w:rPr>
                <w:lang w:eastAsia="en-US"/>
              </w:rPr>
              <w:t>0</w:t>
            </w:r>
          </w:p>
        </w:tc>
        <w:tc>
          <w:tcPr>
            <w:tcW w:w="1559" w:type="dxa"/>
            <w:vAlign w:val="center"/>
          </w:tcPr>
          <w:p w:rsidR="00093F3B" w:rsidRPr="006C52A5" w:rsidRDefault="00093F3B" w:rsidP="00093F3B">
            <w:pPr>
              <w:tabs>
                <w:tab w:val="left" w:pos="4305"/>
              </w:tabs>
              <w:jc w:val="center"/>
              <w:rPr>
                <w:lang w:eastAsia="en-US"/>
              </w:rPr>
            </w:pPr>
            <w:r w:rsidRPr="006C52A5">
              <w:rPr>
                <w:lang w:eastAsia="en-US"/>
              </w:rPr>
              <w:t>0</w:t>
            </w:r>
          </w:p>
        </w:tc>
        <w:tc>
          <w:tcPr>
            <w:tcW w:w="1559" w:type="dxa"/>
            <w:vAlign w:val="center"/>
          </w:tcPr>
          <w:p w:rsidR="00093F3B" w:rsidRPr="006C52A5" w:rsidRDefault="00093F3B" w:rsidP="00093F3B">
            <w:pPr>
              <w:tabs>
                <w:tab w:val="left" w:pos="4305"/>
              </w:tabs>
              <w:jc w:val="center"/>
              <w:rPr>
                <w:lang w:eastAsia="en-US"/>
              </w:rPr>
            </w:pPr>
            <w:r w:rsidRPr="006C52A5">
              <w:rPr>
                <w:lang w:eastAsia="en-US"/>
              </w:rPr>
              <w:t>0</w:t>
            </w:r>
          </w:p>
        </w:tc>
      </w:tr>
      <w:tr w:rsidR="006C52A5" w:rsidRPr="006C52A5" w:rsidTr="000B6ECD">
        <w:trPr>
          <w:cantSplit/>
          <w:trHeight w:val="257"/>
        </w:trPr>
        <w:tc>
          <w:tcPr>
            <w:tcW w:w="2723" w:type="dxa"/>
            <w:tcBorders>
              <w:bottom w:val="single" w:sz="4" w:space="0" w:color="auto"/>
            </w:tcBorders>
          </w:tcPr>
          <w:p w:rsidR="00093F3B" w:rsidRPr="006C52A5" w:rsidRDefault="00093F3B" w:rsidP="00093F3B">
            <w:pPr>
              <w:spacing w:before="100" w:beforeAutospacing="1" w:after="100" w:afterAutospacing="1"/>
            </w:pPr>
            <w:r w:rsidRPr="006C52A5">
              <w:t>1.3. pašvaldību budžets</w:t>
            </w:r>
          </w:p>
        </w:tc>
        <w:tc>
          <w:tcPr>
            <w:tcW w:w="1134" w:type="dxa"/>
            <w:vAlign w:val="center"/>
          </w:tcPr>
          <w:p w:rsidR="00093F3B" w:rsidRPr="006C52A5" w:rsidRDefault="00093F3B" w:rsidP="00093F3B">
            <w:pPr>
              <w:tabs>
                <w:tab w:val="left" w:pos="4305"/>
              </w:tabs>
              <w:jc w:val="center"/>
              <w:rPr>
                <w:lang w:eastAsia="en-US"/>
              </w:rPr>
            </w:pPr>
            <w:r w:rsidRPr="006C52A5">
              <w:rPr>
                <w:lang w:eastAsia="en-US"/>
              </w:rPr>
              <w:t>0</w:t>
            </w:r>
          </w:p>
        </w:tc>
        <w:tc>
          <w:tcPr>
            <w:tcW w:w="1276" w:type="dxa"/>
            <w:vAlign w:val="center"/>
          </w:tcPr>
          <w:p w:rsidR="00093F3B" w:rsidRPr="006C52A5" w:rsidRDefault="00093F3B" w:rsidP="00093F3B">
            <w:pPr>
              <w:tabs>
                <w:tab w:val="left" w:pos="4305"/>
              </w:tabs>
              <w:jc w:val="center"/>
              <w:rPr>
                <w:lang w:eastAsia="en-US"/>
              </w:rPr>
            </w:pPr>
            <w:r w:rsidRPr="006C52A5">
              <w:rPr>
                <w:lang w:eastAsia="en-US"/>
              </w:rPr>
              <w:t>0</w:t>
            </w:r>
          </w:p>
        </w:tc>
        <w:tc>
          <w:tcPr>
            <w:tcW w:w="1388" w:type="dxa"/>
            <w:vAlign w:val="center"/>
          </w:tcPr>
          <w:p w:rsidR="00093F3B" w:rsidRPr="006C52A5" w:rsidRDefault="00093F3B" w:rsidP="00093F3B">
            <w:pPr>
              <w:tabs>
                <w:tab w:val="left" w:pos="4305"/>
              </w:tabs>
              <w:jc w:val="center"/>
              <w:rPr>
                <w:lang w:eastAsia="en-US"/>
              </w:rPr>
            </w:pPr>
            <w:r w:rsidRPr="006C52A5">
              <w:rPr>
                <w:lang w:eastAsia="en-US"/>
              </w:rPr>
              <w:t>0</w:t>
            </w:r>
          </w:p>
        </w:tc>
        <w:tc>
          <w:tcPr>
            <w:tcW w:w="1559" w:type="dxa"/>
            <w:vAlign w:val="center"/>
          </w:tcPr>
          <w:p w:rsidR="00093F3B" w:rsidRPr="006C52A5" w:rsidRDefault="00093F3B" w:rsidP="00093F3B">
            <w:pPr>
              <w:tabs>
                <w:tab w:val="left" w:pos="4305"/>
              </w:tabs>
              <w:jc w:val="center"/>
              <w:rPr>
                <w:lang w:eastAsia="en-US"/>
              </w:rPr>
            </w:pPr>
            <w:r w:rsidRPr="006C52A5">
              <w:rPr>
                <w:lang w:eastAsia="en-US"/>
              </w:rPr>
              <w:t>0</w:t>
            </w:r>
          </w:p>
        </w:tc>
        <w:tc>
          <w:tcPr>
            <w:tcW w:w="1559" w:type="dxa"/>
            <w:vAlign w:val="center"/>
          </w:tcPr>
          <w:p w:rsidR="00093F3B" w:rsidRPr="006C52A5" w:rsidRDefault="00093F3B" w:rsidP="00093F3B">
            <w:pPr>
              <w:tabs>
                <w:tab w:val="left" w:pos="4305"/>
              </w:tabs>
              <w:jc w:val="center"/>
              <w:rPr>
                <w:lang w:eastAsia="en-US"/>
              </w:rPr>
            </w:pPr>
            <w:r w:rsidRPr="006C52A5">
              <w:rPr>
                <w:lang w:eastAsia="en-US"/>
              </w:rPr>
              <w:t>0</w:t>
            </w:r>
          </w:p>
        </w:tc>
      </w:tr>
      <w:tr w:rsidR="00502C7B" w:rsidRPr="006C52A5" w:rsidTr="000B6ECD">
        <w:trPr>
          <w:cantSplit/>
          <w:trHeight w:val="243"/>
        </w:trPr>
        <w:tc>
          <w:tcPr>
            <w:tcW w:w="2723" w:type="dxa"/>
          </w:tcPr>
          <w:p w:rsidR="00502C7B" w:rsidRPr="006C52A5" w:rsidRDefault="00502C7B" w:rsidP="00502C7B">
            <w:r w:rsidRPr="006C52A5">
              <w:t>2. Budžeta izdevumi:</w:t>
            </w:r>
          </w:p>
        </w:tc>
        <w:tc>
          <w:tcPr>
            <w:tcW w:w="1134" w:type="dxa"/>
            <w:vAlign w:val="center"/>
          </w:tcPr>
          <w:p w:rsidR="00502C7B" w:rsidRPr="006C52A5" w:rsidRDefault="00502C7B" w:rsidP="00502C7B">
            <w:pPr>
              <w:jc w:val="center"/>
              <w:rPr>
                <w:lang w:eastAsia="en-US"/>
              </w:rPr>
            </w:pPr>
            <w:r w:rsidRPr="006C52A5">
              <w:rPr>
                <w:lang w:eastAsia="en-US"/>
              </w:rPr>
              <w:t>7 114</w:t>
            </w:r>
          </w:p>
        </w:tc>
        <w:tc>
          <w:tcPr>
            <w:tcW w:w="1276" w:type="dxa"/>
            <w:vAlign w:val="center"/>
          </w:tcPr>
          <w:p w:rsidR="00502C7B" w:rsidRPr="006C52A5" w:rsidRDefault="00502C7B" w:rsidP="00502C7B">
            <w:pPr>
              <w:jc w:val="center"/>
              <w:rPr>
                <w:lang w:eastAsia="en-US"/>
              </w:rPr>
            </w:pPr>
            <w:r w:rsidRPr="006C52A5">
              <w:rPr>
                <w:lang w:eastAsia="en-US"/>
              </w:rPr>
              <w:t>0</w:t>
            </w:r>
          </w:p>
        </w:tc>
        <w:tc>
          <w:tcPr>
            <w:tcW w:w="1388" w:type="dxa"/>
            <w:vAlign w:val="center"/>
          </w:tcPr>
          <w:p w:rsidR="00502C7B" w:rsidRPr="006C52A5" w:rsidRDefault="00502C7B" w:rsidP="00502C7B">
            <w:pPr>
              <w:jc w:val="center"/>
              <w:rPr>
                <w:lang w:eastAsia="en-US"/>
              </w:rPr>
            </w:pPr>
            <w:r w:rsidRPr="006C52A5">
              <w:rPr>
                <w:lang w:eastAsia="en-US"/>
              </w:rPr>
              <w:t xml:space="preserve">21 </w:t>
            </w:r>
            <w:r>
              <w:rPr>
                <w:lang w:eastAsia="en-US"/>
              </w:rPr>
              <w:t>388</w:t>
            </w:r>
          </w:p>
        </w:tc>
        <w:tc>
          <w:tcPr>
            <w:tcW w:w="1559" w:type="dxa"/>
            <w:vAlign w:val="center"/>
          </w:tcPr>
          <w:p w:rsidR="00502C7B" w:rsidRPr="006C52A5" w:rsidRDefault="00502C7B" w:rsidP="00502C7B">
            <w:pPr>
              <w:jc w:val="center"/>
              <w:rPr>
                <w:lang w:eastAsia="en-US"/>
              </w:rPr>
            </w:pPr>
            <w:r w:rsidRPr="006C52A5">
              <w:rPr>
                <w:lang w:eastAsia="en-US"/>
              </w:rPr>
              <w:t>21 3</w:t>
            </w:r>
            <w:r>
              <w:rPr>
                <w:lang w:eastAsia="en-US"/>
              </w:rPr>
              <w:t>88</w:t>
            </w:r>
          </w:p>
        </w:tc>
        <w:tc>
          <w:tcPr>
            <w:tcW w:w="1559" w:type="dxa"/>
            <w:vAlign w:val="center"/>
          </w:tcPr>
          <w:p w:rsidR="00502C7B" w:rsidRPr="006C52A5" w:rsidRDefault="00502C7B" w:rsidP="00502C7B">
            <w:pPr>
              <w:tabs>
                <w:tab w:val="left" w:pos="4305"/>
              </w:tabs>
              <w:jc w:val="center"/>
              <w:rPr>
                <w:lang w:eastAsia="en-US"/>
              </w:rPr>
            </w:pPr>
            <w:r w:rsidRPr="006C52A5">
              <w:rPr>
                <w:lang w:eastAsia="en-US"/>
              </w:rPr>
              <w:t xml:space="preserve">21 </w:t>
            </w:r>
            <w:r>
              <w:rPr>
                <w:lang w:eastAsia="en-US"/>
              </w:rPr>
              <w:t>388</w:t>
            </w:r>
          </w:p>
        </w:tc>
      </w:tr>
      <w:tr w:rsidR="006C52A5" w:rsidRPr="006C52A5" w:rsidTr="000B6ECD">
        <w:trPr>
          <w:cantSplit/>
          <w:trHeight w:val="275"/>
        </w:trPr>
        <w:tc>
          <w:tcPr>
            <w:tcW w:w="2723" w:type="dxa"/>
          </w:tcPr>
          <w:p w:rsidR="00093F3B" w:rsidRPr="006C52A5" w:rsidRDefault="00093F3B" w:rsidP="00093F3B">
            <w:r w:rsidRPr="006C52A5">
              <w:t>2.1. valsts pamatbudžets</w:t>
            </w:r>
          </w:p>
        </w:tc>
        <w:tc>
          <w:tcPr>
            <w:tcW w:w="1134" w:type="dxa"/>
            <w:vAlign w:val="center"/>
          </w:tcPr>
          <w:p w:rsidR="00093F3B" w:rsidRPr="006C52A5" w:rsidRDefault="00320DDE" w:rsidP="00093F3B">
            <w:pPr>
              <w:jc w:val="center"/>
              <w:rPr>
                <w:lang w:eastAsia="en-US"/>
              </w:rPr>
            </w:pPr>
            <w:r w:rsidRPr="006C52A5">
              <w:rPr>
                <w:lang w:eastAsia="en-US"/>
              </w:rPr>
              <w:t>7 114</w:t>
            </w:r>
          </w:p>
        </w:tc>
        <w:tc>
          <w:tcPr>
            <w:tcW w:w="1276" w:type="dxa"/>
            <w:vAlign w:val="center"/>
          </w:tcPr>
          <w:p w:rsidR="00093F3B" w:rsidRPr="006C52A5" w:rsidRDefault="00366E1F" w:rsidP="00093F3B">
            <w:pPr>
              <w:jc w:val="center"/>
              <w:rPr>
                <w:lang w:eastAsia="en-US"/>
              </w:rPr>
            </w:pPr>
            <w:r w:rsidRPr="006C52A5">
              <w:rPr>
                <w:lang w:eastAsia="en-US"/>
              </w:rPr>
              <w:t>0</w:t>
            </w:r>
          </w:p>
        </w:tc>
        <w:tc>
          <w:tcPr>
            <w:tcW w:w="1388" w:type="dxa"/>
            <w:vAlign w:val="center"/>
          </w:tcPr>
          <w:p w:rsidR="00093F3B" w:rsidRPr="006C52A5" w:rsidRDefault="007F605D" w:rsidP="008A769A">
            <w:pPr>
              <w:jc w:val="center"/>
              <w:rPr>
                <w:lang w:eastAsia="en-US"/>
              </w:rPr>
            </w:pPr>
            <w:r w:rsidRPr="006C52A5">
              <w:rPr>
                <w:lang w:eastAsia="en-US"/>
              </w:rPr>
              <w:t>2</w:t>
            </w:r>
            <w:r w:rsidR="008A769A" w:rsidRPr="006C52A5">
              <w:rPr>
                <w:lang w:eastAsia="en-US"/>
              </w:rPr>
              <w:t>1</w:t>
            </w:r>
            <w:r w:rsidRPr="006C52A5">
              <w:rPr>
                <w:lang w:eastAsia="en-US"/>
              </w:rPr>
              <w:t xml:space="preserve"> </w:t>
            </w:r>
            <w:r w:rsidR="00E84C55">
              <w:rPr>
                <w:lang w:eastAsia="en-US"/>
              </w:rPr>
              <w:t>388</w:t>
            </w:r>
          </w:p>
        </w:tc>
        <w:tc>
          <w:tcPr>
            <w:tcW w:w="1559" w:type="dxa"/>
            <w:vAlign w:val="center"/>
          </w:tcPr>
          <w:p w:rsidR="00093F3B" w:rsidRPr="006C52A5" w:rsidRDefault="00956087" w:rsidP="00E84C55">
            <w:pPr>
              <w:jc w:val="center"/>
              <w:rPr>
                <w:lang w:eastAsia="en-US"/>
              </w:rPr>
            </w:pPr>
            <w:r w:rsidRPr="006C52A5">
              <w:rPr>
                <w:lang w:eastAsia="en-US"/>
              </w:rPr>
              <w:t>2</w:t>
            </w:r>
            <w:r w:rsidR="008A769A" w:rsidRPr="006C52A5">
              <w:rPr>
                <w:lang w:eastAsia="en-US"/>
              </w:rPr>
              <w:t>1</w:t>
            </w:r>
            <w:r w:rsidRPr="006C52A5">
              <w:rPr>
                <w:lang w:eastAsia="en-US"/>
              </w:rPr>
              <w:t xml:space="preserve"> </w:t>
            </w:r>
            <w:r w:rsidR="008A769A" w:rsidRPr="006C52A5">
              <w:rPr>
                <w:lang w:eastAsia="en-US"/>
              </w:rPr>
              <w:t>3</w:t>
            </w:r>
            <w:r w:rsidR="00E84C55">
              <w:rPr>
                <w:lang w:eastAsia="en-US"/>
              </w:rPr>
              <w:t>88</w:t>
            </w:r>
          </w:p>
        </w:tc>
        <w:tc>
          <w:tcPr>
            <w:tcW w:w="1559" w:type="dxa"/>
            <w:vAlign w:val="center"/>
          </w:tcPr>
          <w:p w:rsidR="00093F3B" w:rsidRPr="006C52A5" w:rsidRDefault="00956087" w:rsidP="008A769A">
            <w:pPr>
              <w:tabs>
                <w:tab w:val="left" w:pos="4305"/>
              </w:tabs>
              <w:jc w:val="center"/>
              <w:rPr>
                <w:lang w:eastAsia="en-US"/>
              </w:rPr>
            </w:pPr>
            <w:r w:rsidRPr="006C52A5">
              <w:rPr>
                <w:lang w:eastAsia="en-US"/>
              </w:rPr>
              <w:t>2</w:t>
            </w:r>
            <w:r w:rsidR="008A769A" w:rsidRPr="006C52A5">
              <w:rPr>
                <w:lang w:eastAsia="en-US"/>
              </w:rPr>
              <w:t>1</w:t>
            </w:r>
            <w:r w:rsidRPr="006C52A5">
              <w:rPr>
                <w:lang w:eastAsia="en-US"/>
              </w:rPr>
              <w:t xml:space="preserve"> </w:t>
            </w:r>
            <w:r w:rsidR="00E84C55">
              <w:rPr>
                <w:lang w:eastAsia="en-US"/>
              </w:rPr>
              <w:t>388</w:t>
            </w:r>
          </w:p>
        </w:tc>
      </w:tr>
      <w:tr w:rsidR="006C52A5" w:rsidRPr="006C52A5" w:rsidTr="000B6ECD">
        <w:trPr>
          <w:cantSplit/>
          <w:trHeight w:val="265"/>
        </w:trPr>
        <w:tc>
          <w:tcPr>
            <w:tcW w:w="2723" w:type="dxa"/>
          </w:tcPr>
          <w:p w:rsidR="00093F3B" w:rsidRPr="006C52A5" w:rsidRDefault="00093F3B" w:rsidP="00093F3B">
            <w:r w:rsidRPr="006C52A5">
              <w:t>2.2. valsts speciālais budžets</w:t>
            </w:r>
          </w:p>
        </w:tc>
        <w:tc>
          <w:tcPr>
            <w:tcW w:w="1134" w:type="dxa"/>
            <w:vAlign w:val="center"/>
          </w:tcPr>
          <w:p w:rsidR="00093F3B" w:rsidRPr="006C52A5" w:rsidRDefault="00093F3B" w:rsidP="00093F3B">
            <w:pPr>
              <w:jc w:val="center"/>
              <w:rPr>
                <w:lang w:eastAsia="en-US"/>
              </w:rPr>
            </w:pPr>
            <w:r w:rsidRPr="006C52A5">
              <w:rPr>
                <w:lang w:eastAsia="en-US"/>
              </w:rPr>
              <w:t>0</w:t>
            </w:r>
          </w:p>
        </w:tc>
        <w:tc>
          <w:tcPr>
            <w:tcW w:w="1276" w:type="dxa"/>
            <w:vAlign w:val="center"/>
          </w:tcPr>
          <w:p w:rsidR="00093F3B" w:rsidRPr="006C52A5" w:rsidRDefault="00093F3B" w:rsidP="00093F3B">
            <w:pPr>
              <w:jc w:val="center"/>
              <w:rPr>
                <w:lang w:eastAsia="en-US"/>
              </w:rPr>
            </w:pPr>
            <w:r w:rsidRPr="006C52A5">
              <w:rPr>
                <w:lang w:eastAsia="en-US"/>
              </w:rPr>
              <w:t>0</w:t>
            </w:r>
          </w:p>
        </w:tc>
        <w:tc>
          <w:tcPr>
            <w:tcW w:w="1388"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tabs>
                <w:tab w:val="left" w:pos="4305"/>
              </w:tabs>
              <w:jc w:val="center"/>
              <w:rPr>
                <w:lang w:eastAsia="en-US"/>
              </w:rPr>
            </w:pPr>
            <w:r w:rsidRPr="006C52A5">
              <w:rPr>
                <w:lang w:eastAsia="en-US"/>
              </w:rPr>
              <w:t>0</w:t>
            </w:r>
          </w:p>
        </w:tc>
      </w:tr>
      <w:tr w:rsidR="006C52A5" w:rsidRPr="006C52A5" w:rsidTr="000B6ECD">
        <w:trPr>
          <w:cantSplit/>
          <w:trHeight w:val="64"/>
        </w:trPr>
        <w:tc>
          <w:tcPr>
            <w:tcW w:w="2723" w:type="dxa"/>
          </w:tcPr>
          <w:p w:rsidR="00093F3B" w:rsidRPr="006C52A5" w:rsidRDefault="00093F3B" w:rsidP="00093F3B">
            <w:r w:rsidRPr="006C52A5">
              <w:t>2.3. pašvaldību budžets </w:t>
            </w:r>
          </w:p>
        </w:tc>
        <w:tc>
          <w:tcPr>
            <w:tcW w:w="1134" w:type="dxa"/>
            <w:vAlign w:val="center"/>
          </w:tcPr>
          <w:p w:rsidR="00093F3B" w:rsidRPr="006C52A5" w:rsidRDefault="00093F3B" w:rsidP="00093F3B">
            <w:pPr>
              <w:jc w:val="center"/>
              <w:rPr>
                <w:lang w:eastAsia="en-US"/>
              </w:rPr>
            </w:pPr>
            <w:r w:rsidRPr="006C52A5">
              <w:rPr>
                <w:lang w:eastAsia="en-US"/>
              </w:rPr>
              <w:t>0</w:t>
            </w:r>
          </w:p>
        </w:tc>
        <w:tc>
          <w:tcPr>
            <w:tcW w:w="1276" w:type="dxa"/>
            <w:vAlign w:val="center"/>
          </w:tcPr>
          <w:p w:rsidR="00093F3B" w:rsidRPr="006C52A5" w:rsidRDefault="00093F3B" w:rsidP="00093F3B">
            <w:pPr>
              <w:jc w:val="center"/>
              <w:rPr>
                <w:lang w:eastAsia="en-US"/>
              </w:rPr>
            </w:pPr>
            <w:r w:rsidRPr="006C52A5">
              <w:rPr>
                <w:lang w:eastAsia="en-US"/>
              </w:rPr>
              <w:t>0</w:t>
            </w:r>
          </w:p>
        </w:tc>
        <w:tc>
          <w:tcPr>
            <w:tcW w:w="1388"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tabs>
                <w:tab w:val="left" w:pos="4305"/>
              </w:tabs>
              <w:jc w:val="center"/>
              <w:rPr>
                <w:lang w:eastAsia="en-US"/>
              </w:rPr>
            </w:pPr>
            <w:r w:rsidRPr="006C52A5">
              <w:rPr>
                <w:lang w:eastAsia="en-US"/>
              </w:rPr>
              <w:t>0</w:t>
            </w:r>
          </w:p>
        </w:tc>
      </w:tr>
      <w:tr w:rsidR="006C52A5" w:rsidRPr="006C52A5" w:rsidTr="000B6ECD">
        <w:trPr>
          <w:cantSplit/>
          <w:trHeight w:val="64"/>
        </w:trPr>
        <w:tc>
          <w:tcPr>
            <w:tcW w:w="2723" w:type="dxa"/>
          </w:tcPr>
          <w:p w:rsidR="00093F3B" w:rsidRPr="006C52A5" w:rsidRDefault="00093F3B" w:rsidP="00093F3B">
            <w:r w:rsidRPr="006C52A5">
              <w:t>3. Finansiālā ietekme:</w:t>
            </w:r>
          </w:p>
        </w:tc>
        <w:tc>
          <w:tcPr>
            <w:tcW w:w="1134" w:type="dxa"/>
            <w:vAlign w:val="center"/>
          </w:tcPr>
          <w:p w:rsidR="00093F3B" w:rsidRPr="006C52A5" w:rsidRDefault="00093F3B" w:rsidP="00093F3B">
            <w:pPr>
              <w:jc w:val="center"/>
              <w:rPr>
                <w:lang w:eastAsia="en-US"/>
              </w:rPr>
            </w:pPr>
            <w:r w:rsidRPr="006C52A5">
              <w:rPr>
                <w:lang w:eastAsia="en-US"/>
              </w:rPr>
              <w:t>0</w:t>
            </w:r>
          </w:p>
        </w:tc>
        <w:tc>
          <w:tcPr>
            <w:tcW w:w="1276" w:type="dxa"/>
            <w:vAlign w:val="center"/>
          </w:tcPr>
          <w:p w:rsidR="00093F3B" w:rsidRPr="006C52A5" w:rsidRDefault="00093F3B" w:rsidP="00093F3B">
            <w:pPr>
              <w:jc w:val="center"/>
              <w:rPr>
                <w:lang w:eastAsia="en-US"/>
              </w:rPr>
            </w:pPr>
            <w:r w:rsidRPr="006C52A5">
              <w:rPr>
                <w:lang w:eastAsia="en-US"/>
              </w:rPr>
              <w:t>0</w:t>
            </w:r>
          </w:p>
        </w:tc>
        <w:tc>
          <w:tcPr>
            <w:tcW w:w="1388"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r>
      <w:tr w:rsidR="006C52A5" w:rsidRPr="006C52A5" w:rsidTr="000B6ECD">
        <w:trPr>
          <w:cantSplit/>
          <w:trHeight w:val="64"/>
        </w:trPr>
        <w:tc>
          <w:tcPr>
            <w:tcW w:w="2723" w:type="dxa"/>
          </w:tcPr>
          <w:p w:rsidR="00093F3B" w:rsidRPr="006C52A5" w:rsidRDefault="00093F3B" w:rsidP="00093F3B">
            <w:r w:rsidRPr="006C52A5">
              <w:t>3.1. valsts pamatbudžets</w:t>
            </w:r>
          </w:p>
        </w:tc>
        <w:tc>
          <w:tcPr>
            <w:tcW w:w="1134" w:type="dxa"/>
            <w:vAlign w:val="center"/>
          </w:tcPr>
          <w:p w:rsidR="00093F3B" w:rsidRPr="006C52A5" w:rsidRDefault="00093F3B" w:rsidP="00093F3B">
            <w:pPr>
              <w:jc w:val="center"/>
              <w:rPr>
                <w:lang w:eastAsia="en-US"/>
              </w:rPr>
            </w:pPr>
            <w:r w:rsidRPr="006C52A5">
              <w:rPr>
                <w:lang w:eastAsia="en-US"/>
              </w:rPr>
              <w:t>0</w:t>
            </w:r>
          </w:p>
        </w:tc>
        <w:tc>
          <w:tcPr>
            <w:tcW w:w="1276" w:type="dxa"/>
            <w:vAlign w:val="center"/>
          </w:tcPr>
          <w:p w:rsidR="00093F3B" w:rsidRPr="006C52A5" w:rsidRDefault="00093F3B" w:rsidP="00093F3B">
            <w:pPr>
              <w:jc w:val="center"/>
              <w:rPr>
                <w:lang w:eastAsia="en-US"/>
              </w:rPr>
            </w:pPr>
            <w:r w:rsidRPr="006C52A5">
              <w:rPr>
                <w:lang w:eastAsia="en-US"/>
              </w:rPr>
              <w:t>0</w:t>
            </w:r>
          </w:p>
        </w:tc>
        <w:tc>
          <w:tcPr>
            <w:tcW w:w="1388"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r>
      <w:tr w:rsidR="006C52A5" w:rsidRPr="006C52A5" w:rsidTr="000B6ECD">
        <w:trPr>
          <w:cantSplit/>
          <w:trHeight w:val="64"/>
        </w:trPr>
        <w:tc>
          <w:tcPr>
            <w:tcW w:w="2723" w:type="dxa"/>
          </w:tcPr>
          <w:p w:rsidR="00093F3B" w:rsidRPr="006C52A5" w:rsidRDefault="00093F3B" w:rsidP="00093F3B">
            <w:r w:rsidRPr="006C52A5">
              <w:t>3.2. speciālais budžets</w:t>
            </w:r>
          </w:p>
        </w:tc>
        <w:tc>
          <w:tcPr>
            <w:tcW w:w="1134" w:type="dxa"/>
            <w:vAlign w:val="center"/>
          </w:tcPr>
          <w:p w:rsidR="00093F3B" w:rsidRPr="006C52A5" w:rsidRDefault="00093F3B" w:rsidP="00093F3B">
            <w:pPr>
              <w:jc w:val="center"/>
              <w:rPr>
                <w:lang w:eastAsia="en-US"/>
              </w:rPr>
            </w:pPr>
            <w:r w:rsidRPr="006C52A5">
              <w:rPr>
                <w:lang w:eastAsia="en-US"/>
              </w:rPr>
              <w:t>0</w:t>
            </w:r>
          </w:p>
        </w:tc>
        <w:tc>
          <w:tcPr>
            <w:tcW w:w="1276" w:type="dxa"/>
            <w:vAlign w:val="center"/>
          </w:tcPr>
          <w:p w:rsidR="00093F3B" w:rsidRPr="006C52A5" w:rsidRDefault="00093F3B" w:rsidP="00093F3B">
            <w:pPr>
              <w:jc w:val="center"/>
              <w:rPr>
                <w:lang w:eastAsia="en-US"/>
              </w:rPr>
            </w:pPr>
            <w:r w:rsidRPr="006C52A5">
              <w:rPr>
                <w:lang w:eastAsia="en-US"/>
              </w:rPr>
              <w:t>0</w:t>
            </w:r>
          </w:p>
        </w:tc>
        <w:tc>
          <w:tcPr>
            <w:tcW w:w="1388"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r>
      <w:tr w:rsidR="006C52A5" w:rsidRPr="006C52A5" w:rsidTr="000B6ECD">
        <w:trPr>
          <w:cantSplit/>
          <w:trHeight w:val="64"/>
        </w:trPr>
        <w:tc>
          <w:tcPr>
            <w:tcW w:w="2723" w:type="dxa"/>
          </w:tcPr>
          <w:p w:rsidR="00093F3B" w:rsidRPr="006C52A5" w:rsidRDefault="00093F3B" w:rsidP="00093F3B">
            <w:r w:rsidRPr="006C52A5">
              <w:t>3.3. pašvaldību budžets </w:t>
            </w:r>
          </w:p>
        </w:tc>
        <w:tc>
          <w:tcPr>
            <w:tcW w:w="1134" w:type="dxa"/>
            <w:vAlign w:val="center"/>
          </w:tcPr>
          <w:p w:rsidR="00093F3B" w:rsidRPr="006C52A5" w:rsidRDefault="00093F3B" w:rsidP="00093F3B">
            <w:pPr>
              <w:jc w:val="center"/>
              <w:rPr>
                <w:lang w:eastAsia="en-US"/>
              </w:rPr>
            </w:pPr>
            <w:r w:rsidRPr="006C52A5">
              <w:rPr>
                <w:lang w:eastAsia="en-US"/>
              </w:rPr>
              <w:t>0</w:t>
            </w:r>
          </w:p>
        </w:tc>
        <w:tc>
          <w:tcPr>
            <w:tcW w:w="1276" w:type="dxa"/>
            <w:vAlign w:val="center"/>
          </w:tcPr>
          <w:p w:rsidR="00093F3B" w:rsidRPr="006C52A5" w:rsidRDefault="00093F3B" w:rsidP="00093F3B">
            <w:pPr>
              <w:jc w:val="center"/>
              <w:rPr>
                <w:lang w:eastAsia="en-US"/>
              </w:rPr>
            </w:pPr>
            <w:r w:rsidRPr="006C52A5">
              <w:rPr>
                <w:lang w:eastAsia="en-US"/>
              </w:rPr>
              <w:t>0</w:t>
            </w:r>
          </w:p>
        </w:tc>
        <w:tc>
          <w:tcPr>
            <w:tcW w:w="1388"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c>
          <w:tcPr>
            <w:tcW w:w="1559" w:type="dxa"/>
            <w:vAlign w:val="center"/>
          </w:tcPr>
          <w:p w:rsidR="00093F3B" w:rsidRPr="006C52A5" w:rsidRDefault="00093F3B" w:rsidP="00093F3B">
            <w:pPr>
              <w:jc w:val="center"/>
              <w:rPr>
                <w:lang w:eastAsia="en-US"/>
              </w:rPr>
            </w:pPr>
            <w:r w:rsidRPr="006C52A5">
              <w:rPr>
                <w:lang w:eastAsia="en-US"/>
              </w:rPr>
              <w:t>0</w:t>
            </w:r>
          </w:p>
        </w:tc>
      </w:tr>
      <w:tr w:rsidR="006C52A5" w:rsidRPr="006C52A5" w:rsidTr="000B6ECD">
        <w:trPr>
          <w:cantSplit/>
          <w:trHeight w:val="286"/>
        </w:trPr>
        <w:tc>
          <w:tcPr>
            <w:tcW w:w="2723" w:type="dxa"/>
            <w:vMerge w:val="restart"/>
          </w:tcPr>
          <w:p w:rsidR="000C5072" w:rsidRPr="006C52A5" w:rsidRDefault="000C5072" w:rsidP="00D53978">
            <w:pPr>
              <w:rPr>
                <w:lang w:eastAsia="en-US" w:bidi="hi-IN"/>
              </w:rPr>
            </w:pPr>
            <w:r w:rsidRPr="006C52A5">
              <w:rPr>
                <w:lang w:eastAsia="en-US" w:bidi="hi-IN"/>
              </w:rPr>
              <w:t>4. Finanšu līdzekļi papildu izdevumu finansēšanai (kompensējošu izdevumu samazinājumu norāda ar „+” zīmi)</w:t>
            </w:r>
          </w:p>
        </w:tc>
        <w:tc>
          <w:tcPr>
            <w:tcW w:w="1134" w:type="dxa"/>
            <w:vMerge w:val="restart"/>
            <w:vAlign w:val="center"/>
          </w:tcPr>
          <w:p w:rsidR="000C5072" w:rsidRPr="006C52A5" w:rsidRDefault="000C5072" w:rsidP="00D53978">
            <w:pPr>
              <w:jc w:val="center"/>
              <w:rPr>
                <w:lang w:eastAsia="en-US" w:bidi="hi-IN"/>
              </w:rPr>
            </w:pPr>
            <w:r w:rsidRPr="006C52A5">
              <w:rPr>
                <w:lang w:eastAsia="en-US" w:bidi="hi-IN"/>
              </w:rPr>
              <w:t>X</w:t>
            </w:r>
          </w:p>
        </w:tc>
        <w:tc>
          <w:tcPr>
            <w:tcW w:w="1276" w:type="dxa"/>
            <w:vAlign w:val="center"/>
          </w:tcPr>
          <w:p w:rsidR="000C5072" w:rsidRPr="006C52A5" w:rsidRDefault="009B3465" w:rsidP="00D53978">
            <w:pPr>
              <w:jc w:val="center"/>
              <w:rPr>
                <w:lang w:eastAsia="en-US" w:bidi="hi-IN"/>
              </w:rPr>
            </w:pPr>
            <w:r w:rsidRPr="006C52A5">
              <w:rPr>
                <w:lang w:eastAsia="en-US" w:bidi="hi-IN"/>
              </w:rPr>
              <w:t>0</w:t>
            </w:r>
          </w:p>
        </w:tc>
        <w:tc>
          <w:tcPr>
            <w:tcW w:w="1388" w:type="dxa"/>
            <w:vAlign w:val="center"/>
          </w:tcPr>
          <w:p w:rsidR="000C5072" w:rsidRPr="006C52A5" w:rsidRDefault="009B3465" w:rsidP="00D53978">
            <w:pPr>
              <w:jc w:val="center"/>
              <w:rPr>
                <w:lang w:eastAsia="en-US" w:bidi="hi-IN"/>
              </w:rPr>
            </w:pPr>
            <w:r w:rsidRPr="006C52A5">
              <w:rPr>
                <w:lang w:eastAsia="en-US" w:bidi="hi-IN"/>
              </w:rPr>
              <w:t>0</w:t>
            </w:r>
          </w:p>
        </w:tc>
        <w:tc>
          <w:tcPr>
            <w:tcW w:w="1559" w:type="dxa"/>
            <w:vAlign w:val="center"/>
          </w:tcPr>
          <w:p w:rsidR="000C5072" w:rsidRPr="006C52A5" w:rsidRDefault="009B3465" w:rsidP="00D53978">
            <w:pPr>
              <w:jc w:val="center"/>
              <w:rPr>
                <w:lang w:eastAsia="en-US" w:bidi="hi-IN"/>
              </w:rPr>
            </w:pPr>
            <w:r w:rsidRPr="006C52A5">
              <w:rPr>
                <w:lang w:eastAsia="en-US" w:bidi="hi-IN"/>
              </w:rPr>
              <w:t>0</w:t>
            </w:r>
          </w:p>
        </w:tc>
        <w:tc>
          <w:tcPr>
            <w:tcW w:w="1559" w:type="dxa"/>
            <w:vAlign w:val="center"/>
          </w:tcPr>
          <w:p w:rsidR="000C5072" w:rsidRPr="006C52A5" w:rsidRDefault="009B3465" w:rsidP="00D53978">
            <w:pPr>
              <w:jc w:val="center"/>
              <w:rPr>
                <w:lang w:eastAsia="en-US" w:bidi="hi-IN"/>
              </w:rPr>
            </w:pPr>
            <w:r w:rsidRPr="006C52A5">
              <w:rPr>
                <w:lang w:eastAsia="en-US" w:bidi="hi-IN"/>
              </w:rPr>
              <w:t>0</w:t>
            </w:r>
          </w:p>
        </w:tc>
      </w:tr>
      <w:tr w:rsidR="006C52A5" w:rsidRPr="006C52A5" w:rsidTr="000B6ECD">
        <w:trPr>
          <w:cantSplit/>
          <w:trHeight w:val="277"/>
        </w:trPr>
        <w:tc>
          <w:tcPr>
            <w:tcW w:w="2723" w:type="dxa"/>
            <w:vMerge/>
          </w:tcPr>
          <w:p w:rsidR="00093F3B" w:rsidRPr="006C52A5" w:rsidRDefault="00093F3B" w:rsidP="00093F3B">
            <w:pPr>
              <w:rPr>
                <w:lang w:eastAsia="en-US" w:bidi="hi-IN"/>
              </w:rPr>
            </w:pPr>
          </w:p>
        </w:tc>
        <w:tc>
          <w:tcPr>
            <w:tcW w:w="1134" w:type="dxa"/>
            <w:vMerge/>
            <w:vAlign w:val="center"/>
          </w:tcPr>
          <w:p w:rsidR="00093F3B" w:rsidRPr="006C52A5" w:rsidRDefault="00093F3B" w:rsidP="00093F3B">
            <w:pPr>
              <w:jc w:val="center"/>
              <w:rPr>
                <w:lang w:eastAsia="en-US" w:bidi="hi-IN"/>
              </w:rPr>
            </w:pPr>
          </w:p>
        </w:tc>
        <w:tc>
          <w:tcPr>
            <w:tcW w:w="1276" w:type="dxa"/>
            <w:vAlign w:val="center"/>
          </w:tcPr>
          <w:p w:rsidR="00093F3B" w:rsidRPr="006C52A5" w:rsidRDefault="00093F3B" w:rsidP="00093F3B">
            <w:pPr>
              <w:jc w:val="center"/>
              <w:rPr>
                <w:lang w:eastAsia="en-US" w:bidi="hi-IN"/>
              </w:rPr>
            </w:pPr>
            <w:r w:rsidRPr="006C52A5">
              <w:rPr>
                <w:lang w:eastAsia="en-US" w:bidi="hi-IN"/>
              </w:rPr>
              <w:t>0</w:t>
            </w:r>
          </w:p>
        </w:tc>
        <w:tc>
          <w:tcPr>
            <w:tcW w:w="1388"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r>
      <w:tr w:rsidR="006C52A5" w:rsidRPr="006C52A5" w:rsidTr="000B6ECD">
        <w:trPr>
          <w:cantSplit/>
          <w:trHeight w:val="115"/>
        </w:trPr>
        <w:tc>
          <w:tcPr>
            <w:tcW w:w="2723" w:type="dxa"/>
            <w:vMerge/>
          </w:tcPr>
          <w:p w:rsidR="00093F3B" w:rsidRPr="006C52A5" w:rsidRDefault="00093F3B" w:rsidP="00093F3B">
            <w:pPr>
              <w:rPr>
                <w:lang w:eastAsia="en-US" w:bidi="hi-IN"/>
              </w:rPr>
            </w:pPr>
          </w:p>
        </w:tc>
        <w:tc>
          <w:tcPr>
            <w:tcW w:w="1134" w:type="dxa"/>
            <w:vMerge/>
            <w:vAlign w:val="center"/>
          </w:tcPr>
          <w:p w:rsidR="00093F3B" w:rsidRPr="006C52A5" w:rsidRDefault="00093F3B" w:rsidP="00093F3B">
            <w:pPr>
              <w:jc w:val="center"/>
              <w:rPr>
                <w:lang w:eastAsia="en-US" w:bidi="hi-IN"/>
              </w:rPr>
            </w:pPr>
          </w:p>
        </w:tc>
        <w:tc>
          <w:tcPr>
            <w:tcW w:w="1276" w:type="dxa"/>
            <w:vAlign w:val="center"/>
          </w:tcPr>
          <w:p w:rsidR="00093F3B" w:rsidRPr="006C52A5" w:rsidRDefault="00093F3B" w:rsidP="00093F3B">
            <w:pPr>
              <w:jc w:val="center"/>
              <w:rPr>
                <w:lang w:eastAsia="en-US" w:bidi="hi-IN"/>
              </w:rPr>
            </w:pPr>
            <w:r w:rsidRPr="006C52A5">
              <w:rPr>
                <w:lang w:eastAsia="en-US" w:bidi="hi-IN"/>
              </w:rPr>
              <w:t>0</w:t>
            </w:r>
          </w:p>
        </w:tc>
        <w:tc>
          <w:tcPr>
            <w:tcW w:w="1388"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r>
      <w:tr w:rsidR="006C52A5" w:rsidRPr="006C52A5" w:rsidTr="000B6ECD">
        <w:trPr>
          <w:cantSplit/>
          <w:trHeight w:val="64"/>
        </w:trPr>
        <w:tc>
          <w:tcPr>
            <w:tcW w:w="2723" w:type="dxa"/>
          </w:tcPr>
          <w:p w:rsidR="005F6482" w:rsidRPr="006C52A5" w:rsidRDefault="005F6482" w:rsidP="00D53978">
            <w:pPr>
              <w:rPr>
                <w:lang w:eastAsia="en-US"/>
              </w:rPr>
            </w:pPr>
            <w:r w:rsidRPr="006C52A5">
              <w:rPr>
                <w:lang w:eastAsia="en-US"/>
              </w:rPr>
              <w:t>5. Precizēta finansiālā ietekme</w:t>
            </w:r>
          </w:p>
        </w:tc>
        <w:tc>
          <w:tcPr>
            <w:tcW w:w="1134" w:type="dxa"/>
            <w:vMerge w:val="restart"/>
            <w:vAlign w:val="center"/>
          </w:tcPr>
          <w:p w:rsidR="005F6482" w:rsidRPr="006C52A5" w:rsidDel="00ED4D9B" w:rsidRDefault="00E84C55" w:rsidP="00D53978">
            <w:pPr>
              <w:tabs>
                <w:tab w:val="left" w:pos="4305"/>
              </w:tabs>
              <w:jc w:val="center"/>
              <w:rPr>
                <w:lang w:eastAsia="en-US" w:bidi="hi-IN"/>
              </w:rPr>
            </w:pPr>
            <w:r>
              <w:rPr>
                <w:lang w:eastAsia="en-US" w:bidi="hi-IN"/>
              </w:rPr>
              <w:t>X</w:t>
            </w:r>
          </w:p>
        </w:tc>
        <w:tc>
          <w:tcPr>
            <w:tcW w:w="1276" w:type="dxa"/>
            <w:tcBorders>
              <w:bottom w:val="single" w:sz="4" w:space="0" w:color="auto"/>
            </w:tcBorders>
            <w:vAlign w:val="center"/>
          </w:tcPr>
          <w:p w:rsidR="005F6482" w:rsidRPr="006C52A5" w:rsidRDefault="009B3465" w:rsidP="00D53978">
            <w:pPr>
              <w:jc w:val="center"/>
              <w:rPr>
                <w:lang w:eastAsia="en-US" w:bidi="hi-IN"/>
              </w:rPr>
            </w:pPr>
            <w:r w:rsidRPr="006C52A5">
              <w:rPr>
                <w:lang w:eastAsia="en-US" w:bidi="hi-IN"/>
              </w:rPr>
              <w:t>0</w:t>
            </w:r>
          </w:p>
        </w:tc>
        <w:tc>
          <w:tcPr>
            <w:tcW w:w="1388" w:type="dxa"/>
            <w:tcBorders>
              <w:bottom w:val="single" w:sz="4" w:space="0" w:color="auto"/>
            </w:tcBorders>
            <w:vAlign w:val="center"/>
          </w:tcPr>
          <w:p w:rsidR="005F6482" w:rsidRPr="006C52A5" w:rsidRDefault="009B3465" w:rsidP="00D53978">
            <w:pPr>
              <w:jc w:val="center"/>
              <w:rPr>
                <w:lang w:eastAsia="en-US" w:bidi="hi-IN"/>
              </w:rPr>
            </w:pPr>
            <w:r w:rsidRPr="006C52A5">
              <w:rPr>
                <w:lang w:eastAsia="en-US" w:bidi="hi-IN"/>
              </w:rPr>
              <w:t>0</w:t>
            </w:r>
          </w:p>
        </w:tc>
        <w:tc>
          <w:tcPr>
            <w:tcW w:w="1559" w:type="dxa"/>
            <w:tcBorders>
              <w:bottom w:val="single" w:sz="4" w:space="0" w:color="auto"/>
            </w:tcBorders>
            <w:vAlign w:val="center"/>
          </w:tcPr>
          <w:p w:rsidR="005F6482" w:rsidRPr="006C52A5" w:rsidRDefault="009B3465" w:rsidP="00D53978">
            <w:pPr>
              <w:jc w:val="center"/>
              <w:rPr>
                <w:lang w:eastAsia="en-US" w:bidi="hi-IN"/>
              </w:rPr>
            </w:pPr>
            <w:r w:rsidRPr="006C52A5">
              <w:rPr>
                <w:lang w:eastAsia="en-US" w:bidi="hi-IN"/>
              </w:rPr>
              <w:t>0</w:t>
            </w:r>
          </w:p>
        </w:tc>
        <w:tc>
          <w:tcPr>
            <w:tcW w:w="1559" w:type="dxa"/>
            <w:tcBorders>
              <w:bottom w:val="single" w:sz="4" w:space="0" w:color="auto"/>
            </w:tcBorders>
            <w:vAlign w:val="center"/>
          </w:tcPr>
          <w:p w:rsidR="005F6482" w:rsidRPr="006C52A5" w:rsidRDefault="009B3465" w:rsidP="00D53978">
            <w:pPr>
              <w:jc w:val="center"/>
              <w:rPr>
                <w:lang w:eastAsia="en-US" w:bidi="hi-IN"/>
              </w:rPr>
            </w:pPr>
            <w:r w:rsidRPr="006C52A5">
              <w:rPr>
                <w:lang w:eastAsia="en-US" w:bidi="hi-IN"/>
              </w:rPr>
              <w:t>0</w:t>
            </w:r>
          </w:p>
        </w:tc>
      </w:tr>
      <w:tr w:rsidR="006C52A5" w:rsidRPr="006C52A5" w:rsidTr="000B6ECD">
        <w:trPr>
          <w:cantSplit/>
          <w:trHeight w:val="64"/>
        </w:trPr>
        <w:tc>
          <w:tcPr>
            <w:tcW w:w="2723" w:type="dxa"/>
          </w:tcPr>
          <w:p w:rsidR="00093F3B" w:rsidRPr="006C52A5" w:rsidRDefault="00093F3B" w:rsidP="00093F3B">
            <w:pPr>
              <w:rPr>
                <w:lang w:eastAsia="en-US"/>
              </w:rPr>
            </w:pPr>
            <w:r w:rsidRPr="006C52A5">
              <w:rPr>
                <w:lang w:eastAsia="en-US"/>
              </w:rPr>
              <w:t>5.1. valsts pamatbudžets</w:t>
            </w:r>
          </w:p>
        </w:tc>
        <w:tc>
          <w:tcPr>
            <w:tcW w:w="1134" w:type="dxa"/>
            <w:vMerge/>
            <w:vAlign w:val="center"/>
          </w:tcPr>
          <w:p w:rsidR="00093F3B" w:rsidRPr="006C52A5" w:rsidRDefault="00093F3B" w:rsidP="00093F3B">
            <w:pPr>
              <w:jc w:val="center"/>
              <w:rPr>
                <w:lang w:eastAsia="en-US" w:bidi="hi-IN"/>
              </w:rPr>
            </w:pPr>
          </w:p>
        </w:tc>
        <w:tc>
          <w:tcPr>
            <w:tcW w:w="1276" w:type="dxa"/>
            <w:vAlign w:val="center"/>
          </w:tcPr>
          <w:p w:rsidR="00093F3B" w:rsidRPr="006C52A5" w:rsidRDefault="00093F3B" w:rsidP="00093F3B">
            <w:pPr>
              <w:jc w:val="center"/>
              <w:rPr>
                <w:lang w:eastAsia="en-US" w:bidi="hi-IN"/>
              </w:rPr>
            </w:pPr>
            <w:r w:rsidRPr="006C52A5">
              <w:rPr>
                <w:lang w:eastAsia="en-US" w:bidi="hi-IN"/>
              </w:rPr>
              <w:t>0</w:t>
            </w:r>
          </w:p>
        </w:tc>
        <w:tc>
          <w:tcPr>
            <w:tcW w:w="1388"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r>
      <w:tr w:rsidR="006C52A5" w:rsidRPr="006C52A5" w:rsidTr="000B6ECD">
        <w:trPr>
          <w:cantSplit/>
          <w:trHeight w:val="64"/>
        </w:trPr>
        <w:tc>
          <w:tcPr>
            <w:tcW w:w="2723" w:type="dxa"/>
          </w:tcPr>
          <w:p w:rsidR="00093F3B" w:rsidRPr="006C52A5" w:rsidRDefault="00093F3B" w:rsidP="00093F3B">
            <w:pPr>
              <w:rPr>
                <w:lang w:eastAsia="en-US"/>
              </w:rPr>
            </w:pPr>
            <w:r w:rsidRPr="006C52A5">
              <w:rPr>
                <w:lang w:eastAsia="en-US"/>
              </w:rPr>
              <w:t>5.2. speciālais budžets</w:t>
            </w:r>
          </w:p>
        </w:tc>
        <w:tc>
          <w:tcPr>
            <w:tcW w:w="1134" w:type="dxa"/>
            <w:vMerge/>
            <w:vAlign w:val="center"/>
          </w:tcPr>
          <w:p w:rsidR="00093F3B" w:rsidRPr="006C52A5" w:rsidRDefault="00093F3B" w:rsidP="00093F3B">
            <w:pPr>
              <w:jc w:val="both"/>
              <w:rPr>
                <w:lang w:eastAsia="en-US" w:bidi="hi-IN"/>
              </w:rPr>
            </w:pPr>
          </w:p>
        </w:tc>
        <w:tc>
          <w:tcPr>
            <w:tcW w:w="1276" w:type="dxa"/>
            <w:vAlign w:val="center"/>
          </w:tcPr>
          <w:p w:rsidR="00093F3B" w:rsidRPr="006C52A5" w:rsidRDefault="00093F3B" w:rsidP="00093F3B">
            <w:pPr>
              <w:jc w:val="center"/>
              <w:rPr>
                <w:lang w:eastAsia="en-US" w:bidi="hi-IN"/>
              </w:rPr>
            </w:pPr>
            <w:r w:rsidRPr="006C52A5">
              <w:rPr>
                <w:lang w:eastAsia="en-US" w:bidi="hi-IN"/>
              </w:rPr>
              <w:t>0</w:t>
            </w:r>
          </w:p>
        </w:tc>
        <w:tc>
          <w:tcPr>
            <w:tcW w:w="1388"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r>
      <w:tr w:rsidR="006C52A5" w:rsidRPr="006C52A5" w:rsidTr="00A10C19">
        <w:trPr>
          <w:cantSplit/>
          <w:trHeight w:val="652"/>
        </w:trPr>
        <w:tc>
          <w:tcPr>
            <w:tcW w:w="2723" w:type="dxa"/>
            <w:tcBorders>
              <w:bottom w:val="single" w:sz="4" w:space="0" w:color="auto"/>
            </w:tcBorders>
          </w:tcPr>
          <w:p w:rsidR="00093F3B" w:rsidRPr="006C52A5" w:rsidRDefault="00093F3B" w:rsidP="00093F3B">
            <w:pPr>
              <w:rPr>
                <w:lang w:eastAsia="en-US"/>
              </w:rPr>
            </w:pPr>
            <w:r w:rsidRPr="006C52A5">
              <w:rPr>
                <w:lang w:eastAsia="en-US"/>
              </w:rPr>
              <w:t>5.3. pašvaldību budžets</w:t>
            </w:r>
          </w:p>
        </w:tc>
        <w:tc>
          <w:tcPr>
            <w:tcW w:w="1134" w:type="dxa"/>
            <w:vMerge/>
            <w:tcBorders>
              <w:bottom w:val="single" w:sz="4" w:space="0" w:color="auto"/>
            </w:tcBorders>
            <w:vAlign w:val="center"/>
          </w:tcPr>
          <w:p w:rsidR="00093F3B" w:rsidRPr="006C52A5" w:rsidRDefault="00093F3B" w:rsidP="00093F3B">
            <w:pPr>
              <w:jc w:val="both"/>
              <w:rPr>
                <w:lang w:eastAsia="en-US" w:bidi="hi-IN"/>
              </w:rPr>
            </w:pPr>
          </w:p>
        </w:tc>
        <w:tc>
          <w:tcPr>
            <w:tcW w:w="1276" w:type="dxa"/>
            <w:vAlign w:val="center"/>
          </w:tcPr>
          <w:p w:rsidR="00093F3B" w:rsidRPr="006C52A5" w:rsidRDefault="00093F3B" w:rsidP="00093F3B">
            <w:pPr>
              <w:jc w:val="center"/>
              <w:rPr>
                <w:lang w:eastAsia="en-US" w:bidi="hi-IN"/>
              </w:rPr>
            </w:pPr>
            <w:r w:rsidRPr="006C52A5">
              <w:rPr>
                <w:lang w:eastAsia="en-US" w:bidi="hi-IN"/>
              </w:rPr>
              <w:t>0</w:t>
            </w:r>
          </w:p>
        </w:tc>
        <w:tc>
          <w:tcPr>
            <w:tcW w:w="1388"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c>
          <w:tcPr>
            <w:tcW w:w="1559" w:type="dxa"/>
            <w:vAlign w:val="center"/>
          </w:tcPr>
          <w:p w:rsidR="00093F3B" w:rsidRPr="006C52A5" w:rsidRDefault="00093F3B" w:rsidP="00093F3B">
            <w:pPr>
              <w:jc w:val="center"/>
              <w:rPr>
                <w:lang w:eastAsia="en-US" w:bidi="hi-IN"/>
              </w:rPr>
            </w:pPr>
            <w:r w:rsidRPr="006C52A5">
              <w:rPr>
                <w:lang w:eastAsia="en-US" w:bidi="hi-IN"/>
              </w:rPr>
              <w:t>0</w:t>
            </w:r>
          </w:p>
        </w:tc>
      </w:tr>
      <w:tr w:rsidR="006C52A5" w:rsidRPr="006C52A5" w:rsidTr="001F5FF7">
        <w:trPr>
          <w:cantSplit/>
          <w:trHeight w:val="3765"/>
        </w:trPr>
        <w:tc>
          <w:tcPr>
            <w:tcW w:w="2723" w:type="dxa"/>
            <w:tcBorders>
              <w:bottom w:val="single" w:sz="4" w:space="0" w:color="auto"/>
            </w:tcBorders>
          </w:tcPr>
          <w:p w:rsidR="0081412F" w:rsidRPr="006C52A5" w:rsidRDefault="0081412F" w:rsidP="0081412F">
            <w:pPr>
              <w:rPr>
                <w:lang w:eastAsia="en-US"/>
              </w:rPr>
            </w:pPr>
            <w:r w:rsidRPr="006C52A5">
              <w:rPr>
                <w:lang w:eastAsia="en-US"/>
              </w:rPr>
              <w:lastRenderedPageBreak/>
              <w:t>6. Detalizēts ieņēmumu un izdevumu aprēķins (ja nepieciešams, detalizētu ieņēmumu un izdevumu aprēķinu var pievienot anotācijas pielikumā):</w:t>
            </w:r>
          </w:p>
        </w:tc>
        <w:tc>
          <w:tcPr>
            <w:tcW w:w="6916" w:type="dxa"/>
            <w:gridSpan w:val="5"/>
            <w:vMerge w:val="restart"/>
          </w:tcPr>
          <w:p w:rsidR="00241900" w:rsidRPr="0081243C" w:rsidRDefault="0081412F" w:rsidP="006F6E07">
            <w:pPr>
              <w:jc w:val="both"/>
            </w:pPr>
            <w:r w:rsidRPr="0081243C">
              <w:t xml:space="preserve">   </w:t>
            </w:r>
            <w:r w:rsidR="00336EBB" w:rsidRPr="0081243C">
              <w:t xml:space="preserve">   </w:t>
            </w:r>
            <w:r w:rsidR="007F605D" w:rsidRPr="0081243C">
              <w:t xml:space="preserve">  </w:t>
            </w:r>
            <w:r w:rsidR="002B3079" w:rsidRPr="0081243C">
              <w:t xml:space="preserve">Pašlaik </w:t>
            </w:r>
            <w:r w:rsidR="00BD772A" w:rsidRPr="0081243C">
              <w:t xml:space="preserve">Valsts ieņēmumu dienesta (turpmāk – </w:t>
            </w:r>
            <w:r w:rsidR="002B3079" w:rsidRPr="0081243C">
              <w:t>VID</w:t>
            </w:r>
            <w:r w:rsidR="00BD772A" w:rsidRPr="0081243C">
              <w:t>)</w:t>
            </w:r>
            <w:r w:rsidR="002B3079" w:rsidRPr="0081243C">
              <w:t xml:space="preserve"> </w:t>
            </w:r>
            <w:r w:rsidR="00C33C1E" w:rsidRPr="0081243C">
              <w:t xml:space="preserve">33.00.00 programmas “Valsts ieņēmumu un muitas politikas nodrošināšana” 2016.gada </w:t>
            </w:r>
            <w:r w:rsidR="002B3079" w:rsidRPr="0081243C">
              <w:t>pašu ieņēmumu plānā paredzēti ieņēmumi</w:t>
            </w:r>
            <w:r w:rsidR="00336EBB" w:rsidRPr="0081243C">
              <w:t xml:space="preserve"> </w:t>
            </w:r>
            <w:r w:rsidR="00C33C1E" w:rsidRPr="0081243C">
              <w:t>n</w:t>
            </w:r>
            <w:r w:rsidR="00336EBB" w:rsidRPr="0081243C">
              <w:t xml:space="preserve">o nodokļu un citu maksājumu reģistrēšanas elektroniskajām ierīcēm un iekārtām plombu realizācijas 7 114 </w:t>
            </w:r>
            <w:r w:rsidR="000E6504" w:rsidRPr="0081243C">
              <w:rPr>
                <w:i/>
              </w:rPr>
              <w:t>euro</w:t>
            </w:r>
            <w:r w:rsidR="00336EBB" w:rsidRPr="0081243C">
              <w:t xml:space="preserve"> apmērā.  </w:t>
            </w:r>
          </w:p>
          <w:p w:rsidR="00770F22" w:rsidRPr="0081243C" w:rsidRDefault="00770F22" w:rsidP="00770F22">
            <w:pPr>
              <w:jc w:val="both"/>
            </w:pPr>
            <w:r w:rsidRPr="0081243C">
              <w:t xml:space="preserve">        2017.gadā un turpmāk ik gadu pašu ieņēmumu plāns tiek prognozēts 28 501,41 </w:t>
            </w:r>
            <w:r w:rsidRPr="0081243C">
              <w:rPr>
                <w:i/>
              </w:rPr>
              <w:t>euro</w:t>
            </w:r>
            <w:r w:rsidRPr="0081243C">
              <w:t xml:space="preserve"> apmērā, tajā skaitā:</w:t>
            </w:r>
          </w:p>
          <w:p w:rsidR="00770F22" w:rsidRPr="0081243C" w:rsidRDefault="00DF494F" w:rsidP="00770F22">
            <w:pPr>
              <w:pStyle w:val="ListParagraph"/>
              <w:numPr>
                <w:ilvl w:val="0"/>
                <w:numId w:val="16"/>
              </w:numPr>
              <w:ind w:left="0" w:firstLine="543"/>
              <w:jc w:val="both"/>
            </w:pPr>
            <w:r w:rsidRPr="0081243C">
              <w:t>p</w:t>
            </w:r>
            <w:r w:rsidR="00770F22" w:rsidRPr="0081243C">
              <w:t>recizējot nodokļu un citu maksājumu reģistrēšanas elektroniskajām ierīcēm un iekārtām plombu veidus un realizējamo cenu VID pašu ieņēmumi no sniegtajiem maksas pakalpojumiem (sabrūkoša tipa hologrāfiska, pašlīmējoša PET materiāla plombu (50x45; 45x75) pārdošana  nodokļu un citu maksājumu reģistrēšanas elektroniskajām ierīcēm un iekārtām) turpmāk ik gadu tiek paredzēti</w:t>
            </w:r>
            <w:r w:rsidR="00770F22" w:rsidRPr="0081243C">
              <w:br/>
              <w:t>22 773 euro</w:t>
            </w:r>
            <w:r w:rsidRPr="0081243C">
              <w:t xml:space="preserve"> apmērā;</w:t>
            </w:r>
          </w:p>
          <w:p w:rsidR="00770F22" w:rsidRPr="0081243C" w:rsidRDefault="00DF494F" w:rsidP="00770F22">
            <w:pPr>
              <w:pStyle w:val="ListParagraph"/>
              <w:numPr>
                <w:ilvl w:val="0"/>
                <w:numId w:val="16"/>
              </w:numPr>
              <w:ind w:left="0" w:firstLine="543"/>
              <w:jc w:val="both"/>
            </w:pPr>
            <w:r w:rsidRPr="0081243C">
              <w:t>m</w:t>
            </w:r>
            <w:r w:rsidR="00770F22" w:rsidRPr="0081243C">
              <w:t>aksas pakalpojuma “Preču muitošana ārpus muitas iestādes atrašanās vietas vai ārpus muitas iestādes darba laika, izņemot preču muitošanu noformējot muitas procedūru – tranzīts” pašu ieņēmumi no sniegtajiem maksas pakalpojumiem turpmāk ik gadu tiek prognozēti  1 985,85 euro</w:t>
            </w:r>
            <w:r w:rsidRPr="0081243C">
              <w:t xml:space="preserve"> apmērā;</w:t>
            </w:r>
          </w:p>
          <w:p w:rsidR="00770F22" w:rsidRPr="0081243C" w:rsidRDefault="00DF494F" w:rsidP="00770F22">
            <w:pPr>
              <w:pStyle w:val="ListParagraph"/>
              <w:numPr>
                <w:ilvl w:val="0"/>
                <w:numId w:val="16"/>
              </w:numPr>
              <w:ind w:left="0" w:firstLine="543"/>
              <w:jc w:val="both"/>
            </w:pPr>
            <w:r w:rsidRPr="0081243C">
              <w:t>m</w:t>
            </w:r>
            <w:r w:rsidR="00770F22" w:rsidRPr="0081243C">
              <w:t>aksas pakalpojuma “Analīžu, kas nepieciešamas preces Eiropas Savienības Kombinētās nomenklatūras koda, Eiropas Savienības kopējā muitas tarifa (TARIC) koda vai papildkoda noteikšanai, veikšana Muitas laboratorijā pēc komersanta pieprasījuma” pašu ieņēmumi no sniegtajiem maksas pakalpojumiem turpmāk ik gadu tiek prognozēti 3 742,56 euro</w:t>
            </w:r>
            <w:r w:rsidRPr="0081243C">
              <w:t xml:space="preserve"> apmērā.</w:t>
            </w:r>
          </w:p>
          <w:p w:rsidR="0081412F" w:rsidRPr="0081243C" w:rsidRDefault="00241900" w:rsidP="00F150CD">
            <w:pPr>
              <w:jc w:val="both"/>
            </w:pPr>
            <w:r w:rsidRPr="0081243C">
              <w:t xml:space="preserve">        </w:t>
            </w:r>
            <w:r w:rsidR="000116E4" w:rsidRPr="0081243C">
              <w:t xml:space="preserve">Pamatojoties uz </w:t>
            </w:r>
            <w:r w:rsidRPr="0081243C">
              <w:t>nepieciešam</w:t>
            </w:r>
            <w:r w:rsidR="000116E4" w:rsidRPr="0081243C">
              <w:t>o izmaiņu veikšanu</w:t>
            </w:r>
            <w:r w:rsidRPr="0081243C">
              <w:t xml:space="preserve"> Ministru kabineta 2013.gada 10.septembra noteikumos Nr.778 “Valsts ieņēmumu dienesta maksas pakalpojumu cenrādis””</w:t>
            </w:r>
            <w:r w:rsidR="00C33C1E" w:rsidRPr="0081243C">
              <w:t xml:space="preserve"> VID  33.00.00 programmas “Valsts ieņēmumu un muitas politikas nodrošināšana”</w:t>
            </w:r>
            <w:r w:rsidR="00A74CC0" w:rsidRPr="0081243C">
              <w:t>,</w:t>
            </w:r>
            <w:r w:rsidR="000116E4" w:rsidRPr="0081243C">
              <w:t xml:space="preserve"> </w:t>
            </w:r>
            <w:r w:rsidR="00956087" w:rsidRPr="0081243C">
              <w:t xml:space="preserve">turpmāk ik gadu </w:t>
            </w:r>
            <w:r w:rsidR="00C33C1E" w:rsidRPr="0081243C">
              <w:t>pašu ieņēmumi</w:t>
            </w:r>
            <w:r w:rsidR="000116E4" w:rsidRPr="0081243C">
              <w:t xml:space="preserve"> </w:t>
            </w:r>
            <w:r w:rsidR="00C33C1E" w:rsidRPr="0081243C">
              <w:t xml:space="preserve">no sniegtajiem maksas pakalpojumiem </w:t>
            </w:r>
            <w:r w:rsidRPr="0081243C">
              <w:t>palielinās</w:t>
            </w:r>
            <w:r w:rsidR="00964BAE" w:rsidRPr="0081243C">
              <w:t>ies</w:t>
            </w:r>
            <w:r w:rsidRPr="0081243C">
              <w:t xml:space="preserve"> </w:t>
            </w:r>
            <w:r w:rsidR="00E5017F" w:rsidRPr="0081243C">
              <w:t>21 38</w:t>
            </w:r>
            <w:r w:rsidR="00E84C55" w:rsidRPr="0081243C">
              <w:t>7</w:t>
            </w:r>
            <w:r w:rsidR="00E5017F" w:rsidRPr="0081243C">
              <w:t>,</w:t>
            </w:r>
            <w:r w:rsidR="00E84C55" w:rsidRPr="0081243C">
              <w:t>41</w:t>
            </w:r>
            <w:r w:rsidR="009C5E13" w:rsidRPr="0081243C">
              <w:t xml:space="preserve"> </w:t>
            </w:r>
            <w:r w:rsidR="000E6504" w:rsidRPr="0081243C">
              <w:t>euro</w:t>
            </w:r>
            <w:r w:rsidRPr="0081243C">
              <w:t xml:space="preserve"> apmērā</w:t>
            </w:r>
            <w:r w:rsidR="00524FDA" w:rsidRPr="0081243C">
              <w:t xml:space="preserve"> (22773+</w:t>
            </w:r>
            <w:r w:rsidR="0070112E" w:rsidRPr="0081243C">
              <w:t>1985,85</w:t>
            </w:r>
            <w:r w:rsidR="00524FDA" w:rsidRPr="0081243C">
              <w:t>+</w:t>
            </w:r>
            <w:r w:rsidR="0070112E" w:rsidRPr="0081243C">
              <w:t>374</w:t>
            </w:r>
            <w:r w:rsidR="00E84C55" w:rsidRPr="0081243C">
              <w:t>2</w:t>
            </w:r>
            <w:r w:rsidR="0070112E" w:rsidRPr="0081243C">
              <w:t>,</w:t>
            </w:r>
            <w:r w:rsidR="00E84C55" w:rsidRPr="0081243C">
              <w:t>56</w:t>
            </w:r>
            <w:r w:rsidR="00524FDA" w:rsidRPr="0081243C">
              <w:t>-7114=</w:t>
            </w:r>
            <w:r w:rsidR="00E5017F" w:rsidRPr="0081243C">
              <w:t>21 38</w:t>
            </w:r>
            <w:r w:rsidR="00E84C55" w:rsidRPr="0081243C">
              <w:t>7</w:t>
            </w:r>
            <w:r w:rsidR="00E5017F" w:rsidRPr="0081243C">
              <w:t>,</w:t>
            </w:r>
            <w:r w:rsidR="00E84C55" w:rsidRPr="0081243C">
              <w:t>41</w:t>
            </w:r>
            <w:r w:rsidR="00524FDA" w:rsidRPr="0081243C">
              <w:t>)</w:t>
            </w:r>
            <w:r w:rsidRPr="0081243C">
              <w:t>.</w:t>
            </w:r>
            <w:r w:rsidR="000116E4" w:rsidRPr="0081243C">
              <w:t xml:space="preserve"> </w:t>
            </w:r>
          </w:p>
          <w:p w:rsidR="00911664" w:rsidRPr="0081243C" w:rsidRDefault="00911664" w:rsidP="00F150CD">
            <w:pPr>
              <w:jc w:val="both"/>
            </w:pPr>
            <w:r w:rsidRPr="0081243C">
              <w:t xml:space="preserve">       Maksas pakalpojumu ieņēmumi ļaus segt ar pakalpojumu sniegšanu radītās VID izmaksas. Ņemot vērā, ka nav iespējams konkrēti prognozēt vai pakalpojumi tiks izmantoti un kādā apmērā, nav iespējams</w:t>
            </w:r>
            <w:r w:rsidR="001C26F1" w:rsidRPr="0081243C">
              <w:t xml:space="preserve"> samazināt</w:t>
            </w:r>
            <w:r w:rsidRPr="0081243C">
              <w:t xml:space="preserve"> izdevumu</w:t>
            </w:r>
            <w:r w:rsidR="001C26F1" w:rsidRPr="0081243C">
              <w:t>s</w:t>
            </w:r>
            <w:r w:rsidRPr="0081243C">
              <w:t xml:space="preserve"> pozīcijās, kuru uzturēšana </w:t>
            </w:r>
            <w:r w:rsidR="001C26F1" w:rsidRPr="0081243C">
              <w:t>tiek finansēta no vispārējā kārtībā sadalāmās dotācijas no vispārējiem ieņēmumiem.</w:t>
            </w:r>
            <w:r w:rsidR="007C4B18">
              <w:t xml:space="preserve"> Iespējamie brīvie finanšu līdzekļi 2017.gadā un turpmākajos gados tiks novirzīti Muitas laboratorijas </w:t>
            </w:r>
            <w:r w:rsidR="00A71EE5">
              <w:t>un muitas kontroles punktu uzturēšanas izdevumu segšanai.</w:t>
            </w:r>
          </w:p>
          <w:p w:rsidR="00F150CD" w:rsidRPr="0081243C" w:rsidRDefault="00F150CD" w:rsidP="00F150CD">
            <w:pPr>
              <w:jc w:val="both"/>
            </w:pPr>
            <w:r w:rsidRPr="0081243C">
              <w:t xml:space="preserve">       Detalizēti izdevumi aprēķini ir pievienoti anotācijas pielikumā.</w:t>
            </w:r>
          </w:p>
          <w:p w:rsidR="00F150CD" w:rsidRPr="0081243C" w:rsidRDefault="00F150CD" w:rsidP="00F150CD">
            <w:pPr>
              <w:jc w:val="both"/>
            </w:pPr>
          </w:p>
        </w:tc>
      </w:tr>
      <w:tr w:rsidR="006C52A5" w:rsidRPr="006C52A5" w:rsidTr="001F5FF7">
        <w:trPr>
          <w:cantSplit/>
          <w:trHeight w:val="3765"/>
        </w:trPr>
        <w:tc>
          <w:tcPr>
            <w:tcW w:w="2723" w:type="dxa"/>
            <w:tcBorders>
              <w:bottom w:val="single" w:sz="4" w:space="0" w:color="auto"/>
            </w:tcBorders>
          </w:tcPr>
          <w:p w:rsidR="0081412F" w:rsidRPr="006C52A5" w:rsidRDefault="0081412F" w:rsidP="0081412F">
            <w:pPr>
              <w:rPr>
                <w:lang w:eastAsia="en-US"/>
              </w:rPr>
            </w:pPr>
            <w:r w:rsidRPr="006C52A5">
              <w:rPr>
                <w:lang w:eastAsia="en-US"/>
              </w:rPr>
              <w:t>6.1. detalizēts ieņēmumu aprēķins</w:t>
            </w:r>
          </w:p>
        </w:tc>
        <w:tc>
          <w:tcPr>
            <w:tcW w:w="6916" w:type="dxa"/>
            <w:gridSpan w:val="5"/>
            <w:vMerge/>
          </w:tcPr>
          <w:p w:rsidR="0081412F" w:rsidRPr="0081243C" w:rsidRDefault="0081412F" w:rsidP="0081412F">
            <w:pPr>
              <w:jc w:val="both"/>
              <w:rPr>
                <w:lang w:eastAsia="en-US" w:bidi="hi-IN"/>
              </w:rPr>
            </w:pPr>
          </w:p>
        </w:tc>
      </w:tr>
      <w:tr w:rsidR="006C52A5" w:rsidRPr="006C52A5" w:rsidTr="001F5FF7">
        <w:trPr>
          <w:cantSplit/>
          <w:trHeight w:val="3765"/>
        </w:trPr>
        <w:tc>
          <w:tcPr>
            <w:tcW w:w="2723" w:type="dxa"/>
            <w:tcBorders>
              <w:bottom w:val="single" w:sz="4" w:space="0" w:color="auto"/>
            </w:tcBorders>
          </w:tcPr>
          <w:p w:rsidR="0081412F" w:rsidRPr="006C52A5" w:rsidRDefault="0081412F" w:rsidP="0081412F">
            <w:pPr>
              <w:rPr>
                <w:lang w:eastAsia="en-US"/>
              </w:rPr>
            </w:pPr>
            <w:r w:rsidRPr="006C52A5">
              <w:rPr>
                <w:lang w:eastAsia="en-US"/>
              </w:rPr>
              <w:t>6.2. detalizēts izdevumu aprēķins</w:t>
            </w:r>
          </w:p>
        </w:tc>
        <w:tc>
          <w:tcPr>
            <w:tcW w:w="6916" w:type="dxa"/>
            <w:gridSpan w:val="5"/>
            <w:vMerge/>
            <w:tcBorders>
              <w:bottom w:val="single" w:sz="4" w:space="0" w:color="auto"/>
            </w:tcBorders>
          </w:tcPr>
          <w:p w:rsidR="0081412F" w:rsidRPr="0081243C" w:rsidRDefault="0081412F" w:rsidP="0081412F">
            <w:pPr>
              <w:jc w:val="both"/>
              <w:rPr>
                <w:lang w:eastAsia="en-US" w:bidi="hi-IN"/>
              </w:rPr>
            </w:pPr>
          </w:p>
        </w:tc>
      </w:tr>
      <w:tr w:rsidR="006C52A5" w:rsidRPr="006C52A5" w:rsidTr="0081412F">
        <w:trPr>
          <w:cantSplit/>
          <w:trHeight w:val="415"/>
        </w:trPr>
        <w:tc>
          <w:tcPr>
            <w:tcW w:w="2723" w:type="dxa"/>
            <w:tcBorders>
              <w:bottom w:val="single" w:sz="4" w:space="0" w:color="auto"/>
            </w:tcBorders>
          </w:tcPr>
          <w:p w:rsidR="0081412F" w:rsidRPr="006C52A5" w:rsidRDefault="0081412F" w:rsidP="0081412F">
            <w:pPr>
              <w:rPr>
                <w:lang w:eastAsia="en-US"/>
              </w:rPr>
            </w:pPr>
            <w:r w:rsidRPr="006C52A5">
              <w:rPr>
                <w:lang w:eastAsia="en-US"/>
              </w:rPr>
              <w:t>7. Cita informācija</w:t>
            </w:r>
          </w:p>
        </w:tc>
        <w:tc>
          <w:tcPr>
            <w:tcW w:w="6916" w:type="dxa"/>
            <w:gridSpan w:val="5"/>
            <w:tcBorders>
              <w:bottom w:val="single" w:sz="4" w:space="0" w:color="auto"/>
            </w:tcBorders>
          </w:tcPr>
          <w:p w:rsidR="00911664" w:rsidRPr="0081243C" w:rsidRDefault="00F150CD" w:rsidP="001C26F1">
            <w:pPr>
              <w:jc w:val="both"/>
            </w:pPr>
            <w:r w:rsidRPr="0081243C">
              <w:t xml:space="preserve">       2016.gadā pašu ieņēmumu plāns netiks precizēts, jo ieņēmumi no nodokļu un citu maksājumu reģistrēšanas elektroniskajām ierīcēm un iekārtām plombu realizācijas ir mazākā apmērā kā iepriekš plānots, kā rezultātā ar veiktajiem grozījumiem tiks izpildīts iepriekš plānotais 2016. gada pašu ieņēmumu plāns.</w:t>
            </w:r>
          </w:p>
        </w:tc>
      </w:tr>
    </w:tbl>
    <w:p w:rsidR="00402FE1" w:rsidRPr="006C52A5" w:rsidRDefault="00402FE1" w:rsidP="00D53978">
      <w:pPr>
        <w:pStyle w:val="naiskr"/>
        <w:tabs>
          <w:tab w:val="left" w:pos="2628"/>
        </w:tabs>
        <w:spacing w:before="0" w:after="0"/>
        <w:jc w:val="both"/>
        <w:rPr>
          <w:sz w:val="28"/>
          <w:szCs w:val="28"/>
        </w:rPr>
      </w:pPr>
    </w:p>
    <w:p w:rsidR="00711DC1" w:rsidRPr="006C52A5" w:rsidRDefault="00711DC1" w:rsidP="00D53978">
      <w:pPr>
        <w:pStyle w:val="naiskr"/>
        <w:tabs>
          <w:tab w:val="left" w:pos="2628"/>
        </w:tabs>
        <w:spacing w:before="0" w:after="0"/>
        <w:jc w:val="both"/>
        <w:rPr>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4253"/>
        <w:gridCol w:w="4819"/>
      </w:tblGrid>
      <w:tr w:rsidR="006C52A5" w:rsidRPr="006C52A5" w:rsidTr="00D01D51">
        <w:tc>
          <w:tcPr>
            <w:tcW w:w="9644" w:type="dxa"/>
            <w:gridSpan w:val="3"/>
            <w:vAlign w:val="center"/>
          </w:tcPr>
          <w:p w:rsidR="009550F1" w:rsidRPr="006C52A5" w:rsidRDefault="009550F1" w:rsidP="00D53978">
            <w:pPr>
              <w:pStyle w:val="naisnod"/>
              <w:spacing w:before="0" w:after="0"/>
            </w:pPr>
            <w:r w:rsidRPr="006C52A5">
              <w:t xml:space="preserve">VI. Sabiedrības līdzdalība un komunikācijas aktivitātes </w:t>
            </w:r>
          </w:p>
        </w:tc>
      </w:tr>
      <w:tr w:rsidR="006C52A5" w:rsidRPr="006C52A5" w:rsidTr="00761C95">
        <w:trPr>
          <w:trHeight w:val="66"/>
        </w:trPr>
        <w:tc>
          <w:tcPr>
            <w:tcW w:w="572" w:type="dxa"/>
          </w:tcPr>
          <w:p w:rsidR="00E22A3E" w:rsidRPr="006C52A5" w:rsidRDefault="00E22A3E" w:rsidP="00D53978">
            <w:pPr>
              <w:jc w:val="center"/>
              <w:rPr>
                <w:bCs/>
                <w:sz w:val="22"/>
                <w:szCs w:val="22"/>
              </w:rPr>
            </w:pPr>
            <w:r w:rsidRPr="006C52A5">
              <w:rPr>
                <w:bCs/>
                <w:sz w:val="22"/>
                <w:szCs w:val="22"/>
              </w:rPr>
              <w:lastRenderedPageBreak/>
              <w:t>1.</w:t>
            </w:r>
          </w:p>
        </w:tc>
        <w:tc>
          <w:tcPr>
            <w:tcW w:w="4253" w:type="dxa"/>
          </w:tcPr>
          <w:p w:rsidR="00E22A3E" w:rsidRPr="006C52A5" w:rsidRDefault="00E22A3E" w:rsidP="00D53978">
            <w:pPr>
              <w:rPr>
                <w:bCs/>
              </w:rPr>
            </w:pPr>
            <w:r w:rsidRPr="006C52A5">
              <w:rPr>
                <w:bCs/>
              </w:rPr>
              <w:t>Plānotās sabiedrības līdzdalības un komunikācijas aktivitātes saistībā ar projektu</w:t>
            </w:r>
          </w:p>
        </w:tc>
        <w:tc>
          <w:tcPr>
            <w:tcW w:w="4819" w:type="dxa"/>
          </w:tcPr>
          <w:p w:rsidR="00E22A3E" w:rsidRPr="006C52A5" w:rsidRDefault="00BE047F" w:rsidP="00D53978">
            <w:pPr>
              <w:jc w:val="both"/>
              <w:rPr>
                <w:bCs/>
              </w:rPr>
            </w:pPr>
            <w:r w:rsidRPr="006C52A5">
              <w:rPr>
                <w:bCs/>
              </w:rPr>
              <w:t xml:space="preserve">Noteikumu projekts tiks publicēts Finanšu ministrijas mājaslapā. </w:t>
            </w:r>
            <w:r w:rsidR="00943CF8" w:rsidRPr="006C52A5">
              <w:rPr>
                <w:bCs/>
              </w:rPr>
              <w:t xml:space="preserve">Sabiedrība par noteikumu projekta ieviešanu tiks informēta vispārējā kārtībā. Pēc pieņemšanas Ministru kabinetā noteikumi tiks publicēti Latvijas Republikas oficiālajā </w:t>
            </w:r>
            <w:r w:rsidR="008B4323" w:rsidRPr="006C52A5">
              <w:rPr>
                <w:bCs/>
              </w:rPr>
              <w:t>izdevumā</w:t>
            </w:r>
            <w:r w:rsidR="00943CF8" w:rsidRPr="006C52A5">
              <w:rPr>
                <w:bCs/>
              </w:rPr>
              <w:t xml:space="preserve"> “Latvijas Vēstnesis” un V</w:t>
            </w:r>
            <w:r w:rsidR="00765F6E" w:rsidRPr="006C52A5">
              <w:rPr>
                <w:bCs/>
              </w:rPr>
              <w:t>ID</w:t>
            </w:r>
            <w:r w:rsidR="00943CF8" w:rsidRPr="006C52A5">
              <w:rPr>
                <w:bCs/>
              </w:rPr>
              <w:t xml:space="preserve"> interneta mājaslapā </w:t>
            </w:r>
            <w:hyperlink r:id="rId11" w:history="1">
              <w:r w:rsidR="00943CF8" w:rsidRPr="006C52A5">
                <w:rPr>
                  <w:rStyle w:val="Hyperlink"/>
                  <w:bCs/>
                  <w:color w:val="auto"/>
                  <w:u w:val="none"/>
                </w:rPr>
                <w:t>http://www.vid.gov.lv</w:t>
              </w:r>
            </w:hyperlink>
            <w:r w:rsidR="00943CF8" w:rsidRPr="006C52A5">
              <w:rPr>
                <w:bCs/>
              </w:rPr>
              <w:t xml:space="preserve"> </w:t>
            </w:r>
          </w:p>
        </w:tc>
      </w:tr>
      <w:tr w:rsidR="006C52A5" w:rsidRPr="006C52A5" w:rsidTr="00761C95">
        <w:trPr>
          <w:trHeight w:val="64"/>
        </w:trPr>
        <w:tc>
          <w:tcPr>
            <w:tcW w:w="572" w:type="dxa"/>
          </w:tcPr>
          <w:p w:rsidR="00E22A3E" w:rsidRPr="006C52A5" w:rsidRDefault="00E22A3E" w:rsidP="00D53978">
            <w:pPr>
              <w:jc w:val="center"/>
              <w:rPr>
                <w:bCs/>
                <w:sz w:val="22"/>
                <w:szCs w:val="22"/>
              </w:rPr>
            </w:pPr>
            <w:r w:rsidRPr="006C52A5">
              <w:rPr>
                <w:bCs/>
                <w:sz w:val="22"/>
                <w:szCs w:val="22"/>
              </w:rPr>
              <w:t>2.</w:t>
            </w:r>
          </w:p>
        </w:tc>
        <w:tc>
          <w:tcPr>
            <w:tcW w:w="4253" w:type="dxa"/>
          </w:tcPr>
          <w:p w:rsidR="00E22A3E" w:rsidRPr="006C52A5" w:rsidRDefault="00E22A3E" w:rsidP="00D53978">
            <w:pPr>
              <w:rPr>
                <w:bCs/>
              </w:rPr>
            </w:pPr>
            <w:r w:rsidRPr="006C52A5">
              <w:rPr>
                <w:bCs/>
              </w:rPr>
              <w:t>Sabiedrības līdzdalība projekta izstrādē</w:t>
            </w:r>
          </w:p>
        </w:tc>
        <w:tc>
          <w:tcPr>
            <w:tcW w:w="4819" w:type="dxa"/>
          </w:tcPr>
          <w:p w:rsidR="00E22A3E" w:rsidRPr="006C52A5" w:rsidRDefault="00A1164A" w:rsidP="00D53978">
            <w:pPr>
              <w:rPr>
                <w:bCs/>
              </w:rPr>
            </w:pPr>
            <w:r w:rsidRPr="006C52A5">
              <w:rPr>
                <w:bCs/>
              </w:rPr>
              <w:t>Konsultācijas nav notikušas</w:t>
            </w:r>
          </w:p>
        </w:tc>
      </w:tr>
      <w:tr w:rsidR="006C52A5" w:rsidRPr="006C52A5" w:rsidTr="00761C95">
        <w:trPr>
          <w:trHeight w:val="64"/>
        </w:trPr>
        <w:tc>
          <w:tcPr>
            <w:tcW w:w="572" w:type="dxa"/>
          </w:tcPr>
          <w:p w:rsidR="00E22A3E" w:rsidRPr="006C52A5" w:rsidRDefault="00E22A3E" w:rsidP="00D53978">
            <w:pPr>
              <w:jc w:val="center"/>
              <w:rPr>
                <w:bCs/>
                <w:sz w:val="22"/>
                <w:szCs w:val="22"/>
              </w:rPr>
            </w:pPr>
            <w:r w:rsidRPr="006C52A5">
              <w:rPr>
                <w:bCs/>
                <w:sz w:val="22"/>
                <w:szCs w:val="22"/>
              </w:rPr>
              <w:t>3.</w:t>
            </w:r>
          </w:p>
        </w:tc>
        <w:tc>
          <w:tcPr>
            <w:tcW w:w="4253" w:type="dxa"/>
          </w:tcPr>
          <w:p w:rsidR="00E22A3E" w:rsidRPr="006C52A5" w:rsidRDefault="00E22A3E" w:rsidP="00D53978">
            <w:pPr>
              <w:rPr>
                <w:bCs/>
              </w:rPr>
            </w:pPr>
            <w:r w:rsidRPr="006C52A5">
              <w:rPr>
                <w:bCs/>
              </w:rPr>
              <w:t>Sabiedrības līdzdalības rezultāti</w:t>
            </w:r>
          </w:p>
        </w:tc>
        <w:tc>
          <w:tcPr>
            <w:tcW w:w="4819" w:type="dxa"/>
          </w:tcPr>
          <w:p w:rsidR="00E22A3E" w:rsidRPr="006C52A5" w:rsidRDefault="00BE047F" w:rsidP="00BE047F">
            <w:pPr>
              <w:rPr>
                <w:bCs/>
              </w:rPr>
            </w:pPr>
            <w:r w:rsidRPr="006C52A5">
              <w:rPr>
                <w:bCs/>
              </w:rPr>
              <w:t>Noteikumu projekts šo jomu neskar.</w:t>
            </w:r>
          </w:p>
        </w:tc>
      </w:tr>
      <w:tr w:rsidR="006C52A5" w:rsidRPr="006C52A5" w:rsidTr="00761C95">
        <w:trPr>
          <w:trHeight w:val="64"/>
        </w:trPr>
        <w:tc>
          <w:tcPr>
            <w:tcW w:w="572" w:type="dxa"/>
          </w:tcPr>
          <w:p w:rsidR="00E22A3E" w:rsidRPr="006C52A5" w:rsidRDefault="00E22A3E" w:rsidP="00D53978">
            <w:pPr>
              <w:jc w:val="center"/>
              <w:rPr>
                <w:bCs/>
                <w:sz w:val="22"/>
                <w:szCs w:val="22"/>
              </w:rPr>
            </w:pPr>
            <w:r w:rsidRPr="006C52A5">
              <w:rPr>
                <w:bCs/>
                <w:sz w:val="22"/>
                <w:szCs w:val="22"/>
              </w:rPr>
              <w:t>4.</w:t>
            </w:r>
          </w:p>
        </w:tc>
        <w:tc>
          <w:tcPr>
            <w:tcW w:w="4253" w:type="dxa"/>
          </w:tcPr>
          <w:p w:rsidR="00E22A3E" w:rsidRPr="006C52A5" w:rsidRDefault="00E22A3E" w:rsidP="00D53978">
            <w:pPr>
              <w:rPr>
                <w:bCs/>
              </w:rPr>
            </w:pPr>
            <w:r w:rsidRPr="006C52A5">
              <w:rPr>
                <w:bCs/>
              </w:rPr>
              <w:t>Cita informācija</w:t>
            </w:r>
          </w:p>
        </w:tc>
        <w:tc>
          <w:tcPr>
            <w:tcW w:w="4819" w:type="dxa"/>
          </w:tcPr>
          <w:p w:rsidR="00E22A3E" w:rsidRPr="006C52A5" w:rsidRDefault="00E22A3E" w:rsidP="00D53978">
            <w:pPr>
              <w:rPr>
                <w:bCs/>
              </w:rPr>
            </w:pPr>
            <w:r w:rsidRPr="006C52A5">
              <w:rPr>
                <w:bCs/>
              </w:rPr>
              <w:t>Nav</w:t>
            </w:r>
          </w:p>
        </w:tc>
      </w:tr>
    </w:tbl>
    <w:p w:rsidR="009550F1" w:rsidRPr="006C52A5" w:rsidRDefault="009550F1" w:rsidP="00D53978">
      <w:pPr>
        <w:pStyle w:val="naiskr"/>
        <w:tabs>
          <w:tab w:val="left" w:pos="2628"/>
        </w:tabs>
        <w:spacing w:before="0" w:after="0"/>
        <w:jc w:val="both"/>
        <w:rPr>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779"/>
      </w:tblGrid>
      <w:tr w:rsidR="006C52A5" w:rsidRPr="006C52A5" w:rsidTr="00D01D51">
        <w:tc>
          <w:tcPr>
            <w:tcW w:w="9644" w:type="dxa"/>
            <w:gridSpan w:val="3"/>
            <w:vAlign w:val="center"/>
          </w:tcPr>
          <w:p w:rsidR="00DF6E15" w:rsidRPr="006C52A5" w:rsidRDefault="00DF6E15" w:rsidP="00D53978">
            <w:pPr>
              <w:pStyle w:val="naisnod"/>
              <w:spacing w:before="0" w:after="0"/>
            </w:pPr>
            <w:r w:rsidRPr="006C52A5">
              <w:t>VII. Tiesību akta projekta izpildes nodrošināšana un tās ietekme uz institūcijām</w:t>
            </w:r>
          </w:p>
        </w:tc>
      </w:tr>
      <w:tr w:rsidR="006C52A5" w:rsidRPr="006C52A5" w:rsidTr="00761C95">
        <w:trPr>
          <w:trHeight w:val="133"/>
        </w:trPr>
        <w:tc>
          <w:tcPr>
            <w:tcW w:w="550" w:type="dxa"/>
          </w:tcPr>
          <w:p w:rsidR="00DF6E15" w:rsidRPr="006C52A5" w:rsidRDefault="00DF6E15" w:rsidP="00D53978">
            <w:pPr>
              <w:pStyle w:val="naiskr"/>
              <w:spacing w:before="0" w:after="0"/>
              <w:jc w:val="center"/>
              <w:rPr>
                <w:sz w:val="22"/>
                <w:szCs w:val="22"/>
              </w:rPr>
            </w:pPr>
            <w:r w:rsidRPr="006C52A5">
              <w:rPr>
                <w:sz w:val="22"/>
                <w:szCs w:val="22"/>
              </w:rPr>
              <w:t>1.</w:t>
            </w:r>
          </w:p>
        </w:tc>
        <w:tc>
          <w:tcPr>
            <w:tcW w:w="4315" w:type="dxa"/>
          </w:tcPr>
          <w:p w:rsidR="00DF6E15" w:rsidRPr="006C52A5" w:rsidRDefault="00DF6E15" w:rsidP="00D53978">
            <w:pPr>
              <w:pStyle w:val="naiskr"/>
              <w:spacing w:before="0" w:after="0"/>
            </w:pPr>
            <w:r w:rsidRPr="006C52A5">
              <w:t>Projekta izpildē iesaistītās institūcijas</w:t>
            </w:r>
          </w:p>
        </w:tc>
        <w:tc>
          <w:tcPr>
            <w:tcW w:w="4779" w:type="dxa"/>
          </w:tcPr>
          <w:p w:rsidR="00DF6E15" w:rsidRPr="006C52A5" w:rsidRDefault="005911FA" w:rsidP="00D53978">
            <w:pPr>
              <w:jc w:val="both"/>
              <w:rPr>
                <w:bCs/>
              </w:rPr>
            </w:pPr>
            <w:r w:rsidRPr="006C52A5">
              <w:t>Projekta izpildi nodrošinās V</w:t>
            </w:r>
            <w:r w:rsidR="008B4323" w:rsidRPr="006C52A5">
              <w:t>ID</w:t>
            </w:r>
            <w:r w:rsidR="00340631" w:rsidRPr="006C52A5">
              <w:t>.</w:t>
            </w:r>
          </w:p>
        </w:tc>
      </w:tr>
      <w:tr w:rsidR="006C52A5" w:rsidRPr="006C52A5" w:rsidTr="00761C95">
        <w:trPr>
          <w:trHeight w:val="892"/>
        </w:trPr>
        <w:tc>
          <w:tcPr>
            <w:tcW w:w="550" w:type="dxa"/>
          </w:tcPr>
          <w:p w:rsidR="00DF6E15" w:rsidRPr="006C52A5" w:rsidRDefault="00DF6E15" w:rsidP="00D53978">
            <w:pPr>
              <w:pStyle w:val="naiskr"/>
              <w:spacing w:before="0" w:after="0"/>
              <w:jc w:val="center"/>
              <w:rPr>
                <w:sz w:val="22"/>
                <w:szCs w:val="22"/>
              </w:rPr>
            </w:pPr>
            <w:r w:rsidRPr="006C52A5">
              <w:rPr>
                <w:sz w:val="22"/>
                <w:szCs w:val="22"/>
              </w:rPr>
              <w:t>2.</w:t>
            </w:r>
          </w:p>
        </w:tc>
        <w:tc>
          <w:tcPr>
            <w:tcW w:w="4315" w:type="dxa"/>
          </w:tcPr>
          <w:p w:rsidR="00DF6E15" w:rsidRPr="006C52A5" w:rsidRDefault="005911FA" w:rsidP="00D53978">
            <w:pPr>
              <w:pStyle w:val="naiskr"/>
              <w:tabs>
                <w:tab w:val="left" w:pos="170"/>
              </w:tabs>
              <w:spacing w:before="0" w:after="0"/>
            </w:pPr>
            <w:r w:rsidRPr="006C52A5">
              <w:t>Projekta izpildes ietekme uz pārvaldes funkcijām un institucionālo struktūru.</w:t>
            </w:r>
          </w:p>
          <w:p w:rsidR="00DF6E15" w:rsidRPr="006C52A5" w:rsidRDefault="005911FA" w:rsidP="00D53978">
            <w:pPr>
              <w:pStyle w:val="naiskr"/>
              <w:tabs>
                <w:tab w:val="left" w:pos="170"/>
              </w:tabs>
              <w:spacing w:before="0" w:after="0"/>
            </w:pPr>
            <w:r w:rsidRPr="006C52A5">
              <w:t>Jaunu institūciju izveide, esošu institūciju likvidācija vai reorganizācija, to ietekme uz institūcijas cilvēkresursiem</w:t>
            </w:r>
          </w:p>
        </w:tc>
        <w:tc>
          <w:tcPr>
            <w:tcW w:w="4779" w:type="dxa"/>
          </w:tcPr>
          <w:p w:rsidR="00DF6E15" w:rsidRPr="006C52A5" w:rsidRDefault="00E413B1" w:rsidP="00BE047F">
            <w:pPr>
              <w:jc w:val="both"/>
            </w:pPr>
            <w:r w:rsidRPr="006C52A5">
              <w:t>Normatīvā akta izpilde tiks nodrošināta esošo institūciju līdzšinējo funkciju ietvaros</w:t>
            </w:r>
            <w:r w:rsidR="00340631" w:rsidRPr="006C52A5">
              <w:t>.</w:t>
            </w:r>
            <w:r w:rsidR="00BE047F" w:rsidRPr="006C52A5">
              <w:t xml:space="preserve"> Jaunas institūcijas netiks izveidotas, netiks veikta esošu institūciju likvidācija vai reorganizācija.</w:t>
            </w:r>
          </w:p>
        </w:tc>
      </w:tr>
      <w:tr w:rsidR="006C52A5" w:rsidRPr="006C52A5" w:rsidTr="00761C95">
        <w:trPr>
          <w:trHeight w:val="64"/>
        </w:trPr>
        <w:tc>
          <w:tcPr>
            <w:tcW w:w="550" w:type="dxa"/>
          </w:tcPr>
          <w:p w:rsidR="00DF6E15" w:rsidRPr="006C52A5" w:rsidRDefault="005911FA" w:rsidP="00D53978">
            <w:pPr>
              <w:pStyle w:val="naiskr"/>
              <w:spacing w:before="0" w:after="0"/>
              <w:jc w:val="center"/>
              <w:rPr>
                <w:sz w:val="22"/>
                <w:szCs w:val="22"/>
              </w:rPr>
            </w:pPr>
            <w:r w:rsidRPr="006C52A5">
              <w:rPr>
                <w:sz w:val="22"/>
                <w:szCs w:val="22"/>
              </w:rPr>
              <w:t>3</w:t>
            </w:r>
            <w:r w:rsidR="00DF6E15" w:rsidRPr="006C52A5">
              <w:rPr>
                <w:sz w:val="22"/>
                <w:szCs w:val="22"/>
              </w:rPr>
              <w:t>.</w:t>
            </w:r>
          </w:p>
        </w:tc>
        <w:tc>
          <w:tcPr>
            <w:tcW w:w="4315" w:type="dxa"/>
          </w:tcPr>
          <w:p w:rsidR="00DF6E15" w:rsidRPr="006C52A5" w:rsidRDefault="00DF6E15" w:rsidP="00D53978">
            <w:pPr>
              <w:pStyle w:val="naiskr"/>
              <w:spacing w:before="0" w:after="0"/>
            </w:pPr>
            <w:r w:rsidRPr="006C52A5">
              <w:t>Cita informācija</w:t>
            </w:r>
          </w:p>
        </w:tc>
        <w:tc>
          <w:tcPr>
            <w:tcW w:w="4779" w:type="dxa"/>
          </w:tcPr>
          <w:p w:rsidR="00DF6E15" w:rsidRPr="006C52A5" w:rsidRDefault="00DF6E15" w:rsidP="00D53978">
            <w:pPr>
              <w:pStyle w:val="FootnoteText"/>
              <w:jc w:val="both"/>
              <w:rPr>
                <w:sz w:val="24"/>
                <w:szCs w:val="24"/>
              </w:rPr>
            </w:pPr>
            <w:r w:rsidRPr="006C52A5">
              <w:rPr>
                <w:sz w:val="24"/>
                <w:szCs w:val="24"/>
              </w:rPr>
              <w:t>Nav</w:t>
            </w:r>
          </w:p>
        </w:tc>
      </w:tr>
    </w:tbl>
    <w:p w:rsidR="00DF6E15" w:rsidRPr="006C52A5" w:rsidRDefault="00DF6E15" w:rsidP="00D53978">
      <w:pPr>
        <w:pStyle w:val="naiskr"/>
        <w:tabs>
          <w:tab w:val="left" w:pos="2628"/>
        </w:tabs>
        <w:spacing w:before="0" w:after="0"/>
        <w:jc w:val="both"/>
        <w:rPr>
          <w:sz w:val="28"/>
          <w:szCs w:val="28"/>
        </w:rPr>
      </w:pPr>
    </w:p>
    <w:p w:rsidR="0015060C" w:rsidRPr="006C52A5" w:rsidRDefault="002120FF" w:rsidP="00D53978">
      <w:pPr>
        <w:pStyle w:val="naiskr"/>
        <w:tabs>
          <w:tab w:val="left" w:pos="2628"/>
        </w:tabs>
        <w:spacing w:before="0" w:after="0"/>
        <w:jc w:val="both"/>
        <w:rPr>
          <w:sz w:val="28"/>
          <w:szCs w:val="28"/>
        </w:rPr>
      </w:pPr>
      <w:r w:rsidRPr="006C52A5">
        <w:rPr>
          <w:sz w:val="28"/>
          <w:szCs w:val="28"/>
        </w:rPr>
        <w:t xml:space="preserve">Anotācijas </w:t>
      </w:r>
      <w:r w:rsidR="00E60539" w:rsidRPr="006C52A5">
        <w:rPr>
          <w:sz w:val="28"/>
          <w:szCs w:val="28"/>
        </w:rPr>
        <w:t xml:space="preserve">IV un </w:t>
      </w:r>
      <w:r w:rsidRPr="006C52A5">
        <w:rPr>
          <w:sz w:val="28"/>
          <w:szCs w:val="28"/>
        </w:rPr>
        <w:t xml:space="preserve">V sadaļa – </w:t>
      </w:r>
      <w:r w:rsidR="004F6191" w:rsidRPr="006C52A5">
        <w:rPr>
          <w:sz w:val="28"/>
          <w:szCs w:val="28"/>
        </w:rPr>
        <w:t xml:space="preserve">projekts </w:t>
      </w:r>
      <w:r w:rsidR="00402FE1" w:rsidRPr="006C52A5">
        <w:rPr>
          <w:sz w:val="28"/>
          <w:szCs w:val="28"/>
        </w:rPr>
        <w:t xml:space="preserve">šo jomu </w:t>
      </w:r>
      <w:r w:rsidR="004F6191" w:rsidRPr="006C52A5">
        <w:rPr>
          <w:sz w:val="28"/>
          <w:szCs w:val="28"/>
        </w:rPr>
        <w:t>neskar</w:t>
      </w:r>
      <w:r w:rsidR="00A53B80" w:rsidRPr="006C52A5">
        <w:rPr>
          <w:sz w:val="28"/>
          <w:szCs w:val="28"/>
        </w:rPr>
        <w:t>.</w:t>
      </w:r>
    </w:p>
    <w:p w:rsidR="007A3877" w:rsidRPr="006C52A5" w:rsidRDefault="007A3877" w:rsidP="00D53978">
      <w:pPr>
        <w:pStyle w:val="naiskr"/>
        <w:tabs>
          <w:tab w:val="left" w:pos="2628"/>
        </w:tabs>
        <w:spacing w:before="0" w:after="0"/>
        <w:jc w:val="both"/>
        <w:rPr>
          <w:sz w:val="28"/>
          <w:szCs w:val="28"/>
        </w:rPr>
      </w:pPr>
    </w:p>
    <w:p w:rsidR="00214094" w:rsidRPr="006C52A5" w:rsidRDefault="00214094" w:rsidP="00D53978">
      <w:pPr>
        <w:pStyle w:val="naisf"/>
        <w:tabs>
          <w:tab w:val="left" w:pos="5760"/>
        </w:tabs>
        <w:spacing w:before="0" w:after="0"/>
        <w:ind w:firstLine="0"/>
        <w:rPr>
          <w:sz w:val="28"/>
          <w:szCs w:val="28"/>
        </w:rPr>
      </w:pPr>
    </w:p>
    <w:p w:rsidR="008D5DC0" w:rsidRPr="006C52A5" w:rsidRDefault="000E1DCC" w:rsidP="00D53978">
      <w:pPr>
        <w:pStyle w:val="naisf"/>
        <w:spacing w:before="0" w:after="0"/>
        <w:ind w:firstLine="0"/>
        <w:rPr>
          <w:sz w:val="28"/>
          <w:szCs w:val="28"/>
        </w:rPr>
      </w:pPr>
      <w:r w:rsidRPr="006C52A5">
        <w:rPr>
          <w:sz w:val="28"/>
          <w:szCs w:val="28"/>
        </w:rPr>
        <w:t>Ministru prezidents</w:t>
      </w:r>
      <w:r w:rsidR="008B4323" w:rsidRPr="006C52A5">
        <w:rPr>
          <w:sz w:val="28"/>
          <w:szCs w:val="28"/>
        </w:rPr>
        <w:t xml:space="preserve"> </w:t>
      </w:r>
      <w:r w:rsidR="008B4323" w:rsidRPr="006C52A5">
        <w:rPr>
          <w:sz w:val="28"/>
          <w:szCs w:val="28"/>
        </w:rPr>
        <w:tab/>
      </w:r>
      <w:r w:rsidR="008B4323" w:rsidRPr="006C52A5">
        <w:rPr>
          <w:sz w:val="28"/>
          <w:szCs w:val="28"/>
        </w:rPr>
        <w:tab/>
      </w:r>
      <w:r w:rsidR="008B4323" w:rsidRPr="006C52A5">
        <w:rPr>
          <w:sz w:val="28"/>
          <w:szCs w:val="28"/>
        </w:rPr>
        <w:tab/>
      </w:r>
      <w:r w:rsidR="008B4323" w:rsidRPr="006C52A5">
        <w:rPr>
          <w:sz w:val="28"/>
          <w:szCs w:val="28"/>
        </w:rPr>
        <w:tab/>
      </w:r>
      <w:r w:rsidR="008B4323" w:rsidRPr="006C52A5">
        <w:rPr>
          <w:sz w:val="28"/>
          <w:szCs w:val="28"/>
        </w:rPr>
        <w:tab/>
      </w:r>
      <w:r w:rsidR="008B4323" w:rsidRPr="006C52A5">
        <w:rPr>
          <w:sz w:val="28"/>
          <w:szCs w:val="28"/>
        </w:rPr>
        <w:tab/>
      </w:r>
      <w:r w:rsidR="008B4323" w:rsidRPr="006C52A5">
        <w:rPr>
          <w:sz w:val="28"/>
          <w:szCs w:val="28"/>
        </w:rPr>
        <w:tab/>
      </w:r>
      <w:r w:rsidRPr="006C52A5">
        <w:rPr>
          <w:sz w:val="28"/>
          <w:szCs w:val="28"/>
        </w:rPr>
        <w:t>M</w:t>
      </w:r>
      <w:r w:rsidR="008D5DC0" w:rsidRPr="006C52A5">
        <w:rPr>
          <w:sz w:val="28"/>
          <w:szCs w:val="28"/>
        </w:rPr>
        <w:t>.</w:t>
      </w:r>
      <w:r w:rsidRPr="006C52A5">
        <w:rPr>
          <w:sz w:val="28"/>
          <w:szCs w:val="28"/>
        </w:rPr>
        <w:t>Kučinskis</w:t>
      </w:r>
    </w:p>
    <w:p w:rsidR="008D5DC0" w:rsidRPr="006C52A5" w:rsidRDefault="008D5DC0" w:rsidP="00D53978">
      <w:pPr>
        <w:pStyle w:val="naisf"/>
        <w:spacing w:before="0" w:after="0"/>
        <w:ind w:firstLine="0"/>
        <w:rPr>
          <w:sz w:val="28"/>
          <w:szCs w:val="28"/>
        </w:rPr>
      </w:pPr>
    </w:p>
    <w:p w:rsidR="009C1787" w:rsidRPr="006C52A5" w:rsidRDefault="009C1787" w:rsidP="00D53978">
      <w:pPr>
        <w:pStyle w:val="naisf"/>
        <w:spacing w:before="0" w:after="0"/>
        <w:ind w:firstLine="0"/>
        <w:rPr>
          <w:sz w:val="28"/>
          <w:szCs w:val="28"/>
        </w:rPr>
      </w:pPr>
    </w:p>
    <w:p w:rsidR="008D5DC0" w:rsidRPr="006C52A5" w:rsidRDefault="000E1DCC" w:rsidP="00D53978">
      <w:pPr>
        <w:pStyle w:val="naisf"/>
        <w:spacing w:before="0" w:after="0"/>
        <w:ind w:firstLine="0"/>
        <w:rPr>
          <w:sz w:val="28"/>
          <w:szCs w:val="28"/>
        </w:rPr>
      </w:pPr>
      <w:r w:rsidRPr="006C52A5">
        <w:rPr>
          <w:sz w:val="28"/>
          <w:szCs w:val="28"/>
        </w:rPr>
        <w:t>Finanšu ministre</w:t>
      </w:r>
      <w:r w:rsidR="008B4323" w:rsidRPr="006C52A5">
        <w:rPr>
          <w:sz w:val="28"/>
          <w:szCs w:val="28"/>
        </w:rPr>
        <w:t xml:space="preserve"> </w:t>
      </w:r>
      <w:r w:rsidRPr="006C52A5">
        <w:rPr>
          <w:sz w:val="28"/>
          <w:szCs w:val="28"/>
        </w:rPr>
        <w:tab/>
      </w:r>
      <w:r w:rsidRPr="006C52A5">
        <w:rPr>
          <w:sz w:val="28"/>
          <w:szCs w:val="28"/>
        </w:rPr>
        <w:tab/>
      </w:r>
      <w:r w:rsidRPr="006C52A5">
        <w:rPr>
          <w:sz w:val="28"/>
          <w:szCs w:val="28"/>
        </w:rPr>
        <w:tab/>
      </w:r>
      <w:r w:rsidRPr="006C52A5">
        <w:rPr>
          <w:sz w:val="28"/>
          <w:szCs w:val="28"/>
        </w:rPr>
        <w:tab/>
      </w:r>
      <w:r w:rsidRPr="006C52A5">
        <w:rPr>
          <w:sz w:val="28"/>
          <w:szCs w:val="28"/>
        </w:rPr>
        <w:tab/>
      </w:r>
      <w:r w:rsidRPr="006C52A5">
        <w:rPr>
          <w:sz w:val="28"/>
          <w:szCs w:val="28"/>
        </w:rPr>
        <w:tab/>
      </w:r>
      <w:r w:rsidRPr="006C52A5">
        <w:rPr>
          <w:sz w:val="28"/>
          <w:szCs w:val="28"/>
        </w:rPr>
        <w:tab/>
        <w:t>D</w:t>
      </w:r>
      <w:r w:rsidR="006D6112" w:rsidRPr="006C52A5">
        <w:rPr>
          <w:sz w:val="28"/>
          <w:szCs w:val="28"/>
        </w:rPr>
        <w:t>.</w:t>
      </w:r>
      <w:r w:rsidR="00BD78E0" w:rsidRPr="006C52A5">
        <w:rPr>
          <w:sz w:val="28"/>
          <w:szCs w:val="28"/>
        </w:rPr>
        <w:t>Rei</w:t>
      </w:r>
      <w:r w:rsidRPr="006C52A5">
        <w:rPr>
          <w:sz w:val="28"/>
          <w:szCs w:val="28"/>
        </w:rPr>
        <w:t>zniece-Ozola</w:t>
      </w:r>
    </w:p>
    <w:p w:rsidR="008D5DC0" w:rsidRPr="006C52A5" w:rsidRDefault="008D5DC0" w:rsidP="00D53978">
      <w:pPr>
        <w:pStyle w:val="naisf"/>
        <w:spacing w:before="0" w:after="0"/>
        <w:ind w:firstLine="0"/>
        <w:rPr>
          <w:sz w:val="28"/>
          <w:szCs w:val="28"/>
        </w:rPr>
      </w:pPr>
    </w:p>
    <w:p w:rsidR="008D5DC0" w:rsidRPr="006C52A5" w:rsidRDefault="008D5DC0" w:rsidP="00D53978">
      <w:pPr>
        <w:pStyle w:val="BodyText"/>
        <w:jc w:val="left"/>
        <w:rPr>
          <w:szCs w:val="28"/>
        </w:rPr>
      </w:pPr>
    </w:p>
    <w:p w:rsidR="00041B28" w:rsidRDefault="000E1DCC" w:rsidP="00D53978">
      <w:r w:rsidRPr="006C52A5">
        <w:t>Štendenberga</w:t>
      </w:r>
      <w:r w:rsidR="00041B28">
        <w:t xml:space="preserve"> </w:t>
      </w:r>
      <w:r w:rsidR="00EB4100" w:rsidRPr="006C52A5">
        <w:t>67</w:t>
      </w:r>
      <w:r w:rsidR="00EC0F2E" w:rsidRPr="006C52A5">
        <w:t>12024</w:t>
      </w:r>
      <w:r w:rsidRPr="006C52A5">
        <w:t>3</w:t>
      </w:r>
      <w:r w:rsidR="008D5DC0" w:rsidRPr="006C52A5">
        <w:t xml:space="preserve"> </w:t>
      </w:r>
    </w:p>
    <w:p w:rsidR="00685ABC" w:rsidRPr="006C52A5" w:rsidRDefault="00D44580" w:rsidP="00D53978">
      <w:pPr>
        <w:rPr>
          <w:sz w:val="28"/>
          <w:szCs w:val="28"/>
        </w:rPr>
      </w:pPr>
      <w:hyperlink r:id="rId12" w:history="1">
        <w:r w:rsidR="00041B28">
          <w:rPr>
            <w:rStyle w:val="Hyperlink"/>
            <w:color w:val="0070C0"/>
          </w:rPr>
          <w:t>s</w:t>
        </w:r>
        <w:r w:rsidR="000E1DCC" w:rsidRPr="00FD1EEA">
          <w:rPr>
            <w:rStyle w:val="Hyperlink"/>
            <w:color w:val="0070C0"/>
          </w:rPr>
          <w:t>anita.</w:t>
        </w:r>
        <w:r w:rsidR="00041B28">
          <w:rPr>
            <w:rStyle w:val="Hyperlink"/>
            <w:color w:val="0070C0"/>
          </w:rPr>
          <w:t>s</w:t>
        </w:r>
        <w:r w:rsidR="000E1DCC" w:rsidRPr="00FD1EEA">
          <w:rPr>
            <w:rStyle w:val="Hyperlink"/>
            <w:color w:val="0070C0"/>
          </w:rPr>
          <w:t>tendenberga@vid.gov.lv</w:t>
        </w:r>
      </w:hyperlink>
    </w:p>
    <w:sectPr w:rsidR="00685ABC" w:rsidRPr="006C52A5" w:rsidSect="00B55214">
      <w:headerReference w:type="even" r:id="rId13"/>
      <w:headerReference w:type="default" r:id="rId14"/>
      <w:footerReference w:type="default" r:id="rId15"/>
      <w:footerReference w:type="first" r:id="rId16"/>
      <w:pgSz w:w="11906" w:h="16838" w:code="9"/>
      <w:pgMar w:top="1134" w:right="849"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80" w:rsidRDefault="00D44580">
      <w:r>
        <w:separator/>
      </w:r>
    </w:p>
  </w:endnote>
  <w:endnote w:type="continuationSeparator" w:id="0">
    <w:p w:rsidR="00D44580" w:rsidRDefault="00D4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79" w:rsidRPr="00041B28" w:rsidRDefault="00041B28" w:rsidP="00041B28">
    <w:pPr>
      <w:pStyle w:val="NormalWeb"/>
      <w:spacing w:before="0" w:beforeAutospacing="0" w:after="0" w:afterAutospacing="0"/>
      <w:jc w:val="both"/>
      <w:rPr>
        <w:b/>
        <w:sz w:val="18"/>
        <w:szCs w:val="18"/>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FMAnot_0</w:t>
    </w:r>
    <w:r w:rsidR="00D02E7B">
      <w:rPr>
        <w:noProof/>
        <w:sz w:val="18"/>
        <w:szCs w:val="18"/>
      </w:rPr>
      <w:t>9</w:t>
    </w:r>
    <w:r>
      <w:rPr>
        <w:noProof/>
        <w:sz w:val="18"/>
        <w:szCs w:val="18"/>
      </w:rPr>
      <w:t>122016</w:t>
    </w:r>
    <w:r>
      <w:rPr>
        <w:sz w:val="18"/>
        <w:szCs w:val="18"/>
      </w:rPr>
      <w:fldChar w:fldCharType="end"/>
    </w:r>
    <w:r>
      <w:rPr>
        <w:sz w:val="18"/>
        <w:szCs w:val="18"/>
      </w:rPr>
      <w:t>_MK778groz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79" w:rsidRPr="00765F6E" w:rsidRDefault="002B3079" w:rsidP="00D01D51">
    <w:pPr>
      <w:pStyle w:val="NormalWeb"/>
      <w:spacing w:before="0" w:beforeAutospacing="0" w:after="0" w:afterAutospacing="0"/>
      <w:jc w:val="both"/>
      <w:rPr>
        <w:b/>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A71EE5">
      <w:rPr>
        <w:noProof/>
        <w:sz w:val="18"/>
        <w:szCs w:val="18"/>
      </w:rPr>
      <w:t>FMAnot_</w:t>
    </w:r>
    <w:r w:rsidR="00041B28">
      <w:rPr>
        <w:noProof/>
        <w:sz w:val="18"/>
        <w:szCs w:val="18"/>
      </w:rPr>
      <w:t>0</w:t>
    </w:r>
    <w:r w:rsidR="00D02E7B">
      <w:rPr>
        <w:noProof/>
        <w:sz w:val="18"/>
        <w:szCs w:val="18"/>
      </w:rPr>
      <w:t>9</w:t>
    </w:r>
    <w:r w:rsidR="00041B28">
      <w:rPr>
        <w:noProof/>
        <w:sz w:val="18"/>
        <w:szCs w:val="18"/>
      </w:rPr>
      <w:t>122016</w:t>
    </w:r>
    <w:r>
      <w:rPr>
        <w:sz w:val="18"/>
        <w:szCs w:val="18"/>
      </w:rPr>
      <w:fldChar w:fldCharType="end"/>
    </w:r>
    <w:r w:rsidR="00041B28">
      <w:rPr>
        <w:sz w:val="18"/>
        <w:szCs w:val="18"/>
      </w:rPr>
      <w:t>_MK778groz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80" w:rsidRDefault="00D44580">
      <w:r>
        <w:separator/>
      </w:r>
    </w:p>
  </w:footnote>
  <w:footnote w:type="continuationSeparator" w:id="0">
    <w:p w:rsidR="00D44580" w:rsidRDefault="00D4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79" w:rsidRDefault="002B307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079" w:rsidRDefault="002B3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79" w:rsidRDefault="002B307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2E7B">
      <w:rPr>
        <w:rStyle w:val="PageNumber"/>
        <w:noProof/>
      </w:rPr>
      <w:t>6</w:t>
    </w:r>
    <w:r>
      <w:rPr>
        <w:rStyle w:val="PageNumber"/>
      </w:rPr>
      <w:fldChar w:fldCharType="end"/>
    </w:r>
  </w:p>
  <w:p w:rsidR="002B3079" w:rsidRDefault="002B3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571E33"/>
    <w:multiLevelType w:val="hybridMultilevel"/>
    <w:tmpl w:val="D3865A0E"/>
    <w:lvl w:ilvl="0" w:tplc="EACAD464">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43513493"/>
    <w:multiLevelType w:val="hybridMultilevel"/>
    <w:tmpl w:val="0660EC44"/>
    <w:lvl w:ilvl="0" w:tplc="441A195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A137551"/>
    <w:multiLevelType w:val="hybridMultilevel"/>
    <w:tmpl w:val="845087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3"/>
  </w:num>
  <w:num w:numId="4">
    <w:abstractNumId w:val="1"/>
  </w:num>
  <w:num w:numId="5">
    <w:abstractNumId w:val="0"/>
  </w:num>
  <w:num w:numId="6">
    <w:abstractNumId w:val="11"/>
  </w:num>
  <w:num w:numId="7">
    <w:abstractNumId w:val="15"/>
  </w:num>
  <w:num w:numId="8">
    <w:abstractNumId w:val="7"/>
  </w:num>
  <w:num w:numId="9">
    <w:abstractNumId w:val="2"/>
  </w:num>
  <w:num w:numId="10">
    <w:abstractNumId w:val="8"/>
  </w:num>
  <w:num w:numId="11">
    <w:abstractNumId w:val="9"/>
  </w:num>
  <w:num w:numId="12">
    <w:abstractNumId w:val="12"/>
  </w:num>
  <w:num w:numId="13">
    <w:abstractNumId w:val="13"/>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6FF"/>
    <w:rsid w:val="00004BBC"/>
    <w:rsid w:val="00006A57"/>
    <w:rsid w:val="0000729E"/>
    <w:rsid w:val="000100F8"/>
    <w:rsid w:val="000116E4"/>
    <w:rsid w:val="00011D24"/>
    <w:rsid w:val="0001267A"/>
    <w:rsid w:val="00013FF4"/>
    <w:rsid w:val="0001488A"/>
    <w:rsid w:val="0001731A"/>
    <w:rsid w:val="00020CBF"/>
    <w:rsid w:val="00020FE1"/>
    <w:rsid w:val="000217AB"/>
    <w:rsid w:val="00021E01"/>
    <w:rsid w:val="00022E13"/>
    <w:rsid w:val="00025559"/>
    <w:rsid w:val="00027041"/>
    <w:rsid w:val="00032388"/>
    <w:rsid w:val="000346F2"/>
    <w:rsid w:val="00035CE2"/>
    <w:rsid w:val="00036801"/>
    <w:rsid w:val="00036D95"/>
    <w:rsid w:val="00041B28"/>
    <w:rsid w:val="00043AE6"/>
    <w:rsid w:val="00043EBD"/>
    <w:rsid w:val="00044337"/>
    <w:rsid w:val="0005040F"/>
    <w:rsid w:val="0005376D"/>
    <w:rsid w:val="00053BEB"/>
    <w:rsid w:val="00054846"/>
    <w:rsid w:val="0005553B"/>
    <w:rsid w:val="00060499"/>
    <w:rsid w:val="000604D2"/>
    <w:rsid w:val="00061A6A"/>
    <w:rsid w:val="000628BD"/>
    <w:rsid w:val="00064894"/>
    <w:rsid w:val="000667D4"/>
    <w:rsid w:val="0007247A"/>
    <w:rsid w:val="000739DB"/>
    <w:rsid w:val="0007654F"/>
    <w:rsid w:val="000767C5"/>
    <w:rsid w:val="00081BEE"/>
    <w:rsid w:val="0009005E"/>
    <w:rsid w:val="00093F3B"/>
    <w:rsid w:val="000941C5"/>
    <w:rsid w:val="00094903"/>
    <w:rsid w:val="000A04F0"/>
    <w:rsid w:val="000A26DA"/>
    <w:rsid w:val="000A3B4D"/>
    <w:rsid w:val="000A6451"/>
    <w:rsid w:val="000A712C"/>
    <w:rsid w:val="000B0386"/>
    <w:rsid w:val="000B064E"/>
    <w:rsid w:val="000B69CF"/>
    <w:rsid w:val="000B6BD9"/>
    <w:rsid w:val="000B6E09"/>
    <w:rsid w:val="000B6ECD"/>
    <w:rsid w:val="000C0CC9"/>
    <w:rsid w:val="000C1930"/>
    <w:rsid w:val="000C5072"/>
    <w:rsid w:val="000C5BE3"/>
    <w:rsid w:val="000C790C"/>
    <w:rsid w:val="000C7D72"/>
    <w:rsid w:val="000C7F0D"/>
    <w:rsid w:val="000D4C72"/>
    <w:rsid w:val="000D5314"/>
    <w:rsid w:val="000D5E27"/>
    <w:rsid w:val="000D774B"/>
    <w:rsid w:val="000D77B9"/>
    <w:rsid w:val="000E1DCC"/>
    <w:rsid w:val="000E317E"/>
    <w:rsid w:val="000E6504"/>
    <w:rsid w:val="000F061D"/>
    <w:rsid w:val="000F3C6E"/>
    <w:rsid w:val="000F437B"/>
    <w:rsid w:val="000F4794"/>
    <w:rsid w:val="000F4FFA"/>
    <w:rsid w:val="000F509B"/>
    <w:rsid w:val="0010040B"/>
    <w:rsid w:val="00100B22"/>
    <w:rsid w:val="001025B6"/>
    <w:rsid w:val="001029F7"/>
    <w:rsid w:val="00102EAD"/>
    <w:rsid w:val="001057CB"/>
    <w:rsid w:val="00105EFB"/>
    <w:rsid w:val="0011520D"/>
    <w:rsid w:val="00124EA5"/>
    <w:rsid w:val="00124F12"/>
    <w:rsid w:val="0013261B"/>
    <w:rsid w:val="00142C7C"/>
    <w:rsid w:val="00143CFA"/>
    <w:rsid w:val="00143F74"/>
    <w:rsid w:val="00144E3A"/>
    <w:rsid w:val="0014700A"/>
    <w:rsid w:val="00147107"/>
    <w:rsid w:val="0015060C"/>
    <w:rsid w:val="00152C1D"/>
    <w:rsid w:val="00153581"/>
    <w:rsid w:val="0016018A"/>
    <w:rsid w:val="00161110"/>
    <w:rsid w:val="001617BD"/>
    <w:rsid w:val="00161F0E"/>
    <w:rsid w:val="00162C35"/>
    <w:rsid w:val="00166AF9"/>
    <w:rsid w:val="00167C4E"/>
    <w:rsid w:val="00170E2A"/>
    <w:rsid w:val="00171676"/>
    <w:rsid w:val="00174E3B"/>
    <w:rsid w:val="00176156"/>
    <w:rsid w:val="00177394"/>
    <w:rsid w:val="00177983"/>
    <w:rsid w:val="00181C4F"/>
    <w:rsid w:val="00182C18"/>
    <w:rsid w:val="00183CC2"/>
    <w:rsid w:val="001862F0"/>
    <w:rsid w:val="0018646C"/>
    <w:rsid w:val="001900E4"/>
    <w:rsid w:val="001908CE"/>
    <w:rsid w:val="00190F88"/>
    <w:rsid w:val="00191726"/>
    <w:rsid w:val="00191848"/>
    <w:rsid w:val="001A28F2"/>
    <w:rsid w:val="001A4066"/>
    <w:rsid w:val="001A5D17"/>
    <w:rsid w:val="001A60F2"/>
    <w:rsid w:val="001A6AE4"/>
    <w:rsid w:val="001B01FD"/>
    <w:rsid w:val="001B0D62"/>
    <w:rsid w:val="001B24E1"/>
    <w:rsid w:val="001B2CF5"/>
    <w:rsid w:val="001B4A71"/>
    <w:rsid w:val="001C0A2F"/>
    <w:rsid w:val="001C1F98"/>
    <w:rsid w:val="001C26F1"/>
    <w:rsid w:val="001C4C5A"/>
    <w:rsid w:val="001C5DC7"/>
    <w:rsid w:val="001C6876"/>
    <w:rsid w:val="001C6A46"/>
    <w:rsid w:val="001D1463"/>
    <w:rsid w:val="001D467D"/>
    <w:rsid w:val="001D5B54"/>
    <w:rsid w:val="001D705C"/>
    <w:rsid w:val="001D75D0"/>
    <w:rsid w:val="001E0BD5"/>
    <w:rsid w:val="001E0D62"/>
    <w:rsid w:val="001E1DBF"/>
    <w:rsid w:val="001E25FC"/>
    <w:rsid w:val="001E4639"/>
    <w:rsid w:val="001E4A7D"/>
    <w:rsid w:val="001E55FA"/>
    <w:rsid w:val="001E7834"/>
    <w:rsid w:val="001E7981"/>
    <w:rsid w:val="001E7AD5"/>
    <w:rsid w:val="001F397F"/>
    <w:rsid w:val="001F4209"/>
    <w:rsid w:val="001F43A8"/>
    <w:rsid w:val="001F5CD6"/>
    <w:rsid w:val="001F5FF7"/>
    <w:rsid w:val="00211EBE"/>
    <w:rsid w:val="002120FF"/>
    <w:rsid w:val="0021263D"/>
    <w:rsid w:val="00213B2E"/>
    <w:rsid w:val="00213E33"/>
    <w:rsid w:val="00213F0C"/>
    <w:rsid w:val="00214094"/>
    <w:rsid w:val="0021592D"/>
    <w:rsid w:val="0021634B"/>
    <w:rsid w:val="002211A1"/>
    <w:rsid w:val="00222D76"/>
    <w:rsid w:val="00223EB1"/>
    <w:rsid w:val="00230B9A"/>
    <w:rsid w:val="00231344"/>
    <w:rsid w:val="00232B0C"/>
    <w:rsid w:val="0023436E"/>
    <w:rsid w:val="002347C0"/>
    <w:rsid w:val="00236738"/>
    <w:rsid w:val="0024170D"/>
    <w:rsid w:val="00241900"/>
    <w:rsid w:val="00241A6C"/>
    <w:rsid w:val="00242D2B"/>
    <w:rsid w:val="002459DE"/>
    <w:rsid w:val="002509EA"/>
    <w:rsid w:val="002513B7"/>
    <w:rsid w:val="002547E3"/>
    <w:rsid w:val="00257A70"/>
    <w:rsid w:val="00262E2B"/>
    <w:rsid w:val="00270429"/>
    <w:rsid w:val="0027082C"/>
    <w:rsid w:val="002723E9"/>
    <w:rsid w:val="0027690A"/>
    <w:rsid w:val="00277929"/>
    <w:rsid w:val="00281AA8"/>
    <w:rsid w:val="00283B82"/>
    <w:rsid w:val="002846E9"/>
    <w:rsid w:val="00284C34"/>
    <w:rsid w:val="00285832"/>
    <w:rsid w:val="0029066C"/>
    <w:rsid w:val="002911D1"/>
    <w:rsid w:val="002A2173"/>
    <w:rsid w:val="002A277D"/>
    <w:rsid w:val="002A2A80"/>
    <w:rsid w:val="002A400B"/>
    <w:rsid w:val="002A4A6D"/>
    <w:rsid w:val="002A5708"/>
    <w:rsid w:val="002A7528"/>
    <w:rsid w:val="002B3079"/>
    <w:rsid w:val="002B50DB"/>
    <w:rsid w:val="002B65E9"/>
    <w:rsid w:val="002B721C"/>
    <w:rsid w:val="002B780F"/>
    <w:rsid w:val="002C12AB"/>
    <w:rsid w:val="002C61CF"/>
    <w:rsid w:val="002C7CAC"/>
    <w:rsid w:val="002D3306"/>
    <w:rsid w:val="002D48AA"/>
    <w:rsid w:val="002D7BAA"/>
    <w:rsid w:val="002D7F54"/>
    <w:rsid w:val="002E0CDD"/>
    <w:rsid w:val="002E1A5C"/>
    <w:rsid w:val="002E2766"/>
    <w:rsid w:val="002E3FF4"/>
    <w:rsid w:val="002E4848"/>
    <w:rsid w:val="002E5F62"/>
    <w:rsid w:val="002E6370"/>
    <w:rsid w:val="002F23F2"/>
    <w:rsid w:val="002F2B83"/>
    <w:rsid w:val="002F31FE"/>
    <w:rsid w:val="002F479C"/>
    <w:rsid w:val="002F4D16"/>
    <w:rsid w:val="002F55D0"/>
    <w:rsid w:val="002F62B4"/>
    <w:rsid w:val="002F76C2"/>
    <w:rsid w:val="002F78C8"/>
    <w:rsid w:val="00301CF3"/>
    <w:rsid w:val="003040AB"/>
    <w:rsid w:val="00305479"/>
    <w:rsid w:val="0030559D"/>
    <w:rsid w:val="003068D3"/>
    <w:rsid w:val="00311858"/>
    <w:rsid w:val="00313404"/>
    <w:rsid w:val="003150A0"/>
    <w:rsid w:val="00320DDE"/>
    <w:rsid w:val="00321F82"/>
    <w:rsid w:val="003228FD"/>
    <w:rsid w:val="00324351"/>
    <w:rsid w:val="0032715C"/>
    <w:rsid w:val="003279D7"/>
    <w:rsid w:val="00334DD7"/>
    <w:rsid w:val="00336DBF"/>
    <w:rsid w:val="00336EBB"/>
    <w:rsid w:val="00337CA5"/>
    <w:rsid w:val="00340631"/>
    <w:rsid w:val="0034079E"/>
    <w:rsid w:val="00341A8E"/>
    <w:rsid w:val="003444AC"/>
    <w:rsid w:val="00345BDC"/>
    <w:rsid w:val="00345F1A"/>
    <w:rsid w:val="00347BE8"/>
    <w:rsid w:val="00350A84"/>
    <w:rsid w:val="00350AEA"/>
    <w:rsid w:val="00352C40"/>
    <w:rsid w:val="003533BB"/>
    <w:rsid w:val="0035751F"/>
    <w:rsid w:val="00362478"/>
    <w:rsid w:val="00366E1F"/>
    <w:rsid w:val="00373068"/>
    <w:rsid w:val="003743D6"/>
    <w:rsid w:val="00375108"/>
    <w:rsid w:val="003756FA"/>
    <w:rsid w:val="00375B25"/>
    <w:rsid w:val="00380425"/>
    <w:rsid w:val="0038132C"/>
    <w:rsid w:val="00381DA9"/>
    <w:rsid w:val="00383326"/>
    <w:rsid w:val="00383508"/>
    <w:rsid w:val="00390EB5"/>
    <w:rsid w:val="003911AA"/>
    <w:rsid w:val="00391C8C"/>
    <w:rsid w:val="00396542"/>
    <w:rsid w:val="0039685B"/>
    <w:rsid w:val="00396AB4"/>
    <w:rsid w:val="003A04AD"/>
    <w:rsid w:val="003A0FE2"/>
    <w:rsid w:val="003A1904"/>
    <w:rsid w:val="003A31A6"/>
    <w:rsid w:val="003A7F0C"/>
    <w:rsid w:val="003A7F79"/>
    <w:rsid w:val="003B4550"/>
    <w:rsid w:val="003B5AC7"/>
    <w:rsid w:val="003B6404"/>
    <w:rsid w:val="003B71EF"/>
    <w:rsid w:val="003C0785"/>
    <w:rsid w:val="003C449B"/>
    <w:rsid w:val="003C57A0"/>
    <w:rsid w:val="003C78B5"/>
    <w:rsid w:val="003D00C1"/>
    <w:rsid w:val="003D1D37"/>
    <w:rsid w:val="003D21FF"/>
    <w:rsid w:val="003D2C7A"/>
    <w:rsid w:val="003D3266"/>
    <w:rsid w:val="003E0798"/>
    <w:rsid w:val="003E4F17"/>
    <w:rsid w:val="003F0112"/>
    <w:rsid w:val="003F071A"/>
    <w:rsid w:val="003F160B"/>
    <w:rsid w:val="003F5D29"/>
    <w:rsid w:val="003F5F9F"/>
    <w:rsid w:val="003F73F6"/>
    <w:rsid w:val="00400032"/>
    <w:rsid w:val="00400B5B"/>
    <w:rsid w:val="00402FE1"/>
    <w:rsid w:val="00405729"/>
    <w:rsid w:val="00405A00"/>
    <w:rsid w:val="00414CCE"/>
    <w:rsid w:val="00415241"/>
    <w:rsid w:val="00416FB3"/>
    <w:rsid w:val="00420870"/>
    <w:rsid w:val="00425225"/>
    <w:rsid w:val="004311B8"/>
    <w:rsid w:val="00432D0C"/>
    <w:rsid w:val="004349C9"/>
    <w:rsid w:val="00434A71"/>
    <w:rsid w:val="0043694F"/>
    <w:rsid w:val="00436AA4"/>
    <w:rsid w:val="0043791B"/>
    <w:rsid w:val="00441444"/>
    <w:rsid w:val="00441483"/>
    <w:rsid w:val="00441A4D"/>
    <w:rsid w:val="00441BCB"/>
    <w:rsid w:val="00442E4B"/>
    <w:rsid w:val="00442E96"/>
    <w:rsid w:val="00446232"/>
    <w:rsid w:val="0044625B"/>
    <w:rsid w:val="0045176A"/>
    <w:rsid w:val="00456332"/>
    <w:rsid w:val="00457A8D"/>
    <w:rsid w:val="00457EE6"/>
    <w:rsid w:val="004613C6"/>
    <w:rsid w:val="00461826"/>
    <w:rsid w:val="00463FFC"/>
    <w:rsid w:val="00466468"/>
    <w:rsid w:val="00467447"/>
    <w:rsid w:val="00472424"/>
    <w:rsid w:val="00474DE3"/>
    <w:rsid w:val="004755DC"/>
    <w:rsid w:val="0047691D"/>
    <w:rsid w:val="00476954"/>
    <w:rsid w:val="004800F9"/>
    <w:rsid w:val="00486383"/>
    <w:rsid w:val="00487CAB"/>
    <w:rsid w:val="00490220"/>
    <w:rsid w:val="0049068D"/>
    <w:rsid w:val="0049134A"/>
    <w:rsid w:val="00493EB6"/>
    <w:rsid w:val="00497166"/>
    <w:rsid w:val="0049730F"/>
    <w:rsid w:val="004A1DA3"/>
    <w:rsid w:val="004A58CB"/>
    <w:rsid w:val="004A5BA6"/>
    <w:rsid w:val="004A62A9"/>
    <w:rsid w:val="004A68C0"/>
    <w:rsid w:val="004B1795"/>
    <w:rsid w:val="004B4D59"/>
    <w:rsid w:val="004B56DD"/>
    <w:rsid w:val="004B60C8"/>
    <w:rsid w:val="004C020F"/>
    <w:rsid w:val="004C0A03"/>
    <w:rsid w:val="004C0FEC"/>
    <w:rsid w:val="004C1AFD"/>
    <w:rsid w:val="004C2E44"/>
    <w:rsid w:val="004C3E25"/>
    <w:rsid w:val="004C45E5"/>
    <w:rsid w:val="004C4906"/>
    <w:rsid w:val="004C558B"/>
    <w:rsid w:val="004C68EF"/>
    <w:rsid w:val="004D0677"/>
    <w:rsid w:val="004D14DD"/>
    <w:rsid w:val="004E20D5"/>
    <w:rsid w:val="004E65CF"/>
    <w:rsid w:val="004E730C"/>
    <w:rsid w:val="004F185C"/>
    <w:rsid w:val="004F1F88"/>
    <w:rsid w:val="004F5DF1"/>
    <w:rsid w:val="004F5F1B"/>
    <w:rsid w:val="004F6191"/>
    <w:rsid w:val="00502374"/>
    <w:rsid w:val="00502C7B"/>
    <w:rsid w:val="00503C7C"/>
    <w:rsid w:val="005060A1"/>
    <w:rsid w:val="00511334"/>
    <w:rsid w:val="0051378D"/>
    <w:rsid w:val="00516072"/>
    <w:rsid w:val="0051718D"/>
    <w:rsid w:val="00521B59"/>
    <w:rsid w:val="00524FDA"/>
    <w:rsid w:val="00527CAD"/>
    <w:rsid w:val="005302A3"/>
    <w:rsid w:val="005332EC"/>
    <w:rsid w:val="00534418"/>
    <w:rsid w:val="005353AB"/>
    <w:rsid w:val="005370FE"/>
    <w:rsid w:val="005371C6"/>
    <w:rsid w:val="005452D0"/>
    <w:rsid w:val="00545CD1"/>
    <w:rsid w:val="005460E9"/>
    <w:rsid w:val="005468D2"/>
    <w:rsid w:val="005478D3"/>
    <w:rsid w:val="00551CA2"/>
    <w:rsid w:val="00552255"/>
    <w:rsid w:val="00554EFC"/>
    <w:rsid w:val="005560BC"/>
    <w:rsid w:val="005571CE"/>
    <w:rsid w:val="005573BE"/>
    <w:rsid w:val="005603B4"/>
    <w:rsid w:val="005615AD"/>
    <w:rsid w:val="0056344D"/>
    <w:rsid w:val="00570996"/>
    <w:rsid w:val="00572700"/>
    <w:rsid w:val="00573937"/>
    <w:rsid w:val="00580468"/>
    <w:rsid w:val="00581DC5"/>
    <w:rsid w:val="00582231"/>
    <w:rsid w:val="00583A02"/>
    <w:rsid w:val="00583BDE"/>
    <w:rsid w:val="00584A58"/>
    <w:rsid w:val="00585C86"/>
    <w:rsid w:val="0058603B"/>
    <w:rsid w:val="00587E49"/>
    <w:rsid w:val="00590064"/>
    <w:rsid w:val="005911FA"/>
    <w:rsid w:val="0059431B"/>
    <w:rsid w:val="00596730"/>
    <w:rsid w:val="00597C36"/>
    <w:rsid w:val="005A0263"/>
    <w:rsid w:val="005A0492"/>
    <w:rsid w:val="005A06B3"/>
    <w:rsid w:val="005A0723"/>
    <w:rsid w:val="005A0D6D"/>
    <w:rsid w:val="005A39CC"/>
    <w:rsid w:val="005A43B5"/>
    <w:rsid w:val="005A4708"/>
    <w:rsid w:val="005A56B7"/>
    <w:rsid w:val="005A6EA0"/>
    <w:rsid w:val="005A7060"/>
    <w:rsid w:val="005B0030"/>
    <w:rsid w:val="005B0D0B"/>
    <w:rsid w:val="005B26E4"/>
    <w:rsid w:val="005B4730"/>
    <w:rsid w:val="005B771F"/>
    <w:rsid w:val="005C1119"/>
    <w:rsid w:val="005C2924"/>
    <w:rsid w:val="005C4C49"/>
    <w:rsid w:val="005D05DC"/>
    <w:rsid w:val="005D082D"/>
    <w:rsid w:val="005D445D"/>
    <w:rsid w:val="005D50A0"/>
    <w:rsid w:val="005D6F2C"/>
    <w:rsid w:val="005E05D7"/>
    <w:rsid w:val="005E0B93"/>
    <w:rsid w:val="005E2461"/>
    <w:rsid w:val="005E41E7"/>
    <w:rsid w:val="005E450F"/>
    <w:rsid w:val="005E55CA"/>
    <w:rsid w:val="005F0ECD"/>
    <w:rsid w:val="005F6482"/>
    <w:rsid w:val="005F7703"/>
    <w:rsid w:val="00600786"/>
    <w:rsid w:val="006042C1"/>
    <w:rsid w:val="00607C0C"/>
    <w:rsid w:val="00611878"/>
    <w:rsid w:val="0061251D"/>
    <w:rsid w:val="006165A8"/>
    <w:rsid w:val="006170BF"/>
    <w:rsid w:val="0062042E"/>
    <w:rsid w:val="006220C1"/>
    <w:rsid w:val="0062298A"/>
    <w:rsid w:val="006236E1"/>
    <w:rsid w:val="006257CF"/>
    <w:rsid w:val="00626454"/>
    <w:rsid w:val="00626514"/>
    <w:rsid w:val="00626589"/>
    <w:rsid w:val="00626809"/>
    <w:rsid w:val="006276E6"/>
    <w:rsid w:val="00631AF0"/>
    <w:rsid w:val="006339A0"/>
    <w:rsid w:val="0063662F"/>
    <w:rsid w:val="00636ABE"/>
    <w:rsid w:val="00636AC8"/>
    <w:rsid w:val="00636B16"/>
    <w:rsid w:val="006413A8"/>
    <w:rsid w:val="00642E56"/>
    <w:rsid w:val="006457F9"/>
    <w:rsid w:val="006463C2"/>
    <w:rsid w:val="00646920"/>
    <w:rsid w:val="00646BDF"/>
    <w:rsid w:val="00651E00"/>
    <w:rsid w:val="00663146"/>
    <w:rsid w:val="006658FC"/>
    <w:rsid w:val="00666C6F"/>
    <w:rsid w:val="00667D76"/>
    <w:rsid w:val="00674572"/>
    <w:rsid w:val="00676C8A"/>
    <w:rsid w:val="00677ED4"/>
    <w:rsid w:val="00682092"/>
    <w:rsid w:val="0068405B"/>
    <w:rsid w:val="00685ABC"/>
    <w:rsid w:val="00685F0B"/>
    <w:rsid w:val="00687763"/>
    <w:rsid w:val="00691863"/>
    <w:rsid w:val="00692B0D"/>
    <w:rsid w:val="00693E0E"/>
    <w:rsid w:val="006967B6"/>
    <w:rsid w:val="006A1AE3"/>
    <w:rsid w:val="006A3136"/>
    <w:rsid w:val="006A475E"/>
    <w:rsid w:val="006A7BA1"/>
    <w:rsid w:val="006B0B57"/>
    <w:rsid w:val="006B1AC7"/>
    <w:rsid w:val="006B2C5E"/>
    <w:rsid w:val="006C0E9E"/>
    <w:rsid w:val="006C1FB9"/>
    <w:rsid w:val="006C2370"/>
    <w:rsid w:val="006C30E1"/>
    <w:rsid w:val="006C4607"/>
    <w:rsid w:val="006C52A5"/>
    <w:rsid w:val="006C6CF7"/>
    <w:rsid w:val="006C7CD1"/>
    <w:rsid w:val="006D221C"/>
    <w:rsid w:val="006D48F1"/>
    <w:rsid w:val="006D5D91"/>
    <w:rsid w:val="006D6112"/>
    <w:rsid w:val="006E03F6"/>
    <w:rsid w:val="006E37E4"/>
    <w:rsid w:val="006E7B25"/>
    <w:rsid w:val="006F167D"/>
    <w:rsid w:val="006F3A62"/>
    <w:rsid w:val="006F45BE"/>
    <w:rsid w:val="006F4BC9"/>
    <w:rsid w:val="006F6E07"/>
    <w:rsid w:val="006F6F52"/>
    <w:rsid w:val="007004FC"/>
    <w:rsid w:val="0070112E"/>
    <w:rsid w:val="007041E3"/>
    <w:rsid w:val="007049D4"/>
    <w:rsid w:val="00705243"/>
    <w:rsid w:val="00705A8F"/>
    <w:rsid w:val="00706670"/>
    <w:rsid w:val="00706B67"/>
    <w:rsid w:val="00706C93"/>
    <w:rsid w:val="00707C83"/>
    <w:rsid w:val="007105E6"/>
    <w:rsid w:val="00711A25"/>
    <w:rsid w:val="00711D97"/>
    <w:rsid w:val="00711DC1"/>
    <w:rsid w:val="00711F59"/>
    <w:rsid w:val="007122B7"/>
    <w:rsid w:val="00712E4E"/>
    <w:rsid w:val="00712EE8"/>
    <w:rsid w:val="007157D7"/>
    <w:rsid w:val="00716BEB"/>
    <w:rsid w:val="00720199"/>
    <w:rsid w:val="0072417C"/>
    <w:rsid w:val="00724908"/>
    <w:rsid w:val="0072593C"/>
    <w:rsid w:val="00725D60"/>
    <w:rsid w:val="00727B43"/>
    <w:rsid w:val="00733ECD"/>
    <w:rsid w:val="00734450"/>
    <w:rsid w:val="00742099"/>
    <w:rsid w:val="00745F67"/>
    <w:rsid w:val="0075039E"/>
    <w:rsid w:val="00752275"/>
    <w:rsid w:val="00752D9D"/>
    <w:rsid w:val="007533D7"/>
    <w:rsid w:val="00753521"/>
    <w:rsid w:val="007539E3"/>
    <w:rsid w:val="00754784"/>
    <w:rsid w:val="00755035"/>
    <w:rsid w:val="00756D9E"/>
    <w:rsid w:val="0075738B"/>
    <w:rsid w:val="00757467"/>
    <w:rsid w:val="00757C6E"/>
    <w:rsid w:val="00761C95"/>
    <w:rsid w:val="00762BDA"/>
    <w:rsid w:val="0076424C"/>
    <w:rsid w:val="00765F6E"/>
    <w:rsid w:val="00770F22"/>
    <w:rsid w:val="007715EE"/>
    <w:rsid w:val="00775DE5"/>
    <w:rsid w:val="007760DE"/>
    <w:rsid w:val="0077678D"/>
    <w:rsid w:val="007772EF"/>
    <w:rsid w:val="007805FD"/>
    <w:rsid w:val="007815E8"/>
    <w:rsid w:val="007819A3"/>
    <w:rsid w:val="007828CD"/>
    <w:rsid w:val="0078297B"/>
    <w:rsid w:val="00784422"/>
    <w:rsid w:val="00784615"/>
    <w:rsid w:val="00785301"/>
    <w:rsid w:val="00790713"/>
    <w:rsid w:val="00792340"/>
    <w:rsid w:val="00796D5E"/>
    <w:rsid w:val="00797B05"/>
    <w:rsid w:val="007A28B4"/>
    <w:rsid w:val="007A3877"/>
    <w:rsid w:val="007A6024"/>
    <w:rsid w:val="007A63BD"/>
    <w:rsid w:val="007A67BB"/>
    <w:rsid w:val="007B04FC"/>
    <w:rsid w:val="007B0BA2"/>
    <w:rsid w:val="007B2400"/>
    <w:rsid w:val="007B2FCA"/>
    <w:rsid w:val="007B3B54"/>
    <w:rsid w:val="007B3FA0"/>
    <w:rsid w:val="007B4903"/>
    <w:rsid w:val="007B4949"/>
    <w:rsid w:val="007B60EB"/>
    <w:rsid w:val="007B7B50"/>
    <w:rsid w:val="007C0B68"/>
    <w:rsid w:val="007C0F2C"/>
    <w:rsid w:val="007C138A"/>
    <w:rsid w:val="007C1AAC"/>
    <w:rsid w:val="007C2BCC"/>
    <w:rsid w:val="007C4B18"/>
    <w:rsid w:val="007C4EF0"/>
    <w:rsid w:val="007C529A"/>
    <w:rsid w:val="007D099D"/>
    <w:rsid w:val="007D1B1D"/>
    <w:rsid w:val="007D59CF"/>
    <w:rsid w:val="007D75B8"/>
    <w:rsid w:val="007E07F0"/>
    <w:rsid w:val="007E21F1"/>
    <w:rsid w:val="007E2664"/>
    <w:rsid w:val="007E334D"/>
    <w:rsid w:val="007E3788"/>
    <w:rsid w:val="007E3ABF"/>
    <w:rsid w:val="007E572F"/>
    <w:rsid w:val="007E5BFA"/>
    <w:rsid w:val="007E643E"/>
    <w:rsid w:val="007E6689"/>
    <w:rsid w:val="007E6EB0"/>
    <w:rsid w:val="007E731C"/>
    <w:rsid w:val="007E77FF"/>
    <w:rsid w:val="007F0A03"/>
    <w:rsid w:val="007F0C07"/>
    <w:rsid w:val="007F0CE0"/>
    <w:rsid w:val="007F2025"/>
    <w:rsid w:val="007F22F2"/>
    <w:rsid w:val="007F605D"/>
    <w:rsid w:val="007F7D8A"/>
    <w:rsid w:val="008051FD"/>
    <w:rsid w:val="00810040"/>
    <w:rsid w:val="00810C13"/>
    <w:rsid w:val="0081243C"/>
    <w:rsid w:val="00813795"/>
    <w:rsid w:val="0081412F"/>
    <w:rsid w:val="00814AAB"/>
    <w:rsid w:val="00814C84"/>
    <w:rsid w:val="00816C22"/>
    <w:rsid w:val="00817574"/>
    <w:rsid w:val="0082023A"/>
    <w:rsid w:val="00821A7A"/>
    <w:rsid w:val="008224F0"/>
    <w:rsid w:val="008228A4"/>
    <w:rsid w:val="008242A9"/>
    <w:rsid w:val="008249DB"/>
    <w:rsid w:val="008253F8"/>
    <w:rsid w:val="008319B9"/>
    <w:rsid w:val="008325E4"/>
    <w:rsid w:val="00832A2B"/>
    <w:rsid w:val="008358A9"/>
    <w:rsid w:val="00835DC8"/>
    <w:rsid w:val="00835F70"/>
    <w:rsid w:val="00837AA7"/>
    <w:rsid w:val="00842AA1"/>
    <w:rsid w:val="00845811"/>
    <w:rsid w:val="00846994"/>
    <w:rsid w:val="00850451"/>
    <w:rsid w:val="00852042"/>
    <w:rsid w:val="00852A90"/>
    <w:rsid w:val="008534C9"/>
    <w:rsid w:val="00854CBF"/>
    <w:rsid w:val="0085599D"/>
    <w:rsid w:val="00856921"/>
    <w:rsid w:val="0086066A"/>
    <w:rsid w:val="00863640"/>
    <w:rsid w:val="00866AB3"/>
    <w:rsid w:val="0086732D"/>
    <w:rsid w:val="00872000"/>
    <w:rsid w:val="008721E5"/>
    <w:rsid w:val="0087510C"/>
    <w:rsid w:val="00877C9F"/>
    <w:rsid w:val="00884D51"/>
    <w:rsid w:val="00885C49"/>
    <w:rsid w:val="00885F53"/>
    <w:rsid w:val="0088632D"/>
    <w:rsid w:val="008906F7"/>
    <w:rsid w:val="0089268E"/>
    <w:rsid w:val="00892ED2"/>
    <w:rsid w:val="008938E9"/>
    <w:rsid w:val="008968D2"/>
    <w:rsid w:val="0089738E"/>
    <w:rsid w:val="008A0493"/>
    <w:rsid w:val="008A0F1C"/>
    <w:rsid w:val="008A40A3"/>
    <w:rsid w:val="008A769A"/>
    <w:rsid w:val="008B0591"/>
    <w:rsid w:val="008B4323"/>
    <w:rsid w:val="008B5FDB"/>
    <w:rsid w:val="008C0F4F"/>
    <w:rsid w:val="008C4E2A"/>
    <w:rsid w:val="008C50F4"/>
    <w:rsid w:val="008C5649"/>
    <w:rsid w:val="008C7DFC"/>
    <w:rsid w:val="008D034F"/>
    <w:rsid w:val="008D270F"/>
    <w:rsid w:val="008D3AB3"/>
    <w:rsid w:val="008D3EFB"/>
    <w:rsid w:val="008D5DC0"/>
    <w:rsid w:val="008E230B"/>
    <w:rsid w:val="008E44A2"/>
    <w:rsid w:val="008E697D"/>
    <w:rsid w:val="008F0B50"/>
    <w:rsid w:val="008F1606"/>
    <w:rsid w:val="008F5181"/>
    <w:rsid w:val="008F5AE1"/>
    <w:rsid w:val="00900229"/>
    <w:rsid w:val="00902F64"/>
    <w:rsid w:val="00903263"/>
    <w:rsid w:val="0090532F"/>
    <w:rsid w:val="00906305"/>
    <w:rsid w:val="00906A21"/>
    <w:rsid w:val="00906BC0"/>
    <w:rsid w:val="00907289"/>
    <w:rsid w:val="009079C3"/>
    <w:rsid w:val="00907CB1"/>
    <w:rsid w:val="00910171"/>
    <w:rsid w:val="00910462"/>
    <w:rsid w:val="00911664"/>
    <w:rsid w:val="00912784"/>
    <w:rsid w:val="009150AB"/>
    <w:rsid w:val="00915AB1"/>
    <w:rsid w:val="00917532"/>
    <w:rsid w:val="00920F55"/>
    <w:rsid w:val="00922A2E"/>
    <w:rsid w:val="009235BA"/>
    <w:rsid w:val="00924023"/>
    <w:rsid w:val="00924CE2"/>
    <w:rsid w:val="00925B9F"/>
    <w:rsid w:val="00926AA7"/>
    <w:rsid w:val="00927530"/>
    <w:rsid w:val="00930598"/>
    <w:rsid w:val="00931AED"/>
    <w:rsid w:val="00932F72"/>
    <w:rsid w:val="00934F15"/>
    <w:rsid w:val="00936373"/>
    <w:rsid w:val="00937B6B"/>
    <w:rsid w:val="00941FDD"/>
    <w:rsid w:val="00943CF8"/>
    <w:rsid w:val="0094460B"/>
    <w:rsid w:val="00944CDE"/>
    <w:rsid w:val="009476A3"/>
    <w:rsid w:val="00947C36"/>
    <w:rsid w:val="0095334F"/>
    <w:rsid w:val="009536EA"/>
    <w:rsid w:val="00953FD4"/>
    <w:rsid w:val="009550F1"/>
    <w:rsid w:val="00956087"/>
    <w:rsid w:val="00956C59"/>
    <w:rsid w:val="009573BC"/>
    <w:rsid w:val="009579EC"/>
    <w:rsid w:val="00960C02"/>
    <w:rsid w:val="0096206A"/>
    <w:rsid w:val="00964BAE"/>
    <w:rsid w:val="00965897"/>
    <w:rsid w:val="00966E23"/>
    <w:rsid w:val="0096765C"/>
    <w:rsid w:val="0096793C"/>
    <w:rsid w:val="0097005C"/>
    <w:rsid w:val="0097028B"/>
    <w:rsid w:val="00971918"/>
    <w:rsid w:val="009727E4"/>
    <w:rsid w:val="00975DA9"/>
    <w:rsid w:val="0097607B"/>
    <w:rsid w:val="00980C8F"/>
    <w:rsid w:val="009831C6"/>
    <w:rsid w:val="00987818"/>
    <w:rsid w:val="00990E37"/>
    <w:rsid w:val="00990E7A"/>
    <w:rsid w:val="00992BCF"/>
    <w:rsid w:val="009934C5"/>
    <w:rsid w:val="00994026"/>
    <w:rsid w:val="009944D0"/>
    <w:rsid w:val="00994C0F"/>
    <w:rsid w:val="0099624E"/>
    <w:rsid w:val="0099637E"/>
    <w:rsid w:val="009A2519"/>
    <w:rsid w:val="009A3C59"/>
    <w:rsid w:val="009A7480"/>
    <w:rsid w:val="009B0110"/>
    <w:rsid w:val="009B14B0"/>
    <w:rsid w:val="009B22D7"/>
    <w:rsid w:val="009B3465"/>
    <w:rsid w:val="009B4E6B"/>
    <w:rsid w:val="009B6813"/>
    <w:rsid w:val="009B72ED"/>
    <w:rsid w:val="009C05CF"/>
    <w:rsid w:val="009C1787"/>
    <w:rsid w:val="009C19DE"/>
    <w:rsid w:val="009C21E9"/>
    <w:rsid w:val="009C350F"/>
    <w:rsid w:val="009C41E2"/>
    <w:rsid w:val="009C4A07"/>
    <w:rsid w:val="009C5E13"/>
    <w:rsid w:val="009C6DEB"/>
    <w:rsid w:val="009D53D8"/>
    <w:rsid w:val="009D5972"/>
    <w:rsid w:val="009D6504"/>
    <w:rsid w:val="009E0B72"/>
    <w:rsid w:val="009E12D7"/>
    <w:rsid w:val="009E160B"/>
    <w:rsid w:val="009E18A4"/>
    <w:rsid w:val="009E54F3"/>
    <w:rsid w:val="009E582D"/>
    <w:rsid w:val="009E661A"/>
    <w:rsid w:val="009F1A49"/>
    <w:rsid w:val="009F1DCD"/>
    <w:rsid w:val="009F31FD"/>
    <w:rsid w:val="009F37F8"/>
    <w:rsid w:val="009F3FCB"/>
    <w:rsid w:val="009F4BCB"/>
    <w:rsid w:val="00A03935"/>
    <w:rsid w:val="00A04256"/>
    <w:rsid w:val="00A05D8F"/>
    <w:rsid w:val="00A06781"/>
    <w:rsid w:val="00A06D6A"/>
    <w:rsid w:val="00A06E39"/>
    <w:rsid w:val="00A06E7E"/>
    <w:rsid w:val="00A074C3"/>
    <w:rsid w:val="00A10C19"/>
    <w:rsid w:val="00A115F7"/>
    <w:rsid w:val="00A1164A"/>
    <w:rsid w:val="00A13C71"/>
    <w:rsid w:val="00A1509C"/>
    <w:rsid w:val="00A17FEF"/>
    <w:rsid w:val="00A20A67"/>
    <w:rsid w:val="00A22EAA"/>
    <w:rsid w:val="00A23AA4"/>
    <w:rsid w:val="00A24312"/>
    <w:rsid w:val="00A249B9"/>
    <w:rsid w:val="00A25CA2"/>
    <w:rsid w:val="00A31B5A"/>
    <w:rsid w:val="00A3215D"/>
    <w:rsid w:val="00A34260"/>
    <w:rsid w:val="00A35A38"/>
    <w:rsid w:val="00A35D7C"/>
    <w:rsid w:val="00A37902"/>
    <w:rsid w:val="00A41291"/>
    <w:rsid w:val="00A4350A"/>
    <w:rsid w:val="00A43F4F"/>
    <w:rsid w:val="00A50567"/>
    <w:rsid w:val="00A5161E"/>
    <w:rsid w:val="00A53B80"/>
    <w:rsid w:val="00A63402"/>
    <w:rsid w:val="00A65104"/>
    <w:rsid w:val="00A70CFD"/>
    <w:rsid w:val="00A71EE5"/>
    <w:rsid w:val="00A72A0B"/>
    <w:rsid w:val="00A739FA"/>
    <w:rsid w:val="00A73DD6"/>
    <w:rsid w:val="00A74CC0"/>
    <w:rsid w:val="00A810C4"/>
    <w:rsid w:val="00A81E42"/>
    <w:rsid w:val="00A848C6"/>
    <w:rsid w:val="00A864FE"/>
    <w:rsid w:val="00A86F41"/>
    <w:rsid w:val="00A87D04"/>
    <w:rsid w:val="00A92A40"/>
    <w:rsid w:val="00A930B0"/>
    <w:rsid w:val="00A940FF"/>
    <w:rsid w:val="00A945DF"/>
    <w:rsid w:val="00A950C5"/>
    <w:rsid w:val="00A97417"/>
    <w:rsid w:val="00AA1D25"/>
    <w:rsid w:val="00AA2056"/>
    <w:rsid w:val="00AA2B02"/>
    <w:rsid w:val="00AA6086"/>
    <w:rsid w:val="00AA7D4A"/>
    <w:rsid w:val="00AB1302"/>
    <w:rsid w:val="00AB2B1A"/>
    <w:rsid w:val="00AB397F"/>
    <w:rsid w:val="00AB5832"/>
    <w:rsid w:val="00AB7400"/>
    <w:rsid w:val="00AB7667"/>
    <w:rsid w:val="00AC090C"/>
    <w:rsid w:val="00AC1017"/>
    <w:rsid w:val="00AC1AEA"/>
    <w:rsid w:val="00AC4C80"/>
    <w:rsid w:val="00AC51F2"/>
    <w:rsid w:val="00AC541B"/>
    <w:rsid w:val="00AC66B7"/>
    <w:rsid w:val="00AC7092"/>
    <w:rsid w:val="00AC798F"/>
    <w:rsid w:val="00AD3269"/>
    <w:rsid w:val="00AD4EAC"/>
    <w:rsid w:val="00AE13BC"/>
    <w:rsid w:val="00AE27AB"/>
    <w:rsid w:val="00AE414B"/>
    <w:rsid w:val="00AE5066"/>
    <w:rsid w:val="00AE5B54"/>
    <w:rsid w:val="00AE5E24"/>
    <w:rsid w:val="00AE61B7"/>
    <w:rsid w:val="00AE6566"/>
    <w:rsid w:val="00AE6CBA"/>
    <w:rsid w:val="00AE72AB"/>
    <w:rsid w:val="00AE761D"/>
    <w:rsid w:val="00AE79AD"/>
    <w:rsid w:val="00AE7F36"/>
    <w:rsid w:val="00AF0F73"/>
    <w:rsid w:val="00AF20E3"/>
    <w:rsid w:val="00AF2883"/>
    <w:rsid w:val="00AF2D71"/>
    <w:rsid w:val="00AF31EB"/>
    <w:rsid w:val="00AF35E4"/>
    <w:rsid w:val="00AF562E"/>
    <w:rsid w:val="00AF59DE"/>
    <w:rsid w:val="00AF5CDE"/>
    <w:rsid w:val="00B00680"/>
    <w:rsid w:val="00B0124A"/>
    <w:rsid w:val="00B06AF5"/>
    <w:rsid w:val="00B06D8D"/>
    <w:rsid w:val="00B07DB6"/>
    <w:rsid w:val="00B10B89"/>
    <w:rsid w:val="00B115C7"/>
    <w:rsid w:val="00B11A57"/>
    <w:rsid w:val="00B1491F"/>
    <w:rsid w:val="00B20478"/>
    <w:rsid w:val="00B211C3"/>
    <w:rsid w:val="00B2433E"/>
    <w:rsid w:val="00B25597"/>
    <w:rsid w:val="00B25DB3"/>
    <w:rsid w:val="00B267B9"/>
    <w:rsid w:val="00B337CE"/>
    <w:rsid w:val="00B33E09"/>
    <w:rsid w:val="00B35EEB"/>
    <w:rsid w:val="00B372AF"/>
    <w:rsid w:val="00B3772D"/>
    <w:rsid w:val="00B407A6"/>
    <w:rsid w:val="00B408F0"/>
    <w:rsid w:val="00B44C6B"/>
    <w:rsid w:val="00B47C5D"/>
    <w:rsid w:val="00B50708"/>
    <w:rsid w:val="00B50C68"/>
    <w:rsid w:val="00B51293"/>
    <w:rsid w:val="00B5170F"/>
    <w:rsid w:val="00B52B1E"/>
    <w:rsid w:val="00B5318E"/>
    <w:rsid w:val="00B54153"/>
    <w:rsid w:val="00B55214"/>
    <w:rsid w:val="00B55481"/>
    <w:rsid w:val="00B56C32"/>
    <w:rsid w:val="00B57ACF"/>
    <w:rsid w:val="00B605E9"/>
    <w:rsid w:val="00B614AF"/>
    <w:rsid w:val="00B621CE"/>
    <w:rsid w:val="00B6390B"/>
    <w:rsid w:val="00B64BB1"/>
    <w:rsid w:val="00B7148C"/>
    <w:rsid w:val="00B71765"/>
    <w:rsid w:val="00B72587"/>
    <w:rsid w:val="00B73166"/>
    <w:rsid w:val="00B741AB"/>
    <w:rsid w:val="00B7473F"/>
    <w:rsid w:val="00B74C8C"/>
    <w:rsid w:val="00B75B4C"/>
    <w:rsid w:val="00B8042A"/>
    <w:rsid w:val="00B822FE"/>
    <w:rsid w:val="00B8426C"/>
    <w:rsid w:val="00B903D9"/>
    <w:rsid w:val="00B91B8D"/>
    <w:rsid w:val="00B93971"/>
    <w:rsid w:val="00B94598"/>
    <w:rsid w:val="00B94E90"/>
    <w:rsid w:val="00B9695F"/>
    <w:rsid w:val="00B9762A"/>
    <w:rsid w:val="00BA35AC"/>
    <w:rsid w:val="00BA3CE8"/>
    <w:rsid w:val="00BA3CFC"/>
    <w:rsid w:val="00BA6F16"/>
    <w:rsid w:val="00BB0A82"/>
    <w:rsid w:val="00BB7C94"/>
    <w:rsid w:val="00BB7D51"/>
    <w:rsid w:val="00BC0094"/>
    <w:rsid w:val="00BC0A9D"/>
    <w:rsid w:val="00BC1C17"/>
    <w:rsid w:val="00BC26E0"/>
    <w:rsid w:val="00BD127A"/>
    <w:rsid w:val="00BD2AF5"/>
    <w:rsid w:val="00BD4ADB"/>
    <w:rsid w:val="00BD772A"/>
    <w:rsid w:val="00BD78E0"/>
    <w:rsid w:val="00BE047F"/>
    <w:rsid w:val="00BE45B6"/>
    <w:rsid w:val="00BE4BA2"/>
    <w:rsid w:val="00BE7747"/>
    <w:rsid w:val="00BE7A0F"/>
    <w:rsid w:val="00BF3B77"/>
    <w:rsid w:val="00BF40ED"/>
    <w:rsid w:val="00BF44D2"/>
    <w:rsid w:val="00BF5BC2"/>
    <w:rsid w:val="00BF6852"/>
    <w:rsid w:val="00BF7997"/>
    <w:rsid w:val="00C001E1"/>
    <w:rsid w:val="00C00368"/>
    <w:rsid w:val="00C00AA8"/>
    <w:rsid w:val="00C01DF4"/>
    <w:rsid w:val="00C025F7"/>
    <w:rsid w:val="00C053B7"/>
    <w:rsid w:val="00C07D0B"/>
    <w:rsid w:val="00C1133D"/>
    <w:rsid w:val="00C11F94"/>
    <w:rsid w:val="00C13B6E"/>
    <w:rsid w:val="00C23E27"/>
    <w:rsid w:val="00C241D6"/>
    <w:rsid w:val="00C26F73"/>
    <w:rsid w:val="00C27A08"/>
    <w:rsid w:val="00C27E8F"/>
    <w:rsid w:val="00C3073E"/>
    <w:rsid w:val="00C31312"/>
    <w:rsid w:val="00C31A9F"/>
    <w:rsid w:val="00C31E36"/>
    <w:rsid w:val="00C323A7"/>
    <w:rsid w:val="00C326C6"/>
    <w:rsid w:val="00C333DA"/>
    <w:rsid w:val="00C33C1E"/>
    <w:rsid w:val="00C35295"/>
    <w:rsid w:val="00C35734"/>
    <w:rsid w:val="00C359B1"/>
    <w:rsid w:val="00C36367"/>
    <w:rsid w:val="00C36ADD"/>
    <w:rsid w:val="00C36E74"/>
    <w:rsid w:val="00C372C8"/>
    <w:rsid w:val="00C40595"/>
    <w:rsid w:val="00C41621"/>
    <w:rsid w:val="00C41D6B"/>
    <w:rsid w:val="00C423B4"/>
    <w:rsid w:val="00C42FC8"/>
    <w:rsid w:val="00C449FA"/>
    <w:rsid w:val="00C47AC6"/>
    <w:rsid w:val="00C50D3D"/>
    <w:rsid w:val="00C50E62"/>
    <w:rsid w:val="00C5384F"/>
    <w:rsid w:val="00C56964"/>
    <w:rsid w:val="00C56DE9"/>
    <w:rsid w:val="00C57646"/>
    <w:rsid w:val="00C618FA"/>
    <w:rsid w:val="00C61C31"/>
    <w:rsid w:val="00C62D39"/>
    <w:rsid w:val="00C63032"/>
    <w:rsid w:val="00C64C19"/>
    <w:rsid w:val="00C655A7"/>
    <w:rsid w:val="00C656D5"/>
    <w:rsid w:val="00C66907"/>
    <w:rsid w:val="00C66F9D"/>
    <w:rsid w:val="00C67103"/>
    <w:rsid w:val="00C71BB9"/>
    <w:rsid w:val="00C72E0A"/>
    <w:rsid w:val="00C7360E"/>
    <w:rsid w:val="00C772C2"/>
    <w:rsid w:val="00C81560"/>
    <w:rsid w:val="00C821F0"/>
    <w:rsid w:val="00C824F8"/>
    <w:rsid w:val="00C826E0"/>
    <w:rsid w:val="00C86C25"/>
    <w:rsid w:val="00C91295"/>
    <w:rsid w:val="00C91F24"/>
    <w:rsid w:val="00C92695"/>
    <w:rsid w:val="00C92B75"/>
    <w:rsid w:val="00C94C28"/>
    <w:rsid w:val="00CA043F"/>
    <w:rsid w:val="00CA0BFA"/>
    <w:rsid w:val="00CA2978"/>
    <w:rsid w:val="00CA50B8"/>
    <w:rsid w:val="00CA5A97"/>
    <w:rsid w:val="00CA636F"/>
    <w:rsid w:val="00CA738D"/>
    <w:rsid w:val="00CB0247"/>
    <w:rsid w:val="00CB0BEC"/>
    <w:rsid w:val="00CB1C33"/>
    <w:rsid w:val="00CB3440"/>
    <w:rsid w:val="00CB3531"/>
    <w:rsid w:val="00CB6A6C"/>
    <w:rsid w:val="00CC1692"/>
    <w:rsid w:val="00CC1A21"/>
    <w:rsid w:val="00CD12A3"/>
    <w:rsid w:val="00CD138B"/>
    <w:rsid w:val="00CD2988"/>
    <w:rsid w:val="00CD3E31"/>
    <w:rsid w:val="00CD62F9"/>
    <w:rsid w:val="00CD74A3"/>
    <w:rsid w:val="00CE011B"/>
    <w:rsid w:val="00CE0527"/>
    <w:rsid w:val="00CE2045"/>
    <w:rsid w:val="00CE5B23"/>
    <w:rsid w:val="00CE6F56"/>
    <w:rsid w:val="00CE6FA3"/>
    <w:rsid w:val="00CF5374"/>
    <w:rsid w:val="00CF5778"/>
    <w:rsid w:val="00CF70AD"/>
    <w:rsid w:val="00CF7729"/>
    <w:rsid w:val="00CF7B2E"/>
    <w:rsid w:val="00D00059"/>
    <w:rsid w:val="00D01B40"/>
    <w:rsid w:val="00D01D51"/>
    <w:rsid w:val="00D026B2"/>
    <w:rsid w:val="00D02E7B"/>
    <w:rsid w:val="00D0468A"/>
    <w:rsid w:val="00D0573B"/>
    <w:rsid w:val="00D107FA"/>
    <w:rsid w:val="00D112FD"/>
    <w:rsid w:val="00D12275"/>
    <w:rsid w:val="00D12766"/>
    <w:rsid w:val="00D153B5"/>
    <w:rsid w:val="00D1646B"/>
    <w:rsid w:val="00D17BF3"/>
    <w:rsid w:val="00D20FF4"/>
    <w:rsid w:val="00D21364"/>
    <w:rsid w:val="00D21AE1"/>
    <w:rsid w:val="00D21E3D"/>
    <w:rsid w:val="00D23E39"/>
    <w:rsid w:val="00D24D2C"/>
    <w:rsid w:val="00D27FB6"/>
    <w:rsid w:val="00D30DFA"/>
    <w:rsid w:val="00D35881"/>
    <w:rsid w:val="00D361E3"/>
    <w:rsid w:val="00D3670A"/>
    <w:rsid w:val="00D40216"/>
    <w:rsid w:val="00D43815"/>
    <w:rsid w:val="00D43D18"/>
    <w:rsid w:val="00D43FF9"/>
    <w:rsid w:val="00D44580"/>
    <w:rsid w:val="00D44A59"/>
    <w:rsid w:val="00D50D31"/>
    <w:rsid w:val="00D5154F"/>
    <w:rsid w:val="00D52ACD"/>
    <w:rsid w:val="00D53978"/>
    <w:rsid w:val="00D57707"/>
    <w:rsid w:val="00D63464"/>
    <w:rsid w:val="00D65B14"/>
    <w:rsid w:val="00D73969"/>
    <w:rsid w:val="00D76F7D"/>
    <w:rsid w:val="00D7791A"/>
    <w:rsid w:val="00D77F2F"/>
    <w:rsid w:val="00D84B97"/>
    <w:rsid w:val="00D84CFA"/>
    <w:rsid w:val="00D95F95"/>
    <w:rsid w:val="00D97EF9"/>
    <w:rsid w:val="00DA0A95"/>
    <w:rsid w:val="00DA7B60"/>
    <w:rsid w:val="00DA7DA5"/>
    <w:rsid w:val="00DB073B"/>
    <w:rsid w:val="00DB10AF"/>
    <w:rsid w:val="00DB258B"/>
    <w:rsid w:val="00DB78F0"/>
    <w:rsid w:val="00DC0CEA"/>
    <w:rsid w:val="00DC130B"/>
    <w:rsid w:val="00DC1DC3"/>
    <w:rsid w:val="00DC2E43"/>
    <w:rsid w:val="00DC32F0"/>
    <w:rsid w:val="00DC4503"/>
    <w:rsid w:val="00DC583B"/>
    <w:rsid w:val="00DD095C"/>
    <w:rsid w:val="00DD1020"/>
    <w:rsid w:val="00DD1330"/>
    <w:rsid w:val="00DD14F6"/>
    <w:rsid w:val="00DE0B83"/>
    <w:rsid w:val="00DE1A81"/>
    <w:rsid w:val="00DE1C13"/>
    <w:rsid w:val="00DE2E7D"/>
    <w:rsid w:val="00DE4E10"/>
    <w:rsid w:val="00DE661E"/>
    <w:rsid w:val="00DE6CA9"/>
    <w:rsid w:val="00DF0D24"/>
    <w:rsid w:val="00DF10BB"/>
    <w:rsid w:val="00DF1BF6"/>
    <w:rsid w:val="00DF494F"/>
    <w:rsid w:val="00DF5D51"/>
    <w:rsid w:val="00DF6E15"/>
    <w:rsid w:val="00E02ABF"/>
    <w:rsid w:val="00E02EA7"/>
    <w:rsid w:val="00E031B2"/>
    <w:rsid w:val="00E05FC7"/>
    <w:rsid w:val="00E073A3"/>
    <w:rsid w:val="00E13258"/>
    <w:rsid w:val="00E14995"/>
    <w:rsid w:val="00E15DDD"/>
    <w:rsid w:val="00E171E1"/>
    <w:rsid w:val="00E179CD"/>
    <w:rsid w:val="00E211C8"/>
    <w:rsid w:val="00E22A3E"/>
    <w:rsid w:val="00E23E8D"/>
    <w:rsid w:val="00E2685D"/>
    <w:rsid w:val="00E27394"/>
    <w:rsid w:val="00E32002"/>
    <w:rsid w:val="00E35812"/>
    <w:rsid w:val="00E36893"/>
    <w:rsid w:val="00E37AC9"/>
    <w:rsid w:val="00E37F98"/>
    <w:rsid w:val="00E400A4"/>
    <w:rsid w:val="00E405A2"/>
    <w:rsid w:val="00E413B1"/>
    <w:rsid w:val="00E46559"/>
    <w:rsid w:val="00E5017F"/>
    <w:rsid w:val="00E5431F"/>
    <w:rsid w:val="00E546E0"/>
    <w:rsid w:val="00E55A8B"/>
    <w:rsid w:val="00E60539"/>
    <w:rsid w:val="00E6300A"/>
    <w:rsid w:val="00E6670C"/>
    <w:rsid w:val="00E674C2"/>
    <w:rsid w:val="00E7638A"/>
    <w:rsid w:val="00E776E8"/>
    <w:rsid w:val="00E84C55"/>
    <w:rsid w:val="00E855F1"/>
    <w:rsid w:val="00E92C1F"/>
    <w:rsid w:val="00E94227"/>
    <w:rsid w:val="00E95D4B"/>
    <w:rsid w:val="00EA0D07"/>
    <w:rsid w:val="00EB0916"/>
    <w:rsid w:val="00EB117D"/>
    <w:rsid w:val="00EB199F"/>
    <w:rsid w:val="00EB3DBB"/>
    <w:rsid w:val="00EB4100"/>
    <w:rsid w:val="00EC0F2E"/>
    <w:rsid w:val="00EC1504"/>
    <w:rsid w:val="00EC151D"/>
    <w:rsid w:val="00EC23F7"/>
    <w:rsid w:val="00EC29B0"/>
    <w:rsid w:val="00EC45D6"/>
    <w:rsid w:val="00EC4BD8"/>
    <w:rsid w:val="00EC5270"/>
    <w:rsid w:val="00EC61DD"/>
    <w:rsid w:val="00EC63EB"/>
    <w:rsid w:val="00EC75E7"/>
    <w:rsid w:val="00ED412F"/>
    <w:rsid w:val="00ED47A0"/>
    <w:rsid w:val="00ED6D0B"/>
    <w:rsid w:val="00ED784B"/>
    <w:rsid w:val="00EE0845"/>
    <w:rsid w:val="00EE193B"/>
    <w:rsid w:val="00EE2760"/>
    <w:rsid w:val="00EE2D53"/>
    <w:rsid w:val="00EF36B2"/>
    <w:rsid w:val="00EF4F3B"/>
    <w:rsid w:val="00F01EC0"/>
    <w:rsid w:val="00F1246B"/>
    <w:rsid w:val="00F150CD"/>
    <w:rsid w:val="00F163C0"/>
    <w:rsid w:val="00F1760A"/>
    <w:rsid w:val="00F201EC"/>
    <w:rsid w:val="00F208A9"/>
    <w:rsid w:val="00F2393F"/>
    <w:rsid w:val="00F23D08"/>
    <w:rsid w:val="00F24DFA"/>
    <w:rsid w:val="00F31C1F"/>
    <w:rsid w:val="00F32BD6"/>
    <w:rsid w:val="00F32CFF"/>
    <w:rsid w:val="00F37DFA"/>
    <w:rsid w:val="00F40F2C"/>
    <w:rsid w:val="00F41D75"/>
    <w:rsid w:val="00F468DB"/>
    <w:rsid w:val="00F47CDC"/>
    <w:rsid w:val="00F5139D"/>
    <w:rsid w:val="00F537D6"/>
    <w:rsid w:val="00F53B37"/>
    <w:rsid w:val="00F54AAA"/>
    <w:rsid w:val="00F5537C"/>
    <w:rsid w:val="00F6329A"/>
    <w:rsid w:val="00F63DAC"/>
    <w:rsid w:val="00F63FE9"/>
    <w:rsid w:val="00F648DB"/>
    <w:rsid w:val="00F6528D"/>
    <w:rsid w:val="00F65E34"/>
    <w:rsid w:val="00F720C2"/>
    <w:rsid w:val="00F72D25"/>
    <w:rsid w:val="00F734FC"/>
    <w:rsid w:val="00F7454F"/>
    <w:rsid w:val="00F7577C"/>
    <w:rsid w:val="00F76F3B"/>
    <w:rsid w:val="00F77988"/>
    <w:rsid w:val="00F77F48"/>
    <w:rsid w:val="00F82D8C"/>
    <w:rsid w:val="00F84655"/>
    <w:rsid w:val="00F85A48"/>
    <w:rsid w:val="00F87EB0"/>
    <w:rsid w:val="00F9205A"/>
    <w:rsid w:val="00F9223D"/>
    <w:rsid w:val="00F93D1A"/>
    <w:rsid w:val="00F954A1"/>
    <w:rsid w:val="00F95D93"/>
    <w:rsid w:val="00FA7D2C"/>
    <w:rsid w:val="00FB043F"/>
    <w:rsid w:val="00FB2158"/>
    <w:rsid w:val="00FB2D02"/>
    <w:rsid w:val="00FB2EA2"/>
    <w:rsid w:val="00FB30F1"/>
    <w:rsid w:val="00FB53E7"/>
    <w:rsid w:val="00FB56D1"/>
    <w:rsid w:val="00FC28E5"/>
    <w:rsid w:val="00FC3F97"/>
    <w:rsid w:val="00FC3FAE"/>
    <w:rsid w:val="00FC6FBE"/>
    <w:rsid w:val="00FC7904"/>
    <w:rsid w:val="00FD16A4"/>
    <w:rsid w:val="00FD1EEA"/>
    <w:rsid w:val="00FD2A8A"/>
    <w:rsid w:val="00FD2C08"/>
    <w:rsid w:val="00FD33DE"/>
    <w:rsid w:val="00FD3C92"/>
    <w:rsid w:val="00FE066B"/>
    <w:rsid w:val="00FE37DD"/>
    <w:rsid w:val="00FE4966"/>
    <w:rsid w:val="00FE4D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40C24C-3038-4E91-BB6B-1622A8E0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
    <w:name w:val="Body Text"/>
    <w:basedOn w:val="Normal"/>
    <w:link w:val="BodyTextChar"/>
    <w:rsid w:val="008D5DC0"/>
    <w:pPr>
      <w:jc w:val="both"/>
    </w:pPr>
    <w:rPr>
      <w:sz w:val="28"/>
      <w:lang w:eastAsia="en-US"/>
    </w:rPr>
  </w:style>
  <w:style w:type="character" w:customStyle="1" w:styleId="BodyTextChar">
    <w:name w:val="Body Text Char"/>
    <w:link w:val="BodyText"/>
    <w:rsid w:val="008D5DC0"/>
    <w:rPr>
      <w:sz w:val="28"/>
      <w:szCs w:val="24"/>
      <w:lang w:eastAsia="en-US"/>
    </w:rPr>
  </w:style>
  <w:style w:type="paragraph" w:styleId="NormalWeb">
    <w:name w:val="Normal (Web)"/>
    <w:basedOn w:val="Normal"/>
    <w:rsid w:val="008D5DC0"/>
    <w:pPr>
      <w:spacing w:before="100" w:beforeAutospacing="1" w:after="100" w:afterAutospacing="1"/>
    </w:pPr>
    <w:rPr>
      <w:lang w:eastAsia="en-US"/>
    </w:rPr>
  </w:style>
  <w:style w:type="paragraph" w:styleId="Revision">
    <w:name w:val="Revision"/>
    <w:hidden/>
    <w:uiPriority w:val="99"/>
    <w:semiHidden/>
    <w:rsid w:val="009C05CF"/>
    <w:rPr>
      <w:sz w:val="24"/>
      <w:szCs w:val="24"/>
    </w:rPr>
  </w:style>
  <w:style w:type="paragraph" w:styleId="ListParagraph">
    <w:name w:val="List Paragraph"/>
    <w:basedOn w:val="Normal"/>
    <w:uiPriority w:val="34"/>
    <w:qFormat/>
    <w:rsid w:val="00461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0310">
      <w:bodyDiv w:val="1"/>
      <w:marLeft w:val="45"/>
      <w:marRight w:val="45"/>
      <w:marTop w:val="90"/>
      <w:marBottom w:val="90"/>
      <w:divBdr>
        <w:top w:val="none" w:sz="0" w:space="0" w:color="auto"/>
        <w:left w:val="none" w:sz="0" w:space="0" w:color="auto"/>
        <w:bottom w:val="none" w:sz="0" w:space="0" w:color="auto"/>
        <w:right w:val="none" w:sz="0" w:space="0" w:color="auto"/>
      </w:divBdr>
      <w:divsChild>
        <w:div w:id="951745063">
          <w:marLeft w:val="0"/>
          <w:marRight w:val="0"/>
          <w:marTop w:val="0"/>
          <w:marBottom w:val="567"/>
          <w:divBdr>
            <w:top w:val="none" w:sz="0" w:space="0" w:color="auto"/>
            <w:left w:val="none" w:sz="0" w:space="0" w:color="auto"/>
            <w:bottom w:val="none" w:sz="0" w:space="0" w:color="auto"/>
            <w:right w:val="none" w:sz="0" w:space="0" w:color="auto"/>
          </w:divBdr>
        </w:div>
      </w:divsChild>
    </w:div>
    <w:div w:id="116223895">
      <w:bodyDiv w:val="1"/>
      <w:marLeft w:val="45"/>
      <w:marRight w:val="45"/>
      <w:marTop w:val="90"/>
      <w:marBottom w:val="90"/>
      <w:divBdr>
        <w:top w:val="none" w:sz="0" w:space="0" w:color="auto"/>
        <w:left w:val="none" w:sz="0" w:space="0" w:color="auto"/>
        <w:bottom w:val="none" w:sz="0" w:space="0" w:color="auto"/>
        <w:right w:val="none" w:sz="0" w:space="0" w:color="auto"/>
      </w:divBdr>
      <w:divsChild>
        <w:div w:id="77604023">
          <w:marLeft w:val="0"/>
          <w:marRight w:val="0"/>
          <w:marTop w:val="240"/>
          <w:marBottom w:val="0"/>
          <w:divBdr>
            <w:top w:val="none" w:sz="0" w:space="0" w:color="auto"/>
            <w:left w:val="none" w:sz="0" w:space="0" w:color="auto"/>
            <w:bottom w:val="none" w:sz="0" w:space="0" w:color="auto"/>
            <w:right w:val="none" w:sz="0" w:space="0" w:color="auto"/>
          </w:divBdr>
        </w:div>
      </w:divsChild>
    </w:div>
    <w:div w:id="152453344">
      <w:bodyDiv w:val="1"/>
      <w:marLeft w:val="45"/>
      <w:marRight w:val="45"/>
      <w:marTop w:val="90"/>
      <w:marBottom w:val="90"/>
      <w:divBdr>
        <w:top w:val="none" w:sz="0" w:space="0" w:color="auto"/>
        <w:left w:val="none" w:sz="0" w:space="0" w:color="auto"/>
        <w:bottom w:val="none" w:sz="0" w:space="0" w:color="auto"/>
        <w:right w:val="none" w:sz="0" w:space="0" w:color="auto"/>
      </w:divBdr>
      <w:divsChild>
        <w:div w:id="637998802">
          <w:marLeft w:val="0"/>
          <w:marRight w:val="0"/>
          <w:marTop w:val="240"/>
          <w:marBottom w:val="0"/>
          <w:divBdr>
            <w:top w:val="none" w:sz="0" w:space="0" w:color="auto"/>
            <w:left w:val="none" w:sz="0" w:space="0" w:color="auto"/>
            <w:bottom w:val="none" w:sz="0" w:space="0" w:color="auto"/>
            <w:right w:val="none" w:sz="0" w:space="0" w:color="auto"/>
          </w:divBdr>
          <w:divsChild>
            <w:div w:id="19087580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0284377">
      <w:bodyDiv w:val="1"/>
      <w:marLeft w:val="45"/>
      <w:marRight w:val="45"/>
      <w:marTop w:val="90"/>
      <w:marBottom w:val="90"/>
      <w:divBdr>
        <w:top w:val="none" w:sz="0" w:space="0" w:color="auto"/>
        <w:left w:val="none" w:sz="0" w:space="0" w:color="auto"/>
        <w:bottom w:val="none" w:sz="0" w:space="0" w:color="auto"/>
        <w:right w:val="none" w:sz="0" w:space="0" w:color="auto"/>
      </w:divBdr>
      <w:divsChild>
        <w:div w:id="1390805661">
          <w:marLeft w:val="0"/>
          <w:marRight w:val="0"/>
          <w:marTop w:val="0"/>
          <w:marBottom w:val="567"/>
          <w:divBdr>
            <w:top w:val="none" w:sz="0" w:space="0" w:color="auto"/>
            <w:left w:val="none" w:sz="0" w:space="0" w:color="auto"/>
            <w:bottom w:val="none" w:sz="0" w:space="0" w:color="auto"/>
            <w:right w:val="none" w:sz="0" w:space="0" w:color="auto"/>
          </w:divBdr>
        </w:div>
      </w:divsChild>
    </w:div>
    <w:div w:id="18891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ita.Stendenberga@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d.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52C48976B619C498B789A3AB076037C" ma:contentTypeVersion="2" ma:contentTypeDescription="Izveidot jaunu dokumentu." ma:contentTypeScope="" ma:versionID="7b7164278237d5ae301cdb7d5eff3b4a">
  <xsd:schema xmlns:xsd="http://www.w3.org/2001/XMLSchema" xmlns:xs="http://www.w3.org/2001/XMLSchema" xmlns:p="http://schemas.microsoft.com/office/2006/metadata/properties" targetNamespace="http://schemas.microsoft.com/office/2006/metadata/properties" ma:root="true" ma:fieldsID="11724a61c00f74199a8bde9019bf74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F9BE-2AAC-4867-B6A5-AAE8FC402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6FB21-A9FB-4158-A82A-C341FC93A562}">
  <ds:schemaRefs>
    <ds:schemaRef ds:uri="http://schemas.microsoft.com/sharepoint/v3/contenttype/forms"/>
  </ds:schemaRefs>
</ds:datastoreItem>
</file>

<file path=customXml/itemProps3.xml><?xml version="1.0" encoding="utf-8"?>
<ds:datastoreItem xmlns:ds="http://schemas.openxmlformats.org/officeDocument/2006/customXml" ds:itemID="{AF043275-7538-44A8-832B-C74BA2CD5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313144-9B03-4598-851C-BE42E93C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9286</Words>
  <Characters>5294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noteikumu projekta “Grozījumi MK 2013.gada 10.septembra noteikumos Nr.778 „Valsts ieņēmumu dienesta maksas pakalpojumu cenrādis”” sākotnējās ietekmes novērtējuma ziņojums (anotācija)</vt:lpstr>
    </vt:vector>
  </TitlesOfParts>
  <Company>Valsts ieņēmumu dienests</Company>
  <LinksUpToDate>false</LinksUpToDate>
  <CharactersWithSpaces>14551</CharactersWithSpaces>
  <SharedDoc>false</SharedDoc>
  <HLinks>
    <vt:vector size="6" baseType="variant">
      <vt:variant>
        <vt:i4>5898348</vt:i4>
      </vt:variant>
      <vt:variant>
        <vt:i4>6</vt:i4>
      </vt:variant>
      <vt:variant>
        <vt:i4>0</vt:i4>
      </vt:variant>
      <vt:variant>
        <vt:i4>5</vt:i4>
      </vt:variant>
      <vt:variant>
        <vt:lpwstr>mailto:Kristaps.Viksne@vid.gov.lv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MK 2013.gada 10.septembra noteikumos Nr.778 „Valsts ieņēmumu dienesta maksas pakalpojumu cenrādis”” sākotnējās ietekmes novērtējuma ziņojums (anotācija)</dc:title>
  <dc:subject>Noteikumu projekta anotācija</dc:subject>
  <dc:creator>Sanita Štendenberga</dc:creator>
  <dc:description>67120243, Sanita.Stendenberga@vid.gov.lv</dc:description>
  <cp:lastModifiedBy>Sanita Štendenberga</cp:lastModifiedBy>
  <cp:revision>2</cp:revision>
  <cp:lastPrinted>2016-11-23T06:09:00Z</cp:lastPrinted>
  <dcterms:created xsi:type="dcterms:W3CDTF">2016-12-08T08:31:00Z</dcterms:created>
  <dcterms:modified xsi:type="dcterms:W3CDTF">2016-12-08T08:31:00Z</dcterms:modified>
  <cp:category>MK noteikumu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0x010100552C48976B619C498B789A3AB076037C</vt:lpwstr>
  </property>
</Properties>
</file>