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BB" w:rsidRPr="00B53ABB" w:rsidRDefault="00B53ABB" w:rsidP="00B53ABB">
      <w:pPr>
        <w:jc w:val="center"/>
        <w:rPr>
          <w:b/>
          <w:sz w:val="26"/>
          <w:szCs w:val="26"/>
        </w:rPr>
      </w:pPr>
      <w:r w:rsidRPr="00B53ABB">
        <w:rPr>
          <w:b/>
          <w:sz w:val="26"/>
          <w:szCs w:val="26"/>
        </w:rPr>
        <w:t xml:space="preserve">Ministru kabineta noteikumu projekta “Grozījumi Ministru kabineta </w:t>
      </w:r>
    </w:p>
    <w:p w:rsidR="00B53ABB" w:rsidRPr="00B53ABB" w:rsidRDefault="00B53ABB" w:rsidP="00B53ABB">
      <w:pPr>
        <w:jc w:val="center"/>
        <w:rPr>
          <w:b/>
          <w:sz w:val="26"/>
          <w:szCs w:val="26"/>
        </w:rPr>
      </w:pPr>
      <w:r w:rsidRPr="00B53ABB">
        <w:rPr>
          <w:b/>
          <w:sz w:val="26"/>
          <w:szCs w:val="26"/>
        </w:rPr>
        <w:t xml:space="preserve">2010. gada 21. septembra noteikumos Nr. 899 “Likuma “Par iedzīvotāju </w:t>
      </w:r>
    </w:p>
    <w:p w:rsidR="00B53ABB" w:rsidRPr="00B53ABB" w:rsidRDefault="00B53ABB" w:rsidP="00B53ABB">
      <w:pPr>
        <w:jc w:val="center"/>
        <w:rPr>
          <w:b/>
          <w:sz w:val="26"/>
          <w:szCs w:val="26"/>
        </w:rPr>
      </w:pPr>
      <w:r w:rsidRPr="00B53ABB">
        <w:rPr>
          <w:b/>
          <w:sz w:val="26"/>
          <w:szCs w:val="26"/>
        </w:rPr>
        <w:t xml:space="preserve">ienākuma nodokli”  normu piemērošanas kārtība”” </w:t>
      </w:r>
    </w:p>
    <w:p w:rsidR="00B53ABB" w:rsidRPr="00B53ABB" w:rsidRDefault="00B53ABB" w:rsidP="00B53ABB">
      <w:pPr>
        <w:jc w:val="center"/>
        <w:rPr>
          <w:b/>
          <w:sz w:val="26"/>
          <w:szCs w:val="26"/>
        </w:rPr>
      </w:pPr>
      <w:r w:rsidRPr="00B53ABB">
        <w:rPr>
          <w:b/>
          <w:sz w:val="26"/>
          <w:szCs w:val="26"/>
        </w:rPr>
        <w:t>sākotnējās ietekmes novērtējuma ziņojums (anotācija)</w:t>
      </w:r>
    </w:p>
    <w:p w:rsidR="009F30B3" w:rsidRPr="007E6F4C" w:rsidRDefault="009F30B3" w:rsidP="006D0922">
      <w:pPr>
        <w:pStyle w:val="naislab"/>
        <w:spacing w:before="0" w:after="0"/>
        <w:jc w:val="center"/>
        <w:rPr>
          <w:b/>
          <w:sz w:val="28"/>
          <w:szCs w:val="28"/>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3024"/>
        <w:gridCol w:w="6085"/>
      </w:tblGrid>
      <w:tr w:rsidR="009A0027" w:rsidRPr="009656DE" w:rsidTr="00D36916">
        <w:tc>
          <w:tcPr>
            <w:tcW w:w="9786" w:type="dxa"/>
            <w:gridSpan w:val="3"/>
            <w:vAlign w:val="center"/>
          </w:tcPr>
          <w:p w:rsidR="00852042" w:rsidRPr="009656DE" w:rsidRDefault="00852042" w:rsidP="00097549">
            <w:pPr>
              <w:pStyle w:val="naisnod"/>
              <w:spacing w:before="0" w:after="60"/>
            </w:pPr>
            <w:r w:rsidRPr="009656DE">
              <w:t>I</w:t>
            </w:r>
            <w:r w:rsidR="000941C5" w:rsidRPr="009656DE">
              <w:t>.</w:t>
            </w:r>
            <w:r w:rsidRPr="009656DE">
              <w:t xml:space="preserve"> Tiesību akta </w:t>
            </w:r>
            <w:r w:rsidR="002E3FF4" w:rsidRPr="009656DE">
              <w:t xml:space="preserve">projekta </w:t>
            </w:r>
            <w:r w:rsidRPr="009656DE">
              <w:t>izstrādes nepieciešamība</w:t>
            </w:r>
          </w:p>
        </w:tc>
      </w:tr>
      <w:tr w:rsidR="009A0027" w:rsidRPr="009656DE" w:rsidTr="00D36916">
        <w:trPr>
          <w:trHeight w:val="267"/>
        </w:trPr>
        <w:tc>
          <w:tcPr>
            <w:tcW w:w="677" w:type="dxa"/>
          </w:tcPr>
          <w:p w:rsidR="00262E2B" w:rsidRPr="009656DE" w:rsidRDefault="00262E2B" w:rsidP="006D0922">
            <w:pPr>
              <w:pStyle w:val="naiskr"/>
              <w:spacing w:before="0" w:after="0"/>
              <w:jc w:val="center"/>
            </w:pPr>
            <w:r w:rsidRPr="009656DE">
              <w:t>1.</w:t>
            </w:r>
          </w:p>
        </w:tc>
        <w:tc>
          <w:tcPr>
            <w:tcW w:w="3024" w:type="dxa"/>
          </w:tcPr>
          <w:p w:rsidR="00262E2B" w:rsidRPr="009656DE" w:rsidRDefault="002D7F54" w:rsidP="00AD6596">
            <w:pPr>
              <w:pStyle w:val="naiskr"/>
              <w:spacing w:before="0" w:after="0"/>
            </w:pPr>
            <w:r w:rsidRPr="009656DE">
              <w:t>Pamatojums</w:t>
            </w:r>
          </w:p>
        </w:tc>
        <w:tc>
          <w:tcPr>
            <w:tcW w:w="6085" w:type="dxa"/>
          </w:tcPr>
          <w:p w:rsidR="00235520" w:rsidRPr="009656DE" w:rsidRDefault="00EF3F10" w:rsidP="002B64B6">
            <w:pPr>
              <w:pStyle w:val="naiskr"/>
              <w:spacing w:before="0" w:after="120"/>
              <w:jc w:val="both"/>
            </w:pPr>
            <w:r w:rsidRPr="00EF3F10">
              <w:t>Likuma "Par iedzīvotāju ienākuma nodokli" (2015. gada 30. novembra likuma "Grozījumi likumā "Par iedzīvotāju ienākuma nodokli"" redakcijā) 39. panta 6. punktā Ministru kabinetam dotais uzdevums (VK reģ.Nr.2016-uzd-27)</w:t>
            </w:r>
            <w:r w:rsidR="00101C34">
              <w:t>.</w:t>
            </w:r>
          </w:p>
        </w:tc>
      </w:tr>
      <w:tr w:rsidR="009A0027" w:rsidRPr="009656DE" w:rsidTr="00D36916">
        <w:trPr>
          <w:trHeight w:val="472"/>
        </w:trPr>
        <w:tc>
          <w:tcPr>
            <w:tcW w:w="677" w:type="dxa"/>
          </w:tcPr>
          <w:p w:rsidR="00262E2B" w:rsidRPr="009656DE" w:rsidRDefault="00262E2B" w:rsidP="006D0922">
            <w:pPr>
              <w:pStyle w:val="naiskr"/>
              <w:spacing w:before="0" w:after="0"/>
              <w:jc w:val="center"/>
            </w:pPr>
            <w:r w:rsidRPr="009656DE">
              <w:t>2.</w:t>
            </w:r>
          </w:p>
        </w:tc>
        <w:tc>
          <w:tcPr>
            <w:tcW w:w="3024" w:type="dxa"/>
          </w:tcPr>
          <w:p w:rsidR="00262E2B" w:rsidRPr="00FB331B" w:rsidRDefault="003A3C61" w:rsidP="00F16CC4">
            <w:pPr>
              <w:pStyle w:val="naiskr"/>
              <w:spacing w:before="0" w:after="0"/>
            </w:pPr>
            <w:r w:rsidRPr="009656DE">
              <w:t>Pašreizējā situācija un problēmas, kuru risināšanai tiesību akta projekts izstrādāts, tiesiskā regulējuma mērķis un būtība</w:t>
            </w:r>
          </w:p>
        </w:tc>
        <w:tc>
          <w:tcPr>
            <w:tcW w:w="6085" w:type="dxa"/>
          </w:tcPr>
          <w:p w:rsidR="0074127A" w:rsidRPr="00B87961" w:rsidRDefault="0074127A" w:rsidP="0074127A">
            <w:pPr>
              <w:ind w:firstLine="348"/>
              <w:jc w:val="both"/>
              <w:rPr>
                <w:i/>
              </w:rPr>
            </w:pPr>
            <w:r w:rsidRPr="00035591">
              <w:rPr>
                <w:i/>
                <w:u w:val="single"/>
              </w:rPr>
              <w:t>18.</w:t>
            </w:r>
            <w:r w:rsidRPr="00035591">
              <w:rPr>
                <w:i/>
                <w:u w:val="single"/>
                <w:vertAlign w:val="superscript"/>
              </w:rPr>
              <w:t>7</w:t>
            </w:r>
            <w:r w:rsidRPr="00035591">
              <w:rPr>
                <w:i/>
                <w:u w:val="single"/>
              </w:rPr>
              <w:t xml:space="preserve"> punkts</w:t>
            </w:r>
            <w:r w:rsidR="00C0637C">
              <w:rPr>
                <w:i/>
                <w:u w:val="single"/>
              </w:rPr>
              <w:t xml:space="preserve"> </w:t>
            </w:r>
            <w:r w:rsidR="00C0637C" w:rsidRPr="00B87961">
              <w:rPr>
                <w:i/>
                <w:u w:val="single"/>
              </w:rPr>
              <w:t>un 1.pielikuma 1. un 2.piemērs</w:t>
            </w:r>
          </w:p>
          <w:p w:rsidR="0074127A" w:rsidRPr="00B87961" w:rsidRDefault="0074127A" w:rsidP="0074127A">
            <w:pPr>
              <w:ind w:firstLine="348"/>
              <w:jc w:val="both"/>
              <w:rPr>
                <w:iCs/>
              </w:rPr>
            </w:pPr>
            <w:r w:rsidRPr="00B87961">
              <w:t>Atbilstoši grozījumiem likuma “Par iedzīvotāju ienākuma nodokli” 8.panta 2.</w:t>
            </w:r>
            <w:r w:rsidRPr="00B87961">
              <w:rPr>
                <w:vertAlign w:val="superscript"/>
              </w:rPr>
              <w:t>9</w:t>
            </w:r>
            <w:r w:rsidRPr="00B87961">
              <w:t xml:space="preserve"> daļā (spēkā no 2015.gada 1.janvāra)</w:t>
            </w:r>
            <w:r w:rsidRPr="00B87961">
              <w:rPr>
                <w:iCs/>
              </w:rPr>
              <w:t xml:space="preserve">, </w:t>
            </w:r>
            <w:r w:rsidRPr="00B87961">
              <w:t xml:space="preserve"> </w:t>
            </w:r>
            <w:r w:rsidRPr="00B87961">
              <w:rPr>
                <w:iCs/>
              </w:rPr>
              <w:t>uzskata, ka kapitālsabiedrības valdes loceklis guvis ar algas nodokli apliekamu ienākumu, kas atbilst normatīvajos aktos noteiktajam minimālās mēneša darba algas apmēram kārtējā taksācijas gada mēnesī, kad kapitālsabiedrībā nav bijis neviena darbinieka vai valdes locekļa, kas gūst atlīdzību, kura nav mazāka par normatīvajos aktos noteikto minimālo mēneša darba algas apmēru, ja attiecīgā taksācijas gada mēneša apgrozījums ir lielāks par normatīvajos aktos noteikto piecu minimālo mēneša darba algu apmēru.</w:t>
            </w:r>
          </w:p>
          <w:p w:rsidR="00A746D3" w:rsidRPr="00B87961" w:rsidRDefault="00E61098" w:rsidP="0074127A">
            <w:pPr>
              <w:ind w:firstLine="348"/>
              <w:jc w:val="both"/>
              <w:rPr>
                <w:iCs/>
              </w:rPr>
            </w:pPr>
            <w:r w:rsidRPr="00B87961">
              <w:t>Izstrādātie g</w:t>
            </w:r>
            <w:r w:rsidR="00F34021" w:rsidRPr="00B87961">
              <w:t>rozījumi</w:t>
            </w:r>
            <w:r w:rsidR="004C5E11" w:rsidRPr="00B87961">
              <w:t xml:space="preserve"> Ministru kabineta 2010. gada 21. septembra noteikumos Nr. 899 “Likuma “Par iedzīvotāju ienākuma nodokli” normu piemērošanas kārtība” (turpmāk – Noteikumi)</w:t>
            </w:r>
            <w:r w:rsidRPr="00B87961">
              <w:t xml:space="preserve"> paredz</w:t>
            </w:r>
            <w:r w:rsidR="0074127A" w:rsidRPr="00B87961">
              <w:t xml:space="preserve"> precizē</w:t>
            </w:r>
            <w:r w:rsidRPr="00B87961">
              <w:t>t</w:t>
            </w:r>
            <w:r w:rsidR="0074127A" w:rsidRPr="00B87961">
              <w:t xml:space="preserve"> noteikumu 18.</w:t>
            </w:r>
            <w:r w:rsidR="0074127A" w:rsidRPr="00B87961">
              <w:rPr>
                <w:vertAlign w:val="superscript"/>
              </w:rPr>
              <w:t>7</w:t>
            </w:r>
            <w:r w:rsidR="0074127A" w:rsidRPr="00B87961">
              <w:t xml:space="preserve"> punktu atbilstoši grozījumiem likuma “Par iedzīvotāju ienākuma nodokli” 8.panta 2.</w:t>
            </w:r>
            <w:r w:rsidR="0074127A" w:rsidRPr="00B87961">
              <w:rPr>
                <w:vertAlign w:val="superscript"/>
              </w:rPr>
              <w:t>9</w:t>
            </w:r>
            <w:r w:rsidR="0074127A" w:rsidRPr="00B87961">
              <w:t xml:space="preserve"> daļā attiecībā uz kapitālsabiedrības valdes locekļiem,</w:t>
            </w:r>
            <w:r w:rsidR="0074127A" w:rsidRPr="00B87961">
              <w:rPr>
                <w:iCs/>
              </w:rPr>
              <w:t xml:space="preserve"> kad kapitālsabiedrībā nav bijis neviena darbinieka vai valdes locekļa, kas gūst atlīdzību, kura nav mazāka par normatīvajos aktos noteikto minimālo mēneša darba algas apmēru, ja attiecīgā taksācijas gada mēneša apgrozījums ir lielāks par normatīvajos aktos noteikto piecu minimālo mēneša darba algu apmēru. </w:t>
            </w:r>
          </w:p>
          <w:p w:rsidR="00A746D3" w:rsidRPr="00B87961" w:rsidRDefault="00A746D3" w:rsidP="0074127A">
            <w:pPr>
              <w:ind w:firstLine="348"/>
              <w:jc w:val="both"/>
              <w:rPr>
                <w:iCs/>
              </w:rPr>
            </w:pPr>
            <w:r w:rsidRPr="00B87961">
              <w:t>Likuma “Par iedzīvotāju ienākuma nodokli” 8.panta 2.</w:t>
            </w:r>
            <w:r w:rsidRPr="00B87961">
              <w:rPr>
                <w:vertAlign w:val="superscript"/>
              </w:rPr>
              <w:t>9</w:t>
            </w:r>
            <w:r w:rsidRPr="00B87961">
              <w:t xml:space="preserve"> daļā noteiktais attiecas  uz visiem kapitālsabiedrības valdes locekļiem, neatkarīgi no to skaita konkrētajā kapitālsabiedrībā.</w:t>
            </w:r>
          </w:p>
          <w:p w:rsidR="00AE33CE" w:rsidRPr="00B87961" w:rsidRDefault="00A746D3" w:rsidP="0074127A">
            <w:pPr>
              <w:ind w:firstLine="348"/>
              <w:jc w:val="both"/>
            </w:pPr>
            <w:r w:rsidRPr="00B87961">
              <w:rPr>
                <w:iCs/>
              </w:rPr>
              <w:t>Līdz ar to</w:t>
            </w:r>
            <w:r w:rsidR="0074127A" w:rsidRPr="00B87961">
              <w:rPr>
                <w:iCs/>
              </w:rPr>
              <w:t xml:space="preserve">, lai nodrošinātu likuma “Par iedzīvotāju ienākuma nodokli” vienveidīgu piemērošanu, </w:t>
            </w:r>
            <w:r w:rsidRPr="00B87961">
              <w:rPr>
                <w:iCs/>
              </w:rPr>
              <w:t>Noteikum</w:t>
            </w:r>
            <w:r w:rsidR="00101C34" w:rsidRPr="00B87961">
              <w:rPr>
                <w:iCs/>
              </w:rPr>
              <w:t>u 1.pielikumā (1. un 2.piemērs)</w:t>
            </w:r>
            <w:r w:rsidRPr="00B87961">
              <w:rPr>
                <w:iCs/>
              </w:rPr>
              <w:t xml:space="preserve"> </w:t>
            </w:r>
            <w:r w:rsidR="0074127A" w:rsidRPr="00B87961">
              <w:rPr>
                <w:iCs/>
              </w:rPr>
              <w:t>tiek atrunāta arī iedzīvotāju ienāku</w:t>
            </w:r>
            <w:r w:rsidR="00D517C2" w:rsidRPr="00B87961">
              <w:t xml:space="preserve">ma nodokļa </w:t>
            </w:r>
            <w:r w:rsidR="00C278DC" w:rsidRPr="00B87961">
              <w:t xml:space="preserve">piemērošanas </w:t>
            </w:r>
            <w:r w:rsidR="00D517C2" w:rsidRPr="00B87961">
              <w:t>kār</w:t>
            </w:r>
            <w:r w:rsidR="0074127A" w:rsidRPr="00B87961">
              <w:t xml:space="preserve">tība  gadījumos, </w:t>
            </w:r>
            <w:r w:rsidR="001F637C" w:rsidRPr="00B87961">
              <w:t xml:space="preserve">piemēram, </w:t>
            </w:r>
            <w:r w:rsidR="0074127A" w:rsidRPr="00B87961">
              <w:t>ja</w:t>
            </w:r>
            <w:r w:rsidR="00AE33CE" w:rsidRPr="00B87961">
              <w:t>:</w:t>
            </w:r>
          </w:p>
          <w:p w:rsidR="00231E5A" w:rsidRPr="00B87961" w:rsidRDefault="00231E5A" w:rsidP="00D1382D">
            <w:pPr>
              <w:pStyle w:val="ListParagraph"/>
              <w:numPr>
                <w:ilvl w:val="0"/>
                <w:numId w:val="20"/>
              </w:numPr>
              <w:ind w:left="0" w:firstLine="348"/>
              <w:jc w:val="both"/>
            </w:pPr>
            <w:r w:rsidRPr="00B87961">
              <w:t>kapitālsabiedrībā ir divi valdes locekļi, un vienam no viņiem ir slimības lapa “B” un ir maksāta alga, kas atbilst normatīvajos aktos noteiktajai minimālajai mēneša darba algai, savukārt otram valdes loceklim tiek maksāta alga, kas ir mazāka par minimālo mēneša darba algu;</w:t>
            </w:r>
          </w:p>
          <w:p w:rsidR="0074127A" w:rsidRPr="00B87961" w:rsidRDefault="00231E5A" w:rsidP="00D1382D">
            <w:pPr>
              <w:pStyle w:val="ListParagraph"/>
              <w:numPr>
                <w:ilvl w:val="0"/>
                <w:numId w:val="20"/>
              </w:numPr>
              <w:ind w:left="0" w:firstLine="348"/>
              <w:jc w:val="both"/>
            </w:pPr>
            <w:r w:rsidRPr="00B87961">
              <w:rPr>
                <w:lang w:val="lv-LV"/>
              </w:rPr>
              <w:lastRenderedPageBreak/>
              <w:t>kapitālsabiedrībai ir viens valdes loceklis, kam nepilnu vai pilnu mēnesi ir darbnespējas lapa “B”, un kapitālsabiedrības attiecīgā taksācijas gada mēneša apgrozījums ir lielāks par normatīvajos aktos noteikto piecu minimālo mēneša darba algas apmēru un nav cita darbinieka, kas saņem vismaz minimālo darba algu.</w:t>
            </w:r>
          </w:p>
          <w:p w:rsidR="0074127A" w:rsidRPr="00B87961" w:rsidRDefault="0074127A" w:rsidP="00606EF4">
            <w:pPr>
              <w:jc w:val="both"/>
              <w:rPr>
                <w:i/>
              </w:rPr>
            </w:pPr>
          </w:p>
          <w:p w:rsidR="0074127A" w:rsidRPr="00B87961" w:rsidRDefault="0074127A" w:rsidP="0074127A">
            <w:pPr>
              <w:ind w:firstLine="490"/>
              <w:jc w:val="both"/>
              <w:rPr>
                <w:i/>
                <w:szCs w:val="22"/>
              </w:rPr>
            </w:pPr>
            <w:r w:rsidRPr="00B87961">
              <w:rPr>
                <w:i/>
                <w:szCs w:val="22"/>
                <w:u w:val="single"/>
              </w:rPr>
              <w:t>18.</w:t>
            </w:r>
            <w:r w:rsidRPr="00B87961">
              <w:rPr>
                <w:i/>
                <w:szCs w:val="22"/>
                <w:u w:val="single"/>
                <w:vertAlign w:val="superscript"/>
              </w:rPr>
              <w:t>2</w:t>
            </w:r>
            <w:r w:rsidRPr="00B87961">
              <w:rPr>
                <w:i/>
                <w:szCs w:val="22"/>
                <w:u w:val="single"/>
              </w:rPr>
              <w:t xml:space="preserve"> 9</w:t>
            </w:r>
            <w:r w:rsidR="00F26D72" w:rsidRPr="00B87961">
              <w:rPr>
                <w:i/>
                <w:szCs w:val="22"/>
                <w:u w:val="single"/>
              </w:rPr>
              <w:t>., 18.</w:t>
            </w:r>
            <w:r w:rsidR="00F26D72" w:rsidRPr="00B87961">
              <w:rPr>
                <w:i/>
                <w:szCs w:val="22"/>
                <w:u w:val="single"/>
                <w:vertAlign w:val="superscript"/>
              </w:rPr>
              <w:t>2</w:t>
            </w:r>
            <w:r w:rsidR="00F26D72" w:rsidRPr="00B87961">
              <w:rPr>
                <w:i/>
                <w:szCs w:val="22"/>
                <w:u w:val="single"/>
              </w:rPr>
              <w:t xml:space="preserve"> 10.</w:t>
            </w:r>
            <w:r w:rsidRPr="00B87961">
              <w:rPr>
                <w:i/>
                <w:szCs w:val="22"/>
                <w:u w:val="single"/>
              </w:rPr>
              <w:t xml:space="preserve"> apakšpunkts, 35. punkts un 135.1. apakšpunkts</w:t>
            </w:r>
          </w:p>
          <w:p w:rsidR="0074127A" w:rsidRPr="00B87961" w:rsidRDefault="0074127A" w:rsidP="0074127A">
            <w:pPr>
              <w:ind w:firstLine="490"/>
              <w:jc w:val="both"/>
              <w:rPr>
                <w:szCs w:val="22"/>
              </w:rPr>
            </w:pPr>
            <w:r w:rsidRPr="00B87961">
              <w:rPr>
                <w:szCs w:val="22"/>
              </w:rPr>
              <w:t>Noteikumos atbilstoši likuma “Par iedzīvotāju ienākuma nodokli” normām ir precizēta iedzīvotāju ienākuma nodokļa piemērošanas kārtība šādos gadījumos:</w:t>
            </w:r>
          </w:p>
          <w:p w:rsidR="0074127A" w:rsidRPr="00B87961" w:rsidRDefault="0074127A" w:rsidP="0074127A">
            <w:pPr>
              <w:ind w:firstLine="490"/>
              <w:jc w:val="both"/>
              <w:rPr>
                <w:szCs w:val="22"/>
              </w:rPr>
            </w:pPr>
            <w:r w:rsidRPr="00B87961">
              <w:rPr>
                <w:szCs w:val="22"/>
              </w:rPr>
              <w:t xml:space="preserve">- attiecībā uz darba devēja dāvanu darbiniekam, ja tā taksācijas gada laikā nepārsniedz 14,23 </w:t>
            </w:r>
            <w:proofErr w:type="spellStart"/>
            <w:r w:rsidRPr="00B87961">
              <w:rPr>
                <w:szCs w:val="22"/>
              </w:rPr>
              <w:t>euro</w:t>
            </w:r>
            <w:proofErr w:type="spellEnd"/>
            <w:r w:rsidRPr="00B87961">
              <w:rPr>
                <w:szCs w:val="22"/>
              </w:rPr>
              <w:t>;</w:t>
            </w:r>
          </w:p>
          <w:p w:rsidR="00F26D72" w:rsidRPr="00B87961" w:rsidRDefault="00F26D72" w:rsidP="0074127A">
            <w:pPr>
              <w:ind w:firstLine="490"/>
              <w:jc w:val="both"/>
            </w:pPr>
            <w:r w:rsidRPr="00B87961">
              <w:rPr>
                <w:szCs w:val="22"/>
              </w:rPr>
              <w:t xml:space="preserve">- </w:t>
            </w:r>
            <w:r w:rsidRPr="00B87961">
              <w:t xml:space="preserve">attiecībā uz </w:t>
            </w:r>
            <w:r w:rsidRPr="00B87961">
              <w:rPr>
                <w:color w:val="000000"/>
              </w:rPr>
              <w:t xml:space="preserve"> darba devēja darbiniekam piešķirtajiem apbalvojumiem, kam nav atlīdzības nozīmes rakstura, bet ir morāla novērtējuma raksturs</w:t>
            </w:r>
            <w:r w:rsidR="00913B1C" w:rsidRPr="00B87961">
              <w:rPr>
                <w:color w:val="000000"/>
              </w:rPr>
              <w:t xml:space="preserve"> (likuma “Par iedzīvotāju ienākuma nodokli” 9.panta pirmās daļas 32.punkts)</w:t>
            </w:r>
            <w:r w:rsidRPr="00B87961">
              <w:rPr>
                <w:color w:val="000000"/>
              </w:rPr>
              <w:t>;</w:t>
            </w:r>
          </w:p>
          <w:p w:rsidR="0074127A" w:rsidRDefault="0074127A" w:rsidP="0074127A">
            <w:pPr>
              <w:ind w:firstLine="490"/>
              <w:jc w:val="both"/>
              <w:rPr>
                <w:szCs w:val="22"/>
              </w:rPr>
            </w:pPr>
            <w:r>
              <w:rPr>
                <w:szCs w:val="22"/>
              </w:rPr>
              <w:t xml:space="preserve">- </w:t>
            </w:r>
            <w:r w:rsidRPr="000000B9">
              <w:rPr>
                <w:szCs w:val="22"/>
              </w:rPr>
              <w:t xml:space="preserve"> </w:t>
            </w:r>
            <w:r>
              <w:rPr>
                <w:szCs w:val="22"/>
              </w:rPr>
              <w:t xml:space="preserve">attiecībā uz </w:t>
            </w:r>
            <w:r w:rsidRPr="00C7159B">
              <w:rPr>
                <w:szCs w:val="22"/>
              </w:rPr>
              <w:t xml:space="preserve">fiziskās personas ienākumu neapliekamo apmēru – 3000 </w:t>
            </w:r>
            <w:proofErr w:type="spellStart"/>
            <w:r w:rsidRPr="00C7159B">
              <w:rPr>
                <w:i/>
                <w:szCs w:val="22"/>
              </w:rPr>
              <w:t>euro</w:t>
            </w:r>
            <w:proofErr w:type="spellEnd"/>
            <w:r w:rsidRPr="00C7159B">
              <w:rPr>
                <w:szCs w:val="22"/>
              </w:rPr>
              <w:t xml:space="preserve"> gadā</w:t>
            </w:r>
            <w:r>
              <w:rPr>
                <w:szCs w:val="22"/>
              </w:rPr>
              <w:t xml:space="preserve">, kuru </w:t>
            </w:r>
            <w:r w:rsidRPr="00C7159B">
              <w:rPr>
                <w:szCs w:val="22"/>
              </w:rPr>
              <w:t>piemēro attiecīgās fiziskās personas gada kopējiem ienākumiem no lauksaimnieciskās ražošanas un lauku tūrisma pakalpojumu sniegšanas, kā arī no sēņošanas, ogošanas, savvaļas ārstniecības augu un ziedu vākšanas vai nemedījamās sugas indivīda – parka vīngliemezis (</w:t>
            </w:r>
            <w:proofErr w:type="spellStart"/>
            <w:r w:rsidRPr="00C7159B">
              <w:rPr>
                <w:szCs w:val="22"/>
              </w:rPr>
              <w:t>Helix</w:t>
            </w:r>
            <w:proofErr w:type="spellEnd"/>
            <w:r w:rsidRPr="00C7159B">
              <w:rPr>
                <w:szCs w:val="22"/>
              </w:rPr>
              <w:t xml:space="preserve"> </w:t>
            </w:r>
            <w:proofErr w:type="spellStart"/>
            <w:r w:rsidRPr="00C7159B">
              <w:rPr>
                <w:szCs w:val="22"/>
              </w:rPr>
              <w:t>pomatia</w:t>
            </w:r>
            <w:proofErr w:type="spellEnd"/>
            <w:r w:rsidRPr="00C7159B">
              <w:rPr>
                <w:szCs w:val="22"/>
              </w:rPr>
              <w:t>) –</w:t>
            </w:r>
            <w:r>
              <w:rPr>
                <w:szCs w:val="22"/>
              </w:rPr>
              <w:t xml:space="preserve"> ieguves;- attiecībā uz attaisnojuma dokumentiem, kuri apliecina taksācijas gadā veiktos attaisnotos izdevumus.</w:t>
            </w:r>
          </w:p>
          <w:p w:rsidR="00F26D72" w:rsidRDefault="00F26D72" w:rsidP="00D1382D">
            <w:pPr>
              <w:ind w:firstLine="346"/>
              <w:jc w:val="both"/>
              <w:rPr>
                <w:i/>
                <w:u w:val="single"/>
              </w:rPr>
            </w:pPr>
          </w:p>
          <w:p w:rsidR="008C76A0" w:rsidRPr="000000B9" w:rsidRDefault="008C76A0" w:rsidP="00357891">
            <w:pPr>
              <w:spacing w:before="75" w:after="75"/>
              <w:ind w:firstLine="348"/>
              <w:jc w:val="both"/>
              <w:rPr>
                <w:i/>
              </w:rPr>
            </w:pPr>
            <w:r w:rsidRPr="00035591">
              <w:rPr>
                <w:i/>
                <w:u w:val="single"/>
              </w:rPr>
              <w:t>26.</w:t>
            </w:r>
            <w:r w:rsidR="00247F78" w:rsidRPr="00035591" w:rsidDel="00247F78">
              <w:rPr>
                <w:i/>
                <w:u w:val="single"/>
              </w:rPr>
              <w:t xml:space="preserve"> </w:t>
            </w:r>
            <w:r w:rsidRPr="00035591">
              <w:rPr>
                <w:i/>
                <w:u w:val="single"/>
              </w:rPr>
              <w:t>punkts</w:t>
            </w:r>
          </w:p>
          <w:p w:rsidR="00625819" w:rsidRDefault="00625819" w:rsidP="00606EF4">
            <w:pPr>
              <w:ind w:firstLine="374"/>
              <w:jc w:val="both"/>
            </w:pPr>
            <w:r>
              <w:t xml:space="preserve">Līdz šim likumā “Par iedzīvotāju ienākuma nodokli” bija spēkā normas, ka </w:t>
            </w:r>
            <w:r w:rsidR="00D07CF4">
              <w:t xml:space="preserve">dzīvības </w:t>
            </w:r>
            <w:r>
              <w:t>apdrošināšanas</w:t>
            </w:r>
            <w:r w:rsidR="00D07CF4">
              <w:t xml:space="preserve"> (ar </w:t>
            </w:r>
            <w:r w:rsidR="00FC69A8">
              <w:t xml:space="preserve">līdzekļu </w:t>
            </w:r>
            <w:r w:rsidR="00D07CF4">
              <w:t>uzkrāšanu)</w:t>
            </w:r>
            <w:r>
              <w:t xml:space="preserve"> prēmiju maksājumi </w:t>
            </w:r>
            <w:r w:rsidR="00D07CF4">
              <w:t xml:space="preserve">un iemaksas privātajos pensiju fondos bija attiecināmas uz iedzīvotāju ienākuma nodokļa attaisnotajiem izdevumiem tikai tad, ja attiecīgā apdrošināšanas </w:t>
            </w:r>
            <w:r w:rsidR="000971F4">
              <w:t xml:space="preserve">sabiedrība vai privātais pensiju fonds atbilstoši spēkā esošajiem normatīvajiem aktiem bija reģistrēts Latvijā vai citā Eiropas Savienības dalībvalstī, vai Eiropas Ekonomikas zonas valstī. Minētais attiecās arī uz </w:t>
            </w:r>
            <w:r w:rsidR="00FC69A8">
              <w:t>darba devēju veikto apdrošināšanas prēmiju (ar līdzekļu uzkrāšanu) un iemaksu privātajos pensiju fondos izslēgšanu no iedzīvotāju ienākuma nodokļa apliekamā ienākuma.</w:t>
            </w:r>
          </w:p>
          <w:p w:rsidR="00AA2F28" w:rsidRDefault="00FC69A8" w:rsidP="00606EF4">
            <w:pPr>
              <w:ind w:firstLine="374"/>
              <w:jc w:val="both"/>
            </w:pPr>
            <w:r>
              <w:t>2015.gada 30.novembrī l</w:t>
            </w:r>
            <w:r w:rsidR="00AA2F28">
              <w:t>ikumā “Par iedzīvotāju ienākuma nodokli” tika veikti grozījumi</w:t>
            </w:r>
            <w:r w:rsidR="00FC6B37">
              <w:t xml:space="preserve"> (grozījumi likuma “Par iedzīvotāju ienākuma nodokli” 8.panta piektajā daļā, 9.panta pirmās daļas 4.punktā, 10.panta pirmās daļas 5. un 6.punktā, 11.</w:t>
            </w:r>
            <w:r w:rsidR="00FC6B37">
              <w:rPr>
                <w:vertAlign w:val="superscript"/>
              </w:rPr>
              <w:t>1</w:t>
            </w:r>
            <w:r w:rsidR="00FC6B37">
              <w:t>panta ceturtās daļas 9. un 10.punktā un 39.panta 6.punktā)</w:t>
            </w:r>
            <w:r w:rsidR="00AA2F28">
              <w:t>, kas ir spēkā no 2016.gada 1.janvāri</w:t>
            </w:r>
            <w:r>
              <w:t xml:space="preserve"> un attiecīgi paredz </w:t>
            </w:r>
            <w:r w:rsidR="004B14B6">
              <w:t>nodokļa maksātājam tiesības iekļaut attaisnotajos izdevumos dzīvības apdrošināšanas (ar līdzekļu uzkrāšanu) prēmiju maksājumus un iemaksas privātajos pensiju fondos arī tad, ja šie maksājumi veikti uz Ekonomiskās sadarbības un attīstības organizācijas valstīm.</w:t>
            </w:r>
            <w:r w:rsidR="00FC6B37">
              <w:t xml:space="preserve"> Tas pats attiecas arī uz darba devēju veikto apdrošināšanas prēmiju (ar līdzekļu uzkrāšanu) un iemaksu privātajos pensiju fondos izslēgšanu no iedzīvotāju ienākuma nodokļa apliekamā ienākuma.</w:t>
            </w:r>
          </w:p>
          <w:p w:rsidR="000E1DC9" w:rsidRDefault="00B84904" w:rsidP="000000B9">
            <w:pPr>
              <w:ind w:firstLine="348"/>
              <w:jc w:val="both"/>
            </w:pPr>
            <w:r>
              <w:t xml:space="preserve">Tādējādi </w:t>
            </w:r>
            <w:r w:rsidR="00BE091E">
              <w:t xml:space="preserve">atbilstoši minētajiem grozījumiem likumā “Par </w:t>
            </w:r>
            <w:r w:rsidR="00BE091E" w:rsidRPr="00BE091E">
              <w:t xml:space="preserve">iedzīvotāju ienākuma nodokli” tiek veikti </w:t>
            </w:r>
            <w:r w:rsidR="00E61098">
              <w:t xml:space="preserve">arī </w:t>
            </w:r>
            <w:r w:rsidR="00BE091E" w:rsidRPr="00BE091E">
              <w:t xml:space="preserve">grozījumi </w:t>
            </w:r>
            <w:r w:rsidR="00247F78">
              <w:t>Noteikum</w:t>
            </w:r>
            <w:r w:rsidR="00E61098">
              <w:t>u</w:t>
            </w:r>
            <w:r w:rsidR="00247F78">
              <w:t xml:space="preserve"> </w:t>
            </w:r>
            <w:r w:rsidR="000E1DC9">
              <w:t>26.</w:t>
            </w:r>
            <w:r w:rsidR="00247F78" w:rsidDel="00247F78">
              <w:t xml:space="preserve"> </w:t>
            </w:r>
            <w:r w:rsidR="000E1DC9">
              <w:t>punktā.</w:t>
            </w:r>
          </w:p>
          <w:p w:rsidR="000768BD" w:rsidRPr="000000B9" w:rsidRDefault="000768BD" w:rsidP="00606EF4">
            <w:pPr>
              <w:ind w:firstLine="346"/>
              <w:jc w:val="both"/>
            </w:pPr>
          </w:p>
          <w:p w:rsidR="008C76A0" w:rsidRPr="000000B9" w:rsidRDefault="008C76A0" w:rsidP="00606EF4">
            <w:pPr>
              <w:ind w:firstLine="488"/>
              <w:jc w:val="both"/>
              <w:outlineLvl w:val="3"/>
              <w:rPr>
                <w:i/>
                <w:szCs w:val="22"/>
              </w:rPr>
            </w:pPr>
            <w:r w:rsidRPr="00035591">
              <w:rPr>
                <w:i/>
                <w:szCs w:val="22"/>
                <w:u w:val="single"/>
              </w:rPr>
              <w:t xml:space="preserve">28.punkts un 1.pielikuma </w:t>
            </w:r>
            <w:r w:rsidR="00101C34" w:rsidRPr="00B87961">
              <w:rPr>
                <w:i/>
                <w:szCs w:val="22"/>
                <w:u w:val="single"/>
              </w:rPr>
              <w:t>8</w:t>
            </w:r>
            <w:r w:rsidRPr="00B87961">
              <w:rPr>
                <w:i/>
                <w:szCs w:val="22"/>
                <w:u w:val="single"/>
              </w:rPr>
              <w:t>.</w:t>
            </w:r>
            <w:r w:rsidRPr="00035591">
              <w:rPr>
                <w:i/>
                <w:szCs w:val="22"/>
                <w:u w:val="single"/>
              </w:rPr>
              <w:t>piemērs</w:t>
            </w:r>
          </w:p>
          <w:p w:rsidR="000E1DC9" w:rsidRPr="000E1DC9" w:rsidRDefault="000E1DC9" w:rsidP="00606EF4">
            <w:pPr>
              <w:ind w:firstLine="488"/>
              <w:jc w:val="both"/>
              <w:outlineLvl w:val="3"/>
            </w:pPr>
            <w:r>
              <w:rPr>
                <w:szCs w:val="22"/>
              </w:rPr>
              <w:t>Ar 2015.gada 30</w:t>
            </w:r>
            <w:r w:rsidRPr="000E1DC9">
              <w:rPr>
                <w:szCs w:val="22"/>
              </w:rPr>
              <w:t>.</w:t>
            </w:r>
            <w:r>
              <w:rPr>
                <w:szCs w:val="22"/>
              </w:rPr>
              <w:t>nove</w:t>
            </w:r>
            <w:r w:rsidRPr="000E1DC9">
              <w:rPr>
                <w:szCs w:val="22"/>
              </w:rPr>
              <w:t xml:space="preserve">mbrī Saeimā pieņemto likumu „Grozījumi likumā „Par iedzīvotāju ienākuma nodokli”” </w:t>
            </w:r>
            <w:r>
              <w:rPr>
                <w:szCs w:val="22"/>
              </w:rPr>
              <w:t>(stājās spēkā 2016</w:t>
            </w:r>
            <w:r w:rsidRPr="000E1DC9">
              <w:rPr>
                <w:szCs w:val="22"/>
              </w:rPr>
              <w:t xml:space="preserve">.gada 1.janvārī), likuma „Par iedzīvotāju ienākuma nodokli” </w:t>
            </w:r>
            <w:r>
              <w:rPr>
                <w:szCs w:val="22"/>
              </w:rPr>
              <w:t>8</w:t>
            </w:r>
            <w:r w:rsidRPr="000E1DC9">
              <w:rPr>
                <w:szCs w:val="22"/>
              </w:rPr>
              <w:t>.</w:t>
            </w:r>
            <w:r>
              <w:rPr>
                <w:szCs w:val="22"/>
              </w:rPr>
              <w:t>pants tika papildināts ar jaunu</w:t>
            </w:r>
            <w:r w:rsidRPr="000E1DC9">
              <w:rPr>
                <w:szCs w:val="22"/>
              </w:rPr>
              <w:t xml:space="preserve"> </w:t>
            </w:r>
            <w:r>
              <w:rPr>
                <w:szCs w:val="22"/>
              </w:rPr>
              <w:t>5.</w:t>
            </w:r>
            <w:r>
              <w:rPr>
                <w:szCs w:val="22"/>
                <w:vertAlign w:val="superscript"/>
              </w:rPr>
              <w:t>2</w:t>
            </w:r>
            <w:r w:rsidRPr="000E1DC9">
              <w:rPr>
                <w:szCs w:val="22"/>
              </w:rPr>
              <w:t>daļ</w:t>
            </w:r>
            <w:r>
              <w:rPr>
                <w:szCs w:val="22"/>
              </w:rPr>
              <w:t xml:space="preserve">u, kura nosaka, ka </w:t>
            </w:r>
            <w:r>
              <w:t>š</w:t>
            </w:r>
            <w:r w:rsidRPr="000E1DC9">
              <w:t>ā panta piektajā daļā not</w:t>
            </w:r>
            <w:r>
              <w:t xml:space="preserve">eikto procentuālo ierobežojumu </w:t>
            </w:r>
            <w:r w:rsidR="008668F1">
              <w:t>–</w:t>
            </w:r>
            <w:r w:rsidRPr="000E1DC9">
              <w:t xml:space="preserve"> 10 procenti no maksātājam aprēķinātās bruto </w:t>
            </w:r>
            <w:r w:rsidR="008668F1">
              <w:t>darba samaksas taksācijas gadā –</w:t>
            </w:r>
            <w:r w:rsidRPr="000E1DC9">
              <w:t xml:space="preserve"> nepiemēro maksātājam proporcionāli par tām taksācijas gada kalendāra dienām, kurās tas atrodas bērna kopšanas atvaļinājumā, kā arī pārejošas darbnespējas, grūtniecības un dzemdību atvaļinājuma kalendāra dienām, par kurām maksātājam ir izsniegta darbnespējas lapa "B".</w:t>
            </w:r>
          </w:p>
          <w:p w:rsidR="008668F1" w:rsidRDefault="008668F1" w:rsidP="000000B9">
            <w:pPr>
              <w:ind w:firstLine="490"/>
              <w:jc w:val="both"/>
              <w:rPr>
                <w:szCs w:val="22"/>
              </w:rPr>
            </w:pPr>
            <w:r>
              <w:rPr>
                <w:szCs w:val="22"/>
              </w:rPr>
              <w:t xml:space="preserve">Lai </w:t>
            </w:r>
            <w:r w:rsidR="00865C30">
              <w:rPr>
                <w:szCs w:val="22"/>
              </w:rPr>
              <w:t xml:space="preserve">nodrošinātu vienveidīgu un </w:t>
            </w:r>
            <w:r w:rsidR="000E1DC9" w:rsidRPr="000E1DC9">
              <w:rPr>
                <w:szCs w:val="22"/>
              </w:rPr>
              <w:t>precīzu</w:t>
            </w:r>
            <w:r>
              <w:rPr>
                <w:szCs w:val="22"/>
              </w:rPr>
              <w:t xml:space="preserve"> likuma “Par iedzīvotāju ienākuma nodokli” 8.panta 5.</w:t>
            </w:r>
            <w:r>
              <w:rPr>
                <w:szCs w:val="22"/>
                <w:vertAlign w:val="superscript"/>
              </w:rPr>
              <w:t>2</w:t>
            </w:r>
            <w:r>
              <w:rPr>
                <w:szCs w:val="22"/>
              </w:rPr>
              <w:t>daļas</w:t>
            </w:r>
            <w:r w:rsidR="000E1DC9" w:rsidRPr="000E1DC9">
              <w:rPr>
                <w:szCs w:val="22"/>
              </w:rPr>
              <w:t xml:space="preserve"> </w:t>
            </w:r>
            <w:r>
              <w:rPr>
                <w:szCs w:val="22"/>
              </w:rPr>
              <w:t xml:space="preserve">piemērošanu konkrētā situācijā, </w:t>
            </w:r>
            <w:r w:rsidR="00F709A4">
              <w:rPr>
                <w:szCs w:val="22"/>
              </w:rPr>
              <w:t>N</w:t>
            </w:r>
            <w:r>
              <w:rPr>
                <w:szCs w:val="22"/>
              </w:rPr>
              <w:t xml:space="preserve">oteikumu 1.pielikums  ir papildināts ar </w:t>
            </w:r>
            <w:r w:rsidR="00101C34">
              <w:rPr>
                <w:szCs w:val="22"/>
              </w:rPr>
              <w:t>8</w:t>
            </w:r>
            <w:r>
              <w:rPr>
                <w:szCs w:val="22"/>
              </w:rPr>
              <w:t xml:space="preserve">.piemēru, kurā </w:t>
            </w:r>
            <w:r w:rsidR="00865C30">
              <w:rPr>
                <w:szCs w:val="22"/>
              </w:rPr>
              <w:t xml:space="preserve">parādīts, kā nosakāms </w:t>
            </w:r>
            <w:r>
              <w:rPr>
                <w:szCs w:val="22"/>
              </w:rPr>
              <w:t xml:space="preserve">ar algas nodokli apliekamais ienākums gadījumā, ja darbiniecei, kurai </w:t>
            </w:r>
            <w:r w:rsidR="008C760A">
              <w:rPr>
                <w:szCs w:val="22"/>
              </w:rPr>
              <w:t xml:space="preserve">četrus mēnešus </w:t>
            </w:r>
            <w:r>
              <w:rPr>
                <w:szCs w:val="22"/>
              </w:rPr>
              <w:t>ir</w:t>
            </w:r>
            <w:r w:rsidR="008C760A">
              <w:rPr>
                <w:szCs w:val="22"/>
              </w:rPr>
              <w:t xml:space="preserve"> bijusi</w:t>
            </w:r>
            <w:r>
              <w:rPr>
                <w:szCs w:val="22"/>
              </w:rPr>
              <w:t xml:space="preserve"> izsniegta darbnespējas lapa “B”</w:t>
            </w:r>
            <w:r w:rsidR="00D61BB9">
              <w:rPr>
                <w:szCs w:val="22"/>
              </w:rPr>
              <w:t>,</w:t>
            </w:r>
            <w:r>
              <w:rPr>
                <w:szCs w:val="22"/>
              </w:rPr>
              <w:t xml:space="preserve"> darba devējs ir iegādājies veselības apdrošināšanas polisi.</w:t>
            </w:r>
          </w:p>
          <w:p w:rsidR="00E33D3B" w:rsidRDefault="00E33D3B" w:rsidP="00E33D3B">
            <w:pPr>
              <w:ind w:firstLine="490"/>
              <w:jc w:val="both"/>
              <w:rPr>
                <w:i/>
                <w:szCs w:val="22"/>
                <w:u w:val="single"/>
              </w:rPr>
            </w:pPr>
          </w:p>
          <w:p w:rsidR="00E33D3B" w:rsidRDefault="00E33D3B" w:rsidP="00E33D3B">
            <w:pPr>
              <w:ind w:firstLine="490"/>
              <w:jc w:val="both"/>
              <w:rPr>
                <w:i/>
                <w:szCs w:val="22"/>
                <w:u w:val="single"/>
              </w:rPr>
            </w:pPr>
            <w:r>
              <w:rPr>
                <w:i/>
                <w:szCs w:val="22"/>
                <w:u w:val="single"/>
              </w:rPr>
              <w:t>33</w:t>
            </w:r>
            <w:r w:rsidRPr="00F45832">
              <w:rPr>
                <w:i/>
                <w:szCs w:val="22"/>
                <w:u w:val="single"/>
              </w:rPr>
              <w:t>.</w:t>
            </w:r>
            <w:r>
              <w:rPr>
                <w:i/>
                <w:szCs w:val="22"/>
                <w:u w:val="single"/>
                <w:vertAlign w:val="superscript"/>
              </w:rPr>
              <w:t>1</w:t>
            </w:r>
            <w:r w:rsidRPr="00F45832">
              <w:rPr>
                <w:i/>
                <w:szCs w:val="22"/>
                <w:u w:val="single"/>
              </w:rPr>
              <w:t>punkts</w:t>
            </w:r>
          </w:p>
          <w:p w:rsidR="00E33D3B" w:rsidRPr="00030BC6" w:rsidRDefault="00E33D3B" w:rsidP="00E33D3B">
            <w:pPr>
              <w:pStyle w:val="ListParagraph"/>
              <w:jc w:val="both"/>
            </w:pPr>
            <w:r w:rsidRPr="00030BC6">
              <w:t>Noteikumi pēc būtības nav papildināti ar jaunu</w:t>
            </w:r>
          </w:p>
          <w:p w:rsidR="00E33D3B" w:rsidRPr="00030BC6" w:rsidRDefault="00E33D3B" w:rsidP="00E33D3B">
            <w:pPr>
              <w:jc w:val="both"/>
            </w:pPr>
            <w:r w:rsidRPr="00030BC6">
              <w:t>punktu, bet, ņemot vērā to, ka Noteikumos nepieciešams iekļaut jaunu punktu, attiecībā uz likuma “Par iedzīvotāju ienākuma nodokli” 8.panta 5.</w:t>
            </w:r>
            <w:r w:rsidRPr="00030BC6">
              <w:rPr>
                <w:vertAlign w:val="superscript"/>
              </w:rPr>
              <w:t>2</w:t>
            </w:r>
            <w:r w:rsidRPr="00030BC6">
              <w:t>daļas piemērošanu, tad līdzšinējais Noteikumu 34.</w:t>
            </w:r>
            <w:r w:rsidRPr="00030BC6">
              <w:rPr>
                <w:vertAlign w:val="superscript"/>
              </w:rPr>
              <w:t xml:space="preserve"> </w:t>
            </w:r>
            <w:r w:rsidRPr="00030BC6">
              <w:t>punkts ir jāizsaka kā jauns Noteikumu punkts.</w:t>
            </w:r>
            <w:bookmarkStart w:id="0" w:name="_GoBack"/>
            <w:bookmarkEnd w:id="0"/>
          </w:p>
          <w:p w:rsidR="00F45832" w:rsidRPr="00030BC6" w:rsidRDefault="00F45832" w:rsidP="000000B9">
            <w:pPr>
              <w:ind w:firstLine="490"/>
              <w:jc w:val="both"/>
              <w:rPr>
                <w:szCs w:val="22"/>
              </w:rPr>
            </w:pPr>
          </w:p>
          <w:p w:rsidR="00F45832" w:rsidRPr="00030BC6" w:rsidRDefault="00F45832" w:rsidP="000000B9">
            <w:pPr>
              <w:ind w:firstLine="490"/>
              <w:jc w:val="both"/>
              <w:rPr>
                <w:i/>
                <w:szCs w:val="22"/>
                <w:u w:val="single"/>
              </w:rPr>
            </w:pPr>
            <w:r w:rsidRPr="00030BC6">
              <w:rPr>
                <w:i/>
                <w:szCs w:val="22"/>
                <w:u w:val="single"/>
              </w:rPr>
              <w:t>34.punkts</w:t>
            </w:r>
          </w:p>
          <w:p w:rsidR="003D794F" w:rsidRPr="00030BC6" w:rsidRDefault="00F45832" w:rsidP="00F45832">
            <w:pPr>
              <w:pStyle w:val="ListParagraph"/>
              <w:jc w:val="both"/>
            </w:pPr>
            <w:r w:rsidRPr="00030BC6">
              <w:t>Lai nodrošinātu vienveidīgu un precīzu</w:t>
            </w:r>
            <w:r w:rsidR="003D794F" w:rsidRPr="00030BC6">
              <w:t xml:space="preserve"> likuma</w:t>
            </w:r>
          </w:p>
          <w:p w:rsidR="00F45832" w:rsidRPr="00030BC6" w:rsidRDefault="00F45832" w:rsidP="003D794F">
            <w:pPr>
              <w:jc w:val="both"/>
            </w:pPr>
            <w:r w:rsidRPr="00030BC6">
              <w:t>“Par iedzīvotāju ienākuma nodokli” 8.panta 5.</w:t>
            </w:r>
            <w:r w:rsidRPr="00030BC6">
              <w:rPr>
                <w:vertAlign w:val="superscript"/>
              </w:rPr>
              <w:t>2</w:t>
            </w:r>
            <w:r w:rsidRPr="00030BC6">
              <w:t>daļas piemērošanu, Noteikumi papildināti ar jaunu punktu, nosakot,</w:t>
            </w:r>
            <w:r w:rsidR="003D794F" w:rsidRPr="00030BC6">
              <w:t xml:space="preserve"> ka, ja,</w:t>
            </w:r>
            <w:r w:rsidRPr="00030BC6">
              <w:t xml:space="preserve"> taksācijas gadā dzīvības</w:t>
            </w:r>
            <w:r w:rsidR="003D794F" w:rsidRPr="00030BC6">
              <w:t xml:space="preserve"> </w:t>
            </w:r>
            <w:r w:rsidRPr="00030BC6">
              <w:t xml:space="preserve">(bez līdzekļu uzkrāšanas), veselības vai nelaimes gadījumu apdrošināšanas prēmiju summa pārsniedz gan 426,86 </w:t>
            </w:r>
            <w:proofErr w:type="spellStart"/>
            <w:r w:rsidRPr="00030BC6">
              <w:t>euro</w:t>
            </w:r>
            <w:proofErr w:type="spellEnd"/>
            <w:r w:rsidRPr="00030BC6">
              <w:t>, gan 10% ierobežojumu par periodu, kad ir aprēķināta darba samaksa, ar nodokli apliekamā summa ir lielākā no abiem pārsniegumiem</w:t>
            </w:r>
            <w:r w:rsidR="003D794F" w:rsidRPr="00030BC6">
              <w:t>.</w:t>
            </w:r>
          </w:p>
          <w:p w:rsidR="00753A83" w:rsidRDefault="00753A83" w:rsidP="003D794F">
            <w:pPr>
              <w:jc w:val="both"/>
              <w:rPr>
                <w:b/>
              </w:rPr>
            </w:pPr>
          </w:p>
          <w:p w:rsidR="00183327" w:rsidRDefault="00183327" w:rsidP="00357891">
            <w:pPr>
              <w:ind w:firstLine="490"/>
              <w:jc w:val="both"/>
              <w:rPr>
                <w:i/>
                <w:szCs w:val="22"/>
              </w:rPr>
            </w:pPr>
            <w:r w:rsidRPr="00AA2F28">
              <w:rPr>
                <w:i/>
                <w:szCs w:val="22"/>
                <w:u w:val="single"/>
              </w:rPr>
              <w:t>36. un 80.</w:t>
            </w:r>
            <w:r w:rsidR="00A17A3B" w:rsidRPr="00AA2F28">
              <w:rPr>
                <w:i/>
                <w:szCs w:val="22"/>
                <w:u w:val="single"/>
              </w:rPr>
              <w:t>punkts</w:t>
            </w:r>
          </w:p>
          <w:p w:rsidR="00A17A3B" w:rsidRDefault="00A17A3B" w:rsidP="00A17A3B">
            <w:pPr>
              <w:ind w:firstLine="490"/>
              <w:jc w:val="both"/>
              <w:rPr>
                <w:szCs w:val="22"/>
              </w:rPr>
            </w:pPr>
            <w:r>
              <w:rPr>
                <w:szCs w:val="22"/>
              </w:rPr>
              <w:t xml:space="preserve">No Noteikumiem izslēgtas normas, kuras </w:t>
            </w:r>
            <w:r w:rsidR="000B5D8D">
              <w:rPr>
                <w:szCs w:val="22"/>
              </w:rPr>
              <w:t xml:space="preserve">pēc grozījumu izdarīšanas atrunātas </w:t>
            </w:r>
            <w:r>
              <w:rPr>
                <w:szCs w:val="22"/>
              </w:rPr>
              <w:t>likumā “Par iedzīvotāju ienākuma nodokli”</w:t>
            </w:r>
            <w:r w:rsidR="000B5D8D">
              <w:rPr>
                <w:szCs w:val="22"/>
              </w:rPr>
              <w:t>.</w:t>
            </w:r>
          </w:p>
          <w:p w:rsidR="00A17A3B" w:rsidRPr="00A17A3B" w:rsidRDefault="00A17A3B" w:rsidP="00A17A3B">
            <w:pPr>
              <w:jc w:val="both"/>
              <w:rPr>
                <w:szCs w:val="22"/>
              </w:rPr>
            </w:pPr>
          </w:p>
          <w:p w:rsidR="001D042A" w:rsidRPr="00B87961" w:rsidRDefault="001D042A" w:rsidP="00357891">
            <w:pPr>
              <w:ind w:firstLine="490"/>
              <w:jc w:val="both"/>
              <w:rPr>
                <w:i/>
                <w:szCs w:val="22"/>
              </w:rPr>
            </w:pPr>
            <w:r w:rsidRPr="00B87961">
              <w:rPr>
                <w:i/>
                <w:szCs w:val="22"/>
                <w:u w:val="single"/>
              </w:rPr>
              <w:t xml:space="preserve">1.pielikuma </w:t>
            </w:r>
            <w:r w:rsidR="00101C34" w:rsidRPr="00B87961">
              <w:rPr>
                <w:i/>
                <w:szCs w:val="22"/>
                <w:u w:val="single"/>
              </w:rPr>
              <w:t>3</w:t>
            </w:r>
            <w:r w:rsidRPr="00B87961">
              <w:rPr>
                <w:i/>
                <w:szCs w:val="22"/>
                <w:u w:val="single"/>
              </w:rPr>
              <w:t>.</w:t>
            </w:r>
            <w:r w:rsidR="003E0C5E" w:rsidRPr="00B87961" w:rsidDel="003E0C5E">
              <w:rPr>
                <w:i/>
                <w:szCs w:val="22"/>
                <w:u w:val="single"/>
              </w:rPr>
              <w:t xml:space="preserve"> </w:t>
            </w:r>
            <w:r w:rsidRPr="00B87961">
              <w:rPr>
                <w:i/>
                <w:szCs w:val="22"/>
                <w:u w:val="single"/>
              </w:rPr>
              <w:t>piemērs, 8.pielikuma 1. un 2.piemērs</w:t>
            </w:r>
          </w:p>
          <w:p w:rsidR="00CE2A3A" w:rsidRPr="00CF2486" w:rsidRDefault="008C76A0" w:rsidP="00606EF4">
            <w:pPr>
              <w:ind w:firstLine="490"/>
              <w:jc w:val="both"/>
            </w:pPr>
            <w:r w:rsidRPr="008C76A0">
              <w:rPr>
                <w:szCs w:val="22"/>
              </w:rPr>
              <w:t>Noteikumos ietvertajos piemēros tiek aktualizētas valsts sociālās apdrošināšanas iemaksu un iedzīvotāju ienākuma nodokļa likmes.</w:t>
            </w:r>
          </w:p>
        </w:tc>
      </w:tr>
      <w:tr w:rsidR="009A0027" w:rsidRPr="009656DE" w:rsidTr="00D36916">
        <w:trPr>
          <w:trHeight w:val="476"/>
        </w:trPr>
        <w:tc>
          <w:tcPr>
            <w:tcW w:w="677" w:type="dxa"/>
          </w:tcPr>
          <w:p w:rsidR="00262E2B" w:rsidRPr="009656DE" w:rsidRDefault="003A3C61" w:rsidP="006D0922">
            <w:pPr>
              <w:pStyle w:val="naiskr"/>
              <w:spacing w:before="0" w:after="0"/>
              <w:jc w:val="center"/>
            </w:pPr>
            <w:r w:rsidRPr="009656DE">
              <w:lastRenderedPageBreak/>
              <w:t>3</w:t>
            </w:r>
            <w:r w:rsidR="00262E2B" w:rsidRPr="009656DE">
              <w:t>.</w:t>
            </w:r>
          </w:p>
        </w:tc>
        <w:tc>
          <w:tcPr>
            <w:tcW w:w="3024" w:type="dxa"/>
          </w:tcPr>
          <w:p w:rsidR="00262E2B" w:rsidRPr="009656DE" w:rsidRDefault="001A4066" w:rsidP="00B84642">
            <w:pPr>
              <w:pStyle w:val="naiskr"/>
              <w:spacing w:before="0" w:after="60"/>
            </w:pPr>
            <w:r w:rsidRPr="009656DE">
              <w:t>Projekta i</w:t>
            </w:r>
            <w:r w:rsidR="00262E2B" w:rsidRPr="009656DE">
              <w:t>zstrād</w:t>
            </w:r>
            <w:r w:rsidR="00420870" w:rsidRPr="009656DE">
              <w:t xml:space="preserve">ē </w:t>
            </w:r>
            <w:r w:rsidR="00262E2B" w:rsidRPr="009656DE">
              <w:t>iesaistītās institūcijas</w:t>
            </w:r>
          </w:p>
        </w:tc>
        <w:tc>
          <w:tcPr>
            <w:tcW w:w="6085" w:type="dxa"/>
          </w:tcPr>
          <w:p w:rsidR="009C5659" w:rsidRPr="00233198" w:rsidRDefault="00CE2A3A" w:rsidP="00506F1D">
            <w:pPr>
              <w:pStyle w:val="naiskr"/>
              <w:spacing w:before="0" w:after="120"/>
              <w:jc w:val="both"/>
            </w:pPr>
            <w:r>
              <w:t>Projekts šo jomu neskar.</w:t>
            </w:r>
          </w:p>
        </w:tc>
      </w:tr>
      <w:tr w:rsidR="009A0027" w:rsidRPr="009656DE" w:rsidTr="00D36916">
        <w:tc>
          <w:tcPr>
            <w:tcW w:w="677" w:type="dxa"/>
          </w:tcPr>
          <w:p w:rsidR="00262E2B" w:rsidRPr="009656DE" w:rsidRDefault="003A3C61" w:rsidP="006D0922">
            <w:pPr>
              <w:pStyle w:val="naiskr"/>
              <w:spacing w:before="0" w:after="0"/>
              <w:jc w:val="center"/>
            </w:pPr>
            <w:r w:rsidRPr="009656DE">
              <w:t>4</w:t>
            </w:r>
            <w:r w:rsidR="00262E2B" w:rsidRPr="009656DE">
              <w:t>.</w:t>
            </w:r>
          </w:p>
        </w:tc>
        <w:tc>
          <w:tcPr>
            <w:tcW w:w="3024" w:type="dxa"/>
          </w:tcPr>
          <w:p w:rsidR="00262E2B" w:rsidRPr="009656DE" w:rsidRDefault="00262E2B" w:rsidP="00FB5BAF">
            <w:pPr>
              <w:pStyle w:val="naiskr"/>
              <w:spacing w:before="0" w:after="0"/>
            </w:pPr>
            <w:r w:rsidRPr="009656DE">
              <w:t>Cita informācija</w:t>
            </w:r>
          </w:p>
        </w:tc>
        <w:tc>
          <w:tcPr>
            <w:tcW w:w="6085" w:type="dxa"/>
          </w:tcPr>
          <w:p w:rsidR="00262E2B" w:rsidRPr="009656DE" w:rsidRDefault="004E6B86" w:rsidP="00506F1D">
            <w:pPr>
              <w:pStyle w:val="naiskr"/>
              <w:spacing w:before="0" w:after="120"/>
              <w:jc w:val="both"/>
            </w:pPr>
            <w:r>
              <w:t>Nav.</w:t>
            </w:r>
          </w:p>
        </w:tc>
      </w:tr>
    </w:tbl>
    <w:p w:rsidR="00852042" w:rsidRDefault="00852042" w:rsidP="006D0922">
      <w:pPr>
        <w:pStyle w:val="naisf"/>
        <w:spacing w:before="0" w:after="0"/>
        <w:ind w:firstLine="0"/>
      </w:pPr>
    </w:p>
    <w:p w:rsidR="009D4EF6" w:rsidRPr="009656DE" w:rsidRDefault="009D4EF6" w:rsidP="006D0922">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9656DE" w:rsidTr="00D36916">
        <w:trPr>
          <w:jc w:val="center"/>
        </w:trPr>
        <w:tc>
          <w:tcPr>
            <w:tcW w:w="9786" w:type="dxa"/>
            <w:gridSpan w:val="3"/>
          </w:tcPr>
          <w:p w:rsidR="00FE4973" w:rsidRPr="009656DE" w:rsidRDefault="00FE4973" w:rsidP="00097549">
            <w:pPr>
              <w:pStyle w:val="naisnod"/>
              <w:spacing w:before="0" w:after="60"/>
            </w:pPr>
            <w:r w:rsidRPr="009656DE">
              <w:t>II.</w:t>
            </w:r>
            <w:r w:rsidRPr="009656DE">
              <w:rPr>
                <w:bCs w:val="0"/>
              </w:rPr>
              <w:t xml:space="preserve"> Tiesību akta projekta ietekme uz sabiedrību, tautsaimniecības attīstību un administratīvo slogu</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1.</w:t>
            </w:r>
          </w:p>
        </w:tc>
        <w:tc>
          <w:tcPr>
            <w:tcW w:w="3010" w:type="dxa"/>
          </w:tcPr>
          <w:p w:rsidR="00FE4973" w:rsidRPr="009656DE" w:rsidRDefault="00FE4973" w:rsidP="006D0922">
            <w:pPr>
              <w:pStyle w:val="naiskr"/>
              <w:spacing w:before="0" w:after="0"/>
              <w:rPr>
                <w:iCs/>
              </w:rPr>
            </w:pPr>
            <w:r w:rsidRPr="009656DE">
              <w:t xml:space="preserve">Sabiedrības </w:t>
            </w:r>
            <w:proofErr w:type="spellStart"/>
            <w:r w:rsidRPr="009656DE">
              <w:t>mērķgrupas</w:t>
            </w:r>
            <w:proofErr w:type="spellEnd"/>
            <w:r w:rsidRPr="009656DE">
              <w:t>, kuras tiesiskais regulējums ietekmē vai varētu ietekmēt</w:t>
            </w:r>
          </w:p>
        </w:tc>
        <w:tc>
          <w:tcPr>
            <w:tcW w:w="6082" w:type="dxa"/>
          </w:tcPr>
          <w:p w:rsidR="004F304C" w:rsidRDefault="00C60766" w:rsidP="00AA2D6D">
            <w:pPr>
              <w:pStyle w:val="naiskr"/>
              <w:tabs>
                <w:tab w:val="left" w:pos="2628"/>
              </w:tabs>
              <w:spacing w:before="0" w:after="120"/>
              <w:jc w:val="both"/>
              <w:rPr>
                <w:sz w:val="23"/>
                <w:szCs w:val="23"/>
              </w:rPr>
            </w:pPr>
            <w:r>
              <w:rPr>
                <w:sz w:val="23"/>
                <w:szCs w:val="23"/>
              </w:rPr>
              <w:t>Iedzīvotāju ienākuma nodokļa maksātāji</w:t>
            </w:r>
            <w:r w:rsidR="00543894">
              <w:rPr>
                <w:sz w:val="23"/>
                <w:szCs w:val="23"/>
              </w:rPr>
              <w:t xml:space="preserve"> un iedzīvotāju ienākuma nodokļa ieturētāji:</w:t>
            </w:r>
          </w:p>
          <w:p w:rsidR="0044128A" w:rsidRPr="0044128A" w:rsidRDefault="0044128A" w:rsidP="000C7784">
            <w:pPr>
              <w:pStyle w:val="naiskr"/>
              <w:numPr>
                <w:ilvl w:val="0"/>
                <w:numId w:val="19"/>
              </w:numPr>
              <w:tabs>
                <w:tab w:val="left" w:pos="2628"/>
              </w:tabs>
              <w:spacing w:before="0" w:after="120"/>
              <w:ind w:left="345" w:hanging="283"/>
              <w:jc w:val="both"/>
            </w:pPr>
            <w:r>
              <w:rPr>
                <w:sz w:val="23"/>
                <w:szCs w:val="23"/>
              </w:rPr>
              <w:t>darba devēji, kas veic apdrošināšanas prēmiju maksājumu par darbiniekiem, un nodokļa maksātāji – apdrošinātie darbinieki;</w:t>
            </w:r>
          </w:p>
          <w:p w:rsidR="00543894" w:rsidRDefault="0044128A" w:rsidP="000C7784">
            <w:pPr>
              <w:pStyle w:val="naiskr"/>
              <w:numPr>
                <w:ilvl w:val="0"/>
                <w:numId w:val="19"/>
              </w:numPr>
              <w:tabs>
                <w:tab w:val="left" w:pos="2628"/>
              </w:tabs>
              <w:spacing w:before="0" w:after="120"/>
              <w:ind w:left="345" w:hanging="283"/>
              <w:jc w:val="both"/>
            </w:pPr>
            <w:r>
              <w:rPr>
                <w:sz w:val="23"/>
                <w:szCs w:val="23"/>
              </w:rPr>
              <w:t>k</w:t>
            </w:r>
            <w:r w:rsidR="00543894">
              <w:rPr>
                <w:sz w:val="23"/>
                <w:szCs w:val="23"/>
              </w:rPr>
              <w:t xml:space="preserve">apitālsabiedrības un to valdes locekļi, ja </w:t>
            </w:r>
            <w:r w:rsidRPr="000768BD">
              <w:rPr>
                <w:iCs/>
              </w:rPr>
              <w:t>kapitālsabiedrībā nav bijis neviena darbinieka vai valdes locekļa, kas gūst atlīdzību, kura nav mazāka par normatīvajos aktos noteikto minimālo mēneša darba algas apmēru</w:t>
            </w:r>
            <w:r w:rsidR="00543894">
              <w:rPr>
                <w:sz w:val="23"/>
                <w:szCs w:val="23"/>
              </w:rPr>
              <w:t xml:space="preserve"> </w:t>
            </w:r>
            <w:r>
              <w:rPr>
                <w:sz w:val="23"/>
                <w:szCs w:val="23"/>
              </w:rPr>
              <w:t xml:space="preserve">vai </w:t>
            </w:r>
            <w:r>
              <w:t>kapitālsabiedrības valdes loceklim, kuram tiek maksāta alga, kas ir vismaz minimālās mēneša algas apmērā, ir piešķirta slimības lapa “B”;</w:t>
            </w:r>
          </w:p>
          <w:p w:rsidR="0044128A" w:rsidRDefault="0044128A" w:rsidP="000C7784">
            <w:pPr>
              <w:pStyle w:val="naiskr"/>
              <w:numPr>
                <w:ilvl w:val="0"/>
                <w:numId w:val="19"/>
              </w:numPr>
              <w:tabs>
                <w:tab w:val="left" w:pos="2628"/>
              </w:tabs>
              <w:spacing w:before="0" w:after="120"/>
              <w:ind w:left="345" w:hanging="283"/>
              <w:jc w:val="both"/>
            </w:pPr>
            <w:r>
              <w:t>darbinieki, kas saņem no darba devēja dāvanas</w:t>
            </w:r>
            <w:r w:rsidR="00EE2531">
              <w:t>;</w:t>
            </w:r>
          </w:p>
          <w:p w:rsidR="00543894" w:rsidRPr="00197064" w:rsidRDefault="00EE2531" w:rsidP="000C7784">
            <w:pPr>
              <w:pStyle w:val="naiskr"/>
              <w:numPr>
                <w:ilvl w:val="0"/>
                <w:numId w:val="19"/>
              </w:numPr>
              <w:tabs>
                <w:tab w:val="left" w:pos="2628"/>
              </w:tabs>
              <w:spacing w:before="0" w:after="120"/>
              <w:ind w:left="345" w:hanging="283"/>
              <w:jc w:val="both"/>
            </w:pPr>
            <w:r>
              <w:rPr>
                <w:szCs w:val="22"/>
              </w:rPr>
              <w:t xml:space="preserve">maksātāji, kas gūst </w:t>
            </w:r>
            <w:r w:rsidRPr="00C7159B">
              <w:rPr>
                <w:szCs w:val="22"/>
              </w:rPr>
              <w:t>ienākum</w:t>
            </w:r>
            <w:r>
              <w:rPr>
                <w:szCs w:val="22"/>
              </w:rPr>
              <w:t>us</w:t>
            </w:r>
            <w:r w:rsidRPr="00C7159B">
              <w:rPr>
                <w:szCs w:val="22"/>
              </w:rPr>
              <w:t xml:space="preserve"> no lauksaimnieciskās ražošanas un lauku tūrisma pakalpojumu sniegšanas, kā arī no sēņošanas, ogošanas, savvaļas ārstniecības augu un ziedu vākšanas vai nemedījamās sugas indivīda – parka vīngliemezis (</w:t>
            </w:r>
            <w:proofErr w:type="spellStart"/>
            <w:r w:rsidRPr="00C7159B">
              <w:rPr>
                <w:szCs w:val="22"/>
              </w:rPr>
              <w:t>Helix</w:t>
            </w:r>
            <w:proofErr w:type="spellEnd"/>
            <w:r w:rsidRPr="00C7159B">
              <w:rPr>
                <w:szCs w:val="22"/>
              </w:rPr>
              <w:t xml:space="preserve"> </w:t>
            </w:r>
            <w:proofErr w:type="spellStart"/>
            <w:r w:rsidRPr="00C7159B">
              <w:rPr>
                <w:szCs w:val="22"/>
              </w:rPr>
              <w:t>pomatia</w:t>
            </w:r>
            <w:proofErr w:type="spellEnd"/>
            <w:r w:rsidRPr="00C7159B">
              <w:rPr>
                <w:szCs w:val="22"/>
              </w:rPr>
              <w:t>) –</w:t>
            </w:r>
            <w:r>
              <w:rPr>
                <w:szCs w:val="22"/>
              </w:rPr>
              <w:t xml:space="preserve"> ieguves</w:t>
            </w:r>
            <w:r w:rsidR="000C7784">
              <w:rPr>
                <w:szCs w:val="22"/>
              </w:rPr>
              <w:t>.</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2.</w:t>
            </w:r>
          </w:p>
        </w:tc>
        <w:tc>
          <w:tcPr>
            <w:tcW w:w="3010" w:type="dxa"/>
          </w:tcPr>
          <w:p w:rsidR="00FE4973" w:rsidRPr="009656DE" w:rsidRDefault="00FE4973" w:rsidP="006D0922">
            <w:pPr>
              <w:pStyle w:val="naiskr"/>
              <w:spacing w:before="0" w:after="0"/>
            </w:pPr>
            <w:r w:rsidRPr="009656DE">
              <w:t>Tiesiskā regulējuma ietekme uz tautsaimniecību un administratīvo slogu</w:t>
            </w:r>
          </w:p>
        </w:tc>
        <w:tc>
          <w:tcPr>
            <w:tcW w:w="6082" w:type="dxa"/>
          </w:tcPr>
          <w:p w:rsidR="00B9193F" w:rsidRPr="009656DE" w:rsidRDefault="003F7E24" w:rsidP="00506F1D">
            <w:pPr>
              <w:pStyle w:val="naiskr"/>
              <w:tabs>
                <w:tab w:val="left" w:pos="2628"/>
              </w:tabs>
              <w:spacing w:before="0" w:after="120"/>
              <w:jc w:val="both"/>
            </w:pPr>
            <w:r>
              <w:t>Projekts šo jomu neskar.</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3.</w:t>
            </w:r>
          </w:p>
        </w:tc>
        <w:tc>
          <w:tcPr>
            <w:tcW w:w="3010" w:type="dxa"/>
          </w:tcPr>
          <w:p w:rsidR="00FE4973" w:rsidRPr="009656DE" w:rsidRDefault="00FE4973" w:rsidP="006D0922">
            <w:pPr>
              <w:pStyle w:val="naiskr"/>
              <w:tabs>
                <w:tab w:val="left" w:pos="2628"/>
              </w:tabs>
              <w:spacing w:before="0" w:after="0"/>
              <w:rPr>
                <w:iCs/>
              </w:rPr>
            </w:pPr>
            <w:r w:rsidRPr="009656DE">
              <w:t>Administratīvo izmaksu monetārs novērtējums</w:t>
            </w:r>
          </w:p>
        </w:tc>
        <w:tc>
          <w:tcPr>
            <w:tcW w:w="6082" w:type="dxa"/>
          </w:tcPr>
          <w:p w:rsidR="00FE4973" w:rsidRPr="001679AF" w:rsidRDefault="00303F8C" w:rsidP="00506F1D">
            <w:pPr>
              <w:pStyle w:val="naiskr"/>
              <w:tabs>
                <w:tab w:val="left" w:pos="2628"/>
              </w:tabs>
              <w:spacing w:before="0" w:after="120"/>
              <w:jc w:val="both"/>
              <w:rPr>
                <w:iCs/>
              </w:rPr>
            </w:pPr>
            <w:r>
              <w:rPr>
                <w:iCs/>
              </w:rPr>
              <w:t>Projekts šo jomu neskar.</w:t>
            </w:r>
          </w:p>
        </w:tc>
      </w:tr>
      <w:tr w:rsidR="009A0027" w:rsidRPr="009656DE" w:rsidTr="00C95F30">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4.</w:t>
            </w:r>
          </w:p>
        </w:tc>
        <w:tc>
          <w:tcPr>
            <w:tcW w:w="3010" w:type="dxa"/>
          </w:tcPr>
          <w:p w:rsidR="00FE4973" w:rsidRPr="009656DE" w:rsidRDefault="00FE4973" w:rsidP="006D0922">
            <w:pPr>
              <w:pStyle w:val="naiskr"/>
              <w:tabs>
                <w:tab w:val="left" w:pos="2628"/>
              </w:tabs>
              <w:spacing w:before="0" w:after="0"/>
            </w:pPr>
            <w:r w:rsidRPr="009656DE">
              <w:t>Cita informācija</w:t>
            </w:r>
          </w:p>
        </w:tc>
        <w:tc>
          <w:tcPr>
            <w:tcW w:w="6082" w:type="dxa"/>
          </w:tcPr>
          <w:p w:rsidR="00FE4973" w:rsidRPr="009656DE" w:rsidRDefault="00F64A42" w:rsidP="00506F1D">
            <w:pPr>
              <w:pStyle w:val="naiskr"/>
              <w:tabs>
                <w:tab w:val="left" w:pos="2628"/>
              </w:tabs>
              <w:spacing w:before="0" w:after="120"/>
              <w:jc w:val="both"/>
            </w:pPr>
            <w:r w:rsidRPr="009656DE">
              <w:t>Nav.</w:t>
            </w:r>
          </w:p>
        </w:tc>
      </w:tr>
    </w:tbl>
    <w:p w:rsidR="00C66859" w:rsidRDefault="00C66859" w:rsidP="006D0922">
      <w:pPr>
        <w:pStyle w:val="naisf"/>
        <w:spacing w:before="0" w:after="0"/>
        <w:ind w:firstLine="0"/>
      </w:pPr>
    </w:p>
    <w:p w:rsidR="00904019" w:rsidRPr="009656DE" w:rsidRDefault="000C7784" w:rsidP="006D0922">
      <w:pPr>
        <w:pStyle w:val="naisf"/>
        <w:spacing w:before="0" w:after="0"/>
        <w:ind w:firstLine="0"/>
      </w:pPr>
      <w:r>
        <w:t xml:space="preserve">III., </w:t>
      </w:r>
      <w:r w:rsidR="00904019">
        <w:t>IV.</w:t>
      </w:r>
      <w:r w:rsidR="009D4CF3">
        <w:t xml:space="preserve"> un</w:t>
      </w:r>
      <w:r w:rsidR="00904019">
        <w:t xml:space="preserve"> V. sadaļa – projekts šīs jomas neskar</w:t>
      </w:r>
    </w:p>
    <w:p w:rsidR="00DB264F" w:rsidRPr="009656DE" w:rsidRDefault="00DB264F" w:rsidP="006D0922">
      <w:pPr>
        <w:pStyle w:val="naisf"/>
        <w:spacing w:before="0" w:after="0"/>
        <w:ind w:firstLine="0"/>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154"/>
        <w:gridCol w:w="6925"/>
      </w:tblGrid>
      <w:tr w:rsidR="002F7155" w:rsidRPr="007F7755" w:rsidTr="00FE1592">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2F7155" w:rsidRPr="007F7755" w:rsidRDefault="002F7155" w:rsidP="004B4070">
            <w:pPr>
              <w:spacing w:before="100" w:beforeAutospacing="1" w:after="100" w:afterAutospacing="1"/>
              <w:jc w:val="center"/>
              <w:rPr>
                <w:b/>
                <w:bCs/>
                <w:sz w:val="26"/>
                <w:szCs w:val="26"/>
              </w:rPr>
            </w:pPr>
            <w:r w:rsidRPr="007F7755">
              <w:rPr>
                <w:b/>
                <w:bCs/>
                <w:sz w:val="26"/>
                <w:szCs w:val="26"/>
              </w:rPr>
              <w:t>VI. Sabiedrības līdzdalība un komunikācijas aktivitātes</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jc w:val="both"/>
            </w:pPr>
            <w:r w:rsidRPr="00A41F50">
              <w:t>1.</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Plānotās sabiedrības līdzdalības un komunikācijas aktivitātes saistībā ar projektu</w:t>
            </w:r>
          </w:p>
        </w:tc>
        <w:tc>
          <w:tcPr>
            <w:tcW w:w="3591" w:type="pct"/>
            <w:tcBorders>
              <w:top w:val="outset" w:sz="6" w:space="0" w:color="000000"/>
              <w:left w:val="outset" w:sz="6" w:space="0" w:color="000000"/>
              <w:bottom w:val="outset" w:sz="6" w:space="0" w:color="000000"/>
              <w:right w:val="outset" w:sz="6" w:space="0" w:color="000000"/>
            </w:tcBorders>
            <w:vAlign w:val="center"/>
          </w:tcPr>
          <w:p w:rsidR="005A12A9" w:rsidRPr="00A41F50" w:rsidRDefault="005A12A9" w:rsidP="00F26D72">
            <w:pPr>
              <w:jc w:val="both"/>
            </w:pPr>
            <w:r w:rsidRPr="00A41F50">
              <w:t>Saskaņošana ar sabiedrības pārstāvjiem nav n</w:t>
            </w:r>
            <w:r w:rsidR="00F80160">
              <w:t>epieciešama</w:t>
            </w:r>
            <w:r w:rsidRPr="00A41F50">
              <w:t xml:space="preserve">, jo </w:t>
            </w:r>
            <w:r w:rsidR="003F7E24" w:rsidRPr="00A41F50">
              <w:t xml:space="preserve">Ministru kabineta noteikumu projekts tikai </w:t>
            </w:r>
            <w:r w:rsidR="00F80160">
              <w:t xml:space="preserve">precizē noteikumus saskaņā ar grozījumiem likumā “Par iedzīvotāju ienākuma nodokli”, kā arī aktualizē noteikumu pielikumos esošajos piemēros </w:t>
            </w:r>
            <w:r w:rsidR="00F80160" w:rsidRPr="00F80160">
              <w:t>valsts sociālās apdrošināšanas</w:t>
            </w:r>
            <w:r w:rsidR="00F80160">
              <w:t xml:space="preserve"> obligāto</w:t>
            </w:r>
            <w:r w:rsidR="00F80160" w:rsidRPr="00F80160">
              <w:t xml:space="preserve"> iemaksu un iedzīvotāju ienākuma nodokļa likmes.</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jc w:val="both"/>
            </w:pPr>
            <w:r w:rsidRPr="00A41F50">
              <w:t>2.</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Sabiedrības līdzdalība projekta izstrādē</w:t>
            </w:r>
          </w:p>
        </w:tc>
        <w:tc>
          <w:tcPr>
            <w:tcW w:w="3591" w:type="pct"/>
            <w:tcBorders>
              <w:top w:val="outset" w:sz="6" w:space="0" w:color="000000"/>
              <w:left w:val="outset" w:sz="6" w:space="0" w:color="000000"/>
              <w:bottom w:val="outset" w:sz="6" w:space="0" w:color="000000"/>
              <w:right w:val="outset" w:sz="6" w:space="0" w:color="000000"/>
            </w:tcBorders>
            <w:vAlign w:val="center"/>
          </w:tcPr>
          <w:p w:rsidR="002F7155" w:rsidRPr="00AD6596" w:rsidRDefault="002F7155" w:rsidP="004B4070">
            <w:pPr>
              <w:spacing w:before="100" w:beforeAutospacing="1" w:after="100" w:afterAutospacing="1"/>
              <w:jc w:val="both"/>
            </w:pPr>
            <w:r w:rsidRPr="00AD6596">
              <w:rPr>
                <w:iCs/>
              </w:rPr>
              <w:t>Projekts šo jomu neskar.</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jc w:val="both"/>
            </w:pPr>
            <w:r w:rsidRPr="00A41F50">
              <w:t>3.</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Sabiedrības līdzdalības rezultāti</w:t>
            </w:r>
          </w:p>
        </w:tc>
        <w:tc>
          <w:tcPr>
            <w:tcW w:w="3591" w:type="pct"/>
            <w:tcBorders>
              <w:top w:val="outset" w:sz="6" w:space="0" w:color="000000"/>
              <w:left w:val="outset" w:sz="6" w:space="0" w:color="000000"/>
              <w:bottom w:val="outset" w:sz="6" w:space="0" w:color="000000"/>
              <w:right w:val="outset" w:sz="6" w:space="0" w:color="000000"/>
            </w:tcBorders>
            <w:vAlign w:val="center"/>
          </w:tcPr>
          <w:p w:rsidR="002F7155" w:rsidRPr="007F7755" w:rsidRDefault="00F80160" w:rsidP="005A12A9">
            <w:pPr>
              <w:spacing w:before="100" w:beforeAutospacing="1" w:after="100" w:afterAutospacing="1"/>
              <w:jc w:val="both"/>
              <w:rPr>
                <w:sz w:val="26"/>
                <w:szCs w:val="26"/>
              </w:rPr>
            </w:pPr>
            <w:r>
              <w:t>Nav.</w:t>
            </w:r>
          </w:p>
        </w:tc>
      </w:tr>
      <w:tr w:rsidR="002F7155" w:rsidRPr="007F7755" w:rsidTr="00FE1592">
        <w:tc>
          <w:tcPr>
            <w:tcW w:w="291" w:type="pct"/>
            <w:tcBorders>
              <w:top w:val="outset" w:sz="6" w:space="0" w:color="000000"/>
              <w:left w:val="outset" w:sz="6" w:space="0" w:color="000000"/>
              <w:bottom w:val="outset" w:sz="6" w:space="0" w:color="000000"/>
              <w:right w:val="outset" w:sz="6" w:space="0" w:color="000000"/>
            </w:tcBorders>
            <w:vAlign w:val="center"/>
          </w:tcPr>
          <w:p w:rsidR="002F7155" w:rsidRPr="00DA3E49" w:rsidRDefault="002F7155" w:rsidP="004B4070">
            <w:pPr>
              <w:spacing w:before="100" w:beforeAutospacing="1" w:after="100" w:afterAutospacing="1"/>
              <w:jc w:val="both"/>
            </w:pPr>
            <w:r w:rsidRPr="00DA3E49">
              <w:t>4.</w:t>
            </w:r>
          </w:p>
        </w:tc>
        <w:tc>
          <w:tcPr>
            <w:tcW w:w="1117" w:type="pct"/>
            <w:tcBorders>
              <w:top w:val="outset" w:sz="6" w:space="0" w:color="000000"/>
              <w:left w:val="outset" w:sz="6" w:space="0" w:color="000000"/>
              <w:bottom w:val="outset" w:sz="6" w:space="0" w:color="000000"/>
              <w:right w:val="outset" w:sz="6" w:space="0" w:color="000000"/>
            </w:tcBorders>
            <w:vAlign w:val="center"/>
          </w:tcPr>
          <w:p w:rsidR="002F7155" w:rsidRPr="00A41F50" w:rsidRDefault="002F7155" w:rsidP="004B4070">
            <w:pPr>
              <w:spacing w:before="100" w:beforeAutospacing="1" w:after="100" w:afterAutospacing="1"/>
            </w:pPr>
            <w:r w:rsidRPr="00A41F50">
              <w:t>Cita informācija</w:t>
            </w:r>
          </w:p>
        </w:tc>
        <w:tc>
          <w:tcPr>
            <w:tcW w:w="3591" w:type="pct"/>
            <w:tcBorders>
              <w:top w:val="outset" w:sz="6" w:space="0" w:color="000000"/>
              <w:left w:val="outset" w:sz="6" w:space="0" w:color="000000"/>
              <w:bottom w:val="outset" w:sz="6" w:space="0" w:color="000000"/>
              <w:right w:val="outset" w:sz="6" w:space="0" w:color="000000"/>
            </w:tcBorders>
            <w:vAlign w:val="center"/>
          </w:tcPr>
          <w:p w:rsidR="002F7155" w:rsidRPr="00DA3E49" w:rsidRDefault="002F7155" w:rsidP="004B4070">
            <w:r w:rsidRPr="00DA3E49">
              <w:t>Nav.</w:t>
            </w:r>
          </w:p>
        </w:tc>
      </w:tr>
    </w:tbl>
    <w:p w:rsidR="00E62175" w:rsidRPr="009656DE" w:rsidRDefault="00E62175" w:rsidP="006D0922">
      <w:pPr>
        <w:pStyle w:val="naisf"/>
        <w:spacing w:before="0" w:after="0"/>
        <w:ind w:firstLine="0"/>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90"/>
        <w:gridCol w:w="4365"/>
        <w:gridCol w:w="4505"/>
      </w:tblGrid>
      <w:tr w:rsidR="000844FE" w:rsidRPr="000844FE" w:rsidTr="000844FE">
        <w:tc>
          <w:tcPr>
            <w:tcW w:w="5000" w:type="pct"/>
            <w:gridSpan w:val="3"/>
            <w:tcBorders>
              <w:top w:val="outset" w:sz="6" w:space="0" w:color="000000"/>
              <w:left w:val="outset" w:sz="6" w:space="0" w:color="000000"/>
              <w:bottom w:val="outset" w:sz="6" w:space="0" w:color="000000"/>
              <w:right w:val="outset" w:sz="6" w:space="0" w:color="000000"/>
            </w:tcBorders>
            <w:hideMark/>
          </w:tcPr>
          <w:p w:rsidR="000844FE" w:rsidRPr="000844FE" w:rsidRDefault="000844FE" w:rsidP="000844FE">
            <w:pPr>
              <w:jc w:val="center"/>
              <w:rPr>
                <w:b/>
                <w:bCs/>
                <w:sz w:val="26"/>
                <w:szCs w:val="26"/>
              </w:rPr>
            </w:pPr>
            <w:r w:rsidRPr="000844FE">
              <w:rPr>
                <w:b/>
                <w:bCs/>
                <w:sz w:val="26"/>
                <w:szCs w:val="26"/>
              </w:rPr>
              <w:t>VII. Tiesību akta projekta izpildes nodrošināšana un tās ietekme uz institūcijām</w:t>
            </w:r>
          </w:p>
        </w:tc>
      </w:tr>
      <w:tr w:rsidR="000844FE" w:rsidRPr="000844FE" w:rsidTr="000844FE">
        <w:tc>
          <w:tcPr>
            <w:tcW w:w="361"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1.</w:t>
            </w:r>
          </w:p>
        </w:tc>
        <w:tc>
          <w:tcPr>
            <w:tcW w:w="2283"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pPr>
              <w:jc w:val="both"/>
            </w:pPr>
            <w:r w:rsidRPr="00DA3E49">
              <w:t>Valsts ieņēmumu dienests.</w:t>
            </w:r>
          </w:p>
        </w:tc>
      </w:tr>
      <w:tr w:rsidR="000844FE" w:rsidRPr="000844FE" w:rsidTr="000844FE">
        <w:tc>
          <w:tcPr>
            <w:tcW w:w="361"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2.</w:t>
            </w:r>
          </w:p>
        </w:tc>
        <w:tc>
          <w:tcPr>
            <w:tcW w:w="2283"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Projekta izpildes ietekme uz pārvaldes funkcijām un institucionālo struktūru.</w:t>
            </w:r>
          </w:p>
          <w:p w:rsidR="000844FE" w:rsidRPr="00DA3E49" w:rsidRDefault="000844FE" w:rsidP="000844FE">
            <w:r w:rsidRPr="00DA3E49">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Funkcijas un uzdevumi netiek grozīti.</w:t>
            </w:r>
          </w:p>
        </w:tc>
      </w:tr>
      <w:tr w:rsidR="000844FE" w:rsidRPr="000844FE" w:rsidTr="000844FE">
        <w:tc>
          <w:tcPr>
            <w:tcW w:w="361"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3.</w:t>
            </w:r>
          </w:p>
        </w:tc>
        <w:tc>
          <w:tcPr>
            <w:tcW w:w="2283"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rsidR="000844FE" w:rsidRPr="00DA3E49" w:rsidRDefault="000844FE" w:rsidP="000844FE">
            <w:r w:rsidRPr="00DA3E49">
              <w:t>Nav.</w:t>
            </w:r>
          </w:p>
        </w:tc>
      </w:tr>
    </w:tbl>
    <w:p w:rsidR="00080AD1" w:rsidRPr="00F26D72" w:rsidRDefault="00080AD1" w:rsidP="006D0922">
      <w:pPr>
        <w:pStyle w:val="naisf"/>
        <w:tabs>
          <w:tab w:val="left" w:pos="6804"/>
        </w:tabs>
        <w:spacing w:before="0" w:after="0"/>
        <w:ind w:firstLine="0"/>
        <w:rPr>
          <w:sz w:val="28"/>
          <w:szCs w:val="28"/>
        </w:rPr>
      </w:pPr>
    </w:p>
    <w:p w:rsidR="00EC259A" w:rsidRDefault="00EC259A" w:rsidP="006D0922">
      <w:pPr>
        <w:pStyle w:val="naisf"/>
        <w:tabs>
          <w:tab w:val="left" w:pos="6804"/>
        </w:tabs>
        <w:spacing w:before="0" w:after="0"/>
        <w:ind w:firstLine="0"/>
        <w:rPr>
          <w:sz w:val="28"/>
          <w:szCs w:val="28"/>
        </w:rPr>
      </w:pPr>
    </w:p>
    <w:p w:rsidR="007A66D8" w:rsidRDefault="00081E26" w:rsidP="006D0922">
      <w:pPr>
        <w:pStyle w:val="naisf"/>
        <w:tabs>
          <w:tab w:val="left" w:pos="6804"/>
        </w:tabs>
        <w:spacing w:before="0" w:after="0"/>
        <w:ind w:firstLine="0"/>
        <w:rPr>
          <w:sz w:val="28"/>
          <w:szCs w:val="28"/>
        </w:rPr>
      </w:pPr>
      <w:r>
        <w:rPr>
          <w:sz w:val="28"/>
          <w:szCs w:val="28"/>
        </w:rPr>
        <w:t>Finanšu ministr</w:t>
      </w:r>
      <w:r w:rsidR="00F80160">
        <w:rPr>
          <w:sz w:val="28"/>
          <w:szCs w:val="28"/>
        </w:rPr>
        <w:t>e</w:t>
      </w:r>
      <w:r w:rsidR="00F26D72">
        <w:rPr>
          <w:sz w:val="28"/>
          <w:szCs w:val="28"/>
        </w:rPr>
        <w:t xml:space="preserve">                                                                        </w:t>
      </w:r>
      <w:proofErr w:type="spellStart"/>
      <w:r w:rsidR="00F80160">
        <w:rPr>
          <w:sz w:val="28"/>
          <w:szCs w:val="28"/>
        </w:rPr>
        <w:t>D.Reizniece</w:t>
      </w:r>
      <w:proofErr w:type="spellEnd"/>
      <w:r w:rsidR="00386C07">
        <w:rPr>
          <w:sz w:val="28"/>
          <w:szCs w:val="28"/>
        </w:rPr>
        <w:t xml:space="preserve"> </w:t>
      </w:r>
      <w:r w:rsidR="00F26D72">
        <w:rPr>
          <w:sz w:val="28"/>
          <w:szCs w:val="28"/>
        </w:rPr>
        <w:t>–</w:t>
      </w:r>
      <w:r w:rsidR="00386C07">
        <w:rPr>
          <w:sz w:val="28"/>
          <w:szCs w:val="28"/>
        </w:rPr>
        <w:t xml:space="preserve"> </w:t>
      </w:r>
      <w:r w:rsidR="00F80160">
        <w:rPr>
          <w:sz w:val="28"/>
          <w:szCs w:val="28"/>
        </w:rPr>
        <w:t>Ozola</w:t>
      </w:r>
    </w:p>
    <w:p w:rsidR="00F26D72" w:rsidRDefault="00F26D72" w:rsidP="006D0922">
      <w:pPr>
        <w:pStyle w:val="naisf"/>
        <w:tabs>
          <w:tab w:val="left" w:pos="6804"/>
        </w:tabs>
        <w:spacing w:before="0" w:after="0"/>
        <w:ind w:firstLine="0"/>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EC259A" w:rsidRDefault="00EC259A" w:rsidP="00386C07">
      <w:pPr>
        <w:tabs>
          <w:tab w:val="left" w:pos="7088"/>
        </w:tabs>
        <w:jc w:val="both"/>
        <w:rPr>
          <w:iCs/>
          <w:color w:val="000000" w:themeColor="text1"/>
          <w:sz w:val="20"/>
          <w:szCs w:val="20"/>
        </w:rPr>
      </w:pPr>
    </w:p>
    <w:p w:rsidR="00D56981" w:rsidRDefault="00D56981" w:rsidP="00386C07">
      <w:pPr>
        <w:tabs>
          <w:tab w:val="left" w:pos="7088"/>
        </w:tabs>
        <w:jc w:val="both"/>
        <w:rPr>
          <w:iCs/>
          <w:color w:val="000000" w:themeColor="text1"/>
          <w:sz w:val="20"/>
          <w:szCs w:val="20"/>
        </w:rPr>
      </w:pPr>
    </w:p>
    <w:p w:rsidR="00D56981" w:rsidRDefault="00D56981" w:rsidP="00386C07">
      <w:pPr>
        <w:tabs>
          <w:tab w:val="left" w:pos="7088"/>
        </w:tabs>
        <w:jc w:val="both"/>
        <w:rPr>
          <w:iCs/>
          <w:color w:val="000000" w:themeColor="text1"/>
          <w:sz w:val="20"/>
          <w:szCs w:val="20"/>
        </w:rPr>
      </w:pPr>
    </w:p>
    <w:p w:rsidR="00D56981" w:rsidRDefault="00D56981" w:rsidP="00386C07">
      <w:pPr>
        <w:tabs>
          <w:tab w:val="left" w:pos="7088"/>
        </w:tabs>
        <w:jc w:val="both"/>
        <w:rPr>
          <w:iCs/>
          <w:color w:val="000000" w:themeColor="text1"/>
          <w:sz w:val="20"/>
          <w:szCs w:val="20"/>
        </w:rPr>
      </w:pPr>
    </w:p>
    <w:p w:rsidR="00D56981" w:rsidRDefault="00D56981" w:rsidP="00386C07">
      <w:pPr>
        <w:tabs>
          <w:tab w:val="left" w:pos="7088"/>
        </w:tabs>
        <w:jc w:val="both"/>
        <w:rPr>
          <w:iCs/>
          <w:color w:val="000000" w:themeColor="text1"/>
          <w:sz w:val="20"/>
          <w:szCs w:val="20"/>
        </w:rPr>
      </w:pPr>
    </w:p>
    <w:p w:rsidR="00C95259" w:rsidRDefault="00C95259" w:rsidP="00386C07">
      <w:pPr>
        <w:tabs>
          <w:tab w:val="left" w:pos="7088"/>
        </w:tabs>
        <w:jc w:val="both"/>
        <w:rPr>
          <w:iCs/>
          <w:color w:val="000000" w:themeColor="text1"/>
          <w:sz w:val="20"/>
          <w:szCs w:val="20"/>
        </w:rPr>
      </w:pPr>
      <w:r>
        <w:rPr>
          <w:iCs/>
          <w:color w:val="000000" w:themeColor="text1"/>
          <w:sz w:val="20"/>
          <w:szCs w:val="20"/>
        </w:rPr>
        <w:t>20.10.2016</w:t>
      </w:r>
    </w:p>
    <w:p w:rsidR="00386C07" w:rsidRPr="000E7EDB" w:rsidRDefault="00386C07" w:rsidP="00386C07">
      <w:pPr>
        <w:tabs>
          <w:tab w:val="left" w:pos="7088"/>
        </w:tabs>
        <w:jc w:val="both"/>
        <w:rPr>
          <w:iCs/>
          <w:color w:val="000000" w:themeColor="text1"/>
          <w:sz w:val="20"/>
          <w:szCs w:val="20"/>
        </w:rPr>
      </w:pPr>
      <w:r w:rsidRPr="000E7EDB">
        <w:rPr>
          <w:iCs/>
          <w:color w:val="000000" w:themeColor="text1"/>
          <w:sz w:val="20"/>
          <w:szCs w:val="20"/>
        </w:rPr>
        <w:fldChar w:fldCharType="begin"/>
      </w:r>
      <w:r w:rsidRPr="000E7EDB">
        <w:rPr>
          <w:color w:val="000000" w:themeColor="text1"/>
          <w:sz w:val="20"/>
          <w:szCs w:val="20"/>
        </w:rPr>
        <w:instrText xml:space="preserve"> NUMWORDS  \* MERGEFORMAT </w:instrText>
      </w:r>
      <w:r w:rsidRPr="000E7EDB">
        <w:rPr>
          <w:iCs/>
          <w:color w:val="000000" w:themeColor="text1"/>
          <w:sz w:val="20"/>
          <w:szCs w:val="20"/>
        </w:rPr>
        <w:fldChar w:fldCharType="separate"/>
      </w:r>
      <w:r w:rsidR="00C95259">
        <w:rPr>
          <w:noProof/>
          <w:color w:val="000000" w:themeColor="text1"/>
          <w:sz w:val="20"/>
          <w:szCs w:val="20"/>
        </w:rPr>
        <w:t>1317</w:t>
      </w:r>
      <w:r w:rsidRPr="000E7EDB">
        <w:rPr>
          <w:iCs/>
          <w:color w:val="000000" w:themeColor="text1"/>
          <w:sz w:val="20"/>
          <w:szCs w:val="20"/>
        </w:rPr>
        <w:fldChar w:fldCharType="end"/>
      </w:r>
    </w:p>
    <w:p w:rsidR="00386C07" w:rsidRPr="000E7EDB" w:rsidRDefault="00386C07" w:rsidP="00386C07">
      <w:pPr>
        <w:rPr>
          <w:iCs/>
          <w:color w:val="000000" w:themeColor="text1"/>
          <w:sz w:val="20"/>
          <w:szCs w:val="20"/>
        </w:rPr>
      </w:pPr>
      <w:r w:rsidRPr="000E7EDB">
        <w:rPr>
          <w:color w:val="000000" w:themeColor="text1"/>
          <w:sz w:val="20"/>
          <w:szCs w:val="20"/>
        </w:rPr>
        <w:t>Finanšu ministrijas Tiešo nodokļu departamenta</w:t>
      </w:r>
    </w:p>
    <w:p w:rsidR="00386C07" w:rsidRPr="000E7EDB" w:rsidRDefault="00386C07" w:rsidP="00386C07">
      <w:pPr>
        <w:rPr>
          <w:iCs/>
          <w:color w:val="000000" w:themeColor="text1"/>
          <w:sz w:val="20"/>
          <w:szCs w:val="20"/>
        </w:rPr>
      </w:pPr>
      <w:r w:rsidRPr="000E7EDB">
        <w:rPr>
          <w:color w:val="000000" w:themeColor="text1"/>
          <w:sz w:val="20"/>
          <w:szCs w:val="20"/>
        </w:rPr>
        <w:t xml:space="preserve">Īpašuma un iedzīvotāju ienākuma </w:t>
      </w:r>
    </w:p>
    <w:p w:rsidR="00386C07" w:rsidRPr="000E7EDB" w:rsidRDefault="00386C07" w:rsidP="00386C07">
      <w:pPr>
        <w:rPr>
          <w:iCs/>
          <w:color w:val="000000" w:themeColor="text1"/>
          <w:sz w:val="20"/>
          <w:szCs w:val="20"/>
        </w:rPr>
      </w:pPr>
      <w:r w:rsidRPr="000E7EDB">
        <w:rPr>
          <w:color w:val="000000" w:themeColor="text1"/>
          <w:sz w:val="20"/>
          <w:szCs w:val="20"/>
        </w:rPr>
        <w:t>nodokļu nodaļas vadītājas vietniece</w:t>
      </w:r>
    </w:p>
    <w:p w:rsidR="00386C07" w:rsidRPr="000E7EDB" w:rsidRDefault="00386C07" w:rsidP="00386C07">
      <w:pPr>
        <w:rPr>
          <w:iCs/>
          <w:color w:val="000000" w:themeColor="text1"/>
          <w:sz w:val="20"/>
          <w:szCs w:val="16"/>
        </w:rPr>
      </w:pPr>
      <w:r w:rsidRPr="000E7EDB">
        <w:rPr>
          <w:color w:val="000000" w:themeColor="text1"/>
          <w:sz w:val="20"/>
        </w:rPr>
        <w:t>Veinberga 67083848,</w:t>
      </w:r>
      <w:r w:rsidRPr="000E7EDB">
        <w:rPr>
          <w:color w:val="000000" w:themeColor="text1"/>
          <w:sz w:val="20"/>
          <w:szCs w:val="16"/>
        </w:rPr>
        <w:t xml:space="preserve"> faksa Nr.67095421</w:t>
      </w:r>
    </w:p>
    <w:p w:rsidR="00386C07" w:rsidRPr="000E7EDB" w:rsidRDefault="00030BC6" w:rsidP="00386C07">
      <w:pPr>
        <w:rPr>
          <w:color w:val="000000" w:themeColor="text1"/>
          <w:szCs w:val="28"/>
        </w:rPr>
      </w:pPr>
      <w:hyperlink r:id="rId12" w:history="1">
        <w:r w:rsidR="00386C07" w:rsidRPr="000E7EDB">
          <w:rPr>
            <w:color w:val="000000" w:themeColor="text1"/>
            <w:sz w:val="20"/>
            <w:u w:val="single"/>
          </w:rPr>
          <w:t>Inese.Veinberga@fm.gov.lv</w:t>
        </w:r>
      </w:hyperlink>
    </w:p>
    <w:p w:rsidR="007A66D8" w:rsidRPr="009656DE" w:rsidRDefault="00F66B0E" w:rsidP="00AF66CA">
      <w:pPr>
        <w:tabs>
          <w:tab w:val="center" w:pos="4153"/>
          <w:tab w:val="right" w:pos="8306"/>
        </w:tabs>
      </w:pPr>
      <w:r>
        <w:rPr>
          <w:sz w:val="20"/>
        </w:rPr>
        <w:t xml:space="preserve"> </w:t>
      </w:r>
    </w:p>
    <w:sectPr w:rsidR="007A66D8" w:rsidRPr="009656DE" w:rsidSect="00F62F4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E0" w:rsidRDefault="00FD3FE0">
      <w:r>
        <w:separator/>
      </w:r>
    </w:p>
  </w:endnote>
  <w:endnote w:type="continuationSeparator" w:id="0">
    <w:p w:rsidR="00FD3FE0" w:rsidRDefault="00FD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D805F0" w:rsidRDefault="00A70C12" w:rsidP="002542DA">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030BC6">
      <w:rPr>
        <w:noProof/>
        <w:sz w:val="20"/>
        <w:szCs w:val="20"/>
      </w:rPr>
      <w:t>FMAnot_101016_MK899.docx</w:t>
    </w:r>
    <w:r>
      <w:rPr>
        <w:sz w:val="20"/>
        <w:szCs w:val="20"/>
      </w:rPr>
      <w:fldChar w:fldCharType="end"/>
    </w:r>
    <w:r w:rsidR="00D805F0" w:rsidRPr="002542DA">
      <w:rPr>
        <w:sz w:val="20"/>
        <w:szCs w:val="20"/>
      </w:rPr>
      <w:t xml:space="preserve">; </w:t>
    </w:r>
    <w:r w:rsidRPr="00A70C12">
      <w:rPr>
        <w:sz w:val="20"/>
        <w:szCs w:val="20"/>
      </w:rPr>
      <w:t xml:space="preserve">Ministru kabineta noteikumu projekta </w:t>
    </w:r>
    <w:r w:rsidR="00D84689">
      <w:rPr>
        <w:sz w:val="20"/>
        <w:szCs w:val="20"/>
      </w:rPr>
      <w:t>“Grozījumi Ministru kabineta 2010.gada 21.septembra noteikumos Nr.899 “Likuma “Par iedzīvotāju ienākuma nodokli” normu piemērošanas kārtība””</w:t>
    </w:r>
    <w:r w:rsidRPr="00A70C12">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89" w:rsidRPr="00D84689" w:rsidRDefault="00D84689" w:rsidP="00D84689">
    <w:pPr>
      <w:pStyle w:val="Footer"/>
      <w:rPr>
        <w:sz w:val="20"/>
        <w:szCs w:val="20"/>
      </w:rPr>
    </w:pPr>
    <w:r w:rsidRPr="00D84689">
      <w:rPr>
        <w:sz w:val="20"/>
        <w:szCs w:val="20"/>
      </w:rPr>
      <w:fldChar w:fldCharType="begin"/>
    </w:r>
    <w:r w:rsidRPr="00D84689">
      <w:rPr>
        <w:sz w:val="20"/>
        <w:szCs w:val="20"/>
      </w:rPr>
      <w:instrText xml:space="preserve"> FILENAME   \* MERGEFORMAT </w:instrText>
    </w:r>
    <w:r w:rsidRPr="00D84689">
      <w:rPr>
        <w:sz w:val="20"/>
        <w:szCs w:val="20"/>
      </w:rPr>
      <w:fldChar w:fldCharType="separate"/>
    </w:r>
    <w:r w:rsidR="00030BC6">
      <w:rPr>
        <w:noProof/>
        <w:sz w:val="20"/>
        <w:szCs w:val="20"/>
      </w:rPr>
      <w:t>FMAnot_101016_MK899.docx</w:t>
    </w:r>
    <w:r w:rsidRPr="00D84689">
      <w:rPr>
        <w:sz w:val="20"/>
        <w:szCs w:val="20"/>
      </w:rPr>
      <w:fldChar w:fldCharType="end"/>
    </w:r>
    <w:r w:rsidRPr="00D84689">
      <w:rPr>
        <w:sz w:val="20"/>
        <w:szCs w:val="20"/>
      </w:rPr>
      <w:t>; Ministru kabineta noteikumu projekta “Grozījumi Ministru kabineta 2010.gada 21.septembra noteikumos Nr.899 “Likuma “Par iedzīvotāju ienākuma nodokli” normu piemērošanas kārtība””” sākotnējās ietekmes novērtējuma ziņojums (anotācija)</w:t>
    </w:r>
  </w:p>
  <w:p w:rsidR="00D84689" w:rsidRPr="002542DA" w:rsidRDefault="00D84689" w:rsidP="002542DA">
    <w:pPr>
      <w:pStyle w:val="Footer"/>
      <w:jc w:val="both"/>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E0" w:rsidRDefault="00FD3FE0">
      <w:r>
        <w:separator/>
      </w:r>
    </w:p>
  </w:footnote>
  <w:footnote w:type="continuationSeparator" w:id="0">
    <w:p w:rsidR="00FD3FE0" w:rsidRDefault="00FD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BC6">
      <w:rPr>
        <w:rStyle w:val="PageNumber"/>
        <w:noProof/>
      </w:rPr>
      <w:t>5</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AB0610"/>
    <w:multiLevelType w:val="hybridMultilevel"/>
    <w:tmpl w:val="391EBA0A"/>
    <w:lvl w:ilvl="0" w:tplc="5D00618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1C1902"/>
    <w:multiLevelType w:val="hybridMultilevel"/>
    <w:tmpl w:val="7D826D5A"/>
    <w:lvl w:ilvl="0" w:tplc="1952E28A">
      <w:numFmt w:val="bullet"/>
      <w:lvlText w:val="-"/>
      <w:lvlJc w:val="left"/>
      <w:pPr>
        <w:ind w:left="720" w:hanging="360"/>
      </w:pPr>
      <w:rPr>
        <w:rFonts w:ascii="Times New Roman" w:eastAsia="Times New Roman" w:hAnsi="Times New Roman" w:cs="Times New Roman" w:hint="default"/>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6F14EDD"/>
    <w:multiLevelType w:val="hybridMultilevel"/>
    <w:tmpl w:val="41AA94AC"/>
    <w:lvl w:ilvl="0" w:tplc="BA525DFE">
      <w:numFmt w:val="bullet"/>
      <w:lvlText w:val="-"/>
      <w:lvlJc w:val="left"/>
      <w:pPr>
        <w:ind w:left="850" w:hanging="360"/>
      </w:pPr>
      <w:rPr>
        <w:rFonts w:ascii="Times New Roman" w:eastAsia="Times New Roman" w:hAnsi="Times New Roman" w:cs="Times New Roman" w:hint="default"/>
      </w:rPr>
    </w:lvl>
    <w:lvl w:ilvl="1" w:tplc="04260003" w:tentative="1">
      <w:start w:val="1"/>
      <w:numFmt w:val="bullet"/>
      <w:lvlText w:val="o"/>
      <w:lvlJc w:val="left"/>
      <w:pPr>
        <w:ind w:left="1570" w:hanging="360"/>
      </w:pPr>
      <w:rPr>
        <w:rFonts w:ascii="Courier New" w:hAnsi="Courier New" w:cs="Courier New" w:hint="default"/>
      </w:rPr>
    </w:lvl>
    <w:lvl w:ilvl="2" w:tplc="04260005" w:tentative="1">
      <w:start w:val="1"/>
      <w:numFmt w:val="bullet"/>
      <w:lvlText w:val=""/>
      <w:lvlJc w:val="left"/>
      <w:pPr>
        <w:ind w:left="2290" w:hanging="360"/>
      </w:pPr>
      <w:rPr>
        <w:rFonts w:ascii="Wingdings" w:hAnsi="Wingdings" w:hint="default"/>
      </w:rPr>
    </w:lvl>
    <w:lvl w:ilvl="3" w:tplc="04260001" w:tentative="1">
      <w:start w:val="1"/>
      <w:numFmt w:val="bullet"/>
      <w:lvlText w:val=""/>
      <w:lvlJc w:val="left"/>
      <w:pPr>
        <w:ind w:left="3010" w:hanging="360"/>
      </w:pPr>
      <w:rPr>
        <w:rFonts w:ascii="Symbol" w:hAnsi="Symbol" w:hint="default"/>
      </w:rPr>
    </w:lvl>
    <w:lvl w:ilvl="4" w:tplc="04260003" w:tentative="1">
      <w:start w:val="1"/>
      <w:numFmt w:val="bullet"/>
      <w:lvlText w:val="o"/>
      <w:lvlJc w:val="left"/>
      <w:pPr>
        <w:ind w:left="3730" w:hanging="360"/>
      </w:pPr>
      <w:rPr>
        <w:rFonts w:ascii="Courier New" w:hAnsi="Courier New" w:cs="Courier New" w:hint="default"/>
      </w:rPr>
    </w:lvl>
    <w:lvl w:ilvl="5" w:tplc="04260005" w:tentative="1">
      <w:start w:val="1"/>
      <w:numFmt w:val="bullet"/>
      <w:lvlText w:val=""/>
      <w:lvlJc w:val="left"/>
      <w:pPr>
        <w:ind w:left="4450" w:hanging="360"/>
      </w:pPr>
      <w:rPr>
        <w:rFonts w:ascii="Wingdings" w:hAnsi="Wingdings" w:hint="default"/>
      </w:rPr>
    </w:lvl>
    <w:lvl w:ilvl="6" w:tplc="04260001" w:tentative="1">
      <w:start w:val="1"/>
      <w:numFmt w:val="bullet"/>
      <w:lvlText w:val=""/>
      <w:lvlJc w:val="left"/>
      <w:pPr>
        <w:ind w:left="5170" w:hanging="360"/>
      </w:pPr>
      <w:rPr>
        <w:rFonts w:ascii="Symbol" w:hAnsi="Symbol" w:hint="default"/>
      </w:rPr>
    </w:lvl>
    <w:lvl w:ilvl="7" w:tplc="04260003" w:tentative="1">
      <w:start w:val="1"/>
      <w:numFmt w:val="bullet"/>
      <w:lvlText w:val="o"/>
      <w:lvlJc w:val="left"/>
      <w:pPr>
        <w:ind w:left="5890" w:hanging="360"/>
      </w:pPr>
      <w:rPr>
        <w:rFonts w:ascii="Courier New" w:hAnsi="Courier New" w:cs="Courier New" w:hint="default"/>
      </w:rPr>
    </w:lvl>
    <w:lvl w:ilvl="8" w:tplc="04260005" w:tentative="1">
      <w:start w:val="1"/>
      <w:numFmt w:val="bullet"/>
      <w:lvlText w:val=""/>
      <w:lvlJc w:val="left"/>
      <w:pPr>
        <w:ind w:left="6610" w:hanging="360"/>
      </w:pPr>
      <w:rPr>
        <w:rFonts w:ascii="Wingdings" w:hAnsi="Wingdings" w:hint="default"/>
      </w:rPr>
    </w:lvl>
  </w:abstractNum>
  <w:num w:numId="1">
    <w:abstractNumId w:val="5"/>
  </w:num>
  <w:num w:numId="2">
    <w:abstractNumId w:val="16"/>
  </w:num>
  <w:num w:numId="3">
    <w:abstractNumId w:val="4"/>
  </w:num>
  <w:num w:numId="4">
    <w:abstractNumId w:val="2"/>
  </w:num>
  <w:num w:numId="5">
    <w:abstractNumId w:val="1"/>
  </w:num>
  <w:num w:numId="6">
    <w:abstractNumId w:val="11"/>
  </w:num>
  <w:num w:numId="7">
    <w:abstractNumId w:val="17"/>
  </w:num>
  <w:num w:numId="8">
    <w:abstractNumId w:val="8"/>
  </w:num>
  <w:num w:numId="9">
    <w:abstractNumId w:val="3"/>
  </w:num>
  <w:num w:numId="10">
    <w:abstractNumId w:val="9"/>
  </w:num>
  <w:num w:numId="11">
    <w:abstractNumId w:val="10"/>
  </w:num>
  <w:num w:numId="12">
    <w:abstractNumId w:val="12"/>
  </w:num>
  <w:num w:numId="13">
    <w:abstractNumId w:val="15"/>
  </w:num>
  <w:num w:numId="14">
    <w:abstractNumId w:val="0"/>
  </w:num>
  <w:num w:numId="15">
    <w:abstractNumId w:val="6"/>
  </w:num>
  <w:num w:numId="16">
    <w:abstractNumId w:val="7"/>
  </w:num>
  <w:num w:numId="17">
    <w:abstractNumId w:val="13"/>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9"/>
    <w:rsid w:val="00000537"/>
    <w:rsid w:val="00001644"/>
    <w:rsid w:val="00002FEA"/>
    <w:rsid w:val="0000308F"/>
    <w:rsid w:val="00003517"/>
    <w:rsid w:val="00005687"/>
    <w:rsid w:val="0000641C"/>
    <w:rsid w:val="00011C00"/>
    <w:rsid w:val="00011D24"/>
    <w:rsid w:val="00013FF4"/>
    <w:rsid w:val="00015213"/>
    <w:rsid w:val="000155F5"/>
    <w:rsid w:val="00017EAF"/>
    <w:rsid w:val="00020FE1"/>
    <w:rsid w:val="00022E13"/>
    <w:rsid w:val="0002627A"/>
    <w:rsid w:val="00027394"/>
    <w:rsid w:val="00027B8E"/>
    <w:rsid w:val="00030BC6"/>
    <w:rsid w:val="00032388"/>
    <w:rsid w:val="000347CE"/>
    <w:rsid w:val="00035591"/>
    <w:rsid w:val="00035CE2"/>
    <w:rsid w:val="00035DDF"/>
    <w:rsid w:val="00037AB9"/>
    <w:rsid w:val="00037DAC"/>
    <w:rsid w:val="0004312D"/>
    <w:rsid w:val="00053EE5"/>
    <w:rsid w:val="0005553B"/>
    <w:rsid w:val="000604D2"/>
    <w:rsid w:val="00061587"/>
    <w:rsid w:val="00065241"/>
    <w:rsid w:val="000675A9"/>
    <w:rsid w:val="000705EA"/>
    <w:rsid w:val="000709EC"/>
    <w:rsid w:val="00070D7A"/>
    <w:rsid w:val="00071B43"/>
    <w:rsid w:val="00074B12"/>
    <w:rsid w:val="00074E47"/>
    <w:rsid w:val="000768BD"/>
    <w:rsid w:val="00080AD1"/>
    <w:rsid w:val="00081E26"/>
    <w:rsid w:val="000844FE"/>
    <w:rsid w:val="0009005E"/>
    <w:rsid w:val="00090BFB"/>
    <w:rsid w:val="00090DFB"/>
    <w:rsid w:val="000941C5"/>
    <w:rsid w:val="00096453"/>
    <w:rsid w:val="000971F4"/>
    <w:rsid w:val="000971F9"/>
    <w:rsid w:val="00097549"/>
    <w:rsid w:val="000A6451"/>
    <w:rsid w:val="000B064E"/>
    <w:rsid w:val="000B0C7C"/>
    <w:rsid w:val="000B5D8D"/>
    <w:rsid w:val="000B69CF"/>
    <w:rsid w:val="000B72EA"/>
    <w:rsid w:val="000B7357"/>
    <w:rsid w:val="000C1E30"/>
    <w:rsid w:val="000C5398"/>
    <w:rsid w:val="000C6DD5"/>
    <w:rsid w:val="000C7784"/>
    <w:rsid w:val="000C788D"/>
    <w:rsid w:val="000C790C"/>
    <w:rsid w:val="000D3AED"/>
    <w:rsid w:val="000D452C"/>
    <w:rsid w:val="000D49E4"/>
    <w:rsid w:val="000D5A7F"/>
    <w:rsid w:val="000E0375"/>
    <w:rsid w:val="000E1DC9"/>
    <w:rsid w:val="000E7314"/>
    <w:rsid w:val="000F061D"/>
    <w:rsid w:val="000F1982"/>
    <w:rsid w:val="000F4794"/>
    <w:rsid w:val="00100EF9"/>
    <w:rsid w:val="001010FC"/>
    <w:rsid w:val="00101C34"/>
    <w:rsid w:val="00102C2B"/>
    <w:rsid w:val="00105059"/>
    <w:rsid w:val="00115838"/>
    <w:rsid w:val="00117E30"/>
    <w:rsid w:val="00124F12"/>
    <w:rsid w:val="001347F7"/>
    <w:rsid w:val="00141024"/>
    <w:rsid w:val="001417B4"/>
    <w:rsid w:val="0014222F"/>
    <w:rsid w:val="00142604"/>
    <w:rsid w:val="00144E3A"/>
    <w:rsid w:val="001458C4"/>
    <w:rsid w:val="00146F25"/>
    <w:rsid w:val="0015060C"/>
    <w:rsid w:val="00155FF1"/>
    <w:rsid w:val="0016018A"/>
    <w:rsid w:val="00161F0E"/>
    <w:rsid w:val="00165810"/>
    <w:rsid w:val="00165B11"/>
    <w:rsid w:val="0016758D"/>
    <w:rsid w:val="001679AF"/>
    <w:rsid w:val="00170E2A"/>
    <w:rsid w:val="001713F3"/>
    <w:rsid w:val="001717AD"/>
    <w:rsid w:val="00177394"/>
    <w:rsid w:val="00182C18"/>
    <w:rsid w:val="00183327"/>
    <w:rsid w:val="00183CC2"/>
    <w:rsid w:val="001900E4"/>
    <w:rsid w:val="00190F88"/>
    <w:rsid w:val="001917DF"/>
    <w:rsid w:val="00192DDB"/>
    <w:rsid w:val="00197064"/>
    <w:rsid w:val="001A2E25"/>
    <w:rsid w:val="001A4066"/>
    <w:rsid w:val="001A6AE4"/>
    <w:rsid w:val="001A769D"/>
    <w:rsid w:val="001B01FD"/>
    <w:rsid w:val="001B4A71"/>
    <w:rsid w:val="001B6497"/>
    <w:rsid w:val="001C16D8"/>
    <w:rsid w:val="001C2FB7"/>
    <w:rsid w:val="001C612F"/>
    <w:rsid w:val="001D042A"/>
    <w:rsid w:val="001D166B"/>
    <w:rsid w:val="001D1780"/>
    <w:rsid w:val="001D390F"/>
    <w:rsid w:val="001D5B54"/>
    <w:rsid w:val="001D79C3"/>
    <w:rsid w:val="001E1DBF"/>
    <w:rsid w:val="001E3070"/>
    <w:rsid w:val="001E4639"/>
    <w:rsid w:val="001E4A7D"/>
    <w:rsid w:val="001F229D"/>
    <w:rsid w:val="001F4209"/>
    <w:rsid w:val="001F43A8"/>
    <w:rsid w:val="001F5CD6"/>
    <w:rsid w:val="001F637C"/>
    <w:rsid w:val="00200CC7"/>
    <w:rsid w:val="00202D9C"/>
    <w:rsid w:val="00204489"/>
    <w:rsid w:val="00206600"/>
    <w:rsid w:val="0020681D"/>
    <w:rsid w:val="00210D0B"/>
    <w:rsid w:val="0021263D"/>
    <w:rsid w:val="00213F0C"/>
    <w:rsid w:val="00214094"/>
    <w:rsid w:val="0021592D"/>
    <w:rsid w:val="00215A98"/>
    <w:rsid w:val="00222D76"/>
    <w:rsid w:val="00223EB1"/>
    <w:rsid w:val="002257D7"/>
    <w:rsid w:val="002259E6"/>
    <w:rsid w:val="00231344"/>
    <w:rsid w:val="00231E5A"/>
    <w:rsid w:val="00233198"/>
    <w:rsid w:val="0023436E"/>
    <w:rsid w:val="002347C0"/>
    <w:rsid w:val="00235520"/>
    <w:rsid w:val="00241A6C"/>
    <w:rsid w:val="0024252D"/>
    <w:rsid w:val="00242D2B"/>
    <w:rsid w:val="00247D3C"/>
    <w:rsid w:val="00247F78"/>
    <w:rsid w:val="00250B39"/>
    <w:rsid w:val="00251ADB"/>
    <w:rsid w:val="00252AAD"/>
    <w:rsid w:val="002542DA"/>
    <w:rsid w:val="00262E2B"/>
    <w:rsid w:val="00263A6B"/>
    <w:rsid w:val="00263BEA"/>
    <w:rsid w:val="002640EA"/>
    <w:rsid w:val="00270429"/>
    <w:rsid w:val="002723E9"/>
    <w:rsid w:val="00277929"/>
    <w:rsid w:val="002818DF"/>
    <w:rsid w:val="002820A2"/>
    <w:rsid w:val="002824DE"/>
    <w:rsid w:val="00283255"/>
    <w:rsid w:val="00283B82"/>
    <w:rsid w:val="002846E9"/>
    <w:rsid w:val="00284C34"/>
    <w:rsid w:val="002875A2"/>
    <w:rsid w:val="0029066C"/>
    <w:rsid w:val="00294B19"/>
    <w:rsid w:val="00297969"/>
    <w:rsid w:val="002A3E3E"/>
    <w:rsid w:val="002A50A8"/>
    <w:rsid w:val="002B04AE"/>
    <w:rsid w:val="002B0982"/>
    <w:rsid w:val="002B10D4"/>
    <w:rsid w:val="002B50DB"/>
    <w:rsid w:val="002B64B6"/>
    <w:rsid w:val="002C10A7"/>
    <w:rsid w:val="002C12AB"/>
    <w:rsid w:val="002C5C60"/>
    <w:rsid w:val="002C69D8"/>
    <w:rsid w:val="002C7CAC"/>
    <w:rsid w:val="002D3306"/>
    <w:rsid w:val="002D3418"/>
    <w:rsid w:val="002D4244"/>
    <w:rsid w:val="002D48AA"/>
    <w:rsid w:val="002D7875"/>
    <w:rsid w:val="002D7BAA"/>
    <w:rsid w:val="002D7DC7"/>
    <w:rsid w:val="002D7F54"/>
    <w:rsid w:val="002E2AC3"/>
    <w:rsid w:val="002E37E7"/>
    <w:rsid w:val="002E3FF4"/>
    <w:rsid w:val="002E4126"/>
    <w:rsid w:val="002F5FDC"/>
    <w:rsid w:val="002F7078"/>
    <w:rsid w:val="002F7155"/>
    <w:rsid w:val="002F759C"/>
    <w:rsid w:val="002F78C8"/>
    <w:rsid w:val="003006CA"/>
    <w:rsid w:val="00301CF3"/>
    <w:rsid w:val="003032C1"/>
    <w:rsid w:val="00303F8C"/>
    <w:rsid w:val="003040EA"/>
    <w:rsid w:val="00306656"/>
    <w:rsid w:val="00321247"/>
    <w:rsid w:val="0032715C"/>
    <w:rsid w:val="00334E28"/>
    <w:rsid w:val="00336B3B"/>
    <w:rsid w:val="00337CA5"/>
    <w:rsid w:val="0034270B"/>
    <w:rsid w:val="00343D20"/>
    <w:rsid w:val="00351F16"/>
    <w:rsid w:val="00357891"/>
    <w:rsid w:val="00362478"/>
    <w:rsid w:val="00363EF3"/>
    <w:rsid w:val="00364E36"/>
    <w:rsid w:val="003677E7"/>
    <w:rsid w:val="00373238"/>
    <w:rsid w:val="00375B25"/>
    <w:rsid w:val="003807FF"/>
    <w:rsid w:val="0038132C"/>
    <w:rsid w:val="00386C07"/>
    <w:rsid w:val="003878A9"/>
    <w:rsid w:val="003907B8"/>
    <w:rsid w:val="00390D8B"/>
    <w:rsid w:val="00396542"/>
    <w:rsid w:val="0039685B"/>
    <w:rsid w:val="003A31A6"/>
    <w:rsid w:val="003A3C61"/>
    <w:rsid w:val="003A6A3C"/>
    <w:rsid w:val="003A7F0C"/>
    <w:rsid w:val="003A7F79"/>
    <w:rsid w:val="003B426E"/>
    <w:rsid w:val="003B6404"/>
    <w:rsid w:val="003B67A2"/>
    <w:rsid w:val="003B6BD1"/>
    <w:rsid w:val="003B787E"/>
    <w:rsid w:val="003C3028"/>
    <w:rsid w:val="003C35C6"/>
    <w:rsid w:val="003C449B"/>
    <w:rsid w:val="003C6409"/>
    <w:rsid w:val="003D21FF"/>
    <w:rsid w:val="003D698A"/>
    <w:rsid w:val="003D6A77"/>
    <w:rsid w:val="003D794F"/>
    <w:rsid w:val="003E0C5E"/>
    <w:rsid w:val="003E37A0"/>
    <w:rsid w:val="003F0112"/>
    <w:rsid w:val="003F071A"/>
    <w:rsid w:val="003F160B"/>
    <w:rsid w:val="003F1E50"/>
    <w:rsid w:val="003F4D77"/>
    <w:rsid w:val="003F7754"/>
    <w:rsid w:val="003F7E24"/>
    <w:rsid w:val="00400032"/>
    <w:rsid w:val="00400B5B"/>
    <w:rsid w:val="00401485"/>
    <w:rsid w:val="004056ED"/>
    <w:rsid w:val="00405A00"/>
    <w:rsid w:val="00410246"/>
    <w:rsid w:val="00413396"/>
    <w:rsid w:val="004179DE"/>
    <w:rsid w:val="00420870"/>
    <w:rsid w:val="004268F6"/>
    <w:rsid w:val="00427C10"/>
    <w:rsid w:val="00430EF6"/>
    <w:rsid w:val="00430F2C"/>
    <w:rsid w:val="00432422"/>
    <w:rsid w:val="00432D0C"/>
    <w:rsid w:val="0043791B"/>
    <w:rsid w:val="00440107"/>
    <w:rsid w:val="00440FC7"/>
    <w:rsid w:val="00441187"/>
    <w:rsid w:val="0044128A"/>
    <w:rsid w:val="00441483"/>
    <w:rsid w:val="00441BCB"/>
    <w:rsid w:val="00443644"/>
    <w:rsid w:val="0045176A"/>
    <w:rsid w:val="0045202F"/>
    <w:rsid w:val="00456332"/>
    <w:rsid w:val="00456663"/>
    <w:rsid w:val="00456A48"/>
    <w:rsid w:val="004579B8"/>
    <w:rsid w:val="00461826"/>
    <w:rsid w:val="00467DD9"/>
    <w:rsid w:val="004704CE"/>
    <w:rsid w:val="0047358D"/>
    <w:rsid w:val="00475AF2"/>
    <w:rsid w:val="00477FFB"/>
    <w:rsid w:val="004800F9"/>
    <w:rsid w:val="00486FDD"/>
    <w:rsid w:val="0049134A"/>
    <w:rsid w:val="00491694"/>
    <w:rsid w:val="004918A5"/>
    <w:rsid w:val="004A58CB"/>
    <w:rsid w:val="004B14B6"/>
    <w:rsid w:val="004B1795"/>
    <w:rsid w:val="004B4070"/>
    <w:rsid w:val="004B56DD"/>
    <w:rsid w:val="004B5B0C"/>
    <w:rsid w:val="004C020F"/>
    <w:rsid w:val="004C1AFD"/>
    <w:rsid w:val="004C49D2"/>
    <w:rsid w:val="004C558B"/>
    <w:rsid w:val="004C5E11"/>
    <w:rsid w:val="004C7A0E"/>
    <w:rsid w:val="004D492F"/>
    <w:rsid w:val="004D526B"/>
    <w:rsid w:val="004D564C"/>
    <w:rsid w:val="004D5C7F"/>
    <w:rsid w:val="004E2E8D"/>
    <w:rsid w:val="004E6B86"/>
    <w:rsid w:val="004F1F88"/>
    <w:rsid w:val="004F304C"/>
    <w:rsid w:val="004F5F1B"/>
    <w:rsid w:val="00502374"/>
    <w:rsid w:val="005026E7"/>
    <w:rsid w:val="005037C5"/>
    <w:rsid w:val="005060A1"/>
    <w:rsid w:val="00506F1D"/>
    <w:rsid w:val="0051005B"/>
    <w:rsid w:val="005156F3"/>
    <w:rsid w:val="00516072"/>
    <w:rsid w:val="0051672D"/>
    <w:rsid w:val="00527517"/>
    <w:rsid w:val="00530649"/>
    <w:rsid w:val="0053070D"/>
    <w:rsid w:val="00531404"/>
    <w:rsid w:val="005332EC"/>
    <w:rsid w:val="00534418"/>
    <w:rsid w:val="005353AB"/>
    <w:rsid w:val="00535E98"/>
    <w:rsid w:val="00543894"/>
    <w:rsid w:val="00546B39"/>
    <w:rsid w:val="005542A6"/>
    <w:rsid w:val="00554F08"/>
    <w:rsid w:val="00555391"/>
    <w:rsid w:val="005560BC"/>
    <w:rsid w:val="005573BE"/>
    <w:rsid w:val="005623D4"/>
    <w:rsid w:val="00562633"/>
    <w:rsid w:val="00567A35"/>
    <w:rsid w:val="00572700"/>
    <w:rsid w:val="005739B0"/>
    <w:rsid w:val="00580468"/>
    <w:rsid w:val="00582231"/>
    <w:rsid w:val="00583F9F"/>
    <w:rsid w:val="0058603B"/>
    <w:rsid w:val="00592EEC"/>
    <w:rsid w:val="0059431B"/>
    <w:rsid w:val="005A07CD"/>
    <w:rsid w:val="005A12A9"/>
    <w:rsid w:val="005A38C3"/>
    <w:rsid w:val="005A39CC"/>
    <w:rsid w:val="005A44ED"/>
    <w:rsid w:val="005A6055"/>
    <w:rsid w:val="005B0D8F"/>
    <w:rsid w:val="005B4730"/>
    <w:rsid w:val="005C0006"/>
    <w:rsid w:val="005C6979"/>
    <w:rsid w:val="005E05D7"/>
    <w:rsid w:val="005E41E7"/>
    <w:rsid w:val="005E450F"/>
    <w:rsid w:val="005E683C"/>
    <w:rsid w:val="005F0C0D"/>
    <w:rsid w:val="005F126D"/>
    <w:rsid w:val="005F3D9B"/>
    <w:rsid w:val="005F5FD1"/>
    <w:rsid w:val="00606EF4"/>
    <w:rsid w:val="006135BC"/>
    <w:rsid w:val="006161B7"/>
    <w:rsid w:val="00616C55"/>
    <w:rsid w:val="00622101"/>
    <w:rsid w:val="0062298A"/>
    <w:rsid w:val="00622BB8"/>
    <w:rsid w:val="00625819"/>
    <w:rsid w:val="00625C4A"/>
    <w:rsid w:val="00626514"/>
    <w:rsid w:val="00626589"/>
    <w:rsid w:val="00627C9A"/>
    <w:rsid w:val="00630F37"/>
    <w:rsid w:val="00632064"/>
    <w:rsid w:val="006339A0"/>
    <w:rsid w:val="00637F83"/>
    <w:rsid w:val="00640460"/>
    <w:rsid w:val="00640806"/>
    <w:rsid w:val="006408AC"/>
    <w:rsid w:val="006413A8"/>
    <w:rsid w:val="00641ECC"/>
    <w:rsid w:val="00642E56"/>
    <w:rsid w:val="00644238"/>
    <w:rsid w:val="006447FA"/>
    <w:rsid w:val="00651E00"/>
    <w:rsid w:val="006538D4"/>
    <w:rsid w:val="00655110"/>
    <w:rsid w:val="00655504"/>
    <w:rsid w:val="006566C8"/>
    <w:rsid w:val="0066093B"/>
    <w:rsid w:val="00661D25"/>
    <w:rsid w:val="00662220"/>
    <w:rsid w:val="00664480"/>
    <w:rsid w:val="0067450E"/>
    <w:rsid w:val="00674572"/>
    <w:rsid w:val="00687763"/>
    <w:rsid w:val="006910E3"/>
    <w:rsid w:val="00692B0D"/>
    <w:rsid w:val="00692E1D"/>
    <w:rsid w:val="00693C78"/>
    <w:rsid w:val="00693E0E"/>
    <w:rsid w:val="00695BB7"/>
    <w:rsid w:val="006A1AE3"/>
    <w:rsid w:val="006A73C1"/>
    <w:rsid w:val="006B042F"/>
    <w:rsid w:val="006B33EB"/>
    <w:rsid w:val="006B37E9"/>
    <w:rsid w:val="006B6062"/>
    <w:rsid w:val="006C30E1"/>
    <w:rsid w:val="006C3DE1"/>
    <w:rsid w:val="006C4607"/>
    <w:rsid w:val="006D0440"/>
    <w:rsid w:val="006D0922"/>
    <w:rsid w:val="006D2766"/>
    <w:rsid w:val="006D45B8"/>
    <w:rsid w:val="006D48F1"/>
    <w:rsid w:val="006D7E24"/>
    <w:rsid w:val="006E3B6A"/>
    <w:rsid w:val="006E5AF5"/>
    <w:rsid w:val="006F0F87"/>
    <w:rsid w:val="006F45BE"/>
    <w:rsid w:val="007004FC"/>
    <w:rsid w:val="00704104"/>
    <w:rsid w:val="00706670"/>
    <w:rsid w:val="00710D2A"/>
    <w:rsid w:val="00711F59"/>
    <w:rsid w:val="007213B1"/>
    <w:rsid w:val="00724001"/>
    <w:rsid w:val="0072417C"/>
    <w:rsid w:val="0072626E"/>
    <w:rsid w:val="0073176A"/>
    <w:rsid w:val="007319F1"/>
    <w:rsid w:val="00731DD6"/>
    <w:rsid w:val="00734450"/>
    <w:rsid w:val="00741006"/>
    <w:rsid w:val="0074127A"/>
    <w:rsid w:val="0074454B"/>
    <w:rsid w:val="00745F67"/>
    <w:rsid w:val="0075039E"/>
    <w:rsid w:val="00752D9D"/>
    <w:rsid w:val="00753A83"/>
    <w:rsid w:val="00754784"/>
    <w:rsid w:val="00757C6E"/>
    <w:rsid w:val="00762BDA"/>
    <w:rsid w:val="00765346"/>
    <w:rsid w:val="007665CF"/>
    <w:rsid w:val="007736F1"/>
    <w:rsid w:val="00774AE2"/>
    <w:rsid w:val="007805FD"/>
    <w:rsid w:val="00780855"/>
    <w:rsid w:val="00783474"/>
    <w:rsid w:val="007839BC"/>
    <w:rsid w:val="00784422"/>
    <w:rsid w:val="0079000A"/>
    <w:rsid w:val="00790965"/>
    <w:rsid w:val="00793C37"/>
    <w:rsid w:val="007964D6"/>
    <w:rsid w:val="00796DA2"/>
    <w:rsid w:val="007A2008"/>
    <w:rsid w:val="007A23BE"/>
    <w:rsid w:val="007A28B9"/>
    <w:rsid w:val="007A3846"/>
    <w:rsid w:val="007A3BCF"/>
    <w:rsid w:val="007A440B"/>
    <w:rsid w:val="007A4E59"/>
    <w:rsid w:val="007A5B7B"/>
    <w:rsid w:val="007A66D8"/>
    <w:rsid w:val="007B3B54"/>
    <w:rsid w:val="007B3FA0"/>
    <w:rsid w:val="007B4BC6"/>
    <w:rsid w:val="007C0F2C"/>
    <w:rsid w:val="007C2BCC"/>
    <w:rsid w:val="007C35B2"/>
    <w:rsid w:val="007C4EF0"/>
    <w:rsid w:val="007D099D"/>
    <w:rsid w:val="007D7BA1"/>
    <w:rsid w:val="007E2664"/>
    <w:rsid w:val="007E3ABF"/>
    <w:rsid w:val="007E44C5"/>
    <w:rsid w:val="007E5BFA"/>
    <w:rsid w:val="007E6689"/>
    <w:rsid w:val="007E6F4C"/>
    <w:rsid w:val="007E731C"/>
    <w:rsid w:val="007F0A03"/>
    <w:rsid w:val="007F2F05"/>
    <w:rsid w:val="007F7EAD"/>
    <w:rsid w:val="00804E90"/>
    <w:rsid w:val="00810040"/>
    <w:rsid w:val="008201D2"/>
    <w:rsid w:val="0082023A"/>
    <w:rsid w:val="00821A7A"/>
    <w:rsid w:val="008253F8"/>
    <w:rsid w:val="00826B74"/>
    <w:rsid w:val="00826C67"/>
    <w:rsid w:val="00826F98"/>
    <w:rsid w:val="008325E4"/>
    <w:rsid w:val="00832A2B"/>
    <w:rsid w:val="00833C82"/>
    <w:rsid w:val="00835689"/>
    <w:rsid w:val="0083777F"/>
    <w:rsid w:val="00842B02"/>
    <w:rsid w:val="008433E8"/>
    <w:rsid w:val="00843A2D"/>
    <w:rsid w:val="00845811"/>
    <w:rsid w:val="00846994"/>
    <w:rsid w:val="00847023"/>
    <w:rsid w:val="00850451"/>
    <w:rsid w:val="00852042"/>
    <w:rsid w:val="008534C9"/>
    <w:rsid w:val="0085599D"/>
    <w:rsid w:val="00855FF4"/>
    <w:rsid w:val="00865C30"/>
    <w:rsid w:val="008668F1"/>
    <w:rsid w:val="00866D0A"/>
    <w:rsid w:val="0087510C"/>
    <w:rsid w:val="00881B32"/>
    <w:rsid w:val="00890442"/>
    <w:rsid w:val="00893E73"/>
    <w:rsid w:val="008968D2"/>
    <w:rsid w:val="0089738E"/>
    <w:rsid w:val="008A09EC"/>
    <w:rsid w:val="008B4465"/>
    <w:rsid w:val="008B5FDB"/>
    <w:rsid w:val="008B6B16"/>
    <w:rsid w:val="008C2F07"/>
    <w:rsid w:val="008C50F4"/>
    <w:rsid w:val="008C5649"/>
    <w:rsid w:val="008C760A"/>
    <w:rsid w:val="008C76A0"/>
    <w:rsid w:val="008E44A2"/>
    <w:rsid w:val="008E697D"/>
    <w:rsid w:val="008F1276"/>
    <w:rsid w:val="008F1A6E"/>
    <w:rsid w:val="008F6168"/>
    <w:rsid w:val="008F6857"/>
    <w:rsid w:val="009010FE"/>
    <w:rsid w:val="0090267E"/>
    <w:rsid w:val="00903263"/>
    <w:rsid w:val="009032AB"/>
    <w:rsid w:val="00904019"/>
    <w:rsid w:val="00906A21"/>
    <w:rsid w:val="009079C3"/>
    <w:rsid w:val="00910462"/>
    <w:rsid w:val="00913B1C"/>
    <w:rsid w:val="00915AB1"/>
    <w:rsid w:val="00916F5F"/>
    <w:rsid w:val="00917532"/>
    <w:rsid w:val="00917600"/>
    <w:rsid w:val="009202D1"/>
    <w:rsid w:val="00920E7B"/>
    <w:rsid w:val="009235BA"/>
    <w:rsid w:val="00924023"/>
    <w:rsid w:val="00924CE2"/>
    <w:rsid w:val="00925B9F"/>
    <w:rsid w:val="009309EB"/>
    <w:rsid w:val="00931AED"/>
    <w:rsid w:val="00945766"/>
    <w:rsid w:val="009476A3"/>
    <w:rsid w:val="0095334F"/>
    <w:rsid w:val="0095423D"/>
    <w:rsid w:val="00956C8B"/>
    <w:rsid w:val="009656DE"/>
    <w:rsid w:val="00965897"/>
    <w:rsid w:val="0096765C"/>
    <w:rsid w:val="00967848"/>
    <w:rsid w:val="009714D2"/>
    <w:rsid w:val="009727E4"/>
    <w:rsid w:val="00986171"/>
    <w:rsid w:val="009864BB"/>
    <w:rsid w:val="0098773B"/>
    <w:rsid w:val="00987B16"/>
    <w:rsid w:val="00992222"/>
    <w:rsid w:val="0099224E"/>
    <w:rsid w:val="00992E99"/>
    <w:rsid w:val="009934C5"/>
    <w:rsid w:val="009945B8"/>
    <w:rsid w:val="00994C0F"/>
    <w:rsid w:val="009953DE"/>
    <w:rsid w:val="009A0027"/>
    <w:rsid w:val="009A33ED"/>
    <w:rsid w:val="009B118C"/>
    <w:rsid w:val="009B22D7"/>
    <w:rsid w:val="009B2A92"/>
    <w:rsid w:val="009B4270"/>
    <w:rsid w:val="009B72ED"/>
    <w:rsid w:val="009C30E0"/>
    <w:rsid w:val="009C5659"/>
    <w:rsid w:val="009C6DEB"/>
    <w:rsid w:val="009D27A6"/>
    <w:rsid w:val="009D4CF3"/>
    <w:rsid w:val="009D4EF6"/>
    <w:rsid w:val="009D6504"/>
    <w:rsid w:val="009E12D7"/>
    <w:rsid w:val="009E159A"/>
    <w:rsid w:val="009E1B42"/>
    <w:rsid w:val="009E242E"/>
    <w:rsid w:val="009E4B8E"/>
    <w:rsid w:val="009E4BD1"/>
    <w:rsid w:val="009E661A"/>
    <w:rsid w:val="009E6C0C"/>
    <w:rsid w:val="009F0513"/>
    <w:rsid w:val="009F1276"/>
    <w:rsid w:val="009F2566"/>
    <w:rsid w:val="009F30B3"/>
    <w:rsid w:val="009F5710"/>
    <w:rsid w:val="009F7D7D"/>
    <w:rsid w:val="00A01467"/>
    <w:rsid w:val="00A01B80"/>
    <w:rsid w:val="00A05E77"/>
    <w:rsid w:val="00A06077"/>
    <w:rsid w:val="00A06781"/>
    <w:rsid w:val="00A074C3"/>
    <w:rsid w:val="00A100ED"/>
    <w:rsid w:val="00A102CE"/>
    <w:rsid w:val="00A1367E"/>
    <w:rsid w:val="00A1509C"/>
    <w:rsid w:val="00A17A3B"/>
    <w:rsid w:val="00A238AE"/>
    <w:rsid w:val="00A24486"/>
    <w:rsid w:val="00A249B9"/>
    <w:rsid w:val="00A26187"/>
    <w:rsid w:val="00A31F77"/>
    <w:rsid w:val="00A34260"/>
    <w:rsid w:val="00A41F50"/>
    <w:rsid w:val="00A43390"/>
    <w:rsid w:val="00A513CA"/>
    <w:rsid w:val="00A5182B"/>
    <w:rsid w:val="00A51E31"/>
    <w:rsid w:val="00A523F9"/>
    <w:rsid w:val="00A56B94"/>
    <w:rsid w:val="00A6048E"/>
    <w:rsid w:val="00A648A4"/>
    <w:rsid w:val="00A65338"/>
    <w:rsid w:val="00A70C12"/>
    <w:rsid w:val="00A70CFD"/>
    <w:rsid w:val="00A72A0B"/>
    <w:rsid w:val="00A72CAB"/>
    <w:rsid w:val="00A746D3"/>
    <w:rsid w:val="00A77110"/>
    <w:rsid w:val="00A77DBB"/>
    <w:rsid w:val="00A77F80"/>
    <w:rsid w:val="00A8123C"/>
    <w:rsid w:val="00A81E42"/>
    <w:rsid w:val="00A82F8D"/>
    <w:rsid w:val="00A84592"/>
    <w:rsid w:val="00A864FE"/>
    <w:rsid w:val="00A86F41"/>
    <w:rsid w:val="00A8776B"/>
    <w:rsid w:val="00A87D04"/>
    <w:rsid w:val="00A91B85"/>
    <w:rsid w:val="00A950C5"/>
    <w:rsid w:val="00A95777"/>
    <w:rsid w:val="00AA056C"/>
    <w:rsid w:val="00AA16DE"/>
    <w:rsid w:val="00AA1BF0"/>
    <w:rsid w:val="00AA1D25"/>
    <w:rsid w:val="00AA2D6D"/>
    <w:rsid w:val="00AA2F28"/>
    <w:rsid w:val="00AA694B"/>
    <w:rsid w:val="00AA7FE5"/>
    <w:rsid w:val="00AB2916"/>
    <w:rsid w:val="00AB2B1A"/>
    <w:rsid w:val="00AB397F"/>
    <w:rsid w:val="00AB5832"/>
    <w:rsid w:val="00AC19C6"/>
    <w:rsid w:val="00AC51F2"/>
    <w:rsid w:val="00AD104F"/>
    <w:rsid w:val="00AD3269"/>
    <w:rsid w:val="00AD3936"/>
    <w:rsid w:val="00AD64BC"/>
    <w:rsid w:val="00AD6596"/>
    <w:rsid w:val="00AD77B1"/>
    <w:rsid w:val="00AE040B"/>
    <w:rsid w:val="00AE0B4B"/>
    <w:rsid w:val="00AE33CE"/>
    <w:rsid w:val="00AE5066"/>
    <w:rsid w:val="00AE5E24"/>
    <w:rsid w:val="00AE61B7"/>
    <w:rsid w:val="00AE6CBA"/>
    <w:rsid w:val="00AE79AD"/>
    <w:rsid w:val="00AF2549"/>
    <w:rsid w:val="00AF35E4"/>
    <w:rsid w:val="00AF5CDE"/>
    <w:rsid w:val="00AF66CA"/>
    <w:rsid w:val="00AF6A09"/>
    <w:rsid w:val="00B032F8"/>
    <w:rsid w:val="00B11A57"/>
    <w:rsid w:val="00B211C3"/>
    <w:rsid w:val="00B25597"/>
    <w:rsid w:val="00B25658"/>
    <w:rsid w:val="00B267B9"/>
    <w:rsid w:val="00B330CE"/>
    <w:rsid w:val="00B336A7"/>
    <w:rsid w:val="00B33E09"/>
    <w:rsid w:val="00B34364"/>
    <w:rsid w:val="00B37087"/>
    <w:rsid w:val="00B406E8"/>
    <w:rsid w:val="00B40D37"/>
    <w:rsid w:val="00B4248B"/>
    <w:rsid w:val="00B50708"/>
    <w:rsid w:val="00B50C68"/>
    <w:rsid w:val="00B51293"/>
    <w:rsid w:val="00B52488"/>
    <w:rsid w:val="00B52B1E"/>
    <w:rsid w:val="00B53473"/>
    <w:rsid w:val="00B53ABB"/>
    <w:rsid w:val="00B54828"/>
    <w:rsid w:val="00B55481"/>
    <w:rsid w:val="00B56C32"/>
    <w:rsid w:val="00B56D61"/>
    <w:rsid w:val="00B57ACF"/>
    <w:rsid w:val="00B60AAA"/>
    <w:rsid w:val="00B61E4D"/>
    <w:rsid w:val="00B64BB1"/>
    <w:rsid w:val="00B64DD7"/>
    <w:rsid w:val="00B6693C"/>
    <w:rsid w:val="00B7276F"/>
    <w:rsid w:val="00B7287E"/>
    <w:rsid w:val="00B73166"/>
    <w:rsid w:val="00B73D56"/>
    <w:rsid w:val="00B77CD7"/>
    <w:rsid w:val="00B81033"/>
    <w:rsid w:val="00B8426C"/>
    <w:rsid w:val="00B84642"/>
    <w:rsid w:val="00B84904"/>
    <w:rsid w:val="00B84FCF"/>
    <w:rsid w:val="00B85104"/>
    <w:rsid w:val="00B86462"/>
    <w:rsid w:val="00B87961"/>
    <w:rsid w:val="00B9193F"/>
    <w:rsid w:val="00B91B8D"/>
    <w:rsid w:val="00B945F6"/>
    <w:rsid w:val="00B94E90"/>
    <w:rsid w:val="00B956A0"/>
    <w:rsid w:val="00BA569A"/>
    <w:rsid w:val="00BA64D3"/>
    <w:rsid w:val="00BA757B"/>
    <w:rsid w:val="00BA7CAD"/>
    <w:rsid w:val="00BB0A82"/>
    <w:rsid w:val="00BB7C94"/>
    <w:rsid w:val="00BC0A9D"/>
    <w:rsid w:val="00BC54D5"/>
    <w:rsid w:val="00BD02BB"/>
    <w:rsid w:val="00BD0A16"/>
    <w:rsid w:val="00BD0F53"/>
    <w:rsid w:val="00BD3D8C"/>
    <w:rsid w:val="00BD494D"/>
    <w:rsid w:val="00BD4D26"/>
    <w:rsid w:val="00BD5A4C"/>
    <w:rsid w:val="00BD7A1F"/>
    <w:rsid w:val="00BE091E"/>
    <w:rsid w:val="00BE1763"/>
    <w:rsid w:val="00BF40ED"/>
    <w:rsid w:val="00BF51D7"/>
    <w:rsid w:val="00BF5BC2"/>
    <w:rsid w:val="00BF75BE"/>
    <w:rsid w:val="00C03530"/>
    <w:rsid w:val="00C0637C"/>
    <w:rsid w:val="00C10939"/>
    <w:rsid w:val="00C109F4"/>
    <w:rsid w:val="00C10EA6"/>
    <w:rsid w:val="00C1133D"/>
    <w:rsid w:val="00C16414"/>
    <w:rsid w:val="00C17C11"/>
    <w:rsid w:val="00C278DC"/>
    <w:rsid w:val="00C27A08"/>
    <w:rsid w:val="00C31312"/>
    <w:rsid w:val="00C31E36"/>
    <w:rsid w:val="00C326C6"/>
    <w:rsid w:val="00C35295"/>
    <w:rsid w:val="00C368D6"/>
    <w:rsid w:val="00C36ADD"/>
    <w:rsid w:val="00C36E74"/>
    <w:rsid w:val="00C372BC"/>
    <w:rsid w:val="00C3741D"/>
    <w:rsid w:val="00C40595"/>
    <w:rsid w:val="00C41621"/>
    <w:rsid w:val="00C41B7C"/>
    <w:rsid w:val="00C4379A"/>
    <w:rsid w:val="00C449FA"/>
    <w:rsid w:val="00C5384F"/>
    <w:rsid w:val="00C53D75"/>
    <w:rsid w:val="00C56964"/>
    <w:rsid w:val="00C60766"/>
    <w:rsid w:val="00C656D5"/>
    <w:rsid w:val="00C66859"/>
    <w:rsid w:val="00C67103"/>
    <w:rsid w:val="00C7159B"/>
    <w:rsid w:val="00C71BB9"/>
    <w:rsid w:val="00C736FB"/>
    <w:rsid w:val="00C74DEE"/>
    <w:rsid w:val="00C82A12"/>
    <w:rsid w:val="00C835B4"/>
    <w:rsid w:val="00C945FA"/>
    <w:rsid w:val="00C94C28"/>
    <w:rsid w:val="00C95259"/>
    <w:rsid w:val="00C95F30"/>
    <w:rsid w:val="00CA15AA"/>
    <w:rsid w:val="00CA28D4"/>
    <w:rsid w:val="00CB0247"/>
    <w:rsid w:val="00CB0A64"/>
    <w:rsid w:val="00CB3440"/>
    <w:rsid w:val="00CB3FC2"/>
    <w:rsid w:val="00CB4084"/>
    <w:rsid w:val="00CB616A"/>
    <w:rsid w:val="00CC1692"/>
    <w:rsid w:val="00CC7AC4"/>
    <w:rsid w:val="00CD138B"/>
    <w:rsid w:val="00CD3E31"/>
    <w:rsid w:val="00CD617D"/>
    <w:rsid w:val="00CD7117"/>
    <w:rsid w:val="00CD74A3"/>
    <w:rsid w:val="00CE0527"/>
    <w:rsid w:val="00CE1DEE"/>
    <w:rsid w:val="00CE27C5"/>
    <w:rsid w:val="00CE2A3A"/>
    <w:rsid w:val="00CE30D0"/>
    <w:rsid w:val="00CE3A78"/>
    <w:rsid w:val="00CE594C"/>
    <w:rsid w:val="00CE5B23"/>
    <w:rsid w:val="00CF2486"/>
    <w:rsid w:val="00CF573B"/>
    <w:rsid w:val="00CF70AD"/>
    <w:rsid w:val="00CF7362"/>
    <w:rsid w:val="00CF7729"/>
    <w:rsid w:val="00D00059"/>
    <w:rsid w:val="00D009CE"/>
    <w:rsid w:val="00D02F34"/>
    <w:rsid w:val="00D0487F"/>
    <w:rsid w:val="00D06BC9"/>
    <w:rsid w:val="00D07CF4"/>
    <w:rsid w:val="00D107FA"/>
    <w:rsid w:val="00D11555"/>
    <w:rsid w:val="00D11770"/>
    <w:rsid w:val="00D12275"/>
    <w:rsid w:val="00D12766"/>
    <w:rsid w:val="00D12AB6"/>
    <w:rsid w:val="00D1382D"/>
    <w:rsid w:val="00D20E4E"/>
    <w:rsid w:val="00D20FF4"/>
    <w:rsid w:val="00D212D8"/>
    <w:rsid w:val="00D22B0E"/>
    <w:rsid w:val="00D24D2C"/>
    <w:rsid w:val="00D26843"/>
    <w:rsid w:val="00D34B3F"/>
    <w:rsid w:val="00D35881"/>
    <w:rsid w:val="00D36916"/>
    <w:rsid w:val="00D442BD"/>
    <w:rsid w:val="00D44A23"/>
    <w:rsid w:val="00D46B02"/>
    <w:rsid w:val="00D479AF"/>
    <w:rsid w:val="00D517C2"/>
    <w:rsid w:val="00D55399"/>
    <w:rsid w:val="00D55859"/>
    <w:rsid w:val="00D56981"/>
    <w:rsid w:val="00D61BB9"/>
    <w:rsid w:val="00D71E21"/>
    <w:rsid w:val="00D73C93"/>
    <w:rsid w:val="00D805F0"/>
    <w:rsid w:val="00D83214"/>
    <w:rsid w:val="00D83E21"/>
    <w:rsid w:val="00D84689"/>
    <w:rsid w:val="00D85692"/>
    <w:rsid w:val="00D901A0"/>
    <w:rsid w:val="00D905FD"/>
    <w:rsid w:val="00D920E7"/>
    <w:rsid w:val="00DA3E49"/>
    <w:rsid w:val="00DA664C"/>
    <w:rsid w:val="00DA78A7"/>
    <w:rsid w:val="00DA7DA5"/>
    <w:rsid w:val="00DB0440"/>
    <w:rsid w:val="00DB073B"/>
    <w:rsid w:val="00DB1DDA"/>
    <w:rsid w:val="00DB264F"/>
    <w:rsid w:val="00DB6360"/>
    <w:rsid w:val="00DB7308"/>
    <w:rsid w:val="00DB78F0"/>
    <w:rsid w:val="00DB7D89"/>
    <w:rsid w:val="00DC0CEA"/>
    <w:rsid w:val="00DC2E43"/>
    <w:rsid w:val="00DC34AC"/>
    <w:rsid w:val="00DC557F"/>
    <w:rsid w:val="00DC55A3"/>
    <w:rsid w:val="00DD0637"/>
    <w:rsid w:val="00DD095C"/>
    <w:rsid w:val="00DD0A7A"/>
    <w:rsid w:val="00DD1020"/>
    <w:rsid w:val="00DD1330"/>
    <w:rsid w:val="00DD28E0"/>
    <w:rsid w:val="00DD3231"/>
    <w:rsid w:val="00DE0B83"/>
    <w:rsid w:val="00DE0D0F"/>
    <w:rsid w:val="00DE1A81"/>
    <w:rsid w:val="00DE1C13"/>
    <w:rsid w:val="00DE1DBE"/>
    <w:rsid w:val="00DE2677"/>
    <w:rsid w:val="00DE4D02"/>
    <w:rsid w:val="00DE4E10"/>
    <w:rsid w:val="00DE7083"/>
    <w:rsid w:val="00DE7949"/>
    <w:rsid w:val="00DF4689"/>
    <w:rsid w:val="00DF6797"/>
    <w:rsid w:val="00DF6A1A"/>
    <w:rsid w:val="00E00353"/>
    <w:rsid w:val="00E02ABF"/>
    <w:rsid w:val="00E03AE5"/>
    <w:rsid w:val="00E05048"/>
    <w:rsid w:val="00E0557E"/>
    <w:rsid w:val="00E12833"/>
    <w:rsid w:val="00E14995"/>
    <w:rsid w:val="00E166B0"/>
    <w:rsid w:val="00E179CD"/>
    <w:rsid w:val="00E23250"/>
    <w:rsid w:val="00E232AD"/>
    <w:rsid w:val="00E23E8D"/>
    <w:rsid w:val="00E246E3"/>
    <w:rsid w:val="00E253EB"/>
    <w:rsid w:val="00E30E9F"/>
    <w:rsid w:val="00E311A3"/>
    <w:rsid w:val="00E33D3B"/>
    <w:rsid w:val="00E37F98"/>
    <w:rsid w:val="00E46559"/>
    <w:rsid w:val="00E61098"/>
    <w:rsid w:val="00E62175"/>
    <w:rsid w:val="00E65202"/>
    <w:rsid w:val="00E6670C"/>
    <w:rsid w:val="00E744B2"/>
    <w:rsid w:val="00E776E8"/>
    <w:rsid w:val="00E831C0"/>
    <w:rsid w:val="00E83AD7"/>
    <w:rsid w:val="00E90647"/>
    <w:rsid w:val="00E92C1F"/>
    <w:rsid w:val="00E95D4B"/>
    <w:rsid w:val="00EA20DE"/>
    <w:rsid w:val="00EA5176"/>
    <w:rsid w:val="00EA6728"/>
    <w:rsid w:val="00EA76B8"/>
    <w:rsid w:val="00EB0D3C"/>
    <w:rsid w:val="00EB199F"/>
    <w:rsid w:val="00EB505C"/>
    <w:rsid w:val="00EC23F7"/>
    <w:rsid w:val="00EC259A"/>
    <w:rsid w:val="00EC4BD8"/>
    <w:rsid w:val="00EC54B2"/>
    <w:rsid w:val="00EC63EB"/>
    <w:rsid w:val="00ED23A9"/>
    <w:rsid w:val="00ED3684"/>
    <w:rsid w:val="00ED412F"/>
    <w:rsid w:val="00EE20B3"/>
    <w:rsid w:val="00EE2531"/>
    <w:rsid w:val="00EF0186"/>
    <w:rsid w:val="00EF0B43"/>
    <w:rsid w:val="00EF0E3C"/>
    <w:rsid w:val="00EF2877"/>
    <w:rsid w:val="00EF36B2"/>
    <w:rsid w:val="00EF3F10"/>
    <w:rsid w:val="00EF5800"/>
    <w:rsid w:val="00EF77F9"/>
    <w:rsid w:val="00F068C5"/>
    <w:rsid w:val="00F06D5A"/>
    <w:rsid w:val="00F1231C"/>
    <w:rsid w:val="00F1246B"/>
    <w:rsid w:val="00F16CC4"/>
    <w:rsid w:val="00F17B35"/>
    <w:rsid w:val="00F201EC"/>
    <w:rsid w:val="00F208A9"/>
    <w:rsid w:val="00F2102F"/>
    <w:rsid w:val="00F22CAF"/>
    <w:rsid w:val="00F23DB4"/>
    <w:rsid w:val="00F26D72"/>
    <w:rsid w:val="00F314E8"/>
    <w:rsid w:val="00F34021"/>
    <w:rsid w:val="00F37796"/>
    <w:rsid w:val="00F40347"/>
    <w:rsid w:val="00F41D75"/>
    <w:rsid w:val="00F45832"/>
    <w:rsid w:val="00F508C7"/>
    <w:rsid w:val="00F5139D"/>
    <w:rsid w:val="00F5498A"/>
    <w:rsid w:val="00F55314"/>
    <w:rsid w:val="00F55977"/>
    <w:rsid w:val="00F5770B"/>
    <w:rsid w:val="00F62F43"/>
    <w:rsid w:val="00F63DAC"/>
    <w:rsid w:val="00F64A42"/>
    <w:rsid w:val="00F66B0E"/>
    <w:rsid w:val="00F66DA3"/>
    <w:rsid w:val="00F709A4"/>
    <w:rsid w:val="00F70F07"/>
    <w:rsid w:val="00F71B07"/>
    <w:rsid w:val="00F7454F"/>
    <w:rsid w:val="00F745ED"/>
    <w:rsid w:val="00F74C18"/>
    <w:rsid w:val="00F77255"/>
    <w:rsid w:val="00F77511"/>
    <w:rsid w:val="00F77988"/>
    <w:rsid w:val="00F77F48"/>
    <w:rsid w:val="00F80160"/>
    <w:rsid w:val="00F81BFC"/>
    <w:rsid w:val="00F82FD3"/>
    <w:rsid w:val="00F846BB"/>
    <w:rsid w:val="00F91AB2"/>
    <w:rsid w:val="00F931A9"/>
    <w:rsid w:val="00F95719"/>
    <w:rsid w:val="00F96858"/>
    <w:rsid w:val="00FA0FD5"/>
    <w:rsid w:val="00FA56DF"/>
    <w:rsid w:val="00FA6DD0"/>
    <w:rsid w:val="00FA6F8A"/>
    <w:rsid w:val="00FA7BA5"/>
    <w:rsid w:val="00FB2884"/>
    <w:rsid w:val="00FB2B33"/>
    <w:rsid w:val="00FB30F1"/>
    <w:rsid w:val="00FB331B"/>
    <w:rsid w:val="00FB37FF"/>
    <w:rsid w:val="00FB3AD8"/>
    <w:rsid w:val="00FB53E7"/>
    <w:rsid w:val="00FB5BAF"/>
    <w:rsid w:val="00FB69DD"/>
    <w:rsid w:val="00FC69A8"/>
    <w:rsid w:val="00FC6B37"/>
    <w:rsid w:val="00FC7973"/>
    <w:rsid w:val="00FD2476"/>
    <w:rsid w:val="00FD2A8A"/>
    <w:rsid w:val="00FD3FE0"/>
    <w:rsid w:val="00FD5301"/>
    <w:rsid w:val="00FE0122"/>
    <w:rsid w:val="00FE1592"/>
    <w:rsid w:val="00FE2265"/>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57899-3728-4651-998F-07EA014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ese.Veinberga@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I.Lipovska</Vad_x012b_t_x0101_js>
    <Kategorija xmlns="2e5bb04e-596e-45bd-9003-43ca78b1ba16">Likumprojekts</Kategorija>
    <DKP xmlns="2e5bb04e-596e-45bd-9003-43ca78b1ba16">5</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DA03-A2AA-4F7D-B042-BDBF9C6E1EA3}">
  <ds:schemaRefs>
    <ds:schemaRef ds:uri="http://www.w3.org/XML/1998/namespace"/>
    <ds:schemaRef ds:uri="2e5bb04e-596e-45bd-9003-43ca78b1ba16"/>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F303464-AE1D-498F-8048-C9E762D2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1317</Words>
  <Characters>9272</Characters>
  <Application>Microsoft Office Word</Application>
  <DocSecurity>0</DocSecurity>
  <Lines>515</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Publiskas personas mantas atsavināšanas likumā” sākotnējās ietekmes novērtējuma ziņojums (anotācija)</vt:lpstr>
    </vt:vector>
  </TitlesOfParts>
  <Company>Finanšu ministrija</Company>
  <LinksUpToDate>false</LinksUpToDate>
  <CharactersWithSpaces>10373</CharactersWithSpaces>
  <SharedDoc>false</SharedDoc>
  <HLinks>
    <vt:vector size="6" baseType="variant">
      <vt:variant>
        <vt:i4>5308512</vt:i4>
      </vt:variant>
      <vt:variant>
        <vt:i4>3</vt:i4>
      </vt:variant>
      <vt:variant>
        <vt:i4>0</vt:i4>
      </vt:variant>
      <vt:variant>
        <vt:i4>5</vt:i4>
      </vt:variant>
      <vt:variant>
        <vt:lpwstr>mailto:Irina.Smirnova@fm.gov.lv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I.Veinberga</dc:creator>
  <cp:keywords/>
  <dc:description>Inese.Veinberga@fm.gov.lv</dc:description>
  <cp:lastModifiedBy>Inese Veinberga</cp:lastModifiedBy>
  <cp:revision>9</cp:revision>
  <cp:lastPrinted>2016-10-20T06:18:00Z</cp:lastPrinted>
  <dcterms:created xsi:type="dcterms:W3CDTF">2016-10-10T13:03:00Z</dcterms:created>
  <dcterms:modified xsi:type="dcterms:W3CDTF">2016-10-20T06:40:00Z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