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4A6E" w14:textId="60966A01" w:rsidR="00844D08" w:rsidRPr="00F64232" w:rsidRDefault="00844D08" w:rsidP="00F64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F64232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Likumprojekts</w:t>
      </w:r>
    </w:p>
    <w:p w14:paraId="66B12E0F" w14:textId="77777777" w:rsidR="00844D08" w:rsidRPr="00B6500C" w:rsidRDefault="00844D08" w:rsidP="00F6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14:paraId="3640D5F5" w14:textId="374F479B" w:rsidR="00844D08" w:rsidRPr="00B6500C" w:rsidRDefault="00844D08" w:rsidP="00F64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B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Grozījumi</w:t>
      </w:r>
      <w:r w:rsidR="009B6CD1" w:rsidRPr="00B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 </w:t>
      </w:r>
      <w:r w:rsidR="00B45B66" w:rsidRPr="00B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Alternatīvo ieguldījumu fondu un to pārvaldnieku</w:t>
      </w:r>
      <w:r w:rsidRPr="00B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 likumā</w:t>
      </w:r>
    </w:p>
    <w:p w14:paraId="705CF00B" w14:textId="77777777" w:rsidR="00844D08" w:rsidRPr="00B6500C" w:rsidRDefault="00844D08" w:rsidP="00F6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14:paraId="3871C03F" w14:textId="6CACF7F7" w:rsidR="00844D08" w:rsidRPr="00B6500C" w:rsidRDefault="00844D08" w:rsidP="009B6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Izdarīt</w:t>
      </w:r>
      <w:r w:rsidR="009B6CD1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B45B66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Alternatīvo ieguldījumu fondu un to pārvaldnieku 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likumā (Latvijas </w:t>
      </w:r>
      <w:r w:rsidR="00DE32E2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Vēstnesis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, </w:t>
      </w:r>
      <w:r w:rsidR="00DE32E2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2013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, </w:t>
      </w:r>
      <w:r w:rsidR="00DE32E2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142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</w:t>
      </w:r>
      <w:r w:rsidR="00DE32E2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, 192.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nr.; </w:t>
      </w:r>
      <w:r w:rsidR="00DE32E2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2015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,</w:t>
      </w:r>
      <w:r w:rsidR="00DE32E2"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208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 nr.) </w:t>
      </w:r>
      <w:r w:rsidRPr="00B65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lv-LV" w:eastAsia="lv-LV"/>
        </w:rPr>
        <w:t>šādus grozījumus:</w:t>
      </w:r>
    </w:p>
    <w:p w14:paraId="7EE8FA3D" w14:textId="77777777" w:rsidR="00844D08" w:rsidRPr="00B6500C" w:rsidRDefault="00844D08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AD4EFB2" w14:textId="217D66B1" w:rsidR="00AD0871" w:rsidRPr="00B6500C" w:rsidRDefault="00AD0871" w:rsidP="009B6CD1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Papildināt 10.</w:t>
      </w:r>
      <w:r w:rsidR="009B6CD1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panta astoto daļu ar 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9. 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5622FC08" w14:textId="77777777" w:rsidR="00F64232" w:rsidRPr="00B6500C" w:rsidRDefault="00F64232" w:rsidP="009B6CD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5FC4B1D" w14:textId="209BA7C9" w:rsidR="00AD0871" w:rsidRPr="00B6500C" w:rsidRDefault="00246BC7" w:rsidP="009B6CD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"9)</w:t>
      </w:r>
      <w:r w:rsidR="009B6CD1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pamatinformācijas dokumentu</w:t>
      </w:r>
      <w:r w:rsidR="00AD0871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, kas izstrādāts atbilstoši 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Eiropas Parlamenta un Padomes 2014.</w:t>
      </w:r>
      <w:r w:rsidR="006135EC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gada 26.</w:t>
      </w:r>
      <w:r w:rsidR="006135EC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novembra regulas (ES) Nr.</w:t>
      </w:r>
      <w:r w:rsidR="006135EC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1286/2014 par komplektētu privāto ieguldījumu un apdrošināšanas ieguldījumu produktu (PRIIP) pamatinformācijas dokumentiem (turpmāk – Regula Nr.</w:t>
      </w:r>
      <w:r w:rsidR="006135EC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1286/2014) </w:t>
      </w:r>
      <w:r w:rsidR="00056EC4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otrās iedaļas 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prasībām, ja fonda</w:t>
      </w:r>
      <w:r w:rsidR="00ED463B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ieguldījumu daļas tiks izplatītas ieguldītājiem, kas nav profesionāli ieguldītāji.</w:t>
      </w:r>
      <w:r w:rsidR="00AD0871" w:rsidRPr="00B6500C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7813CC15" w14:textId="77777777" w:rsidR="00CB1476" w:rsidRPr="00B6500C" w:rsidRDefault="00CB1476" w:rsidP="009B6CD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ADA945E" w14:textId="7BEA8F06" w:rsidR="0024120E" w:rsidRPr="00B6500C" w:rsidRDefault="0024120E" w:rsidP="009B6CD1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Izslēgt 40.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panta vienpadsmito daļu.</w:t>
      </w:r>
    </w:p>
    <w:p w14:paraId="2A894069" w14:textId="77777777" w:rsidR="00CB1476" w:rsidRPr="00B6500C" w:rsidRDefault="00CB1476" w:rsidP="009B6CD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E7AA527" w14:textId="707DC167" w:rsidR="00844D08" w:rsidRPr="00B6500C" w:rsidRDefault="00FA1329" w:rsidP="009B6CD1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Papildināt </w:t>
      </w:r>
      <w:r w:rsidR="00AD0871"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41.</w:t>
      </w:r>
      <w:r w:rsidR="00F0753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pant</w:t>
      </w:r>
      <w:r w:rsidR="00DE32E2"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u</w:t>
      </w:r>
      <w:r w:rsidR="00844D08"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DE32E2"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ar vienpadsmito </w:t>
      </w:r>
      <w:r w:rsidR="00844D08"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daļu šādā redakcijā:</w:t>
      </w:r>
    </w:p>
    <w:p w14:paraId="040F32F8" w14:textId="77777777" w:rsidR="00F64232" w:rsidRPr="00B6500C" w:rsidRDefault="00F64232" w:rsidP="009B6CD1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521E9C30" w14:textId="7F232CE6" w:rsidR="003D04ED" w:rsidRPr="00B6500C" w:rsidRDefault="00883BFC" w:rsidP="009B6CD1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"</w:t>
      </w:r>
      <w:r w:rsidR="00DE32E2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(11) </w:t>
      </w:r>
      <w:r w:rsidR="00AD0871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Pārvaldniekam, tai skaitā dalībvalstī licencētam pārvaldniekam, izplatot </w:t>
      </w:r>
      <w:r w:rsidR="006135EC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Latvijā un citās dalībvalstīs </w:t>
      </w:r>
      <w:r w:rsidR="00AD0871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fonda ieguldījumu</w:t>
      </w:r>
      <w:r w:rsidR="00ED463B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AD0871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daļas ieguldītājiem, ka</w:t>
      </w:r>
      <w:r w:rsidR="006135EC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nav profesionāli ieguldītāji</w:t>
      </w:r>
      <w:r w:rsidR="00AD0871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jāievēro 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Regulas Nr.</w:t>
      </w:r>
      <w:r w:rsidR="006135EC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AD0871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1286/2014 prasības</w:t>
      </w:r>
      <w:r w:rsidR="00DE32E2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  <w:r w:rsidR="003D04ED" w:rsidRPr="00B6500C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6E78BC81" w14:textId="77777777" w:rsidR="00CB1476" w:rsidRPr="00B6500C" w:rsidRDefault="00CB1476" w:rsidP="009B6CD1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7B5AC12A" w14:textId="65C0AB89" w:rsidR="00AD0871" w:rsidRPr="00B6500C" w:rsidRDefault="00AD0871" w:rsidP="009B6CD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Papildināt 66.</w:t>
      </w:r>
      <w:r w:rsidR="00F0753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panta trešo daļu ar </w:t>
      </w:r>
      <w:r w:rsidR="00F07534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9. </w:t>
      </w: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punktu šādā redakcijā:</w:t>
      </w:r>
    </w:p>
    <w:p w14:paraId="0CF0919F" w14:textId="77777777" w:rsidR="00F64232" w:rsidRPr="00B6500C" w:rsidRDefault="00F64232" w:rsidP="009B6CD1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63B15F64" w14:textId="5622DDD1" w:rsidR="00AD0871" w:rsidRPr="00B6500C" w:rsidRDefault="00AD0871" w:rsidP="009B6CD1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"9)</w:t>
      </w:r>
      <w:r w:rsidR="006135EC"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pamatinformācijas dokumentu, kas izstrādāts atbilstoši </w:t>
      </w:r>
      <w:r w:rsidRPr="00B6500C">
        <w:rPr>
          <w:rFonts w:ascii="Times New Roman" w:hAnsi="Times New Roman" w:cs="Times New Roman"/>
          <w:sz w:val="28"/>
          <w:szCs w:val="28"/>
          <w:lang w:val="lv-LV" w:eastAsia="lv-LV"/>
        </w:rPr>
        <w:t>Regula</w:t>
      </w:r>
      <w:r w:rsidR="002B0B00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Nr.</w:t>
      </w:r>
      <w:r w:rsidR="006135EC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1286/2014 </w:t>
      </w:r>
      <w:r w:rsidR="00056EC4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otrās iedaļas </w:t>
      </w:r>
      <w:r w:rsidRPr="00B6500C">
        <w:rPr>
          <w:rFonts w:ascii="Times New Roman" w:hAnsi="Times New Roman" w:cs="Times New Roman"/>
          <w:sz w:val="28"/>
          <w:szCs w:val="28"/>
          <w:lang w:val="lv-LV" w:eastAsia="lv-LV"/>
        </w:rPr>
        <w:t>prasībām, ja fonda</w:t>
      </w:r>
      <w:r w:rsidR="00ED463B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Pr="00B6500C">
        <w:rPr>
          <w:rFonts w:ascii="Times New Roman" w:hAnsi="Times New Roman" w:cs="Times New Roman"/>
          <w:sz w:val="28"/>
          <w:szCs w:val="28"/>
          <w:lang w:val="lv-LV" w:eastAsia="lv-LV"/>
        </w:rPr>
        <w:t>ieguldījumu daļas tiks izplatītas ieguldītājiem, kas nav profesionāli ieguldītāji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6500C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"</w:t>
      </w:r>
    </w:p>
    <w:p w14:paraId="28E4A231" w14:textId="77777777" w:rsidR="00CB1476" w:rsidRPr="00B6500C" w:rsidRDefault="00CB1476" w:rsidP="009B6CD1">
      <w:pPr>
        <w:pStyle w:val="ListParagraph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26A57857" w14:textId="543E17C0" w:rsidR="00E762F9" w:rsidRPr="00B6500C" w:rsidRDefault="00DE32E2" w:rsidP="009B6CD1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Papildināt 90.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pantu ar desmito daļu šādā redakcijā</w:t>
      </w:r>
      <w:r w:rsidR="008B100C" w:rsidRPr="00B6500C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28F4255" w14:textId="77777777" w:rsidR="00F64232" w:rsidRPr="00B6500C" w:rsidRDefault="00F6423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506627F" w14:textId="26564562" w:rsidR="00DE32E2" w:rsidRPr="00B6500C" w:rsidRDefault="006E4A9D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762F9" w:rsidRPr="00B6500C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DE32E2" w:rsidRPr="00B650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10) 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Par Regulas </w:t>
      </w:r>
      <w:r w:rsidR="00C12753" w:rsidRPr="00B6500C">
        <w:rPr>
          <w:rFonts w:ascii="Times New Roman" w:hAnsi="Times New Roman" w:cs="Times New Roman"/>
          <w:sz w:val="28"/>
          <w:szCs w:val="28"/>
          <w:lang w:val="lv-LV" w:eastAsia="lv-LV"/>
        </w:rPr>
        <w:t>Nr.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1286/2014 5.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panta 1.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punkta, 6.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066C1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7.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panta, 8.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panta 1.</w:t>
      </w:r>
      <w:r w:rsidR="001F427D" w:rsidRPr="00B6500C">
        <w:rPr>
          <w:rFonts w:ascii="Times New Roman" w:hAnsi="Times New Roman" w:cs="Times New Roman"/>
          <w:sz w:val="28"/>
          <w:szCs w:val="28"/>
          <w:lang w:val="lv-LV"/>
        </w:rPr>
        <w:t>, 2.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066C1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3.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punkta, 9.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panta, 10.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panta 1.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punkta, 13.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panta 1., 3. </w:t>
      </w:r>
      <w:r w:rsidR="00D066C1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4.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punkta, 14. </w:t>
      </w:r>
      <w:r w:rsidR="00D066C1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19.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E32E2" w:rsidRPr="00B6500C">
        <w:rPr>
          <w:rFonts w:ascii="Times New Roman" w:hAnsi="Times New Roman" w:cs="Times New Roman"/>
          <w:sz w:val="28"/>
          <w:szCs w:val="28"/>
          <w:lang w:val="lv-LV"/>
        </w:rPr>
        <w:t>panta pārkāpumiem Komisija ir tiesīga:</w:t>
      </w:r>
    </w:p>
    <w:p w14:paraId="50FD6127" w14:textId="4DCDDE7D" w:rsidR="00DE32E2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izteikt publisku brīdinājumu, kurā norādīta </w:t>
      </w:r>
      <w:r w:rsidR="005D4FBC">
        <w:rPr>
          <w:rFonts w:ascii="Times New Roman" w:hAnsi="Times New Roman" w:cs="Times New Roman"/>
          <w:sz w:val="28"/>
          <w:szCs w:val="28"/>
          <w:lang w:val="lv-LV"/>
        </w:rPr>
        <w:t xml:space="preserve">par pārkāpumu </w:t>
      </w:r>
      <w:bookmarkStart w:id="0" w:name="_GoBack"/>
      <w:bookmarkEnd w:id="0"/>
      <w:r w:rsidRPr="00B6500C">
        <w:rPr>
          <w:rFonts w:ascii="Times New Roman" w:hAnsi="Times New Roman" w:cs="Times New Roman"/>
          <w:sz w:val="28"/>
          <w:szCs w:val="28"/>
          <w:lang w:val="lv-LV"/>
        </w:rPr>
        <w:t>atbildīgā persona un pārkāpuma būtība</w:t>
      </w:r>
      <w:r w:rsidR="0093131C" w:rsidRPr="00B6500C">
        <w:rPr>
          <w:rFonts w:ascii="Times New Roman" w:hAnsi="Times New Roman" w:cs="Times New Roman"/>
          <w:sz w:val="28"/>
          <w:szCs w:val="28"/>
          <w:lang w:val="lv-LV"/>
        </w:rPr>
        <w:t>;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2384E5CB" w14:textId="77777777" w:rsidR="00DE32E2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aizliegt </w:t>
      </w:r>
      <w:r w:rsidR="00996090" w:rsidRPr="00B6500C">
        <w:rPr>
          <w:rFonts w:ascii="Times New Roman" w:hAnsi="Times New Roman" w:cs="Times New Roman"/>
          <w:sz w:val="28"/>
          <w:szCs w:val="28"/>
          <w:lang w:val="lv-LV"/>
        </w:rPr>
        <w:t>fond</w:t>
      </w:r>
      <w:r w:rsidR="00AD0871" w:rsidRPr="00B6500C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ED463B" w:rsidRPr="00B6500C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996090" w:rsidRPr="00B6500C">
        <w:rPr>
          <w:rFonts w:ascii="Times New Roman" w:hAnsi="Times New Roman" w:cs="Times New Roman"/>
          <w:sz w:val="28"/>
          <w:szCs w:val="28"/>
          <w:lang w:val="lv-LV"/>
        </w:rPr>
        <w:t>ieguldījumu daļu izplatīšanu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C70614E" w14:textId="77777777" w:rsidR="00DE32E2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uzlikt par pienākumu apturēt </w:t>
      </w:r>
      <w:r w:rsidR="00996090" w:rsidRPr="00B6500C">
        <w:rPr>
          <w:rFonts w:ascii="Times New Roman" w:hAnsi="Times New Roman" w:cs="Times New Roman"/>
          <w:sz w:val="28"/>
          <w:szCs w:val="28"/>
          <w:lang w:val="lv-LV"/>
        </w:rPr>
        <w:t>fond</w:t>
      </w:r>
      <w:r w:rsidR="00AD0871" w:rsidRPr="00B6500C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996090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ieguldījumu daļu izplatīšanu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E51CEE5" w14:textId="22FEA909" w:rsidR="00DE32E2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aizliegt sniegt pamatinformācijas dokumentu, kas neatbilst Regulas </w:t>
      </w:r>
      <w:r w:rsidR="00060066" w:rsidRPr="00B6500C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1286/2014 6., 7., 8. vai 10.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pantā noteiktajām prasībām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un dot rīkojumu publicēt jaunu pamatinformācijas dokumenta versiju;</w:t>
      </w:r>
    </w:p>
    <w:p w14:paraId="5576104F" w14:textId="77777777" w:rsidR="00B6500C" w:rsidRDefault="00B6500C">
      <w:pPr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br w:type="page"/>
      </w:r>
    </w:p>
    <w:p w14:paraId="637AEDB2" w14:textId="37265ACC" w:rsidR="009D501F" w:rsidRPr="00B6500C" w:rsidRDefault="009D501F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lastRenderedPageBreak/>
        <w:t xml:space="preserve">uzlikt juridiskai personai soda naudu līdz 5 miljoniem </w:t>
      </w:r>
      <w:proofErr w:type="spellStart"/>
      <w:r w:rsidRPr="00B6500C">
        <w:rPr>
          <w:rFonts w:ascii="Times New Roman" w:hAnsi="Times New Roman" w:cs="Times New Roman"/>
          <w:i/>
          <w:iCs/>
          <w:color w:val="000000"/>
          <w:sz w:val="28"/>
          <w:szCs w:val="28"/>
          <w:lang w:val="lv-LV"/>
        </w:rPr>
        <w:t>euro</w:t>
      </w:r>
      <w:proofErr w:type="spellEnd"/>
      <w:r w:rsidRPr="00B6500C">
        <w:rPr>
          <w:rFonts w:ascii="Times New Roman" w:hAnsi="Times New Roman" w:cs="Times New Roman"/>
          <w:i/>
          <w:iCs/>
          <w:color w:val="000000"/>
          <w:sz w:val="28"/>
          <w:szCs w:val="28"/>
          <w:lang w:val="lv-LV"/>
        </w:rPr>
        <w:t xml:space="preserve"> 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vai 3</w:t>
      </w:r>
      <w:r w:rsidR="0093027A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procentiem no juridiskās personas kopējā gada apgrozījuma, pamatojoties uz pēdējo revidēto gada pārskatu, bet, ja juridiskā persona ir mātes sabiedrība vai mātes sabiedrības meitas sabiedrība, kas sagatavo konsolidēto </w:t>
      </w:r>
      <w:r w:rsidR="00070B98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gada 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pārskatu saskaņā ar </w:t>
      </w:r>
      <w:r w:rsidR="00056EC4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Gada pārskatu un konsolidēto pārskatu likumu vai konsolidēto </w:t>
      </w:r>
      <w:r w:rsidR="00070B98" w:rsidRPr="00B6500C">
        <w:rPr>
          <w:rFonts w:ascii="Times New Roman" w:hAnsi="Times New Roman" w:cs="Times New Roman"/>
          <w:sz w:val="28"/>
          <w:szCs w:val="28"/>
          <w:lang w:val="lv-LV"/>
        </w:rPr>
        <w:t>gada</w:t>
      </w:r>
      <w:r w:rsidR="00056EC4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pārskatu saskaņā ar </w:t>
      </w:r>
      <w:r w:rsidR="005E7A6A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izcelsmes dalībvalsts attiecīgo normatīvo aktu prasībām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, attiecīgais kopējais gada apgrozījums ir kopējais gada apgrozījums vai atbilstīga veida ienākumi saskaņā ar attiecīgajiem Eiropas Savienības tiesību aktiem grāmatvedības jomā, pamatojoties uz pēdējo revidēto konsolidēto gada pārskatu</w:t>
      </w:r>
      <w:r w:rsidR="0024120E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;</w:t>
      </w:r>
    </w:p>
    <w:p w14:paraId="7DFDC2F1" w14:textId="07E9262C" w:rsidR="00DE32E2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uzlikt</w:t>
      </w:r>
      <w:r w:rsidR="005D7869">
        <w:rPr>
          <w:rFonts w:ascii="Times New Roman" w:hAnsi="Times New Roman" w:cs="Times New Roman"/>
          <w:sz w:val="28"/>
          <w:szCs w:val="28"/>
          <w:lang w:val="lv-LV"/>
        </w:rPr>
        <w:t xml:space="preserve"> par pārkāpumu 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atbildīgajai fiziska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ja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i personai soda naudu līdz 700 000 </w:t>
      </w:r>
      <w:proofErr w:type="spellStart"/>
      <w:r w:rsidRPr="00B6500C">
        <w:rPr>
          <w:rFonts w:ascii="Times New Roman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B6500C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B2C8C5E" w14:textId="77777777" w:rsidR="00DE32E2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uzlikt soda naudu līdz pārkāpuma rezultātā gūto ienākumu vai novērsto iespējamo zaudējumu divkāršam apmēram;</w:t>
      </w:r>
    </w:p>
    <w:p w14:paraId="4711AC84" w14:textId="41D3B3DD" w:rsidR="003D04ED" w:rsidRPr="00B6500C" w:rsidRDefault="00DE32E2" w:rsidP="00C1275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uzlikt par pienākumu </w:t>
      </w:r>
      <w:r w:rsidR="007E0C65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pārvaldniekam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r w:rsidR="007E0C65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vai </w:t>
      </w:r>
      <w:r w:rsidR="00C83E4F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personai, </w:t>
      </w:r>
      <w:r w:rsidRPr="00B6500C">
        <w:rPr>
          <w:rFonts w:ascii="Times New Roman" w:hAnsi="Times New Roman" w:cs="Times New Roman"/>
          <w:bCs/>
          <w:color w:val="000000"/>
          <w:sz w:val="28"/>
          <w:szCs w:val="28"/>
          <w:lang w:val="lv-LV"/>
        </w:rPr>
        <w:t xml:space="preserve">kas </w:t>
      </w:r>
      <w:r w:rsidR="00B11382" w:rsidRPr="00B6500C">
        <w:rPr>
          <w:rFonts w:ascii="Times New Roman" w:hAnsi="Times New Roman" w:cs="Times New Roman"/>
          <w:bCs/>
          <w:color w:val="000000"/>
          <w:sz w:val="28"/>
          <w:szCs w:val="28"/>
          <w:lang w:val="lv-LV"/>
        </w:rPr>
        <w:t>izplat</w:t>
      </w:r>
      <w:r w:rsidR="00CD0220" w:rsidRPr="00B6500C">
        <w:rPr>
          <w:rFonts w:ascii="Times New Roman" w:hAnsi="Times New Roman" w:cs="Times New Roman"/>
          <w:bCs/>
          <w:color w:val="000000"/>
          <w:sz w:val="28"/>
          <w:szCs w:val="28"/>
          <w:lang w:val="lv-LV"/>
        </w:rPr>
        <w:t>a fonda ieguldījumu apliecības</w:t>
      </w:r>
      <w:r w:rsidR="007B2174" w:rsidRPr="00B6500C">
        <w:rPr>
          <w:rFonts w:ascii="Times New Roman" w:hAnsi="Times New Roman" w:cs="Times New Roman"/>
          <w:bCs/>
          <w:color w:val="000000"/>
          <w:sz w:val="28"/>
          <w:szCs w:val="28"/>
          <w:lang w:val="lv-LV"/>
        </w:rPr>
        <w:t xml:space="preserve"> vai konsultē par fonda ieguldījuma daļu iegādi</w:t>
      </w:r>
      <w:r w:rsidRPr="00B6500C">
        <w:rPr>
          <w:rFonts w:ascii="Times New Roman" w:hAnsi="Times New Roman" w:cs="Times New Roman"/>
          <w:bCs/>
          <w:color w:val="000000"/>
          <w:sz w:val="28"/>
          <w:szCs w:val="28"/>
          <w:lang w:val="lv-LV"/>
        </w:rPr>
        <w:t>,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informēt ieguldītāju, kas nav profesionāls ieguldītājs</w:t>
      </w:r>
      <w:r w:rsidR="00F87BB8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un kura </w:t>
      </w:r>
      <w:r w:rsidR="00EE4104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tiesības un </w:t>
      </w:r>
      <w:r w:rsidR="00F87BB8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intereses </w:t>
      </w:r>
      <w:r w:rsidR="00EE4104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tika </w:t>
      </w:r>
      <w:r w:rsidR="00F87BB8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skartas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, par piemēroto sankciju un </w:t>
      </w:r>
      <w:r w:rsidR="00C12753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par to, 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kur ieguldītājs var iesniegt sūdzību vai prasību par tiesisko aizsardzību.</w:t>
      </w:r>
      <w:r w:rsidR="003D04ED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"</w:t>
      </w:r>
    </w:p>
    <w:p w14:paraId="351B2814" w14:textId="77777777" w:rsidR="00CB1476" w:rsidRPr="00B6500C" w:rsidRDefault="00CB1476" w:rsidP="009B6CD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C1430E7" w14:textId="77777777" w:rsidR="00C047AF" w:rsidRPr="00B6500C" w:rsidRDefault="00DE32E2" w:rsidP="009B6CD1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Papildināt likumu ar</w:t>
      </w:r>
      <w:r w:rsidR="00C047AF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r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90</w:t>
      </w:r>
      <w:r w:rsidR="00C047AF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.</w:t>
      </w:r>
      <w:r w:rsidRPr="00B6500C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lv-LV"/>
        </w:rPr>
        <w:t xml:space="preserve">1 </w:t>
      </w:r>
      <w:r w:rsidR="00C047AF" w:rsidRPr="00B6500C">
        <w:rPr>
          <w:rFonts w:ascii="Times New Roman" w:hAnsi="Times New Roman" w:cs="Times New Roman"/>
          <w:color w:val="000000"/>
          <w:sz w:val="28"/>
          <w:szCs w:val="28"/>
          <w:lang w:val="lv-LV"/>
        </w:rPr>
        <w:t>pantu šādā redakcijā:</w:t>
      </w:r>
    </w:p>
    <w:p w14:paraId="3393A78B" w14:textId="77777777" w:rsidR="00F64232" w:rsidRPr="00B6500C" w:rsidRDefault="00F64232" w:rsidP="009B6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DA4C570" w14:textId="77777777" w:rsidR="00DE32E2" w:rsidRPr="00B6500C" w:rsidRDefault="003119F0" w:rsidP="009B6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E32E2" w:rsidRPr="00B6500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90.</w:t>
      </w:r>
      <w:r w:rsidR="00DE32E2" w:rsidRPr="00B6500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lv-LV" w:eastAsia="lv-LV"/>
        </w:rPr>
        <w:t>1</w:t>
      </w:r>
      <w:r w:rsidR="00DE32E2" w:rsidRPr="00B6500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pants. Sankciju publiskošana</w:t>
      </w:r>
    </w:p>
    <w:p w14:paraId="35374A61" w14:textId="785C5AE5" w:rsidR="00DE32E2" w:rsidRPr="00B6500C" w:rsidRDefault="00DE32E2" w:rsidP="009B6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(1) 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Komisija informāciju par sankcijām un uzraudzības pasākumiem, kas personām piemērotas par šā likuma 90.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panta desmitajā daļā minētajiem pārkāpumiem, ievieto savā </w:t>
      </w:r>
      <w:r w:rsidR="00C12753" w:rsidRPr="00B6500C">
        <w:rPr>
          <w:rFonts w:ascii="Times New Roman" w:hAnsi="Times New Roman" w:cs="Times New Roman"/>
          <w:sz w:val="28"/>
          <w:szCs w:val="28"/>
          <w:lang w:val="lv-LV"/>
        </w:rPr>
        <w:t>tīmekļvietnē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, norādot ziņas par personu un tās izdarīto pārkāpumu, kā arī 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par 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tās izdotā administratīvā akta apstrīdēšanu un pieņemto nolēmumu.</w:t>
      </w:r>
    </w:p>
    <w:p w14:paraId="252D4C46" w14:textId="2674E0D7" w:rsidR="00DE32E2" w:rsidRPr="00B6500C" w:rsidRDefault="00DE32E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(2) Šā panta pirmajā daļā minēto informāciju Komisija var publiskot, neidentificējot personu, ja 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tā 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pēc iepriekšēja</w:t>
      </w:r>
      <w:r w:rsidR="00B6500C" w:rsidRPr="00B6500C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izvērtē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>šanas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konstatē, ka tās personas datu atklāšana, kurai piemērota sankcija vai 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uzraudzības 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pasākums, nav samērīga vai fiziskās vai juridiskās personas datu atklāšana var apdraudēt finanšu tirgus stabilitāti vai uzsākt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kriminālprocesa norisi vai radīt nesamērīgu kaitējumu iesaistītajām personām.</w:t>
      </w:r>
    </w:p>
    <w:p w14:paraId="55D3D585" w14:textId="5AC471F9" w:rsidR="00DE32E2" w:rsidRPr="00B6500C" w:rsidRDefault="00DE32E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(3) Šā panta pirmajā daļā minēto informāciju par šā likuma 90.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panta desmitajā daļā minētajām sankcijām un uzraudzības pasākumiem Komisija var nepubliskot, ja tā pēc iepriekšēja</w:t>
      </w:r>
      <w:r w:rsidR="00B6500C" w:rsidRPr="00B6500C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izvērtē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>šanas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konstatē, ka publi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sko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šana apdraudētu finanšu tirgus stabilitāti vai uzsākt</w:t>
      </w:r>
      <w:r w:rsidR="00537E37" w:rsidRPr="00B6500C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kriminālprocesa norisi vai šādas informācijas </w:t>
      </w:r>
      <w:r w:rsidR="00F07534" w:rsidRPr="00B6500C">
        <w:rPr>
          <w:rFonts w:ascii="Times New Roman" w:hAnsi="Times New Roman" w:cs="Times New Roman"/>
          <w:sz w:val="28"/>
          <w:szCs w:val="28"/>
          <w:lang w:val="lv-LV"/>
        </w:rPr>
        <w:t>publi</w:t>
      </w:r>
      <w:r w:rsidR="00F07534">
        <w:rPr>
          <w:rFonts w:ascii="Times New Roman" w:hAnsi="Times New Roman" w:cs="Times New Roman"/>
          <w:sz w:val="28"/>
          <w:szCs w:val="28"/>
          <w:lang w:val="lv-LV"/>
        </w:rPr>
        <w:t>sko</w:t>
      </w:r>
      <w:r w:rsidR="00F07534"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šana 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nav samērīga ar izdarīto pārkāpumu.</w:t>
      </w:r>
    </w:p>
    <w:p w14:paraId="3AB34315" w14:textId="77777777" w:rsidR="00DE32E2" w:rsidRPr="00B6500C" w:rsidRDefault="00DE32E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>(4) Ja paredzams, ka šā panta otrajā vai trešajā daļā minētie apstākļi saprātīgā laikposmā var izbeigties, šā panta pirmajā daļā minētās informācijas publiskošanu var atlikt uz šādu laikposmu.</w:t>
      </w:r>
    </w:p>
    <w:p w14:paraId="0A214876" w14:textId="0946DA56" w:rsidR="00DE32E2" w:rsidRPr="00B6500C" w:rsidRDefault="00DE32E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(5) Šajā pantā noteiktajā kārtībā Komisijas </w:t>
      </w:r>
      <w:r w:rsidR="00B6500C" w:rsidRPr="00B6500C">
        <w:rPr>
          <w:rFonts w:ascii="Times New Roman" w:hAnsi="Times New Roman" w:cs="Times New Roman"/>
          <w:sz w:val="28"/>
          <w:szCs w:val="28"/>
          <w:lang w:val="lv-LV"/>
        </w:rPr>
        <w:t>tīmekļvietnē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ievietotā informācija ir pieejama piecus gadus no tās ievietošanas dienas.</w:t>
      </w:r>
    </w:p>
    <w:p w14:paraId="39E58373" w14:textId="7E32DB26" w:rsidR="003119F0" w:rsidRPr="00B6500C" w:rsidRDefault="00DE32E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6500C">
        <w:rPr>
          <w:rFonts w:ascii="Times New Roman" w:hAnsi="Times New Roman" w:cs="Times New Roman"/>
          <w:sz w:val="28"/>
          <w:szCs w:val="28"/>
          <w:lang w:val="lv-LV"/>
        </w:rPr>
        <w:lastRenderedPageBreak/>
        <w:t>(6) Komisija informē Eiropas Vērtspapīru un tirgu iestādi par sankcijām un pasākumiem, kas piemērot</w:t>
      </w:r>
      <w:r w:rsidR="006A50BF" w:rsidRPr="00B6500C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 xml:space="preserve"> par šā likuma 90.</w:t>
      </w:r>
      <w:r w:rsidR="00B6500C" w:rsidRPr="00B6500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6500C">
        <w:rPr>
          <w:rFonts w:ascii="Times New Roman" w:hAnsi="Times New Roman" w:cs="Times New Roman"/>
          <w:sz w:val="28"/>
          <w:szCs w:val="28"/>
          <w:lang w:val="lv-LV"/>
        </w:rPr>
        <w:t>panta desmitajā daļā minētajiem pārkāpumiem.</w:t>
      </w:r>
      <w:r w:rsidR="003119F0" w:rsidRPr="00B6500C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6DDD5B08" w14:textId="77777777" w:rsidR="00CB1476" w:rsidRPr="00B6500C" w:rsidRDefault="00CB1476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B625D67" w14:textId="77777777" w:rsidR="00F64232" w:rsidRPr="00B6500C" w:rsidRDefault="00F64232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FFA44F4" w14:textId="77777777" w:rsidR="00CB1476" w:rsidRPr="00B6500C" w:rsidRDefault="00CB1476" w:rsidP="009B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7A5F0E9" w14:textId="77777777" w:rsidR="00F64232" w:rsidRPr="00B6500C" w:rsidRDefault="00F64232" w:rsidP="009B6CD1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6500C">
        <w:rPr>
          <w:rFonts w:ascii="Times New Roman" w:hAnsi="Times New Roman" w:cs="Times New Roman"/>
          <w:sz w:val="28"/>
          <w:szCs w:val="28"/>
        </w:rPr>
        <w:t>Finanšu</w:t>
      </w:r>
      <w:proofErr w:type="spellEnd"/>
      <w:r w:rsidRPr="00B65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0C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B6500C">
        <w:rPr>
          <w:rFonts w:ascii="Times New Roman" w:hAnsi="Times New Roman" w:cs="Times New Roman"/>
          <w:sz w:val="28"/>
          <w:szCs w:val="28"/>
        </w:rPr>
        <w:t xml:space="preserve"> </w:t>
      </w:r>
      <w:r w:rsidRPr="00B6500C">
        <w:rPr>
          <w:rFonts w:ascii="Times New Roman" w:hAnsi="Times New Roman" w:cs="Times New Roman"/>
          <w:sz w:val="28"/>
          <w:szCs w:val="28"/>
        </w:rPr>
        <w:tab/>
      </w:r>
    </w:p>
    <w:p w14:paraId="41EB1458" w14:textId="34181933" w:rsidR="00F64232" w:rsidRPr="00B6500C" w:rsidRDefault="00F64232" w:rsidP="009B6CD1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00C">
        <w:rPr>
          <w:rFonts w:ascii="Times New Roman" w:hAnsi="Times New Roman" w:cs="Times New Roman"/>
          <w:sz w:val="28"/>
          <w:szCs w:val="28"/>
        </w:rPr>
        <w:t xml:space="preserve">Dana </w:t>
      </w:r>
      <w:proofErr w:type="spellStart"/>
      <w:r w:rsidRPr="00B6500C">
        <w:rPr>
          <w:rFonts w:ascii="Times New Roman" w:hAnsi="Times New Roman" w:cs="Times New Roman"/>
          <w:sz w:val="28"/>
          <w:szCs w:val="28"/>
        </w:rPr>
        <w:t>Reizniece</w:t>
      </w:r>
      <w:proofErr w:type="spellEnd"/>
      <w:r w:rsidRPr="00B6500C">
        <w:rPr>
          <w:rFonts w:ascii="Times New Roman" w:hAnsi="Times New Roman" w:cs="Times New Roman"/>
          <w:sz w:val="28"/>
          <w:szCs w:val="28"/>
        </w:rPr>
        <w:t>-Ozola</w:t>
      </w:r>
    </w:p>
    <w:p w14:paraId="1706C580" w14:textId="7C343239" w:rsidR="00CB1476" w:rsidRPr="00B6500C" w:rsidRDefault="00CB1476" w:rsidP="00F6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CB1476" w:rsidRPr="00B6500C" w:rsidSect="00F642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5BE5" w14:textId="77777777" w:rsidR="00FF3B03" w:rsidRDefault="00FF3B03" w:rsidP="00643037">
      <w:pPr>
        <w:spacing w:after="0" w:line="240" w:lineRule="auto"/>
      </w:pPr>
      <w:r>
        <w:separator/>
      </w:r>
    </w:p>
  </w:endnote>
  <w:endnote w:type="continuationSeparator" w:id="0">
    <w:p w14:paraId="034737B1" w14:textId="77777777" w:rsidR="00FF3B03" w:rsidRDefault="00FF3B03" w:rsidP="006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4C57" w14:textId="6B0418B5" w:rsidR="00F64232" w:rsidRPr="00F64232" w:rsidRDefault="00F64232" w:rsidP="00F64232">
    <w:pPr>
      <w:pStyle w:val="Footer"/>
    </w:pPr>
    <w:r w:rsidRPr="00F64232">
      <w:rPr>
        <w:rFonts w:ascii="Times New Roman" w:hAnsi="Times New Roman" w:cs="Times New Roman"/>
        <w:sz w:val="16"/>
        <w:szCs w:val="16"/>
        <w:lang w:val="lv-LV"/>
      </w:rPr>
      <w:t>L2663_6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4A3D" w14:textId="1C7742AB" w:rsidR="000043B8" w:rsidRPr="00F64232" w:rsidRDefault="00F64232" w:rsidP="008D2634">
    <w:pPr>
      <w:pStyle w:val="Footer"/>
      <w:rPr>
        <w:rFonts w:ascii="Times New Roman" w:hAnsi="Times New Roman" w:cs="Times New Roman"/>
        <w:sz w:val="16"/>
        <w:szCs w:val="16"/>
      </w:rPr>
    </w:pPr>
    <w:r w:rsidRPr="00F64232">
      <w:rPr>
        <w:rFonts w:ascii="Times New Roman" w:hAnsi="Times New Roman" w:cs="Times New Roman"/>
        <w:sz w:val="16"/>
        <w:szCs w:val="16"/>
        <w:lang w:val="lv-LV"/>
      </w:rPr>
      <w:t>L2663_6</w:t>
    </w:r>
    <w:proofErr w:type="gramStart"/>
    <w:r w:rsidRPr="00F64232">
      <w:rPr>
        <w:rFonts w:ascii="Times New Roman" w:hAnsi="Times New Roman" w:cs="Times New Roman"/>
        <w:sz w:val="16"/>
        <w:szCs w:val="16"/>
        <w:lang w:val="lv-LV"/>
      </w:rPr>
      <w:t xml:space="preserve">  </w:t>
    </w:r>
    <w:proofErr w:type="spellStart"/>
    <w:proofErr w:type="gramEnd"/>
    <w:r w:rsidRPr="00F64232">
      <w:rPr>
        <w:rFonts w:ascii="Times New Roman" w:hAnsi="Times New Roman" w:cs="Times New Roman"/>
        <w:sz w:val="16"/>
        <w:szCs w:val="16"/>
      </w:rPr>
      <w:t>v_sk</w:t>
    </w:r>
    <w:proofErr w:type="spellEnd"/>
    <w:r w:rsidRPr="00F64232">
      <w:rPr>
        <w:rFonts w:ascii="Times New Roman" w:hAnsi="Times New Roman" w:cs="Times New Roman"/>
        <w:sz w:val="16"/>
        <w:szCs w:val="16"/>
      </w:rPr>
      <w:t xml:space="preserve">. = </w:t>
    </w:r>
    <w:r w:rsidRPr="00F64232">
      <w:rPr>
        <w:rFonts w:ascii="Times New Roman" w:hAnsi="Times New Roman" w:cs="Times New Roman"/>
        <w:sz w:val="16"/>
        <w:szCs w:val="16"/>
      </w:rPr>
      <w:fldChar w:fldCharType="begin"/>
    </w:r>
    <w:r w:rsidRPr="00F64232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F64232">
      <w:rPr>
        <w:rFonts w:ascii="Times New Roman" w:hAnsi="Times New Roman" w:cs="Times New Roman"/>
        <w:sz w:val="16"/>
        <w:szCs w:val="16"/>
      </w:rPr>
      <w:fldChar w:fldCharType="separate"/>
    </w:r>
    <w:r w:rsidR="005D4FBC">
      <w:rPr>
        <w:rFonts w:ascii="Times New Roman" w:hAnsi="Times New Roman" w:cs="Times New Roman"/>
        <w:noProof/>
        <w:sz w:val="16"/>
        <w:szCs w:val="16"/>
      </w:rPr>
      <w:t>656</w:t>
    </w:r>
    <w:r w:rsidRPr="00F6423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B62D0" w14:textId="77777777" w:rsidR="00FF3B03" w:rsidRDefault="00FF3B03" w:rsidP="00643037">
      <w:pPr>
        <w:spacing w:after="0" w:line="240" w:lineRule="auto"/>
      </w:pPr>
      <w:r>
        <w:separator/>
      </w:r>
    </w:p>
  </w:footnote>
  <w:footnote w:type="continuationSeparator" w:id="0">
    <w:p w14:paraId="6186A5B6" w14:textId="77777777" w:rsidR="00FF3B03" w:rsidRDefault="00FF3B03" w:rsidP="006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961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6EF8285" w14:textId="201E15FE" w:rsidR="00F64232" w:rsidRPr="00F64232" w:rsidRDefault="00F64232" w:rsidP="00F6423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64232">
          <w:rPr>
            <w:rFonts w:ascii="Times New Roman" w:hAnsi="Times New Roman" w:cs="Times New Roman"/>
            <w:sz w:val="24"/>
          </w:rPr>
          <w:fldChar w:fldCharType="begin"/>
        </w:r>
        <w:r w:rsidRPr="00F642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4232">
          <w:rPr>
            <w:rFonts w:ascii="Times New Roman" w:hAnsi="Times New Roman" w:cs="Times New Roman"/>
            <w:sz w:val="24"/>
          </w:rPr>
          <w:fldChar w:fldCharType="separate"/>
        </w:r>
        <w:r w:rsidR="005D4FBC">
          <w:rPr>
            <w:rFonts w:ascii="Times New Roman" w:hAnsi="Times New Roman" w:cs="Times New Roman"/>
            <w:noProof/>
            <w:sz w:val="24"/>
          </w:rPr>
          <w:t>3</w:t>
        </w:r>
        <w:r w:rsidRPr="00F642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B09135C" w14:textId="77777777" w:rsidR="00F64232" w:rsidRDefault="00F64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D326" w14:textId="77777777" w:rsidR="000043B8" w:rsidRDefault="000043B8">
    <w:pPr>
      <w:pStyle w:val="Header"/>
      <w:jc w:val="right"/>
    </w:pPr>
  </w:p>
  <w:p w14:paraId="3EA8180B" w14:textId="77777777" w:rsidR="000043B8" w:rsidRDefault="00004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BA"/>
    <w:multiLevelType w:val="hybridMultilevel"/>
    <w:tmpl w:val="85CEA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CC4"/>
    <w:multiLevelType w:val="hybridMultilevel"/>
    <w:tmpl w:val="45F2EBE2"/>
    <w:lvl w:ilvl="0" w:tplc="E190F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EAB"/>
    <w:multiLevelType w:val="hybridMultilevel"/>
    <w:tmpl w:val="45F2EBE2"/>
    <w:lvl w:ilvl="0" w:tplc="E190F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A2"/>
    <w:multiLevelType w:val="hybridMultilevel"/>
    <w:tmpl w:val="1EF87E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4FC5"/>
    <w:multiLevelType w:val="hybridMultilevel"/>
    <w:tmpl w:val="EB34C34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7A0A"/>
    <w:multiLevelType w:val="hybridMultilevel"/>
    <w:tmpl w:val="48ECFA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881"/>
    <w:multiLevelType w:val="hybridMultilevel"/>
    <w:tmpl w:val="20C6932A"/>
    <w:lvl w:ilvl="0" w:tplc="27EE54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2D82"/>
    <w:multiLevelType w:val="hybridMultilevel"/>
    <w:tmpl w:val="D714DC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701F"/>
    <w:multiLevelType w:val="hybridMultilevel"/>
    <w:tmpl w:val="7F9C2108"/>
    <w:lvl w:ilvl="0" w:tplc="61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258CC"/>
    <w:multiLevelType w:val="hybridMultilevel"/>
    <w:tmpl w:val="74484A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A"/>
    <w:rsid w:val="00001140"/>
    <w:rsid w:val="000043B8"/>
    <w:rsid w:val="00005902"/>
    <w:rsid w:val="0002730A"/>
    <w:rsid w:val="000367EB"/>
    <w:rsid w:val="00044DB3"/>
    <w:rsid w:val="00056EC4"/>
    <w:rsid w:val="00060066"/>
    <w:rsid w:val="00070B98"/>
    <w:rsid w:val="00082D15"/>
    <w:rsid w:val="0009288A"/>
    <w:rsid w:val="00097713"/>
    <w:rsid w:val="000B2C7D"/>
    <w:rsid w:val="0016130B"/>
    <w:rsid w:val="001674DF"/>
    <w:rsid w:val="00187D89"/>
    <w:rsid w:val="001B0867"/>
    <w:rsid w:val="001C3B35"/>
    <w:rsid w:val="001F427D"/>
    <w:rsid w:val="001F7D1A"/>
    <w:rsid w:val="0021386D"/>
    <w:rsid w:val="00216644"/>
    <w:rsid w:val="00224DE4"/>
    <w:rsid w:val="002326DD"/>
    <w:rsid w:val="00232771"/>
    <w:rsid w:val="0024103F"/>
    <w:rsid w:val="0024120E"/>
    <w:rsid w:val="00246BC7"/>
    <w:rsid w:val="002660E5"/>
    <w:rsid w:val="0026682E"/>
    <w:rsid w:val="00270D87"/>
    <w:rsid w:val="00273384"/>
    <w:rsid w:val="00296C0B"/>
    <w:rsid w:val="002B0B00"/>
    <w:rsid w:val="002B5B6D"/>
    <w:rsid w:val="002C198B"/>
    <w:rsid w:val="003119F0"/>
    <w:rsid w:val="00332C45"/>
    <w:rsid w:val="00341CB0"/>
    <w:rsid w:val="00345059"/>
    <w:rsid w:val="003929DB"/>
    <w:rsid w:val="003A238C"/>
    <w:rsid w:val="003B10B2"/>
    <w:rsid w:val="003D04ED"/>
    <w:rsid w:val="003D0E96"/>
    <w:rsid w:val="003D68E8"/>
    <w:rsid w:val="004049BE"/>
    <w:rsid w:val="00404B57"/>
    <w:rsid w:val="00415A70"/>
    <w:rsid w:val="00416A9A"/>
    <w:rsid w:val="00464893"/>
    <w:rsid w:val="0048377F"/>
    <w:rsid w:val="004A04FE"/>
    <w:rsid w:val="004A0F84"/>
    <w:rsid w:val="004A3178"/>
    <w:rsid w:val="004B5A4A"/>
    <w:rsid w:val="004B6D1A"/>
    <w:rsid w:val="004F0BB6"/>
    <w:rsid w:val="0050024C"/>
    <w:rsid w:val="00537E37"/>
    <w:rsid w:val="005734AB"/>
    <w:rsid w:val="0057378B"/>
    <w:rsid w:val="0059663E"/>
    <w:rsid w:val="005A5CCE"/>
    <w:rsid w:val="005B5632"/>
    <w:rsid w:val="005C368B"/>
    <w:rsid w:val="005D29D7"/>
    <w:rsid w:val="005D38D5"/>
    <w:rsid w:val="005D4FBC"/>
    <w:rsid w:val="005D7869"/>
    <w:rsid w:val="005E7A6A"/>
    <w:rsid w:val="006135EC"/>
    <w:rsid w:val="00625A35"/>
    <w:rsid w:val="00631361"/>
    <w:rsid w:val="006371F0"/>
    <w:rsid w:val="00643037"/>
    <w:rsid w:val="00647FFC"/>
    <w:rsid w:val="00654B80"/>
    <w:rsid w:val="00694C2D"/>
    <w:rsid w:val="006A50BF"/>
    <w:rsid w:val="006E1EB9"/>
    <w:rsid w:val="006E4A9D"/>
    <w:rsid w:val="00733C3E"/>
    <w:rsid w:val="00741873"/>
    <w:rsid w:val="00766B95"/>
    <w:rsid w:val="007721A8"/>
    <w:rsid w:val="0078267E"/>
    <w:rsid w:val="007A652B"/>
    <w:rsid w:val="007B0904"/>
    <w:rsid w:val="007B2174"/>
    <w:rsid w:val="007B638F"/>
    <w:rsid w:val="007E0C65"/>
    <w:rsid w:val="007E5451"/>
    <w:rsid w:val="007F6F3A"/>
    <w:rsid w:val="00816881"/>
    <w:rsid w:val="00844D08"/>
    <w:rsid w:val="00862CF2"/>
    <w:rsid w:val="00883BFC"/>
    <w:rsid w:val="00891A35"/>
    <w:rsid w:val="008B100C"/>
    <w:rsid w:val="008C2D06"/>
    <w:rsid w:val="008D2634"/>
    <w:rsid w:val="008E566C"/>
    <w:rsid w:val="009236E4"/>
    <w:rsid w:val="0093027A"/>
    <w:rsid w:val="0093131C"/>
    <w:rsid w:val="00936EA3"/>
    <w:rsid w:val="009659C4"/>
    <w:rsid w:val="00996090"/>
    <w:rsid w:val="009A475C"/>
    <w:rsid w:val="009A6740"/>
    <w:rsid w:val="009B2378"/>
    <w:rsid w:val="009B6CD1"/>
    <w:rsid w:val="009C6807"/>
    <w:rsid w:val="009D501F"/>
    <w:rsid w:val="009E55F5"/>
    <w:rsid w:val="00A15006"/>
    <w:rsid w:val="00A259BD"/>
    <w:rsid w:val="00A53F7E"/>
    <w:rsid w:val="00A71846"/>
    <w:rsid w:val="00A829B7"/>
    <w:rsid w:val="00A84935"/>
    <w:rsid w:val="00A90DE1"/>
    <w:rsid w:val="00AD0871"/>
    <w:rsid w:val="00AE188A"/>
    <w:rsid w:val="00AE215A"/>
    <w:rsid w:val="00AF62A5"/>
    <w:rsid w:val="00AF768B"/>
    <w:rsid w:val="00B05349"/>
    <w:rsid w:val="00B11382"/>
    <w:rsid w:val="00B20A4F"/>
    <w:rsid w:val="00B24FD0"/>
    <w:rsid w:val="00B44103"/>
    <w:rsid w:val="00B45B66"/>
    <w:rsid w:val="00B6500C"/>
    <w:rsid w:val="00B7340C"/>
    <w:rsid w:val="00B75643"/>
    <w:rsid w:val="00B84895"/>
    <w:rsid w:val="00BA5E73"/>
    <w:rsid w:val="00BC58FD"/>
    <w:rsid w:val="00BD7624"/>
    <w:rsid w:val="00BE0C19"/>
    <w:rsid w:val="00C047AF"/>
    <w:rsid w:val="00C057BC"/>
    <w:rsid w:val="00C12753"/>
    <w:rsid w:val="00C2529B"/>
    <w:rsid w:val="00C3668B"/>
    <w:rsid w:val="00C4630E"/>
    <w:rsid w:val="00C50759"/>
    <w:rsid w:val="00C52F84"/>
    <w:rsid w:val="00C743D0"/>
    <w:rsid w:val="00C83E4F"/>
    <w:rsid w:val="00CB01B0"/>
    <w:rsid w:val="00CB1476"/>
    <w:rsid w:val="00CB2EF8"/>
    <w:rsid w:val="00CD0220"/>
    <w:rsid w:val="00CD2906"/>
    <w:rsid w:val="00CE12B9"/>
    <w:rsid w:val="00CF5880"/>
    <w:rsid w:val="00D066C1"/>
    <w:rsid w:val="00D0759F"/>
    <w:rsid w:val="00D2230B"/>
    <w:rsid w:val="00D466DE"/>
    <w:rsid w:val="00D611B1"/>
    <w:rsid w:val="00DA4489"/>
    <w:rsid w:val="00DC2C1B"/>
    <w:rsid w:val="00DE32E2"/>
    <w:rsid w:val="00DF0E3C"/>
    <w:rsid w:val="00DF6812"/>
    <w:rsid w:val="00E04EC3"/>
    <w:rsid w:val="00E762F9"/>
    <w:rsid w:val="00E84EF3"/>
    <w:rsid w:val="00E9611E"/>
    <w:rsid w:val="00ED463B"/>
    <w:rsid w:val="00EE4104"/>
    <w:rsid w:val="00F07534"/>
    <w:rsid w:val="00F14F67"/>
    <w:rsid w:val="00F25A25"/>
    <w:rsid w:val="00F376EB"/>
    <w:rsid w:val="00F64232"/>
    <w:rsid w:val="00F70416"/>
    <w:rsid w:val="00F87BB8"/>
    <w:rsid w:val="00FA1329"/>
    <w:rsid w:val="00FA30F2"/>
    <w:rsid w:val="00FA6157"/>
    <w:rsid w:val="00FA6FB6"/>
    <w:rsid w:val="00FB2EC2"/>
    <w:rsid w:val="00FB5FA1"/>
    <w:rsid w:val="00FC1586"/>
    <w:rsid w:val="00FE12AB"/>
    <w:rsid w:val="00FE2A9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DE"/>
    <w:pPr>
      <w:ind w:left="720"/>
      <w:contextualSpacing/>
    </w:pPr>
  </w:style>
  <w:style w:type="paragraph" w:customStyle="1" w:styleId="tv213">
    <w:name w:val="tv213"/>
    <w:basedOn w:val="Normal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466DE"/>
  </w:style>
  <w:style w:type="character" w:styleId="Hyperlink">
    <w:name w:val="Hyperlink"/>
    <w:basedOn w:val="DefaultParagraphFont"/>
    <w:uiPriority w:val="99"/>
    <w:semiHidden/>
    <w:unhideWhenUsed/>
    <w:rsid w:val="00D466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E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660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7"/>
  </w:style>
  <w:style w:type="paragraph" w:styleId="Footer">
    <w:name w:val="footer"/>
    <w:basedOn w:val="Normal"/>
    <w:link w:val="Foot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7"/>
  </w:style>
  <w:style w:type="paragraph" w:styleId="NormalWeb">
    <w:name w:val="Normal (Web)"/>
    <w:basedOn w:val="Normal"/>
    <w:uiPriority w:val="99"/>
    <w:semiHidden/>
    <w:unhideWhenUsed/>
    <w:rsid w:val="008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DE"/>
    <w:pPr>
      <w:ind w:left="720"/>
      <w:contextualSpacing/>
    </w:pPr>
  </w:style>
  <w:style w:type="paragraph" w:customStyle="1" w:styleId="tv213">
    <w:name w:val="tv213"/>
    <w:basedOn w:val="Normal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466DE"/>
  </w:style>
  <w:style w:type="character" w:styleId="Hyperlink">
    <w:name w:val="Hyperlink"/>
    <w:basedOn w:val="DefaultParagraphFont"/>
    <w:uiPriority w:val="99"/>
    <w:semiHidden/>
    <w:unhideWhenUsed/>
    <w:rsid w:val="00D466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E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660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7"/>
  </w:style>
  <w:style w:type="paragraph" w:styleId="Footer">
    <w:name w:val="footer"/>
    <w:basedOn w:val="Normal"/>
    <w:link w:val="Foot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7"/>
  </w:style>
  <w:style w:type="paragraph" w:styleId="NormalWeb">
    <w:name w:val="Normal (Web)"/>
    <w:basedOn w:val="Normal"/>
    <w:uiPriority w:val="99"/>
    <w:semiHidden/>
    <w:unhideWhenUsed/>
    <w:rsid w:val="008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B88E7-A7EF-4912-B36B-2A92E7F4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656</Words>
  <Characters>4249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Alternatīvo ieguldījumu fondu un to pārvaldnieku likumā"</vt:lpstr>
    </vt:vector>
  </TitlesOfParts>
  <Company>Finanšu ministrija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Alternatīvo ieguldījumu fondu un to pārvaldnieku likumā"</dc:title>
  <dc:creator>Aivis Hammers</dc:creator>
  <dc:description>Aivis Hammers, tālr 67095441, epasts: aivis.hammers@fm.gov.lv</dc:description>
  <cp:lastModifiedBy>Sandra Liniņa</cp:lastModifiedBy>
  <cp:revision>12</cp:revision>
  <cp:lastPrinted>2016-12-13T10:31:00Z</cp:lastPrinted>
  <dcterms:created xsi:type="dcterms:W3CDTF">2016-11-25T12:33:00Z</dcterms:created>
  <dcterms:modified xsi:type="dcterms:W3CDTF">2016-12-13T10:31:00Z</dcterms:modified>
  <cp:category>Likumprojekts</cp:category>
</cp:coreProperties>
</file>