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7E" w:rsidRPr="0054178A" w:rsidRDefault="00197CF8" w:rsidP="0054178A">
      <w:pPr>
        <w:ind w:firstLine="720"/>
        <w:jc w:val="center"/>
        <w:rPr>
          <w:b/>
          <w:bCs/>
          <w:sz w:val="28"/>
          <w:szCs w:val="28"/>
          <w:lang w:eastAsia="lv-LV"/>
        </w:rPr>
      </w:pPr>
      <w:bookmarkStart w:id="0" w:name="OLE_LINK33"/>
      <w:bookmarkStart w:id="1" w:name="OLE_LINK34"/>
      <w:r>
        <w:rPr>
          <w:b/>
          <w:bCs/>
          <w:sz w:val="28"/>
          <w:szCs w:val="28"/>
          <w:lang w:eastAsia="lv-LV"/>
        </w:rPr>
        <w:t>Likum</w:t>
      </w:r>
      <w:r w:rsidR="00400F7E" w:rsidRPr="0054178A">
        <w:rPr>
          <w:b/>
          <w:bCs/>
          <w:sz w:val="28"/>
          <w:szCs w:val="28"/>
          <w:lang w:eastAsia="lv-LV"/>
        </w:rPr>
        <w:t xml:space="preserve">projekta </w:t>
      </w:r>
    </w:p>
    <w:p w:rsidR="00400F7E" w:rsidRDefault="004167FA" w:rsidP="004167FA">
      <w:pPr>
        <w:ind w:firstLine="720"/>
        <w:jc w:val="center"/>
        <w:rPr>
          <w:b/>
          <w:bCs/>
          <w:sz w:val="28"/>
          <w:szCs w:val="28"/>
          <w:lang w:eastAsia="lv-LV"/>
        </w:rPr>
      </w:pPr>
      <w:r w:rsidRPr="00BB64EF">
        <w:rPr>
          <w:b/>
          <w:bCs/>
          <w:sz w:val="28"/>
          <w:szCs w:val="28"/>
        </w:rPr>
        <w:t>„</w:t>
      </w:r>
      <w:r w:rsidR="00197CF8">
        <w:rPr>
          <w:b/>
          <w:bCs/>
          <w:sz w:val="28"/>
          <w:szCs w:val="28"/>
        </w:rPr>
        <w:t>Grozījum</w:t>
      </w:r>
      <w:r w:rsidR="001C540D" w:rsidRPr="00233E61">
        <w:rPr>
          <w:b/>
          <w:bCs/>
          <w:sz w:val="28"/>
          <w:szCs w:val="28"/>
        </w:rPr>
        <w:t>i</w:t>
      </w:r>
      <w:r w:rsidR="00197CF8">
        <w:rPr>
          <w:b/>
          <w:bCs/>
          <w:sz w:val="28"/>
          <w:szCs w:val="28"/>
        </w:rPr>
        <w:t xml:space="preserve"> Likumā par budžetu un finanšu vadību</w:t>
      </w:r>
      <w:r>
        <w:rPr>
          <w:b/>
          <w:bCs/>
          <w:sz w:val="28"/>
          <w:szCs w:val="28"/>
        </w:rPr>
        <w:t>”</w:t>
      </w:r>
      <w:r w:rsidR="00597096">
        <w:rPr>
          <w:b/>
          <w:bCs/>
          <w:sz w:val="28"/>
          <w:szCs w:val="28"/>
        </w:rPr>
        <w:t xml:space="preserve"> </w:t>
      </w:r>
      <w:r w:rsidR="00400F7E" w:rsidRPr="0054178A">
        <w:rPr>
          <w:b/>
          <w:bCs/>
          <w:sz w:val="28"/>
          <w:szCs w:val="28"/>
          <w:lang w:eastAsia="lv-LV"/>
        </w:rPr>
        <w:t>sākotnējās ietekmes novērtējuma ziņojums (anotācija)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
        <w:gridCol w:w="3084"/>
        <w:gridCol w:w="6060"/>
      </w:tblGrid>
      <w:tr w:rsidR="008B6F82" w:rsidRPr="0054178A" w:rsidTr="00A94036">
        <w:trPr>
          <w:trHeight w:val="535"/>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B6F82" w:rsidRPr="0054178A" w:rsidRDefault="008B6F82" w:rsidP="0054178A">
            <w:pPr>
              <w:jc w:val="center"/>
              <w:rPr>
                <w:sz w:val="28"/>
                <w:szCs w:val="28"/>
              </w:rPr>
            </w:pPr>
            <w:bookmarkStart w:id="2" w:name="OLE_LINK3"/>
            <w:bookmarkStart w:id="3" w:name="OLE_LINK1"/>
            <w:bookmarkStart w:id="4" w:name="OLE_LINK2"/>
            <w:bookmarkStart w:id="5" w:name="OLE_LINK4"/>
            <w:bookmarkEnd w:id="0"/>
            <w:bookmarkEnd w:id="1"/>
            <w:r w:rsidRPr="0054178A">
              <w:rPr>
                <w:b/>
                <w:bCs/>
                <w:sz w:val="28"/>
                <w:szCs w:val="28"/>
              </w:rPr>
              <w:t>I. Tiesību akta projekta izstrādes nepieciešamība</w:t>
            </w:r>
          </w:p>
        </w:tc>
      </w:tr>
      <w:tr w:rsidR="008B6F82" w:rsidRPr="0054178A" w:rsidTr="00A94036">
        <w:trPr>
          <w:trHeight w:val="2078"/>
          <w:tblCellSpacing w:w="0" w:type="dxa"/>
        </w:trPr>
        <w:tc>
          <w:tcPr>
            <w:tcW w:w="128" w:type="pct"/>
            <w:tcBorders>
              <w:top w:val="outset" w:sz="6" w:space="0" w:color="auto"/>
              <w:left w:val="outset" w:sz="6" w:space="0" w:color="auto"/>
              <w:bottom w:val="outset" w:sz="6" w:space="0" w:color="auto"/>
              <w:right w:val="outset" w:sz="6" w:space="0" w:color="auto"/>
            </w:tcBorders>
          </w:tcPr>
          <w:p w:rsidR="008B6F82" w:rsidRPr="0054178A" w:rsidRDefault="008B6F82" w:rsidP="0054178A">
            <w:pPr>
              <w:jc w:val="center"/>
              <w:rPr>
                <w:sz w:val="28"/>
                <w:szCs w:val="28"/>
              </w:rPr>
            </w:pPr>
            <w:r w:rsidRPr="0054178A">
              <w:rPr>
                <w:sz w:val="28"/>
                <w:szCs w:val="28"/>
              </w:rPr>
              <w:t>1.</w:t>
            </w:r>
          </w:p>
        </w:tc>
        <w:tc>
          <w:tcPr>
            <w:tcW w:w="1643" w:type="pct"/>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 Pamatojums</w:t>
            </w:r>
          </w:p>
        </w:tc>
        <w:tc>
          <w:tcPr>
            <w:tcW w:w="3229" w:type="pct"/>
            <w:tcBorders>
              <w:top w:val="outset" w:sz="6" w:space="0" w:color="auto"/>
              <w:left w:val="outset" w:sz="6" w:space="0" w:color="auto"/>
              <w:bottom w:val="outset" w:sz="6" w:space="0" w:color="auto"/>
              <w:right w:val="outset" w:sz="6" w:space="0" w:color="auto"/>
            </w:tcBorders>
          </w:tcPr>
          <w:p w:rsidR="002232D2" w:rsidRDefault="003564E1" w:rsidP="00D26F38">
            <w:pPr>
              <w:jc w:val="both"/>
              <w:rPr>
                <w:sz w:val="28"/>
                <w:szCs w:val="28"/>
              </w:rPr>
            </w:pPr>
            <w:r w:rsidRPr="003564E1">
              <w:rPr>
                <w:sz w:val="28"/>
                <w:szCs w:val="28"/>
              </w:rPr>
              <w:t>Likumprojekts „ Grozījum</w:t>
            </w:r>
            <w:r w:rsidR="001C540D">
              <w:rPr>
                <w:sz w:val="28"/>
                <w:szCs w:val="28"/>
              </w:rPr>
              <w:t>i</w:t>
            </w:r>
            <w:r w:rsidRPr="003564E1">
              <w:rPr>
                <w:sz w:val="28"/>
                <w:szCs w:val="28"/>
              </w:rPr>
              <w:t xml:space="preserve"> Likumā par budžetu un finanšu vadību” (turpmāk </w:t>
            </w:r>
            <w:r w:rsidR="00E11F96">
              <w:rPr>
                <w:sz w:val="28"/>
                <w:szCs w:val="28"/>
              </w:rPr>
              <w:t>–</w:t>
            </w:r>
            <w:r w:rsidRPr="003564E1">
              <w:rPr>
                <w:sz w:val="28"/>
                <w:szCs w:val="28"/>
              </w:rPr>
              <w:t xml:space="preserve"> projekts) izstrādāts, pamatojoties uz Ministru kabineta 2013.gada 4.februāra rīkojuma Nr.38 “Par </w:t>
            </w:r>
            <w:r w:rsidR="0023284B">
              <w:rPr>
                <w:sz w:val="28"/>
                <w:szCs w:val="28"/>
              </w:rPr>
              <w:t>A</w:t>
            </w:r>
            <w:r w:rsidRPr="003564E1">
              <w:rPr>
                <w:sz w:val="28"/>
                <w:szCs w:val="28"/>
              </w:rPr>
              <w:t>dministratīvo sodu sistēmas attīstības koncepciju” 9.punktu, kas nosaka nozaru ministrijām tām piešķirto valsts budžeta līdzekļu ietvaros izstrādāt tiesību aktu projektus atbilstoši šā rīkojuma 5.punktā minētajam plānam.</w:t>
            </w:r>
          </w:p>
          <w:p w:rsidR="00E8414D" w:rsidRPr="003564E1" w:rsidRDefault="00E8414D" w:rsidP="00D26F38">
            <w:pPr>
              <w:jc w:val="both"/>
              <w:rPr>
                <w:sz w:val="28"/>
                <w:szCs w:val="28"/>
              </w:rPr>
            </w:pPr>
          </w:p>
        </w:tc>
      </w:tr>
      <w:tr w:rsidR="008B6F82" w:rsidRPr="0054178A" w:rsidTr="00A94036">
        <w:trPr>
          <w:trHeight w:val="472"/>
          <w:tblCellSpacing w:w="0" w:type="dxa"/>
        </w:trPr>
        <w:tc>
          <w:tcPr>
            <w:tcW w:w="128" w:type="pct"/>
            <w:tcBorders>
              <w:top w:val="outset" w:sz="6" w:space="0" w:color="auto"/>
              <w:left w:val="outset" w:sz="6" w:space="0" w:color="auto"/>
              <w:bottom w:val="outset" w:sz="6" w:space="0" w:color="auto"/>
              <w:right w:val="outset" w:sz="6" w:space="0" w:color="auto"/>
            </w:tcBorders>
          </w:tcPr>
          <w:p w:rsidR="008B6F82" w:rsidRPr="0054178A" w:rsidRDefault="008B6F82" w:rsidP="0054178A">
            <w:pPr>
              <w:jc w:val="center"/>
              <w:rPr>
                <w:sz w:val="28"/>
                <w:szCs w:val="28"/>
              </w:rPr>
            </w:pPr>
            <w:r w:rsidRPr="0054178A">
              <w:rPr>
                <w:sz w:val="28"/>
                <w:szCs w:val="28"/>
              </w:rPr>
              <w:t>2.</w:t>
            </w:r>
          </w:p>
        </w:tc>
        <w:tc>
          <w:tcPr>
            <w:tcW w:w="1643" w:type="pct"/>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Pašreizējā situācija un problēmas</w:t>
            </w:r>
            <w:r w:rsidR="00503FA9" w:rsidRPr="0054178A">
              <w:rPr>
                <w:sz w:val="28"/>
                <w:szCs w:val="28"/>
              </w:rPr>
              <w:t>, kuru risināšanai tiesību akta projekts izstrādāts, tiesiskā regulējuma mērķis un būtība</w:t>
            </w:r>
          </w:p>
        </w:tc>
        <w:tc>
          <w:tcPr>
            <w:tcW w:w="3229" w:type="pct"/>
            <w:tcBorders>
              <w:top w:val="outset" w:sz="6" w:space="0" w:color="auto"/>
              <w:left w:val="outset" w:sz="6" w:space="0" w:color="auto"/>
              <w:bottom w:val="outset" w:sz="6" w:space="0" w:color="auto"/>
              <w:right w:val="outset" w:sz="6" w:space="0" w:color="auto"/>
            </w:tcBorders>
          </w:tcPr>
          <w:p w:rsidR="00F027AC" w:rsidRDefault="003348C6" w:rsidP="003564E1">
            <w:pPr>
              <w:suppressAutoHyphens w:val="0"/>
              <w:jc w:val="both"/>
              <w:rPr>
                <w:color w:val="000000"/>
                <w:sz w:val="28"/>
                <w:szCs w:val="28"/>
                <w:lang w:eastAsia="lv-LV"/>
              </w:rPr>
            </w:pPr>
            <w:r>
              <w:rPr>
                <w:color w:val="000000"/>
                <w:sz w:val="28"/>
                <w:szCs w:val="28"/>
                <w:lang w:eastAsia="lv-LV"/>
              </w:rPr>
              <w:t xml:space="preserve">    </w:t>
            </w:r>
            <w:r w:rsidR="004C1236" w:rsidRPr="005F1337">
              <w:rPr>
                <w:color w:val="000000"/>
                <w:sz w:val="28"/>
                <w:szCs w:val="28"/>
                <w:lang w:eastAsia="lv-LV"/>
              </w:rPr>
              <w:t>Valsts kase</w:t>
            </w:r>
            <w:r w:rsidR="00DA4F8C">
              <w:rPr>
                <w:color w:val="000000"/>
                <w:sz w:val="28"/>
                <w:szCs w:val="28"/>
                <w:lang w:eastAsia="lv-LV"/>
              </w:rPr>
              <w:t xml:space="preserve">, izvērtējot Latvijas Administratīvo pārkāpumu kodeksā (turpmāk – LAPK)  </w:t>
            </w:r>
            <w:r w:rsidR="00443735">
              <w:rPr>
                <w:color w:val="000000"/>
                <w:sz w:val="28"/>
                <w:szCs w:val="28"/>
                <w:lang w:eastAsia="lv-LV"/>
              </w:rPr>
              <w:t>159.,</w:t>
            </w:r>
            <w:r w:rsidR="00DA4F8C">
              <w:rPr>
                <w:color w:val="000000"/>
                <w:sz w:val="28"/>
                <w:szCs w:val="28"/>
                <w:lang w:eastAsia="lv-LV"/>
              </w:rPr>
              <w:t>159.², 159³.</w:t>
            </w:r>
            <w:r w:rsidR="00443735">
              <w:rPr>
                <w:color w:val="000000"/>
                <w:sz w:val="28"/>
                <w:szCs w:val="28"/>
                <w:lang w:eastAsia="lv-LV"/>
              </w:rPr>
              <w:t xml:space="preserve"> un </w:t>
            </w:r>
            <w:r w:rsidR="00443735" w:rsidRPr="00DF6C4B">
              <w:rPr>
                <w:bCs/>
                <w:sz w:val="28"/>
                <w:szCs w:val="28"/>
              </w:rPr>
              <w:t>166.</w:t>
            </w:r>
            <w:r w:rsidR="00443735" w:rsidRPr="00DF6C4B">
              <w:rPr>
                <w:bCs/>
                <w:sz w:val="28"/>
                <w:szCs w:val="28"/>
                <w:vertAlign w:val="superscript"/>
              </w:rPr>
              <w:t>6</w:t>
            </w:r>
            <w:r w:rsidR="00E93345">
              <w:rPr>
                <w:color w:val="000000"/>
                <w:sz w:val="28"/>
                <w:szCs w:val="28"/>
                <w:lang w:eastAsia="lv-LV"/>
              </w:rPr>
              <w:t>p</w:t>
            </w:r>
            <w:r w:rsidR="00DA4F8C">
              <w:rPr>
                <w:color w:val="000000"/>
                <w:sz w:val="28"/>
                <w:szCs w:val="28"/>
                <w:lang w:eastAsia="lv-LV"/>
              </w:rPr>
              <w:t xml:space="preserve">antā minētos administratīvos pārkāpumus, ir secinājusi, ka </w:t>
            </w:r>
            <w:r w:rsidR="00443735">
              <w:rPr>
                <w:color w:val="000000"/>
                <w:sz w:val="28"/>
                <w:szCs w:val="28"/>
                <w:lang w:eastAsia="lv-LV"/>
              </w:rPr>
              <w:t>LAPK 159.²</w:t>
            </w:r>
            <w:r w:rsidR="00CC7F70">
              <w:rPr>
                <w:color w:val="000000"/>
                <w:sz w:val="28"/>
                <w:szCs w:val="28"/>
                <w:lang w:eastAsia="lv-LV"/>
              </w:rPr>
              <w:t xml:space="preserve"> </w:t>
            </w:r>
            <w:r w:rsidR="00DF6C4B">
              <w:rPr>
                <w:color w:val="000000"/>
                <w:sz w:val="28"/>
                <w:szCs w:val="28"/>
                <w:lang w:eastAsia="lv-LV"/>
              </w:rPr>
              <w:t>pant</w:t>
            </w:r>
            <w:r w:rsidR="00916081">
              <w:rPr>
                <w:color w:val="000000"/>
                <w:sz w:val="28"/>
                <w:szCs w:val="28"/>
                <w:lang w:eastAsia="lv-LV"/>
              </w:rPr>
              <w:t>a pirmā</w:t>
            </w:r>
            <w:r w:rsidR="00A60066">
              <w:rPr>
                <w:color w:val="000000"/>
                <w:sz w:val="28"/>
                <w:szCs w:val="28"/>
                <w:lang w:eastAsia="lv-LV"/>
              </w:rPr>
              <w:t>s</w:t>
            </w:r>
            <w:r w:rsidR="00916081">
              <w:rPr>
                <w:color w:val="000000"/>
                <w:sz w:val="28"/>
                <w:szCs w:val="28"/>
                <w:lang w:eastAsia="lv-LV"/>
              </w:rPr>
              <w:t xml:space="preserve"> daļas prasības</w:t>
            </w:r>
            <w:r w:rsidR="00DA4F8C">
              <w:rPr>
                <w:color w:val="000000"/>
                <w:sz w:val="28"/>
                <w:szCs w:val="28"/>
                <w:lang w:eastAsia="lv-LV"/>
              </w:rPr>
              <w:t xml:space="preserve"> arī turpmāk saglabāj</w:t>
            </w:r>
            <w:r w:rsidR="003565FE">
              <w:rPr>
                <w:color w:val="000000"/>
                <w:sz w:val="28"/>
                <w:szCs w:val="28"/>
                <w:lang w:eastAsia="lv-LV"/>
              </w:rPr>
              <w:t>am</w:t>
            </w:r>
            <w:r w:rsidR="00916081">
              <w:rPr>
                <w:color w:val="000000"/>
                <w:sz w:val="28"/>
                <w:szCs w:val="28"/>
                <w:lang w:eastAsia="lv-LV"/>
              </w:rPr>
              <w:t>as</w:t>
            </w:r>
            <w:r w:rsidR="00DA4F8C">
              <w:rPr>
                <w:color w:val="000000"/>
                <w:sz w:val="28"/>
                <w:szCs w:val="28"/>
                <w:lang w:eastAsia="lv-LV"/>
              </w:rPr>
              <w:t xml:space="preserve"> administratīvo pārkāpumu sistēmā</w:t>
            </w:r>
            <w:r w:rsidR="00B27F82">
              <w:rPr>
                <w:color w:val="000000"/>
                <w:sz w:val="28"/>
                <w:szCs w:val="28"/>
                <w:lang w:eastAsia="lv-LV"/>
              </w:rPr>
              <w:t xml:space="preserve"> </w:t>
            </w:r>
            <w:r w:rsidR="00DA4F8C">
              <w:rPr>
                <w:color w:val="000000"/>
                <w:sz w:val="28"/>
                <w:szCs w:val="28"/>
                <w:lang w:eastAsia="lv-LV"/>
              </w:rPr>
              <w:t>un tāpat kā LAPK</w:t>
            </w:r>
            <w:r w:rsidR="00E93345">
              <w:rPr>
                <w:color w:val="000000"/>
                <w:sz w:val="28"/>
                <w:szCs w:val="28"/>
                <w:lang w:eastAsia="lv-LV"/>
              </w:rPr>
              <w:t xml:space="preserve"> 236.</w:t>
            </w:r>
            <w:r w:rsidR="00E93345">
              <w:rPr>
                <w:rFonts w:ascii="Arial" w:hAnsi="Arial" w:cs="Arial"/>
                <w:b/>
                <w:bCs/>
                <w:vertAlign w:val="superscript"/>
              </w:rPr>
              <w:t>5</w:t>
            </w:r>
            <w:r w:rsidR="00DA4F8C">
              <w:rPr>
                <w:color w:val="000000"/>
                <w:sz w:val="28"/>
                <w:szCs w:val="28"/>
                <w:lang w:eastAsia="lv-LV"/>
              </w:rPr>
              <w:t xml:space="preserve"> </w:t>
            </w:r>
            <w:r w:rsidR="00916081">
              <w:rPr>
                <w:color w:val="000000"/>
                <w:sz w:val="28"/>
                <w:szCs w:val="28"/>
                <w:lang w:eastAsia="lv-LV"/>
              </w:rPr>
              <w:t>pantā noteikts, arī turpmāk tās</w:t>
            </w:r>
            <w:r w:rsidR="00C76521">
              <w:rPr>
                <w:color w:val="000000"/>
                <w:sz w:val="28"/>
                <w:szCs w:val="28"/>
                <w:lang w:eastAsia="lv-LV"/>
              </w:rPr>
              <w:t xml:space="preserve"> izskatīs Valsts kase.</w:t>
            </w:r>
          </w:p>
          <w:p w:rsidR="00F027AC" w:rsidRDefault="00C76521" w:rsidP="003564E1">
            <w:pPr>
              <w:suppressAutoHyphens w:val="0"/>
              <w:jc w:val="both"/>
              <w:rPr>
                <w:color w:val="000000"/>
                <w:sz w:val="28"/>
                <w:szCs w:val="28"/>
                <w:lang w:eastAsia="lv-LV"/>
              </w:rPr>
            </w:pPr>
            <w:r>
              <w:rPr>
                <w:color w:val="000000"/>
                <w:sz w:val="28"/>
                <w:szCs w:val="28"/>
                <w:lang w:eastAsia="lv-LV"/>
              </w:rPr>
              <w:t xml:space="preserve"> </w:t>
            </w:r>
            <w:r w:rsidR="00F027AC">
              <w:rPr>
                <w:color w:val="000000"/>
                <w:sz w:val="28"/>
                <w:szCs w:val="28"/>
                <w:lang w:eastAsia="lv-LV"/>
              </w:rPr>
              <w:t xml:space="preserve">     </w:t>
            </w:r>
            <w:r w:rsidR="00443735">
              <w:rPr>
                <w:color w:val="000000"/>
                <w:sz w:val="28"/>
                <w:szCs w:val="28"/>
                <w:lang w:eastAsia="lv-LV"/>
              </w:rPr>
              <w:t xml:space="preserve">Savukārt, </w:t>
            </w:r>
            <w:r w:rsidR="00DF6C4B">
              <w:rPr>
                <w:color w:val="000000"/>
                <w:sz w:val="28"/>
                <w:szCs w:val="28"/>
                <w:lang w:eastAsia="lv-LV"/>
              </w:rPr>
              <w:t>LAPK 159.pants turpmāk saglabājams administratīvo pārkāpumu sistēmā tikai Valsts ieņēmumu dienesta kompetences jautājumu ietvaros,</w:t>
            </w:r>
            <w:r w:rsidR="00E034CB" w:rsidRPr="009A752D">
              <w:t xml:space="preserve"> </w:t>
            </w:r>
            <w:r w:rsidR="00E034CB" w:rsidRPr="00E034CB">
              <w:rPr>
                <w:sz w:val="28"/>
                <w:szCs w:val="28"/>
              </w:rPr>
              <w:t xml:space="preserve">jo uzraudzību un kontroli par nodokļu un tiem pielīdzināto maksājumu nomaksu veic </w:t>
            </w:r>
            <w:r w:rsidR="00E034CB">
              <w:rPr>
                <w:sz w:val="28"/>
                <w:szCs w:val="28"/>
              </w:rPr>
              <w:t>Valsts ieņēmumu dienests,</w:t>
            </w:r>
            <w:r w:rsidR="00DF6C4B">
              <w:rPr>
                <w:color w:val="000000"/>
                <w:sz w:val="28"/>
                <w:szCs w:val="28"/>
                <w:lang w:eastAsia="lv-LV"/>
              </w:rPr>
              <w:t xml:space="preserve"> bet LAPK </w:t>
            </w:r>
            <w:r w:rsidR="00DF6C4B" w:rsidRPr="00DF6C4B">
              <w:rPr>
                <w:bCs/>
                <w:sz w:val="28"/>
                <w:szCs w:val="28"/>
              </w:rPr>
              <w:t>166.</w:t>
            </w:r>
            <w:r w:rsidR="00DF6C4B" w:rsidRPr="00DF6C4B">
              <w:rPr>
                <w:bCs/>
                <w:sz w:val="28"/>
                <w:szCs w:val="28"/>
                <w:vertAlign w:val="superscript"/>
              </w:rPr>
              <w:t>6</w:t>
            </w:r>
            <w:r w:rsidR="00DF6C4B">
              <w:rPr>
                <w:color w:val="000000"/>
                <w:sz w:val="28"/>
                <w:szCs w:val="28"/>
                <w:lang w:eastAsia="lv-LV"/>
              </w:rPr>
              <w:t>pant</w:t>
            </w:r>
            <w:r w:rsidR="008A02C7">
              <w:rPr>
                <w:color w:val="000000"/>
                <w:sz w:val="28"/>
                <w:szCs w:val="28"/>
                <w:lang w:eastAsia="lv-LV"/>
              </w:rPr>
              <w:t>a</w:t>
            </w:r>
            <w:r w:rsidR="00DF6C4B">
              <w:rPr>
                <w:color w:val="000000"/>
                <w:sz w:val="28"/>
                <w:szCs w:val="28"/>
                <w:lang w:eastAsia="lv-LV"/>
              </w:rPr>
              <w:t xml:space="preserve"> </w:t>
            </w:r>
            <w:r w:rsidR="008A02C7">
              <w:rPr>
                <w:color w:val="000000"/>
                <w:sz w:val="28"/>
                <w:szCs w:val="28"/>
                <w:lang w:eastAsia="lv-LV"/>
              </w:rPr>
              <w:t>prasības, izņemot par pārskatu sniegšanu Valsts kasei</w:t>
            </w:r>
            <w:r w:rsidR="00236845">
              <w:rPr>
                <w:color w:val="000000"/>
                <w:sz w:val="28"/>
                <w:szCs w:val="28"/>
                <w:lang w:eastAsia="lv-LV"/>
              </w:rPr>
              <w:t xml:space="preserve">, </w:t>
            </w:r>
            <w:r w:rsidR="00DF6C4B">
              <w:rPr>
                <w:color w:val="000000"/>
                <w:sz w:val="28"/>
                <w:szCs w:val="28"/>
                <w:lang w:eastAsia="lv-LV"/>
              </w:rPr>
              <w:t>turpmāk saglabājam</w:t>
            </w:r>
            <w:r w:rsidR="00236845">
              <w:rPr>
                <w:color w:val="000000"/>
                <w:sz w:val="28"/>
                <w:szCs w:val="28"/>
                <w:lang w:eastAsia="lv-LV"/>
              </w:rPr>
              <w:t>a</w:t>
            </w:r>
            <w:r w:rsidR="00DF6C4B">
              <w:rPr>
                <w:color w:val="000000"/>
                <w:sz w:val="28"/>
                <w:szCs w:val="28"/>
                <w:lang w:eastAsia="lv-LV"/>
              </w:rPr>
              <w:t>s administratīvo pārkāpumu sistēmā tikai Valsts ieņēmumu dienesta, Korupcijas novēršanas un apkarošanas biroja un Centrālās statistikas pārvaldes  kompetences jautājumu ietvaros, nevis Valsts kases kompetences jautājumos.</w:t>
            </w:r>
            <w:r w:rsidR="003565FE">
              <w:rPr>
                <w:color w:val="000000"/>
                <w:sz w:val="28"/>
                <w:szCs w:val="28"/>
                <w:lang w:eastAsia="lv-LV"/>
              </w:rPr>
              <w:t xml:space="preserve"> </w:t>
            </w:r>
          </w:p>
          <w:p w:rsidR="00B84E73" w:rsidRPr="00B84E73" w:rsidRDefault="00F027AC" w:rsidP="00B84E73">
            <w:pPr>
              <w:jc w:val="both"/>
              <w:rPr>
                <w:color w:val="000000"/>
                <w:sz w:val="28"/>
                <w:szCs w:val="28"/>
                <w:lang w:eastAsia="lv-LV"/>
              </w:rPr>
            </w:pPr>
            <w:r>
              <w:rPr>
                <w:color w:val="000000"/>
                <w:sz w:val="28"/>
                <w:szCs w:val="28"/>
                <w:lang w:eastAsia="lv-LV"/>
              </w:rPr>
              <w:t xml:space="preserve">      </w:t>
            </w:r>
            <w:r w:rsidR="00B84E73" w:rsidRPr="00B84E73">
              <w:rPr>
                <w:rFonts w:eastAsia="Calibri"/>
                <w:color w:val="000000"/>
                <w:sz w:val="28"/>
                <w:szCs w:val="28"/>
                <w:lang w:eastAsia="lv-LV"/>
              </w:rPr>
              <w:t xml:space="preserve">Līdz šim Valsts kase nav </w:t>
            </w:r>
            <w:r w:rsidR="00443AB1">
              <w:rPr>
                <w:rFonts w:eastAsia="Calibri"/>
                <w:color w:val="000000"/>
                <w:sz w:val="28"/>
                <w:szCs w:val="28"/>
                <w:lang w:eastAsia="lv-LV"/>
              </w:rPr>
              <w:t>piemērojusi administratīvos sodus</w:t>
            </w:r>
            <w:r w:rsidR="00B84E73" w:rsidRPr="00B84E73">
              <w:rPr>
                <w:rFonts w:eastAsia="Calibri"/>
                <w:color w:val="000000"/>
                <w:sz w:val="28"/>
                <w:szCs w:val="28"/>
                <w:lang w:eastAsia="lv-LV"/>
              </w:rPr>
              <w:t xml:space="preserve"> pēc LAPK</w:t>
            </w:r>
            <w:r w:rsidR="00B84E73" w:rsidRPr="00B84E73">
              <w:rPr>
                <w:color w:val="000000"/>
                <w:sz w:val="28"/>
                <w:szCs w:val="28"/>
                <w:lang w:eastAsia="lv-LV"/>
              </w:rPr>
              <w:t xml:space="preserve"> 159.²panta otrās daļas un turpmāk </w:t>
            </w:r>
            <w:r w:rsidR="00B84E73" w:rsidRPr="00B84E73">
              <w:rPr>
                <w:rFonts w:eastAsia="Calibri"/>
                <w:color w:val="000000"/>
                <w:sz w:val="28"/>
                <w:szCs w:val="28"/>
                <w:lang w:eastAsia="lv-LV"/>
              </w:rPr>
              <w:t>LAPK</w:t>
            </w:r>
            <w:r w:rsidR="00B84E73" w:rsidRPr="00B84E73">
              <w:rPr>
                <w:color w:val="000000"/>
                <w:sz w:val="28"/>
                <w:szCs w:val="28"/>
                <w:lang w:eastAsia="lv-LV"/>
              </w:rPr>
              <w:t xml:space="preserve"> 159.²panta otrā</w:t>
            </w:r>
            <w:r w:rsidR="00443AB1">
              <w:rPr>
                <w:color w:val="000000"/>
                <w:sz w:val="28"/>
                <w:szCs w:val="28"/>
                <w:lang w:eastAsia="lv-LV"/>
              </w:rPr>
              <w:t>s</w:t>
            </w:r>
            <w:r w:rsidR="00B84E73" w:rsidRPr="00B84E73">
              <w:rPr>
                <w:color w:val="000000"/>
                <w:sz w:val="28"/>
                <w:szCs w:val="28"/>
                <w:lang w:eastAsia="lv-LV"/>
              </w:rPr>
              <w:t xml:space="preserve"> daļa</w:t>
            </w:r>
            <w:r w:rsidR="00443AB1">
              <w:rPr>
                <w:color w:val="000000"/>
                <w:sz w:val="28"/>
                <w:szCs w:val="28"/>
                <w:lang w:eastAsia="lv-LV"/>
              </w:rPr>
              <w:t>s prasības</w:t>
            </w:r>
            <w:r w:rsidR="00B84E73" w:rsidRPr="00B84E73">
              <w:rPr>
                <w:color w:val="000000"/>
                <w:sz w:val="28"/>
                <w:szCs w:val="28"/>
                <w:lang w:eastAsia="lv-LV"/>
              </w:rPr>
              <w:t xml:space="preserve"> nav saglabājama</w:t>
            </w:r>
            <w:r w:rsidR="00443AB1">
              <w:rPr>
                <w:color w:val="000000"/>
                <w:sz w:val="28"/>
                <w:szCs w:val="28"/>
                <w:lang w:eastAsia="lv-LV"/>
              </w:rPr>
              <w:t>s</w:t>
            </w:r>
            <w:r w:rsidR="00B84E73" w:rsidRPr="00B84E73">
              <w:rPr>
                <w:color w:val="000000"/>
                <w:sz w:val="28"/>
                <w:szCs w:val="28"/>
                <w:lang w:eastAsia="lv-LV"/>
              </w:rPr>
              <w:t xml:space="preserve"> administratīvo pārkāpumu sistēmā.</w:t>
            </w:r>
          </w:p>
          <w:p w:rsidR="00DF6C4B" w:rsidRDefault="006C1834" w:rsidP="003564E1">
            <w:pPr>
              <w:suppressAutoHyphens w:val="0"/>
              <w:jc w:val="both"/>
              <w:rPr>
                <w:color w:val="000000"/>
                <w:sz w:val="28"/>
                <w:szCs w:val="28"/>
                <w:lang w:eastAsia="lv-LV"/>
              </w:rPr>
            </w:pPr>
            <w:r>
              <w:rPr>
                <w:color w:val="000000"/>
                <w:sz w:val="28"/>
                <w:szCs w:val="28"/>
                <w:lang w:eastAsia="lv-LV"/>
              </w:rPr>
              <w:t xml:space="preserve">      </w:t>
            </w:r>
            <w:r w:rsidR="003565FE" w:rsidRPr="003565FE">
              <w:rPr>
                <w:color w:val="000000"/>
                <w:sz w:val="28"/>
                <w:szCs w:val="28"/>
                <w:lang w:eastAsia="lv-LV"/>
              </w:rPr>
              <w:t>LAPK 159.</w:t>
            </w:r>
            <w:r w:rsidR="003565FE" w:rsidRPr="003565FE">
              <w:rPr>
                <w:color w:val="000000"/>
                <w:sz w:val="28"/>
                <w:szCs w:val="28"/>
                <w:vertAlign w:val="superscript"/>
                <w:lang w:eastAsia="lv-LV"/>
              </w:rPr>
              <w:t>3</w:t>
            </w:r>
            <w:r w:rsidR="003565FE" w:rsidRPr="003565FE">
              <w:rPr>
                <w:color w:val="000000"/>
                <w:sz w:val="28"/>
                <w:szCs w:val="28"/>
                <w:lang w:eastAsia="lv-LV"/>
              </w:rPr>
              <w:t xml:space="preserve"> pant</w:t>
            </w:r>
            <w:r w:rsidR="00124536">
              <w:rPr>
                <w:color w:val="000000"/>
                <w:sz w:val="28"/>
                <w:szCs w:val="28"/>
                <w:lang w:eastAsia="lv-LV"/>
              </w:rPr>
              <w:t>a prasības</w:t>
            </w:r>
            <w:r w:rsidR="003565FE" w:rsidRPr="003565FE">
              <w:rPr>
                <w:color w:val="000000"/>
                <w:sz w:val="28"/>
                <w:szCs w:val="28"/>
                <w:lang w:eastAsia="lv-LV"/>
              </w:rPr>
              <w:t xml:space="preserve"> turpmāk </w:t>
            </w:r>
            <w:r w:rsidR="003565FE">
              <w:rPr>
                <w:color w:val="000000"/>
                <w:sz w:val="28"/>
                <w:szCs w:val="28"/>
                <w:lang w:eastAsia="lv-LV"/>
              </w:rPr>
              <w:t xml:space="preserve">nav </w:t>
            </w:r>
            <w:r w:rsidR="003565FE" w:rsidRPr="003565FE">
              <w:rPr>
                <w:color w:val="000000"/>
                <w:sz w:val="28"/>
                <w:szCs w:val="28"/>
                <w:lang w:eastAsia="lv-LV"/>
              </w:rPr>
              <w:t>saglabājam</w:t>
            </w:r>
            <w:r w:rsidR="00124536">
              <w:rPr>
                <w:color w:val="000000"/>
                <w:sz w:val="28"/>
                <w:szCs w:val="28"/>
                <w:lang w:eastAsia="lv-LV"/>
              </w:rPr>
              <w:t>a</w:t>
            </w:r>
            <w:r w:rsidR="003565FE" w:rsidRPr="003565FE">
              <w:rPr>
                <w:color w:val="000000"/>
                <w:sz w:val="28"/>
                <w:szCs w:val="28"/>
                <w:lang w:eastAsia="lv-LV"/>
              </w:rPr>
              <w:t>s administratīvo pārkāpumu sistēmā</w:t>
            </w:r>
            <w:r w:rsidR="003565FE">
              <w:rPr>
                <w:color w:val="000000"/>
                <w:sz w:val="28"/>
                <w:szCs w:val="28"/>
                <w:lang w:eastAsia="lv-LV"/>
              </w:rPr>
              <w:t>, jo izvērtējot t</w:t>
            </w:r>
            <w:r w:rsidR="00124536">
              <w:rPr>
                <w:color w:val="000000"/>
                <w:sz w:val="28"/>
                <w:szCs w:val="28"/>
                <w:lang w:eastAsia="lv-LV"/>
              </w:rPr>
              <w:t>ās</w:t>
            </w:r>
            <w:r w:rsidR="003565FE">
              <w:rPr>
                <w:color w:val="000000"/>
                <w:sz w:val="28"/>
                <w:szCs w:val="28"/>
                <w:lang w:eastAsia="lv-LV"/>
              </w:rPr>
              <w:t xml:space="preserve"> pēc būtības, fakta konstatēšana par </w:t>
            </w:r>
            <w:r w:rsidR="003565FE" w:rsidRPr="003565FE">
              <w:rPr>
                <w:color w:val="000000"/>
                <w:sz w:val="28"/>
                <w:szCs w:val="28"/>
                <w:lang w:eastAsia="lv-LV"/>
              </w:rPr>
              <w:t xml:space="preserve">saistībām, ko uzņēmusies </w:t>
            </w:r>
            <w:r w:rsidR="003565FE">
              <w:rPr>
                <w:color w:val="000000"/>
                <w:sz w:val="28"/>
                <w:szCs w:val="28"/>
                <w:lang w:eastAsia="lv-LV"/>
              </w:rPr>
              <w:t xml:space="preserve">valsts </w:t>
            </w:r>
            <w:r w:rsidR="003565FE" w:rsidRPr="003565FE">
              <w:rPr>
                <w:color w:val="000000"/>
                <w:sz w:val="28"/>
                <w:szCs w:val="28"/>
                <w:lang w:eastAsia="lv-LV"/>
              </w:rPr>
              <w:t>budžeta iestādes amatpersona</w:t>
            </w:r>
            <w:r w:rsidR="003565FE">
              <w:rPr>
                <w:color w:val="000000"/>
                <w:sz w:val="28"/>
                <w:szCs w:val="28"/>
                <w:lang w:eastAsia="lv-LV"/>
              </w:rPr>
              <w:t>,</w:t>
            </w:r>
            <w:r w:rsidR="003565FE" w:rsidRPr="003565FE">
              <w:rPr>
                <w:color w:val="000000"/>
                <w:sz w:val="28"/>
                <w:szCs w:val="28"/>
                <w:lang w:eastAsia="lv-LV"/>
              </w:rPr>
              <w:t xml:space="preserve"> un kas pārsniedz Valsts kases </w:t>
            </w:r>
            <w:r w:rsidR="003565FE">
              <w:rPr>
                <w:color w:val="000000"/>
                <w:sz w:val="28"/>
                <w:szCs w:val="28"/>
                <w:lang w:eastAsia="lv-LV"/>
              </w:rPr>
              <w:t>piešķirto</w:t>
            </w:r>
            <w:r w:rsidR="003565FE" w:rsidRPr="003565FE">
              <w:rPr>
                <w:color w:val="000000"/>
                <w:sz w:val="28"/>
                <w:szCs w:val="28"/>
                <w:lang w:eastAsia="lv-LV"/>
              </w:rPr>
              <w:t xml:space="preserve"> asignējumu</w:t>
            </w:r>
            <w:r w:rsidR="003565FE">
              <w:rPr>
                <w:color w:val="000000"/>
                <w:sz w:val="28"/>
                <w:szCs w:val="28"/>
                <w:lang w:eastAsia="lv-LV"/>
              </w:rPr>
              <w:t xml:space="preserve">, </w:t>
            </w:r>
            <w:r w:rsidR="003D26BA">
              <w:rPr>
                <w:color w:val="000000"/>
                <w:sz w:val="28"/>
                <w:szCs w:val="28"/>
                <w:lang w:eastAsia="lv-LV"/>
              </w:rPr>
              <w:t xml:space="preserve">valsts budžeta izpildes aspektā </w:t>
            </w:r>
            <w:r w:rsidR="003565FE">
              <w:rPr>
                <w:color w:val="000000"/>
                <w:sz w:val="28"/>
                <w:szCs w:val="28"/>
                <w:lang w:eastAsia="lv-LV"/>
              </w:rPr>
              <w:t xml:space="preserve">nav </w:t>
            </w:r>
            <w:r w:rsidR="003D26BA">
              <w:rPr>
                <w:color w:val="000000"/>
                <w:sz w:val="28"/>
                <w:szCs w:val="28"/>
                <w:lang w:eastAsia="lv-LV"/>
              </w:rPr>
              <w:lastRenderedPageBreak/>
              <w:t>aktuāls</w:t>
            </w:r>
            <w:r w:rsidR="004C1236">
              <w:rPr>
                <w:color w:val="000000"/>
                <w:sz w:val="28"/>
                <w:szCs w:val="28"/>
                <w:lang w:eastAsia="lv-LV"/>
              </w:rPr>
              <w:t>.</w:t>
            </w:r>
            <w:r w:rsidR="003565FE">
              <w:rPr>
                <w:color w:val="000000"/>
                <w:sz w:val="28"/>
                <w:szCs w:val="28"/>
                <w:lang w:eastAsia="lv-LV"/>
              </w:rPr>
              <w:t xml:space="preserve"> </w:t>
            </w:r>
            <w:r w:rsidR="00386227">
              <w:rPr>
                <w:color w:val="000000"/>
                <w:sz w:val="28"/>
                <w:szCs w:val="28"/>
                <w:lang w:eastAsia="lv-LV"/>
              </w:rPr>
              <w:t xml:space="preserve">Valsts </w:t>
            </w:r>
            <w:r w:rsidR="003565FE">
              <w:rPr>
                <w:color w:val="000000"/>
                <w:sz w:val="28"/>
                <w:szCs w:val="28"/>
                <w:lang w:eastAsia="lv-LV"/>
              </w:rPr>
              <w:t xml:space="preserve">budžeta izpildē tiek nodrošināta faktiskās izpildes atbilstība piešķirtajiem asignējumiem </w:t>
            </w:r>
            <w:r w:rsidR="003565FE" w:rsidRPr="003565FE">
              <w:rPr>
                <w:color w:val="000000"/>
                <w:sz w:val="28"/>
                <w:szCs w:val="28"/>
                <w:lang w:eastAsia="lv-LV"/>
              </w:rPr>
              <w:t>atbilstoši normatīvajiem aktiem par asignējumu piešķiršanas un izpildes kārtību</w:t>
            </w:r>
            <w:r w:rsidR="00FF1C8A">
              <w:rPr>
                <w:color w:val="000000"/>
                <w:sz w:val="28"/>
                <w:szCs w:val="28"/>
                <w:lang w:eastAsia="lv-LV"/>
              </w:rPr>
              <w:t xml:space="preserve"> (Valsts kase nodrošina, ka valsts budžeta izpildītājs veic izdevumus piešķirto asignējumu ietvaros)</w:t>
            </w:r>
            <w:r w:rsidR="003565FE">
              <w:rPr>
                <w:color w:val="000000"/>
                <w:sz w:val="28"/>
                <w:szCs w:val="28"/>
                <w:lang w:eastAsia="lv-LV"/>
              </w:rPr>
              <w:t xml:space="preserve">.    </w:t>
            </w:r>
          </w:p>
          <w:p w:rsidR="005D6B6F" w:rsidRDefault="003348C6" w:rsidP="003564E1">
            <w:pPr>
              <w:suppressAutoHyphens w:val="0"/>
              <w:jc w:val="both"/>
              <w:rPr>
                <w:color w:val="000000"/>
                <w:sz w:val="28"/>
                <w:szCs w:val="28"/>
                <w:lang w:eastAsia="lv-LV"/>
              </w:rPr>
            </w:pPr>
            <w:r>
              <w:rPr>
                <w:color w:val="000000"/>
                <w:sz w:val="28"/>
                <w:szCs w:val="28"/>
                <w:lang w:eastAsia="lv-LV"/>
              </w:rPr>
              <w:t xml:space="preserve">    </w:t>
            </w:r>
            <w:r w:rsidR="005D6B6F">
              <w:rPr>
                <w:color w:val="000000"/>
                <w:sz w:val="28"/>
                <w:szCs w:val="28"/>
                <w:lang w:eastAsia="lv-LV"/>
              </w:rPr>
              <w:t>Likumprojektā “Administratīvo pārkāpumu procesa likums” 317.panta pirmās daļas 20</w:t>
            </w:r>
            <w:r w:rsidR="00706FCB">
              <w:rPr>
                <w:color w:val="000000"/>
                <w:sz w:val="28"/>
                <w:szCs w:val="28"/>
                <w:lang w:eastAsia="lv-LV"/>
              </w:rPr>
              <w:t>.</w:t>
            </w:r>
            <w:r w:rsidR="005D6B6F">
              <w:rPr>
                <w:color w:val="000000"/>
                <w:sz w:val="28"/>
                <w:szCs w:val="28"/>
                <w:lang w:eastAsia="lv-LV"/>
              </w:rPr>
              <w:t>punktā Valsts kase ir norādīta kā kompetentā iestāde Administratīvo pārkāpumu procesa likumā noteikto sodu piemērošanai.</w:t>
            </w:r>
          </w:p>
          <w:p w:rsidR="003564E1" w:rsidRPr="003564E1" w:rsidRDefault="00DF6C4B" w:rsidP="003564E1">
            <w:pPr>
              <w:suppressAutoHyphens w:val="0"/>
              <w:jc w:val="both"/>
              <w:rPr>
                <w:rFonts w:ascii="Calibri" w:eastAsia="Calibri" w:hAnsi="Calibri"/>
                <w:sz w:val="28"/>
                <w:szCs w:val="28"/>
                <w:lang w:eastAsia="en-US"/>
              </w:rPr>
            </w:pPr>
            <w:r w:rsidRPr="003564E1">
              <w:rPr>
                <w:color w:val="000000"/>
                <w:sz w:val="28"/>
                <w:szCs w:val="28"/>
                <w:lang w:eastAsia="lv-LV"/>
              </w:rPr>
              <w:t xml:space="preserve"> </w:t>
            </w:r>
            <w:r w:rsidR="003348C6">
              <w:rPr>
                <w:color w:val="000000"/>
                <w:sz w:val="28"/>
                <w:szCs w:val="28"/>
                <w:lang w:eastAsia="lv-LV"/>
              </w:rPr>
              <w:t xml:space="preserve">   </w:t>
            </w:r>
            <w:r w:rsidR="003564E1" w:rsidRPr="003564E1">
              <w:rPr>
                <w:color w:val="000000"/>
                <w:sz w:val="28"/>
                <w:szCs w:val="28"/>
                <w:lang w:eastAsia="lv-LV"/>
              </w:rPr>
              <w:t>Ievērojot Ministru kabineta 2013. gada 4. februāra rīkojuma Nr. 38 „Par Administratīvo sodu sistēmas attīstības koncepciju” 3.punktu un Valsts kases rīcībā esošo statistiku par administratīvajiem pārkāpumiem budžeta un finanšu vadības jomā, tika izvērtēti visi kompetencē esošie administratīvie pārkāpumi atkarībā no:</w:t>
            </w:r>
            <w:r w:rsidR="003564E1" w:rsidRPr="003564E1">
              <w:rPr>
                <w:rFonts w:ascii="Calibri" w:eastAsia="Calibri" w:hAnsi="Calibri"/>
                <w:sz w:val="28"/>
                <w:szCs w:val="28"/>
                <w:lang w:eastAsia="en-US"/>
              </w:rPr>
              <w:t xml:space="preserve"> </w:t>
            </w:r>
          </w:p>
          <w:p w:rsidR="003564E1" w:rsidRPr="003564E1" w:rsidRDefault="003564E1" w:rsidP="003564E1">
            <w:pPr>
              <w:suppressAutoHyphens w:val="0"/>
              <w:jc w:val="both"/>
              <w:rPr>
                <w:color w:val="000000"/>
                <w:sz w:val="28"/>
                <w:szCs w:val="28"/>
                <w:lang w:eastAsia="lv-LV"/>
              </w:rPr>
            </w:pPr>
            <w:r w:rsidRPr="003564E1">
              <w:rPr>
                <w:color w:val="000000"/>
                <w:sz w:val="28"/>
                <w:szCs w:val="28"/>
                <w:lang w:eastAsia="lv-LV"/>
              </w:rPr>
              <w:t>1) nodarījuma bīstamības;</w:t>
            </w:r>
          </w:p>
          <w:p w:rsidR="003564E1" w:rsidRPr="003564E1" w:rsidRDefault="003564E1" w:rsidP="003564E1">
            <w:pPr>
              <w:suppressAutoHyphens w:val="0"/>
              <w:jc w:val="both"/>
              <w:rPr>
                <w:color w:val="000000"/>
                <w:sz w:val="28"/>
                <w:szCs w:val="28"/>
                <w:lang w:eastAsia="lv-LV"/>
              </w:rPr>
            </w:pPr>
            <w:r w:rsidRPr="003564E1">
              <w:rPr>
                <w:color w:val="000000"/>
                <w:sz w:val="28"/>
                <w:szCs w:val="28"/>
                <w:lang w:eastAsia="lv-LV"/>
              </w:rPr>
              <w:t>2) sabiedriskā kaitīguma;</w:t>
            </w:r>
          </w:p>
          <w:p w:rsidR="003564E1" w:rsidRPr="003564E1" w:rsidRDefault="003564E1" w:rsidP="003564E1">
            <w:pPr>
              <w:suppressAutoHyphens w:val="0"/>
              <w:jc w:val="both"/>
              <w:rPr>
                <w:color w:val="000000"/>
                <w:sz w:val="28"/>
                <w:szCs w:val="28"/>
                <w:lang w:eastAsia="lv-LV"/>
              </w:rPr>
            </w:pPr>
            <w:r w:rsidRPr="003564E1">
              <w:rPr>
                <w:color w:val="000000"/>
                <w:sz w:val="28"/>
                <w:szCs w:val="28"/>
                <w:lang w:eastAsia="lv-LV"/>
              </w:rPr>
              <w:t>3) nodarījuma sekām;</w:t>
            </w:r>
          </w:p>
          <w:p w:rsidR="003564E1" w:rsidRPr="003564E1" w:rsidRDefault="003564E1" w:rsidP="003564E1">
            <w:pPr>
              <w:suppressAutoHyphens w:val="0"/>
              <w:jc w:val="both"/>
              <w:rPr>
                <w:color w:val="000000"/>
                <w:sz w:val="28"/>
                <w:szCs w:val="28"/>
                <w:lang w:eastAsia="lv-LV"/>
              </w:rPr>
            </w:pPr>
            <w:r w:rsidRPr="003564E1">
              <w:rPr>
                <w:color w:val="000000"/>
                <w:sz w:val="28"/>
                <w:szCs w:val="28"/>
                <w:lang w:eastAsia="lv-LV"/>
              </w:rPr>
              <w:t>4) nodarījuma aktualitātes;</w:t>
            </w:r>
          </w:p>
          <w:p w:rsidR="003564E1" w:rsidRPr="003564E1" w:rsidRDefault="003564E1" w:rsidP="003564E1">
            <w:pPr>
              <w:suppressAutoHyphens w:val="0"/>
              <w:jc w:val="both"/>
              <w:rPr>
                <w:color w:val="000000"/>
                <w:sz w:val="28"/>
                <w:szCs w:val="28"/>
                <w:lang w:eastAsia="lv-LV"/>
              </w:rPr>
            </w:pPr>
            <w:r w:rsidRPr="003564E1">
              <w:rPr>
                <w:color w:val="000000"/>
                <w:sz w:val="28"/>
                <w:szCs w:val="28"/>
                <w:lang w:eastAsia="lv-LV"/>
              </w:rPr>
              <w:t xml:space="preserve">5) nodarījuma </w:t>
            </w:r>
            <w:proofErr w:type="spellStart"/>
            <w:r w:rsidRPr="003564E1">
              <w:rPr>
                <w:color w:val="000000"/>
                <w:sz w:val="28"/>
                <w:szCs w:val="28"/>
                <w:lang w:eastAsia="lv-LV"/>
              </w:rPr>
              <w:t>attiecināmības</w:t>
            </w:r>
            <w:proofErr w:type="spellEnd"/>
            <w:r w:rsidRPr="003564E1">
              <w:rPr>
                <w:color w:val="000000"/>
                <w:sz w:val="28"/>
                <w:szCs w:val="28"/>
                <w:lang w:eastAsia="lv-LV"/>
              </w:rPr>
              <w:t xml:space="preserve"> uz publiski tiesiskajām attiecībām.</w:t>
            </w:r>
          </w:p>
          <w:p w:rsidR="001E276D" w:rsidRDefault="003564E1" w:rsidP="00386227">
            <w:pPr>
              <w:tabs>
                <w:tab w:val="num" w:pos="1047"/>
              </w:tabs>
              <w:jc w:val="both"/>
              <w:rPr>
                <w:color w:val="000000"/>
                <w:sz w:val="28"/>
                <w:szCs w:val="28"/>
                <w:lang w:eastAsia="lv-LV"/>
              </w:rPr>
            </w:pPr>
            <w:r w:rsidRPr="003564E1">
              <w:rPr>
                <w:color w:val="000000"/>
                <w:sz w:val="28"/>
                <w:szCs w:val="28"/>
                <w:lang w:eastAsia="lv-LV"/>
              </w:rPr>
              <w:t xml:space="preserve">     </w:t>
            </w:r>
            <w:r w:rsidR="00E11F96">
              <w:rPr>
                <w:color w:val="000000"/>
                <w:sz w:val="28"/>
                <w:szCs w:val="28"/>
                <w:lang w:eastAsia="lv-LV"/>
              </w:rPr>
              <w:t>P</w:t>
            </w:r>
            <w:r w:rsidR="005942DC">
              <w:rPr>
                <w:color w:val="000000"/>
                <w:sz w:val="28"/>
                <w:szCs w:val="28"/>
                <w:lang w:eastAsia="lv-LV"/>
              </w:rPr>
              <w:t xml:space="preserve">rojekts </w:t>
            </w:r>
            <w:r w:rsidR="00516FA5">
              <w:rPr>
                <w:color w:val="000000"/>
                <w:sz w:val="28"/>
                <w:szCs w:val="28"/>
                <w:lang w:eastAsia="lv-LV"/>
              </w:rPr>
              <w:t xml:space="preserve">paredz papildināt likumu </w:t>
            </w:r>
            <w:r w:rsidR="00516FA5" w:rsidRPr="00A05847">
              <w:rPr>
                <w:color w:val="000000"/>
                <w:sz w:val="28"/>
                <w:szCs w:val="28"/>
                <w:lang w:eastAsia="lv-LV"/>
              </w:rPr>
              <w:t>ar 49.</w:t>
            </w:r>
            <w:r w:rsidR="004C1236" w:rsidRPr="00A05847">
              <w:rPr>
                <w:color w:val="000000"/>
                <w:sz w:val="28"/>
                <w:szCs w:val="28"/>
                <w:lang w:eastAsia="lv-LV"/>
              </w:rPr>
              <w:t>pantu</w:t>
            </w:r>
            <w:r w:rsidR="00516FA5" w:rsidRPr="00A05847">
              <w:rPr>
                <w:color w:val="000000"/>
                <w:sz w:val="28"/>
                <w:szCs w:val="28"/>
                <w:lang w:eastAsia="lv-LV"/>
              </w:rPr>
              <w:t xml:space="preserve"> un 50.pant</w:t>
            </w:r>
            <w:r w:rsidR="00E26838" w:rsidRPr="00A05847">
              <w:rPr>
                <w:color w:val="000000"/>
                <w:sz w:val="28"/>
                <w:szCs w:val="28"/>
                <w:lang w:eastAsia="lv-LV"/>
              </w:rPr>
              <w:t>u</w:t>
            </w:r>
            <w:r w:rsidR="004C1236" w:rsidRPr="00A05847">
              <w:rPr>
                <w:color w:val="000000"/>
                <w:sz w:val="28"/>
                <w:szCs w:val="28"/>
                <w:lang w:eastAsia="lv-LV"/>
              </w:rPr>
              <w:t>.</w:t>
            </w:r>
            <w:r w:rsidR="00516FA5" w:rsidRPr="00A05847">
              <w:rPr>
                <w:color w:val="000000"/>
                <w:sz w:val="28"/>
                <w:szCs w:val="28"/>
                <w:lang w:eastAsia="lv-LV"/>
              </w:rPr>
              <w:t xml:space="preserve"> </w:t>
            </w:r>
            <w:r w:rsidR="001C540D" w:rsidRPr="00A05847">
              <w:rPr>
                <w:color w:val="000000"/>
                <w:sz w:val="28"/>
                <w:szCs w:val="28"/>
                <w:lang w:eastAsia="lv-LV"/>
              </w:rPr>
              <w:t>49.pantā</w:t>
            </w:r>
            <w:r w:rsidR="00516FA5" w:rsidRPr="00A05847">
              <w:rPr>
                <w:color w:val="000000"/>
                <w:sz w:val="28"/>
                <w:szCs w:val="28"/>
                <w:lang w:eastAsia="lv-LV"/>
              </w:rPr>
              <w:t xml:space="preserve"> ir </w:t>
            </w:r>
            <w:r w:rsidR="005942DC" w:rsidRPr="00A05847">
              <w:rPr>
                <w:color w:val="000000"/>
                <w:sz w:val="28"/>
                <w:szCs w:val="28"/>
                <w:lang w:eastAsia="lv-LV"/>
              </w:rPr>
              <w:t>paredzēta</w:t>
            </w:r>
            <w:r w:rsidR="005942DC" w:rsidRPr="00AA461D">
              <w:rPr>
                <w:color w:val="000000"/>
                <w:sz w:val="28"/>
                <w:szCs w:val="28"/>
                <w:lang w:eastAsia="lv-LV"/>
              </w:rPr>
              <w:t xml:space="preserve"> administratīvā atbildība </w:t>
            </w:r>
            <w:r w:rsidR="005942DC" w:rsidRPr="007F2BD8">
              <w:rPr>
                <w:b/>
                <w:color w:val="000000"/>
                <w:sz w:val="28"/>
                <w:szCs w:val="28"/>
                <w:lang w:eastAsia="lv-LV"/>
              </w:rPr>
              <w:t>par</w:t>
            </w:r>
            <w:r w:rsidR="004C1236" w:rsidRPr="007F2BD8">
              <w:rPr>
                <w:rFonts w:eastAsia="Calibri"/>
                <w:b/>
                <w:sz w:val="28"/>
                <w:szCs w:val="28"/>
                <w:lang w:eastAsia="en-US"/>
              </w:rPr>
              <w:t xml:space="preserve"> </w:t>
            </w:r>
            <w:r w:rsidR="004762D4" w:rsidRPr="007F2BD8">
              <w:rPr>
                <w:rFonts w:eastAsia="Calibri"/>
                <w:b/>
                <w:sz w:val="28"/>
                <w:szCs w:val="28"/>
                <w:lang w:eastAsia="en-US"/>
              </w:rPr>
              <w:t>Valsts kasei laikā neiesniegtu pārskatu</w:t>
            </w:r>
            <w:r w:rsidR="004762D4" w:rsidRPr="00386227">
              <w:rPr>
                <w:rFonts w:eastAsia="Calibri"/>
                <w:sz w:val="28"/>
                <w:szCs w:val="28"/>
                <w:lang w:eastAsia="en-US"/>
              </w:rPr>
              <w:t xml:space="preserve"> saskaņā ar šā likuma prasībām</w:t>
            </w:r>
            <w:r w:rsidR="004C1236">
              <w:rPr>
                <w:rFonts w:eastAsia="Calibri"/>
                <w:sz w:val="28"/>
                <w:szCs w:val="28"/>
                <w:lang w:eastAsia="en-US"/>
              </w:rPr>
              <w:t xml:space="preserve"> un </w:t>
            </w:r>
            <w:r w:rsidRPr="003564E1">
              <w:rPr>
                <w:color w:val="000000"/>
                <w:sz w:val="28"/>
                <w:szCs w:val="28"/>
                <w:lang w:eastAsia="lv-LV"/>
              </w:rPr>
              <w:t xml:space="preserve">sods par </w:t>
            </w:r>
            <w:r>
              <w:rPr>
                <w:color w:val="000000"/>
                <w:sz w:val="28"/>
                <w:szCs w:val="28"/>
                <w:lang w:eastAsia="lv-LV"/>
              </w:rPr>
              <w:t>Likum</w:t>
            </w:r>
            <w:r w:rsidR="004C1236">
              <w:rPr>
                <w:color w:val="000000"/>
                <w:sz w:val="28"/>
                <w:szCs w:val="28"/>
                <w:lang w:eastAsia="lv-LV"/>
              </w:rPr>
              <w:t>a</w:t>
            </w:r>
            <w:r>
              <w:rPr>
                <w:color w:val="000000"/>
                <w:sz w:val="28"/>
                <w:szCs w:val="28"/>
                <w:lang w:eastAsia="lv-LV"/>
              </w:rPr>
              <w:t xml:space="preserve"> par budžetu un finanšu vadību prasību neievērošanu</w:t>
            </w:r>
            <w:r w:rsidR="001F0825">
              <w:rPr>
                <w:color w:val="000000"/>
                <w:sz w:val="28"/>
                <w:szCs w:val="28"/>
                <w:lang w:eastAsia="lv-LV"/>
              </w:rPr>
              <w:t>.</w:t>
            </w:r>
            <w:r w:rsidRPr="003564E1">
              <w:rPr>
                <w:color w:val="000000"/>
                <w:sz w:val="28"/>
                <w:szCs w:val="28"/>
                <w:lang w:eastAsia="lv-LV"/>
              </w:rPr>
              <w:t xml:space="preserve"> </w:t>
            </w:r>
          </w:p>
          <w:p w:rsidR="007D5BAE" w:rsidRDefault="003348C6" w:rsidP="001E276D">
            <w:pPr>
              <w:suppressAutoHyphens w:val="0"/>
              <w:jc w:val="both"/>
              <w:rPr>
                <w:color w:val="000000"/>
                <w:sz w:val="28"/>
                <w:szCs w:val="28"/>
                <w:lang w:eastAsia="lv-LV"/>
              </w:rPr>
            </w:pPr>
            <w:r>
              <w:rPr>
                <w:color w:val="000000"/>
                <w:sz w:val="28"/>
                <w:szCs w:val="28"/>
                <w:lang w:eastAsia="lv-LV"/>
              </w:rPr>
              <w:t xml:space="preserve">     </w:t>
            </w:r>
            <w:r w:rsidR="00E11F96">
              <w:rPr>
                <w:color w:val="000000"/>
                <w:sz w:val="28"/>
                <w:szCs w:val="28"/>
                <w:lang w:eastAsia="lv-LV"/>
              </w:rPr>
              <w:t>P</w:t>
            </w:r>
            <w:r w:rsidR="007D5BAE">
              <w:rPr>
                <w:color w:val="000000"/>
                <w:sz w:val="28"/>
                <w:szCs w:val="28"/>
                <w:lang w:eastAsia="lv-LV"/>
              </w:rPr>
              <w:t>rojektā paredzēti</w:t>
            </w:r>
            <w:r w:rsidR="004C1236">
              <w:rPr>
                <w:color w:val="000000"/>
                <w:sz w:val="28"/>
                <w:szCs w:val="28"/>
                <w:lang w:eastAsia="lv-LV"/>
              </w:rPr>
              <w:t>e</w:t>
            </w:r>
            <w:r w:rsidR="007D5BAE">
              <w:rPr>
                <w:color w:val="000000"/>
                <w:sz w:val="28"/>
                <w:szCs w:val="28"/>
                <w:lang w:eastAsia="lv-LV"/>
              </w:rPr>
              <w:t xml:space="preserve"> administratīvā pārkāpuma sodi:</w:t>
            </w:r>
          </w:p>
          <w:p w:rsidR="007D5BAE" w:rsidRDefault="007D5BAE" w:rsidP="001E276D">
            <w:pPr>
              <w:suppressAutoHyphens w:val="0"/>
              <w:jc w:val="both"/>
              <w:rPr>
                <w:color w:val="000000"/>
                <w:sz w:val="28"/>
                <w:szCs w:val="28"/>
                <w:lang w:eastAsia="lv-LV"/>
              </w:rPr>
            </w:pPr>
            <w:r w:rsidRPr="00A05847">
              <w:rPr>
                <w:color w:val="000000"/>
                <w:sz w:val="28"/>
                <w:szCs w:val="28"/>
                <w:lang w:eastAsia="lv-LV"/>
              </w:rPr>
              <w:t>-</w:t>
            </w:r>
            <w:r w:rsidR="0058789A" w:rsidRPr="00A05847">
              <w:rPr>
                <w:color w:val="000000"/>
                <w:sz w:val="28"/>
                <w:szCs w:val="28"/>
                <w:lang w:eastAsia="lv-LV"/>
              </w:rPr>
              <w:t xml:space="preserve"> </w:t>
            </w:r>
            <w:r w:rsidR="00516FA5" w:rsidRPr="00A05847">
              <w:rPr>
                <w:color w:val="000000"/>
                <w:sz w:val="28"/>
                <w:szCs w:val="28"/>
                <w:lang w:eastAsia="lv-LV"/>
              </w:rPr>
              <w:t>brīdinājums</w:t>
            </w:r>
            <w:r>
              <w:rPr>
                <w:color w:val="000000"/>
                <w:sz w:val="28"/>
                <w:szCs w:val="28"/>
                <w:lang w:eastAsia="lv-LV"/>
              </w:rPr>
              <w:t>;</w:t>
            </w:r>
          </w:p>
          <w:p w:rsidR="00BF1B6B" w:rsidRDefault="007D5BAE" w:rsidP="001E276D">
            <w:pPr>
              <w:suppressAutoHyphens w:val="0"/>
              <w:jc w:val="both"/>
              <w:rPr>
                <w:color w:val="000000"/>
                <w:sz w:val="28"/>
                <w:szCs w:val="28"/>
                <w:lang w:eastAsia="lv-LV"/>
              </w:rPr>
            </w:pPr>
            <w:r>
              <w:rPr>
                <w:color w:val="000000"/>
                <w:sz w:val="28"/>
                <w:szCs w:val="28"/>
                <w:lang w:eastAsia="lv-LV"/>
              </w:rPr>
              <w:t>-</w:t>
            </w:r>
            <w:r w:rsidR="004C1236">
              <w:rPr>
                <w:color w:val="000000"/>
                <w:sz w:val="28"/>
                <w:szCs w:val="28"/>
                <w:lang w:eastAsia="lv-LV"/>
              </w:rPr>
              <w:t xml:space="preserve"> </w:t>
            </w:r>
            <w:r>
              <w:rPr>
                <w:color w:val="000000"/>
                <w:sz w:val="28"/>
                <w:szCs w:val="28"/>
                <w:lang w:eastAsia="lv-LV"/>
              </w:rPr>
              <w:t xml:space="preserve">naudas sods no </w:t>
            </w:r>
            <w:r w:rsidR="00467C3E">
              <w:rPr>
                <w:color w:val="000000"/>
                <w:sz w:val="28"/>
                <w:szCs w:val="28"/>
                <w:lang w:eastAsia="lv-LV"/>
              </w:rPr>
              <w:t>četrpadsmit</w:t>
            </w:r>
            <w:r>
              <w:rPr>
                <w:color w:val="000000"/>
                <w:sz w:val="28"/>
                <w:szCs w:val="28"/>
                <w:lang w:eastAsia="lv-LV"/>
              </w:rPr>
              <w:t xml:space="preserve"> līdz </w:t>
            </w:r>
            <w:r w:rsidR="00467C3E">
              <w:rPr>
                <w:color w:val="000000"/>
                <w:sz w:val="28"/>
                <w:szCs w:val="28"/>
                <w:lang w:eastAsia="lv-LV"/>
              </w:rPr>
              <w:t>septiņdesmit</w:t>
            </w:r>
            <w:r w:rsidR="00384CE9">
              <w:rPr>
                <w:color w:val="000000"/>
                <w:sz w:val="28"/>
                <w:szCs w:val="28"/>
                <w:lang w:eastAsia="lv-LV"/>
              </w:rPr>
              <w:t xml:space="preserve"> naudas </w:t>
            </w:r>
            <w:r w:rsidR="004C1236" w:rsidRPr="005F1337">
              <w:rPr>
                <w:color w:val="000000"/>
                <w:sz w:val="28"/>
                <w:szCs w:val="28"/>
                <w:lang w:eastAsia="lv-LV"/>
              </w:rPr>
              <w:t xml:space="preserve">soda </w:t>
            </w:r>
            <w:r w:rsidR="00384CE9" w:rsidRPr="005F1337">
              <w:rPr>
                <w:color w:val="000000"/>
                <w:sz w:val="28"/>
                <w:szCs w:val="28"/>
                <w:lang w:eastAsia="lv-LV"/>
              </w:rPr>
              <w:t>v</w:t>
            </w:r>
            <w:r w:rsidR="00384CE9">
              <w:rPr>
                <w:color w:val="000000"/>
                <w:sz w:val="28"/>
                <w:szCs w:val="28"/>
                <w:lang w:eastAsia="lv-LV"/>
              </w:rPr>
              <w:t>ienībām</w:t>
            </w:r>
            <w:r>
              <w:rPr>
                <w:color w:val="000000"/>
                <w:sz w:val="28"/>
                <w:szCs w:val="28"/>
                <w:lang w:eastAsia="lv-LV"/>
              </w:rPr>
              <w:t>.</w:t>
            </w:r>
            <w:r w:rsidR="00D76D67">
              <w:rPr>
                <w:color w:val="000000"/>
                <w:sz w:val="28"/>
                <w:szCs w:val="28"/>
                <w:lang w:eastAsia="lv-LV"/>
              </w:rPr>
              <w:t xml:space="preserve"> </w:t>
            </w:r>
          </w:p>
          <w:p w:rsidR="004C3045" w:rsidRDefault="00A053B5" w:rsidP="004C3045">
            <w:pPr>
              <w:suppressAutoHyphens w:val="0"/>
              <w:jc w:val="both"/>
              <w:rPr>
                <w:color w:val="000000"/>
                <w:sz w:val="28"/>
                <w:szCs w:val="28"/>
                <w:lang w:eastAsia="lv-LV"/>
              </w:rPr>
            </w:pPr>
            <w:r>
              <w:rPr>
                <w:color w:val="000000"/>
                <w:sz w:val="28"/>
                <w:szCs w:val="28"/>
                <w:lang w:eastAsia="lv-LV"/>
              </w:rPr>
              <w:t xml:space="preserve">       </w:t>
            </w:r>
            <w:r w:rsidR="004C3045">
              <w:rPr>
                <w:color w:val="000000"/>
                <w:sz w:val="28"/>
                <w:szCs w:val="28"/>
                <w:lang w:eastAsia="lv-LV"/>
              </w:rPr>
              <w:t xml:space="preserve">Administratīvo pārkāpumu sastāvu aktualitāte ir analizēta, izvērtējot statistikas informāciju par konstatētajiem administratīvajiem pārkāpumiem iepriekšējos gados. </w:t>
            </w:r>
          </w:p>
          <w:p w:rsidR="004C3045" w:rsidRDefault="004C3045" w:rsidP="004C3045">
            <w:pPr>
              <w:suppressAutoHyphens w:val="0"/>
              <w:jc w:val="both"/>
              <w:rPr>
                <w:color w:val="000000"/>
                <w:sz w:val="28"/>
                <w:szCs w:val="28"/>
                <w:lang w:eastAsia="lv-LV"/>
              </w:rPr>
            </w:pPr>
            <w:r>
              <w:rPr>
                <w:color w:val="000000"/>
                <w:sz w:val="28"/>
                <w:szCs w:val="28"/>
                <w:lang w:eastAsia="lv-LV"/>
              </w:rPr>
              <w:t xml:space="preserve">        Valsts kases pārvaldnieks 2015.gadā par LAPK </w:t>
            </w:r>
            <w:r w:rsidRPr="00B84E73">
              <w:rPr>
                <w:color w:val="000000"/>
                <w:sz w:val="28"/>
                <w:szCs w:val="28"/>
                <w:lang w:eastAsia="lv-LV"/>
              </w:rPr>
              <w:t xml:space="preserve">159.²panta </w:t>
            </w:r>
            <w:r w:rsidR="00516FA5">
              <w:rPr>
                <w:color w:val="000000"/>
                <w:sz w:val="28"/>
                <w:szCs w:val="28"/>
                <w:lang w:eastAsia="lv-LV"/>
              </w:rPr>
              <w:t>pirm</w:t>
            </w:r>
            <w:r w:rsidRPr="00B84E73">
              <w:rPr>
                <w:color w:val="000000"/>
                <w:sz w:val="28"/>
                <w:szCs w:val="28"/>
                <w:lang w:eastAsia="lv-LV"/>
              </w:rPr>
              <w:t>ās daļas</w:t>
            </w:r>
            <w:r>
              <w:rPr>
                <w:color w:val="000000"/>
                <w:sz w:val="28"/>
                <w:szCs w:val="28"/>
                <w:lang w:eastAsia="lv-LV"/>
              </w:rPr>
              <w:t xml:space="preserve"> neievērošanu pašvaldības vadītājiem ir </w:t>
            </w:r>
            <w:r w:rsidR="005C3E0D" w:rsidRPr="007F1B45">
              <w:rPr>
                <w:color w:val="000000"/>
                <w:sz w:val="28"/>
                <w:szCs w:val="28"/>
                <w:lang w:eastAsia="lv-LV"/>
              </w:rPr>
              <w:t>izteicis</w:t>
            </w:r>
            <w:r>
              <w:rPr>
                <w:color w:val="000000"/>
                <w:sz w:val="28"/>
                <w:szCs w:val="28"/>
                <w:lang w:eastAsia="lv-LV"/>
              </w:rPr>
              <w:t xml:space="preserve"> </w:t>
            </w:r>
            <w:r w:rsidR="004C1236" w:rsidRPr="005F1337">
              <w:rPr>
                <w:color w:val="000000"/>
                <w:sz w:val="28"/>
                <w:szCs w:val="28"/>
                <w:lang w:eastAsia="lv-LV"/>
              </w:rPr>
              <w:t>trīs</w:t>
            </w:r>
            <w:r w:rsidRPr="005F1337">
              <w:rPr>
                <w:b/>
                <w:color w:val="000000"/>
                <w:sz w:val="28"/>
                <w:szCs w:val="28"/>
                <w:lang w:eastAsia="lv-LV"/>
              </w:rPr>
              <w:t xml:space="preserve"> </w:t>
            </w:r>
            <w:r>
              <w:rPr>
                <w:color w:val="000000"/>
                <w:sz w:val="28"/>
                <w:szCs w:val="28"/>
                <w:lang w:eastAsia="lv-LV"/>
              </w:rPr>
              <w:t>brīdinājumus, bet 2016.gadā – vienu brīdinājumu.</w:t>
            </w:r>
          </w:p>
          <w:p w:rsidR="00262A66" w:rsidRDefault="004C3045" w:rsidP="001E276D">
            <w:pPr>
              <w:suppressAutoHyphens w:val="0"/>
              <w:jc w:val="both"/>
              <w:rPr>
                <w:color w:val="000000"/>
                <w:sz w:val="28"/>
                <w:szCs w:val="28"/>
                <w:lang w:eastAsia="lv-LV"/>
              </w:rPr>
            </w:pPr>
            <w:r>
              <w:rPr>
                <w:color w:val="000000"/>
                <w:sz w:val="28"/>
                <w:szCs w:val="28"/>
                <w:lang w:eastAsia="lv-LV"/>
              </w:rPr>
              <w:t xml:space="preserve">        </w:t>
            </w:r>
            <w:r w:rsidR="00A70519">
              <w:rPr>
                <w:color w:val="000000"/>
                <w:sz w:val="28"/>
                <w:szCs w:val="28"/>
                <w:lang w:eastAsia="lv-LV"/>
              </w:rPr>
              <w:t>Ņemot vērā to, ka</w:t>
            </w:r>
            <w:r w:rsidR="002B5D22">
              <w:rPr>
                <w:color w:val="000000"/>
                <w:sz w:val="28"/>
                <w:szCs w:val="28"/>
                <w:lang w:eastAsia="lv-LV"/>
              </w:rPr>
              <w:t xml:space="preserve">, </w:t>
            </w:r>
            <w:r w:rsidR="0031428D">
              <w:rPr>
                <w:color w:val="000000"/>
                <w:sz w:val="28"/>
                <w:szCs w:val="28"/>
                <w:lang w:eastAsia="lv-LV"/>
              </w:rPr>
              <w:t xml:space="preserve">LAPK 159.² panta pirmās </w:t>
            </w:r>
            <w:r w:rsidR="0031428D">
              <w:rPr>
                <w:color w:val="000000"/>
                <w:sz w:val="28"/>
                <w:szCs w:val="28"/>
                <w:lang w:eastAsia="lv-LV"/>
              </w:rPr>
              <w:lastRenderedPageBreak/>
              <w:t xml:space="preserve">daļās neievērošana aizskar ar normatīvajiem aktiem noteikto tiesisko regulējumu pārskatu iesniegšanā, lai </w:t>
            </w:r>
            <w:r w:rsidR="00386227">
              <w:rPr>
                <w:color w:val="000000"/>
                <w:sz w:val="28"/>
                <w:szCs w:val="28"/>
                <w:lang w:eastAsia="lv-LV"/>
              </w:rPr>
              <w:t xml:space="preserve">nodrošinātu </w:t>
            </w:r>
            <w:r w:rsidR="0031428D">
              <w:rPr>
                <w:color w:val="000000"/>
                <w:sz w:val="28"/>
                <w:szCs w:val="28"/>
                <w:lang w:eastAsia="lv-LV"/>
              </w:rPr>
              <w:t>pilnīgas un objektīvas informācijas par budžeta izpildi saņemšan</w:t>
            </w:r>
            <w:r w:rsidR="004C1236" w:rsidRPr="005F1337">
              <w:rPr>
                <w:color w:val="000000"/>
                <w:sz w:val="28"/>
                <w:szCs w:val="28"/>
                <w:lang w:eastAsia="lv-LV"/>
              </w:rPr>
              <w:t>u</w:t>
            </w:r>
            <w:r w:rsidR="0031428D">
              <w:rPr>
                <w:color w:val="000000"/>
                <w:sz w:val="28"/>
                <w:szCs w:val="28"/>
                <w:lang w:eastAsia="lv-LV"/>
              </w:rPr>
              <w:t xml:space="preserve"> Likumā par budžetu un finanšu vadību noteiktajā termiņā, </w:t>
            </w:r>
            <w:r w:rsidR="002B5D22">
              <w:rPr>
                <w:color w:val="000000"/>
                <w:sz w:val="28"/>
                <w:szCs w:val="28"/>
                <w:lang w:eastAsia="lv-LV"/>
              </w:rPr>
              <w:t xml:space="preserve">ir </w:t>
            </w:r>
            <w:r w:rsidR="001A2625">
              <w:rPr>
                <w:color w:val="000000"/>
                <w:sz w:val="28"/>
                <w:szCs w:val="28"/>
                <w:lang w:eastAsia="lv-LV"/>
              </w:rPr>
              <w:t>jāsaglabā administratīvie sodi (</w:t>
            </w:r>
            <w:r w:rsidR="000466AE" w:rsidRPr="00A05847">
              <w:rPr>
                <w:color w:val="000000"/>
                <w:sz w:val="28"/>
                <w:szCs w:val="28"/>
                <w:lang w:eastAsia="lv-LV"/>
              </w:rPr>
              <w:t>brīdinājum</w:t>
            </w:r>
            <w:r w:rsidR="00262A66" w:rsidRPr="00A05847">
              <w:rPr>
                <w:color w:val="000000"/>
                <w:sz w:val="28"/>
                <w:szCs w:val="28"/>
                <w:lang w:eastAsia="lv-LV"/>
              </w:rPr>
              <w:t>s</w:t>
            </w:r>
            <w:r w:rsidR="004C1236">
              <w:rPr>
                <w:color w:val="000000"/>
                <w:sz w:val="28"/>
                <w:szCs w:val="28"/>
                <w:lang w:eastAsia="lv-LV"/>
              </w:rPr>
              <w:t xml:space="preserve"> </w:t>
            </w:r>
            <w:r w:rsidR="004C1236" w:rsidRPr="005F1337">
              <w:rPr>
                <w:color w:val="000000"/>
                <w:sz w:val="28"/>
                <w:szCs w:val="28"/>
                <w:lang w:eastAsia="lv-LV"/>
              </w:rPr>
              <w:t>vai</w:t>
            </w:r>
            <w:r w:rsidR="001A2625">
              <w:rPr>
                <w:color w:val="000000"/>
                <w:sz w:val="28"/>
                <w:szCs w:val="28"/>
                <w:lang w:eastAsia="lv-LV"/>
              </w:rPr>
              <w:t xml:space="preserve"> </w:t>
            </w:r>
            <w:r w:rsidR="00262A66">
              <w:rPr>
                <w:color w:val="000000"/>
                <w:sz w:val="28"/>
                <w:szCs w:val="28"/>
                <w:lang w:eastAsia="lv-LV"/>
              </w:rPr>
              <w:t>naudas sods</w:t>
            </w:r>
            <w:r w:rsidR="001A2625">
              <w:rPr>
                <w:color w:val="000000"/>
                <w:sz w:val="28"/>
                <w:szCs w:val="28"/>
                <w:lang w:eastAsia="lv-LV"/>
              </w:rPr>
              <w:t xml:space="preserve">), </w:t>
            </w:r>
            <w:r w:rsidR="002B5D22">
              <w:rPr>
                <w:color w:val="000000"/>
                <w:sz w:val="28"/>
                <w:szCs w:val="28"/>
                <w:lang w:eastAsia="lv-LV"/>
              </w:rPr>
              <w:t xml:space="preserve">kas nodrošinātu, ka </w:t>
            </w:r>
            <w:r w:rsidR="00BD1FB1">
              <w:rPr>
                <w:color w:val="000000"/>
                <w:sz w:val="28"/>
                <w:szCs w:val="28"/>
                <w:lang w:eastAsia="lv-LV"/>
              </w:rPr>
              <w:t>administratīvo pārkāpumu subjekts</w:t>
            </w:r>
            <w:r w:rsidR="002B5D22">
              <w:rPr>
                <w:color w:val="000000"/>
                <w:sz w:val="28"/>
                <w:szCs w:val="28"/>
                <w:lang w:eastAsia="lv-LV"/>
              </w:rPr>
              <w:t xml:space="preserve"> ievēro </w:t>
            </w:r>
            <w:r w:rsidR="001A2625">
              <w:rPr>
                <w:color w:val="000000"/>
                <w:sz w:val="28"/>
                <w:szCs w:val="28"/>
                <w:lang w:eastAsia="lv-LV"/>
              </w:rPr>
              <w:t xml:space="preserve">normatīvajos aktos </w:t>
            </w:r>
            <w:r w:rsidR="002B5D22">
              <w:rPr>
                <w:color w:val="000000"/>
                <w:sz w:val="28"/>
                <w:szCs w:val="28"/>
                <w:lang w:eastAsia="lv-LV"/>
              </w:rPr>
              <w:t>noteikto kārtību</w:t>
            </w:r>
            <w:r w:rsidR="00262A66">
              <w:rPr>
                <w:color w:val="000000"/>
                <w:sz w:val="28"/>
                <w:szCs w:val="28"/>
                <w:lang w:eastAsia="lv-LV"/>
              </w:rPr>
              <w:t>.</w:t>
            </w:r>
          </w:p>
          <w:p w:rsidR="007D5BAE" w:rsidRDefault="00262A66" w:rsidP="001E276D">
            <w:pPr>
              <w:suppressAutoHyphens w:val="0"/>
              <w:jc w:val="both"/>
              <w:rPr>
                <w:color w:val="000000"/>
                <w:sz w:val="28"/>
                <w:szCs w:val="28"/>
                <w:lang w:eastAsia="lv-LV"/>
              </w:rPr>
            </w:pPr>
            <w:r>
              <w:rPr>
                <w:color w:val="000000"/>
                <w:sz w:val="28"/>
                <w:szCs w:val="28"/>
                <w:lang w:eastAsia="lv-LV"/>
              </w:rPr>
              <w:t xml:space="preserve">       </w:t>
            </w:r>
            <w:r w:rsidR="00D76D67">
              <w:rPr>
                <w:color w:val="000000"/>
                <w:sz w:val="28"/>
                <w:szCs w:val="28"/>
                <w:lang w:eastAsia="lv-LV"/>
              </w:rPr>
              <w:t xml:space="preserve">Nav pamatojuma paplašināt pašreiz spēkā esošu naudas </w:t>
            </w:r>
            <w:r w:rsidR="00944395">
              <w:rPr>
                <w:color w:val="000000"/>
                <w:sz w:val="28"/>
                <w:szCs w:val="28"/>
                <w:lang w:eastAsia="lv-LV"/>
              </w:rPr>
              <w:t xml:space="preserve">soda </w:t>
            </w:r>
            <w:r w:rsidR="00D76D67">
              <w:rPr>
                <w:color w:val="000000"/>
                <w:sz w:val="28"/>
                <w:szCs w:val="28"/>
                <w:lang w:eastAsia="lv-LV"/>
              </w:rPr>
              <w:t>apmēru un projekt</w:t>
            </w:r>
            <w:r w:rsidR="004C1236">
              <w:rPr>
                <w:color w:val="000000"/>
                <w:sz w:val="28"/>
                <w:szCs w:val="28"/>
                <w:lang w:eastAsia="lv-LV"/>
              </w:rPr>
              <w:t>a</w:t>
            </w:r>
            <w:r w:rsidR="00D76D67">
              <w:rPr>
                <w:color w:val="000000"/>
                <w:sz w:val="28"/>
                <w:szCs w:val="28"/>
                <w:lang w:eastAsia="lv-LV"/>
              </w:rPr>
              <w:t xml:space="preserve"> 49.pantā noteikt</w:t>
            </w:r>
            <w:r w:rsidR="00916081">
              <w:rPr>
                <w:color w:val="000000"/>
                <w:sz w:val="28"/>
                <w:szCs w:val="28"/>
                <w:lang w:eastAsia="lv-LV"/>
              </w:rPr>
              <w:t>ais</w:t>
            </w:r>
            <w:r w:rsidR="00D76D67">
              <w:rPr>
                <w:color w:val="000000"/>
                <w:sz w:val="28"/>
                <w:szCs w:val="28"/>
                <w:lang w:eastAsia="lv-LV"/>
              </w:rPr>
              <w:t xml:space="preserve"> naudas sod</w:t>
            </w:r>
            <w:r w:rsidR="00916081">
              <w:rPr>
                <w:color w:val="000000"/>
                <w:sz w:val="28"/>
                <w:szCs w:val="28"/>
                <w:lang w:eastAsia="lv-LV"/>
              </w:rPr>
              <w:t>s</w:t>
            </w:r>
            <w:r w:rsidR="00D76D67">
              <w:rPr>
                <w:color w:val="000000"/>
                <w:sz w:val="28"/>
                <w:szCs w:val="28"/>
                <w:lang w:eastAsia="lv-LV"/>
              </w:rPr>
              <w:t xml:space="preserve"> (noteiktā naudas summa, kas administratīvi sodīt</w:t>
            </w:r>
            <w:r w:rsidR="00944395">
              <w:rPr>
                <w:color w:val="000000"/>
                <w:sz w:val="28"/>
                <w:szCs w:val="28"/>
                <w:lang w:eastAsia="lv-LV"/>
              </w:rPr>
              <w:t>a</w:t>
            </w:r>
            <w:r w:rsidR="00D76D67">
              <w:rPr>
                <w:color w:val="000000"/>
                <w:sz w:val="28"/>
                <w:szCs w:val="28"/>
                <w:lang w:eastAsia="lv-LV"/>
              </w:rPr>
              <w:t xml:space="preserve">jam </w:t>
            </w:r>
            <w:r w:rsidR="00CB436A" w:rsidRPr="009140A4">
              <w:rPr>
                <w:rFonts w:eastAsia="Calibri"/>
                <w:sz w:val="28"/>
                <w:szCs w:val="28"/>
                <w:lang w:eastAsia="en-US"/>
              </w:rPr>
              <w:t xml:space="preserve">budžeta finansētas institūcijas </w:t>
            </w:r>
            <w:r w:rsidR="00386227" w:rsidRPr="005F1337">
              <w:rPr>
                <w:rFonts w:eastAsia="Calibri"/>
                <w:sz w:val="28"/>
                <w:szCs w:val="28"/>
                <w:lang w:eastAsia="en-US"/>
              </w:rPr>
              <w:t xml:space="preserve">vadītājam </w:t>
            </w:r>
            <w:r w:rsidR="004C1236" w:rsidRPr="005F1337">
              <w:rPr>
                <w:rFonts w:eastAsia="Calibri"/>
                <w:sz w:val="28"/>
                <w:szCs w:val="28"/>
                <w:lang w:eastAsia="en-US"/>
              </w:rPr>
              <w:t>vai</w:t>
            </w:r>
            <w:r w:rsidR="004C1236" w:rsidRPr="009140A4">
              <w:rPr>
                <w:rFonts w:eastAsia="Calibri"/>
                <w:sz w:val="28"/>
                <w:szCs w:val="28"/>
                <w:lang w:eastAsia="en-US"/>
              </w:rPr>
              <w:t xml:space="preserve"> </w:t>
            </w:r>
            <w:r w:rsidR="00CB436A" w:rsidRPr="009140A4">
              <w:rPr>
                <w:rFonts w:eastAsia="Calibri"/>
                <w:sz w:val="28"/>
                <w:szCs w:val="28"/>
                <w:lang w:eastAsia="en-US"/>
              </w:rPr>
              <w:t>budžeta nefinansētas iestādes</w:t>
            </w:r>
            <w:r w:rsidR="004D0F45" w:rsidRPr="00CB436A">
              <w:rPr>
                <w:color w:val="000000"/>
                <w:sz w:val="28"/>
                <w:szCs w:val="28"/>
                <w:lang w:eastAsia="lv-LV"/>
              </w:rPr>
              <w:t xml:space="preserve"> vadītājam</w:t>
            </w:r>
            <w:r w:rsidR="004D0F45">
              <w:rPr>
                <w:color w:val="000000"/>
                <w:sz w:val="28"/>
                <w:szCs w:val="28"/>
                <w:lang w:eastAsia="lv-LV"/>
              </w:rPr>
              <w:t xml:space="preserve"> (t.sk.</w:t>
            </w:r>
            <w:r w:rsidR="003C6AF9">
              <w:rPr>
                <w:color w:val="000000"/>
                <w:sz w:val="28"/>
                <w:szCs w:val="28"/>
                <w:lang w:eastAsia="lv-LV"/>
              </w:rPr>
              <w:t xml:space="preserve"> </w:t>
            </w:r>
            <w:r w:rsidR="00D76D67">
              <w:rPr>
                <w:color w:val="000000"/>
                <w:sz w:val="28"/>
                <w:szCs w:val="28"/>
                <w:lang w:eastAsia="lv-LV"/>
              </w:rPr>
              <w:t>pašvaldības vadītājam</w:t>
            </w:r>
            <w:r w:rsidR="004D0F45">
              <w:rPr>
                <w:color w:val="000000"/>
                <w:sz w:val="28"/>
                <w:szCs w:val="28"/>
                <w:lang w:eastAsia="lv-LV"/>
              </w:rPr>
              <w:t>)</w:t>
            </w:r>
            <w:r w:rsidR="00D76D67">
              <w:rPr>
                <w:color w:val="000000"/>
                <w:sz w:val="28"/>
                <w:szCs w:val="28"/>
                <w:lang w:eastAsia="lv-LV"/>
              </w:rPr>
              <w:t xml:space="preserve"> jāmaksā par izdarītu administratīvo pārkāpumu) ir saglabāt</w:t>
            </w:r>
            <w:r w:rsidR="004A68EF">
              <w:rPr>
                <w:color w:val="000000"/>
                <w:sz w:val="28"/>
                <w:szCs w:val="28"/>
                <w:lang w:eastAsia="lv-LV"/>
              </w:rPr>
              <w:t>s</w:t>
            </w:r>
            <w:r w:rsidR="00D76D67">
              <w:rPr>
                <w:color w:val="000000"/>
                <w:sz w:val="28"/>
                <w:szCs w:val="28"/>
                <w:lang w:eastAsia="lv-LV"/>
              </w:rPr>
              <w:t xml:space="preserve"> atbilstoši LAPK</w:t>
            </w:r>
            <w:r w:rsidR="00BF1B6B">
              <w:rPr>
                <w:color w:val="000000"/>
                <w:sz w:val="28"/>
                <w:szCs w:val="28"/>
                <w:lang w:eastAsia="lv-LV"/>
              </w:rPr>
              <w:t xml:space="preserve"> </w:t>
            </w:r>
            <w:r w:rsidR="00D76D67">
              <w:rPr>
                <w:color w:val="000000"/>
                <w:sz w:val="28"/>
                <w:szCs w:val="28"/>
                <w:lang w:eastAsia="lv-LV"/>
              </w:rPr>
              <w:t>159.²</w:t>
            </w:r>
            <w:r w:rsidR="009140A4">
              <w:rPr>
                <w:color w:val="000000"/>
                <w:sz w:val="28"/>
                <w:szCs w:val="28"/>
                <w:lang w:eastAsia="lv-LV"/>
              </w:rPr>
              <w:t xml:space="preserve"> </w:t>
            </w:r>
            <w:r w:rsidR="00BF1B6B">
              <w:rPr>
                <w:color w:val="000000"/>
                <w:sz w:val="28"/>
                <w:szCs w:val="28"/>
                <w:lang w:eastAsia="lv-LV"/>
              </w:rPr>
              <w:t>p</w:t>
            </w:r>
            <w:r w:rsidR="00D76D67">
              <w:rPr>
                <w:color w:val="000000"/>
                <w:sz w:val="28"/>
                <w:szCs w:val="28"/>
                <w:lang w:eastAsia="lv-LV"/>
              </w:rPr>
              <w:t>ant</w:t>
            </w:r>
            <w:r w:rsidR="004A68EF">
              <w:rPr>
                <w:color w:val="000000"/>
                <w:sz w:val="28"/>
                <w:szCs w:val="28"/>
                <w:lang w:eastAsia="lv-LV"/>
              </w:rPr>
              <w:t>a pirmajā daļā</w:t>
            </w:r>
            <w:r w:rsidR="00D76D67">
              <w:rPr>
                <w:color w:val="000000"/>
                <w:sz w:val="28"/>
                <w:szCs w:val="28"/>
                <w:lang w:eastAsia="lv-LV"/>
              </w:rPr>
              <w:t xml:space="preserve"> noteiktaj</w:t>
            </w:r>
            <w:r w:rsidR="00916081">
              <w:rPr>
                <w:color w:val="000000"/>
                <w:sz w:val="28"/>
                <w:szCs w:val="28"/>
                <w:lang w:eastAsia="lv-LV"/>
              </w:rPr>
              <w:t>a</w:t>
            </w:r>
            <w:r w:rsidR="00D76D67">
              <w:rPr>
                <w:color w:val="000000"/>
                <w:sz w:val="28"/>
                <w:szCs w:val="28"/>
                <w:lang w:eastAsia="lv-LV"/>
              </w:rPr>
              <w:t>m naudas sod</w:t>
            </w:r>
            <w:r w:rsidR="00916081">
              <w:rPr>
                <w:color w:val="000000"/>
                <w:sz w:val="28"/>
                <w:szCs w:val="28"/>
                <w:lang w:eastAsia="lv-LV"/>
              </w:rPr>
              <w:t>a</w:t>
            </w:r>
            <w:r w:rsidR="00D76D67">
              <w:rPr>
                <w:color w:val="000000"/>
                <w:sz w:val="28"/>
                <w:szCs w:val="28"/>
                <w:lang w:eastAsia="lv-LV"/>
              </w:rPr>
              <w:t xml:space="preserve"> ap</w:t>
            </w:r>
            <w:r w:rsidR="00196A8A">
              <w:rPr>
                <w:color w:val="000000"/>
                <w:sz w:val="28"/>
                <w:szCs w:val="28"/>
                <w:lang w:eastAsia="lv-LV"/>
              </w:rPr>
              <w:t>m</w:t>
            </w:r>
            <w:r w:rsidR="00D76D67">
              <w:rPr>
                <w:color w:val="000000"/>
                <w:sz w:val="28"/>
                <w:szCs w:val="28"/>
                <w:lang w:eastAsia="lv-LV"/>
              </w:rPr>
              <w:t>ēr</w:t>
            </w:r>
            <w:r w:rsidR="004A68EF">
              <w:rPr>
                <w:color w:val="000000"/>
                <w:sz w:val="28"/>
                <w:szCs w:val="28"/>
                <w:lang w:eastAsia="lv-LV"/>
              </w:rPr>
              <w:t>a</w:t>
            </w:r>
            <w:r w:rsidR="00D76D67">
              <w:rPr>
                <w:color w:val="000000"/>
                <w:sz w:val="28"/>
                <w:szCs w:val="28"/>
                <w:lang w:eastAsia="lv-LV"/>
              </w:rPr>
              <w:t>m</w:t>
            </w:r>
            <w:r w:rsidR="00467C3E">
              <w:rPr>
                <w:color w:val="000000"/>
                <w:sz w:val="28"/>
                <w:szCs w:val="28"/>
                <w:lang w:eastAsia="lv-LV"/>
              </w:rPr>
              <w:t xml:space="preserve"> (no </w:t>
            </w:r>
            <w:r w:rsidR="00807D50">
              <w:rPr>
                <w:color w:val="000000"/>
                <w:sz w:val="28"/>
                <w:szCs w:val="28"/>
                <w:lang w:eastAsia="lv-LV"/>
              </w:rPr>
              <w:t xml:space="preserve">septiņdesmit līdz trīssimt piecdesmit </w:t>
            </w:r>
            <w:proofErr w:type="spellStart"/>
            <w:r w:rsidR="00807D50" w:rsidRPr="00807D50">
              <w:rPr>
                <w:i/>
                <w:color w:val="000000"/>
                <w:sz w:val="28"/>
                <w:szCs w:val="28"/>
                <w:lang w:eastAsia="lv-LV"/>
              </w:rPr>
              <w:t>euro</w:t>
            </w:r>
            <w:proofErr w:type="spellEnd"/>
            <w:r w:rsidR="00467C3E">
              <w:rPr>
                <w:color w:val="000000"/>
                <w:sz w:val="28"/>
                <w:szCs w:val="28"/>
                <w:lang w:eastAsia="lv-LV"/>
              </w:rPr>
              <w:t>)</w:t>
            </w:r>
            <w:r w:rsidR="00D76D67">
              <w:rPr>
                <w:color w:val="000000"/>
                <w:sz w:val="28"/>
                <w:szCs w:val="28"/>
                <w:lang w:eastAsia="lv-LV"/>
              </w:rPr>
              <w:t xml:space="preserve">, tos pārvēršot </w:t>
            </w:r>
            <w:r w:rsidR="00196A8A">
              <w:rPr>
                <w:color w:val="000000"/>
                <w:sz w:val="28"/>
                <w:szCs w:val="28"/>
                <w:lang w:eastAsia="lv-LV"/>
              </w:rPr>
              <w:t xml:space="preserve">Administratīvo pārkāpumu procesa likumprojektā noteiktajās naudas </w:t>
            </w:r>
            <w:r w:rsidR="004C1236" w:rsidRPr="005F1337">
              <w:rPr>
                <w:color w:val="000000"/>
                <w:sz w:val="28"/>
                <w:szCs w:val="28"/>
                <w:lang w:eastAsia="lv-LV"/>
              </w:rPr>
              <w:t>soda</w:t>
            </w:r>
            <w:r w:rsidR="004C1236">
              <w:rPr>
                <w:color w:val="000000"/>
                <w:sz w:val="28"/>
                <w:szCs w:val="28"/>
                <w:lang w:eastAsia="lv-LV"/>
              </w:rPr>
              <w:t xml:space="preserve"> </w:t>
            </w:r>
            <w:r w:rsidR="00196A8A">
              <w:rPr>
                <w:color w:val="000000"/>
                <w:sz w:val="28"/>
                <w:szCs w:val="28"/>
                <w:lang w:eastAsia="lv-LV"/>
              </w:rPr>
              <w:t xml:space="preserve">vienībās (vienas naudas soda vienības vērtība ir pieci </w:t>
            </w:r>
            <w:proofErr w:type="spellStart"/>
            <w:r w:rsidR="00196A8A" w:rsidRPr="00196A8A">
              <w:rPr>
                <w:i/>
                <w:color w:val="000000"/>
                <w:sz w:val="28"/>
                <w:szCs w:val="28"/>
                <w:lang w:eastAsia="lv-LV"/>
              </w:rPr>
              <w:t>euro</w:t>
            </w:r>
            <w:proofErr w:type="spellEnd"/>
            <w:r w:rsidR="00196A8A">
              <w:rPr>
                <w:color w:val="000000"/>
                <w:sz w:val="28"/>
                <w:szCs w:val="28"/>
                <w:lang w:eastAsia="lv-LV"/>
              </w:rPr>
              <w:t>).</w:t>
            </w:r>
            <w:r w:rsidR="00D76D67">
              <w:rPr>
                <w:color w:val="000000"/>
                <w:sz w:val="28"/>
                <w:szCs w:val="28"/>
                <w:lang w:eastAsia="lv-LV"/>
              </w:rPr>
              <w:t xml:space="preserve">    </w:t>
            </w:r>
          </w:p>
          <w:p w:rsidR="00B2385E" w:rsidRDefault="00F6700B" w:rsidP="001E276D">
            <w:pPr>
              <w:suppressAutoHyphens w:val="0"/>
              <w:jc w:val="both"/>
              <w:rPr>
                <w:sz w:val="28"/>
                <w:szCs w:val="28"/>
                <w:lang w:eastAsia="lv-LV"/>
              </w:rPr>
            </w:pPr>
            <w:r>
              <w:rPr>
                <w:color w:val="000000"/>
                <w:sz w:val="28"/>
                <w:szCs w:val="28"/>
                <w:lang w:eastAsia="lv-LV"/>
              </w:rPr>
              <w:t xml:space="preserve">   </w:t>
            </w:r>
            <w:r w:rsidR="002B116F">
              <w:rPr>
                <w:color w:val="000000"/>
                <w:sz w:val="28"/>
                <w:szCs w:val="28"/>
                <w:lang w:eastAsia="lv-LV"/>
              </w:rPr>
              <w:t xml:space="preserve">    </w:t>
            </w:r>
            <w:r w:rsidR="00B2385E" w:rsidRPr="00B2385E">
              <w:rPr>
                <w:color w:val="000000"/>
                <w:sz w:val="28"/>
                <w:szCs w:val="28"/>
                <w:lang w:eastAsia="lv-LV"/>
              </w:rPr>
              <w:t>Projekt</w:t>
            </w:r>
            <w:r w:rsidR="004C1236">
              <w:rPr>
                <w:color w:val="000000"/>
                <w:sz w:val="28"/>
                <w:szCs w:val="28"/>
                <w:lang w:eastAsia="lv-LV"/>
              </w:rPr>
              <w:t>a</w:t>
            </w:r>
            <w:r w:rsidR="00B2385E" w:rsidRPr="00B2385E">
              <w:rPr>
                <w:color w:val="000000"/>
                <w:sz w:val="28"/>
                <w:szCs w:val="28"/>
                <w:lang w:eastAsia="lv-LV"/>
              </w:rPr>
              <w:t xml:space="preserve"> 50.pant</w:t>
            </w:r>
            <w:r w:rsidR="004C1236">
              <w:rPr>
                <w:color w:val="000000"/>
                <w:sz w:val="28"/>
                <w:szCs w:val="28"/>
                <w:lang w:eastAsia="lv-LV"/>
              </w:rPr>
              <w:t>s paredz</w:t>
            </w:r>
            <w:r w:rsidR="00B2385E" w:rsidRPr="00156ACB">
              <w:rPr>
                <w:color w:val="000000"/>
                <w:sz w:val="28"/>
                <w:szCs w:val="28"/>
                <w:lang w:eastAsia="lv-LV"/>
              </w:rPr>
              <w:t>, ka a</w:t>
            </w:r>
            <w:r w:rsidR="00B2385E" w:rsidRPr="00B077EC">
              <w:rPr>
                <w:sz w:val="28"/>
                <w:szCs w:val="28"/>
                <w:lang w:eastAsia="lv-LV"/>
              </w:rPr>
              <w:t>dministratīvo pārkāpumu procesu par šā likuma 49.pantā minētajiem pārkāpumiem veic Valsts kase, t.i. izskatīt administratīvo pārkāpumu lietas un piemērot administratīvos sodus Valsts kases vārdā ir tiesīgs Valsts kases pārvaldnieks un viņa vietnieki.</w:t>
            </w:r>
          </w:p>
          <w:p w:rsidR="001014E1" w:rsidRDefault="00156ACB" w:rsidP="001E276D">
            <w:pPr>
              <w:suppressAutoHyphens w:val="0"/>
              <w:jc w:val="both"/>
              <w:rPr>
                <w:color w:val="000000"/>
                <w:sz w:val="28"/>
                <w:szCs w:val="28"/>
                <w:lang w:eastAsia="lv-LV"/>
              </w:rPr>
            </w:pPr>
            <w:r>
              <w:rPr>
                <w:color w:val="000000"/>
                <w:sz w:val="28"/>
                <w:szCs w:val="28"/>
                <w:lang w:eastAsia="lv-LV"/>
              </w:rPr>
              <w:t xml:space="preserve">       </w:t>
            </w:r>
            <w:r w:rsidR="00E11F96">
              <w:rPr>
                <w:color w:val="000000"/>
                <w:sz w:val="28"/>
                <w:szCs w:val="28"/>
                <w:lang w:eastAsia="lv-LV"/>
              </w:rPr>
              <w:t>P</w:t>
            </w:r>
            <w:r w:rsidR="00D84C51">
              <w:rPr>
                <w:color w:val="000000"/>
                <w:sz w:val="28"/>
                <w:szCs w:val="28"/>
                <w:lang w:eastAsia="lv-LV"/>
              </w:rPr>
              <w:t xml:space="preserve">rojekta administratīvā pārkāpuma subjekti – </w:t>
            </w:r>
            <w:r w:rsidR="009140A4" w:rsidRPr="009140A4">
              <w:rPr>
                <w:rFonts w:eastAsia="Calibri"/>
                <w:sz w:val="28"/>
                <w:szCs w:val="28"/>
                <w:lang w:eastAsia="en-US"/>
              </w:rPr>
              <w:t>budžeta finansēt</w:t>
            </w:r>
            <w:r w:rsidR="00486D8B">
              <w:rPr>
                <w:rFonts w:eastAsia="Calibri"/>
                <w:sz w:val="28"/>
                <w:szCs w:val="28"/>
                <w:lang w:eastAsia="en-US"/>
              </w:rPr>
              <w:t>u</w:t>
            </w:r>
            <w:r w:rsidR="009140A4" w:rsidRPr="009140A4">
              <w:rPr>
                <w:rFonts w:eastAsia="Calibri"/>
                <w:sz w:val="28"/>
                <w:szCs w:val="28"/>
                <w:lang w:eastAsia="en-US"/>
              </w:rPr>
              <w:t xml:space="preserve"> institūcij</w:t>
            </w:r>
            <w:r w:rsidR="00924FA8">
              <w:rPr>
                <w:rFonts w:eastAsia="Calibri"/>
                <w:sz w:val="28"/>
                <w:szCs w:val="28"/>
                <w:lang w:eastAsia="en-US"/>
              </w:rPr>
              <w:t>u</w:t>
            </w:r>
            <w:r w:rsidR="000721E7">
              <w:rPr>
                <w:rFonts w:eastAsia="Calibri"/>
                <w:sz w:val="28"/>
                <w:szCs w:val="28"/>
                <w:lang w:eastAsia="en-US"/>
              </w:rPr>
              <w:t xml:space="preserve">, </w:t>
            </w:r>
            <w:r w:rsidR="000721E7">
              <w:rPr>
                <w:color w:val="000000"/>
                <w:sz w:val="28"/>
                <w:szCs w:val="28"/>
                <w:lang w:eastAsia="lv-LV"/>
              </w:rPr>
              <w:t>t.sk. pašvaldību vadītāji</w:t>
            </w:r>
            <w:r w:rsidR="009140A4" w:rsidRPr="009140A4">
              <w:rPr>
                <w:rFonts w:eastAsia="Calibri"/>
                <w:sz w:val="28"/>
                <w:szCs w:val="28"/>
                <w:lang w:eastAsia="en-US"/>
              </w:rPr>
              <w:t xml:space="preserve"> un budžeta nefinansēt</w:t>
            </w:r>
            <w:r w:rsidR="00486D8B">
              <w:rPr>
                <w:rFonts w:eastAsia="Calibri"/>
                <w:sz w:val="28"/>
                <w:szCs w:val="28"/>
                <w:lang w:eastAsia="en-US"/>
              </w:rPr>
              <w:t>u</w:t>
            </w:r>
            <w:r w:rsidR="009140A4" w:rsidRPr="009140A4">
              <w:rPr>
                <w:rFonts w:eastAsia="Calibri"/>
                <w:sz w:val="28"/>
                <w:szCs w:val="28"/>
                <w:lang w:eastAsia="en-US"/>
              </w:rPr>
              <w:t xml:space="preserve"> iestā</w:t>
            </w:r>
            <w:r w:rsidR="00924FA8">
              <w:rPr>
                <w:rFonts w:eastAsia="Calibri"/>
                <w:sz w:val="28"/>
                <w:szCs w:val="28"/>
                <w:lang w:eastAsia="en-US"/>
              </w:rPr>
              <w:t>žu</w:t>
            </w:r>
            <w:r w:rsidR="009140A4" w:rsidDel="009140A4">
              <w:rPr>
                <w:color w:val="000000"/>
                <w:sz w:val="28"/>
                <w:szCs w:val="28"/>
                <w:lang w:eastAsia="lv-LV"/>
              </w:rPr>
              <w:t xml:space="preserve"> </w:t>
            </w:r>
            <w:r w:rsidR="009140A4">
              <w:rPr>
                <w:color w:val="000000"/>
                <w:sz w:val="28"/>
                <w:szCs w:val="28"/>
                <w:lang w:eastAsia="lv-LV"/>
              </w:rPr>
              <w:t>vadītāji</w:t>
            </w:r>
            <w:r w:rsidR="00D84C51">
              <w:rPr>
                <w:color w:val="000000"/>
                <w:sz w:val="28"/>
                <w:szCs w:val="28"/>
                <w:lang w:eastAsia="lv-LV"/>
              </w:rPr>
              <w:t>.</w:t>
            </w:r>
          </w:p>
          <w:p w:rsidR="00C541AC" w:rsidRDefault="00C541AC" w:rsidP="001E276D">
            <w:pPr>
              <w:suppressAutoHyphens w:val="0"/>
              <w:jc w:val="both"/>
              <w:rPr>
                <w:color w:val="000000"/>
                <w:sz w:val="28"/>
                <w:szCs w:val="28"/>
                <w:lang w:eastAsia="lv-LV"/>
              </w:rPr>
            </w:pPr>
            <w:r>
              <w:rPr>
                <w:color w:val="000000"/>
                <w:sz w:val="28"/>
                <w:szCs w:val="28"/>
                <w:lang w:eastAsia="lv-LV"/>
              </w:rPr>
              <w:t xml:space="preserve">      Saskaņā ar</w:t>
            </w:r>
            <w:r w:rsidRPr="00C541AC">
              <w:rPr>
                <w:color w:val="000000"/>
                <w:sz w:val="28"/>
                <w:szCs w:val="28"/>
                <w:lang w:eastAsia="lv-LV"/>
              </w:rPr>
              <w:t xml:space="preserve"> </w:t>
            </w:r>
            <w:r>
              <w:rPr>
                <w:color w:val="000000"/>
                <w:sz w:val="28"/>
                <w:szCs w:val="28"/>
                <w:lang w:eastAsia="lv-LV"/>
              </w:rPr>
              <w:t>L</w:t>
            </w:r>
            <w:r w:rsidRPr="00C541AC">
              <w:rPr>
                <w:color w:val="000000"/>
                <w:sz w:val="28"/>
                <w:szCs w:val="28"/>
                <w:lang w:eastAsia="lv-LV"/>
              </w:rPr>
              <w:t>ikum</w:t>
            </w:r>
            <w:r>
              <w:rPr>
                <w:color w:val="000000"/>
                <w:sz w:val="28"/>
                <w:szCs w:val="28"/>
                <w:lang w:eastAsia="lv-LV"/>
              </w:rPr>
              <w:t>u</w:t>
            </w:r>
            <w:r w:rsidRPr="00C541AC">
              <w:rPr>
                <w:color w:val="000000"/>
                <w:sz w:val="28"/>
                <w:szCs w:val="28"/>
                <w:lang w:eastAsia="lv-LV"/>
              </w:rPr>
              <w:t xml:space="preserve"> par budžetu un finanšu vadību </w:t>
            </w:r>
            <w:r w:rsidRPr="00C541AC">
              <w:rPr>
                <w:color w:val="000000"/>
                <w:sz w:val="28"/>
                <w:szCs w:val="28"/>
                <w:u w:val="single"/>
                <w:lang w:eastAsia="lv-LV"/>
              </w:rPr>
              <w:t>budžeta finansētas institūcijas</w:t>
            </w:r>
            <w:r w:rsidRPr="00C541AC">
              <w:rPr>
                <w:color w:val="000000"/>
                <w:sz w:val="28"/>
                <w:szCs w:val="28"/>
                <w:lang w:eastAsia="lv-LV"/>
              </w:rPr>
              <w:t xml:space="preserve"> ir </w:t>
            </w:r>
            <w:r w:rsidRPr="00C541AC">
              <w:rPr>
                <w:sz w:val="28"/>
                <w:szCs w:val="28"/>
              </w:rPr>
              <w:t>budžeta iestādes, no valsts budžeta daļēji finansētas atvasinātas publiskas personas, visi pilnīgi vai daļēji tieši no valsts budžeta finansēti komersanti, biedrības vai nodibinājumi</w:t>
            </w:r>
            <w:r>
              <w:rPr>
                <w:sz w:val="28"/>
                <w:szCs w:val="28"/>
              </w:rPr>
              <w:t xml:space="preserve">. </w:t>
            </w:r>
            <w:r w:rsidRPr="00C541AC">
              <w:rPr>
                <w:color w:val="000000"/>
                <w:sz w:val="28"/>
                <w:szCs w:val="28"/>
                <w:u w:val="single"/>
                <w:lang w:eastAsia="lv-LV"/>
              </w:rPr>
              <w:t>Budžeta iestādes</w:t>
            </w:r>
            <w:r w:rsidRPr="00C541AC">
              <w:rPr>
                <w:color w:val="000000"/>
                <w:sz w:val="28"/>
                <w:szCs w:val="28"/>
                <w:lang w:eastAsia="lv-LV"/>
              </w:rPr>
              <w:t xml:space="preserve"> ir </w:t>
            </w:r>
            <w:r w:rsidRPr="00C541AC">
              <w:rPr>
                <w:sz w:val="28"/>
                <w:szCs w:val="28"/>
              </w:rPr>
              <w:t>valsts vai pašvaldības iestāde, atvasināta publiska persona, kuru pilnīgi finansē no valsts vai pašvaldības budže</w:t>
            </w:r>
            <w:r>
              <w:rPr>
                <w:sz w:val="28"/>
                <w:szCs w:val="28"/>
              </w:rPr>
              <w:t xml:space="preserve">ta, kā arī pašvaldības aģentūra. </w:t>
            </w:r>
            <w:r w:rsidRPr="00C541AC">
              <w:rPr>
                <w:color w:val="000000"/>
                <w:sz w:val="28"/>
                <w:szCs w:val="28"/>
                <w:u w:val="single"/>
                <w:lang w:eastAsia="lv-LV"/>
              </w:rPr>
              <w:t>Budžeta nefinansētas iestādes</w:t>
            </w:r>
            <w:r w:rsidRPr="00C541AC">
              <w:rPr>
                <w:color w:val="000000"/>
                <w:sz w:val="28"/>
                <w:szCs w:val="28"/>
                <w:lang w:eastAsia="lv-LV"/>
              </w:rPr>
              <w:t xml:space="preserve"> ir </w:t>
            </w:r>
            <w:r w:rsidRPr="00C541AC">
              <w:rPr>
                <w:sz w:val="28"/>
                <w:szCs w:val="28"/>
              </w:rPr>
              <w:t xml:space="preserve">Ministru kabineta locekļa padotībā esošas tiešās valsts pārvaldes iestādes, kuras pilda noteiktas valsts pārvaldes funkcijas vai uzdevumus un kuru darbība pilnībā, izņemot šajā likumā paredzēto gadījumu, tiek finansēta no to ieņēmumiem par </w:t>
            </w:r>
            <w:r w:rsidRPr="00C541AC">
              <w:rPr>
                <w:sz w:val="28"/>
                <w:szCs w:val="28"/>
              </w:rPr>
              <w:lastRenderedPageBreak/>
              <w:t>sniegtajiem maksas pakalpojumiem un citiem pašu ieņēmumiem, dāvinājumiem, ziedojumiem un ārvalstu finanšu palīdzības.</w:t>
            </w:r>
            <w:r w:rsidR="002B116F" w:rsidRPr="00C541AC">
              <w:rPr>
                <w:color w:val="000000"/>
                <w:sz w:val="28"/>
                <w:szCs w:val="28"/>
                <w:lang w:eastAsia="lv-LV"/>
              </w:rPr>
              <w:t xml:space="preserve">  </w:t>
            </w:r>
          </w:p>
          <w:p w:rsidR="00D84C51" w:rsidRDefault="00C541AC" w:rsidP="001E276D">
            <w:pPr>
              <w:suppressAutoHyphens w:val="0"/>
              <w:jc w:val="both"/>
              <w:rPr>
                <w:color w:val="000000"/>
                <w:sz w:val="28"/>
                <w:szCs w:val="28"/>
                <w:lang w:eastAsia="lv-LV"/>
              </w:rPr>
            </w:pPr>
            <w:r>
              <w:rPr>
                <w:color w:val="000000"/>
                <w:sz w:val="28"/>
                <w:szCs w:val="28"/>
                <w:lang w:eastAsia="lv-LV"/>
              </w:rPr>
              <w:t xml:space="preserve">    </w:t>
            </w:r>
            <w:r w:rsidR="002B116F" w:rsidRPr="00C541AC">
              <w:rPr>
                <w:color w:val="000000"/>
                <w:sz w:val="28"/>
                <w:szCs w:val="28"/>
                <w:lang w:eastAsia="lv-LV"/>
              </w:rPr>
              <w:t xml:space="preserve">   </w:t>
            </w:r>
            <w:r w:rsidR="00D84C51" w:rsidRPr="00C541AC">
              <w:rPr>
                <w:color w:val="000000"/>
                <w:sz w:val="28"/>
                <w:szCs w:val="28"/>
                <w:lang w:eastAsia="lv-LV"/>
              </w:rPr>
              <w:t>Nodarījuma</w:t>
            </w:r>
            <w:r w:rsidR="00D84C51">
              <w:rPr>
                <w:color w:val="000000"/>
                <w:sz w:val="28"/>
                <w:szCs w:val="28"/>
                <w:lang w:eastAsia="lv-LV"/>
              </w:rPr>
              <w:t xml:space="preserve"> sekas ir ievērojam</w:t>
            </w:r>
            <w:r w:rsidR="00CC7F70">
              <w:rPr>
                <w:color w:val="000000"/>
                <w:sz w:val="28"/>
                <w:szCs w:val="28"/>
                <w:lang w:eastAsia="lv-LV"/>
              </w:rPr>
              <w:t>a</w:t>
            </w:r>
            <w:r w:rsidR="00D84C51">
              <w:rPr>
                <w:color w:val="000000"/>
                <w:sz w:val="28"/>
                <w:szCs w:val="28"/>
                <w:lang w:eastAsia="lv-LV"/>
              </w:rPr>
              <w:t>s</w:t>
            </w:r>
            <w:r w:rsidR="004C1236">
              <w:rPr>
                <w:color w:val="000000"/>
                <w:sz w:val="28"/>
                <w:szCs w:val="28"/>
                <w:lang w:eastAsia="lv-LV"/>
              </w:rPr>
              <w:t xml:space="preserve"> </w:t>
            </w:r>
            <w:r w:rsidR="00386227">
              <w:rPr>
                <w:color w:val="000000"/>
                <w:sz w:val="28"/>
                <w:szCs w:val="28"/>
                <w:lang w:eastAsia="lv-LV"/>
              </w:rPr>
              <w:t>–</w:t>
            </w:r>
            <w:r w:rsidR="00D84C51">
              <w:rPr>
                <w:color w:val="000000"/>
                <w:sz w:val="28"/>
                <w:szCs w:val="28"/>
                <w:lang w:eastAsia="lv-LV"/>
              </w:rPr>
              <w:t xml:space="preserve"> ja </w:t>
            </w:r>
            <w:r w:rsidR="003B60B7" w:rsidRPr="009140A4">
              <w:rPr>
                <w:rFonts w:eastAsia="Calibri"/>
                <w:sz w:val="28"/>
                <w:szCs w:val="28"/>
                <w:lang w:eastAsia="en-US"/>
              </w:rPr>
              <w:t>budžeta finansētas institūcijas un budžeta nefinansētas iestādes</w:t>
            </w:r>
            <w:r w:rsidR="003B60B7" w:rsidDel="009140A4">
              <w:rPr>
                <w:color w:val="000000"/>
                <w:sz w:val="28"/>
                <w:szCs w:val="28"/>
                <w:lang w:eastAsia="lv-LV"/>
              </w:rPr>
              <w:t xml:space="preserve"> </w:t>
            </w:r>
            <w:r w:rsidR="003B60B7">
              <w:rPr>
                <w:color w:val="000000"/>
                <w:sz w:val="28"/>
                <w:szCs w:val="28"/>
                <w:lang w:eastAsia="lv-LV"/>
              </w:rPr>
              <w:t>vadītājs</w:t>
            </w:r>
            <w:r w:rsidR="00D06F23">
              <w:rPr>
                <w:color w:val="000000"/>
                <w:sz w:val="28"/>
                <w:szCs w:val="28"/>
                <w:lang w:eastAsia="lv-LV"/>
              </w:rPr>
              <w:t xml:space="preserve"> (</w:t>
            </w:r>
            <w:r w:rsidR="008833D6">
              <w:rPr>
                <w:color w:val="000000"/>
                <w:sz w:val="28"/>
                <w:szCs w:val="28"/>
                <w:lang w:eastAsia="lv-LV"/>
              </w:rPr>
              <w:t>piemēr</w:t>
            </w:r>
            <w:r w:rsidR="004C1236">
              <w:rPr>
                <w:color w:val="000000"/>
                <w:sz w:val="28"/>
                <w:szCs w:val="28"/>
                <w:lang w:eastAsia="lv-LV"/>
              </w:rPr>
              <w:t>a</w:t>
            </w:r>
            <w:r w:rsidR="008833D6">
              <w:rPr>
                <w:color w:val="000000"/>
                <w:sz w:val="28"/>
                <w:szCs w:val="28"/>
                <w:lang w:eastAsia="lv-LV"/>
              </w:rPr>
              <w:t>m</w:t>
            </w:r>
            <w:r w:rsidR="00784138">
              <w:rPr>
                <w:color w:val="000000"/>
                <w:sz w:val="28"/>
                <w:szCs w:val="28"/>
                <w:lang w:eastAsia="lv-LV"/>
              </w:rPr>
              <w:t>,</w:t>
            </w:r>
            <w:r w:rsidR="00D06F23">
              <w:rPr>
                <w:color w:val="000000"/>
                <w:sz w:val="28"/>
                <w:szCs w:val="28"/>
                <w:lang w:eastAsia="lv-LV"/>
              </w:rPr>
              <w:t xml:space="preserve"> </w:t>
            </w:r>
            <w:r w:rsidR="00D84C51">
              <w:rPr>
                <w:color w:val="000000"/>
                <w:sz w:val="28"/>
                <w:szCs w:val="28"/>
                <w:lang w:eastAsia="lv-LV"/>
              </w:rPr>
              <w:t>pašvaldības vadītāj</w:t>
            </w:r>
            <w:r w:rsidR="003B60B7">
              <w:rPr>
                <w:color w:val="000000"/>
                <w:sz w:val="28"/>
                <w:szCs w:val="28"/>
                <w:lang w:eastAsia="lv-LV"/>
              </w:rPr>
              <w:t>s</w:t>
            </w:r>
            <w:r w:rsidR="00D06F23">
              <w:rPr>
                <w:color w:val="000000"/>
                <w:sz w:val="28"/>
                <w:szCs w:val="28"/>
                <w:lang w:eastAsia="lv-LV"/>
              </w:rPr>
              <w:t>)</w:t>
            </w:r>
            <w:r w:rsidR="00D84C51">
              <w:rPr>
                <w:color w:val="000000"/>
                <w:sz w:val="28"/>
                <w:szCs w:val="28"/>
                <w:lang w:eastAsia="lv-LV"/>
              </w:rPr>
              <w:t xml:space="preserve"> ir pieļāvis </w:t>
            </w:r>
            <w:r w:rsidR="00BE27E7">
              <w:rPr>
                <w:color w:val="000000"/>
                <w:sz w:val="28"/>
                <w:szCs w:val="28"/>
                <w:lang w:eastAsia="lv-LV"/>
              </w:rPr>
              <w:t xml:space="preserve">normatīvo aktu prasību pārkāpumu, neiesniedzot noteiktajā termiņā gada pārskatu, tad </w:t>
            </w:r>
            <w:r w:rsidR="002015A1">
              <w:rPr>
                <w:color w:val="000000"/>
                <w:sz w:val="28"/>
                <w:szCs w:val="28"/>
                <w:lang w:eastAsia="lv-LV"/>
              </w:rPr>
              <w:t>(</w:t>
            </w:r>
            <w:r w:rsidR="00BE27E7">
              <w:rPr>
                <w:color w:val="000000"/>
                <w:sz w:val="28"/>
                <w:szCs w:val="28"/>
                <w:lang w:eastAsia="lv-LV"/>
              </w:rPr>
              <w:t>pašvaldības</w:t>
            </w:r>
            <w:r w:rsidR="002015A1">
              <w:rPr>
                <w:color w:val="000000"/>
                <w:sz w:val="28"/>
                <w:szCs w:val="28"/>
                <w:lang w:eastAsia="lv-LV"/>
              </w:rPr>
              <w:t>)</w:t>
            </w:r>
            <w:r w:rsidR="00BE27E7">
              <w:rPr>
                <w:color w:val="000000"/>
                <w:sz w:val="28"/>
                <w:szCs w:val="28"/>
                <w:lang w:eastAsia="lv-LV"/>
              </w:rPr>
              <w:t xml:space="preserve"> </w:t>
            </w:r>
            <w:r w:rsidR="00BE27E7" w:rsidRPr="005F1337">
              <w:rPr>
                <w:color w:val="000000"/>
                <w:sz w:val="28"/>
                <w:szCs w:val="28"/>
                <w:lang w:eastAsia="lv-LV"/>
              </w:rPr>
              <w:t>gada pārskatu</w:t>
            </w:r>
            <w:r w:rsidR="00BE27E7">
              <w:rPr>
                <w:color w:val="000000"/>
                <w:sz w:val="28"/>
                <w:szCs w:val="28"/>
                <w:lang w:eastAsia="lv-LV"/>
              </w:rPr>
              <w:t xml:space="preserve"> iesniegšanas termiņa kavējums apdraud savlaicīg</w:t>
            </w:r>
            <w:r w:rsidR="001014E1">
              <w:rPr>
                <w:color w:val="000000"/>
                <w:sz w:val="28"/>
                <w:szCs w:val="28"/>
                <w:lang w:eastAsia="lv-LV"/>
              </w:rPr>
              <w:t>u</w:t>
            </w:r>
            <w:r w:rsidR="00BE27E7">
              <w:rPr>
                <w:color w:val="000000"/>
                <w:sz w:val="28"/>
                <w:szCs w:val="28"/>
                <w:lang w:eastAsia="lv-LV"/>
              </w:rPr>
              <w:t xml:space="preserve"> un kvalitatīv</w:t>
            </w:r>
            <w:r w:rsidR="001014E1">
              <w:rPr>
                <w:color w:val="000000"/>
                <w:sz w:val="28"/>
                <w:szCs w:val="28"/>
                <w:lang w:eastAsia="lv-LV"/>
              </w:rPr>
              <w:t>u</w:t>
            </w:r>
            <w:r w:rsidR="00BE27E7">
              <w:rPr>
                <w:color w:val="000000"/>
                <w:sz w:val="28"/>
                <w:szCs w:val="28"/>
                <w:lang w:eastAsia="lv-LV"/>
              </w:rPr>
              <w:t xml:space="preserve"> saimnieciskā gada pārskatu </w:t>
            </w:r>
            <w:r w:rsidR="001014E1">
              <w:rPr>
                <w:color w:val="000000"/>
                <w:sz w:val="28"/>
                <w:szCs w:val="28"/>
                <w:lang w:eastAsia="lv-LV"/>
              </w:rPr>
              <w:t xml:space="preserve">sagatavošanu un </w:t>
            </w:r>
            <w:r w:rsidR="00BE27E7">
              <w:rPr>
                <w:color w:val="000000"/>
                <w:sz w:val="28"/>
                <w:szCs w:val="28"/>
                <w:lang w:eastAsia="lv-LV"/>
              </w:rPr>
              <w:t xml:space="preserve">iesniegšanu Valsts kontrolei </w:t>
            </w:r>
            <w:r w:rsidR="00BE27E7" w:rsidRPr="005F1337">
              <w:rPr>
                <w:color w:val="000000"/>
                <w:sz w:val="28"/>
                <w:szCs w:val="28"/>
                <w:lang w:eastAsia="lv-LV"/>
              </w:rPr>
              <w:t xml:space="preserve">līdz </w:t>
            </w:r>
            <w:r w:rsidR="00541BBD" w:rsidRPr="005F1337">
              <w:rPr>
                <w:color w:val="000000"/>
                <w:sz w:val="28"/>
                <w:szCs w:val="28"/>
                <w:lang w:eastAsia="lv-LV"/>
              </w:rPr>
              <w:t>pārskata gadam sekojošā saimnieciskā gada</w:t>
            </w:r>
            <w:r w:rsidR="00541BBD" w:rsidRPr="005F1337">
              <w:rPr>
                <w:b/>
                <w:color w:val="000000"/>
                <w:sz w:val="28"/>
                <w:szCs w:val="28"/>
                <w:lang w:eastAsia="lv-LV"/>
              </w:rPr>
              <w:t xml:space="preserve"> </w:t>
            </w:r>
            <w:r w:rsidR="00BE27E7" w:rsidRPr="00317575">
              <w:rPr>
                <w:color w:val="000000"/>
                <w:sz w:val="28"/>
                <w:szCs w:val="28"/>
                <w:lang w:eastAsia="lv-LV"/>
              </w:rPr>
              <w:t>1.jūlijam</w:t>
            </w:r>
            <w:r w:rsidR="005F16F6">
              <w:rPr>
                <w:color w:val="000000"/>
                <w:sz w:val="28"/>
                <w:szCs w:val="28"/>
                <w:lang w:eastAsia="lv-LV"/>
              </w:rPr>
              <w:t xml:space="preserve"> atbilstoši Likum</w:t>
            </w:r>
            <w:r w:rsidR="00241AD3">
              <w:rPr>
                <w:color w:val="000000"/>
                <w:sz w:val="28"/>
                <w:szCs w:val="28"/>
                <w:lang w:eastAsia="lv-LV"/>
              </w:rPr>
              <w:t>a</w:t>
            </w:r>
            <w:r w:rsidR="005F16F6">
              <w:rPr>
                <w:color w:val="000000"/>
                <w:sz w:val="28"/>
                <w:szCs w:val="28"/>
                <w:lang w:eastAsia="lv-LV"/>
              </w:rPr>
              <w:t xml:space="preserve"> par budžetu un finanšu vadību 32.panta pirmajā daļā noteiktajam</w:t>
            </w:r>
            <w:r w:rsidR="00BE27E7">
              <w:rPr>
                <w:color w:val="000000"/>
                <w:sz w:val="28"/>
                <w:szCs w:val="28"/>
                <w:lang w:eastAsia="lv-LV"/>
              </w:rPr>
              <w:t>.</w:t>
            </w:r>
          </w:p>
          <w:p w:rsidR="008172B9" w:rsidRDefault="003564E1" w:rsidP="001E276D">
            <w:pPr>
              <w:suppressAutoHyphens w:val="0"/>
              <w:jc w:val="both"/>
              <w:rPr>
                <w:color w:val="000000"/>
                <w:sz w:val="28"/>
                <w:szCs w:val="28"/>
                <w:lang w:eastAsia="lv-LV"/>
              </w:rPr>
            </w:pPr>
            <w:r w:rsidRPr="003564E1">
              <w:rPr>
                <w:color w:val="000000"/>
                <w:sz w:val="28"/>
                <w:szCs w:val="28"/>
                <w:lang w:eastAsia="lv-LV"/>
              </w:rPr>
              <w:t xml:space="preserve">     </w:t>
            </w:r>
            <w:r w:rsidR="00E11F96">
              <w:rPr>
                <w:color w:val="000000"/>
                <w:sz w:val="28"/>
                <w:szCs w:val="28"/>
                <w:lang w:eastAsia="lv-LV"/>
              </w:rPr>
              <w:t>Projekts</w:t>
            </w:r>
            <w:r w:rsidRPr="001E276D">
              <w:rPr>
                <w:bCs/>
                <w:sz w:val="28"/>
                <w:szCs w:val="28"/>
                <w:lang w:eastAsia="lv-LV"/>
              </w:rPr>
              <w:t xml:space="preserve"> </w:t>
            </w:r>
            <w:r w:rsidRPr="001E276D">
              <w:rPr>
                <w:color w:val="000000"/>
                <w:sz w:val="28"/>
                <w:szCs w:val="28"/>
                <w:lang w:eastAsia="lv-LV"/>
              </w:rPr>
              <w:t xml:space="preserve">ir sagatavots </w:t>
            </w:r>
            <w:r w:rsidR="00241AD3">
              <w:rPr>
                <w:color w:val="000000"/>
                <w:sz w:val="28"/>
                <w:szCs w:val="28"/>
                <w:lang w:eastAsia="lv-LV"/>
              </w:rPr>
              <w:t>ievērojot</w:t>
            </w:r>
            <w:r w:rsidR="00241AD3" w:rsidRPr="001E276D">
              <w:rPr>
                <w:color w:val="000000"/>
                <w:sz w:val="28"/>
                <w:szCs w:val="28"/>
                <w:lang w:eastAsia="lv-LV"/>
              </w:rPr>
              <w:t xml:space="preserve"> </w:t>
            </w:r>
            <w:r w:rsidR="001E276D" w:rsidRPr="001E276D">
              <w:rPr>
                <w:color w:val="000000"/>
                <w:sz w:val="28"/>
                <w:szCs w:val="28"/>
                <w:lang w:eastAsia="lv-LV"/>
              </w:rPr>
              <w:t>Ministru kabineta 2014. gada 22. aprīļa sēdes protokola Nr.24 26.§ informatīvā ziņojuma „Nozaru administratīvo pārkāpumu kodifikācijas ieviešanas sistēma” (turpmāk – informatīvais</w:t>
            </w:r>
            <w:r w:rsidR="00007670">
              <w:rPr>
                <w:color w:val="000000"/>
                <w:sz w:val="28"/>
                <w:szCs w:val="28"/>
                <w:lang w:eastAsia="lv-LV"/>
              </w:rPr>
              <w:t xml:space="preserve"> z</w:t>
            </w:r>
            <w:r w:rsidR="001E276D" w:rsidRPr="001E276D">
              <w:rPr>
                <w:color w:val="000000"/>
                <w:sz w:val="28"/>
                <w:szCs w:val="28"/>
                <w:lang w:eastAsia="lv-LV"/>
              </w:rPr>
              <w:t xml:space="preserve">iņojums) </w:t>
            </w:r>
            <w:r w:rsidRPr="001E276D">
              <w:rPr>
                <w:color w:val="000000"/>
                <w:sz w:val="28"/>
                <w:szCs w:val="28"/>
                <w:lang w:eastAsia="lv-LV"/>
              </w:rPr>
              <w:t>minēt</w:t>
            </w:r>
            <w:r w:rsidR="00241AD3">
              <w:rPr>
                <w:color w:val="000000"/>
                <w:sz w:val="28"/>
                <w:szCs w:val="28"/>
                <w:lang w:eastAsia="lv-LV"/>
              </w:rPr>
              <w:t>ās</w:t>
            </w:r>
            <w:r w:rsidR="00C41CF3">
              <w:rPr>
                <w:color w:val="000000"/>
                <w:sz w:val="28"/>
                <w:szCs w:val="28"/>
                <w:lang w:eastAsia="lv-LV"/>
              </w:rPr>
              <w:t xml:space="preserve"> prasīb</w:t>
            </w:r>
            <w:r w:rsidR="00241AD3">
              <w:rPr>
                <w:color w:val="000000"/>
                <w:sz w:val="28"/>
                <w:szCs w:val="28"/>
                <w:lang w:eastAsia="lv-LV"/>
              </w:rPr>
              <w:t>as</w:t>
            </w:r>
            <w:r w:rsidR="00C41CF3">
              <w:rPr>
                <w:color w:val="000000"/>
                <w:sz w:val="28"/>
                <w:szCs w:val="28"/>
                <w:lang w:eastAsia="lv-LV"/>
              </w:rPr>
              <w:t xml:space="preserve"> un rekomendācij</w:t>
            </w:r>
            <w:r w:rsidR="00241AD3">
              <w:rPr>
                <w:color w:val="000000"/>
                <w:sz w:val="28"/>
                <w:szCs w:val="28"/>
                <w:lang w:eastAsia="lv-LV"/>
              </w:rPr>
              <w:t>as</w:t>
            </w:r>
            <w:r w:rsidR="00C41CF3">
              <w:rPr>
                <w:color w:val="000000"/>
                <w:sz w:val="28"/>
                <w:szCs w:val="28"/>
                <w:lang w:eastAsia="lv-LV"/>
              </w:rPr>
              <w:t>.</w:t>
            </w:r>
          </w:p>
          <w:p w:rsidR="008A7E80" w:rsidRDefault="002D4E67" w:rsidP="001E276D">
            <w:pPr>
              <w:suppressAutoHyphens w:val="0"/>
              <w:jc w:val="both"/>
              <w:rPr>
                <w:color w:val="000000"/>
                <w:sz w:val="28"/>
                <w:szCs w:val="28"/>
                <w:lang w:eastAsia="lv-LV"/>
              </w:rPr>
            </w:pPr>
            <w:r>
              <w:rPr>
                <w:color w:val="000000"/>
                <w:sz w:val="28"/>
                <w:szCs w:val="28"/>
                <w:lang w:eastAsia="lv-LV"/>
              </w:rPr>
              <w:t xml:space="preserve">       </w:t>
            </w:r>
            <w:r w:rsidR="00A2062A">
              <w:rPr>
                <w:color w:val="000000"/>
                <w:sz w:val="28"/>
                <w:szCs w:val="28"/>
                <w:lang w:eastAsia="lv-LV"/>
              </w:rPr>
              <w:t>P</w:t>
            </w:r>
            <w:r w:rsidR="003564E1" w:rsidRPr="003564E1">
              <w:rPr>
                <w:color w:val="000000"/>
                <w:sz w:val="28"/>
                <w:szCs w:val="28"/>
                <w:lang w:eastAsia="lv-LV"/>
              </w:rPr>
              <w:t xml:space="preserve">rojekta pieņemšana nodrošinās informatīvajā ziņojumā minēto nostādņu ieviešanu un </w:t>
            </w:r>
            <w:r w:rsidR="009B5FB5" w:rsidRPr="003564E1">
              <w:rPr>
                <w:sz w:val="28"/>
                <w:szCs w:val="28"/>
              </w:rPr>
              <w:t xml:space="preserve">Ministru kabineta 2013.gada 4.februāra rīkojuma Nr.38 “Par </w:t>
            </w:r>
            <w:r w:rsidR="00732CCC">
              <w:rPr>
                <w:sz w:val="28"/>
                <w:szCs w:val="28"/>
              </w:rPr>
              <w:t>A</w:t>
            </w:r>
            <w:r w:rsidR="009B5FB5" w:rsidRPr="003564E1">
              <w:rPr>
                <w:sz w:val="28"/>
                <w:szCs w:val="28"/>
              </w:rPr>
              <w:t>dministratīvo sodu sistēmas attīstības koncepciju”</w:t>
            </w:r>
            <w:r w:rsidR="009B5FB5">
              <w:rPr>
                <w:sz w:val="28"/>
                <w:szCs w:val="28"/>
              </w:rPr>
              <w:t xml:space="preserve"> 9.punkta izpildi</w:t>
            </w:r>
            <w:r w:rsidR="003564E1" w:rsidRPr="003564E1">
              <w:rPr>
                <w:color w:val="000000"/>
                <w:sz w:val="28"/>
                <w:szCs w:val="28"/>
                <w:lang w:eastAsia="lv-LV"/>
              </w:rPr>
              <w:t>.</w:t>
            </w:r>
          </w:p>
          <w:p w:rsidR="00F65EA1" w:rsidRDefault="00AF24EF" w:rsidP="00241AD3">
            <w:pPr>
              <w:suppressAutoHyphens w:val="0"/>
              <w:jc w:val="both"/>
              <w:rPr>
                <w:color w:val="000000"/>
                <w:sz w:val="28"/>
                <w:szCs w:val="28"/>
                <w:lang w:eastAsia="lv-LV"/>
              </w:rPr>
            </w:pPr>
            <w:r>
              <w:rPr>
                <w:color w:val="000000"/>
                <w:sz w:val="28"/>
                <w:szCs w:val="28"/>
                <w:lang w:eastAsia="lv-LV"/>
              </w:rPr>
              <w:t xml:space="preserve">       </w:t>
            </w:r>
            <w:r w:rsidR="00A2062A">
              <w:rPr>
                <w:color w:val="000000"/>
                <w:sz w:val="28"/>
                <w:szCs w:val="28"/>
                <w:lang w:eastAsia="lv-LV"/>
              </w:rPr>
              <w:t>P</w:t>
            </w:r>
            <w:r w:rsidR="00F65EA1">
              <w:rPr>
                <w:color w:val="000000"/>
                <w:sz w:val="28"/>
                <w:szCs w:val="28"/>
                <w:lang w:eastAsia="lv-LV"/>
              </w:rPr>
              <w:t>rojekt</w:t>
            </w:r>
            <w:r w:rsidR="00241AD3">
              <w:rPr>
                <w:color w:val="000000"/>
                <w:sz w:val="28"/>
                <w:szCs w:val="28"/>
                <w:lang w:eastAsia="lv-LV"/>
              </w:rPr>
              <w:t>a</w:t>
            </w:r>
            <w:r w:rsidR="00F65EA1">
              <w:rPr>
                <w:color w:val="000000"/>
                <w:sz w:val="28"/>
                <w:szCs w:val="28"/>
                <w:lang w:eastAsia="lv-LV"/>
              </w:rPr>
              <w:t xml:space="preserve"> </w:t>
            </w:r>
            <w:r w:rsidR="00241AD3" w:rsidRPr="005F1337">
              <w:rPr>
                <w:color w:val="000000"/>
                <w:sz w:val="28"/>
                <w:szCs w:val="28"/>
                <w:lang w:eastAsia="lv-LV"/>
              </w:rPr>
              <w:t>spēkā stāšanās paredzēta</w:t>
            </w:r>
            <w:r w:rsidR="00F65EA1">
              <w:rPr>
                <w:color w:val="000000"/>
                <w:sz w:val="28"/>
                <w:szCs w:val="28"/>
                <w:lang w:eastAsia="lv-LV"/>
              </w:rPr>
              <w:t xml:space="preserve"> </w:t>
            </w:r>
            <w:r w:rsidR="00F65EA1" w:rsidRPr="00541BBD">
              <w:rPr>
                <w:color w:val="000000"/>
                <w:sz w:val="28"/>
                <w:szCs w:val="28"/>
                <w:lang w:eastAsia="lv-LV"/>
              </w:rPr>
              <w:t>vienlaicīgi ar Administr</w:t>
            </w:r>
            <w:r w:rsidR="001C540D" w:rsidRPr="00541BBD">
              <w:rPr>
                <w:color w:val="000000"/>
                <w:sz w:val="28"/>
                <w:szCs w:val="28"/>
                <w:lang w:eastAsia="lv-LV"/>
              </w:rPr>
              <w:t>atīvo pārkāpumu procesa likumu</w:t>
            </w:r>
            <w:r w:rsidR="00F65EA1" w:rsidRPr="00541BBD">
              <w:rPr>
                <w:color w:val="000000"/>
                <w:sz w:val="28"/>
                <w:szCs w:val="28"/>
                <w:lang w:eastAsia="lv-LV"/>
              </w:rPr>
              <w:t>.</w:t>
            </w:r>
          </w:p>
          <w:p w:rsidR="00E8414D" w:rsidRPr="0054178A" w:rsidRDefault="00E8414D" w:rsidP="00241AD3">
            <w:pPr>
              <w:suppressAutoHyphens w:val="0"/>
              <w:jc w:val="both"/>
              <w:rPr>
                <w:sz w:val="28"/>
                <w:szCs w:val="28"/>
              </w:rPr>
            </w:pPr>
          </w:p>
        </w:tc>
      </w:tr>
      <w:tr w:rsidR="008B6F82" w:rsidRPr="0054178A" w:rsidTr="00A94036">
        <w:trPr>
          <w:trHeight w:val="476"/>
          <w:tblCellSpacing w:w="0" w:type="dxa"/>
        </w:trPr>
        <w:tc>
          <w:tcPr>
            <w:tcW w:w="128" w:type="pct"/>
            <w:tcBorders>
              <w:top w:val="outset" w:sz="6" w:space="0" w:color="auto"/>
              <w:left w:val="outset" w:sz="6" w:space="0" w:color="auto"/>
              <w:bottom w:val="outset" w:sz="6" w:space="0" w:color="auto"/>
              <w:right w:val="outset" w:sz="6" w:space="0" w:color="auto"/>
            </w:tcBorders>
          </w:tcPr>
          <w:p w:rsidR="008B6F82" w:rsidRPr="0054178A" w:rsidRDefault="003E7A49" w:rsidP="0054178A">
            <w:pPr>
              <w:jc w:val="center"/>
              <w:rPr>
                <w:sz w:val="28"/>
                <w:szCs w:val="28"/>
              </w:rPr>
            </w:pPr>
            <w:r w:rsidRPr="0054178A">
              <w:rPr>
                <w:sz w:val="28"/>
                <w:szCs w:val="28"/>
              </w:rPr>
              <w:lastRenderedPageBreak/>
              <w:t>3</w:t>
            </w:r>
            <w:r w:rsidR="008B6F82" w:rsidRPr="0054178A">
              <w:rPr>
                <w:sz w:val="28"/>
                <w:szCs w:val="28"/>
              </w:rPr>
              <w:t>.</w:t>
            </w:r>
          </w:p>
        </w:tc>
        <w:tc>
          <w:tcPr>
            <w:tcW w:w="1643" w:type="pct"/>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 Projekta izstrādē iesaistītās institūcijas</w:t>
            </w:r>
          </w:p>
        </w:tc>
        <w:tc>
          <w:tcPr>
            <w:tcW w:w="3229" w:type="pct"/>
            <w:tcBorders>
              <w:top w:val="outset" w:sz="6" w:space="0" w:color="auto"/>
              <w:left w:val="outset" w:sz="6" w:space="0" w:color="auto"/>
              <w:bottom w:val="outset" w:sz="6" w:space="0" w:color="auto"/>
              <w:right w:val="outset" w:sz="6" w:space="0" w:color="auto"/>
            </w:tcBorders>
          </w:tcPr>
          <w:p w:rsidR="008B6F82" w:rsidRDefault="00B31BD5" w:rsidP="00B31BD5">
            <w:pPr>
              <w:ind w:left="57" w:right="57" w:firstLine="354"/>
              <w:jc w:val="both"/>
              <w:rPr>
                <w:sz w:val="28"/>
                <w:szCs w:val="28"/>
                <w:lang w:eastAsia="lv-LV"/>
              </w:rPr>
            </w:pPr>
            <w:r>
              <w:rPr>
                <w:sz w:val="28"/>
                <w:szCs w:val="28"/>
                <w:lang w:eastAsia="lv-LV"/>
              </w:rPr>
              <w:t>Valsts kase, Finanšu ministrija</w:t>
            </w:r>
            <w:r w:rsidR="000721E7" w:rsidRPr="00B24797">
              <w:rPr>
                <w:sz w:val="28"/>
                <w:szCs w:val="28"/>
                <w:lang w:eastAsia="lv-LV"/>
              </w:rPr>
              <w:t>.</w:t>
            </w:r>
          </w:p>
          <w:p w:rsidR="0082217D" w:rsidRDefault="0082217D" w:rsidP="001C540D">
            <w:pPr>
              <w:ind w:left="57" w:right="57" w:firstLine="354"/>
              <w:jc w:val="both"/>
              <w:rPr>
                <w:sz w:val="28"/>
                <w:szCs w:val="28"/>
              </w:rPr>
            </w:pPr>
            <w:r w:rsidRPr="0082217D">
              <w:rPr>
                <w:sz w:val="28"/>
                <w:szCs w:val="28"/>
              </w:rPr>
              <w:t xml:space="preserve">Likumprojekts </w:t>
            </w:r>
            <w:r w:rsidR="001C540D" w:rsidRPr="00293EB0">
              <w:rPr>
                <w:sz w:val="28"/>
                <w:szCs w:val="28"/>
              </w:rPr>
              <w:t>ir</w:t>
            </w:r>
            <w:r w:rsidRPr="00293EB0">
              <w:rPr>
                <w:sz w:val="28"/>
                <w:szCs w:val="28"/>
              </w:rPr>
              <w:t xml:space="preserve"> izvērtēts</w:t>
            </w:r>
            <w:r w:rsidRPr="0082217D">
              <w:rPr>
                <w:sz w:val="28"/>
                <w:szCs w:val="28"/>
              </w:rPr>
              <w:t xml:space="preserve"> Tieslietu ministrijas </w:t>
            </w:r>
            <w:r w:rsidR="0081674E">
              <w:rPr>
                <w:sz w:val="28"/>
                <w:szCs w:val="28"/>
              </w:rPr>
              <w:t xml:space="preserve">Latvijas administratīvo pārkāpumu kodeksa </w:t>
            </w:r>
            <w:r w:rsidRPr="0082217D">
              <w:rPr>
                <w:sz w:val="28"/>
                <w:szCs w:val="28"/>
              </w:rPr>
              <w:t xml:space="preserve">pastāvīgās darba grupas sanāksmē, un ieteikumi </w:t>
            </w:r>
            <w:r w:rsidR="001C540D" w:rsidRPr="00293EB0">
              <w:rPr>
                <w:sz w:val="28"/>
                <w:szCs w:val="28"/>
              </w:rPr>
              <w:t>ir</w:t>
            </w:r>
            <w:r w:rsidRPr="0082217D">
              <w:rPr>
                <w:sz w:val="28"/>
                <w:szCs w:val="28"/>
              </w:rPr>
              <w:t xml:space="preserve"> ņemti vērā.</w:t>
            </w:r>
          </w:p>
          <w:p w:rsidR="00E8414D" w:rsidRPr="0082217D" w:rsidRDefault="00E8414D" w:rsidP="001C540D">
            <w:pPr>
              <w:ind w:left="57" w:right="57" w:firstLine="354"/>
              <w:jc w:val="both"/>
              <w:rPr>
                <w:sz w:val="28"/>
                <w:szCs w:val="28"/>
              </w:rPr>
            </w:pPr>
          </w:p>
        </w:tc>
      </w:tr>
      <w:tr w:rsidR="008B6F82" w:rsidRPr="0054178A" w:rsidTr="00A94036">
        <w:trPr>
          <w:trHeight w:val="506"/>
          <w:tblCellSpacing w:w="0" w:type="dxa"/>
        </w:trPr>
        <w:tc>
          <w:tcPr>
            <w:tcW w:w="128" w:type="pct"/>
            <w:tcBorders>
              <w:top w:val="outset" w:sz="6" w:space="0" w:color="auto"/>
              <w:left w:val="outset" w:sz="6" w:space="0" w:color="auto"/>
              <w:bottom w:val="outset" w:sz="6" w:space="0" w:color="auto"/>
              <w:right w:val="outset" w:sz="6" w:space="0" w:color="auto"/>
            </w:tcBorders>
          </w:tcPr>
          <w:p w:rsidR="008B6F82" w:rsidRPr="0054178A" w:rsidRDefault="008207E7" w:rsidP="0054178A">
            <w:pPr>
              <w:jc w:val="center"/>
              <w:rPr>
                <w:sz w:val="28"/>
                <w:szCs w:val="28"/>
              </w:rPr>
            </w:pPr>
            <w:r w:rsidRPr="0054178A">
              <w:rPr>
                <w:sz w:val="28"/>
                <w:szCs w:val="28"/>
              </w:rPr>
              <w:t>4</w:t>
            </w:r>
            <w:r w:rsidR="008B6F82" w:rsidRPr="0054178A">
              <w:rPr>
                <w:sz w:val="28"/>
                <w:szCs w:val="28"/>
              </w:rPr>
              <w:t>.</w:t>
            </w:r>
          </w:p>
        </w:tc>
        <w:tc>
          <w:tcPr>
            <w:tcW w:w="1643" w:type="pct"/>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 Cita informācija</w:t>
            </w:r>
          </w:p>
        </w:tc>
        <w:tc>
          <w:tcPr>
            <w:tcW w:w="3229" w:type="pct"/>
            <w:tcBorders>
              <w:top w:val="outset" w:sz="6" w:space="0" w:color="auto"/>
              <w:left w:val="outset" w:sz="6" w:space="0" w:color="auto"/>
              <w:bottom w:val="outset" w:sz="6" w:space="0" w:color="auto"/>
              <w:right w:val="outset" w:sz="6" w:space="0" w:color="auto"/>
            </w:tcBorders>
          </w:tcPr>
          <w:p w:rsidR="008B6F82" w:rsidRPr="0054178A" w:rsidRDefault="00241AD3" w:rsidP="0054178A">
            <w:pPr>
              <w:tabs>
                <w:tab w:val="left" w:pos="438"/>
              </w:tabs>
              <w:ind w:firstLine="411"/>
              <w:jc w:val="both"/>
              <w:rPr>
                <w:sz w:val="28"/>
                <w:szCs w:val="28"/>
              </w:rPr>
            </w:pPr>
            <w:r w:rsidRPr="005F1337">
              <w:rPr>
                <w:sz w:val="28"/>
                <w:szCs w:val="28"/>
              </w:rPr>
              <w:t>Projektā paredzētie pasākumi tiks īstenoti piešķirto budžeta līdzekļu ietvaros</w:t>
            </w:r>
            <w:r>
              <w:rPr>
                <w:sz w:val="28"/>
                <w:szCs w:val="28"/>
              </w:rPr>
              <w:t>.</w:t>
            </w:r>
          </w:p>
        </w:tc>
      </w:tr>
    </w:tbl>
    <w:tbl>
      <w:tblPr>
        <w:tblpPr w:leftFromText="180" w:rightFromText="180" w:vertAnchor="text" w:horzAnchor="margin" w:tblpXSpec="center" w:tblpY="149"/>
        <w:tblW w:w="950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firstRow="0" w:lastRow="0" w:firstColumn="0" w:lastColumn="0" w:noHBand="0" w:noVBand="0"/>
      </w:tblPr>
      <w:tblGrid>
        <w:gridCol w:w="568"/>
        <w:gridCol w:w="2976"/>
        <w:gridCol w:w="5959"/>
      </w:tblGrid>
      <w:tr w:rsidR="008B6F82" w:rsidRPr="0054178A" w:rsidTr="00D62B59">
        <w:trPr>
          <w:trHeight w:val="560"/>
        </w:trPr>
        <w:tc>
          <w:tcPr>
            <w:tcW w:w="9503" w:type="dxa"/>
            <w:gridSpan w:val="3"/>
            <w:vAlign w:val="center"/>
          </w:tcPr>
          <w:p w:rsidR="008B6F82" w:rsidRPr="0054178A" w:rsidRDefault="008B6F82" w:rsidP="0054178A">
            <w:pPr>
              <w:pStyle w:val="naisnod"/>
              <w:spacing w:before="0" w:beforeAutospacing="0" w:after="0" w:afterAutospacing="0"/>
              <w:jc w:val="center"/>
              <w:rPr>
                <w:b/>
                <w:sz w:val="28"/>
                <w:szCs w:val="28"/>
              </w:rPr>
            </w:pPr>
            <w:r w:rsidRPr="0054178A">
              <w:rPr>
                <w:b/>
                <w:sz w:val="28"/>
                <w:szCs w:val="28"/>
              </w:rPr>
              <w:t>II. Tiesību akta projekta ietekme uz sabiedrību</w:t>
            </w:r>
            <w:r w:rsidR="00C141CC" w:rsidRPr="0054178A">
              <w:rPr>
                <w:b/>
                <w:sz w:val="28"/>
                <w:szCs w:val="28"/>
              </w:rPr>
              <w:t>, tautsaimniecības attīstību un administratīvo slogu</w:t>
            </w:r>
          </w:p>
        </w:tc>
      </w:tr>
      <w:tr w:rsidR="008B6F82" w:rsidRPr="0054178A" w:rsidTr="00D62B59">
        <w:trPr>
          <w:trHeight w:val="467"/>
        </w:trPr>
        <w:tc>
          <w:tcPr>
            <w:tcW w:w="568" w:type="dxa"/>
          </w:tcPr>
          <w:p w:rsidR="008B6F82" w:rsidRPr="0054178A" w:rsidRDefault="008B6F82" w:rsidP="0054178A">
            <w:pPr>
              <w:pStyle w:val="naiskr"/>
              <w:spacing w:before="0" w:beforeAutospacing="0" w:after="0" w:afterAutospacing="0"/>
              <w:jc w:val="center"/>
              <w:rPr>
                <w:sz w:val="28"/>
                <w:szCs w:val="28"/>
              </w:rPr>
            </w:pPr>
            <w:r w:rsidRPr="0054178A">
              <w:rPr>
                <w:sz w:val="28"/>
                <w:szCs w:val="28"/>
              </w:rPr>
              <w:t>1.</w:t>
            </w:r>
          </w:p>
        </w:tc>
        <w:tc>
          <w:tcPr>
            <w:tcW w:w="2976" w:type="dxa"/>
          </w:tcPr>
          <w:p w:rsidR="008B6F82" w:rsidRPr="0054178A" w:rsidRDefault="008B6F82" w:rsidP="0054178A">
            <w:pPr>
              <w:pStyle w:val="naiskr"/>
              <w:spacing w:before="0" w:beforeAutospacing="0" w:after="0" w:afterAutospacing="0"/>
              <w:rPr>
                <w:sz w:val="28"/>
                <w:szCs w:val="28"/>
              </w:rPr>
            </w:pPr>
            <w:r w:rsidRPr="0054178A">
              <w:rPr>
                <w:sz w:val="28"/>
                <w:szCs w:val="28"/>
              </w:rPr>
              <w:t xml:space="preserve">Sabiedrības </w:t>
            </w:r>
            <w:proofErr w:type="spellStart"/>
            <w:r w:rsidRPr="0054178A">
              <w:rPr>
                <w:sz w:val="28"/>
                <w:szCs w:val="28"/>
              </w:rPr>
              <w:t>mērķgrupa</w:t>
            </w:r>
            <w:proofErr w:type="spellEnd"/>
            <w:r w:rsidR="00ED7F41" w:rsidRPr="0054178A">
              <w:rPr>
                <w:sz w:val="28"/>
                <w:szCs w:val="28"/>
              </w:rPr>
              <w:t>, kuras tiesiskais regulējums</w:t>
            </w:r>
            <w:r w:rsidR="008207E7" w:rsidRPr="0054178A">
              <w:rPr>
                <w:sz w:val="28"/>
                <w:szCs w:val="28"/>
              </w:rPr>
              <w:t xml:space="preserve"> ietekmē vai varētu ietekmēt</w:t>
            </w:r>
          </w:p>
        </w:tc>
        <w:tc>
          <w:tcPr>
            <w:tcW w:w="5959" w:type="dxa"/>
          </w:tcPr>
          <w:p w:rsidR="008B6F82" w:rsidRPr="0054178A" w:rsidRDefault="00B077EC" w:rsidP="00B077EC">
            <w:pPr>
              <w:pStyle w:val="naiskr"/>
              <w:spacing w:before="0" w:beforeAutospacing="0" w:after="0" w:afterAutospacing="0"/>
              <w:ind w:firstLine="426"/>
              <w:jc w:val="both"/>
              <w:rPr>
                <w:iCs/>
                <w:sz w:val="28"/>
                <w:szCs w:val="28"/>
              </w:rPr>
            </w:pPr>
            <w:r>
              <w:rPr>
                <w:iCs/>
                <w:sz w:val="28"/>
                <w:szCs w:val="28"/>
              </w:rPr>
              <w:t>P</w:t>
            </w:r>
            <w:r w:rsidR="00530FAD">
              <w:rPr>
                <w:iCs/>
                <w:sz w:val="28"/>
                <w:szCs w:val="28"/>
              </w:rPr>
              <w:t xml:space="preserve">rojekts attiecas uz </w:t>
            </w:r>
            <w:r w:rsidR="007918A8">
              <w:rPr>
                <w:iCs/>
                <w:sz w:val="28"/>
                <w:szCs w:val="28"/>
              </w:rPr>
              <w:t xml:space="preserve">Finanšu ministriju, </w:t>
            </w:r>
            <w:r w:rsidR="00530FAD">
              <w:rPr>
                <w:iCs/>
                <w:sz w:val="28"/>
                <w:szCs w:val="28"/>
              </w:rPr>
              <w:t>Valsts kasi</w:t>
            </w:r>
            <w:r w:rsidR="00AB75D5">
              <w:rPr>
                <w:iCs/>
                <w:sz w:val="28"/>
                <w:szCs w:val="28"/>
              </w:rPr>
              <w:t xml:space="preserve">, </w:t>
            </w:r>
            <w:r w:rsidR="00D9053A" w:rsidRPr="009140A4">
              <w:rPr>
                <w:rFonts w:eastAsia="Calibri"/>
                <w:sz w:val="28"/>
                <w:szCs w:val="28"/>
                <w:lang w:eastAsia="en-US"/>
              </w:rPr>
              <w:t>b</w:t>
            </w:r>
            <w:r w:rsidR="00975DC2">
              <w:rPr>
                <w:rFonts w:eastAsia="Calibri"/>
                <w:sz w:val="28"/>
                <w:szCs w:val="28"/>
                <w:lang w:eastAsia="en-US"/>
              </w:rPr>
              <w:t xml:space="preserve">udžeta finansētas institūcijas </w:t>
            </w:r>
            <w:r w:rsidR="00D9053A" w:rsidRPr="009140A4">
              <w:rPr>
                <w:rFonts w:eastAsia="Calibri"/>
                <w:sz w:val="28"/>
                <w:szCs w:val="28"/>
                <w:lang w:eastAsia="en-US"/>
              </w:rPr>
              <w:t>un budžeta nefinansētas iestādes</w:t>
            </w:r>
            <w:r w:rsidR="00D9053A" w:rsidDel="009140A4">
              <w:rPr>
                <w:color w:val="000000"/>
                <w:sz w:val="28"/>
                <w:szCs w:val="28"/>
              </w:rPr>
              <w:t xml:space="preserve"> </w:t>
            </w:r>
            <w:r w:rsidR="00D9053A">
              <w:rPr>
                <w:color w:val="000000"/>
                <w:sz w:val="28"/>
                <w:szCs w:val="28"/>
              </w:rPr>
              <w:t>vadītājiem (t.sk. pašvaldību vadītājiem)</w:t>
            </w:r>
            <w:r w:rsidR="000721E7">
              <w:rPr>
                <w:color w:val="000000"/>
                <w:sz w:val="28"/>
                <w:szCs w:val="28"/>
              </w:rPr>
              <w:t>.</w:t>
            </w:r>
          </w:p>
        </w:tc>
      </w:tr>
      <w:tr w:rsidR="00B3512D" w:rsidRPr="0054178A" w:rsidTr="00D62B59">
        <w:trPr>
          <w:trHeight w:val="523"/>
        </w:trPr>
        <w:tc>
          <w:tcPr>
            <w:tcW w:w="568" w:type="dxa"/>
          </w:tcPr>
          <w:p w:rsidR="00B3512D" w:rsidRPr="0054178A" w:rsidRDefault="00B3512D" w:rsidP="0054178A">
            <w:pPr>
              <w:pStyle w:val="naiskr"/>
              <w:spacing w:before="0" w:beforeAutospacing="0" w:after="0" w:afterAutospacing="0"/>
              <w:jc w:val="center"/>
              <w:rPr>
                <w:sz w:val="28"/>
                <w:szCs w:val="28"/>
              </w:rPr>
            </w:pPr>
            <w:r w:rsidRPr="0054178A">
              <w:rPr>
                <w:sz w:val="28"/>
                <w:szCs w:val="28"/>
              </w:rPr>
              <w:lastRenderedPageBreak/>
              <w:t>2.</w:t>
            </w:r>
          </w:p>
        </w:tc>
        <w:tc>
          <w:tcPr>
            <w:tcW w:w="2976" w:type="dxa"/>
          </w:tcPr>
          <w:p w:rsidR="00B3512D" w:rsidRPr="0054178A" w:rsidRDefault="00B3512D" w:rsidP="0054178A">
            <w:pPr>
              <w:pStyle w:val="naiskr"/>
              <w:spacing w:before="0" w:beforeAutospacing="0" w:after="0" w:afterAutospacing="0"/>
              <w:rPr>
                <w:sz w:val="28"/>
                <w:szCs w:val="28"/>
              </w:rPr>
            </w:pPr>
            <w:r w:rsidRPr="0054178A">
              <w:rPr>
                <w:sz w:val="28"/>
                <w:szCs w:val="28"/>
              </w:rPr>
              <w:t>Tiesiskā regulējuma ietekme uz tautsaimniecību un administratīvo slogu</w:t>
            </w:r>
          </w:p>
        </w:tc>
        <w:tc>
          <w:tcPr>
            <w:tcW w:w="5959" w:type="dxa"/>
          </w:tcPr>
          <w:p w:rsidR="00B3512D" w:rsidRPr="005F1337" w:rsidRDefault="001C540D" w:rsidP="001C540D">
            <w:pPr>
              <w:jc w:val="both"/>
              <w:rPr>
                <w:sz w:val="28"/>
                <w:szCs w:val="28"/>
              </w:rPr>
            </w:pPr>
            <w:r>
              <w:rPr>
                <w:sz w:val="28"/>
                <w:szCs w:val="28"/>
              </w:rPr>
              <w:t xml:space="preserve">     </w:t>
            </w:r>
            <w:r w:rsidRPr="005F1337">
              <w:rPr>
                <w:sz w:val="28"/>
                <w:szCs w:val="28"/>
              </w:rPr>
              <w:t>Projekts šo jomu neskar.</w:t>
            </w:r>
          </w:p>
        </w:tc>
      </w:tr>
      <w:tr w:rsidR="00B3512D" w:rsidRPr="0054178A" w:rsidTr="00D62B59">
        <w:trPr>
          <w:trHeight w:val="357"/>
        </w:trPr>
        <w:tc>
          <w:tcPr>
            <w:tcW w:w="568" w:type="dxa"/>
          </w:tcPr>
          <w:p w:rsidR="00B3512D" w:rsidRPr="0054178A" w:rsidRDefault="00B3512D" w:rsidP="0054178A">
            <w:pPr>
              <w:pStyle w:val="naiskr"/>
              <w:spacing w:before="0" w:beforeAutospacing="0" w:after="0" w:afterAutospacing="0"/>
              <w:jc w:val="center"/>
              <w:rPr>
                <w:sz w:val="28"/>
                <w:szCs w:val="28"/>
              </w:rPr>
            </w:pPr>
            <w:r w:rsidRPr="0054178A">
              <w:rPr>
                <w:sz w:val="28"/>
                <w:szCs w:val="28"/>
              </w:rPr>
              <w:t>3.</w:t>
            </w:r>
          </w:p>
        </w:tc>
        <w:tc>
          <w:tcPr>
            <w:tcW w:w="2976" w:type="dxa"/>
          </w:tcPr>
          <w:p w:rsidR="00B3512D" w:rsidRPr="0054178A" w:rsidRDefault="00B3512D" w:rsidP="0054178A">
            <w:pPr>
              <w:pStyle w:val="naiskr"/>
              <w:spacing w:before="0" w:beforeAutospacing="0" w:after="0" w:afterAutospacing="0"/>
              <w:rPr>
                <w:sz w:val="28"/>
                <w:szCs w:val="28"/>
              </w:rPr>
            </w:pPr>
            <w:r w:rsidRPr="0054178A">
              <w:rPr>
                <w:sz w:val="28"/>
                <w:szCs w:val="28"/>
              </w:rPr>
              <w:t>Administratīvo izmaksu monetārs novērtējums</w:t>
            </w:r>
          </w:p>
        </w:tc>
        <w:tc>
          <w:tcPr>
            <w:tcW w:w="5959" w:type="dxa"/>
          </w:tcPr>
          <w:p w:rsidR="00B3512D" w:rsidRPr="0054178A" w:rsidRDefault="00B3512D" w:rsidP="001C540D">
            <w:pPr>
              <w:jc w:val="both"/>
              <w:rPr>
                <w:sz w:val="28"/>
                <w:szCs w:val="28"/>
                <w:lang w:eastAsia="lv-LV"/>
              </w:rPr>
            </w:pPr>
            <w:r w:rsidRPr="0054178A">
              <w:rPr>
                <w:sz w:val="28"/>
                <w:szCs w:val="28"/>
              </w:rPr>
              <w:t xml:space="preserve"> </w:t>
            </w:r>
            <w:r w:rsidR="001C540D" w:rsidRPr="0054178A">
              <w:rPr>
                <w:sz w:val="28"/>
                <w:szCs w:val="28"/>
              </w:rPr>
              <w:t xml:space="preserve"> </w:t>
            </w:r>
            <w:r w:rsidR="00241AD3" w:rsidRPr="0054178A">
              <w:rPr>
                <w:sz w:val="28"/>
                <w:szCs w:val="28"/>
              </w:rPr>
              <w:t xml:space="preserve"> Projekts šo jomu neskar.</w:t>
            </w:r>
          </w:p>
        </w:tc>
      </w:tr>
      <w:tr w:rsidR="00B3512D" w:rsidRPr="0054178A" w:rsidTr="00D62B59">
        <w:trPr>
          <w:trHeight w:val="568"/>
        </w:trPr>
        <w:tc>
          <w:tcPr>
            <w:tcW w:w="568" w:type="dxa"/>
          </w:tcPr>
          <w:p w:rsidR="00B3512D" w:rsidRPr="0054178A" w:rsidRDefault="00B3512D" w:rsidP="0054178A">
            <w:pPr>
              <w:pStyle w:val="naiskr"/>
              <w:spacing w:before="0" w:beforeAutospacing="0" w:after="0" w:afterAutospacing="0"/>
              <w:jc w:val="center"/>
              <w:rPr>
                <w:sz w:val="28"/>
                <w:szCs w:val="28"/>
              </w:rPr>
            </w:pPr>
            <w:r w:rsidRPr="0054178A">
              <w:rPr>
                <w:sz w:val="28"/>
                <w:szCs w:val="28"/>
              </w:rPr>
              <w:t>4.</w:t>
            </w:r>
          </w:p>
        </w:tc>
        <w:tc>
          <w:tcPr>
            <w:tcW w:w="2976" w:type="dxa"/>
          </w:tcPr>
          <w:p w:rsidR="00B3512D" w:rsidRPr="0054178A" w:rsidRDefault="00B3512D" w:rsidP="0054178A">
            <w:pPr>
              <w:pStyle w:val="naiskr"/>
              <w:spacing w:before="0" w:beforeAutospacing="0" w:after="0" w:afterAutospacing="0"/>
              <w:rPr>
                <w:sz w:val="28"/>
                <w:szCs w:val="28"/>
              </w:rPr>
            </w:pPr>
            <w:r w:rsidRPr="0054178A">
              <w:rPr>
                <w:sz w:val="28"/>
                <w:szCs w:val="28"/>
              </w:rPr>
              <w:t>Cita informācija</w:t>
            </w:r>
          </w:p>
        </w:tc>
        <w:tc>
          <w:tcPr>
            <w:tcW w:w="5959" w:type="dxa"/>
          </w:tcPr>
          <w:p w:rsidR="00B3512D" w:rsidRPr="0054178A" w:rsidRDefault="00B3512D" w:rsidP="0054178A">
            <w:pPr>
              <w:jc w:val="both"/>
              <w:rPr>
                <w:sz w:val="28"/>
                <w:szCs w:val="28"/>
                <w:lang w:eastAsia="lv-LV"/>
              </w:rPr>
            </w:pPr>
            <w:r w:rsidRPr="0054178A">
              <w:rPr>
                <w:sz w:val="28"/>
                <w:szCs w:val="28"/>
                <w:lang w:eastAsia="lv-LV"/>
              </w:rPr>
              <w:t xml:space="preserve"> Nav</w:t>
            </w:r>
          </w:p>
        </w:tc>
      </w:tr>
    </w:tbl>
    <w:p w:rsidR="00253470" w:rsidRDefault="00253470" w:rsidP="0054178A">
      <w:pPr>
        <w:jc w:val="both"/>
        <w:rPr>
          <w:sz w:val="28"/>
          <w:szCs w:val="28"/>
        </w:rPr>
      </w:pPr>
    </w:p>
    <w:tbl>
      <w:tblPr>
        <w:tblW w:w="9462"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462"/>
      </w:tblGrid>
      <w:tr w:rsidR="007F2BD8" w:rsidRPr="007F2BD8" w:rsidTr="00BC66F4">
        <w:tc>
          <w:tcPr>
            <w:tcW w:w="9462" w:type="dxa"/>
            <w:tcBorders>
              <w:top w:val="outset" w:sz="6" w:space="0" w:color="auto"/>
              <w:left w:val="outset" w:sz="6" w:space="0" w:color="auto"/>
              <w:bottom w:val="outset" w:sz="6" w:space="0" w:color="auto"/>
              <w:right w:val="outset" w:sz="6" w:space="0" w:color="auto"/>
            </w:tcBorders>
            <w:vAlign w:val="center"/>
          </w:tcPr>
          <w:p w:rsidR="007F2BD8" w:rsidRPr="007F2BD8" w:rsidRDefault="007F2BD8" w:rsidP="007F2BD8">
            <w:pPr>
              <w:jc w:val="center"/>
              <w:rPr>
                <w:b/>
                <w:sz w:val="28"/>
                <w:szCs w:val="28"/>
              </w:rPr>
            </w:pPr>
            <w:r w:rsidRPr="007F2BD8">
              <w:rPr>
                <w:b/>
                <w:sz w:val="28"/>
                <w:szCs w:val="28"/>
              </w:rPr>
              <w:t>III. Tiesību akta projekta ietekme uz valsts budžetu un pašvaldību budžetiem</w:t>
            </w:r>
          </w:p>
        </w:tc>
      </w:tr>
      <w:tr w:rsidR="007F2BD8" w:rsidRPr="007F2BD8" w:rsidTr="00BC66F4">
        <w:tc>
          <w:tcPr>
            <w:tcW w:w="9462" w:type="dxa"/>
            <w:tcBorders>
              <w:top w:val="outset" w:sz="6" w:space="0" w:color="auto"/>
              <w:left w:val="outset" w:sz="6" w:space="0" w:color="auto"/>
              <w:bottom w:val="outset" w:sz="6" w:space="0" w:color="auto"/>
              <w:right w:val="outset" w:sz="6" w:space="0" w:color="auto"/>
            </w:tcBorders>
            <w:vAlign w:val="center"/>
          </w:tcPr>
          <w:p w:rsidR="007F2BD8" w:rsidRPr="007F2BD8" w:rsidRDefault="007F2BD8" w:rsidP="007F2BD8">
            <w:pPr>
              <w:jc w:val="center"/>
              <w:rPr>
                <w:sz w:val="28"/>
                <w:szCs w:val="28"/>
              </w:rPr>
            </w:pPr>
            <w:r w:rsidRPr="007F2BD8">
              <w:rPr>
                <w:sz w:val="28"/>
                <w:szCs w:val="28"/>
              </w:rPr>
              <w:t>Projekts šo jomu neskar.</w:t>
            </w:r>
          </w:p>
        </w:tc>
      </w:tr>
    </w:tbl>
    <w:p w:rsidR="007F2BD8" w:rsidRPr="007F2BD8" w:rsidRDefault="007F2BD8" w:rsidP="007F2BD8">
      <w:pPr>
        <w:suppressAutoHyphens w:val="0"/>
        <w:jc w:val="both"/>
        <w:rPr>
          <w:sz w:val="28"/>
          <w:szCs w:val="28"/>
          <w:lang w:eastAsia="lv-LV"/>
        </w:rPr>
      </w:pPr>
    </w:p>
    <w:tbl>
      <w:tblPr>
        <w:tblW w:w="9462"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462"/>
      </w:tblGrid>
      <w:tr w:rsidR="007F2BD8" w:rsidRPr="007F2BD8" w:rsidTr="00BC66F4">
        <w:tc>
          <w:tcPr>
            <w:tcW w:w="9462" w:type="dxa"/>
            <w:tcBorders>
              <w:top w:val="outset" w:sz="6" w:space="0" w:color="auto"/>
              <w:left w:val="outset" w:sz="6" w:space="0" w:color="auto"/>
              <w:bottom w:val="outset" w:sz="6" w:space="0" w:color="auto"/>
              <w:right w:val="outset" w:sz="6" w:space="0" w:color="auto"/>
            </w:tcBorders>
            <w:vAlign w:val="center"/>
          </w:tcPr>
          <w:p w:rsidR="007F2BD8" w:rsidRPr="007F2BD8" w:rsidRDefault="007F2BD8" w:rsidP="007F2BD8">
            <w:pPr>
              <w:jc w:val="center"/>
              <w:rPr>
                <w:b/>
                <w:sz w:val="28"/>
                <w:szCs w:val="28"/>
              </w:rPr>
            </w:pPr>
            <w:r w:rsidRPr="007F2BD8">
              <w:rPr>
                <w:b/>
                <w:sz w:val="28"/>
                <w:szCs w:val="28"/>
              </w:rPr>
              <w:t>IV. Tiesību akta projekta ietekme uz spēkā esošo tiesību normu sistēmu</w:t>
            </w:r>
          </w:p>
        </w:tc>
      </w:tr>
      <w:tr w:rsidR="007F2BD8" w:rsidRPr="007F2BD8" w:rsidTr="00BC66F4">
        <w:tc>
          <w:tcPr>
            <w:tcW w:w="9462" w:type="dxa"/>
            <w:tcBorders>
              <w:top w:val="outset" w:sz="6" w:space="0" w:color="auto"/>
              <w:left w:val="outset" w:sz="6" w:space="0" w:color="auto"/>
              <w:bottom w:val="outset" w:sz="6" w:space="0" w:color="auto"/>
              <w:right w:val="outset" w:sz="6" w:space="0" w:color="auto"/>
            </w:tcBorders>
            <w:vAlign w:val="center"/>
          </w:tcPr>
          <w:p w:rsidR="007F2BD8" w:rsidRPr="007F2BD8" w:rsidRDefault="007F2BD8" w:rsidP="007F2BD8">
            <w:pPr>
              <w:jc w:val="center"/>
              <w:rPr>
                <w:sz w:val="28"/>
                <w:szCs w:val="28"/>
              </w:rPr>
            </w:pPr>
            <w:r w:rsidRPr="007F2BD8">
              <w:rPr>
                <w:sz w:val="28"/>
                <w:szCs w:val="28"/>
              </w:rPr>
              <w:t>Projekts šo jomu neskar.</w:t>
            </w:r>
          </w:p>
        </w:tc>
      </w:tr>
    </w:tbl>
    <w:p w:rsidR="007F2BD8" w:rsidRPr="007F2BD8" w:rsidRDefault="007F2BD8" w:rsidP="007F2BD8">
      <w:pPr>
        <w:suppressAutoHyphens w:val="0"/>
        <w:jc w:val="both"/>
        <w:rPr>
          <w:sz w:val="28"/>
          <w:szCs w:val="28"/>
          <w:lang w:eastAsia="lv-LV"/>
        </w:rPr>
      </w:pPr>
    </w:p>
    <w:tbl>
      <w:tblPr>
        <w:tblW w:w="9462"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462"/>
      </w:tblGrid>
      <w:tr w:rsidR="007F2BD8" w:rsidRPr="007F2BD8" w:rsidTr="00BC66F4">
        <w:tc>
          <w:tcPr>
            <w:tcW w:w="9462" w:type="dxa"/>
            <w:tcBorders>
              <w:top w:val="outset" w:sz="6" w:space="0" w:color="auto"/>
              <w:left w:val="outset" w:sz="6" w:space="0" w:color="auto"/>
              <w:bottom w:val="outset" w:sz="6" w:space="0" w:color="auto"/>
              <w:right w:val="outset" w:sz="6" w:space="0" w:color="auto"/>
            </w:tcBorders>
            <w:vAlign w:val="center"/>
          </w:tcPr>
          <w:p w:rsidR="007F2BD8" w:rsidRPr="007F2BD8" w:rsidRDefault="007F2BD8" w:rsidP="007F2BD8">
            <w:pPr>
              <w:jc w:val="center"/>
              <w:rPr>
                <w:b/>
                <w:sz w:val="28"/>
                <w:szCs w:val="28"/>
              </w:rPr>
            </w:pPr>
            <w:r w:rsidRPr="007F2BD8">
              <w:rPr>
                <w:b/>
                <w:sz w:val="28"/>
                <w:szCs w:val="28"/>
              </w:rPr>
              <w:t>V. Tiesību akta projekta atbilstība Latvijas Republikas starptautiskajām saistībām</w:t>
            </w:r>
          </w:p>
        </w:tc>
      </w:tr>
      <w:tr w:rsidR="007F2BD8" w:rsidRPr="007F2BD8" w:rsidTr="00BC66F4">
        <w:tc>
          <w:tcPr>
            <w:tcW w:w="9462" w:type="dxa"/>
            <w:tcBorders>
              <w:top w:val="outset" w:sz="6" w:space="0" w:color="auto"/>
              <w:left w:val="outset" w:sz="6" w:space="0" w:color="auto"/>
              <w:bottom w:val="outset" w:sz="6" w:space="0" w:color="auto"/>
              <w:right w:val="outset" w:sz="6" w:space="0" w:color="auto"/>
            </w:tcBorders>
            <w:vAlign w:val="center"/>
          </w:tcPr>
          <w:p w:rsidR="007F2BD8" w:rsidRPr="007F2BD8" w:rsidRDefault="007F2BD8" w:rsidP="007F2BD8">
            <w:pPr>
              <w:jc w:val="center"/>
              <w:rPr>
                <w:sz w:val="28"/>
                <w:szCs w:val="28"/>
              </w:rPr>
            </w:pPr>
            <w:r w:rsidRPr="007F2BD8">
              <w:rPr>
                <w:sz w:val="28"/>
                <w:szCs w:val="28"/>
              </w:rPr>
              <w:t>Projekts šo jomu neskar.</w:t>
            </w:r>
          </w:p>
        </w:tc>
      </w:tr>
    </w:tbl>
    <w:p w:rsidR="007F2BD8" w:rsidRDefault="007F2BD8" w:rsidP="0054178A">
      <w:pPr>
        <w:jc w:val="both"/>
        <w:rPr>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16"/>
        <w:gridCol w:w="3833"/>
        <w:gridCol w:w="5065"/>
      </w:tblGrid>
      <w:tr w:rsidR="00617A9C" w:rsidRPr="00253470" w:rsidTr="007F2BD8">
        <w:trPr>
          <w:trHeight w:val="420"/>
          <w:jc w:val="center"/>
        </w:trPr>
        <w:tc>
          <w:tcPr>
            <w:tcW w:w="274" w:type="pct"/>
            <w:tcBorders>
              <w:top w:val="outset" w:sz="6" w:space="0" w:color="414142"/>
              <w:left w:val="outset" w:sz="6" w:space="0" w:color="414142"/>
              <w:bottom w:val="outset" w:sz="6" w:space="0" w:color="414142"/>
              <w:right w:val="outset" w:sz="6" w:space="0" w:color="414142"/>
            </w:tcBorders>
          </w:tcPr>
          <w:p w:rsidR="00617A9C" w:rsidRPr="00253470" w:rsidRDefault="00617A9C" w:rsidP="00253470">
            <w:pPr>
              <w:suppressAutoHyphens w:val="0"/>
              <w:spacing w:before="100" w:beforeAutospacing="1" w:after="100" w:afterAutospacing="1" w:line="300" w:lineRule="atLeast"/>
              <w:jc w:val="center"/>
              <w:rPr>
                <w:b/>
                <w:bCs/>
                <w:sz w:val="28"/>
                <w:szCs w:val="28"/>
                <w:lang w:eastAsia="lv-LV"/>
              </w:rPr>
            </w:pPr>
          </w:p>
        </w:tc>
        <w:tc>
          <w:tcPr>
            <w:tcW w:w="4726" w:type="pct"/>
            <w:gridSpan w:val="2"/>
            <w:tcBorders>
              <w:top w:val="outset" w:sz="6" w:space="0" w:color="414142"/>
              <w:left w:val="outset" w:sz="6" w:space="0" w:color="414142"/>
              <w:bottom w:val="outset" w:sz="6" w:space="0" w:color="414142"/>
              <w:right w:val="outset" w:sz="6" w:space="0" w:color="414142"/>
            </w:tcBorders>
            <w:vAlign w:val="center"/>
            <w:hideMark/>
          </w:tcPr>
          <w:p w:rsidR="00617A9C" w:rsidRPr="00253470" w:rsidRDefault="00617A9C" w:rsidP="00253470">
            <w:pPr>
              <w:suppressAutoHyphens w:val="0"/>
              <w:spacing w:before="100" w:beforeAutospacing="1" w:after="100" w:afterAutospacing="1" w:line="300" w:lineRule="atLeast"/>
              <w:jc w:val="center"/>
              <w:rPr>
                <w:b/>
                <w:bCs/>
                <w:sz w:val="28"/>
                <w:szCs w:val="28"/>
                <w:lang w:eastAsia="lv-LV"/>
              </w:rPr>
            </w:pPr>
            <w:r w:rsidRPr="00253470">
              <w:rPr>
                <w:b/>
                <w:bCs/>
                <w:sz w:val="28"/>
                <w:szCs w:val="28"/>
                <w:lang w:eastAsia="lv-LV"/>
              </w:rPr>
              <w:t>VI. Sabiedrības līdzdalība un komunikācijas aktivitātes</w:t>
            </w:r>
          </w:p>
        </w:tc>
      </w:tr>
      <w:tr w:rsidR="00617A9C" w:rsidRPr="00253470" w:rsidTr="007F2BD8">
        <w:trPr>
          <w:trHeight w:val="540"/>
          <w:jc w:val="center"/>
        </w:trPr>
        <w:tc>
          <w:tcPr>
            <w:tcW w:w="274" w:type="pct"/>
            <w:tcBorders>
              <w:top w:val="outset" w:sz="6" w:space="0" w:color="414142"/>
              <w:left w:val="outset" w:sz="6" w:space="0" w:color="414142"/>
              <w:bottom w:val="outset" w:sz="6" w:space="0" w:color="414142"/>
              <w:right w:val="outset" w:sz="6" w:space="0" w:color="414142"/>
            </w:tcBorders>
          </w:tcPr>
          <w:p w:rsidR="00617A9C" w:rsidRPr="00253470" w:rsidRDefault="00617A9C" w:rsidP="00253470">
            <w:pPr>
              <w:suppressAutoHyphens w:val="0"/>
              <w:rPr>
                <w:sz w:val="28"/>
                <w:szCs w:val="28"/>
                <w:lang w:eastAsia="lv-LV"/>
              </w:rPr>
            </w:pPr>
            <w:r>
              <w:rPr>
                <w:sz w:val="28"/>
                <w:szCs w:val="28"/>
                <w:lang w:eastAsia="lv-LV"/>
              </w:rPr>
              <w:t>1.</w:t>
            </w:r>
          </w:p>
        </w:tc>
        <w:tc>
          <w:tcPr>
            <w:tcW w:w="2036" w:type="pct"/>
            <w:tcBorders>
              <w:top w:val="outset" w:sz="6" w:space="0" w:color="414142"/>
              <w:left w:val="outset" w:sz="6" w:space="0" w:color="414142"/>
              <w:bottom w:val="outset" w:sz="6" w:space="0" w:color="414142"/>
              <w:right w:val="outset" w:sz="6" w:space="0" w:color="414142"/>
            </w:tcBorders>
            <w:hideMark/>
          </w:tcPr>
          <w:p w:rsidR="00617A9C" w:rsidRPr="00253470" w:rsidRDefault="00617A9C" w:rsidP="00253470">
            <w:pPr>
              <w:suppressAutoHyphens w:val="0"/>
              <w:rPr>
                <w:sz w:val="28"/>
                <w:szCs w:val="28"/>
                <w:lang w:eastAsia="lv-LV"/>
              </w:rPr>
            </w:pPr>
            <w:r w:rsidRPr="00253470">
              <w:rPr>
                <w:sz w:val="28"/>
                <w:szCs w:val="28"/>
                <w:lang w:eastAsia="lv-LV"/>
              </w:rPr>
              <w:t>Plānotās sabiedrības līdzdalības un komunikācijas aktivitātes saistībā ar projektu</w:t>
            </w:r>
          </w:p>
        </w:tc>
        <w:tc>
          <w:tcPr>
            <w:tcW w:w="2691" w:type="pct"/>
            <w:tcBorders>
              <w:top w:val="outset" w:sz="6" w:space="0" w:color="414142"/>
              <w:left w:val="outset" w:sz="6" w:space="0" w:color="414142"/>
              <w:bottom w:val="outset" w:sz="6" w:space="0" w:color="414142"/>
              <w:right w:val="outset" w:sz="6" w:space="0" w:color="414142"/>
            </w:tcBorders>
            <w:hideMark/>
          </w:tcPr>
          <w:p w:rsidR="00617A9C" w:rsidRPr="00253470" w:rsidRDefault="00F3573C" w:rsidP="00D26F38">
            <w:pPr>
              <w:suppressAutoHyphens w:val="0"/>
              <w:jc w:val="both"/>
              <w:rPr>
                <w:sz w:val="28"/>
                <w:szCs w:val="28"/>
                <w:lang w:eastAsia="lv-LV"/>
              </w:rPr>
            </w:pPr>
            <w:r>
              <w:rPr>
                <w:sz w:val="28"/>
                <w:szCs w:val="28"/>
                <w:lang w:eastAsia="lv-LV"/>
              </w:rPr>
              <w:t xml:space="preserve">Sabiedrības līdzdalība </w:t>
            </w:r>
            <w:r w:rsidR="00241AD3" w:rsidRPr="005F1337">
              <w:rPr>
                <w:sz w:val="28"/>
                <w:szCs w:val="28"/>
                <w:lang w:eastAsia="lv-LV"/>
              </w:rPr>
              <w:t xml:space="preserve">tika </w:t>
            </w:r>
            <w:r>
              <w:rPr>
                <w:sz w:val="28"/>
                <w:szCs w:val="28"/>
                <w:lang w:eastAsia="lv-LV"/>
              </w:rPr>
              <w:t>nodrošināta, publicējot uzziņu par projekta izstrādes uzsākšanu Finanšu ministrijas mājas lapā šā gada 4.jūlijā.</w:t>
            </w:r>
          </w:p>
        </w:tc>
      </w:tr>
      <w:tr w:rsidR="00617A9C" w:rsidRPr="00253470" w:rsidTr="007F2BD8">
        <w:trPr>
          <w:trHeight w:val="330"/>
          <w:jc w:val="center"/>
        </w:trPr>
        <w:tc>
          <w:tcPr>
            <w:tcW w:w="274" w:type="pct"/>
            <w:tcBorders>
              <w:top w:val="outset" w:sz="6" w:space="0" w:color="414142"/>
              <w:left w:val="outset" w:sz="6" w:space="0" w:color="414142"/>
              <w:bottom w:val="outset" w:sz="6" w:space="0" w:color="414142"/>
              <w:right w:val="outset" w:sz="6" w:space="0" w:color="414142"/>
            </w:tcBorders>
          </w:tcPr>
          <w:p w:rsidR="00617A9C" w:rsidRPr="00253470" w:rsidRDefault="00617A9C" w:rsidP="00253470">
            <w:pPr>
              <w:suppressAutoHyphens w:val="0"/>
              <w:rPr>
                <w:sz w:val="28"/>
                <w:szCs w:val="28"/>
                <w:lang w:eastAsia="lv-LV"/>
              </w:rPr>
            </w:pPr>
            <w:r>
              <w:rPr>
                <w:sz w:val="28"/>
                <w:szCs w:val="28"/>
                <w:lang w:eastAsia="lv-LV"/>
              </w:rPr>
              <w:t>2.</w:t>
            </w:r>
          </w:p>
        </w:tc>
        <w:tc>
          <w:tcPr>
            <w:tcW w:w="2036" w:type="pct"/>
            <w:tcBorders>
              <w:top w:val="outset" w:sz="6" w:space="0" w:color="414142"/>
              <w:left w:val="outset" w:sz="6" w:space="0" w:color="414142"/>
              <w:bottom w:val="outset" w:sz="6" w:space="0" w:color="414142"/>
              <w:right w:val="outset" w:sz="6" w:space="0" w:color="414142"/>
            </w:tcBorders>
            <w:hideMark/>
          </w:tcPr>
          <w:p w:rsidR="00617A9C" w:rsidRPr="00253470" w:rsidRDefault="00617A9C" w:rsidP="00253470">
            <w:pPr>
              <w:suppressAutoHyphens w:val="0"/>
              <w:rPr>
                <w:sz w:val="28"/>
                <w:szCs w:val="28"/>
                <w:lang w:eastAsia="lv-LV"/>
              </w:rPr>
            </w:pPr>
            <w:r w:rsidRPr="00253470">
              <w:rPr>
                <w:sz w:val="28"/>
                <w:szCs w:val="28"/>
                <w:lang w:eastAsia="lv-LV"/>
              </w:rPr>
              <w:t>Sabiedrības līdzdalība projekta izstrādē</w:t>
            </w:r>
          </w:p>
        </w:tc>
        <w:tc>
          <w:tcPr>
            <w:tcW w:w="2691" w:type="pct"/>
            <w:tcBorders>
              <w:top w:val="outset" w:sz="6" w:space="0" w:color="414142"/>
              <w:left w:val="outset" w:sz="6" w:space="0" w:color="414142"/>
              <w:bottom w:val="outset" w:sz="6" w:space="0" w:color="414142"/>
              <w:right w:val="outset" w:sz="6" w:space="0" w:color="414142"/>
            </w:tcBorders>
            <w:hideMark/>
          </w:tcPr>
          <w:p w:rsidR="00617A9C" w:rsidRPr="006323E4" w:rsidRDefault="006323E4" w:rsidP="00253470">
            <w:pPr>
              <w:suppressAutoHyphens w:val="0"/>
              <w:rPr>
                <w:sz w:val="28"/>
                <w:szCs w:val="28"/>
                <w:lang w:eastAsia="lv-LV"/>
              </w:rPr>
            </w:pPr>
            <w:r w:rsidRPr="006323E4">
              <w:rPr>
                <w:sz w:val="28"/>
                <w:szCs w:val="28"/>
                <w:lang w:eastAsia="lv-LV"/>
              </w:rPr>
              <w:t>Projekts šo jomu neskar</w:t>
            </w:r>
            <w:r w:rsidR="00617A9C" w:rsidRPr="006323E4">
              <w:rPr>
                <w:sz w:val="28"/>
                <w:szCs w:val="28"/>
                <w:lang w:eastAsia="lv-LV"/>
              </w:rPr>
              <w:t xml:space="preserve"> </w:t>
            </w:r>
            <w:r w:rsidR="00241AD3">
              <w:rPr>
                <w:sz w:val="28"/>
                <w:szCs w:val="28"/>
                <w:lang w:eastAsia="lv-LV"/>
              </w:rPr>
              <w:t>.</w:t>
            </w:r>
          </w:p>
        </w:tc>
      </w:tr>
      <w:tr w:rsidR="00617A9C" w:rsidRPr="00253470" w:rsidTr="007F2BD8">
        <w:trPr>
          <w:trHeight w:val="465"/>
          <w:jc w:val="center"/>
        </w:trPr>
        <w:tc>
          <w:tcPr>
            <w:tcW w:w="274" w:type="pct"/>
            <w:tcBorders>
              <w:top w:val="outset" w:sz="6" w:space="0" w:color="414142"/>
              <w:left w:val="outset" w:sz="6" w:space="0" w:color="414142"/>
              <w:bottom w:val="outset" w:sz="6" w:space="0" w:color="414142"/>
              <w:right w:val="outset" w:sz="6" w:space="0" w:color="414142"/>
            </w:tcBorders>
          </w:tcPr>
          <w:p w:rsidR="00617A9C" w:rsidRPr="00253470" w:rsidRDefault="00617A9C" w:rsidP="00617A9C">
            <w:pPr>
              <w:tabs>
                <w:tab w:val="left" w:pos="290"/>
              </w:tabs>
              <w:suppressAutoHyphens w:val="0"/>
              <w:rPr>
                <w:sz w:val="28"/>
                <w:szCs w:val="28"/>
                <w:lang w:eastAsia="lv-LV"/>
              </w:rPr>
            </w:pPr>
            <w:r>
              <w:rPr>
                <w:sz w:val="28"/>
                <w:szCs w:val="28"/>
                <w:lang w:eastAsia="lv-LV"/>
              </w:rPr>
              <w:t>3.</w:t>
            </w:r>
          </w:p>
        </w:tc>
        <w:tc>
          <w:tcPr>
            <w:tcW w:w="2036" w:type="pct"/>
            <w:tcBorders>
              <w:top w:val="outset" w:sz="6" w:space="0" w:color="414142"/>
              <w:left w:val="outset" w:sz="6" w:space="0" w:color="414142"/>
              <w:bottom w:val="outset" w:sz="6" w:space="0" w:color="414142"/>
              <w:right w:val="outset" w:sz="6" w:space="0" w:color="414142"/>
            </w:tcBorders>
            <w:hideMark/>
          </w:tcPr>
          <w:p w:rsidR="00617A9C" w:rsidRPr="00253470" w:rsidRDefault="00617A9C" w:rsidP="00253470">
            <w:pPr>
              <w:suppressAutoHyphens w:val="0"/>
              <w:rPr>
                <w:sz w:val="28"/>
                <w:szCs w:val="28"/>
                <w:lang w:eastAsia="lv-LV"/>
              </w:rPr>
            </w:pPr>
            <w:r w:rsidRPr="00253470">
              <w:rPr>
                <w:sz w:val="28"/>
                <w:szCs w:val="28"/>
                <w:lang w:eastAsia="lv-LV"/>
              </w:rPr>
              <w:t>Sabiedrības līdzdalības rezultāti</w:t>
            </w:r>
          </w:p>
        </w:tc>
        <w:tc>
          <w:tcPr>
            <w:tcW w:w="2691" w:type="pct"/>
            <w:tcBorders>
              <w:top w:val="outset" w:sz="6" w:space="0" w:color="414142"/>
              <w:left w:val="outset" w:sz="6" w:space="0" w:color="414142"/>
              <w:bottom w:val="outset" w:sz="6" w:space="0" w:color="414142"/>
              <w:right w:val="outset" w:sz="6" w:space="0" w:color="414142"/>
            </w:tcBorders>
            <w:hideMark/>
          </w:tcPr>
          <w:p w:rsidR="00617A9C" w:rsidRPr="006323E4" w:rsidRDefault="006323E4" w:rsidP="00253470">
            <w:pPr>
              <w:suppressAutoHyphens w:val="0"/>
              <w:rPr>
                <w:sz w:val="28"/>
                <w:szCs w:val="28"/>
                <w:lang w:eastAsia="lv-LV"/>
              </w:rPr>
            </w:pPr>
            <w:r w:rsidRPr="006323E4">
              <w:rPr>
                <w:sz w:val="28"/>
                <w:szCs w:val="28"/>
                <w:lang w:eastAsia="lv-LV"/>
              </w:rPr>
              <w:t>Projekts šo jomu neskar</w:t>
            </w:r>
            <w:r w:rsidR="00241AD3">
              <w:rPr>
                <w:sz w:val="28"/>
                <w:szCs w:val="28"/>
                <w:lang w:eastAsia="lv-LV"/>
              </w:rPr>
              <w:t>.</w:t>
            </w:r>
          </w:p>
        </w:tc>
      </w:tr>
      <w:tr w:rsidR="00617A9C" w:rsidRPr="00253470" w:rsidTr="007F2BD8">
        <w:trPr>
          <w:trHeight w:val="465"/>
          <w:jc w:val="center"/>
        </w:trPr>
        <w:tc>
          <w:tcPr>
            <w:tcW w:w="274" w:type="pct"/>
            <w:tcBorders>
              <w:top w:val="outset" w:sz="6" w:space="0" w:color="414142"/>
              <w:left w:val="outset" w:sz="6" w:space="0" w:color="414142"/>
              <w:bottom w:val="outset" w:sz="6" w:space="0" w:color="414142"/>
              <w:right w:val="outset" w:sz="6" w:space="0" w:color="414142"/>
            </w:tcBorders>
          </w:tcPr>
          <w:p w:rsidR="00617A9C" w:rsidRPr="00253470" w:rsidRDefault="00617A9C" w:rsidP="00617A9C">
            <w:pPr>
              <w:suppressAutoHyphens w:val="0"/>
              <w:ind w:right="1349"/>
              <w:rPr>
                <w:sz w:val="28"/>
                <w:szCs w:val="28"/>
                <w:lang w:eastAsia="lv-LV"/>
              </w:rPr>
            </w:pPr>
            <w:r>
              <w:rPr>
                <w:sz w:val="28"/>
                <w:szCs w:val="28"/>
              </w:rPr>
              <w:t>4</w:t>
            </w:r>
          </w:p>
        </w:tc>
        <w:tc>
          <w:tcPr>
            <w:tcW w:w="2036" w:type="pct"/>
            <w:tcBorders>
              <w:top w:val="outset" w:sz="6" w:space="0" w:color="414142"/>
              <w:left w:val="outset" w:sz="6" w:space="0" w:color="414142"/>
              <w:bottom w:val="outset" w:sz="6" w:space="0" w:color="414142"/>
              <w:right w:val="outset" w:sz="6" w:space="0" w:color="414142"/>
            </w:tcBorders>
            <w:hideMark/>
          </w:tcPr>
          <w:p w:rsidR="00617A9C" w:rsidRPr="00253470" w:rsidRDefault="00617A9C" w:rsidP="00253470">
            <w:pPr>
              <w:suppressAutoHyphens w:val="0"/>
              <w:rPr>
                <w:sz w:val="28"/>
                <w:szCs w:val="28"/>
                <w:lang w:eastAsia="lv-LV"/>
              </w:rPr>
            </w:pPr>
            <w:r w:rsidRPr="00253470">
              <w:rPr>
                <w:sz w:val="28"/>
                <w:szCs w:val="28"/>
                <w:lang w:eastAsia="lv-LV"/>
              </w:rPr>
              <w:t>Cita informācija</w:t>
            </w:r>
          </w:p>
        </w:tc>
        <w:tc>
          <w:tcPr>
            <w:tcW w:w="2691" w:type="pct"/>
            <w:tcBorders>
              <w:top w:val="outset" w:sz="6" w:space="0" w:color="414142"/>
              <w:left w:val="outset" w:sz="6" w:space="0" w:color="414142"/>
              <w:bottom w:val="outset" w:sz="6" w:space="0" w:color="414142"/>
              <w:right w:val="outset" w:sz="6" w:space="0" w:color="414142"/>
            </w:tcBorders>
            <w:hideMark/>
          </w:tcPr>
          <w:p w:rsidR="00617A9C" w:rsidRPr="00253470" w:rsidRDefault="00617A9C" w:rsidP="00253470">
            <w:pPr>
              <w:suppressAutoHyphens w:val="0"/>
              <w:spacing w:before="100" w:beforeAutospacing="1" w:after="100" w:afterAutospacing="1" w:line="300" w:lineRule="atLeast"/>
              <w:rPr>
                <w:sz w:val="28"/>
                <w:szCs w:val="28"/>
                <w:lang w:eastAsia="lv-LV"/>
              </w:rPr>
            </w:pPr>
            <w:r w:rsidRPr="00253470">
              <w:rPr>
                <w:sz w:val="28"/>
                <w:szCs w:val="28"/>
                <w:lang w:eastAsia="lv-LV"/>
              </w:rPr>
              <w:t>Nav</w:t>
            </w:r>
          </w:p>
        </w:tc>
      </w:tr>
    </w:tbl>
    <w:p w:rsidR="00253470" w:rsidRPr="0054178A" w:rsidRDefault="00253470" w:rsidP="0054178A">
      <w:pPr>
        <w:jc w:val="both"/>
        <w:rPr>
          <w:i/>
          <w:sz w:val="28"/>
          <w:szCs w:val="28"/>
        </w:rPr>
      </w:pPr>
    </w:p>
    <w:tbl>
      <w:tblPr>
        <w:tblW w:w="4985"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3857"/>
        <w:gridCol w:w="4910"/>
      </w:tblGrid>
      <w:tr w:rsidR="008B6F82" w:rsidRPr="0054178A" w:rsidTr="007F2BD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B31BD5" w:rsidRDefault="00B31BD5" w:rsidP="0054178A">
            <w:pPr>
              <w:jc w:val="center"/>
              <w:rPr>
                <w:b/>
                <w:bCs/>
                <w:sz w:val="28"/>
                <w:szCs w:val="28"/>
              </w:rPr>
            </w:pPr>
          </w:p>
          <w:p w:rsidR="008B6F82" w:rsidRPr="0054178A" w:rsidRDefault="008B6F82" w:rsidP="0054178A">
            <w:pPr>
              <w:jc w:val="center"/>
              <w:rPr>
                <w:sz w:val="28"/>
                <w:szCs w:val="28"/>
              </w:rPr>
            </w:pPr>
            <w:r w:rsidRPr="0054178A">
              <w:rPr>
                <w:b/>
                <w:bCs/>
                <w:sz w:val="28"/>
                <w:szCs w:val="28"/>
              </w:rPr>
              <w:t>VII. Tiesību akta projekta izpildes nodrošināšana un tās ietekme uz institūcijām</w:t>
            </w:r>
          </w:p>
        </w:tc>
      </w:tr>
      <w:tr w:rsidR="008B6F82" w:rsidRPr="0054178A" w:rsidTr="007F2BD8">
        <w:trPr>
          <w:trHeight w:val="427"/>
          <w:tblCellSpacing w:w="0" w:type="dxa"/>
        </w:trPr>
        <w:tc>
          <w:tcPr>
            <w:tcW w:w="315" w:type="pct"/>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 1.</w:t>
            </w:r>
          </w:p>
        </w:tc>
        <w:tc>
          <w:tcPr>
            <w:tcW w:w="2061" w:type="pct"/>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Projekta izpildē iesaistītās institūcijas</w:t>
            </w:r>
          </w:p>
        </w:tc>
        <w:tc>
          <w:tcPr>
            <w:tcW w:w="2624" w:type="pct"/>
            <w:tcBorders>
              <w:top w:val="outset" w:sz="6" w:space="0" w:color="auto"/>
              <w:left w:val="outset" w:sz="6" w:space="0" w:color="auto"/>
              <w:bottom w:val="outset" w:sz="6" w:space="0" w:color="auto"/>
              <w:right w:val="outset" w:sz="6" w:space="0" w:color="auto"/>
            </w:tcBorders>
            <w:vAlign w:val="center"/>
          </w:tcPr>
          <w:p w:rsidR="008B6F82" w:rsidRPr="0054178A" w:rsidRDefault="00B31BD5" w:rsidP="0054178A">
            <w:pPr>
              <w:tabs>
                <w:tab w:val="left" w:pos="269"/>
              </w:tabs>
              <w:ind w:left="57" w:right="57" w:firstLine="354"/>
              <w:contextualSpacing/>
              <w:jc w:val="both"/>
              <w:rPr>
                <w:sz w:val="28"/>
                <w:szCs w:val="28"/>
              </w:rPr>
            </w:pPr>
            <w:r>
              <w:rPr>
                <w:sz w:val="28"/>
                <w:szCs w:val="28"/>
              </w:rPr>
              <w:t>Valsts kase, Finanšu ministrija</w:t>
            </w:r>
            <w:r w:rsidR="000721E7" w:rsidRPr="00B24797">
              <w:rPr>
                <w:sz w:val="28"/>
                <w:szCs w:val="28"/>
              </w:rPr>
              <w:t>.</w:t>
            </w:r>
          </w:p>
        </w:tc>
      </w:tr>
      <w:tr w:rsidR="008B6F82" w:rsidRPr="0054178A" w:rsidTr="007F2BD8">
        <w:trPr>
          <w:trHeight w:val="463"/>
          <w:tblCellSpacing w:w="0" w:type="dxa"/>
        </w:trPr>
        <w:tc>
          <w:tcPr>
            <w:tcW w:w="315" w:type="pct"/>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 2.</w:t>
            </w:r>
          </w:p>
        </w:tc>
        <w:tc>
          <w:tcPr>
            <w:tcW w:w="2061" w:type="pct"/>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Projekta izpildes ietekme uz pārvaldes funkcijām</w:t>
            </w:r>
            <w:r w:rsidR="00E33871" w:rsidRPr="0054178A">
              <w:rPr>
                <w:sz w:val="28"/>
                <w:szCs w:val="28"/>
              </w:rPr>
              <w:t xml:space="preserve"> un institucionālo struktūru.</w:t>
            </w:r>
          </w:p>
          <w:p w:rsidR="00E33871" w:rsidRPr="0054178A" w:rsidRDefault="00E33871" w:rsidP="0054178A">
            <w:pPr>
              <w:rPr>
                <w:sz w:val="28"/>
                <w:szCs w:val="28"/>
              </w:rPr>
            </w:pPr>
            <w:r w:rsidRPr="0054178A">
              <w:rPr>
                <w:sz w:val="28"/>
                <w:szCs w:val="28"/>
              </w:rPr>
              <w:t xml:space="preserve">Jaunu institūciju izveide, esošo institūciju likvidācija vai reorganizācija, to ietekme uz </w:t>
            </w:r>
            <w:r w:rsidRPr="0054178A">
              <w:rPr>
                <w:sz w:val="28"/>
                <w:szCs w:val="28"/>
              </w:rPr>
              <w:lastRenderedPageBreak/>
              <w:t xml:space="preserve">institūcijas cilvēkresursiem. </w:t>
            </w:r>
          </w:p>
        </w:tc>
        <w:tc>
          <w:tcPr>
            <w:tcW w:w="2624" w:type="pct"/>
            <w:tcBorders>
              <w:top w:val="outset" w:sz="6" w:space="0" w:color="auto"/>
              <w:left w:val="outset" w:sz="6" w:space="0" w:color="auto"/>
              <w:bottom w:val="outset" w:sz="6" w:space="0" w:color="auto"/>
              <w:right w:val="outset" w:sz="6" w:space="0" w:color="auto"/>
            </w:tcBorders>
          </w:tcPr>
          <w:p w:rsidR="008B6F82" w:rsidRPr="0054178A" w:rsidRDefault="00C90621" w:rsidP="00241AD3">
            <w:pPr>
              <w:ind w:left="57" w:right="57" w:firstLine="354"/>
              <w:jc w:val="both"/>
              <w:rPr>
                <w:sz w:val="28"/>
                <w:szCs w:val="28"/>
              </w:rPr>
            </w:pPr>
            <w:r w:rsidRPr="0054178A">
              <w:rPr>
                <w:sz w:val="28"/>
                <w:szCs w:val="28"/>
              </w:rPr>
              <w:lastRenderedPageBreak/>
              <w:t>P</w:t>
            </w:r>
            <w:r w:rsidR="00ED7F41" w:rsidRPr="0054178A">
              <w:rPr>
                <w:sz w:val="28"/>
                <w:szCs w:val="28"/>
              </w:rPr>
              <w:t xml:space="preserve">rojekta izpilde neietekmēs pārvaldes funkcijas </w:t>
            </w:r>
            <w:r w:rsidR="00241AD3">
              <w:rPr>
                <w:sz w:val="28"/>
                <w:szCs w:val="28"/>
              </w:rPr>
              <w:t xml:space="preserve"> </w:t>
            </w:r>
            <w:r w:rsidR="00241AD3" w:rsidRPr="005F1337">
              <w:rPr>
                <w:sz w:val="28"/>
                <w:szCs w:val="28"/>
              </w:rPr>
              <w:t>un</w:t>
            </w:r>
            <w:r w:rsidR="00241AD3" w:rsidRPr="0054178A">
              <w:rPr>
                <w:sz w:val="28"/>
                <w:szCs w:val="28"/>
              </w:rPr>
              <w:t xml:space="preserve"> </w:t>
            </w:r>
            <w:r w:rsidR="00ED7F41" w:rsidRPr="0054178A">
              <w:rPr>
                <w:sz w:val="28"/>
                <w:szCs w:val="28"/>
              </w:rPr>
              <w:t>institucionālo struktūru.</w:t>
            </w:r>
          </w:p>
        </w:tc>
      </w:tr>
      <w:tr w:rsidR="008B6F82" w:rsidRPr="0054178A" w:rsidTr="007F2BD8">
        <w:trPr>
          <w:trHeight w:val="476"/>
          <w:tblCellSpacing w:w="0" w:type="dxa"/>
        </w:trPr>
        <w:tc>
          <w:tcPr>
            <w:tcW w:w="315" w:type="pct"/>
            <w:tcBorders>
              <w:top w:val="outset" w:sz="6" w:space="0" w:color="auto"/>
              <w:left w:val="outset" w:sz="6" w:space="0" w:color="auto"/>
              <w:bottom w:val="outset" w:sz="6" w:space="0" w:color="auto"/>
              <w:right w:val="outset" w:sz="6" w:space="0" w:color="auto"/>
            </w:tcBorders>
          </w:tcPr>
          <w:p w:rsidR="008B6F82" w:rsidRPr="0054178A" w:rsidRDefault="005624BC" w:rsidP="0054178A">
            <w:pPr>
              <w:rPr>
                <w:sz w:val="28"/>
                <w:szCs w:val="28"/>
              </w:rPr>
            </w:pPr>
            <w:r w:rsidRPr="0054178A">
              <w:rPr>
                <w:sz w:val="28"/>
                <w:szCs w:val="28"/>
              </w:rPr>
              <w:lastRenderedPageBreak/>
              <w:t> 3</w:t>
            </w:r>
            <w:r w:rsidR="008B6F82" w:rsidRPr="0054178A">
              <w:rPr>
                <w:sz w:val="28"/>
                <w:szCs w:val="28"/>
              </w:rPr>
              <w:t>.</w:t>
            </w:r>
          </w:p>
        </w:tc>
        <w:tc>
          <w:tcPr>
            <w:tcW w:w="2061" w:type="pct"/>
            <w:tcBorders>
              <w:top w:val="outset" w:sz="6" w:space="0" w:color="auto"/>
              <w:left w:val="outset" w:sz="6" w:space="0" w:color="auto"/>
              <w:bottom w:val="outset" w:sz="6" w:space="0" w:color="auto"/>
              <w:right w:val="outset" w:sz="6" w:space="0" w:color="auto"/>
            </w:tcBorders>
          </w:tcPr>
          <w:p w:rsidR="008B6F82" w:rsidRPr="0054178A" w:rsidRDefault="008B6F82" w:rsidP="0054178A">
            <w:pPr>
              <w:rPr>
                <w:sz w:val="28"/>
                <w:szCs w:val="28"/>
              </w:rPr>
            </w:pPr>
            <w:r w:rsidRPr="0054178A">
              <w:rPr>
                <w:sz w:val="28"/>
                <w:szCs w:val="28"/>
              </w:rPr>
              <w:t> Cita informācija</w:t>
            </w:r>
          </w:p>
        </w:tc>
        <w:tc>
          <w:tcPr>
            <w:tcW w:w="2624" w:type="pct"/>
            <w:tcBorders>
              <w:top w:val="outset" w:sz="6" w:space="0" w:color="auto"/>
              <w:left w:val="outset" w:sz="6" w:space="0" w:color="auto"/>
              <w:bottom w:val="outset" w:sz="6" w:space="0" w:color="auto"/>
              <w:right w:val="outset" w:sz="6" w:space="0" w:color="auto"/>
            </w:tcBorders>
          </w:tcPr>
          <w:p w:rsidR="008B6F82" w:rsidRPr="0054178A" w:rsidRDefault="00391CB8" w:rsidP="0054178A">
            <w:pPr>
              <w:ind w:left="-19"/>
              <w:rPr>
                <w:sz w:val="28"/>
                <w:szCs w:val="28"/>
              </w:rPr>
            </w:pPr>
            <w:r w:rsidRPr="0054178A">
              <w:rPr>
                <w:sz w:val="28"/>
                <w:szCs w:val="28"/>
              </w:rPr>
              <w:t xml:space="preserve"> </w:t>
            </w:r>
            <w:r w:rsidR="008B6F82" w:rsidRPr="0054178A">
              <w:rPr>
                <w:sz w:val="28"/>
                <w:szCs w:val="28"/>
              </w:rPr>
              <w:t>Nav</w:t>
            </w:r>
          </w:p>
        </w:tc>
      </w:tr>
      <w:bookmarkEnd w:id="2"/>
      <w:bookmarkEnd w:id="3"/>
      <w:bookmarkEnd w:id="4"/>
      <w:bookmarkEnd w:id="5"/>
    </w:tbl>
    <w:p w:rsidR="00D26F38" w:rsidRDefault="00D26F38" w:rsidP="0054178A">
      <w:pPr>
        <w:ind w:left="284"/>
        <w:rPr>
          <w:sz w:val="28"/>
          <w:szCs w:val="28"/>
        </w:rPr>
      </w:pPr>
    </w:p>
    <w:p w:rsidR="00C376EB" w:rsidRDefault="00C376EB" w:rsidP="0054178A">
      <w:pPr>
        <w:ind w:left="284"/>
        <w:rPr>
          <w:sz w:val="28"/>
          <w:szCs w:val="28"/>
        </w:rPr>
      </w:pPr>
    </w:p>
    <w:p w:rsidR="008B6F82" w:rsidRDefault="00B31BD5" w:rsidP="0054178A">
      <w:pPr>
        <w:ind w:left="284"/>
        <w:rPr>
          <w:sz w:val="28"/>
          <w:szCs w:val="28"/>
        </w:rPr>
      </w:pPr>
      <w:r>
        <w:rPr>
          <w:sz w:val="28"/>
          <w:szCs w:val="28"/>
        </w:rPr>
        <w:t>Finanšu ministr</w:t>
      </w:r>
      <w:r w:rsidR="00E51F20">
        <w:rPr>
          <w:sz w:val="28"/>
          <w:szCs w:val="28"/>
        </w:rPr>
        <w:t>e</w:t>
      </w:r>
      <w:r w:rsidR="008B6F82" w:rsidRPr="0054178A">
        <w:rPr>
          <w:sz w:val="28"/>
          <w:szCs w:val="28"/>
        </w:rPr>
        <w:tab/>
      </w:r>
      <w:r w:rsidR="008B6F82" w:rsidRPr="0054178A">
        <w:rPr>
          <w:sz w:val="28"/>
          <w:szCs w:val="28"/>
        </w:rPr>
        <w:tab/>
      </w:r>
      <w:r w:rsidR="001D5FA5" w:rsidRPr="0054178A">
        <w:rPr>
          <w:sz w:val="28"/>
          <w:szCs w:val="28"/>
        </w:rPr>
        <w:tab/>
      </w:r>
      <w:r w:rsidR="001D5FA5" w:rsidRPr="0054178A">
        <w:rPr>
          <w:sz w:val="28"/>
          <w:szCs w:val="28"/>
        </w:rPr>
        <w:tab/>
      </w:r>
      <w:r w:rsidR="001D5FA5" w:rsidRPr="0054178A">
        <w:rPr>
          <w:sz w:val="28"/>
          <w:szCs w:val="28"/>
        </w:rPr>
        <w:tab/>
      </w:r>
      <w:r w:rsidR="001D5FA5" w:rsidRPr="0054178A">
        <w:rPr>
          <w:sz w:val="28"/>
          <w:szCs w:val="28"/>
        </w:rPr>
        <w:tab/>
      </w:r>
      <w:r w:rsidR="001D5FA5" w:rsidRPr="0054178A">
        <w:rPr>
          <w:sz w:val="28"/>
          <w:szCs w:val="28"/>
        </w:rPr>
        <w:tab/>
      </w:r>
      <w:r>
        <w:rPr>
          <w:sz w:val="28"/>
          <w:szCs w:val="28"/>
        </w:rPr>
        <w:t xml:space="preserve">      </w:t>
      </w:r>
      <w:proofErr w:type="spellStart"/>
      <w:r w:rsidR="00E51F20">
        <w:rPr>
          <w:sz w:val="28"/>
          <w:szCs w:val="28"/>
        </w:rPr>
        <w:t>D.Reizniece-Ozola</w:t>
      </w:r>
      <w:proofErr w:type="spellEnd"/>
    </w:p>
    <w:p w:rsidR="00C376EB" w:rsidRDefault="00C376EB" w:rsidP="0054178A">
      <w:pPr>
        <w:ind w:left="284"/>
        <w:rPr>
          <w:sz w:val="28"/>
          <w:szCs w:val="28"/>
        </w:rPr>
      </w:pPr>
    </w:p>
    <w:p w:rsidR="00C376EB" w:rsidRPr="0054178A" w:rsidRDefault="00C376EB" w:rsidP="0054178A">
      <w:pPr>
        <w:ind w:left="284"/>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633625" w:rsidRDefault="00633625" w:rsidP="0054178A">
      <w:pPr>
        <w:suppressAutoHyphens w:val="0"/>
        <w:rPr>
          <w:rFonts w:eastAsia="Calibri"/>
          <w:sz w:val="22"/>
          <w:szCs w:val="22"/>
        </w:rPr>
      </w:pPr>
      <w:bookmarkStart w:id="6" w:name="_GoBack"/>
      <w:bookmarkEnd w:id="6"/>
    </w:p>
    <w:p w:rsidR="00C376EB" w:rsidRDefault="00C376EB" w:rsidP="004F0F32">
      <w:pPr>
        <w:tabs>
          <w:tab w:val="left" w:pos="1340"/>
        </w:tabs>
        <w:rPr>
          <w:rFonts w:asciiTheme="majorBidi" w:eastAsia="Calibri" w:hAnsiTheme="majorBidi" w:cstheme="majorBidi"/>
          <w:lang w:eastAsia="en-US"/>
        </w:rPr>
      </w:pPr>
    </w:p>
    <w:p w:rsidR="00C376EB" w:rsidRDefault="00C376EB" w:rsidP="004F0F32">
      <w:pPr>
        <w:tabs>
          <w:tab w:val="left" w:pos="1340"/>
        </w:tabs>
        <w:rPr>
          <w:rFonts w:asciiTheme="majorBidi" w:eastAsia="Calibri" w:hAnsiTheme="majorBidi" w:cstheme="majorBidi"/>
          <w:lang w:eastAsia="en-US"/>
        </w:rPr>
      </w:pPr>
    </w:p>
    <w:p w:rsidR="00B31BD5" w:rsidRPr="00541BBD" w:rsidRDefault="00C50F5C" w:rsidP="004F0F32">
      <w:pPr>
        <w:tabs>
          <w:tab w:val="left" w:pos="1340"/>
        </w:tabs>
        <w:rPr>
          <w:rFonts w:asciiTheme="majorBidi" w:hAnsiTheme="majorBidi" w:cstheme="majorBidi"/>
        </w:rPr>
      </w:pPr>
      <w:r w:rsidRPr="00541BBD">
        <w:rPr>
          <w:rFonts w:asciiTheme="majorBidi" w:eastAsia="Calibri" w:hAnsiTheme="majorBidi" w:cstheme="majorBidi"/>
          <w:lang w:eastAsia="en-US"/>
        </w:rPr>
        <w:t>A.Sticere</w:t>
      </w:r>
      <w:r w:rsidR="004F0F32" w:rsidRPr="00541BBD">
        <w:rPr>
          <w:rFonts w:asciiTheme="majorBidi" w:eastAsia="Calibri" w:hAnsiTheme="majorBidi" w:cstheme="majorBidi"/>
          <w:lang w:eastAsia="en-US"/>
        </w:rPr>
        <w:tab/>
      </w:r>
    </w:p>
    <w:p w:rsidR="00241AD3" w:rsidRPr="00541BBD" w:rsidRDefault="00B31BD5" w:rsidP="00C10416">
      <w:pPr>
        <w:rPr>
          <w:rStyle w:val="Hyperlink"/>
          <w:rFonts w:asciiTheme="majorBidi" w:hAnsiTheme="majorBidi" w:cstheme="majorBidi"/>
        </w:rPr>
      </w:pPr>
      <w:bookmarkStart w:id="7" w:name="OLE_LINK31"/>
      <w:bookmarkStart w:id="8" w:name="OLE_LINK32"/>
      <w:r w:rsidRPr="00541BBD">
        <w:rPr>
          <w:rFonts w:asciiTheme="majorBidi" w:eastAsia="Calibri" w:hAnsiTheme="majorBidi" w:cstheme="majorBidi"/>
          <w:lang w:eastAsia="en-US"/>
        </w:rPr>
        <w:t>Tālr.67094</w:t>
      </w:r>
      <w:r w:rsidR="00C50F5C" w:rsidRPr="00541BBD">
        <w:rPr>
          <w:rFonts w:asciiTheme="majorBidi" w:eastAsia="Calibri" w:hAnsiTheme="majorBidi" w:cstheme="majorBidi"/>
          <w:lang w:eastAsia="en-US"/>
        </w:rPr>
        <w:t>226</w:t>
      </w:r>
      <w:r w:rsidRPr="00541BBD">
        <w:rPr>
          <w:rFonts w:asciiTheme="majorBidi" w:eastAsia="Calibri" w:hAnsiTheme="majorBidi" w:cstheme="majorBidi"/>
          <w:lang w:eastAsia="en-US"/>
        </w:rPr>
        <w:t xml:space="preserve">, </w:t>
      </w:r>
      <w:hyperlink r:id="rId13" w:history="1">
        <w:r w:rsidR="00241AD3" w:rsidRPr="00541BBD">
          <w:rPr>
            <w:rStyle w:val="Hyperlink"/>
            <w:rFonts w:asciiTheme="majorBidi" w:hAnsiTheme="majorBidi" w:cstheme="majorBidi"/>
          </w:rPr>
          <w:t>Anna.Sticere@kase.gov.lv</w:t>
        </w:r>
      </w:hyperlink>
      <w:bookmarkEnd w:id="7"/>
      <w:bookmarkEnd w:id="8"/>
    </w:p>
    <w:p w:rsidR="00241AD3" w:rsidRPr="00541BBD" w:rsidRDefault="00241AD3" w:rsidP="00241AD3">
      <w:pPr>
        <w:jc w:val="both"/>
      </w:pPr>
      <w:r w:rsidRPr="00541BBD">
        <w:t>Ž.Zvaigzne</w:t>
      </w:r>
    </w:p>
    <w:p w:rsidR="00241AD3" w:rsidRPr="00541BBD" w:rsidRDefault="00241AD3" w:rsidP="00241AD3">
      <w:pPr>
        <w:jc w:val="both"/>
      </w:pPr>
      <w:r w:rsidRPr="00541BBD">
        <w:t xml:space="preserve">67083976, </w:t>
      </w:r>
      <w:hyperlink r:id="rId14" w:history="1">
        <w:r w:rsidRPr="00541BBD">
          <w:rPr>
            <w:rStyle w:val="Hyperlink"/>
          </w:rPr>
          <w:t>Zanete.Zvaigzne@fm.gov.lv</w:t>
        </w:r>
      </w:hyperlink>
    </w:p>
    <w:p w:rsidR="00241AD3" w:rsidRPr="00671281" w:rsidRDefault="00241AD3" w:rsidP="00C10416">
      <w:pPr>
        <w:rPr>
          <w:rStyle w:val="Hyperlink"/>
          <w:color w:val="auto"/>
          <w:sz w:val="22"/>
          <w:szCs w:val="22"/>
          <w:u w:val="none"/>
        </w:rPr>
      </w:pPr>
    </w:p>
    <w:sectPr w:rsidR="00241AD3" w:rsidRPr="00671281" w:rsidSect="005624BC">
      <w:headerReference w:type="default" r:id="rId15"/>
      <w:footerReference w:type="default" r:id="rId16"/>
      <w:footerReference w:type="first" r:id="rId17"/>
      <w:pgSz w:w="11906" w:h="16838"/>
      <w:pgMar w:top="1135" w:right="1134"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7C" w:rsidRDefault="0076497C" w:rsidP="00DD3EC5">
      <w:r>
        <w:separator/>
      </w:r>
    </w:p>
    <w:p w:rsidR="0076497C" w:rsidRDefault="0076497C"/>
    <w:p w:rsidR="0076497C" w:rsidRDefault="0076497C"/>
  </w:endnote>
  <w:endnote w:type="continuationSeparator" w:id="0">
    <w:p w:rsidR="0076497C" w:rsidRDefault="0076497C" w:rsidP="00DD3EC5">
      <w:r>
        <w:continuationSeparator/>
      </w:r>
    </w:p>
    <w:p w:rsidR="0076497C" w:rsidRDefault="0076497C"/>
    <w:p w:rsidR="0076497C" w:rsidRDefault="00764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71" w:rsidRPr="00FC534A" w:rsidRDefault="00B87A71" w:rsidP="00B87A71">
    <w:pPr>
      <w:jc w:val="both"/>
      <w:rPr>
        <w:sz w:val="20"/>
        <w:szCs w:val="20"/>
      </w:rPr>
    </w:pPr>
    <w:r w:rsidRPr="00FC534A">
      <w:rPr>
        <w:sz w:val="20"/>
        <w:szCs w:val="20"/>
      </w:rPr>
      <w:t>FM</w:t>
    </w:r>
    <w:r w:rsidR="00E8414D" w:rsidRPr="00FC534A">
      <w:rPr>
        <w:sz w:val="20"/>
        <w:szCs w:val="20"/>
      </w:rPr>
      <w:t>a</w:t>
    </w:r>
    <w:r w:rsidRPr="00FC534A">
      <w:rPr>
        <w:sz w:val="20"/>
        <w:szCs w:val="20"/>
      </w:rPr>
      <w:t>not_1</w:t>
    </w:r>
    <w:r w:rsidR="00E671D0">
      <w:rPr>
        <w:sz w:val="20"/>
        <w:szCs w:val="20"/>
      </w:rPr>
      <w:t>4</w:t>
    </w:r>
    <w:r w:rsidRPr="00FC534A">
      <w:rPr>
        <w:sz w:val="20"/>
        <w:szCs w:val="20"/>
      </w:rPr>
      <w:t>1116_Grozījum</w:t>
    </w:r>
    <w:r w:rsidR="00DE5481" w:rsidRPr="00FC534A">
      <w:rPr>
        <w:sz w:val="20"/>
        <w:szCs w:val="20"/>
      </w:rPr>
      <w:t>i</w:t>
    </w:r>
    <w:r w:rsidRPr="00FC534A">
      <w:rPr>
        <w:bCs/>
        <w:sz w:val="20"/>
        <w:szCs w:val="20"/>
        <w:lang w:eastAsia="lv-LV"/>
      </w:rPr>
      <w:t xml:space="preserve"> LBFV </w:t>
    </w:r>
  </w:p>
  <w:p w:rsidR="00CB3399" w:rsidRPr="00197CF8" w:rsidRDefault="00CB3399" w:rsidP="00197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99" w:rsidRPr="00FC534A" w:rsidRDefault="00CB3399" w:rsidP="00D62B59">
    <w:pPr>
      <w:jc w:val="both"/>
      <w:rPr>
        <w:sz w:val="20"/>
        <w:szCs w:val="20"/>
      </w:rPr>
    </w:pPr>
    <w:r w:rsidRPr="00FC534A">
      <w:rPr>
        <w:sz w:val="20"/>
        <w:szCs w:val="20"/>
      </w:rPr>
      <w:t>FM</w:t>
    </w:r>
    <w:r w:rsidR="00E8414D" w:rsidRPr="00FC534A">
      <w:rPr>
        <w:sz w:val="20"/>
        <w:szCs w:val="20"/>
      </w:rPr>
      <w:t>a</w:t>
    </w:r>
    <w:r w:rsidRPr="00FC534A">
      <w:rPr>
        <w:sz w:val="20"/>
        <w:szCs w:val="20"/>
      </w:rPr>
      <w:t>not_</w:t>
    </w:r>
    <w:r w:rsidR="00B87A71" w:rsidRPr="00FC534A">
      <w:rPr>
        <w:sz w:val="20"/>
        <w:szCs w:val="20"/>
      </w:rPr>
      <w:t>1</w:t>
    </w:r>
    <w:r w:rsidR="00E671D0">
      <w:rPr>
        <w:sz w:val="20"/>
        <w:szCs w:val="20"/>
      </w:rPr>
      <w:t>4</w:t>
    </w:r>
    <w:r w:rsidR="00DC6688" w:rsidRPr="00FC534A">
      <w:rPr>
        <w:sz w:val="20"/>
        <w:szCs w:val="20"/>
      </w:rPr>
      <w:t>11</w:t>
    </w:r>
    <w:r w:rsidR="00182A74" w:rsidRPr="00FC534A">
      <w:rPr>
        <w:sz w:val="20"/>
        <w:szCs w:val="20"/>
      </w:rPr>
      <w:t>16</w:t>
    </w:r>
    <w:r w:rsidRPr="00FC534A">
      <w:rPr>
        <w:sz w:val="20"/>
        <w:szCs w:val="20"/>
      </w:rPr>
      <w:t>_</w:t>
    </w:r>
    <w:r w:rsidR="00975669" w:rsidRPr="00FC534A">
      <w:rPr>
        <w:sz w:val="20"/>
        <w:szCs w:val="20"/>
      </w:rPr>
      <w:t>Grozījum</w:t>
    </w:r>
    <w:r w:rsidR="00DE5481" w:rsidRPr="00FC534A">
      <w:rPr>
        <w:sz w:val="20"/>
        <w:szCs w:val="20"/>
      </w:rPr>
      <w:t>i</w:t>
    </w:r>
    <w:r w:rsidRPr="00FC534A">
      <w:rPr>
        <w:bCs/>
        <w:sz w:val="20"/>
        <w:szCs w:val="20"/>
        <w:lang w:eastAsia="lv-LV"/>
      </w:rPr>
      <w:t xml:space="preserve"> </w:t>
    </w:r>
    <w:r w:rsidR="00B87A71" w:rsidRPr="00FC534A">
      <w:rPr>
        <w:bCs/>
        <w:sz w:val="20"/>
        <w:szCs w:val="20"/>
        <w:lang w:eastAsia="lv-LV"/>
      </w:rPr>
      <w:t xml:space="preserve">LBFV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7C" w:rsidRDefault="0076497C" w:rsidP="00DD3EC5">
      <w:r>
        <w:separator/>
      </w:r>
    </w:p>
    <w:p w:rsidR="0076497C" w:rsidRDefault="0076497C"/>
    <w:p w:rsidR="0076497C" w:rsidRDefault="0076497C"/>
  </w:footnote>
  <w:footnote w:type="continuationSeparator" w:id="0">
    <w:p w:rsidR="0076497C" w:rsidRDefault="0076497C" w:rsidP="00DD3EC5">
      <w:r>
        <w:continuationSeparator/>
      </w:r>
    </w:p>
    <w:p w:rsidR="0076497C" w:rsidRDefault="0076497C"/>
    <w:p w:rsidR="0076497C" w:rsidRDefault="007649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6242"/>
      <w:docPartObj>
        <w:docPartGallery w:val="Page Numbers (Top of Page)"/>
        <w:docPartUnique/>
      </w:docPartObj>
    </w:sdtPr>
    <w:sdtEndPr/>
    <w:sdtContent>
      <w:p w:rsidR="00CB3399" w:rsidRDefault="00CB3399">
        <w:pPr>
          <w:pStyle w:val="Header"/>
          <w:jc w:val="center"/>
        </w:pPr>
        <w:r w:rsidRPr="00C71066">
          <w:rPr>
            <w:sz w:val="22"/>
            <w:szCs w:val="22"/>
          </w:rPr>
          <w:fldChar w:fldCharType="begin"/>
        </w:r>
        <w:r w:rsidRPr="00C71066">
          <w:rPr>
            <w:sz w:val="22"/>
            <w:szCs w:val="22"/>
          </w:rPr>
          <w:instrText xml:space="preserve"> PAGE   \* MERGEFORMAT </w:instrText>
        </w:r>
        <w:r w:rsidRPr="00C71066">
          <w:rPr>
            <w:sz w:val="22"/>
            <w:szCs w:val="22"/>
          </w:rPr>
          <w:fldChar w:fldCharType="separate"/>
        </w:r>
        <w:r w:rsidR="009251F5">
          <w:rPr>
            <w:noProof/>
            <w:sz w:val="22"/>
            <w:szCs w:val="22"/>
          </w:rPr>
          <w:t>2</w:t>
        </w:r>
        <w:r w:rsidRPr="00C71066">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3DD"/>
    <w:multiLevelType w:val="hybridMultilevel"/>
    <w:tmpl w:val="5840F6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2B4DB0"/>
    <w:multiLevelType w:val="hybridMultilevel"/>
    <w:tmpl w:val="B64AE3CC"/>
    <w:lvl w:ilvl="0" w:tplc="F77042D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5367DB2"/>
    <w:multiLevelType w:val="hybridMultilevel"/>
    <w:tmpl w:val="E1200734"/>
    <w:lvl w:ilvl="0" w:tplc="0426000F">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
    <w:nsid w:val="45F747C3"/>
    <w:multiLevelType w:val="hybridMultilevel"/>
    <w:tmpl w:val="9AC604CC"/>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4">
    <w:nsid w:val="5268202E"/>
    <w:multiLevelType w:val="hybridMultilevel"/>
    <w:tmpl w:val="F65256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Žanete Zvaigzne">
    <w15:presenceInfo w15:providerId="None" w15:userId="Žanete Zvaigz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82"/>
    <w:rsid w:val="0000029F"/>
    <w:rsid w:val="00001203"/>
    <w:rsid w:val="00001E08"/>
    <w:rsid w:val="00004974"/>
    <w:rsid w:val="00007604"/>
    <w:rsid w:val="00007670"/>
    <w:rsid w:val="000178F6"/>
    <w:rsid w:val="00017D9B"/>
    <w:rsid w:val="00021A72"/>
    <w:rsid w:val="000227E1"/>
    <w:rsid w:val="000250CC"/>
    <w:rsid w:val="00026004"/>
    <w:rsid w:val="00026B1B"/>
    <w:rsid w:val="00037157"/>
    <w:rsid w:val="00040719"/>
    <w:rsid w:val="00040F9F"/>
    <w:rsid w:val="0004343C"/>
    <w:rsid w:val="00044018"/>
    <w:rsid w:val="0004640F"/>
    <w:rsid w:val="000466AE"/>
    <w:rsid w:val="000472C7"/>
    <w:rsid w:val="0005390A"/>
    <w:rsid w:val="00056514"/>
    <w:rsid w:val="00061235"/>
    <w:rsid w:val="00061C57"/>
    <w:rsid w:val="0006276E"/>
    <w:rsid w:val="00063123"/>
    <w:rsid w:val="000645FA"/>
    <w:rsid w:val="00070D13"/>
    <w:rsid w:val="000721E7"/>
    <w:rsid w:val="00082CA8"/>
    <w:rsid w:val="0008590D"/>
    <w:rsid w:val="00090CBA"/>
    <w:rsid w:val="00091664"/>
    <w:rsid w:val="0009245B"/>
    <w:rsid w:val="00095AC3"/>
    <w:rsid w:val="00097B02"/>
    <w:rsid w:val="000A2E43"/>
    <w:rsid w:val="000A3302"/>
    <w:rsid w:val="000A446E"/>
    <w:rsid w:val="000A6ADC"/>
    <w:rsid w:val="000A76FD"/>
    <w:rsid w:val="000B203B"/>
    <w:rsid w:val="000B691F"/>
    <w:rsid w:val="000C2816"/>
    <w:rsid w:val="000C59E5"/>
    <w:rsid w:val="000C6331"/>
    <w:rsid w:val="000D3A02"/>
    <w:rsid w:val="000E5720"/>
    <w:rsid w:val="000F00EE"/>
    <w:rsid w:val="000F5EC1"/>
    <w:rsid w:val="000F5EC9"/>
    <w:rsid w:val="001004B3"/>
    <w:rsid w:val="001014E1"/>
    <w:rsid w:val="00102FD0"/>
    <w:rsid w:val="00105188"/>
    <w:rsid w:val="00106A20"/>
    <w:rsid w:val="001122F9"/>
    <w:rsid w:val="00113F55"/>
    <w:rsid w:val="00117AF5"/>
    <w:rsid w:val="00122412"/>
    <w:rsid w:val="00122C78"/>
    <w:rsid w:val="00124536"/>
    <w:rsid w:val="0013246E"/>
    <w:rsid w:val="0013373B"/>
    <w:rsid w:val="00133A0B"/>
    <w:rsid w:val="00134A0E"/>
    <w:rsid w:val="001446B1"/>
    <w:rsid w:val="00147CE8"/>
    <w:rsid w:val="00156ACB"/>
    <w:rsid w:val="00170D79"/>
    <w:rsid w:val="00180513"/>
    <w:rsid w:val="00182248"/>
    <w:rsid w:val="00182A74"/>
    <w:rsid w:val="00187A63"/>
    <w:rsid w:val="001937D2"/>
    <w:rsid w:val="00196653"/>
    <w:rsid w:val="00196A8A"/>
    <w:rsid w:val="00197CF8"/>
    <w:rsid w:val="001A0C1B"/>
    <w:rsid w:val="001A2625"/>
    <w:rsid w:val="001A33BF"/>
    <w:rsid w:val="001A3EDE"/>
    <w:rsid w:val="001B1EA9"/>
    <w:rsid w:val="001B1FC5"/>
    <w:rsid w:val="001C1039"/>
    <w:rsid w:val="001C4D8C"/>
    <w:rsid w:val="001C540D"/>
    <w:rsid w:val="001C7C4C"/>
    <w:rsid w:val="001D1CB0"/>
    <w:rsid w:val="001D3E69"/>
    <w:rsid w:val="001D450D"/>
    <w:rsid w:val="001D5014"/>
    <w:rsid w:val="001D5BF8"/>
    <w:rsid w:val="001D5FA5"/>
    <w:rsid w:val="001E276D"/>
    <w:rsid w:val="001E7A66"/>
    <w:rsid w:val="001F05AC"/>
    <w:rsid w:val="001F0825"/>
    <w:rsid w:val="001F0BBC"/>
    <w:rsid w:val="001F20D6"/>
    <w:rsid w:val="001F27C1"/>
    <w:rsid w:val="001F2F77"/>
    <w:rsid w:val="001F530F"/>
    <w:rsid w:val="001F5BE9"/>
    <w:rsid w:val="001F7CE7"/>
    <w:rsid w:val="002015A1"/>
    <w:rsid w:val="002044DE"/>
    <w:rsid w:val="00206237"/>
    <w:rsid w:val="00222387"/>
    <w:rsid w:val="002232D2"/>
    <w:rsid w:val="002273E0"/>
    <w:rsid w:val="0023284B"/>
    <w:rsid w:val="0023390E"/>
    <w:rsid w:val="00233E61"/>
    <w:rsid w:val="00234644"/>
    <w:rsid w:val="00236845"/>
    <w:rsid w:val="00241545"/>
    <w:rsid w:val="00241AD3"/>
    <w:rsid w:val="00242514"/>
    <w:rsid w:val="00242720"/>
    <w:rsid w:val="00245FE7"/>
    <w:rsid w:val="00247A8B"/>
    <w:rsid w:val="00253470"/>
    <w:rsid w:val="00254261"/>
    <w:rsid w:val="00254583"/>
    <w:rsid w:val="00255A9D"/>
    <w:rsid w:val="002622A9"/>
    <w:rsid w:val="00262A66"/>
    <w:rsid w:val="00262F3E"/>
    <w:rsid w:val="00264F97"/>
    <w:rsid w:val="00266DD2"/>
    <w:rsid w:val="00276567"/>
    <w:rsid w:val="00280AE2"/>
    <w:rsid w:val="00281A9E"/>
    <w:rsid w:val="0028522F"/>
    <w:rsid w:val="002853F4"/>
    <w:rsid w:val="0028643E"/>
    <w:rsid w:val="00290C0B"/>
    <w:rsid w:val="00293EB0"/>
    <w:rsid w:val="00296E56"/>
    <w:rsid w:val="0029743B"/>
    <w:rsid w:val="002A29B7"/>
    <w:rsid w:val="002B116F"/>
    <w:rsid w:val="002B4250"/>
    <w:rsid w:val="002B5D22"/>
    <w:rsid w:val="002B6E86"/>
    <w:rsid w:val="002C144E"/>
    <w:rsid w:val="002C7391"/>
    <w:rsid w:val="002D4E67"/>
    <w:rsid w:val="002E1E98"/>
    <w:rsid w:val="002E646F"/>
    <w:rsid w:val="002E6AB3"/>
    <w:rsid w:val="002F1137"/>
    <w:rsid w:val="002F1AD0"/>
    <w:rsid w:val="002F38FE"/>
    <w:rsid w:val="002F66EE"/>
    <w:rsid w:val="00303334"/>
    <w:rsid w:val="00303A52"/>
    <w:rsid w:val="00310F21"/>
    <w:rsid w:val="0031428D"/>
    <w:rsid w:val="00316006"/>
    <w:rsid w:val="00317575"/>
    <w:rsid w:val="00324CE0"/>
    <w:rsid w:val="00324F18"/>
    <w:rsid w:val="00326CEC"/>
    <w:rsid w:val="003348C6"/>
    <w:rsid w:val="003540DF"/>
    <w:rsid w:val="003564E1"/>
    <w:rsid w:val="003565FE"/>
    <w:rsid w:val="00357C91"/>
    <w:rsid w:val="00364DF1"/>
    <w:rsid w:val="0036524F"/>
    <w:rsid w:val="00366758"/>
    <w:rsid w:val="0037281C"/>
    <w:rsid w:val="00372B5B"/>
    <w:rsid w:val="00375CBE"/>
    <w:rsid w:val="003801D8"/>
    <w:rsid w:val="00383C7C"/>
    <w:rsid w:val="00384CE9"/>
    <w:rsid w:val="00384DE1"/>
    <w:rsid w:val="00385585"/>
    <w:rsid w:val="00386227"/>
    <w:rsid w:val="003862EC"/>
    <w:rsid w:val="0038679D"/>
    <w:rsid w:val="00391CB8"/>
    <w:rsid w:val="0039318D"/>
    <w:rsid w:val="0039325C"/>
    <w:rsid w:val="0039497C"/>
    <w:rsid w:val="00394996"/>
    <w:rsid w:val="003A397A"/>
    <w:rsid w:val="003B06E5"/>
    <w:rsid w:val="003B3E0F"/>
    <w:rsid w:val="003B60B7"/>
    <w:rsid w:val="003C6028"/>
    <w:rsid w:val="003C6AF9"/>
    <w:rsid w:val="003D1FE9"/>
    <w:rsid w:val="003D26BA"/>
    <w:rsid w:val="003D5B60"/>
    <w:rsid w:val="003D5CF4"/>
    <w:rsid w:val="003E7A49"/>
    <w:rsid w:val="003E7E7B"/>
    <w:rsid w:val="003F1058"/>
    <w:rsid w:val="003F5519"/>
    <w:rsid w:val="003F59B0"/>
    <w:rsid w:val="003F6B86"/>
    <w:rsid w:val="003F75DF"/>
    <w:rsid w:val="003F7B5A"/>
    <w:rsid w:val="00400C8D"/>
    <w:rsid w:val="00400F7E"/>
    <w:rsid w:val="00401C98"/>
    <w:rsid w:val="004038EE"/>
    <w:rsid w:val="00403919"/>
    <w:rsid w:val="00415F1B"/>
    <w:rsid w:val="004162BC"/>
    <w:rsid w:val="004167FA"/>
    <w:rsid w:val="00422346"/>
    <w:rsid w:val="00426B45"/>
    <w:rsid w:val="00432119"/>
    <w:rsid w:val="00436954"/>
    <w:rsid w:val="00437FC3"/>
    <w:rsid w:val="00443246"/>
    <w:rsid w:val="00443735"/>
    <w:rsid w:val="00443AB1"/>
    <w:rsid w:val="0044528E"/>
    <w:rsid w:val="0044643F"/>
    <w:rsid w:val="0044691C"/>
    <w:rsid w:val="00451396"/>
    <w:rsid w:val="00461E48"/>
    <w:rsid w:val="00467110"/>
    <w:rsid w:val="00467145"/>
    <w:rsid w:val="00467C3E"/>
    <w:rsid w:val="00470EB3"/>
    <w:rsid w:val="00474CE4"/>
    <w:rsid w:val="004762D4"/>
    <w:rsid w:val="00482C15"/>
    <w:rsid w:val="00486D8B"/>
    <w:rsid w:val="00487499"/>
    <w:rsid w:val="004928E5"/>
    <w:rsid w:val="00495E2D"/>
    <w:rsid w:val="0049688C"/>
    <w:rsid w:val="0049777D"/>
    <w:rsid w:val="004A019A"/>
    <w:rsid w:val="004A3875"/>
    <w:rsid w:val="004A5669"/>
    <w:rsid w:val="004A5A0B"/>
    <w:rsid w:val="004A68EF"/>
    <w:rsid w:val="004B043D"/>
    <w:rsid w:val="004B0601"/>
    <w:rsid w:val="004B33E7"/>
    <w:rsid w:val="004B51A8"/>
    <w:rsid w:val="004C1236"/>
    <w:rsid w:val="004C3045"/>
    <w:rsid w:val="004C3742"/>
    <w:rsid w:val="004D0F45"/>
    <w:rsid w:val="004D2CB5"/>
    <w:rsid w:val="004D47E6"/>
    <w:rsid w:val="004D6339"/>
    <w:rsid w:val="004D6EB2"/>
    <w:rsid w:val="004E1F71"/>
    <w:rsid w:val="004E51C0"/>
    <w:rsid w:val="004E6099"/>
    <w:rsid w:val="004F0F32"/>
    <w:rsid w:val="004F0FB2"/>
    <w:rsid w:val="004F2496"/>
    <w:rsid w:val="004F4118"/>
    <w:rsid w:val="004F7923"/>
    <w:rsid w:val="005022AD"/>
    <w:rsid w:val="00503FA9"/>
    <w:rsid w:val="005070AF"/>
    <w:rsid w:val="00507BC4"/>
    <w:rsid w:val="00516FA5"/>
    <w:rsid w:val="005221BD"/>
    <w:rsid w:val="00523A53"/>
    <w:rsid w:val="0052647C"/>
    <w:rsid w:val="00530FAD"/>
    <w:rsid w:val="0053198D"/>
    <w:rsid w:val="00531ADA"/>
    <w:rsid w:val="00532C26"/>
    <w:rsid w:val="00541476"/>
    <w:rsid w:val="0054178A"/>
    <w:rsid w:val="00541BBD"/>
    <w:rsid w:val="00547858"/>
    <w:rsid w:val="00551BC0"/>
    <w:rsid w:val="005538AC"/>
    <w:rsid w:val="005549F4"/>
    <w:rsid w:val="00557F36"/>
    <w:rsid w:val="005624BC"/>
    <w:rsid w:val="00563D29"/>
    <w:rsid w:val="00564293"/>
    <w:rsid w:val="00567174"/>
    <w:rsid w:val="005679D3"/>
    <w:rsid w:val="00572E70"/>
    <w:rsid w:val="00573D4D"/>
    <w:rsid w:val="00575B76"/>
    <w:rsid w:val="00575FDA"/>
    <w:rsid w:val="00576C06"/>
    <w:rsid w:val="0058621D"/>
    <w:rsid w:val="0058789A"/>
    <w:rsid w:val="005942DC"/>
    <w:rsid w:val="00594B56"/>
    <w:rsid w:val="00597096"/>
    <w:rsid w:val="005A145C"/>
    <w:rsid w:val="005A380A"/>
    <w:rsid w:val="005A7097"/>
    <w:rsid w:val="005A71DC"/>
    <w:rsid w:val="005A77D4"/>
    <w:rsid w:val="005C3E0D"/>
    <w:rsid w:val="005C4C91"/>
    <w:rsid w:val="005C5759"/>
    <w:rsid w:val="005C6880"/>
    <w:rsid w:val="005C6F73"/>
    <w:rsid w:val="005D6B6F"/>
    <w:rsid w:val="005D6CDE"/>
    <w:rsid w:val="005E0C43"/>
    <w:rsid w:val="005E741A"/>
    <w:rsid w:val="005F023A"/>
    <w:rsid w:val="005F1337"/>
    <w:rsid w:val="005F145A"/>
    <w:rsid w:val="005F16F6"/>
    <w:rsid w:val="005F4A5C"/>
    <w:rsid w:val="005F53DB"/>
    <w:rsid w:val="00604AAF"/>
    <w:rsid w:val="0060692E"/>
    <w:rsid w:val="00607273"/>
    <w:rsid w:val="006075FB"/>
    <w:rsid w:val="00610A39"/>
    <w:rsid w:val="006157A0"/>
    <w:rsid w:val="00616CD8"/>
    <w:rsid w:val="00617A9C"/>
    <w:rsid w:val="0062302C"/>
    <w:rsid w:val="00623B6D"/>
    <w:rsid w:val="00623CB0"/>
    <w:rsid w:val="00630340"/>
    <w:rsid w:val="006323E4"/>
    <w:rsid w:val="00632A40"/>
    <w:rsid w:val="00633625"/>
    <w:rsid w:val="00635605"/>
    <w:rsid w:val="00636309"/>
    <w:rsid w:val="006503E8"/>
    <w:rsid w:val="00651B00"/>
    <w:rsid w:val="0065612E"/>
    <w:rsid w:val="00657FC0"/>
    <w:rsid w:val="00671281"/>
    <w:rsid w:val="00672A3D"/>
    <w:rsid w:val="0067778B"/>
    <w:rsid w:val="006808B4"/>
    <w:rsid w:val="00680E68"/>
    <w:rsid w:val="0068277D"/>
    <w:rsid w:val="006A0F32"/>
    <w:rsid w:val="006A1C4E"/>
    <w:rsid w:val="006A2554"/>
    <w:rsid w:val="006A4551"/>
    <w:rsid w:val="006B1A66"/>
    <w:rsid w:val="006B3F7B"/>
    <w:rsid w:val="006B7519"/>
    <w:rsid w:val="006B7AFF"/>
    <w:rsid w:val="006C1427"/>
    <w:rsid w:val="006C1834"/>
    <w:rsid w:val="006C4CC1"/>
    <w:rsid w:val="006C7FE4"/>
    <w:rsid w:val="006D7181"/>
    <w:rsid w:val="006E2821"/>
    <w:rsid w:val="006E2AD1"/>
    <w:rsid w:val="006E6EE7"/>
    <w:rsid w:val="006F148C"/>
    <w:rsid w:val="006F34C1"/>
    <w:rsid w:val="00702FFF"/>
    <w:rsid w:val="00706FCB"/>
    <w:rsid w:val="00707B68"/>
    <w:rsid w:val="00713914"/>
    <w:rsid w:val="00726A6D"/>
    <w:rsid w:val="007274D4"/>
    <w:rsid w:val="00730EA3"/>
    <w:rsid w:val="00732CCC"/>
    <w:rsid w:val="00735DF0"/>
    <w:rsid w:val="0074015E"/>
    <w:rsid w:val="00743833"/>
    <w:rsid w:val="00744A55"/>
    <w:rsid w:val="0075026E"/>
    <w:rsid w:val="00754B20"/>
    <w:rsid w:val="00756D6C"/>
    <w:rsid w:val="00763334"/>
    <w:rsid w:val="007634E4"/>
    <w:rsid w:val="00764296"/>
    <w:rsid w:val="0076497C"/>
    <w:rsid w:val="00765652"/>
    <w:rsid w:val="00767B7B"/>
    <w:rsid w:val="00772300"/>
    <w:rsid w:val="0077430B"/>
    <w:rsid w:val="00774DC8"/>
    <w:rsid w:val="007751CE"/>
    <w:rsid w:val="00775EBB"/>
    <w:rsid w:val="007771EC"/>
    <w:rsid w:val="00777B67"/>
    <w:rsid w:val="00777E53"/>
    <w:rsid w:val="00783147"/>
    <w:rsid w:val="0078357C"/>
    <w:rsid w:val="00784138"/>
    <w:rsid w:val="00784612"/>
    <w:rsid w:val="00786CC1"/>
    <w:rsid w:val="0079053C"/>
    <w:rsid w:val="007918A8"/>
    <w:rsid w:val="00791DA9"/>
    <w:rsid w:val="007948C0"/>
    <w:rsid w:val="007A0F2A"/>
    <w:rsid w:val="007A1943"/>
    <w:rsid w:val="007A2D84"/>
    <w:rsid w:val="007A7D5A"/>
    <w:rsid w:val="007C0B20"/>
    <w:rsid w:val="007C2FC4"/>
    <w:rsid w:val="007C6340"/>
    <w:rsid w:val="007C64AF"/>
    <w:rsid w:val="007D03C8"/>
    <w:rsid w:val="007D0A68"/>
    <w:rsid w:val="007D2332"/>
    <w:rsid w:val="007D3012"/>
    <w:rsid w:val="007D4545"/>
    <w:rsid w:val="007D5610"/>
    <w:rsid w:val="007D5BAE"/>
    <w:rsid w:val="007D6578"/>
    <w:rsid w:val="007E0021"/>
    <w:rsid w:val="007E79DC"/>
    <w:rsid w:val="007F1536"/>
    <w:rsid w:val="007F1B45"/>
    <w:rsid w:val="007F2BD8"/>
    <w:rsid w:val="007F42D9"/>
    <w:rsid w:val="007F62C5"/>
    <w:rsid w:val="007F7922"/>
    <w:rsid w:val="00802014"/>
    <w:rsid w:val="008025F6"/>
    <w:rsid w:val="0080448D"/>
    <w:rsid w:val="00805808"/>
    <w:rsid w:val="00806217"/>
    <w:rsid w:val="00807D50"/>
    <w:rsid w:val="0081674E"/>
    <w:rsid w:val="008172B9"/>
    <w:rsid w:val="00817F2C"/>
    <w:rsid w:val="008207E7"/>
    <w:rsid w:val="0082141C"/>
    <w:rsid w:val="0082217D"/>
    <w:rsid w:val="00826127"/>
    <w:rsid w:val="00826BFB"/>
    <w:rsid w:val="00826C4B"/>
    <w:rsid w:val="008276FB"/>
    <w:rsid w:val="008342E8"/>
    <w:rsid w:val="00834875"/>
    <w:rsid w:val="00835FAA"/>
    <w:rsid w:val="0084202C"/>
    <w:rsid w:val="00842BED"/>
    <w:rsid w:val="00852F15"/>
    <w:rsid w:val="0085511C"/>
    <w:rsid w:val="00860E13"/>
    <w:rsid w:val="00862EC6"/>
    <w:rsid w:val="0086522E"/>
    <w:rsid w:val="00866752"/>
    <w:rsid w:val="00871F68"/>
    <w:rsid w:val="00873F4E"/>
    <w:rsid w:val="008833D6"/>
    <w:rsid w:val="00883B99"/>
    <w:rsid w:val="008865EE"/>
    <w:rsid w:val="00890E35"/>
    <w:rsid w:val="00895A82"/>
    <w:rsid w:val="008A02C7"/>
    <w:rsid w:val="008A4E68"/>
    <w:rsid w:val="008A4F2D"/>
    <w:rsid w:val="008A707C"/>
    <w:rsid w:val="008A7E80"/>
    <w:rsid w:val="008B200B"/>
    <w:rsid w:val="008B2833"/>
    <w:rsid w:val="008B3FF2"/>
    <w:rsid w:val="008B4E3B"/>
    <w:rsid w:val="008B4EEB"/>
    <w:rsid w:val="008B6534"/>
    <w:rsid w:val="008B6BB4"/>
    <w:rsid w:val="008B6F82"/>
    <w:rsid w:val="008C50BE"/>
    <w:rsid w:val="008C5992"/>
    <w:rsid w:val="008C7100"/>
    <w:rsid w:val="008C7D3F"/>
    <w:rsid w:val="008D3C74"/>
    <w:rsid w:val="008D4760"/>
    <w:rsid w:val="008D7358"/>
    <w:rsid w:val="008D7DF9"/>
    <w:rsid w:val="008E0D6B"/>
    <w:rsid w:val="008E26C5"/>
    <w:rsid w:val="008E2777"/>
    <w:rsid w:val="008E7EBC"/>
    <w:rsid w:val="008F0863"/>
    <w:rsid w:val="008F1C93"/>
    <w:rsid w:val="008F5C71"/>
    <w:rsid w:val="00902B4F"/>
    <w:rsid w:val="00904B37"/>
    <w:rsid w:val="0091394B"/>
    <w:rsid w:val="00913C3E"/>
    <w:rsid w:val="009140A4"/>
    <w:rsid w:val="00914CB2"/>
    <w:rsid w:val="00915DF0"/>
    <w:rsid w:val="00916081"/>
    <w:rsid w:val="00916745"/>
    <w:rsid w:val="00917D02"/>
    <w:rsid w:val="0092311F"/>
    <w:rsid w:val="00924FA8"/>
    <w:rsid w:val="009251F5"/>
    <w:rsid w:val="00927C72"/>
    <w:rsid w:val="00931FCA"/>
    <w:rsid w:val="00944395"/>
    <w:rsid w:val="00944B56"/>
    <w:rsid w:val="00944C24"/>
    <w:rsid w:val="00950082"/>
    <w:rsid w:val="009503E1"/>
    <w:rsid w:val="009506DD"/>
    <w:rsid w:val="00956AD2"/>
    <w:rsid w:val="009600D1"/>
    <w:rsid w:val="009619E4"/>
    <w:rsid w:val="0096284B"/>
    <w:rsid w:val="00964BCC"/>
    <w:rsid w:val="00964BF5"/>
    <w:rsid w:val="00971A5F"/>
    <w:rsid w:val="00974F5E"/>
    <w:rsid w:val="00975669"/>
    <w:rsid w:val="00975DC2"/>
    <w:rsid w:val="00976947"/>
    <w:rsid w:val="00977F28"/>
    <w:rsid w:val="0098030A"/>
    <w:rsid w:val="00982371"/>
    <w:rsid w:val="00983721"/>
    <w:rsid w:val="00987FDD"/>
    <w:rsid w:val="00990648"/>
    <w:rsid w:val="009923D9"/>
    <w:rsid w:val="00992CF9"/>
    <w:rsid w:val="00996112"/>
    <w:rsid w:val="009A08BA"/>
    <w:rsid w:val="009A1741"/>
    <w:rsid w:val="009A5FF7"/>
    <w:rsid w:val="009B5489"/>
    <w:rsid w:val="009B556E"/>
    <w:rsid w:val="009B5FB5"/>
    <w:rsid w:val="009B66E1"/>
    <w:rsid w:val="009B6794"/>
    <w:rsid w:val="009C3AAD"/>
    <w:rsid w:val="009C4F0E"/>
    <w:rsid w:val="009C5548"/>
    <w:rsid w:val="009C6EFB"/>
    <w:rsid w:val="009D426B"/>
    <w:rsid w:val="009D544F"/>
    <w:rsid w:val="009D7213"/>
    <w:rsid w:val="009E3459"/>
    <w:rsid w:val="009E3A1C"/>
    <w:rsid w:val="009E4F83"/>
    <w:rsid w:val="009F039A"/>
    <w:rsid w:val="009F2AD4"/>
    <w:rsid w:val="009F41C8"/>
    <w:rsid w:val="009F54E7"/>
    <w:rsid w:val="00A014FC"/>
    <w:rsid w:val="00A053B5"/>
    <w:rsid w:val="00A05847"/>
    <w:rsid w:val="00A0588C"/>
    <w:rsid w:val="00A1790E"/>
    <w:rsid w:val="00A2062A"/>
    <w:rsid w:val="00A2219A"/>
    <w:rsid w:val="00A22AC9"/>
    <w:rsid w:val="00A2559D"/>
    <w:rsid w:val="00A256D7"/>
    <w:rsid w:val="00A25F3A"/>
    <w:rsid w:val="00A26999"/>
    <w:rsid w:val="00A34A10"/>
    <w:rsid w:val="00A37EA1"/>
    <w:rsid w:val="00A4313A"/>
    <w:rsid w:val="00A44425"/>
    <w:rsid w:val="00A4510D"/>
    <w:rsid w:val="00A50947"/>
    <w:rsid w:val="00A53C09"/>
    <w:rsid w:val="00A60066"/>
    <w:rsid w:val="00A70519"/>
    <w:rsid w:val="00A83526"/>
    <w:rsid w:val="00A934BA"/>
    <w:rsid w:val="00A94036"/>
    <w:rsid w:val="00A95E3C"/>
    <w:rsid w:val="00AA0ECC"/>
    <w:rsid w:val="00AA122D"/>
    <w:rsid w:val="00AA16CE"/>
    <w:rsid w:val="00AA2E64"/>
    <w:rsid w:val="00AA461D"/>
    <w:rsid w:val="00AB0EC0"/>
    <w:rsid w:val="00AB3D85"/>
    <w:rsid w:val="00AB75D5"/>
    <w:rsid w:val="00AC1635"/>
    <w:rsid w:val="00AC178E"/>
    <w:rsid w:val="00AC3F34"/>
    <w:rsid w:val="00AD3B1C"/>
    <w:rsid w:val="00AD4A94"/>
    <w:rsid w:val="00AD6995"/>
    <w:rsid w:val="00AD6D2C"/>
    <w:rsid w:val="00AD6F1E"/>
    <w:rsid w:val="00AE392B"/>
    <w:rsid w:val="00AE3F5F"/>
    <w:rsid w:val="00AE5FA0"/>
    <w:rsid w:val="00AF1717"/>
    <w:rsid w:val="00AF24EF"/>
    <w:rsid w:val="00AF5F48"/>
    <w:rsid w:val="00AF718B"/>
    <w:rsid w:val="00B02CA7"/>
    <w:rsid w:val="00B04FC0"/>
    <w:rsid w:val="00B077EC"/>
    <w:rsid w:val="00B07D5C"/>
    <w:rsid w:val="00B109BD"/>
    <w:rsid w:val="00B13622"/>
    <w:rsid w:val="00B14DF4"/>
    <w:rsid w:val="00B15455"/>
    <w:rsid w:val="00B21A77"/>
    <w:rsid w:val="00B227A7"/>
    <w:rsid w:val="00B2385E"/>
    <w:rsid w:val="00B24797"/>
    <w:rsid w:val="00B27F82"/>
    <w:rsid w:val="00B3124F"/>
    <w:rsid w:val="00B31419"/>
    <w:rsid w:val="00B31BD5"/>
    <w:rsid w:val="00B33890"/>
    <w:rsid w:val="00B3512D"/>
    <w:rsid w:val="00B365F8"/>
    <w:rsid w:val="00B41D76"/>
    <w:rsid w:val="00B42661"/>
    <w:rsid w:val="00B4728E"/>
    <w:rsid w:val="00B52793"/>
    <w:rsid w:val="00B53253"/>
    <w:rsid w:val="00B54439"/>
    <w:rsid w:val="00B54F9F"/>
    <w:rsid w:val="00B561E6"/>
    <w:rsid w:val="00B64046"/>
    <w:rsid w:val="00B65B7E"/>
    <w:rsid w:val="00B66821"/>
    <w:rsid w:val="00B67B36"/>
    <w:rsid w:val="00B74FAB"/>
    <w:rsid w:val="00B81BB1"/>
    <w:rsid w:val="00B84732"/>
    <w:rsid w:val="00B84E73"/>
    <w:rsid w:val="00B8691F"/>
    <w:rsid w:val="00B87A71"/>
    <w:rsid w:val="00B953DE"/>
    <w:rsid w:val="00B96AA7"/>
    <w:rsid w:val="00B96D68"/>
    <w:rsid w:val="00BA1E31"/>
    <w:rsid w:val="00BA21B8"/>
    <w:rsid w:val="00BA4530"/>
    <w:rsid w:val="00BA71FF"/>
    <w:rsid w:val="00BB61A4"/>
    <w:rsid w:val="00BC03B9"/>
    <w:rsid w:val="00BC4F52"/>
    <w:rsid w:val="00BC5674"/>
    <w:rsid w:val="00BC58E7"/>
    <w:rsid w:val="00BC6051"/>
    <w:rsid w:val="00BD1FB1"/>
    <w:rsid w:val="00BD2F06"/>
    <w:rsid w:val="00BE2327"/>
    <w:rsid w:val="00BE27E7"/>
    <w:rsid w:val="00BE45BA"/>
    <w:rsid w:val="00BF0564"/>
    <w:rsid w:val="00BF1B6B"/>
    <w:rsid w:val="00BF3B32"/>
    <w:rsid w:val="00BF5DA4"/>
    <w:rsid w:val="00BF760D"/>
    <w:rsid w:val="00C06490"/>
    <w:rsid w:val="00C06E0A"/>
    <w:rsid w:val="00C07441"/>
    <w:rsid w:val="00C10416"/>
    <w:rsid w:val="00C141CC"/>
    <w:rsid w:val="00C170FD"/>
    <w:rsid w:val="00C20265"/>
    <w:rsid w:val="00C376EB"/>
    <w:rsid w:val="00C41CF3"/>
    <w:rsid w:val="00C4275C"/>
    <w:rsid w:val="00C50BCE"/>
    <w:rsid w:val="00C50F5C"/>
    <w:rsid w:val="00C5387A"/>
    <w:rsid w:val="00C53D6E"/>
    <w:rsid w:val="00C541AC"/>
    <w:rsid w:val="00C54A42"/>
    <w:rsid w:val="00C71066"/>
    <w:rsid w:val="00C72DD8"/>
    <w:rsid w:val="00C74834"/>
    <w:rsid w:val="00C76521"/>
    <w:rsid w:val="00C8266F"/>
    <w:rsid w:val="00C82F76"/>
    <w:rsid w:val="00C90621"/>
    <w:rsid w:val="00C96434"/>
    <w:rsid w:val="00CA1738"/>
    <w:rsid w:val="00CA3ED3"/>
    <w:rsid w:val="00CA5139"/>
    <w:rsid w:val="00CA5DDA"/>
    <w:rsid w:val="00CB2B9D"/>
    <w:rsid w:val="00CB3399"/>
    <w:rsid w:val="00CB436A"/>
    <w:rsid w:val="00CB6356"/>
    <w:rsid w:val="00CC554F"/>
    <w:rsid w:val="00CC6EFC"/>
    <w:rsid w:val="00CC7DC4"/>
    <w:rsid w:val="00CC7F70"/>
    <w:rsid w:val="00CD0335"/>
    <w:rsid w:val="00CD54B4"/>
    <w:rsid w:val="00CD7DF4"/>
    <w:rsid w:val="00CE2685"/>
    <w:rsid w:val="00CE43D2"/>
    <w:rsid w:val="00CE589D"/>
    <w:rsid w:val="00CE5BE9"/>
    <w:rsid w:val="00CF4C01"/>
    <w:rsid w:val="00CF5DC8"/>
    <w:rsid w:val="00D00031"/>
    <w:rsid w:val="00D01615"/>
    <w:rsid w:val="00D039BF"/>
    <w:rsid w:val="00D06F23"/>
    <w:rsid w:val="00D10259"/>
    <w:rsid w:val="00D10581"/>
    <w:rsid w:val="00D11823"/>
    <w:rsid w:val="00D20840"/>
    <w:rsid w:val="00D21640"/>
    <w:rsid w:val="00D24350"/>
    <w:rsid w:val="00D25202"/>
    <w:rsid w:val="00D26F38"/>
    <w:rsid w:val="00D27CF4"/>
    <w:rsid w:val="00D27DDC"/>
    <w:rsid w:val="00D3062E"/>
    <w:rsid w:val="00D3639E"/>
    <w:rsid w:val="00D404A8"/>
    <w:rsid w:val="00D43158"/>
    <w:rsid w:val="00D44F2E"/>
    <w:rsid w:val="00D4676E"/>
    <w:rsid w:val="00D47B12"/>
    <w:rsid w:val="00D5396B"/>
    <w:rsid w:val="00D547C7"/>
    <w:rsid w:val="00D62B59"/>
    <w:rsid w:val="00D62F4E"/>
    <w:rsid w:val="00D7012F"/>
    <w:rsid w:val="00D7192B"/>
    <w:rsid w:val="00D71D9B"/>
    <w:rsid w:val="00D73047"/>
    <w:rsid w:val="00D76D67"/>
    <w:rsid w:val="00D82E5A"/>
    <w:rsid w:val="00D84C51"/>
    <w:rsid w:val="00D86CEA"/>
    <w:rsid w:val="00D9053A"/>
    <w:rsid w:val="00D93492"/>
    <w:rsid w:val="00D94E86"/>
    <w:rsid w:val="00D952A7"/>
    <w:rsid w:val="00D95426"/>
    <w:rsid w:val="00D95F67"/>
    <w:rsid w:val="00DA001A"/>
    <w:rsid w:val="00DA0C12"/>
    <w:rsid w:val="00DA4A27"/>
    <w:rsid w:val="00DA4C92"/>
    <w:rsid w:val="00DA4F8C"/>
    <w:rsid w:val="00DA5504"/>
    <w:rsid w:val="00DB1388"/>
    <w:rsid w:val="00DB17E1"/>
    <w:rsid w:val="00DB2FFD"/>
    <w:rsid w:val="00DC2411"/>
    <w:rsid w:val="00DC6688"/>
    <w:rsid w:val="00DD3A09"/>
    <w:rsid w:val="00DD3EC5"/>
    <w:rsid w:val="00DE2E18"/>
    <w:rsid w:val="00DE5481"/>
    <w:rsid w:val="00DF032D"/>
    <w:rsid w:val="00DF2FD1"/>
    <w:rsid w:val="00DF5AB6"/>
    <w:rsid w:val="00DF6239"/>
    <w:rsid w:val="00DF6C4B"/>
    <w:rsid w:val="00E016D0"/>
    <w:rsid w:val="00E034CB"/>
    <w:rsid w:val="00E042ED"/>
    <w:rsid w:val="00E07A82"/>
    <w:rsid w:val="00E116AE"/>
    <w:rsid w:val="00E11F96"/>
    <w:rsid w:val="00E138A3"/>
    <w:rsid w:val="00E15849"/>
    <w:rsid w:val="00E16418"/>
    <w:rsid w:val="00E26838"/>
    <w:rsid w:val="00E26C96"/>
    <w:rsid w:val="00E274BB"/>
    <w:rsid w:val="00E30F3A"/>
    <w:rsid w:val="00E31EC1"/>
    <w:rsid w:val="00E32871"/>
    <w:rsid w:val="00E33871"/>
    <w:rsid w:val="00E37327"/>
    <w:rsid w:val="00E40BD1"/>
    <w:rsid w:val="00E4717F"/>
    <w:rsid w:val="00E51EE5"/>
    <w:rsid w:val="00E51F20"/>
    <w:rsid w:val="00E61A32"/>
    <w:rsid w:val="00E63B2D"/>
    <w:rsid w:val="00E64011"/>
    <w:rsid w:val="00E64D98"/>
    <w:rsid w:val="00E671D0"/>
    <w:rsid w:val="00E67E4E"/>
    <w:rsid w:val="00E70EC2"/>
    <w:rsid w:val="00E73357"/>
    <w:rsid w:val="00E744DC"/>
    <w:rsid w:val="00E8142E"/>
    <w:rsid w:val="00E83005"/>
    <w:rsid w:val="00E8414D"/>
    <w:rsid w:val="00E86299"/>
    <w:rsid w:val="00E87678"/>
    <w:rsid w:val="00E93345"/>
    <w:rsid w:val="00E961A0"/>
    <w:rsid w:val="00E97E4F"/>
    <w:rsid w:val="00EA3042"/>
    <w:rsid w:val="00EA43B6"/>
    <w:rsid w:val="00EA47AA"/>
    <w:rsid w:val="00EA5154"/>
    <w:rsid w:val="00EA5EA9"/>
    <w:rsid w:val="00EA7262"/>
    <w:rsid w:val="00EB5D76"/>
    <w:rsid w:val="00EB67DC"/>
    <w:rsid w:val="00EC124E"/>
    <w:rsid w:val="00EC62DE"/>
    <w:rsid w:val="00EC6ED4"/>
    <w:rsid w:val="00ED46A2"/>
    <w:rsid w:val="00ED52AB"/>
    <w:rsid w:val="00ED7F41"/>
    <w:rsid w:val="00EF2EB1"/>
    <w:rsid w:val="00F00D2D"/>
    <w:rsid w:val="00F0189C"/>
    <w:rsid w:val="00F027AC"/>
    <w:rsid w:val="00F0390B"/>
    <w:rsid w:val="00F1007D"/>
    <w:rsid w:val="00F20CA6"/>
    <w:rsid w:val="00F25C11"/>
    <w:rsid w:val="00F268AB"/>
    <w:rsid w:val="00F33C2C"/>
    <w:rsid w:val="00F3573C"/>
    <w:rsid w:val="00F43AC7"/>
    <w:rsid w:val="00F44623"/>
    <w:rsid w:val="00F450BF"/>
    <w:rsid w:val="00F47A53"/>
    <w:rsid w:val="00F5121E"/>
    <w:rsid w:val="00F54B84"/>
    <w:rsid w:val="00F57387"/>
    <w:rsid w:val="00F63406"/>
    <w:rsid w:val="00F65EA1"/>
    <w:rsid w:val="00F6700B"/>
    <w:rsid w:val="00F805F2"/>
    <w:rsid w:val="00F83B35"/>
    <w:rsid w:val="00F90915"/>
    <w:rsid w:val="00F9200D"/>
    <w:rsid w:val="00F92247"/>
    <w:rsid w:val="00F95A3F"/>
    <w:rsid w:val="00FA071E"/>
    <w:rsid w:val="00FA4D92"/>
    <w:rsid w:val="00FA61E2"/>
    <w:rsid w:val="00FB1FBE"/>
    <w:rsid w:val="00FB2E1B"/>
    <w:rsid w:val="00FB429A"/>
    <w:rsid w:val="00FB7DF1"/>
    <w:rsid w:val="00FC1A64"/>
    <w:rsid w:val="00FC27E1"/>
    <w:rsid w:val="00FC35F7"/>
    <w:rsid w:val="00FC4877"/>
    <w:rsid w:val="00FC534A"/>
    <w:rsid w:val="00FC6D3F"/>
    <w:rsid w:val="00FD2B01"/>
    <w:rsid w:val="00FD389F"/>
    <w:rsid w:val="00FD50AA"/>
    <w:rsid w:val="00FE017B"/>
    <w:rsid w:val="00FE177D"/>
    <w:rsid w:val="00FE2F33"/>
    <w:rsid w:val="00FE6358"/>
    <w:rsid w:val="00FF0696"/>
    <w:rsid w:val="00FF1C8A"/>
    <w:rsid w:val="00FF3AFD"/>
  </w:rsids>
  <m:mathPr>
    <m:mathFont m:val="Cambria Math"/>
    <m:brkBin m:val="before"/>
    <m:brkBinSub m:val="--"/>
    <m:smallFrac m:val="0"/>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6F82"/>
    <w:pPr>
      <w:tabs>
        <w:tab w:val="center" w:pos="4153"/>
        <w:tab w:val="right" w:pos="8306"/>
      </w:tabs>
    </w:pPr>
  </w:style>
  <w:style w:type="character" w:customStyle="1" w:styleId="FooterChar">
    <w:name w:val="Footer Char"/>
    <w:basedOn w:val="DefaultParagraphFont"/>
    <w:link w:val="Footer"/>
    <w:rsid w:val="008B6F82"/>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8B6F82"/>
    <w:pPr>
      <w:tabs>
        <w:tab w:val="center" w:pos="4153"/>
        <w:tab w:val="right" w:pos="8306"/>
      </w:tabs>
      <w:suppressAutoHyphens w:val="0"/>
    </w:pPr>
    <w:rPr>
      <w:lang w:eastAsia="lv-LV"/>
    </w:rPr>
  </w:style>
  <w:style w:type="character" w:customStyle="1" w:styleId="HeaderChar">
    <w:name w:val="Header Char"/>
    <w:basedOn w:val="DefaultParagraphFont"/>
    <w:link w:val="Header"/>
    <w:uiPriority w:val="99"/>
    <w:rsid w:val="008B6F82"/>
    <w:rPr>
      <w:rFonts w:ascii="Times New Roman" w:eastAsia="Times New Roman" w:hAnsi="Times New Roman" w:cs="Times New Roman"/>
      <w:sz w:val="24"/>
      <w:szCs w:val="24"/>
      <w:lang w:eastAsia="lv-LV"/>
    </w:rPr>
  </w:style>
  <w:style w:type="paragraph" w:customStyle="1" w:styleId="naisnod">
    <w:name w:val="naisnod"/>
    <w:basedOn w:val="Normal"/>
    <w:rsid w:val="008B6F82"/>
    <w:pPr>
      <w:suppressAutoHyphens w:val="0"/>
      <w:spacing w:before="100" w:beforeAutospacing="1" w:after="100" w:afterAutospacing="1"/>
    </w:pPr>
    <w:rPr>
      <w:lang w:eastAsia="lv-LV"/>
    </w:rPr>
  </w:style>
  <w:style w:type="paragraph" w:customStyle="1" w:styleId="naiskr">
    <w:name w:val="naiskr"/>
    <w:basedOn w:val="Normal"/>
    <w:rsid w:val="008B6F82"/>
    <w:pPr>
      <w:suppressAutoHyphens w:val="0"/>
      <w:spacing w:before="100" w:beforeAutospacing="1" w:after="100" w:afterAutospacing="1"/>
    </w:pPr>
    <w:rPr>
      <w:lang w:eastAsia="lv-LV"/>
    </w:rPr>
  </w:style>
  <w:style w:type="paragraph" w:customStyle="1" w:styleId="naisf">
    <w:name w:val="naisf"/>
    <w:basedOn w:val="Normal"/>
    <w:rsid w:val="008B6F82"/>
    <w:pPr>
      <w:suppressAutoHyphens w:val="0"/>
      <w:spacing w:before="75" w:after="75"/>
      <w:ind w:firstLine="375"/>
      <w:jc w:val="both"/>
    </w:pPr>
    <w:rPr>
      <w:lang w:eastAsia="lv-LV"/>
    </w:rPr>
  </w:style>
  <w:style w:type="paragraph" w:styleId="BodyText">
    <w:name w:val="Body Text"/>
    <w:basedOn w:val="Normal"/>
    <w:link w:val="BodyTextChar"/>
    <w:rsid w:val="008B6F82"/>
    <w:pPr>
      <w:suppressAutoHyphens w:val="0"/>
      <w:spacing w:before="100" w:beforeAutospacing="1" w:after="100" w:afterAutospacing="1"/>
    </w:pPr>
    <w:rPr>
      <w:lang w:eastAsia="lv-LV"/>
    </w:rPr>
  </w:style>
  <w:style w:type="character" w:customStyle="1" w:styleId="BodyTextChar">
    <w:name w:val="Body Text Char"/>
    <w:basedOn w:val="DefaultParagraphFont"/>
    <w:link w:val="BodyText"/>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B6F82"/>
  </w:style>
  <w:style w:type="paragraph" w:styleId="BodyText2">
    <w:name w:val="Body Text 2"/>
    <w:basedOn w:val="Normal"/>
    <w:link w:val="BodyText2Char"/>
    <w:uiPriority w:val="99"/>
    <w:semiHidden/>
    <w:unhideWhenUsed/>
    <w:rsid w:val="00DD3EC5"/>
    <w:pPr>
      <w:spacing w:after="120" w:line="480" w:lineRule="auto"/>
    </w:pPr>
  </w:style>
  <w:style w:type="character" w:customStyle="1" w:styleId="BodyText2Char">
    <w:name w:val="Body Text 2 Char"/>
    <w:basedOn w:val="DefaultParagraphFont"/>
    <w:link w:val="BodyText2"/>
    <w:uiPriority w:val="99"/>
    <w:semiHidden/>
    <w:rsid w:val="00DD3EC5"/>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C71066"/>
    <w:rPr>
      <w:color w:val="0000FF" w:themeColor="hyperlink"/>
      <w:u w:val="single"/>
    </w:rPr>
  </w:style>
  <w:style w:type="paragraph" w:styleId="BalloonText">
    <w:name w:val="Balloon Text"/>
    <w:basedOn w:val="Normal"/>
    <w:link w:val="BalloonTextChar"/>
    <w:uiPriority w:val="99"/>
    <w:semiHidden/>
    <w:unhideWhenUsed/>
    <w:rsid w:val="00651B00"/>
    <w:rPr>
      <w:rFonts w:ascii="Tahoma" w:hAnsi="Tahoma" w:cs="Tahoma"/>
      <w:sz w:val="16"/>
      <w:szCs w:val="16"/>
    </w:rPr>
  </w:style>
  <w:style w:type="character" w:customStyle="1" w:styleId="BalloonTextChar">
    <w:name w:val="Balloon Text Char"/>
    <w:basedOn w:val="DefaultParagraphFont"/>
    <w:link w:val="BalloonText"/>
    <w:uiPriority w:val="99"/>
    <w:semiHidden/>
    <w:rsid w:val="00651B00"/>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651B00"/>
    <w:rPr>
      <w:sz w:val="16"/>
      <w:szCs w:val="16"/>
    </w:rPr>
  </w:style>
  <w:style w:type="paragraph" w:styleId="CommentText">
    <w:name w:val="annotation text"/>
    <w:basedOn w:val="Normal"/>
    <w:link w:val="CommentTextChar"/>
    <w:uiPriority w:val="99"/>
    <w:unhideWhenUsed/>
    <w:rsid w:val="00651B00"/>
    <w:rPr>
      <w:sz w:val="20"/>
      <w:szCs w:val="20"/>
    </w:rPr>
  </w:style>
  <w:style w:type="character" w:customStyle="1" w:styleId="CommentTextChar">
    <w:name w:val="Comment Text Char"/>
    <w:basedOn w:val="DefaultParagraphFont"/>
    <w:link w:val="CommentText"/>
    <w:uiPriority w:val="99"/>
    <w:rsid w:val="00651B0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51B00"/>
    <w:rPr>
      <w:b/>
      <w:bCs/>
    </w:rPr>
  </w:style>
  <w:style w:type="character" w:customStyle="1" w:styleId="CommentSubjectChar">
    <w:name w:val="Comment Subject Char"/>
    <w:basedOn w:val="CommentTextChar"/>
    <w:link w:val="CommentSubject"/>
    <w:uiPriority w:val="99"/>
    <w:semiHidden/>
    <w:rsid w:val="00651B00"/>
    <w:rPr>
      <w:rFonts w:ascii="Times New Roman" w:eastAsia="Times New Roman" w:hAnsi="Times New Roman" w:cs="Times New Roman"/>
      <w:b/>
      <w:bCs/>
      <w:sz w:val="20"/>
      <w:szCs w:val="20"/>
      <w:lang w:eastAsia="ar-SA"/>
    </w:rPr>
  </w:style>
  <w:style w:type="paragraph" w:styleId="ListParagraph">
    <w:name w:val="List Paragraph"/>
    <w:basedOn w:val="Normal"/>
    <w:qFormat/>
    <w:rsid w:val="00B74FAB"/>
    <w:pPr>
      <w:ind w:left="720"/>
      <w:contextualSpacing/>
    </w:pPr>
  </w:style>
  <w:style w:type="character" w:styleId="Strong">
    <w:name w:val="Strong"/>
    <w:basedOn w:val="DefaultParagraphFont"/>
    <w:uiPriority w:val="22"/>
    <w:qFormat/>
    <w:rsid w:val="00C8266F"/>
    <w:rPr>
      <w:b/>
      <w:bCs/>
    </w:rPr>
  </w:style>
  <w:style w:type="paragraph" w:customStyle="1" w:styleId="tv213">
    <w:name w:val="tv213"/>
    <w:basedOn w:val="Normal"/>
    <w:rsid w:val="009C4F0E"/>
    <w:pPr>
      <w:suppressAutoHyphens w:val="0"/>
      <w:spacing w:before="100" w:beforeAutospacing="1" w:after="100" w:afterAutospacing="1"/>
    </w:pPr>
    <w:rPr>
      <w:rFonts w:eastAsiaTheme="minorHAnsi"/>
      <w:lang w:eastAsia="lv-LV"/>
    </w:rPr>
  </w:style>
  <w:style w:type="paragraph" w:customStyle="1" w:styleId="tv2132">
    <w:name w:val="tv2132"/>
    <w:basedOn w:val="Normal"/>
    <w:rsid w:val="001F5BE9"/>
    <w:pPr>
      <w:suppressAutoHyphens w:val="0"/>
      <w:spacing w:line="360" w:lineRule="auto"/>
      <w:ind w:firstLine="300"/>
    </w:pPr>
    <w:rPr>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6F82"/>
    <w:pPr>
      <w:tabs>
        <w:tab w:val="center" w:pos="4153"/>
        <w:tab w:val="right" w:pos="8306"/>
      </w:tabs>
    </w:pPr>
  </w:style>
  <w:style w:type="character" w:customStyle="1" w:styleId="FooterChar">
    <w:name w:val="Footer Char"/>
    <w:basedOn w:val="DefaultParagraphFont"/>
    <w:link w:val="Footer"/>
    <w:rsid w:val="008B6F82"/>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8B6F82"/>
    <w:pPr>
      <w:tabs>
        <w:tab w:val="center" w:pos="4153"/>
        <w:tab w:val="right" w:pos="8306"/>
      </w:tabs>
      <w:suppressAutoHyphens w:val="0"/>
    </w:pPr>
    <w:rPr>
      <w:lang w:eastAsia="lv-LV"/>
    </w:rPr>
  </w:style>
  <w:style w:type="character" w:customStyle="1" w:styleId="HeaderChar">
    <w:name w:val="Header Char"/>
    <w:basedOn w:val="DefaultParagraphFont"/>
    <w:link w:val="Header"/>
    <w:uiPriority w:val="99"/>
    <w:rsid w:val="008B6F82"/>
    <w:rPr>
      <w:rFonts w:ascii="Times New Roman" w:eastAsia="Times New Roman" w:hAnsi="Times New Roman" w:cs="Times New Roman"/>
      <w:sz w:val="24"/>
      <w:szCs w:val="24"/>
      <w:lang w:eastAsia="lv-LV"/>
    </w:rPr>
  </w:style>
  <w:style w:type="paragraph" w:customStyle="1" w:styleId="naisnod">
    <w:name w:val="naisnod"/>
    <w:basedOn w:val="Normal"/>
    <w:rsid w:val="008B6F82"/>
    <w:pPr>
      <w:suppressAutoHyphens w:val="0"/>
      <w:spacing w:before="100" w:beforeAutospacing="1" w:after="100" w:afterAutospacing="1"/>
    </w:pPr>
    <w:rPr>
      <w:lang w:eastAsia="lv-LV"/>
    </w:rPr>
  </w:style>
  <w:style w:type="paragraph" w:customStyle="1" w:styleId="naiskr">
    <w:name w:val="naiskr"/>
    <w:basedOn w:val="Normal"/>
    <w:rsid w:val="008B6F82"/>
    <w:pPr>
      <w:suppressAutoHyphens w:val="0"/>
      <w:spacing w:before="100" w:beforeAutospacing="1" w:after="100" w:afterAutospacing="1"/>
    </w:pPr>
    <w:rPr>
      <w:lang w:eastAsia="lv-LV"/>
    </w:rPr>
  </w:style>
  <w:style w:type="paragraph" w:customStyle="1" w:styleId="naisf">
    <w:name w:val="naisf"/>
    <w:basedOn w:val="Normal"/>
    <w:rsid w:val="008B6F82"/>
    <w:pPr>
      <w:suppressAutoHyphens w:val="0"/>
      <w:spacing w:before="75" w:after="75"/>
      <w:ind w:firstLine="375"/>
      <w:jc w:val="both"/>
    </w:pPr>
    <w:rPr>
      <w:lang w:eastAsia="lv-LV"/>
    </w:rPr>
  </w:style>
  <w:style w:type="paragraph" w:styleId="BodyText">
    <w:name w:val="Body Text"/>
    <w:basedOn w:val="Normal"/>
    <w:link w:val="BodyTextChar"/>
    <w:rsid w:val="008B6F82"/>
    <w:pPr>
      <w:suppressAutoHyphens w:val="0"/>
      <w:spacing w:before="100" w:beforeAutospacing="1" w:after="100" w:afterAutospacing="1"/>
    </w:pPr>
    <w:rPr>
      <w:lang w:eastAsia="lv-LV"/>
    </w:rPr>
  </w:style>
  <w:style w:type="character" w:customStyle="1" w:styleId="BodyTextChar">
    <w:name w:val="Body Text Char"/>
    <w:basedOn w:val="DefaultParagraphFont"/>
    <w:link w:val="BodyText"/>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B6F82"/>
  </w:style>
  <w:style w:type="paragraph" w:styleId="BodyText2">
    <w:name w:val="Body Text 2"/>
    <w:basedOn w:val="Normal"/>
    <w:link w:val="BodyText2Char"/>
    <w:uiPriority w:val="99"/>
    <w:semiHidden/>
    <w:unhideWhenUsed/>
    <w:rsid w:val="00DD3EC5"/>
    <w:pPr>
      <w:spacing w:after="120" w:line="480" w:lineRule="auto"/>
    </w:pPr>
  </w:style>
  <w:style w:type="character" w:customStyle="1" w:styleId="BodyText2Char">
    <w:name w:val="Body Text 2 Char"/>
    <w:basedOn w:val="DefaultParagraphFont"/>
    <w:link w:val="BodyText2"/>
    <w:uiPriority w:val="99"/>
    <w:semiHidden/>
    <w:rsid w:val="00DD3EC5"/>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C71066"/>
    <w:rPr>
      <w:color w:val="0000FF" w:themeColor="hyperlink"/>
      <w:u w:val="single"/>
    </w:rPr>
  </w:style>
  <w:style w:type="paragraph" w:styleId="BalloonText">
    <w:name w:val="Balloon Text"/>
    <w:basedOn w:val="Normal"/>
    <w:link w:val="BalloonTextChar"/>
    <w:uiPriority w:val="99"/>
    <w:semiHidden/>
    <w:unhideWhenUsed/>
    <w:rsid w:val="00651B00"/>
    <w:rPr>
      <w:rFonts w:ascii="Tahoma" w:hAnsi="Tahoma" w:cs="Tahoma"/>
      <w:sz w:val="16"/>
      <w:szCs w:val="16"/>
    </w:rPr>
  </w:style>
  <w:style w:type="character" w:customStyle="1" w:styleId="BalloonTextChar">
    <w:name w:val="Balloon Text Char"/>
    <w:basedOn w:val="DefaultParagraphFont"/>
    <w:link w:val="BalloonText"/>
    <w:uiPriority w:val="99"/>
    <w:semiHidden/>
    <w:rsid w:val="00651B00"/>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651B00"/>
    <w:rPr>
      <w:sz w:val="16"/>
      <w:szCs w:val="16"/>
    </w:rPr>
  </w:style>
  <w:style w:type="paragraph" w:styleId="CommentText">
    <w:name w:val="annotation text"/>
    <w:basedOn w:val="Normal"/>
    <w:link w:val="CommentTextChar"/>
    <w:uiPriority w:val="99"/>
    <w:unhideWhenUsed/>
    <w:rsid w:val="00651B00"/>
    <w:rPr>
      <w:sz w:val="20"/>
      <w:szCs w:val="20"/>
    </w:rPr>
  </w:style>
  <w:style w:type="character" w:customStyle="1" w:styleId="CommentTextChar">
    <w:name w:val="Comment Text Char"/>
    <w:basedOn w:val="DefaultParagraphFont"/>
    <w:link w:val="CommentText"/>
    <w:uiPriority w:val="99"/>
    <w:rsid w:val="00651B0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51B00"/>
    <w:rPr>
      <w:b/>
      <w:bCs/>
    </w:rPr>
  </w:style>
  <w:style w:type="character" w:customStyle="1" w:styleId="CommentSubjectChar">
    <w:name w:val="Comment Subject Char"/>
    <w:basedOn w:val="CommentTextChar"/>
    <w:link w:val="CommentSubject"/>
    <w:uiPriority w:val="99"/>
    <w:semiHidden/>
    <w:rsid w:val="00651B00"/>
    <w:rPr>
      <w:rFonts w:ascii="Times New Roman" w:eastAsia="Times New Roman" w:hAnsi="Times New Roman" w:cs="Times New Roman"/>
      <w:b/>
      <w:bCs/>
      <w:sz w:val="20"/>
      <w:szCs w:val="20"/>
      <w:lang w:eastAsia="ar-SA"/>
    </w:rPr>
  </w:style>
  <w:style w:type="paragraph" w:styleId="ListParagraph">
    <w:name w:val="List Paragraph"/>
    <w:basedOn w:val="Normal"/>
    <w:qFormat/>
    <w:rsid w:val="00B74FAB"/>
    <w:pPr>
      <w:ind w:left="720"/>
      <w:contextualSpacing/>
    </w:pPr>
  </w:style>
  <w:style w:type="character" w:styleId="Strong">
    <w:name w:val="Strong"/>
    <w:basedOn w:val="DefaultParagraphFont"/>
    <w:uiPriority w:val="22"/>
    <w:qFormat/>
    <w:rsid w:val="00C8266F"/>
    <w:rPr>
      <w:b/>
      <w:bCs/>
    </w:rPr>
  </w:style>
  <w:style w:type="paragraph" w:customStyle="1" w:styleId="tv213">
    <w:name w:val="tv213"/>
    <w:basedOn w:val="Normal"/>
    <w:rsid w:val="009C4F0E"/>
    <w:pPr>
      <w:suppressAutoHyphens w:val="0"/>
      <w:spacing w:before="100" w:beforeAutospacing="1" w:after="100" w:afterAutospacing="1"/>
    </w:pPr>
    <w:rPr>
      <w:rFonts w:eastAsiaTheme="minorHAnsi"/>
      <w:lang w:eastAsia="lv-LV"/>
    </w:rPr>
  </w:style>
  <w:style w:type="paragraph" w:customStyle="1" w:styleId="tv2132">
    <w:name w:val="tv2132"/>
    <w:basedOn w:val="Normal"/>
    <w:rsid w:val="001F5BE9"/>
    <w:pPr>
      <w:suppressAutoHyphens w:val="0"/>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355896">
      <w:bodyDiv w:val="1"/>
      <w:marLeft w:val="0"/>
      <w:marRight w:val="0"/>
      <w:marTop w:val="0"/>
      <w:marBottom w:val="0"/>
      <w:divBdr>
        <w:top w:val="none" w:sz="0" w:space="0" w:color="auto"/>
        <w:left w:val="none" w:sz="0" w:space="0" w:color="auto"/>
        <w:bottom w:val="none" w:sz="0" w:space="0" w:color="auto"/>
        <w:right w:val="none" w:sz="0" w:space="0" w:color="auto"/>
      </w:divBdr>
    </w:div>
    <w:div w:id="1334071365">
      <w:bodyDiv w:val="1"/>
      <w:marLeft w:val="0"/>
      <w:marRight w:val="0"/>
      <w:marTop w:val="0"/>
      <w:marBottom w:val="0"/>
      <w:divBdr>
        <w:top w:val="none" w:sz="0" w:space="0" w:color="auto"/>
        <w:left w:val="none" w:sz="0" w:space="0" w:color="auto"/>
        <w:bottom w:val="none" w:sz="0" w:space="0" w:color="auto"/>
        <w:right w:val="none" w:sz="0" w:space="0" w:color="auto"/>
      </w:divBdr>
      <w:divsChild>
        <w:div w:id="2127430521">
          <w:marLeft w:val="0"/>
          <w:marRight w:val="0"/>
          <w:marTop w:val="0"/>
          <w:marBottom w:val="0"/>
          <w:divBdr>
            <w:top w:val="none" w:sz="0" w:space="0" w:color="auto"/>
            <w:left w:val="none" w:sz="0" w:space="0" w:color="auto"/>
            <w:bottom w:val="none" w:sz="0" w:space="0" w:color="auto"/>
            <w:right w:val="none" w:sz="0" w:space="0" w:color="auto"/>
          </w:divBdr>
          <w:divsChild>
            <w:div w:id="799419482">
              <w:marLeft w:val="0"/>
              <w:marRight w:val="0"/>
              <w:marTop w:val="0"/>
              <w:marBottom w:val="0"/>
              <w:divBdr>
                <w:top w:val="none" w:sz="0" w:space="0" w:color="auto"/>
                <w:left w:val="none" w:sz="0" w:space="0" w:color="auto"/>
                <w:bottom w:val="none" w:sz="0" w:space="0" w:color="auto"/>
                <w:right w:val="none" w:sz="0" w:space="0" w:color="auto"/>
              </w:divBdr>
              <w:divsChild>
                <w:div w:id="771632569">
                  <w:marLeft w:val="0"/>
                  <w:marRight w:val="0"/>
                  <w:marTop w:val="0"/>
                  <w:marBottom w:val="0"/>
                  <w:divBdr>
                    <w:top w:val="none" w:sz="0" w:space="0" w:color="auto"/>
                    <w:left w:val="none" w:sz="0" w:space="0" w:color="auto"/>
                    <w:bottom w:val="none" w:sz="0" w:space="0" w:color="auto"/>
                    <w:right w:val="none" w:sz="0" w:space="0" w:color="auto"/>
                  </w:divBdr>
                  <w:divsChild>
                    <w:div w:id="1903638046">
                      <w:marLeft w:val="0"/>
                      <w:marRight w:val="0"/>
                      <w:marTop w:val="0"/>
                      <w:marBottom w:val="0"/>
                      <w:divBdr>
                        <w:top w:val="none" w:sz="0" w:space="0" w:color="auto"/>
                        <w:left w:val="none" w:sz="0" w:space="0" w:color="auto"/>
                        <w:bottom w:val="none" w:sz="0" w:space="0" w:color="auto"/>
                        <w:right w:val="none" w:sz="0" w:space="0" w:color="auto"/>
                      </w:divBdr>
                      <w:divsChild>
                        <w:div w:id="2129660847">
                          <w:marLeft w:val="0"/>
                          <w:marRight w:val="0"/>
                          <w:marTop w:val="0"/>
                          <w:marBottom w:val="0"/>
                          <w:divBdr>
                            <w:top w:val="none" w:sz="0" w:space="0" w:color="auto"/>
                            <w:left w:val="none" w:sz="0" w:space="0" w:color="auto"/>
                            <w:bottom w:val="none" w:sz="0" w:space="0" w:color="auto"/>
                            <w:right w:val="none" w:sz="0" w:space="0" w:color="auto"/>
                          </w:divBdr>
                          <w:divsChild>
                            <w:div w:id="20855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43008">
      <w:bodyDiv w:val="1"/>
      <w:marLeft w:val="0"/>
      <w:marRight w:val="0"/>
      <w:marTop w:val="0"/>
      <w:marBottom w:val="0"/>
      <w:divBdr>
        <w:top w:val="none" w:sz="0" w:space="0" w:color="auto"/>
        <w:left w:val="none" w:sz="0" w:space="0" w:color="auto"/>
        <w:bottom w:val="none" w:sz="0" w:space="0" w:color="auto"/>
        <w:right w:val="none" w:sz="0" w:space="0" w:color="auto"/>
      </w:divBdr>
    </w:div>
    <w:div w:id="1581910436">
      <w:bodyDiv w:val="1"/>
      <w:marLeft w:val="0"/>
      <w:marRight w:val="0"/>
      <w:marTop w:val="0"/>
      <w:marBottom w:val="0"/>
      <w:divBdr>
        <w:top w:val="none" w:sz="0" w:space="0" w:color="auto"/>
        <w:left w:val="none" w:sz="0" w:space="0" w:color="auto"/>
        <w:bottom w:val="none" w:sz="0" w:space="0" w:color="auto"/>
        <w:right w:val="none" w:sz="0" w:space="0" w:color="auto"/>
      </w:divBdr>
      <w:divsChild>
        <w:div w:id="332298347">
          <w:marLeft w:val="0"/>
          <w:marRight w:val="0"/>
          <w:marTop w:val="0"/>
          <w:marBottom w:val="0"/>
          <w:divBdr>
            <w:top w:val="none" w:sz="0" w:space="0" w:color="auto"/>
            <w:left w:val="none" w:sz="0" w:space="0" w:color="auto"/>
            <w:bottom w:val="none" w:sz="0" w:space="0" w:color="auto"/>
            <w:right w:val="none" w:sz="0" w:space="0" w:color="auto"/>
          </w:divBdr>
          <w:divsChild>
            <w:div w:id="1342201816">
              <w:marLeft w:val="0"/>
              <w:marRight w:val="0"/>
              <w:marTop w:val="0"/>
              <w:marBottom w:val="0"/>
              <w:divBdr>
                <w:top w:val="none" w:sz="0" w:space="0" w:color="auto"/>
                <w:left w:val="none" w:sz="0" w:space="0" w:color="auto"/>
                <w:bottom w:val="none" w:sz="0" w:space="0" w:color="auto"/>
                <w:right w:val="none" w:sz="0" w:space="0" w:color="auto"/>
              </w:divBdr>
              <w:divsChild>
                <w:div w:id="1762214191">
                  <w:marLeft w:val="0"/>
                  <w:marRight w:val="0"/>
                  <w:marTop w:val="0"/>
                  <w:marBottom w:val="0"/>
                  <w:divBdr>
                    <w:top w:val="none" w:sz="0" w:space="0" w:color="auto"/>
                    <w:left w:val="none" w:sz="0" w:space="0" w:color="auto"/>
                    <w:bottom w:val="none" w:sz="0" w:space="0" w:color="auto"/>
                    <w:right w:val="none" w:sz="0" w:space="0" w:color="auto"/>
                  </w:divBdr>
                  <w:divsChild>
                    <w:div w:id="288171954">
                      <w:marLeft w:val="0"/>
                      <w:marRight w:val="0"/>
                      <w:marTop w:val="0"/>
                      <w:marBottom w:val="0"/>
                      <w:divBdr>
                        <w:top w:val="none" w:sz="0" w:space="0" w:color="auto"/>
                        <w:left w:val="none" w:sz="0" w:space="0" w:color="auto"/>
                        <w:bottom w:val="none" w:sz="0" w:space="0" w:color="auto"/>
                        <w:right w:val="none" w:sz="0" w:space="0" w:color="auto"/>
                      </w:divBdr>
                      <w:divsChild>
                        <w:div w:id="1606425620">
                          <w:marLeft w:val="0"/>
                          <w:marRight w:val="0"/>
                          <w:marTop w:val="0"/>
                          <w:marBottom w:val="0"/>
                          <w:divBdr>
                            <w:top w:val="none" w:sz="0" w:space="0" w:color="auto"/>
                            <w:left w:val="none" w:sz="0" w:space="0" w:color="auto"/>
                            <w:bottom w:val="none" w:sz="0" w:space="0" w:color="auto"/>
                            <w:right w:val="none" w:sz="0" w:space="0" w:color="auto"/>
                          </w:divBdr>
                          <w:divsChild>
                            <w:div w:id="2457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859278">
      <w:bodyDiv w:val="1"/>
      <w:marLeft w:val="0"/>
      <w:marRight w:val="0"/>
      <w:marTop w:val="0"/>
      <w:marBottom w:val="0"/>
      <w:divBdr>
        <w:top w:val="none" w:sz="0" w:space="0" w:color="auto"/>
        <w:left w:val="none" w:sz="0" w:space="0" w:color="auto"/>
        <w:bottom w:val="none" w:sz="0" w:space="0" w:color="auto"/>
        <w:right w:val="none" w:sz="0" w:space="0" w:color="auto"/>
      </w:divBdr>
      <w:divsChild>
        <w:div w:id="387191945">
          <w:marLeft w:val="0"/>
          <w:marRight w:val="0"/>
          <w:marTop w:val="0"/>
          <w:marBottom w:val="0"/>
          <w:divBdr>
            <w:top w:val="none" w:sz="0" w:space="0" w:color="auto"/>
            <w:left w:val="none" w:sz="0" w:space="0" w:color="auto"/>
            <w:bottom w:val="none" w:sz="0" w:space="0" w:color="auto"/>
            <w:right w:val="none" w:sz="0" w:space="0" w:color="auto"/>
          </w:divBdr>
          <w:divsChild>
            <w:div w:id="1435511905">
              <w:marLeft w:val="0"/>
              <w:marRight w:val="0"/>
              <w:marTop w:val="0"/>
              <w:marBottom w:val="0"/>
              <w:divBdr>
                <w:top w:val="none" w:sz="0" w:space="0" w:color="auto"/>
                <w:left w:val="none" w:sz="0" w:space="0" w:color="auto"/>
                <w:bottom w:val="none" w:sz="0" w:space="0" w:color="auto"/>
                <w:right w:val="none" w:sz="0" w:space="0" w:color="auto"/>
              </w:divBdr>
              <w:divsChild>
                <w:div w:id="1842046528">
                  <w:marLeft w:val="0"/>
                  <w:marRight w:val="0"/>
                  <w:marTop w:val="0"/>
                  <w:marBottom w:val="0"/>
                  <w:divBdr>
                    <w:top w:val="none" w:sz="0" w:space="0" w:color="auto"/>
                    <w:left w:val="none" w:sz="0" w:space="0" w:color="auto"/>
                    <w:bottom w:val="none" w:sz="0" w:space="0" w:color="auto"/>
                    <w:right w:val="none" w:sz="0" w:space="0" w:color="auto"/>
                  </w:divBdr>
                  <w:divsChild>
                    <w:div w:id="562915351">
                      <w:marLeft w:val="0"/>
                      <w:marRight w:val="0"/>
                      <w:marTop w:val="0"/>
                      <w:marBottom w:val="0"/>
                      <w:divBdr>
                        <w:top w:val="none" w:sz="0" w:space="0" w:color="auto"/>
                        <w:left w:val="none" w:sz="0" w:space="0" w:color="auto"/>
                        <w:bottom w:val="none" w:sz="0" w:space="0" w:color="auto"/>
                        <w:right w:val="none" w:sz="0" w:space="0" w:color="auto"/>
                      </w:divBdr>
                      <w:divsChild>
                        <w:div w:id="724764274">
                          <w:marLeft w:val="0"/>
                          <w:marRight w:val="0"/>
                          <w:marTop w:val="0"/>
                          <w:marBottom w:val="0"/>
                          <w:divBdr>
                            <w:top w:val="none" w:sz="0" w:space="0" w:color="auto"/>
                            <w:left w:val="none" w:sz="0" w:space="0" w:color="auto"/>
                            <w:bottom w:val="none" w:sz="0" w:space="0" w:color="auto"/>
                            <w:right w:val="none" w:sz="0" w:space="0" w:color="auto"/>
                          </w:divBdr>
                          <w:divsChild>
                            <w:div w:id="13099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na.Sticere@kase.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Zanete.Zvaigzne@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K.Āboliņš/Valsts kase</Vad_x012b_t_x0101_js>
    <Kategorija xmlns="2e5bb04e-596e-45bd-9003-43ca78b1ba16">Anotācija</Kategorija>
    <DKP xmlns="2e5bb04e-596e-45bd-9003-43ca78b1ba16">119</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3615C-DC25-4540-AFCA-B29D7C5F2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A46C64-5B11-48E5-A1AF-6D3CFC1AEBC8}">
  <ds:schemaRefs>
    <ds:schemaRef ds:uri="http://schemas.openxmlformats.org/package/2006/metadata/core-properties"/>
    <ds:schemaRef ds:uri="http://purl.org/dc/terms/"/>
    <ds:schemaRef ds:uri="http://schemas.microsoft.com/office/2006/documentManagement/types"/>
    <ds:schemaRef ds:uri="2e5bb04e-596e-45bd-9003-43ca78b1ba16"/>
    <ds:schemaRef ds:uri="http://www.w3.org/XML/1998/namespace"/>
    <ds:schemaRef ds:uri="http://purl.org/dc/elements/1.1/"/>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892D6C4B-60BC-4490-8DB2-B3ADFCF1E449}">
  <ds:schemaRefs>
    <ds:schemaRef ds:uri="http://schemas.microsoft.com/sharepoint/v3/contenttype/forms"/>
  </ds:schemaRefs>
</ds:datastoreItem>
</file>

<file path=customXml/itemProps4.xml><?xml version="1.0" encoding="utf-8"?>
<ds:datastoreItem xmlns:ds="http://schemas.openxmlformats.org/officeDocument/2006/customXml" ds:itemID="{D7C6F4D7-333D-440A-9A3E-7F652115FE82}">
  <ds:schemaRefs>
    <ds:schemaRef ds:uri="http://schemas.openxmlformats.org/officeDocument/2006/bibliography"/>
  </ds:schemaRefs>
</ds:datastoreItem>
</file>

<file path=customXml/itemProps5.xml><?xml version="1.0" encoding="utf-8"?>
<ds:datastoreItem xmlns:ds="http://schemas.openxmlformats.org/officeDocument/2006/customXml" ds:itemID="{9FAD0CCC-5F4C-411F-B49C-28F550C8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6187</Words>
  <Characters>3528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2004.gada 3. augusta noteikumos Nr.677 „Valsts kases nolikums”</vt:lpstr>
      <vt:lpstr>sākotnējās ietekmes novērtējuma ziņojums (anotācija)</vt:lpstr>
    </vt:vector>
  </TitlesOfParts>
  <Manager>K.Āboliņš</Manager>
  <Company>Valsts kase</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budžetu un finanšu vadību</dc:title>
  <dc:subject>Anotācija</dc:subject>
  <dc:creator>Anna.Sticere@kase.gov.lv</dc:creator>
  <dc:description>67094226, anna.sticere@kase.gov.lv</dc:description>
  <cp:lastModifiedBy>Anna Sticere</cp:lastModifiedBy>
  <cp:revision>17</cp:revision>
  <cp:lastPrinted>2016-09-26T09:38:00Z</cp:lastPrinted>
  <dcterms:created xsi:type="dcterms:W3CDTF">2016-10-19T11:53:00Z</dcterms:created>
  <dcterms:modified xsi:type="dcterms:W3CDTF">2016-11-14T09:15:00Z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