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3.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4F451" w14:textId="77777777" w:rsidR="00684ADB" w:rsidRPr="008F2668" w:rsidRDefault="00684ADB" w:rsidP="00684ADB">
      <w:pPr>
        <w:jc w:val="center"/>
        <w:rPr>
          <w:b/>
        </w:rPr>
      </w:pPr>
      <w:r w:rsidRPr="008F2668">
        <w:rPr>
          <w:b/>
        </w:rPr>
        <w:t>INFORMATĪVAIS ZIŅOJUMS PAR EIROPAS SAVIENĪBAS STRUKTŪRFONDU UN KOHĒZIJAS FONDA</w:t>
      </w:r>
      <w:r w:rsidRPr="008F2668">
        <w:rPr>
          <w:b/>
          <w:caps/>
        </w:rPr>
        <w:t xml:space="preserve"> </w:t>
      </w:r>
      <w:r w:rsidRPr="008F2668">
        <w:rPr>
          <w:b/>
        </w:rPr>
        <w:t>INVESTĪCIJU IEVIEŠANAS STATUSU</w:t>
      </w:r>
      <w:r w:rsidRPr="008F2668">
        <w:rPr>
          <w:rStyle w:val="FootnoteReference"/>
          <w:b/>
        </w:rPr>
        <w:footnoteReference w:id="1"/>
      </w:r>
      <w:r w:rsidRPr="008F2668">
        <w:rPr>
          <w:b/>
        </w:rPr>
        <w:t xml:space="preserve"> </w:t>
      </w:r>
    </w:p>
    <w:p w14:paraId="063DA8FC" w14:textId="77777777" w:rsidR="00684ADB" w:rsidRPr="008F2668" w:rsidRDefault="00684ADB" w:rsidP="00684ADB"/>
    <w:p w14:paraId="4CC3CBB2" w14:textId="67E11834" w:rsidR="00405972" w:rsidRPr="008F2668" w:rsidRDefault="00684ADB" w:rsidP="00326786">
      <w:pPr>
        <w:pStyle w:val="BodyText"/>
        <w:numPr>
          <w:ilvl w:val="0"/>
          <w:numId w:val="22"/>
        </w:numPr>
        <w:spacing w:line="240" w:lineRule="auto"/>
        <w:ind w:left="0" w:firstLine="0"/>
        <w:jc w:val="both"/>
        <w:rPr>
          <w:rFonts w:eastAsia="Calibri"/>
          <w:b w:val="0"/>
          <w:lang w:val="lv-LV" w:eastAsia="ar-SA"/>
        </w:rPr>
      </w:pPr>
      <w:r w:rsidRPr="008F2668">
        <w:rPr>
          <w:rFonts w:eastAsia="Calibri"/>
          <w:b w:val="0"/>
          <w:lang w:val="lv-LV" w:eastAsia="ar-SA"/>
        </w:rPr>
        <w:t>Atbilstoši Ministru kabineta (turpmāk – MK) 2015.gada 10.marta sēdes protokola Nr.14 27.§ 11.punktam Finanšu ministrijai (turpmāk - FM) ir uzdots, sākot ar 2015.gada maiju</w:t>
      </w:r>
      <w:r w:rsidR="00832912" w:rsidRPr="008F2668">
        <w:rPr>
          <w:rFonts w:eastAsia="Calibri"/>
          <w:b w:val="0"/>
          <w:lang w:val="lv-LV" w:eastAsia="ar-SA"/>
        </w:rPr>
        <w:t>,</w:t>
      </w:r>
      <w:r w:rsidRPr="008F2668">
        <w:rPr>
          <w:rFonts w:eastAsia="Calibri"/>
          <w:b w:val="0"/>
          <w:lang w:val="lv-LV" w:eastAsia="ar-SA"/>
        </w:rPr>
        <w:t xml:space="preserve"> reizi mēnesī (līdz nākamā mēneša beigām) </w:t>
      </w:r>
      <w:r w:rsidRPr="008F2668">
        <w:rPr>
          <w:rFonts w:eastAsia="Calibri"/>
          <w:b w:val="0"/>
          <w:u w:val="single"/>
          <w:lang w:val="lv-LV" w:eastAsia="ar-SA"/>
        </w:rPr>
        <w:t>iesniegt MK bez saskaņošanas ar citām iestādēm operatīvo informāciju</w:t>
      </w:r>
      <w:r w:rsidRPr="008F2668">
        <w:rPr>
          <w:rFonts w:eastAsia="Calibri"/>
          <w:b w:val="0"/>
          <w:lang w:val="lv-LV" w:eastAsia="ar-SA"/>
        </w:rPr>
        <w:t xml:space="preserve"> par Eiropas Savienības struktūrfondu un Kohēzijas fondu (turpmāk – ES fondi) ieviešanas plānu izpildi (turpmāk – </w:t>
      </w:r>
      <w:r w:rsidRPr="008F2668">
        <w:rPr>
          <w:rFonts w:eastAsia="Calibri"/>
          <w:b w:val="0"/>
          <w:lang w:val="lv-LV"/>
        </w:rPr>
        <w:t xml:space="preserve">ikmēneša ziņojums </w:t>
      </w:r>
      <w:r w:rsidRPr="008F2668">
        <w:rPr>
          <w:rFonts w:eastAsia="Calibri"/>
          <w:b w:val="0"/>
          <w:lang w:val="lv-LV" w:eastAsia="ar-SA"/>
        </w:rPr>
        <w:t>MK), tai skaitā informāciju atbildīgo iestāžu dalījumā par noteiktiem finanšu mērķiem un citiem pr</w:t>
      </w:r>
      <w:r w:rsidR="00326786" w:rsidRPr="008F2668">
        <w:rPr>
          <w:rFonts w:eastAsia="Calibri"/>
          <w:b w:val="0"/>
          <w:lang w:val="lv-LV" w:eastAsia="ar-SA"/>
        </w:rPr>
        <w:t xml:space="preserve">iekšnosacījumiem un uzdevumiem. </w:t>
      </w:r>
      <w:r w:rsidR="004D3A6C" w:rsidRPr="008F2668">
        <w:rPr>
          <w:rFonts w:eastAsia="Calibri"/>
          <w:b w:val="0"/>
          <w:lang w:val="lv-LV" w:eastAsia="ar-SA"/>
        </w:rPr>
        <w:t xml:space="preserve">Ņemot vērā </w:t>
      </w:r>
      <w:r w:rsidR="00405972" w:rsidRPr="008F2668">
        <w:rPr>
          <w:rFonts w:eastAsia="Calibri"/>
          <w:b w:val="0"/>
          <w:lang w:val="lv-LV" w:eastAsia="ar-SA"/>
        </w:rPr>
        <w:t>ES fondu</w:t>
      </w:r>
      <w:r w:rsidR="00170349" w:rsidRPr="008F2668">
        <w:rPr>
          <w:rFonts w:eastAsia="Calibri"/>
          <w:b w:val="0"/>
          <w:lang w:val="lv-LV" w:eastAsia="ar-SA"/>
        </w:rPr>
        <w:t xml:space="preserve"> 2007.–2013.gada plānošanas period</w:t>
      </w:r>
      <w:r w:rsidR="004D3A6C" w:rsidRPr="008F2668">
        <w:rPr>
          <w:rFonts w:eastAsia="Calibri"/>
          <w:b w:val="0"/>
          <w:lang w:val="lv-LV" w:eastAsia="ar-SA"/>
        </w:rPr>
        <w:t>a praktisku noslēgumu un sagaidāmo ES finansējuma izmantošanu Latvijas tautsaimniecībā pilnā apmērā</w:t>
      </w:r>
      <w:r w:rsidR="004D3A6C" w:rsidRPr="008F2668">
        <w:rPr>
          <w:rStyle w:val="FootnoteReference"/>
          <w:rFonts w:eastAsia="Calibri"/>
          <w:b w:val="0"/>
          <w:lang w:val="lv-LV" w:eastAsia="ar-SA"/>
        </w:rPr>
        <w:footnoteReference w:id="2"/>
      </w:r>
      <w:r w:rsidR="004D3A6C" w:rsidRPr="008F2668">
        <w:rPr>
          <w:rFonts w:eastAsia="Calibri"/>
          <w:b w:val="0"/>
          <w:lang w:val="lv-LV" w:eastAsia="ar-SA"/>
        </w:rPr>
        <w:t xml:space="preserve">, </w:t>
      </w:r>
      <w:r w:rsidR="004D3A6C" w:rsidRPr="008F2668">
        <w:rPr>
          <w:rFonts w:eastAsia="Calibri"/>
          <w:b w:val="0"/>
          <w:u w:val="single"/>
          <w:lang w:val="lv-LV" w:eastAsia="ar-SA"/>
        </w:rPr>
        <w:t>šajā un turpmāk ikmēneša operatīvajos ziņojum</w:t>
      </w:r>
      <w:r w:rsidR="00723899" w:rsidRPr="008F2668">
        <w:rPr>
          <w:rFonts w:eastAsia="Calibri"/>
          <w:b w:val="0"/>
          <w:u w:val="single"/>
          <w:lang w:val="lv-LV" w:eastAsia="ar-SA"/>
        </w:rPr>
        <w:t>os galvenie aspekti par</w:t>
      </w:r>
      <w:r w:rsidR="004D3A6C" w:rsidRPr="008F2668">
        <w:rPr>
          <w:rFonts w:eastAsia="Calibri"/>
          <w:b w:val="0"/>
          <w:u w:val="single"/>
          <w:lang w:val="lv-LV" w:eastAsia="ar-SA"/>
        </w:rPr>
        <w:t xml:space="preserve"> aktuālo</w:t>
      </w:r>
      <w:r w:rsidR="00405972" w:rsidRPr="008F2668">
        <w:rPr>
          <w:rFonts w:eastAsia="Calibri"/>
          <w:b w:val="0"/>
          <w:u w:val="single"/>
          <w:lang w:val="lv-LV" w:eastAsia="ar-SA"/>
        </w:rPr>
        <w:t xml:space="preserve"> </w:t>
      </w:r>
      <w:r w:rsidR="004F5936">
        <w:rPr>
          <w:rFonts w:eastAsia="Calibri"/>
          <w:b w:val="0"/>
          <w:u w:val="single"/>
          <w:lang w:val="lv-LV" w:eastAsia="ar-SA"/>
        </w:rPr>
        <w:t xml:space="preserve">ES fondu </w:t>
      </w:r>
      <w:r w:rsidR="00405972" w:rsidRPr="008F2668">
        <w:rPr>
          <w:rFonts w:eastAsia="Calibri"/>
          <w:b w:val="0"/>
          <w:u w:val="single"/>
          <w:lang w:val="lv-LV" w:eastAsia="ar-SA"/>
        </w:rPr>
        <w:t>2014.–2020.gada plānošanas period</w:t>
      </w:r>
      <w:r w:rsidR="00723899" w:rsidRPr="008F2668">
        <w:rPr>
          <w:rFonts w:eastAsia="Calibri"/>
          <w:b w:val="0"/>
          <w:u w:val="single"/>
          <w:lang w:val="lv-LV" w:eastAsia="ar-SA"/>
        </w:rPr>
        <w:t>ā</w:t>
      </w:r>
      <w:r w:rsidR="00405972" w:rsidRPr="008F2668">
        <w:rPr>
          <w:rFonts w:eastAsia="Calibri"/>
          <w:b w:val="0"/>
          <w:u w:val="single"/>
          <w:lang w:val="lv-LV" w:eastAsia="ar-SA"/>
        </w:rPr>
        <w:t xml:space="preserve">.  </w:t>
      </w:r>
    </w:p>
    <w:p w14:paraId="3EACC6C3" w14:textId="098C3D3B" w:rsidR="008D149E" w:rsidRPr="008F2668" w:rsidRDefault="00A35118" w:rsidP="00326786">
      <w:pPr>
        <w:pStyle w:val="BodyText"/>
        <w:numPr>
          <w:ilvl w:val="0"/>
          <w:numId w:val="22"/>
        </w:numPr>
        <w:spacing w:line="240" w:lineRule="auto"/>
        <w:ind w:left="0" w:firstLine="0"/>
        <w:jc w:val="both"/>
        <w:rPr>
          <w:rFonts w:eastAsia="Calibri"/>
          <w:b w:val="0"/>
          <w:lang w:val="lv-LV" w:eastAsia="ar-SA"/>
        </w:rPr>
      </w:pPr>
      <w:r w:rsidRPr="008F2668">
        <w:rPr>
          <w:b w:val="0"/>
          <w:szCs w:val="28"/>
          <w:lang w:val="lv-LV" w:eastAsia="ar-SA"/>
        </w:rPr>
        <w:t>Latvija</w:t>
      </w:r>
      <w:r w:rsidR="00CC36E2" w:rsidRPr="008F2668">
        <w:rPr>
          <w:b w:val="0"/>
          <w:szCs w:val="28"/>
          <w:lang w:val="lv-LV" w:eastAsia="ar-SA"/>
        </w:rPr>
        <w:t xml:space="preserve"> stabili saglabā sa</w:t>
      </w:r>
      <w:r w:rsidRPr="008F2668">
        <w:rPr>
          <w:b w:val="0"/>
          <w:szCs w:val="28"/>
          <w:lang w:val="lv-LV" w:eastAsia="ar-SA"/>
        </w:rPr>
        <w:t>līdzinoši lab</w:t>
      </w:r>
      <w:r w:rsidR="00CC36E2" w:rsidRPr="008F2668">
        <w:rPr>
          <w:b w:val="0"/>
          <w:szCs w:val="28"/>
          <w:lang w:val="lv-LV" w:eastAsia="ar-SA"/>
        </w:rPr>
        <w:t>u</w:t>
      </w:r>
      <w:r w:rsidRPr="008F2668">
        <w:rPr>
          <w:b w:val="0"/>
          <w:szCs w:val="28"/>
          <w:lang w:val="lv-LV" w:eastAsia="ar-SA"/>
        </w:rPr>
        <w:t xml:space="preserve"> investīciju uzsākšanas </w:t>
      </w:r>
      <w:r w:rsidR="00CC36E2" w:rsidRPr="008F2668">
        <w:rPr>
          <w:b w:val="0"/>
          <w:szCs w:val="28"/>
          <w:lang w:val="lv-LV" w:eastAsia="ar-SA"/>
        </w:rPr>
        <w:t>statusu</w:t>
      </w:r>
      <w:r w:rsidRPr="008F2668">
        <w:rPr>
          <w:b w:val="0"/>
          <w:szCs w:val="28"/>
          <w:lang w:val="lv-LV" w:eastAsia="ar-SA"/>
        </w:rPr>
        <w:t xml:space="preserve"> ES dalībvalstu </w:t>
      </w:r>
      <w:r w:rsidR="00CC36E2" w:rsidRPr="008F2668">
        <w:rPr>
          <w:b w:val="0"/>
          <w:szCs w:val="28"/>
          <w:lang w:val="lv-LV" w:eastAsia="ar-SA"/>
        </w:rPr>
        <w:t xml:space="preserve">vidū </w:t>
      </w:r>
      <w:r w:rsidR="00773E87" w:rsidRPr="008F2668">
        <w:rPr>
          <w:b w:val="0"/>
          <w:szCs w:val="28"/>
          <w:lang w:val="lv-LV" w:eastAsia="ar-SA"/>
        </w:rPr>
        <w:t>–</w:t>
      </w:r>
      <w:r w:rsidRPr="008F2668">
        <w:rPr>
          <w:b w:val="0"/>
          <w:szCs w:val="28"/>
          <w:lang w:val="lv-LV" w:eastAsia="ar-SA"/>
        </w:rPr>
        <w:t xml:space="preserve"> Latvija</w:t>
      </w:r>
      <w:r w:rsidR="00773E87" w:rsidRPr="008F2668">
        <w:rPr>
          <w:b w:val="0"/>
          <w:szCs w:val="28"/>
          <w:lang w:val="lv-LV" w:eastAsia="ar-SA"/>
        </w:rPr>
        <w:t xml:space="preserve">i </w:t>
      </w:r>
      <w:r w:rsidR="000F5F73" w:rsidRPr="008F2668">
        <w:rPr>
          <w:b w:val="0"/>
          <w:szCs w:val="28"/>
          <w:u w:val="single"/>
          <w:lang w:val="lv-LV" w:eastAsia="ar-SA"/>
        </w:rPr>
        <w:t>3</w:t>
      </w:r>
      <w:r w:rsidRPr="008F2668">
        <w:rPr>
          <w:b w:val="0"/>
          <w:szCs w:val="28"/>
          <w:u w:val="single"/>
          <w:lang w:val="lv-LV" w:eastAsia="ar-SA"/>
        </w:rPr>
        <w:t>.vieta</w:t>
      </w:r>
      <w:r w:rsidR="00F4023A">
        <w:rPr>
          <w:b w:val="0"/>
          <w:szCs w:val="28"/>
          <w:u w:val="single"/>
          <w:lang w:val="lv-LV" w:eastAsia="ar-SA"/>
        </w:rPr>
        <w:t xml:space="preserve"> uz 2016.gada 9.</w:t>
      </w:r>
      <w:r w:rsidR="000F5F73" w:rsidRPr="008F2668">
        <w:rPr>
          <w:b w:val="0"/>
          <w:szCs w:val="28"/>
          <w:u w:val="single"/>
          <w:lang w:val="lv-LV" w:eastAsia="ar-SA"/>
        </w:rPr>
        <w:t>novembri</w:t>
      </w:r>
      <w:r w:rsidRPr="008F2668">
        <w:rPr>
          <w:b w:val="0"/>
          <w:szCs w:val="28"/>
          <w:lang w:val="lv-LV" w:eastAsia="ar-SA"/>
        </w:rPr>
        <w:t>,</w:t>
      </w:r>
      <w:r w:rsidR="00773E87" w:rsidRPr="008F2668">
        <w:rPr>
          <w:b w:val="0"/>
          <w:szCs w:val="28"/>
          <w:lang w:val="lv-LV" w:eastAsia="ar-SA"/>
        </w:rPr>
        <w:t xml:space="preserve"> </w:t>
      </w:r>
      <w:r w:rsidR="000F5F73" w:rsidRPr="008F2668">
        <w:rPr>
          <w:b w:val="0"/>
          <w:szCs w:val="28"/>
          <w:lang w:val="lv-LV" w:eastAsia="ar-SA"/>
        </w:rPr>
        <w:t xml:space="preserve">saņemot no </w:t>
      </w:r>
      <w:r w:rsidR="00D30EE6" w:rsidRPr="008F2668">
        <w:rPr>
          <w:b w:val="0"/>
          <w:szCs w:val="28"/>
          <w:lang w:val="lv-LV" w:eastAsia="ar-SA"/>
        </w:rPr>
        <w:t xml:space="preserve">Eiropas Komisijas (turpmāk – </w:t>
      </w:r>
      <w:r w:rsidR="000F5F73" w:rsidRPr="008F2668">
        <w:rPr>
          <w:b w:val="0"/>
          <w:szCs w:val="28"/>
          <w:lang w:val="lv-LV" w:eastAsia="ar-SA"/>
        </w:rPr>
        <w:t>EK</w:t>
      </w:r>
      <w:r w:rsidR="00D30EE6" w:rsidRPr="008F2668">
        <w:rPr>
          <w:b w:val="0"/>
          <w:szCs w:val="28"/>
          <w:lang w:val="lv-LV" w:eastAsia="ar-SA"/>
        </w:rPr>
        <w:t>)</w:t>
      </w:r>
      <w:r w:rsidR="000F5F73" w:rsidRPr="008F2668">
        <w:rPr>
          <w:b w:val="0"/>
          <w:szCs w:val="28"/>
          <w:lang w:val="lv-LV" w:eastAsia="ar-SA"/>
        </w:rPr>
        <w:t xml:space="preserve"> starpposma maksājumus par jau veiktajām investīcijām un pārbaudītiem izdevumu dokumentiem projektu ietvaros</w:t>
      </w:r>
      <w:r w:rsidR="00773E87" w:rsidRPr="008F2668">
        <w:rPr>
          <w:b w:val="0"/>
          <w:szCs w:val="28"/>
          <w:lang w:val="lv-LV" w:eastAsia="ar-SA"/>
        </w:rPr>
        <w:t>.</w:t>
      </w:r>
      <w:r w:rsidR="0014261F" w:rsidRPr="008F2668">
        <w:rPr>
          <w:b w:val="0"/>
          <w:szCs w:val="28"/>
          <w:lang w:val="lv-LV" w:eastAsia="ar-SA"/>
        </w:rPr>
        <w:t xml:space="preserve"> </w:t>
      </w:r>
      <w:r w:rsidRPr="008F2668">
        <w:rPr>
          <w:b w:val="0"/>
          <w:color w:val="000000" w:themeColor="text1"/>
          <w:lang w:val="lv-LV"/>
        </w:rPr>
        <w:t xml:space="preserve">Detalizētu informāciju skatīt </w:t>
      </w:r>
      <w:hyperlink r:id="rId8" w:history="1">
        <w:r w:rsidRPr="008F2668">
          <w:rPr>
            <w:rStyle w:val="Hyperlink"/>
            <w:b w:val="0"/>
            <w:color w:val="000000" w:themeColor="text1"/>
            <w:lang w:val="lv-LV"/>
          </w:rPr>
          <w:t>ES fondu tīmekļa vietnē</w:t>
        </w:r>
      </w:hyperlink>
      <w:r w:rsidRPr="008F2668">
        <w:rPr>
          <w:rStyle w:val="FootnoteReference"/>
          <w:b w:val="0"/>
          <w:color w:val="000000" w:themeColor="text1"/>
          <w:lang w:val="lv-LV"/>
        </w:rPr>
        <w:footnoteReference w:id="3"/>
      </w:r>
      <w:r w:rsidRPr="008F2668">
        <w:rPr>
          <w:rStyle w:val="Hyperlink"/>
          <w:b w:val="0"/>
          <w:color w:val="000000" w:themeColor="text1"/>
          <w:u w:val="none"/>
          <w:lang w:val="lv-LV"/>
        </w:rPr>
        <w:t xml:space="preserve"> un zemāk esošajā grafikā.</w:t>
      </w:r>
    </w:p>
    <w:p w14:paraId="22C58E71" w14:textId="2A9F5C83" w:rsidR="00D22DA1" w:rsidRPr="008F2668" w:rsidRDefault="00684ADB" w:rsidP="00F35F3C">
      <w:pPr>
        <w:pStyle w:val="ListParagraph"/>
        <w:suppressAutoHyphens/>
        <w:spacing w:before="120" w:after="120"/>
        <w:ind w:left="0"/>
        <w:contextualSpacing w:val="0"/>
        <w:jc w:val="both"/>
        <w:rPr>
          <w:rFonts w:eastAsia="Times New Roman" w:cs="Times New Roman"/>
          <w:bCs/>
          <w:i/>
          <w:color w:val="000000"/>
          <w:sz w:val="22"/>
          <w:szCs w:val="24"/>
        </w:rPr>
      </w:pPr>
      <w:r w:rsidRPr="008F2668">
        <w:rPr>
          <w:rFonts w:eastAsia="Times New Roman" w:cs="Times New Roman"/>
          <w:b/>
          <w:i/>
          <w:color w:val="000000"/>
          <w:sz w:val="22"/>
          <w:szCs w:val="24"/>
        </w:rPr>
        <w:t>Grafiks Nr.1</w:t>
      </w:r>
      <w:r w:rsidRPr="008F2668">
        <w:rPr>
          <w:rFonts w:eastAsia="Times New Roman" w:cs="Times New Roman"/>
          <w:i/>
          <w:color w:val="000000"/>
          <w:sz w:val="22"/>
          <w:szCs w:val="24"/>
        </w:rPr>
        <w:t xml:space="preserve"> “</w:t>
      </w:r>
      <w:r w:rsidRPr="008F2668">
        <w:rPr>
          <w:rFonts w:eastAsia="Times New Roman" w:cs="Times New Roman"/>
          <w:bCs/>
          <w:i/>
          <w:color w:val="000000"/>
          <w:sz w:val="22"/>
          <w:szCs w:val="24"/>
        </w:rPr>
        <w:t xml:space="preserve">ES fondu kopējie EK veiktie sākotnējie, ikgadējie avansi un starpposma maksājumi dalībvalstīm, % no pieejamā ES fondu </w:t>
      </w:r>
      <w:r w:rsidR="00AE524D" w:rsidRPr="008F2668">
        <w:rPr>
          <w:rFonts w:eastAsia="Times New Roman" w:cs="Times New Roman"/>
          <w:bCs/>
          <w:i/>
          <w:color w:val="000000"/>
          <w:sz w:val="22"/>
          <w:szCs w:val="24"/>
        </w:rPr>
        <w:t>f</w:t>
      </w:r>
      <w:r w:rsidR="000F5F73" w:rsidRPr="008F2668">
        <w:rPr>
          <w:rFonts w:eastAsia="Times New Roman" w:cs="Times New Roman"/>
          <w:bCs/>
          <w:i/>
          <w:color w:val="000000"/>
          <w:sz w:val="22"/>
          <w:szCs w:val="24"/>
        </w:rPr>
        <w:t>inansējuma, dati uz 2016.gada 9</w:t>
      </w:r>
      <w:r w:rsidR="00AE524D" w:rsidRPr="008F2668">
        <w:rPr>
          <w:rFonts w:eastAsia="Times New Roman" w:cs="Times New Roman"/>
          <w:bCs/>
          <w:i/>
          <w:color w:val="000000"/>
          <w:sz w:val="22"/>
          <w:szCs w:val="24"/>
        </w:rPr>
        <w:t>.</w:t>
      </w:r>
      <w:r w:rsidR="000F5F73" w:rsidRPr="008F2668">
        <w:rPr>
          <w:rFonts w:eastAsia="Times New Roman" w:cs="Times New Roman"/>
          <w:bCs/>
          <w:i/>
          <w:color w:val="000000"/>
          <w:sz w:val="22"/>
          <w:szCs w:val="24"/>
        </w:rPr>
        <w:t>novembri</w:t>
      </w:r>
    </w:p>
    <w:p w14:paraId="6A5106E0" w14:textId="1C8938AD" w:rsidR="00A25997" w:rsidRPr="008F2668" w:rsidRDefault="00A25997" w:rsidP="00F35F3C">
      <w:pPr>
        <w:pStyle w:val="ListParagraph"/>
        <w:suppressAutoHyphens/>
        <w:spacing w:before="120" w:after="120"/>
        <w:ind w:left="0"/>
        <w:contextualSpacing w:val="0"/>
        <w:jc w:val="both"/>
        <w:rPr>
          <w:rFonts w:eastAsia="Times New Roman" w:cs="Times New Roman"/>
          <w:bCs/>
          <w:i/>
          <w:color w:val="000000"/>
          <w:sz w:val="22"/>
          <w:szCs w:val="24"/>
        </w:rPr>
      </w:pPr>
      <w:r w:rsidRPr="008F2668">
        <w:rPr>
          <w:noProof/>
          <w:lang w:eastAsia="lv-LV"/>
        </w:rPr>
        <w:drawing>
          <wp:inline distT="0" distB="0" distL="0" distR="0" wp14:anchorId="575010F9" wp14:editId="3A5BD1A8">
            <wp:extent cx="5476875" cy="4495800"/>
            <wp:effectExtent l="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1BF3E65" w14:textId="7CDEDA2F" w:rsidR="001C220D" w:rsidRPr="008F2668" w:rsidRDefault="00684ADB" w:rsidP="00210951">
      <w:pPr>
        <w:pStyle w:val="ListParagraph"/>
        <w:numPr>
          <w:ilvl w:val="0"/>
          <w:numId w:val="22"/>
        </w:numPr>
        <w:suppressAutoHyphens/>
        <w:spacing w:before="120" w:after="120"/>
        <w:ind w:left="0" w:firstLine="0"/>
        <w:contextualSpacing w:val="0"/>
        <w:jc w:val="both"/>
        <w:rPr>
          <w:szCs w:val="24"/>
        </w:rPr>
      </w:pPr>
      <w:r w:rsidRPr="008F2668">
        <w:lastRenderedPageBreak/>
        <w:t>Informācija par investīciju ieviešanas laika grafika</w:t>
      </w:r>
      <w:r w:rsidRPr="008F2668">
        <w:rPr>
          <w:rStyle w:val="FootnoteReference"/>
        </w:rPr>
        <w:footnoteReference w:id="4"/>
      </w:r>
      <w:r w:rsidRPr="008F2668">
        <w:t xml:space="preserve"> un finanšu progresa izpildes statusu uz </w:t>
      </w:r>
      <w:r w:rsidRPr="008F2668">
        <w:rPr>
          <w:b/>
        </w:rPr>
        <w:t>2016.gada 1.</w:t>
      </w:r>
      <w:r w:rsidR="003C7CE4" w:rsidRPr="008F2668">
        <w:rPr>
          <w:b/>
        </w:rPr>
        <w:t>novembri</w:t>
      </w:r>
      <w:r w:rsidRPr="008F2668">
        <w:t xml:space="preserve"> liecina, ka ir </w:t>
      </w:r>
      <w:r w:rsidR="009404B9" w:rsidRPr="008F2668">
        <w:rPr>
          <w:szCs w:val="24"/>
          <w:u w:val="single"/>
        </w:rPr>
        <w:t xml:space="preserve">arvien ievērojamāks progress projektu atlasēs un projektu reālas ieviešanas uzsākšanā. </w:t>
      </w:r>
      <w:r w:rsidR="00207285" w:rsidRPr="008F2668">
        <w:rPr>
          <w:szCs w:val="24"/>
        </w:rPr>
        <w:t>Skat. kopsavilkumu grafikā Nr.2 un plašāku informāciju par aps</w:t>
      </w:r>
      <w:r w:rsidR="00207285" w:rsidRPr="008F2668">
        <w:rPr>
          <w:rFonts w:eastAsia="Calibri" w:cs="Times New Roman"/>
          <w:szCs w:val="24"/>
          <w:lang w:eastAsia="ar-SA"/>
        </w:rPr>
        <w:t>tiprinātajiem projektiem un tajos veiktiem maksājumiem ES fondu tīmekļa vietnē</w:t>
      </w:r>
      <w:r w:rsidR="00207285" w:rsidRPr="008F2668">
        <w:rPr>
          <w:rStyle w:val="FootnoteReference"/>
          <w:rFonts w:eastAsia="Calibri" w:cs="Times New Roman"/>
          <w:szCs w:val="24"/>
          <w:lang w:eastAsia="ar-SA"/>
        </w:rPr>
        <w:footnoteReference w:id="5"/>
      </w:r>
      <w:r w:rsidR="00207285" w:rsidRPr="008F2668">
        <w:rPr>
          <w:szCs w:val="24"/>
        </w:rPr>
        <w:t>.</w:t>
      </w:r>
    </w:p>
    <w:p w14:paraId="58390C74" w14:textId="77777777" w:rsidR="00B7100B" w:rsidRPr="008F2668" w:rsidRDefault="00B7100B" w:rsidP="00B7100B">
      <w:pPr>
        <w:pStyle w:val="ListParagraph"/>
        <w:suppressAutoHyphens/>
        <w:spacing w:before="120" w:after="120" w:line="276" w:lineRule="auto"/>
        <w:ind w:left="0"/>
        <w:contextualSpacing w:val="0"/>
        <w:jc w:val="both"/>
        <w:rPr>
          <w:rFonts w:eastAsia="Times New Roman" w:cs="Times New Roman"/>
          <w:bCs/>
          <w:i/>
          <w:color w:val="000000"/>
          <w:sz w:val="22"/>
          <w:szCs w:val="24"/>
        </w:rPr>
      </w:pPr>
      <w:r w:rsidRPr="008F2668">
        <w:rPr>
          <w:rFonts w:eastAsia="Times New Roman" w:cs="Times New Roman"/>
          <w:b/>
          <w:i/>
          <w:color w:val="000000"/>
          <w:sz w:val="22"/>
          <w:szCs w:val="24"/>
        </w:rPr>
        <w:t>Grafiks Nr.2</w:t>
      </w:r>
      <w:r w:rsidRPr="008F2668">
        <w:rPr>
          <w:rFonts w:eastAsia="Times New Roman" w:cs="Times New Roman"/>
          <w:i/>
          <w:color w:val="000000"/>
          <w:sz w:val="22"/>
          <w:szCs w:val="24"/>
        </w:rPr>
        <w:t xml:space="preserve"> “</w:t>
      </w:r>
      <w:r w:rsidRPr="008F2668">
        <w:rPr>
          <w:rFonts w:eastAsia="Times New Roman" w:cs="Times New Roman"/>
          <w:bCs/>
          <w:i/>
          <w:color w:val="000000"/>
          <w:sz w:val="22"/>
          <w:szCs w:val="24"/>
        </w:rPr>
        <w:t xml:space="preserve">ES fondu investīciju uzsākšanas un ieviešanas statuss līdz 2016.gada 1.novembrim milj. </w:t>
      </w:r>
      <w:proofErr w:type="spellStart"/>
      <w:r w:rsidRPr="008F2668">
        <w:rPr>
          <w:rFonts w:eastAsia="Times New Roman" w:cs="Times New Roman"/>
          <w:bCs/>
          <w:i/>
          <w:color w:val="000000"/>
          <w:sz w:val="22"/>
          <w:szCs w:val="24"/>
        </w:rPr>
        <w:t>euro</w:t>
      </w:r>
      <w:proofErr w:type="spellEnd"/>
      <w:r w:rsidRPr="008F2668">
        <w:rPr>
          <w:rFonts w:eastAsia="Times New Roman" w:cs="Times New Roman"/>
          <w:bCs/>
          <w:i/>
          <w:color w:val="000000"/>
          <w:sz w:val="22"/>
          <w:szCs w:val="24"/>
        </w:rPr>
        <w:t>, % no ES fondu finansējuma, progress pret datiem līdz 2016.gada 1.oktobrim”</w:t>
      </w:r>
    </w:p>
    <w:p w14:paraId="7F1B5FD9" w14:textId="259A1D84" w:rsidR="00B7100B" w:rsidRPr="007C3C22" w:rsidRDefault="00B7100B" w:rsidP="007C3C22">
      <w:pPr>
        <w:pStyle w:val="ListParagraph"/>
        <w:suppressAutoHyphens/>
        <w:spacing w:before="120" w:after="120" w:line="276" w:lineRule="auto"/>
        <w:ind w:left="0"/>
        <w:contextualSpacing w:val="0"/>
        <w:jc w:val="both"/>
        <w:rPr>
          <w:rFonts w:eastAsia="Times New Roman" w:cs="Times New Roman"/>
          <w:bCs/>
          <w:i/>
          <w:color w:val="000000"/>
          <w:sz w:val="22"/>
          <w:szCs w:val="24"/>
        </w:rPr>
      </w:pPr>
      <w:r w:rsidRPr="008F2668">
        <w:rPr>
          <w:noProof/>
          <w:lang w:eastAsia="lv-LV"/>
        </w:rPr>
        <w:drawing>
          <wp:inline distT="0" distB="0" distL="0" distR="0" wp14:anchorId="4B81A83B" wp14:editId="481FBB85">
            <wp:extent cx="5939790" cy="3801110"/>
            <wp:effectExtent l="0" t="0" r="3810" b="88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0947CAF" w14:textId="0F512874" w:rsidR="00B7100B" w:rsidRPr="00732FD3" w:rsidRDefault="00B7100B" w:rsidP="00B7100B">
      <w:pPr>
        <w:pStyle w:val="ListParagraph"/>
        <w:numPr>
          <w:ilvl w:val="0"/>
          <w:numId w:val="22"/>
        </w:numPr>
        <w:suppressAutoHyphens/>
        <w:spacing w:before="120" w:after="120"/>
        <w:ind w:left="0" w:firstLine="0"/>
        <w:contextualSpacing w:val="0"/>
        <w:jc w:val="both"/>
        <w:rPr>
          <w:color w:val="000000" w:themeColor="text1"/>
        </w:rPr>
      </w:pPr>
      <w:r w:rsidRPr="008F2668">
        <w:rPr>
          <w:b/>
          <w:szCs w:val="24"/>
        </w:rPr>
        <w:t>Progress projektu ieviešanas posmā ir dinamisks. Piemēram, 3 nedēļu laikā</w:t>
      </w:r>
      <w:r w:rsidRPr="008F2668">
        <w:rPr>
          <w:szCs w:val="24"/>
        </w:rPr>
        <w:t xml:space="preserve"> līdz 2016.gada 21.novembrim papildus apstiprināti projekti par 52,7 milj</w:t>
      </w:r>
      <w:r w:rsidR="00A64EBA">
        <w:rPr>
          <w:szCs w:val="24"/>
        </w:rPr>
        <w:t>.</w:t>
      </w:r>
      <w:r w:rsidRPr="008F2668">
        <w:rPr>
          <w:szCs w:val="24"/>
        </w:rPr>
        <w:t xml:space="preserve"> </w:t>
      </w:r>
      <w:proofErr w:type="spellStart"/>
      <w:r w:rsidRPr="008F2668">
        <w:rPr>
          <w:i/>
          <w:szCs w:val="24"/>
        </w:rPr>
        <w:t>euro</w:t>
      </w:r>
      <w:proofErr w:type="spellEnd"/>
      <w:r w:rsidRPr="008F2668">
        <w:rPr>
          <w:szCs w:val="24"/>
        </w:rPr>
        <w:t>, noslēgti līgumi par papildus 8,3 milj</w:t>
      </w:r>
      <w:r w:rsidR="00A64EBA">
        <w:rPr>
          <w:szCs w:val="24"/>
        </w:rPr>
        <w:t>.</w:t>
      </w:r>
      <w:r w:rsidRPr="008F2668">
        <w:rPr>
          <w:szCs w:val="24"/>
        </w:rPr>
        <w:t xml:space="preserve"> </w:t>
      </w:r>
      <w:proofErr w:type="spellStart"/>
      <w:r w:rsidRPr="008F2668">
        <w:rPr>
          <w:i/>
          <w:szCs w:val="24"/>
        </w:rPr>
        <w:t>euro</w:t>
      </w:r>
      <w:proofErr w:type="spellEnd"/>
      <w:r w:rsidRPr="008F2668">
        <w:rPr>
          <w:szCs w:val="24"/>
        </w:rPr>
        <w:t xml:space="preserve"> un  veikti maksājumi par papildus 14,9 milj</w:t>
      </w:r>
      <w:r w:rsidR="00A64EBA">
        <w:rPr>
          <w:szCs w:val="24"/>
        </w:rPr>
        <w:t>.</w:t>
      </w:r>
      <w:r w:rsidRPr="008F2668">
        <w:rPr>
          <w:szCs w:val="24"/>
        </w:rPr>
        <w:t xml:space="preserve"> </w:t>
      </w:r>
      <w:proofErr w:type="spellStart"/>
      <w:r w:rsidRPr="008F2668">
        <w:rPr>
          <w:i/>
          <w:szCs w:val="24"/>
        </w:rPr>
        <w:t>euro</w:t>
      </w:r>
      <w:proofErr w:type="spellEnd"/>
      <w:r w:rsidRPr="008F2668">
        <w:rPr>
          <w:szCs w:val="24"/>
        </w:rPr>
        <w:t xml:space="preserve">. Progress, galvenokārt, izglītības un transporta  nozarēs. </w:t>
      </w:r>
    </w:p>
    <w:p w14:paraId="701B205F" w14:textId="7399EBD7" w:rsidR="00966F47" w:rsidRPr="00156756" w:rsidRDefault="00AE709D" w:rsidP="00732FD3">
      <w:pPr>
        <w:pStyle w:val="ListParagraph"/>
        <w:numPr>
          <w:ilvl w:val="0"/>
          <w:numId w:val="22"/>
        </w:numPr>
        <w:suppressAutoHyphens/>
        <w:spacing w:before="120" w:after="120"/>
        <w:ind w:left="0" w:firstLine="0"/>
        <w:contextualSpacing w:val="0"/>
        <w:jc w:val="both"/>
        <w:rPr>
          <w:color w:val="000000" w:themeColor="text1"/>
        </w:rPr>
      </w:pPr>
      <w:r w:rsidRPr="00156756">
        <w:rPr>
          <w:szCs w:val="24"/>
        </w:rPr>
        <w:t xml:space="preserve">Vienlaikus, projektu uzsākšanas </w:t>
      </w:r>
      <w:r w:rsidRPr="00156756">
        <w:rPr>
          <w:szCs w:val="24"/>
          <w:u w:val="single"/>
        </w:rPr>
        <w:t>nosacījumu izstrādē (primāri MK noteikumi</w:t>
      </w:r>
      <w:r w:rsidR="004F5936">
        <w:rPr>
          <w:szCs w:val="24"/>
          <w:u w:val="single"/>
        </w:rPr>
        <w:t xml:space="preserve"> par specifiskā atbalsta mērķa īstenošanu (turpmāk – MK noteikumi)</w:t>
      </w:r>
      <w:r w:rsidRPr="00156756">
        <w:rPr>
          <w:szCs w:val="24"/>
          <w:u w:val="single"/>
        </w:rPr>
        <w:t>) joprojām ir atsevišķi</w:t>
      </w:r>
      <w:r w:rsidR="00684ADB" w:rsidRPr="00156756">
        <w:rPr>
          <w:szCs w:val="24"/>
          <w:u w:val="single"/>
        </w:rPr>
        <w:t xml:space="preserve"> kavējumi</w:t>
      </w:r>
      <w:r w:rsidRPr="00156756">
        <w:rPr>
          <w:szCs w:val="24"/>
          <w:u w:val="single"/>
        </w:rPr>
        <w:t xml:space="preserve">, kas vairākus mēnešus saglabājas nemainīgi </w:t>
      </w:r>
      <w:r w:rsidRPr="00732FD3">
        <w:rPr>
          <w:szCs w:val="24"/>
        </w:rPr>
        <w:t xml:space="preserve">(nozīmīgākā ietekme </w:t>
      </w:r>
      <w:r w:rsidR="00BE7417" w:rsidRPr="00732FD3">
        <w:rPr>
          <w:szCs w:val="24"/>
        </w:rPr>
        <w:t xml:space="preserve">ir saistībā ar </w:t>
      </w:r>
      <w:r w:rsidRPr="00156756">
        <w:rPr>
          <w:szCs w:val="24"/>
          <w:u w:val="single"/>
        </w:rPr>
        <w:t>dzelzceļa elektrifikācijas un veselības infrastruktūras</w:t>
      </w:r>
      <w:r w:rsidR="00BE7417" w:rsidRPr="00732FD3">
        <w:rPr>
          <w:szCs w:val="24"/>
        </w:rPr>
        <w:t xml:space="preserve"> investīcijām</w:t>
      </w:r>
      <w:r w:rsidR="00000113" w:rsidRPr="00732FD3">
        <w:rPr>
          <w:szCs w:val="24"/>
        </w:rPr>
        <w:t>, k</w:t>
      </w:r>
      <w:r w:rsidR="00000113" w:rsidRPr="00732FD3">
        <w:rPr>
          <w:color w:val="000000" w:themeColor="text1"/>
        </w:rPr>
        <w:t xml:space="preserve">as kopā veido finanšu ietekmi 498,7 milj. </w:t>
      </w:r>
      <w:proofErr w:type="spellStart"/>
      <w:r w:rsidR="00000113" w:rsidRPr="00732FD3">
        <w:rPr>
          <w:i/>
          <w:color w:val="000000" w:themeColor="text1"/>
        </w:rPr>
        <w:t>euro</w:t>
      </w:r>
      <w:proofErr w:type="spellEnd"/>
      <w:r w:rsidR="00000113" w:rsidRPr="00156756">
        <w:rPr>
          <w:color w:val="000000" w:themeColor="text1"/>
        </w:rPr>
        <w:t xml:space="preserve"> ES finansējuma apmērā no kopumā kavētiem MK noteikumiem par 659,6 milj. </w:t>
      </w:r>
      <w:proofErr w:type="spellStart"/>
      <w:r w:rsidR="00000113" w:rsidRPr="00156756">
        <w:rPr>
          <w:i/>
          <w:color w:val="000000" w:themeColor="text1"/>
        </w:rPr>
        <w:t>euro</w:t>
      </w:r>
      <w:proofErr w:type="spellEnd"/>
      <w:r w:rsidR="00156756">
        <w:rPr>
          <w:i/>
          <w:color w:val="000000" w:themeColor="text1"/>
        </w:rPr>
        <w:t>)</w:t>
      </w:r>
      <w:r w:rsidR="00000113" w:rsidRPr="00156756">
        <w:rPr>
          <w:i/>
          <w:color w:val="000000" w:themeColor="text1"/>
        </w:rPr>
        <w:t xml:space="preserve">. </w:t>
      </w:r>
      <w:r w:rsidRPr="00732FD3">
        <w:rPr>
          <w:szCs w:val="24"/>
        </w:rPr>
        <w:t>Tomēr valdībā jau iepriekš ir izskatīts zināms rīcības plāns atlikušo jautājumu risināšanā.</w:t>
      </w:r>
      <w:r w:rsidRPr="00156756">
        <w:rPr>
          <w:szCs w:val="24"/>
        </w:rPr>
        <w:t xml:space="preserve"> </w:t>
      </w:r>
      <w:r w:rsidR="00B7100B" w:rsidRPr="00156756">
        <w:rPr>
          <w:szCs w:val="24"/>
        </w:rPr>
        <w:t>P</w:t>
      </w:r>
      <w:r w:rsidR="007822D3" w:rsidRPr="00156756">
        <w:rPr>
          <w:rFonts w:cs="Times New Roman"/>
          <w:szCs w:val="24"/>
        </w:rPr>
        <w:t xml:space="preserve">ozitīvi, ka </w:t>
      </w:r>
      <w:r w:rsidR="00D1696B" w:rsidRPr="00156756">
        <w:rPr>
          <w:szCs w:val="24"/>
        </w:rPr>
        <w:t>Valsts sekretāru sanāksmē</w:t>
      </w:r>
      <w:r w:rsidR="00000113" w:rsidRPr="00357A62">
        <w:rPr>
          <w:rFonts w:cs="Times New Roman"/>
          <w:szCs w:val="24"/>
        </w:rPr>
        <w:t xml:space="preserve"> </w:t>
      </w:r>
      <w:r w:rsidR="00000113" w:rsidRPr="00732FD3">
        <w:rPr>
          <w:rFonts w:cs="Times New Roman"/>
          <w:szCs w:val="24"/>
          <w:u w:val="single"/>
        </w:rPr>
        <w:t xml:space="preserve">ir izsludināti MK noteikumi finansiāli ietilpīgā </w:t>
      </w:r>
      <w:r w:rsidR="00000113" w:rsidRPr="00732FD3">
        <w:rPr>
          <w:color w:val="000000" w:themeColor="text1"/>
          <w:u w:val="single"/>
        </w:rPr>
        <w:t>dzelzceļa elektrifikācijas pasākuma un veselības infrastruktūras investīcijām.</w:t>
      </w:r>
      <w:r w:rsidR="00000113" w:rsidRPr="00156756">
        <w:rPr>
          <w:rFonts w:cs="Times New Roman"/>
          <w:szCs w:val="24"/>
        </w:rPr>
        <w:t xml:space="preserve"> </w:t>
      </w:r>
      <w:r w:rsidR="00966F47" w:rsidRPr="00156756">
        <w:rPr>
          <w:rFonts w:cs="Times New Roman"/>
          <w:szCs w:val="24"/>
        </w:rPr>
        <w:t xml:space="preserve">Kopsavilkumu par MK noteikumu ikmēneša plānu izpildi skatīt grafikā Nr.3. </w:t>
      </w:r>
      <w:r w:rsidR="00966F47" w:rsidRPr="00156756">
        <w:rPr>
          <w:szCs w:val="24"/>
        </w:rPr>
        <w:t xml:space="preserve">Detalizēta statusa informācija ir </w:t>
      </w:r>
      <w:r w:rsidR="00966F47" w:rsidRPr="008F2668">
        <w:t>pieejama šī ziņojuma 1.pielikumā</w:t>
      </w:r>
      <w:r w:rsidR="00966F47" w:rsidRPr="008F2668">
        <w:rPr>
          <w:rStyle w:val="FootnoteReference"/>
          <w:szCs w:val="24"/>
        </w:rPr>
        <w:footnoteReference w:id="6"/>
      </w:r>
      <w:r w:rsidR="00966F47" w:rsidRPr="00156756">
        <w:rPr>
          <w:szCs w:val="24"/>
        </w:rPr>
        <w:t xml:space="preserve"> un kavēto MK noteikumu statuss detalizēti uzskaitīts šī ziņojuma 2.un 3.pielikumos.</w:t>
      </w:r>
    </w:p>
    <w:p w14:paraId="5BB5C70F" w14:textId="77777777" w:rsidR="00966F47" w:rsidRPr="008F2668" w:rsidRDefault="00966F47" w:rsidP="00966F47">
      <w:pPr>
        <w:rPr>
          <w:rFonts w:eastAsia="Times New Roman" w:cs="Times New Roman"/>
          <w:bCs/>
          <w:i/>
          <w:color w:val="000000"/>
          <w:sz w:val="22"/>
        </w:rPr>
      </w:pPr>
      <w:r w:rsidRPr="008F2668">
        <w:rPr>
          <w:rFonts w:cs="Times New Roman"/>
          <w:b/>
          <w:i/>
          <w:sz w:val="22"/>
        </w:rPr>
        <w:lastRenderedPageBreak/>
        <w:t>Grafiks Nr.3</w:t>
      </w:r>
      <w:r w:rsidRPr="008F2668">
        <w:rPr>
          <w:rFonts w:cs="Times New Roman"/>
          <w:i/>
          <w:sz w:val="22"/>
        </w:rPr>
        <w:t xml:space="preserve"> “</w:t>
      </w:r>
      <w:r w:rsidRPr="008F2668">
        <w:rPr>
          <w:rFonts w:eastAsia="Times New Roman" w:cs="Times New Roman"/>
          <w:bCs/>
          <w:i/>
          <w:color w:val="000000"/>
          <w:sz w:val="22"/>
        </w:rPr>
        <w:t xml:space="preserve">ES fondu investīciju uzsākšanas gatavība – MK noteikumi 2016.gads.(faktiskie dati līdz 2016.gada 14.novembrim. milj. </w:t>
      </w:r>
      <w:proofErr w:type="spellStart"/>
      <w:r w:rsidRPr="008F2668">
        <w:rPr>
          <w:rFonts w:eastAsia="Times New Roman" w:cs="Times New Roman"/>
          <w:bCs/>
          <w:i/>
          <w:color w:val="000000"/>
          <w:sz w:val="22"/>
        </w:rPr>
        <w:t>euro</w:t>
      </w:r>
      <w:proofErr w:type="spellEnd"/>
      <w:r w:rsidRPr="008F2668">
        <w:rPr>
          <w:rFonts w:eastAsia="Times New Roman" w:cs="Times New Roman"/>
          <w:bCs/>
          <w:i/>
          <w:color w:val="000000"/>
          <w:sz w:val="22"/>
        </w:rPr>
        <w:t>)</w:t>
      </w:r>
      <w:r w:rsidRPr="008F2668">
        <w:rPr>
          <w:rStyle w:val="FootnoteReference"/>
          <w:rFonts w:eastAsia="Times New Roman" w:cs="Times New Roman"/>
          <w:bCs/>
          <w:i/>
          <w:color w:val="000000"/>
          <w:sz w:val="22"/>
        </w:rPr>
        <w:footnoteReference w:id="7"/>
      </w:r>
      <w:r w:rsidRPr="008F2668">
        <w:rPr>
          <w:rFonts w:eastAsia="Times New Roman" w:cs="Times New Roman"/>
          <w:bCs/>
          <w:i/>
          <w:color w:val="000000"/>
          <w:sz w:val="22"/>
        </w:rPr>
        <w:t>”</w:t>
      </w:r>
      <w:r w:rsidRPr="008F2668">
        <w:rPr>
          <w:rStyle w:val="FootnoteReference"/>
          <w:rFonts w:eastAsia="Times New Roman" w:cs="Times New Roman"/>
          <w:bCs/>
          <w:i/>
          <w:color w:val="000000"/>
          <w:sz w:val="22"/>
        </w:rPr>
        <w:t xml:space="preserve"> </w:t>
      </w:r>
    </w:p>
    <w:p w14:paraId="7F6749E2" w14:textId="3E691C0A" w:rsidR="00000113" w:rsidRPr="004B0E64" w:rsidRDefault="00966F47" w:rsidP="004B0E64">
      <w:pPr>
        <w:rPr>
          <w:rFonts w:cs="Times New Roman"/>
          <w:b/>
          <w:i/>
          <w:sz w:val="22"/>
        </w:rPr>
      </w:pPr>
      <w:r w:rsidRPr="008F2668">
        <w:rPr>
          <w:rFonts w:cs="Times New Roman"/>
          <w:b/>
          <w:i/>
          <w:noProof/>
          <w:sz w:val="22"/>
          <w:lang w:eastAsia="lv-LV"/>
        </w:rPr>
        <w:drawing>
          <wp:inline distT="0" distB="0" distL="0" distR="0" wp14:anchorId="5DA328E5" wp14:editId="5764CC5B">
            <wp:extent cx="6010275" cy="34385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B3531A0" w14:textId="38C2BA07" w:rsidR="00684ADB" w:rsidRPr="00732FD3" w:rsidRDefault="006528A8" w:rsidP="00210951">
      <w:pPr>
        <w:pStyle w:val="ListParagraph"/>
        <w:numPr>
          <w:ilvl w:val="0"/>
          <w:numId w:val="22"/>
        </w:numPr>
        <w:suppressAutoHyphens/>
        <w:spacing w:before="120" w:after="120"/>
        <w:ind w:left="0" w:firstLine="0"/>
        <w:contextualSpacing w:val="0"/>
        <w:jc w:val="both"/>
        <w:rPr>
          <w:rFonts w:cs="Times New Roman"/>
          <w:b/>
          <w:sz w:val="22"/>
        </w:rPr>
      </w:pPr>
      <w:r w:rsidRPr="004B0E64">
        <w:rPr>
          <w:color w:val="000000" w:themeColor="text1"/>
        </w:rPr>
        <w:t>Neskatoties uz atsevišķām uzdevumu izpildes termiņu nobīdēm</w:t>
      </w:r>
      <w:r w:rsidR="00156756">
        <w:rPr>
          <w:color w:val="000000" w:themeColor="text1"/>
        </w:rPr>
        <w:t>,</w:t>
      </w:r>
      <w:r w:rsidR="00DA775F" w:rsidRPr="004B0E64">
        <w:rPr>
          <w:color w:val="000000" w:themeColor="text1"/>
        </w:rPr>
        <w:t xml:space="preserve"> </w:t>
      </w:r>
      <w:r w:rsidR="00DA775F" w:rsidRPr="004B0E64">
        <w:rPr>
          <w:b/>
          <w:color w:val="000000" w:themeColor="text1"/>
        </w:rPr>
        <w:t>joprojām iespējams sasniegt</w:t>
      </w:r>
      <w:r w:rsidR="00DA775F" w:rsidRPr="004B0E64">
        <w:rPr>
          <w:b/>
          <w:bCs/>
          <w:szCs w:val="28"/>
        </w:rPr>
        <w:t xml:space="preserve"> valdības mērķi līdz 2016</w:t>
      </w:r>
      <w:r w:rsidR="002E6C4E" w:rsidRPr="004B0E64">
        <w:rPr>
          <w:b/>
          <w:bCs/>
          <w:szCs w:val="28"/>
        </w:rPr>
        <w:t>.</w:t>
      </w:r>
      <w:r w:rsidR="00DA775F" w:rsidRPr="004B0E64">
        <w:rPr>
          <w:b/>
          <w:bCs/>
          <w:szCs w:val="28"/>
        </w:rPr>
        <w:t>g</w:t>
      </w:r>
      <w:r w:rsidR="00475785" w:rsidRPr="004B0E64">
        <w:rPr>
          <w:b/>
          <w:bCs/>
          <w:szCs w:val="28"/>
        </w:rPr>
        <w:t>ada</w:t>
      </w:r>
      <w:r w:rsidR="00DA775F" w:rsidRPr="004B0E64">
        <w:rPr>
          <w:b/>
          <w:bCs/>
          <w:szCs w:val="28"/>
        </w:rPr>
        <w:t xml:space="preserve"> beigām </w:t>
      </w:r>
      <w:r w:rsidR="00DA775F" w:rsidRPr="004B0E64">
        <w:rPr>
          <w:b/>
          <w:szCs w:val="28"/>
        </w:rPr>
        <w:t>apstiprināt MK noteikumus</w:t>
      </w:r>
      <w:r w:rsidR="00DA775F" w:rsidRPr="004B0E64">
        <w:rPr>
          <w:b/>
          <w:bCs/>
          <w:szCs w:val="28"/>
        </w:rPr>
        <w:t xml:space="preserve"> par vismaz 4 </w:t>
      </w:r>
      <w:r w:rsidR="007550A5" w:rsidRPr="004B0E64">
        <w:rPr>
          <w:b/>
          <w:bCs/>
          <w:szCs w:val="28"/>
        </w:rPr>
        <w:t>ml</w:t>
      </w:r>
      <w:r w:rsidR="0078555D" w:rsidRPr="004B0E64">
        <w:rPr>
          <w:b/>
          <w:bCs/>
          <w:szCs w:val="28"/>
        </w:rPr>
        <w:t>jr</w:t>
      </w:r>
      <w:r w:rsidR="007550A5" w:rsidRPr="004B0E64">
        <w:rPr>
          <w:b/>
          <w:bCs/>
          <w:szCs w:val="28"/>
        </w:rPr>
        <w:t>d</w:t>
      </w:r>
      <w:r w:rsidR="00DA775F" w:rsidRPr="004B0E64">
        <w:rPr>
          <w:b/>
          <w:bCs/>
          <w:szCs w:val="28"/>
        </w:rPr>
        <w:t xml:space="preserve">. </w:t>
      </w:r>
      <w:proofErr w:type="spellStart"/>
      <w:r w:rsidR="00DA775F" w:rsidRPr="00C07B0A">
        <w:rPr>
          <w:b/>
          <w:bCs/>
          <w:i/>
          <w:szCs w:val="28"/>
        </w:rPr>
        <w:t>euro</w:t>
      </w:r>
      <w:proofErr w:type="spellEnd"/>
      <w:r w:rsidR="00DA775F" w:rsidRPr="004B0E64">
        <w:rPr>
          <w:b/>
          <w:bCs/>
          <w:szCs w:val="28"/>
        </w:rPr>
        <w:t xml:space="preserve"> ES fondu investīcijām</w:t>
      </w:r>
      <w:r w:rsidR="004B76CE" w:rsidRPr="004B0E64">
        <w:rPr>
          <w:b/>
          <w:color w:val="000000" w:themeColor="text1"/>
          <w:sz w:val="22"/>
        </w:rPr>
        <w:t xml:space="preserve"> </w:t>
      </w:r>
      <w:r w:rsidR="00DA775F" w:rsidRPr="004B0E64">
        <w:rPr>
          <w:b/>
          <w:color w:val="000000" w:themeColor="text1"/>
        </w:rPr>
        <w:t>(90% no kopējā pieejamā ES fondu finansējuma)</w:t>
      </w:r>
      <w:r w:rsidR="007B7485" w:rsidRPr="004B0E64">
        <w:rPr>
          <w:b/>
          <w:color w:val="000000" w:themeColor="text1"/>
        </w:rPr>
        <w:t>,</w:t>
      </w:r>
      <w:r w:rsidR="007B7485" w:rsidRPr="004B0E64">
        <w:rPr>
          <w:rStyle w:val="Strong"/>
        </w:rPr>
        <w:t xml:space="preserve"> </w:t>
      </w:r>
      <w:r w:rsidR="007B7485" w:rsidRPr="00732FD3">
        <w:rPr>
          <w:rStyle w:val="Strong"/>
          <w:b w:val="0"/>
        </w:rPr>
        <w:t>ja izdosies pieņemt atlikušos stratēģiski nozīmīgos lēmumus ar ES finan</w:t>
      </w:r>
      <w:r w:rsidR="00452781" w:rsidRPr="00732FD3">
        <w:rPr>
          <w:rStyle w:val="Strong"/>
          <w:b w:val="0"/>
        </w:rPr>
        <w:t xml:space="preserve">šu atbalstu kopā </w:t>
      </w:r>
      <w:r w:rsidR="00820FBF" w:rsidRPr="00732FD3">
        <w:rPr>
          <w:rStyle w:val="Strong"/>
          <w:b w:val="0"/>
        </w:rPr>
        <w:t xml:space="preserve">gandrīz </w:t>
      </w:r>
      <w:r w:rsidR="00452781" w:rsidRPr="00732FD3">
        <w:rPr>
          <w:rStyle w:val="Strong"/>
          <w:b w:val="0"/>
        </w:rPr>
        <w:t>500 milj.</w:t>
      </w:r>
      <w:r w:rsidR="007B7485" w:rsidRPr="00732FD3">
        <w:rPr>
          <w:rStyle w:val="Strong"/>
          <w:b w:val="0"/>
        </w:rPr>
        <w:t xml:space="preserve"> </w:t>
      </w:r>
      <w:proofErr w:type="spellStart"/>
      <w:r w:rsidR="007B7485" w:rsidRPr="00C07B0A">
        <w:rPr>
          <w:rStyle w:val="Strong"/>
          <w:b w:val="0"/>
          <w:i/>
        </w:rPr>
        <w:t>euro</w:t>
      </w:r>
      <w:proofErr w:type="spellEnd"/>
      <w:r w:rsidR="007B7485" w:rsidRPr="00732FD3">
        <w:rPr>
          <w:rStyle w:val="Strong"/>
          <w:b w:val="0"/>
        </w:rPr>
        <w:t xml:space="preserve"> par investīcijām veselības infrastruktūrā un dzelzceļa elektrifikācijā.</w:t>
      </w:r>
      <w:r w:rsidR="00931E29" w:rsidRPr="00732FD3">
        <w:rPr>
          <w:b/>
          <w:color w:val="000000" w:themeColor="text1"/>
        </w:rPr>
        <w:t xml:space="preserve"> </w:t>
      </w:r>
    </w:p>
    <w:p w14:paraId="500412E4" w14:textId="351ED51F" w:rsidR="004F5936" w:rsidRPr="004F5936" w:rsidRDefault="003F0369" w:rsidP="004F5936">
      <w:pPr>
        <w:pStyle w:val="ListParagraph"/>
        <w:numPr>
          <w:ilvl w:val="0"/>
          <w:numId w:val="22"/>
        </w:numPr>
        <w:suppressAutoHyphens/>
        <w:spacing w:before="120" w:after="120"/>
        <w:ind w:left="0" w:firstLine="0"/>
        <w:contextualSpacing w:val="0"/>
        <w:jc w:val="both"/>
        <w:rPr>
          <w:color w:val="000000" w:themeColor="text1"/>
          <w:u w:val="single"/>
        </w:rPr>
      </w:pPr>
      <w:r w:rsidRPr="008F2668">
        <w:rPr>
          <w:rFonts w:cs="Times New Roman"/>
          <w:szCs w:val="24"/>
        </w:rPr>
        <w:t>Kā minēts iepriekš, p</w:t>
      </w:r>
      <w:r w:rsidR="00684ADB" w:rsidRPr="008F2668">
        <w:rPr>
          <w:rFonts w:cs="Times New Roman"/>
          <w:szCs w:val="24"/>
        </w:rPr>
        <w:t xml:space="preserve">rojektu iesniegumu </w:t>
      </w:r>
      <w:r w:rsidR="00684ADB" w:rsidRPr="008F2668">
        <w:rPr>
          <w:rFonts w:cs="Times New Roman"/>
          <w:b/>
          <w:szCs w:val="24"/>
        </w:rPr>
        <w:t>atlašu izsludināšana</w:t>
      </w:r>
      <w:r w:rsidR="00A441A2" w:rsidRPr="008F2668">
        <w:rPr>
          <w:rFonts w:cs="Times New Roman"/>
          <w:b/>
          <w:szCs w:val="24"/>
        </w:rPr>
        <w:t xml:space="preserve"> arvien progresē</w:t>
      </w:r>
      <w:r w:rsidRPr="008F2668">
        <w:rPr>
          <w:rFonts w:cs="Times New Roman"/>
          <w:b/>
          <w:szCs w:val="24"/>
        </w:rPr>
        <w:t xml:space="preserve">. </w:t>
      </w:r>
      <w:r w:rsidRPr="008F2668">
        <w:rPr>
          <w:rFonts w:cs="Times New Roman"/>
          <w:szCs w:val="24"/>
        </w:rPr>
        <w:t>Vienlaikus</w:t>
      </w:r>
      <w:r w:rsidR="003C1C0D" w:rsidRPr="008F2668">
        <w:rPr>
          <w:rFonts w:cs="Times New Roman"/>
          <w:szCs w:val="24"/>
        </w:rPr>
        <w:t xml:space="preserve"> </w:t>
      </w:r>
      <w:r w:rsidR="004F5936" w:rsidRPr="008F2668">
        <w:rPr>
          <w:rFonts w:cs="Times New Roman"/>
          <w:szCs w:val="24"/>
        </w:rPr>
        <w:t>tiek turpināts darbs starp atbildīgajām iestādēm</w:t>
      </w:r>
      <w:r w:rsidR="004F5936">
        <w:rPr>
          <w:rFonts w:cs="Times New Roman"/>
          <w:szCs w:val="24"/>
        </w:rPr>
        <w:t>,</w:t>
      </w:r>
      <w:r w:rsidR="004F5936" w:rsidRPr="008F2668">
        <w:rPr>
          <w:rFonts w:cs="Times New Roman"/>
          <w:szCs w:val="24"/>
        </w:rPr>
        <w:t xml:space="preserve"> </w:t>
      </w:r>
      <w:r w:rsidR="003C1C0D" w:rsidRPr="008F2668">
        <w:rPr>
          <w:rFonts w:cs="Times New Roman"/>
          <w:szCs w:val="24"/>
        </w:rPr>
        <w:t>kā ziņots ie</w:t>
      </w:r>
      <w:r w:rsidR="004F5936">
        <w:rPr>
          <w:rFonts w:cs="Times New Roman"/>
          <w:szCs w:val="24"/>
        </w:rPr>
        <w:t>priekšējā informatīvajā ziņojumā, kas izskatīts MK 2016. gada 16. novembra  sēdē</w:t>
      </w:r>
      <w:r w:rsidR="003C1C0D" w:rsidRPr="008F2668">
        <w:rPr>
          <w:rStyle w:val="FootnoteReference"/>
          <w:rFonts w:cs="Times New Roman"/>
          <w:szCs w:val="24"/>
        </w:rPr>
        <w:footnoteReference w:id="8"/>
      </w:r>
      <w:r w:rsidR="004F5936">
        <w:rPr>
          <w:rFonts w:cs="Times New Roman"/>
          <w:szCs w:val="24"/>
        </w:rPr>
        <w:t>.</w:t>
      </w:r>
      <w:r w:rsidRPr="008F2668">
        <w:rPr>
          <w:rFonts w:cs="Times New Roman"/>
          <w:b/>
          <w:szCs w:val="24"/>
        </w:rPr>
        <w:t xml:space="preserve"> </w:t>
      </w:r>
      <w:r w:rsidR="004F5936" w:rsidRPr="004F5936">
        <w:rPr>
          <w:rFonts w:cs="Times New Roman"/>
          <w:szCs w:val="24"/>
        </w:rPr>
        <w:t>Atsevišķos gadījumos</w:t>
      </w:r>
      <w:r w:rsidRPr="008F2668">
        <w:rPr>
          <w:rFonts w:cs="Times New Roman"/>
          <w:szCs w:val="24"/>
        </w:rPr>
        <w:t>, kad</w:t>
      </w:r>
      <w:r w:rsidR="00684ADB" w:rsidRPr="008F2668">
        <w:rPr>
          <w:rFonts w:cs="Times New Roman"/>
          <w:szCs w:val="24"/>
        </w:rPr>
        <w:t xml:space="preserve"> </w:t>
      </w:r>
      <w:r w:rsidR="00253006" w:rsidRPr="008F2668">
        <w:rPr>
          <w:rFonts w:cs="Times New Roman"/>
          <w:szCs w:val="24"/>
        </w:rPr>
        <w:t>projektu atlašu uzsākšana</w:t>
      </w:r>
      <w:r w:rsidR="00C2310D" w:rsidRPr="008F2668">
        <w:rPr>
          <w:rFonts w:cs="Times New Roman"/>
          <w:szCs w:val="24"/>
        </w:rPr>
        <w:t xml:space="preserve">s termiņi </w:t>
      </w:r>
      <w:r w:rsidR="006528A8" w:rsidRPr="008F2668">
        <w:rPr>
          <w:rFonts w:cs="Times New Roman"/>
          <w:szCs w:val="24"/>
        </w:rPr>
        <w:t xml:space="preserve">vai projektu apstiprināšana </w:t>
      </w:r>
      <w:r w:rsidR="00253006" w:rsidRPr="008F2668">
        <w:rPr>
          <w:rFonts w:cs="Times New Roman"/>
          <w:szCs w:val="24"/>
        </w:rPr>
        <w:t>ir atkarīg</w:t>
      </w:r>
      <w:r w:rsidR="00C2310D" w:rsidRPr="008F2668">
        <w:rPr>
          <w:rFonts w:cs="Times New Roman"/>
          <w:szCs w:val="24"/>
        </w:rPr>
        <w:t>i</w:t>
      </w:r>
      <w:r w:rsidR="00253006" w:rsidRPr="008F2668">
        <w:rPr>
          <w:rFonts w:cs="Times New Roman"/>
          <w:szCs w:val="24"/>
        </w:rPr>
        <w:t xml:space="preserve"> no </w:t>
      </w:r>
      <w:r w:rsidR="00E72755" w:rsidRPr="008F2668">
        <w:rPr>
          <w:rFonts w:cs="Times New Roman"/>
          <w:szCs w:val="24"/>
        </w:rPr>
        <w:t xml:space="preserve">citu </w:t>
      </w:r>
      <w:r w:rsidR="00684ADB" w:rsidRPr="008F2668">
        <w:rPr>
          <w:rFonts w:cs="Times New Roman"/>
          <w:szCs w:val="24"/>
        </w:rPr>
        <w:t>specifisk</w:t>
      </w:r>
      <w:r w:rsidR="00C2310D" w:rsidRPr="008F2668">
        <w:rPr>
          <w:rFonts w:cs="Times New Roman"/>
          <w:szCs w:val="24"/>
        </w:rPr>
        <w:t>u</w:t>
      </w:r>
      <w:r w:rsidR="00684ADB" w:rsidRPr="008F2668">
        <w:rPr>
          <w:rFonts w:cs="Times New Roman"/>
          <w:szCs w:val="24"/>
        </w:rPr>
        <w:t xml:space="preserve"> priekšnosacījumu izpild</w:t>
      </w:r>
      <w:r w:rsidR="00253006" w:rsidRPr="008F2668">
        <w:rPr>
          <w:rFonts w:cs="Times New Roman"/>
          <w:szCs w:val="24"/>
        </w:rPr>
        <w:t>es</w:t>
      </w:r>
      <w:r w:rsidR="00820FBF" w:rsidRPr="008F2668">
        <w:rPr>
          <w:rFonts w:cs="Times New Roman"/>
          <w:szCs w:val="24"/>
        </w:rPr>
        <w:t xml:space="preserve">, </w:t>
      </w:r>
      <w:r w:rsidR="00684ADB" w:rsidRPr="008F2668">
        <w:rPr>
          <w:rFonts w:cs="Times New Roman"/>
          <w:szCs w:val="24"/>
        </w:rPr>
        <w:t xml:space="preserve">piemēram, projektu ideju </w:t>
      </w:r>
      <w:proofErr w:type="spellStart"/>
      <w:r w:rsidR="00684ADB" w:rsidRPr="008F2668">
        <w:rPr>
          <w:rFonts w:cs="Times New Roman"/>
          <w:szCs w:val="24"/>
        </w:rPr>
        <w:t>priekšatlase</w:t>
      </w:r>
      <w:r w:rsidR="006528A8" w:rsidRPr="008F2668">
        <w:rPr>
          <w:rFonts w:cs="Times New Roman"/>
          <w:szCs w:val="24"/>
        </w:rPr>
        <w:t>s</w:t>
      </w:r>
      <w:proofErr w:type="spellEnd"/>
      <w:r w:rsidR="00684ADB" w:rsidRPr="008F2668">
        <w:rPr>
          <w:rStyle w:val="FootnoteReference"/>
          <w:rFonts w:cs="Times New Roman"/>
          <w:szCs w:val="24"/>
        </w:rPr>
        <w:footnoteReference w:id="9"/>
      </w:r>
      <w:r w:rsidR="004F5936">
        <w:rPr>
          <w:rFonts w:cs="Times New Roman"/>
          <w:szCs w:val="24"/>
        </w:rPr>
        <w:t xml:space="preserve">, </w:t>
      </w:r>
      <w:r w:rsidR="004F5936" w:rsidRPr="008F2668">
        <w:rPr>
          <w:rFonts w:cs="Times New Roman"/>
          <w:szCs w:val="24"/>
        </w:rPr>
        <w:t xml:space="preserve">kuras </w:t>
      </w:r>
      <w:r w:rsidR="004F5936" w:rsidRPr="008F2668">
        <w:rPr>
          <w:rFonts w:eastAsia="Calibri" w:cs="Times New Roman"/>
          <w:szCs w:val="24"/>
          <w:lang w:eastAsia="ar-SA"/>
        </w:rPr>
        <w:t>mērķis ir nodrošināt kvalitatīvāku, mērķtiecīgāku un koordinētu projektu īstenošanu</w:t>
      </w:r>
      <w:r w:rsidR="004F5936" w:rsidRPr="008F2668">
        <w:rPr>
          <w:rStyle w:val="FootnoteReference"/>
          <w:rFonts w:cs="Times New Roman"/>
          <w:szCs w:val="24"/>
        </w:rPr>
        <w:footnoteReference w:id="10"/>
      </w:r>
      <w:r w:rsidR="004F5936">
        <w:rPr>
          <w:rFonts w:eastAsia="Calibri" w:cs="Times New Roman"/>
          <w:szCs w:val="24"/>
          <w:lang w:eastAsia="ar-SA"/>
        </w:rPr>
        <w:t>.</w:t>
      </w:r>
      <w:r w:rsidR="00E72755" w:rsidRPr="008F2668">
        <w:rPr>
          <w:rFonts w:cs="Times New Roman"/>
          <w:szCs w:val="24"/>
        </w:rPr>
        <w:t xml:space="preserve"> </w:t>
      </w:r>
      <w:r w:rsidR="00156756">
        <w:rPr>
          <w:rFonts w:cs="Times New Roman"/>
          <w:szCs w:val="24"/>
          <w:u w:val="single"/>
        </w:rPr>
        <w:t>K</w:t>
      </w:r>
      <w:r w:rsidR="00E72755" w:rsidRPr="008F2668">
        <w:rPr>
          <w:rFonts w:cs="Times New Roman"/>
          <w:szCs w:val="24"/>
          <w:u w:val="single"/>
        </w:rPr>
        <w:t>o</w:t>
      </w:r>
      <w:r w:rsidR="00E72DA3" w:rsidRPr="008F2668">
        <w:rPr>
          <w:rFonts w:eastAsia="Calibri" w:cs="Times New Roman"/>
          <w:szCs w:val="24"/>
          <w:u w:val="single"/>
          <w:lang w:eastAsia="ar-SA"/>
        </w:rPr>
        <w:t>nstatēt</w:t>
      </w:r>
      <w:r w:rsidR="00E72755" w:rsidRPr="008F2668">
        <w:rPr>
          <w:rFonts w:eastAsia="Calibri" w:cs="Times New Roman"/>
          <w:szCs w:val="24"/>
          <w:u w:val="single"/>
          <w:lang w:eastAsia="ar-SA"/>
        </w:rPr>
        <w:t>ie</w:t>
      </w:r>
      <w:r w:rsidR="001C220D" w:rsidRPr="008F2668">
        <w:rPr>
          <w:rFonts w:eastAsia="Calibri" w:cs="Times New Roman"/>
          <w:szCs w:val="24"/>
          <w:u w:val="single"/>
          <w:lang w:eastAsia="ar-SA"/>
        </w:rPr>
        <w:t>m priekšnosacījumu kavējumiem</w:t>
      </w:r>
      <w:r w:rsidR="00E72755" w:rsidRPr="008F2668">
        <w:rPr>
          <w:rFonts w:eastAsia="Calibri" w:cs="Times New Roman"/>
          <w:szCs w:val="24"/>
          <w:u w:val="single"/>
          <w:lang w:eastAsia="ar-SA"/>
        </w:rPr>
        <w:t xml:space="preserve"> </w:t>
      </w:r>
      <w:r w:rsidR="001C220D" w:rsidRPr="008F2668">
        <w:rPr>
          <w:rFonts w:eastAsia="Calibri" w:cs="Times New Roman"/>
          <w:szCs w:val="24"/>
          <w:u w:val="single"/>
          <w:lang w:eastAsia="ar-SA"/>
        </w:rPr>
        <w:t>FM</w:t>
      </w:r>
      <w:r w:rsidR="004F5936">
        <w:rPr>
          <w:rFonts w:eastAsia="Calibri" w:cs="Times New Roman"/>
          <w:szCs w:val="24"/>
          <w:u w:val="single"/>
          <w:lang w:eastAsia="ar-SA"/>
        </w:rPr>
        <w:t xml:space="preserve"> un Centrālā finanšu un līgumu aģentūra</w:t>
      </w:r>
      <w:r w:rsidR="00E72755" w:rsidRPr="008F2668">
        <w:rPr>
          <w:rFonts w:eastAsia="Calibri" w:cs="Times New Roman"/>
          <w:szCs w:val="24"/>
          <w:u w:val="single"/>
          <w:lang w:eastAsia="ar-SA"/>
        </w:rPr>
        <w:t xml:space="preserve"> pievērš arvien lielāku uzmanī</w:t>
      </w:r>
      <w:r w:rsidR="00DF0286" w:rsidRPr="008F2668">
        <w:rPr>
          <w:rFonts w:eastAsia="Calibri" w:cs="Times New Roman"/>
          <w:szCs w:val="24"/>
          <w:u w:val="single"/>
          <w:lang w:eastAsia="ar-SA"/>
        </w:rPr>
        <w:t>bu un atbildīgās iestādes ir aic</w:t>
      </w:r>
      <w:r w:rsidR="00E72755" w:rsidRPr="008F2668">
        <w:rPr>
          <w:rFonts w:eastAsia="Calibri" w:cs="Times New Roman"/>
          <w:szCs w:val="24"/>
          <w:u w:val="single"/>
          <w:lang w:eastAsia="ar-SA"/>
        </w:rPr>
        <w:t>inātas izstr</w:t>
      </w:r>
      <w:r w:rsidR="00DF0286" w:rsidRPr="008F2668">
        <w:rPr>
          <w:rFonts w:eastAsia="Calibri" w:cs="Times New Roman"/>
          <w:szCs w:val="24"/>
          <w:u w:val="single"/>
          <w:lang w:eastAsia="ar-SA"/>
        </w:rPr>
        <w:t>ādāt precīzu rī</w:t>
      </w:r>
      <w:r w:rsidR="00E72755" w:rsidRPr="008F2668">
        <w:rPr>
          <w:rFonts w:eastAsia="Calibri" w:cs="Times New Roman"/>
          <w:szCs w:val="24"/>
          <w:u w:val="single"/>
          <w:lang w:eastAsia="ar-SA"/>
        </w:rPr>
        <w:t>cības plānu</w:t>
      </w:r>
      <w:r w:rsidR="00156756">
        <w:rPr>
          <w:rFonts w:eastAsia="Calibri" w:cs="Times New Roman"/>
          <w:szCs w:val="24"/>
          <w:u w:val="single"/>
          <w:lang w:eastAsia="ar-SA"/>
        </w:rPr>
        <w:t xml:space="preserve"> (t.sk. īpaši izglītības infrastruktūras ieguldījumu jomā)</w:t>
      </w:r>
      <w:r w:rsidR="003C1C0D" w:rsidRPr="008F2668">
        <w:rPr>
          <w:rFonts w:eastAsia="Calibri" w:cs="Times New Roman"/>
          <w:szCs w:val="24"/>
          <w:u w:val="single"/>
          <w:lang w:eastAsia="ar-SA"/>
        </w:rPr>
        <w:t>, lai</w:t>
      </w:r>
      <w:r w:rsidR="00E72755" w:rsidRPr="008F2668">
        <w:rPr>
          <w:rFonts w:eastAsia="Calibri" w:cs="Times New Roman"/>
          <w:szCs w:val="24"/>
          <w:u w:val="single"/>
          <w:lang w:eastAsia="ar-SA"/>
        </w:rPr>
        <w:t xml:space="preserve"> paātrināt</w:t>
      </w:r>
      <w:r w:rsidR="003C1C0D" w:rsidRPr="008F2668">
        <w:rPr>
          <w:rFonts w:eastAsia="Calibri" w:cs="Times New Roman"/>
          <w:szCs w:val="24"/>
          <w:u w:val="single"/>
          <w:lang w:eastAsia="ar-SA"/>
        </w:rPr>
        <w:t xml:space="preserve">u procesus un tiktu nodrošināts efektīvs uzraudzības un risku pārvaldības instruments iespējamai lēmumu pieņemšanai risku </w:t>
      </w:r>
      <w:r w:rsidR="00317812" w:rsidRPr="008F2668">
        <w:rPr>
          <w:rFonts w:eastAsia="Calibri" w:cs="Times New Roman"/>
          <w:szCs w:val="24"/>
          <w:u w:val="single"/>
          <w:lang w:eastAsia="ar-SA"/>
        </w:rPr>
        <w:t>mazināšana</w:t>
      </w:r>
      <w:r w:rsidR="00156756">
        <w:rPr>
          <w:rFonts w:eastAsia="Calibri" w:cs="Times New Roman"/>
          <w:szCs w:val="24"/>
          <w:u w:val="single"/>
          <w:lang w:eastAsia="ar-SA"/>
        </w:rPr>
        <w:t>s nolūkos</w:t>
      </w:r>
      <w:r w:rsidR="00317812" w:rsidRPr="008F2668">
        <w:rPr>
          <w:rFonts w:eastAsia="Calibri" w:cs="Times New Roman"/>
          <w:szCs w:val="24"/>
          <w:u w:val="single"/>
          <w:lang w:eastAsia="ar-SA"/>
        </w:rPr>
        <w:t xml:space="preserve">. </w:t>
      </w:r>
      <w:r w:rsidR="004F5936">
        <w:rPr>
          <w:rFonts w:eastAsia="Calibri" w:cs="Times New Roman"/>
          <w:szCs w:val="24"/>
          <w:u w:val="single"/>
          <w:lang w:eastAsia="ar-SA"/>
        </w:rPr>
        <w:t>FM</w:t>
      </w:r>
      <w:r w:rsidR="003C1C0D" w:rsidRPr="008F2668">
        <w:rPr>
          <w:rFonts w:eastAsia="Calibri" w:cs="Times New Roman"/>
          <w:szCs w:val="24"/>
          <w:u w:val="single"/>
          <w:lang w:eastAsia="ar-SA"/>
        </w:rPr>
        <w:t xml:space="preserve"> sadarbībā ar iestādēm izstrādās uzdevumu plānojumu līdz 2016.gada beigām</w:t>
      </w:r>
      <w:r w:rsidR="00667AD0" w:rsidRPr="008F2668">
        <w:rPr>
          <w:rFonts w:eastAsia="Calibri" w:cs="Times New Roman"/>
          <w:szCs w:val="24"/>
          <w:u w:val="single"/>
          <w:lang w:eastAsia="ar-SA"/>
        </w:rPr>
        <w:t xml:space="preserve">. </w:t>
      </w:r>
    </w:p>
    <w:p w14:paraId="153B98AF" w14:textId="1FE08F8E" w:rsidR="00685C64" w:rsidRPr="008F2668" w:rsidRDefault="000C2AA0" w:rsidP="00685C64">
      <w:pPr>
        <w:pStyle w:val="ListParagraph"/>
        <w:numPr>
          <w:ilvl w:val="0"/>
          <w:numId w:val="22"/>
        </w:numPr>
        <w:spacing w:before="120" w:after="120"/>
        <w:ind w:left="0" w:firstLine="0"/>
        <w:contextualSpacing w:val="0"/>
        <w:jc w:val="both"/>
        <w:rPr>
          <w:rFonts w:eastAsia="Calibri" w:cs="Times New Roman"/>
          <w:szCs w:val="24"/>
          <w:lang w:eastAsia="ar-SA"/>
        </w:rPr>
      </w:pPr>
      <w:r w:rsidRPr="008F2668">
        <w:rPr>
          <w:rFonts w:cs="Times New Roman"/>
          <w:b/>
          <w:szCs w:val="24"/>
        </w:rPr>
        <w:t xml:space="preserve">Būtiskākie </w:t>
      </w:r>
      <w:r w:rsidR="00685C64" w:rsidRPr="008F2668">
        <w:rPr>
          <w:rFonts w:cs="Times New Roman"/>
          <w:b/>
          <w:szCs w:val="24"/>
        </w:rPr>
        <w:t xml:space="preserve">riski </w:t>
      </w:r>
      <w:r w:rsidRPr="008F2668">
        <w:rPr>
          <w:rFonts w:cs="Times New Roman"/>
          <w:szCs w:val="24"/>
        </w:rPr>
        <w:t>ar lielāko finanšu ietekmi</w:t>
      </w:r>
      <w:r w:rsidR="00265C0B" w:rsidRPr="008F2668">
        <w:rPr>
          <w:rFonts w:cs="Times New Roman"/>
          <w:szCs w:val="24"/>
        </w:rPr>
        <w:t xml:space="preserve"> saglabājas</w:t>
      </w:r>
      <w:r w:rsidR="00156756">
        <w:rPr>
          <w:rFonts w:cs="Times New Roman"/>
          <w:szCs w:val="24"/>
        </w:rPr>
        <w:t>, kā</w:t>
      </w:r>
      <w:r w:rsidR="00265C0B" w:rsidRPr="008F2668">
        <w:rPr>
          <w:rFonts w:cs="Times New Roman"/>
          <w:szCs w:val="24"/>
        </w:rPr>
        <w:t xml:space="preserve"> jau iepriekš ziņot</w:t>
      </w:r>
      <w:r w:rsidR="00156756">
        <w:rPr>
          <w:rFonts w:cs="Times New Roman"/>
          <w:szCs w:val="24"/>
        </w:rPr>
        <w:t>s</w:t>
      </w:r>
      <w:r w:rsidR="00B4703B" w:rsidRPr="008F2668">
        <w:rPr>
          <w:rStyle w:val="FootnoteReference"/>
          <w:rFonts w:cs="Times New Roman"/>
          <w:szCs w:val="24"/>
        </w:rPr>
        <w:footnoteReference w:id="11"/>
      </w:r>
      <w:r w:rsidR="00685C64" w:rsidRPr="008F2668">
        <w:rPr>
          <w:rFonts w:cs="Times New Roman"/>
          <w:szCs w:val="24"/>
        </w:rPr>
        <w:t>. Atsevišķu risku novēršanai vai mazinā</w:t>
      </w:r>
      <w:r w:rsidR="0004200D" w:rsidRPr="008F2668">
        <w:rPr>
          <w:rFonts w:cs="Times New Roman"/>
          <w:szCs w:val="24"/>
        </w:rPr>
        <w:t xml:space="preserve">šanai </w:t>
      </w:r>
      <w:r w:rsidR="00685C64" w:rsidRPr="008F2668">
        <w:rPr>
          <w:rFonts w:cs="Times New Roman"/>
          <w:szCs w:val="24"/>
        </w:rPr>
        <w:t xml:space="preserve">nepieciešamas izmaiņas </w:t>
      </w:r>
      <w:r w:rsidR="0004200D" w:rsidRPr="008F2668">
        <w:rPr>
          <w:rFonts w:eastAsia="Calibri" w:cs="Times New Roman"/>
          <w:szCs w:val="24"/>
          <w:lang w:eastAsia="ar-SA"/>
        </w:rPr>
        <w:t>darbības programmā</w:t>
      </w:r>
      <w:r w:rsidR="00685C64" w:rsidRPr="008F2668">
        <w:rPr>
          <w:rFonts w:eastAsia="Calibri" w:cs="Times New Roman"/>
          <w:szCs w:val="24"/>
          <w:lang w:eastAsia="ar-SA"/>
        </w:rPr>
        <w:t xml:space="preserve"> “Izaugsme un nodarbinātība” (turpmāk – DP)</w:t>
      </w:r>
      <w:r w:rsidR="0004200D" w:rsidRPr="008F2668">
        <w:rPr>
          <w:rFonts w:eastAsia="Calibri" w:cs="Times New Roman"/>
          <w:szCs w:val="24"/>
          <w:lang w:eastAsia="ar-SA"/>
        </w:rPr>
        <w:t xml:space="preserve">, kas jāapstiprina </w:t>
      </w:r>
      <w:r w:rsidR="00156756">
        <w:rPr>
          <w:rFonts w:eastAsia="Calibri" w:cs="Times New Roman"/>
          <w:szCs w:val="24"/>
          <w:lang w:eastAsia="ar-SA"/>
        </w:rPr>
        <w:t>EK</w:t>
      </w:r>
      <w:r w:rsidR="0004200D" w:rsidRPr="008F2668">
        <w:rPr>
          <w:rFonts w:eastAsia="Calibri" w:cs="Times New Roman"/>
          <w:szCs w:val="24"/>
          <w:lang w:eastAsia="ar-SA"/>
        </w:rPr>
        <w:t xml:space="preserve">. Attiecīgi </w:t>
      </w:r>
      <w:r w:rsidR="00685C64" w:rsidRPr="008F2668">
        <w:rPr>
          <w:rFonts w:eastAsia="Calibri" w:cs="Times New Roman"/>
          <w:szCs w:val="24"/>
          <w:lang w:eastAsia="ar-SA"/>
        </w:rPr>
        <w:t xml:space="preserve">EK </w:t>
      </w:r>
      <w:r w:rsidR="0004200D" w:rsidRPr="008F2668">
        <w:rPr>
          <w:rFonts w:eastAsia="Calibri" w:cs="Times New Roman"/>
          <w:szCs w:val="24"/>
          <w:lang w:eastAsia="ar-SA"/>
        </w:rPr>
        <w:t xml:space="preserve">apstiprinājums joprojām tiek </w:t>
      </w:r>
      <w:r w:rsidR="0004200D" w:rsidRPr="008F2668">
        <w:rPr>
          <w:rFonts w:eastAsia="Calibri" w:cs="Times New Roman"/>
          <w:szCs w:val="24"/>
          <w:lang w:eastAsia="ar-SA"/>
        </w:rPr>
        <w:lastRenderedPageBreak/>
        <w:t xml:space="preserve">gaidīts par EK </w:t>
      </w:r>
      <w:r w:rsidR="00685C64" w:rsidRPr="008F2668">
        <w:rPr>
          <w:rFonts w:eastAsia="Calibri" w:cs="Times New Roman"/>
          <w:szCs w:val="24"/>
          <w:lang w:eastAsia="ar-SA"/>
        </w:rPr>
        <w:t>iesniegti</w:t>
      </w:r>
      <w:r w:rsidR="0004200D" w:rsidRPr="008F2668">
        <w:rPr>
          <w:rFonts w:eastAsia="Calibri" w:cs="Times New Roman"/>
          <w:szCs w:val="24"/>
          <w:lang w:eastAsia="ar-SA"/>
        </w:rPr>
        <w:t>em</w:t>
      </w:r>
      <w:r w:rsidR="007101BF" w:rsidRPr="008F2668">
        <w:rPr>
          <w:rFonts w:eastAsia="Calibri" w:cs="Times New Roman"/>
          <w:szCs w:val="24"/>
          <w:lang w:eastAsia="ar-SA"/>
        </w:rPr>
        <w:t xml:space="preserve"> </w:t>
      </w:r>
      <w:r w:rsidR="00685C64" w:rsidRPr="008F2668">
        <w:rPr>
          <w:rFonts w:eastAsia="Calibri" w:cs="Times New Roman"/>
          <w:szCs w:val="24"/>
          <w:lang w:eastAsia="ar-SA"/>
        </w:rPr>
        <w:t>DP</w:t>
      </w:r>
      <w:r w:rsidR="0004200D" w:rsidRPr="008F2668">
        <w:rPr>
          <w:rFonts w:eastAsia="Calibri" w:cs="Times New Roman"/>
          <w:szCs w:val="24"/>
          <w:lang w:eastAsia="ar-SA"/>
        </w:rPr>
        <w:t xml:space="preserve"> </w:t>
      </w:r>
      <w:r w:rsidR="00685C64" w:rsidRPr="008F2668">
        <w:rPr>
          <w:rFonts w:eastAsia="Calibri" w:cs="Times New Roman"/>
          <w:szCs w:val="24"/>
          <w:lang w:eastAsia="ar-SA"/>
        </w:rPr>
        <w:t>grozījumi</w:t>
      </w:r>
      <w:r w:rsidR="0004200D" w:rsidRPr="008F2668">
        <w:rPr>
          <w:rFonts w:eastAsia="Calibri" w:cs="Times New Roman"/>
          <w:szCs w:val="24"/>
          <w:lang w:eastAsia="ar-SA"/>
        </w:rPr>
        <w:t>em Nr.1</w:t>
      </w:r>
      <w:r w:rsidR="00685C64" w:rsidRPr="008F2668">
        <w:rPr>
          <w:rStyle w:val="FootnoteReference"/>
          <w:rFonts w:eastAsia="Calibri" w:cs="Times New Roman"/>
          <w:szCs w:val="24"/>
          <w:lang w:eastAsia="ar-SA"/>
        </w:rPr>
        <w:footnoteReference w:id="12"/>
      </w:r>
      <w:r w:rsidR="00685C64" w:rsidRPr="008F2668">
        <w:rPr>
          <w:rFonts w:eastAsia="Calibri" w:cs="Times New Roman"/>
          <w:szCs w:val="24"/>
          <w:lang w:eastAsia="ar-SA"/>
        </w:rPr>
        <w:t xml:space="preserve">. </w:t>
      </w:r>
      <w:r w:rsidR="0004200D" w:rsidRPr="008F2668">
        <w:rPr>
          <w:rFonts w:eastAsia="Calibri" w:cs="Times New Roman"/>
          <w:szCs w:val="24"/>
          <w:lang w:eastAsia="ar-SA"/>
        </w:rPr>
        <w:t xml:space="preserve">Papildus </w:t>
      </w:r>
      <w:r w:rsidR="00685C64" w:rsidRPr="008F2668">
        <w:rPr>
          <w:rFonts w:eastAsia="Calibri" w:cs="Times New Roman"/>
          <w:szCs w:val="24"/>
          <w:lang w:eastAsia="ar-SA"/>
        </w:rPr>
        <w:t xml:space="preserve"> šobrīd uzsākta </w:t>
      </w:r>
      <w:r w:rsidR="004F2A7B">
        <w:rPr>
          <w:rFonts w:eastAsia="Calibri" w:cs="Times New Roman"/>
          <w:szCs w:val="24"/>
          <w:lang w:eastAsia="ar-SA"/>
        </w:rPr>
        <w:t>nākamo</w:t>
      </w:r>
      <w:r w:rsidR="004F2A7B" w:rsidRPr="008F2668">
        <w:rPr>
          <w:rFonts w:eastAsia="Calibri" w:cs="Times New Roman"/>
          <w:szCs w:val="24"/>
          <w:lang w:eastAsia="ar-SA"/>
        </w:rPr>
        <w:t xml:space="preserve"> </w:t>
      </w:r>
      <w:r w:rsidR="00685C64" w:rsidRPr="008F2668">
        <w:rPr>
          <w:rFonts w:eastAsia="Calibri" w:cs="Times New Roman"/>
          <w:szCs w:val="24"/>
          <w:lang w:eastAsia="ar-SA"/>
        </w:rPr>
        <w:t>DP grozījumu</w:t>
      </w:r>
      <w:r w:rsidR="0004200D" w:rsidRPr="008F2668">
        <w:rPr>
          <w:rFonts w:eastAsia="Calibri" w:cs="Times New Roman"/>
          <w:szCs w:val="24"/>
          <w:lang w:eastAsia="ar-SA"/>
        </w:rPr>
        <w:t xml:space="preserve"> Nr.2</w:t>
      </w:r>
      <w:r w:rsidR="00685C64" w:rsidRPr="008F2668">
        <w:rPr>
          <w:rFonts w:eastAsia="Calibri" w:cs="Times New Roman"/>
          <w:szCs w:val="24"/>
          <w:lang w:eastAsia="ar-SA"/>
        </w:rPr>
        <w:t xml:space="preserve"> virzība, kas </w:t>
      </w:r>
      <w:r w:rsidR="0004200D" w:rsidRPr="008F2668">
        <w:rPr>
          <w:rFonts w:eastAsia="Calibri" w:cs="Times New Roman"/>
          <w:szCs w:val="24"/>
          <w:lang w:eastAsia="ar-SA"/>
        </w:rPr>
        <w:t>cita</w:t>
      </w:r>
      <w:r w:rsidR="007101BF" w:rsidRPr="008F2668">
        <w:rPr>
          <w:rFonts w:eastAsia="Calibri" w:cs="Times New Roman"/>
          <w:szCs w:val="24"/>
          <w:lang w:eastAsia="ar-SA"/>
        </w:rPr>
        <w:t xml:space="preserve"> </w:t>
      </w:r>
      <w:r w:rsidR="0004200D" w:rsidRPr="008F2668">
        <w:rPr>
          <w:rFonts w:eastAsia="Calibri" w:cs="Times New Roman"/>
          <w:szCs w:val="24"/>
          <w:lang w:eastAsia="ar-SA"/>
        </w:rPr>
        <w:t>s</w:t>
      </w:r>
      <w:r w:rsidR="007101BF" w:rsidRPr="008F2668">
        <w:rPr>
          <w:rFonts w:eastAsia="Calibri" w:cs="Times New Roman"/>
          <w:szCs w:val="24"/>
          <w:lang w:eastAsia="ar-SA"/>
        </w:rPr>
        <w:t>ta</w:t>
      </w:r>
      <w:r w:rsidR="0004200D" w:rsidRPr="008F2668">
        <w:rPr>
          <w:rFonts w:eastAsia="Calibri" w:cs="Times New Roman"/>
          <w:szCs w:val="24"/>
          <w:lang w:eastAsia="ar-SA"/>
        </w:rPr>
        <w:t xml:space="preserve">rpā </w:t>
      </w:r>
      <w:r w:rsidR="00685C64" w:rsidRPr="008F2668">
        <w:rPr>
          <w:rFonts w:eastAsia="Calibri" w:cs="Times New Roman"/>
          <w:szCs w:val="24"/>
          <w:lang w:eastAsia="ar-SA"/>
        </w:rPr>
        <w:t xml:space="preserve"> paredz</w:t>
      </w:r>
      <w:r w:rsidR="0004200D" w:rsidRPr="008F2668">
        <w:rPr>
          <w:rFonts w:eastAsia="Calibri" w:cs="Times New Roman"/>
          <w:szCs w:val="24"/>
          <w:lang w:eastAsia="ar-SA"/>
        </w:rPr>
        <w:t xml:space="preserve"> finanšu </w:t>
      </w:r>
      <w:proofErr w:type="spellStart"/>
      <w:r w:rsidR="0004200D" w:rsidRPr="008F2668">
        <w:rPr>
          <w:rFonts w:eastAsia="Calibri" w:cs="Times New Roman"/>
          <w:szCs w:val="24"/>
          <w:lang w:eastAsia="ar-SA"/>
        </w:rPr>
        <w:t>starpmērķu</w:t>
      </w:r>
      <w:proofErr w:type="spellEnd"/>
      <w:r w:rsidR="0004200D" w:rsidRPr="008F2668">
        <w:rPr>
          <w:rFonts w:eastAsia="Calibri" w:cs="Times New Roman"/>
          <w:szCs w:val="24"/>
          <w:lang w:eastAsia="ar-SA"/>
        </w:rPr>
        <w:t xml:space="preserve"> un atsevišķu sasniedzamo rādītāju samazināšanas priekšlikumus</w:t>
      </w:r>
      <w:r w:rsidR="004F2A7B">
        <w:rPr>
          <w:rFonts w:eastAsia="Calibri" w:cs="Times New Roman"/>
          <w:szCs w:val="24"/>
          <w:lang w:eastAsia="ar-SA"/>
        </w:rPr>
        <w:t xml:space="preserve"> atsevišķās jomās (īpaši veselības infrastruktūra)</w:t>
      </w:r>
      <w:r w:rsidR="00051948" w:rsidRPr="008F2668">
        <w:rPr>
          <w:rFonts w:eastAsia="Calibri" w:cs="Times New Roman"/>
          <w:szCs w:val="24"/>
          <w:lang w:eastAsia="ar-SA"/>
        </w:rPr>
        <w:t xml:space="preserve">, lai </w:t>
      </w:r>
      <w:r w:rsidR="004F2A7B">
        <w:rPr>
          <w:rFonts w:eastAsia="Calibri" w:cs="Times New Roman"/>
          <w:szCs w:val="24"/>
          <w:lang w:eastAsia="ar-SA"/>
        </w:rPr>
        <w:t xml:space="preserve">saglabātu </w:t>
      </w:r>
      <w:r w:rsidR="00051948" w:rsidRPr="008F2668">
        <w:rPr>
          <w:rFonts w:eastAsia="Calibri" w:cs="Times New Roman"/>
          <w:szCs w:val="24"/>
          <w:lang w:eastAsia="ar-SA"/>
        </w:rPr>
        <w:t xml:space="preserve">snieguma rezerves 6% apjomā </w:t>
      </w:r>
      <w:r w:rsidR="004F2A7B">
        <w:rPr>
          <w:rFonts w:eastAsia="Calibri" w:cs="Times New Roman"/>
          <w:szCs w:val="24"/>
          <w:lang w:eastAsia="ar-SA"/>
        </w:rPr>
        <w:t xml:space="preserve">izmantošanas iespēju </w:t>
      </w:r>
      <w:r w:rsidR="00051948" w:rsidRPr="008F2668">
        <w:rPr>
          <w:rFonts w:eastAsia="Calibri" w:cs="Times New Roman"/>
          <w:szCs w:val="24"/>
          <w:lang w:eastAsia="ar-SA"/>
        </w:rPr>
        <w:t xml:space="preserve"> (ES nosacījumi</w:t>
      </w:r>
      <w:r w:rsidR="004F2A7B">
        <w:rPr>
          <w:rFonts w:eastAsia="Calibri" w:cs="Times New Roman"/>
          <w:szCs w:val="24"/>
          <w:lang w:eastAsia="ar-SA"/>
        </w:rPr>
        <w:t xml:space="preserve"> starpposma mērķu sasniegšanai</w:t>
      </w:r>
      <w:r w:rsidR="00051948" w:rsidRPr="008F2668">
        <w:rPr>
          <w:rFonts w:eastAsia="Calibri" w:cs="Times New Roman"/>
          <w:szCs w:val="24"/>
          <w:lang w:eastAsia="ar-SA"/>
        </w:rPr>
        <w:t xml:space="preserve">) </w:t>
      </w:r>
      <w:proofErr w:type="spellStart"/>
      <w:r w:rsidR="00051948" w:rsidRPr="008F2668">
        <w:rPr>
          <w:rFonts w:eastAsia="Calibri" w:cs="Times New Roman"/>
          <w:szCs w:val="24"/>
          <w:lang w:eastAsia="ar-SA"/>
        </w:rPr>
        <w:t>vidusposma</w:t>
      </w:r>
      <w:proofErr w:type="spellEnd"/>
      <w:r w:rsidR="00051948" w:rsidRPr="008F2668">
        <w:rPr>
          <w:rFonts w:eastAsia="Calibri" w:cs="Times New Roman"/>
          <w:szCs w:val="24"/>
          <w:lang w:eastAsia="ar-SA"/>
        </w:rPr>
        <w:t xml:space="preserve"> izpildes novērtējuma rezultātā pēc 2018.gada</w:t>
      </w:r>
      <w:r w:rsidR="0004200D" w:rsidRPr="008F2668">
        <w:rPr>
          <w:rFonts w:eastAsia="Calibri" w:cs="Times New Roman"/>
          <w:szCs w:val="24"/>
          <w:lang w:eastAsia="ar-SA"/>
        </w:rPr>
        <w:t xml:space="preserve">. </w:t>
      </w:r>
      <w:r w:rsidR="00051948" w:rsidRPr="008F2668">
        <w:rPr>
          <w:rFonts w:eastAsia="Calibri" w:cs="Times New Roman"/>
          <w:szCs w:val="24"/>
          <w:lang w:eastAsia="ar-SA"/>
        </w:rPr>
        <w:t>Saskaņoti ar DP grozījum</w:t>
      </w:r>
      <w:r w:rsidR="007101BF" w:rsidRPr="008F2668">
        <w:rPr>
          <w:rFonts w:eastAsia="Calibri" w:cs="Times New Roman"/>
          <w:szCs w:val="24"/>
          <w:lang w:eastAsia="ar-SA"/>
        </w:rPr>
        <w:t>ie</w:t>
      </w:r>
      <w:r w:rsidR="00051948" w:rsidRPr="008F2668">
        <w:rPr>
          <w:rFonts w:eastAsia="Calibri" w:cs="Times New Roman"/>
          <w:szCs w:val="24"/>
          <w:lang w:eastAsia="ar-SA"/>
        </w:rPr>
        <w:t>m tiek virzītas arī nepieciešamās izmaiņas Partnerības līgumā.</w:t>
      </w:r>
    </w:p>
    <w:p w14:paraId="4073343D" w14:textId="589161A3" w:rsidR="00D43630" w:rsidRPr="008F2668" w:rsidRDefault="00D43630" w:rsidP="00AE04A1">
      <w:pPr>
        <w:spacing w:before="120" w:after="120"/>
        <w:jc w:val="both"/>
      </w:pPr>
      <w:r w:rsidRPr="008F2668">
        <w:rPr>
          <w:rFonts w:eastAsia="Times New Roman"/>
          <w:szCs w:val="24"/>
          <w:lang w:eastAsia="lv-LV"/>
        </w:rPr>
        <w:t>Par iepriekš minētajiem risināmajiem jautājumiem diskutēts ikgadējā tikšanās ar EK un Uzraudzības komitej</w:t>
      </w:r>
      <w:r w:rsidR="004F2A7B">
        <w:rPr>
          <w:rFonts w:eastAsia="Times New Roman"/>
          <w:szCs w:val="24"/>
          <w:lang w:eastAsia="lv-LV"/>
        </w:rPr>
        <w:t>as</w:t>
      </w:r>
      <w:r w:rsidR="00C07B0A">
        <w:rPr>
          <w:rFonts w:eastAsia="Times New Roman"/>
          <w:szCs w:val="24"/>
          <w:lang w:eastAsia="lv-LV"/>
        </w:rPr>
        <w:t xml:space="preserve"> (turpmāk – UK)</w:t>
      </w:r>
      <w:r w:rsidR="004F2A7B">
        <w:rPr>
          <w:rFonts w:eastAsia="Times New Roman"/>
          <w:szCs w:val="24"/>
          <w:lang w:eastAsia="lv-LV"/>
        </w:rPr>
        <w:t xml:space="preserve"> sēdēs</w:t>
      </w:r>
      <w:r w:rsidRPr="008F2668">
        <w:rPr>
          <w:rFonts w:eastAsia="Times New Roman"/>
          <w:szCs w:val="24"/>
          <w:lang w:eastAsia="lv-LV"/>
        </w:rPr>
        <w:t xml:space="preserve"> attiecīgi 2016.gada 23. un 24.novembrī.  Ar materiāliem var iepazīties </w:t>
      </w:r>
      <w:r w:rsidR="00C07B0A">
        <w:rPr>
          <w:rFonts w:eastAsia="Times New Roman"/>
          <w:szCs w:val="24"/>
          <w:lang w:eastAsia="lv-LV"/>
        </w:rPr>
        <w:t>UK</w:t>
      </w:r>
      <w:r w:rsidRPr="008F2668">
        <w:rPr>
          <w:rFonts w:eastAsia="Times New Roman"/>
          <w:szCs w:val="24"/>
          <w:lang w:eastAsia="lv-LV"/>
        </w:rPr>
        <w:t xml:space="preserve"> e-portfelī</w:t>
      </w:r>
      <w:r w:rsidRPr="008F2668">
        <w:rPr>
          <w:rStyle w:val="FootnoteReference"/>
          <w:rFonts w:eastAsia="Times New Roman"/>
          <w:szCs w:val="24"/>
          <w:lang w:eastAsia="lv-LV"/>
        </w:rPr>
        <w:footnoteReference w:id="13"/>
      </w:r>
      <w:r w:rsidRPr="008F2668">
        <w:rPr>
          <w:rFonts w:eastAsia="Times New Roman"/>
          <w:szCs w:val="24"/>
          <w:lang w:eastAsia="lv-LV"/>
        </w:rPr>
        <w:t xml:space="preserve">. </w:t>
      </w:r>
    </w:p>
    <w:p w14:paraId="6A0AEAC5" w14:textId="5E102761" w:rsidR="005D5F6C" w:rsidRPr="00357A62" w:rsidRDefault="0098250D" w:rsidP="0023336C">
      <w:pPr>
        <w:pStyle w:val="ListParagraph"/>
        <w:numPr>
          <w:ilvl w:val="0"/>
          <w:numId w:val="22"/>
        </w:numPr>
        <w:spacing w:before="120" w:after="120"/>
        <w:ind w:left="0" w:firstLine="0"/>
        <w:contextualSpacing w:val="0"/>
        <w:jc w:val="both"/>
        <w:rPr>
          <w:color w:val="000000" w:themeColor="text1"/>
        </w:rPr>
      </w:pPr>
      <w:r w:rsidRPr="008F2668">
        <w:rPr>
          <w:rFonts w:eastAsia="Calibri" w:cs="Times New Roman"/>
          <w:szCs w:val="24"/>
          <w:lang w:eastAsia="ar-SA"/>
        </w:rPr>
        <w:t xml:space="preserve">Attiecībā uz 2016.gada </w:t>
      </w:r>
      <w:r w:rsidRPr="008F2668">
        <w:rPr>
          <w:rFonts w:eastAsia="Calibri" w:cs="Times New Roman"/>
          <w:szCs w:val="24"/>
          <w:u w:val="single"/>
          <w:lang w:eastAsia="ar-SA"/>
        </w:rPr>
        <w:t>finanšu plāna</w:t>
      </w:r>
      <w:r w:rsidRPr="008F2668">
        <w:rPr>
          <w:rFonts w:eastAsia="Calibri" w:cs="Times New Roman"/>
          <w:szCs w:val="24"/>
          <w:lang w:eastAsia="ar-SA"/>
        </w:rPr>
        <w:t xml:space="preserve"> </w:t>
      </w:r>
      <w:r w:rsidR="00F5184A" w:rsidRPr="008F2668">
        <w:rPr>
          <w:rFonts w:eastAsia="Calibri" w:cs="Times New Roman"/>
          <w:szCs w:val="24"/>
          <w:lang w:eastAsia="ar-SA"/>
        </w:rPr>
        <w:t xml:space="preserve">izpildi </w:t>
      </w:r>
      <w:r w:rsidRPr="008F2668">
        <w:rPr>
          <w:rFonts w:eastAsia="Calibri" w:cs="Times New Roman"/>
          <w:szCs w:val="24"/>
          <w:lang w:eastAsia="ar-SA"/>
        </w:rPr>
        <w:t>–</w:t>
      </w:r>
      <w:r w:rsidR="000A734C" w:rsidRPr="008F2668">
        <w:rPr>
          <w:rFonts w:eastAsia="Calibri" w:cs="Times New Roman"/>
          <w:szCs w:val="24"/>
          <w:lang w:eastAsia="ar-SA"/>
        </w:rPr>
        <w:t xml:space="preserve"> </w:t>
      </w:r>
      <w:r w:rsidR="004F2A7B">
        <w:rPr>
          <w:rFonts w:eastAsia="Calibri" w:cs="Times New Roman"/>
          <w:szCs w:val="24"/>
          <w:lang w:eastAsia="ar-SA"/>
        </w:rPr>
        <w:t xml:space="preserve">ES finanšu </w:t>
      </w:r>
      <w:r w:rsidR="00443E64" w:rsidRPr="008F2668">
        <w:rPr>
          <w:rFonts w:eastAsia="Calibri" w:cs="Times New Roman"/>
          <w:szCs w:val="24"/>
          <w:lang w:eastAsia="ar-SA"/>
        </w:rPr>
        <w:t>atbalsta maksājumiem projektu īstenotājiem</w:t>
      </w:r>
      <w:r w:rsidR="004F2A7B">
        <w:rPr>
          <w:rFonts w:eastAsia="Calibri" w:cs="Times New Roman"/>
          <w:szCs w:val="24"/>
          <w:lang w:eastAsia="ar-SA"/>
        </w:rPr>
        <w:t xml:space="preserve"> (avansi, maksājumi par reāliem izdevumiem, paveikto)</w:t>
      </w:r>
      <w:r w:rsidR="00443E64" w:rsidRPr="008F2668">
        <w:rPr>
          <w:rFonts w:eastAsia="Calibri" w:cs="Times New Roman"/>
          <w:szCs w:val="24"/>
          <w:lang w:eastAsia="ar-SA"/>
        </w:rPr>
        <w:t xml:space="preserve"> – secināms, ka pārskata periodā kopumā ir </w:t>
      </w:r>
      <w:r w:rsidR="00051948" w:rsidRPr="008F2668">
        <w:rPr>
          <w:rFonts w:eastAsia="Calibri" w:cs="Times New Roman"/>
          <w:szCs w:val="24"/>
          <w:lang w:eastAsia="ar-SA"/>
        </w:rPr>
        <w:t xml:space="preserve">minimāls </w:t>
      </w:r>
      <w:r w:rsidR="00265C0B" w:rsidRPr="008F2668">
        <w:rPr>
          <w:rFonts w:eastAsia="Calibri" w:cs="Times New Roman"/>
          <w:szCs w:val="24"/>
          <w:lang w:eastAsia="ar-SA"/>
        </w:rPr>
        <w:t>progress</w:t>
      </w:r>
      <w:r w:rsidR="00443E64" w:rsidRPr="008F2668">
        <w:rPr>
          <w:rFonts w:eastAsia="Calibri" w:cs="Times New Roman"/>
          <w:szCs w:val="24"/>
          <w:lang w:eastAsia="ar-SA"/>
        </w:rPr>
        <w:t>.</w:t>
      </w:r>
      <w:r w:rsidR="0048442F" w:rsidRPr="008F2668">
        <w:rPr>
          <w:rFonts w:eastAsia="Calibri" w:cs="Times New Roman"/>
          <w:szCs w:val="24"/>
          <w:lang w:eastAsia="ar-SA"/>
        </w:rPr>
        <w:t xml:space="preserve"> </w:t>
      </w:r>
      <w:r w:rsidR="0048442F" w:rsidRPr="008F2668">
        <w:rPr>
          <w:rFonts w:eastAsia="Times New Roman" w:cs="Times New Roman"/>
          <w:color w:val="000000"/>
          <w:szCs w:val="24"/>
          <w:lang w:eastAsia="lv-LV"/>
        </w:rPr>
        <w:t>Skatīt šī ziņojuma tabulu Nr.1</w:t>
      </w:r>
      <w:r w:rsidR="00357A62">
        <w:rPr>
          <w:rFonts w:eastAsia="Times New Roman" w:cs="Times New Roman"/>
          <w:color w:val="000000"/>
          <w:szCs w:val="24"/>
          <w:lang w:eastAsia="lv-LV"/>
        </w:rPr>
        <w:t xml:space="preserve"> (skatīt zemāk).</w:t>
      </w:r>
    </w:p>
    <w:p w14:paraId="6515D92F" w14:textId="77777777" w:rsidR="00357A62" w:rsidRDefault="00357A62" w:rsidP="00357A62">
      <w:pPr>
        <w:ind w:firstLine="720"/>
        <w:jc w:val="both"/>
        <w:rPr>
          <w:rFonts w:eastAsia="Times New Roman" w:cs="Times New Roman"/>
          <w:color w:val="000000"/>
          <w:szCs w:val="24"/>
          <w:lang w:eastAsia="lv-LV"/>
        </w:rPr>
      </w:pPr>
      <w:r w:rsidRPr="00357A62">
        <w:rPr>
          <w:rFonts w:cs="Times New Roman"/>
          <w:szCs w:val="24"/>
        </w:rPr>
        <w:t xml:space="preserve">Maksājumu plāna </w:t>
      </w:r>
      <w:r w:rsidRPr="00357A62">
        <w:rPr>
          <w:szCs w:val="24"/>
        </w:rPr>
        <w:t xml:space="preserve">novirze </w:t>
      </w:r>
      <w:r w:rsidRPr="00357A62">
        <w:rPr>
          <w:rFonts w:cs="Times New Roman"/>
          <w:szCs w:val="24"/>
        </w:rPr>
        <w:t>l</w:t>
      </w:r>
      <w:r w:rsidRPr="00357A62">
        <w:rPr>
          <w:szCs w:val="24"/>
        </w:rPr>
        <w:t xml:space="preserve">īdz 2016.gada 1.novembrim mēneša laikā palielinājusies par 3,7 milj. </w:t>
      </w:r>
      <w:proofErr w:type="spellStart"/>
      <w:r w:rsidRPr="00357A62">
        <w:rPr>
          <w:i/>
          <w:szCs w:val="24"/>
        </w:rPr>
        <w:t>euro</w:t>
      </w:r>
      <w:proofErr w:type="spellEnd"/>
      <w:r w:rsidRPr="00357A62">
        <w:rPr>
          <w:szCs w:val="24"/>
        </w:rPr>
        <w:t xml:space="preserve">, kopumā sasniedzot 44,9 milj. </w:t>
      </w:r>
      <w:proofErr w:type="spellStart"/>
      <w:r w:rsidRPr="00357A62">
        <w:rPr>
          <w:i/>
          <w:szCs w:val="24"/>
        </w:rPr>
        <w:t>euro</w:t>
      </w:r>
      <w:proofErr w:type="spellEnd"/>
      <w:r w:rsidRPr="00357A62">
        <w:rPr>
          <w:szCs w:val="24"/>
        </w:rPr>
        <w:t xml:space="preserve">. </w:t>
      </w:r>
      <w:r w:rsidRPr="00357A62">
        <w:rPr>
          <w:rFonts w:eastAsia="Calibri" w:cs="Times New Roman"/>
          <w:szCs w:val="24"/>
          <w:lang w:eastAsia="ar-SA"/>
        </w:rPr>
        <w:t xml:space="preserve">Kumulatīvā plāna izpilde līdz 2016.gada 1.novembrim (211,1 milj. </w:t>
      </w:r>
      <w:proofErr w:type="spellStart"/>
      <w:r w:rsidRPr="00357A62">
        <w:rPr>
          <w:rFonts w:eastAsia="Calibri" w:cs="Times New Roman"/>
          <w:i/>
          <w:szCs w:val="24"/>
          <w:lang w:eastAsia="ar-SA"/>
        </w:rPr>
        <w:t>euro</w:t>
      </w:r>
      <w:proofErr w:type="spellEnd"/>
      <w:r w:rsidRPr="00357A62">
        <w:rPr>
          <w:rFonts w:eastAsia="Calibri" w:cs="Times New Roman"/>
          <w:szCs w:val="24"/>
          <w:lang w:eastAsia="ar-SA"/>
        </w:rPr>
        <w:t>) ir 78,7%</w:t>
      </w:r>
      <w:r w:rsidRPr="008F2668">
        <w:rPr>
          <w:rStyle w:val="FootnoteReference"/>
          <w:rFonts w:eastAsia="Calibri" w:cs="Times New Roman"/>
          <w:szCs w:val="24"/>
          <w:lang w:eastAsia="ar-SA"/>
        </w:rPr>
        <w:footnoteReference w:id="14"/>
      </w:r>
      <w:r w:rsidRPr="00357A62">
        <w:rPr>
          <w:rFonts w:eastAsia="Calibri" w:cs="Times New Roman"/>
          <w:szCs w:val="24"/>
          <w:lang w:eastAsia="ar-SA"/>
        </w:rPr>
        <w:t xml:space="preserve">, bet gada plāns (314,9 milj. </w:t>
      </w:r>
      <w:proofErr w:type="spellStart"/>
      <w:r w:rsidRPr="00357A62">
        <w:rPr>
          <w:rFonts w:eastAsia="Calibri" w:cs="Times New Roman"/>
          <w:i/>
          <w:szCs w:val="24"/>
          <w:lang w:eastAsia="ar-SA"/>
        </w:rPr>
        <w:t>euro</w:t>
      </w:r>
      <w:proofErr w:type="spellEnd"/>
      <w:r w:rsidRPr="00357A62">
        <w:rPr>
          <w:rFonts w:eastAsia="Calibri" w:cs="Times New Roman"/>
          <w:szCs w:val="24"/>
          <w:lang w:eastAsia="ar-SA"/>
        </w:rPr>
        <w:t>) izpildīts tikai 52,8% apmērā.</w:t>
      </w:r>
      <w:r w:rsidRPr="00357A62">
        <w:rPr>
          <w:i/>
          <w:szCs w:val="24"/>
        </w:rPr>
        <w:t xml:space="preserve"> </w:t>
      </w:r>
      <w:r w:rsidRPr="00357A62">
        <w:rPr>
          <w:szCs w:val="24"/>
        </w:rPr>
        <w:t xml:space="preserve">Kā ziņots iepriekšējos pārskata periodos, būtisks maksājumu pieaugums līdz gada beigām nav sagaidāms. Tāpat vājāka naudas plūsma nekā 2015.gada nogalē prognozēts </w:t>
      </w:r>
      <w:bookmarkStart w:id="0" w:name="_GoBack"/>
      <w:r w:rsidRPr="00357A62">
        <w:rPr>
          <w:szCs w:val="24"/>
        </w:rPr>
        <w:t>saglabājas</w:t>
      </w:r>
      <w:bookmarkEnd w:id="0"/>
      <w:r w:rsidRPr="00357A62">
        <w:rPr>
          <w:szCs w:val="24"/>
        </w:rPr>
        <w:t>, galvenokārt, šādās jomās: (1) ceļu rekonstrukcijas jomā (iepirkumu procesa kavēkļi, novēlota projektu pieteikumu iesniegšana)</w:t>
      </w:r>
      <w:r w:rsidRPr="00357A62">
        <w:rPr>
          <w:rFonts w:eastAsia="Times New Roman" w:cs="Times New Roman"/>
          <w:color w:val="000000"/>
          <w:szCs w:val="24"/>
          <w:lang w:eastAsia="lv-LV"/>
        </w:rPr>
        <w:t>; (2) integrēti teritoriālajās investīcijās – atbalsta sniegšana nacionālas nozīmes attīstības centriem (tā kā integrēti teritoriālās investīcijas saskaņā ar ES fondus regulējošiem normatīvajiem aktiem ir jaunievedums šajā plānošanas periodā, sākotnējais plāns uzsākt projektu atlases un veikt investīcijas bijis pārāk optimistisks; šobrīd secināms, ka progress sagaidāms 2017.gadā); (3) deinstitucionalizācijas pasākumos, jo ilgāks laiks bijis nepieciešams sadarbības mehānismu izstrādē un vienošanās panākšanai ar projekta sadarbības partneriem – pašvaldībām. Vienlaikus, iespaidu uz maksājumiem atstājusi situācija, ka MK noteikumu apstiprināšana neiekļaujas plānotajā laika rāmī, attiecīgi nav iespējams secīgi uzsākt projektu atlases, līdz ar to nobīdēm ir tieša samazinoša ietekme uz budžeta naudas plūsmas prognožu izpildi.</w:t>
      </w:r>
      <w:r w:rsidRPr="00357A62">
        <w:rPr>
          <w:color w:val="000000" w:themeColor="text1"/>
        </w:rPr>
        <w:t xml:space="preserve"> </w:t>
      </w:r>
      <w:r w:rsidRPr="00357A62">
        <w:rPr>
          <w:rFonts w:eastAsia="Times New Roman" w:cs="Times New Roman"/>
          <w:color w:val="000000"/>
          <w:szCs w:val="24"/>
          <w:lang w:eastAsia="lv-LV"/>
        </w:rPr>
        <w:t xml:space="preserve"> FM sadarbībā ar citām iestādēm ir uzsākusi maksājumu un ieviešanas plānu izstrādi 2017.gadam, par ko tiks sniegta informācija valdībai 2017.gada 1.ceturksnī.</w:t>
      </w:r>
    </w:p>
    <w:p w14:paraId="2CC38F0E" w14:textId="77777777" w:rsidR="00357A62" w:rsidRDefault="00357A62" w:rsidP="00357A62">
      <w:pPr>
        <w:ind w:firstLine="720"/>
        <w:jc w:val="both"/>
        <w:rPr>
          <w:rFonts w:eastAsia="Times New Roman" w:cs="Times New Roman"/>
          <w:color w:val="000000"/>
          <w:szCs w:val="24"/>
          <w:lang w:eastAsia="lv-LV"/>
        </w:rPr>
      </w:pPr>
    </w:p>
    <w:p w14:paraId="6ECDEA34" w14:textId="77777777" w:rsidR="00357A62" w:rsidRDefault="00357A62">
      <w:pPr>
        <w:rPr>
          <w:rFonts w:eastAsia="Calibri" w:cs="Times New Roman"/>
          <w:b/>
          <w:i/>
          <w:sz w:val="22"/>
          <w:lang w:eastAsia="ar-SA"/>
        </w:rPr>
      </w:pPr>
      <w:r>
        <w:rPr>
          <w:rFonts w:eastAsia="Calibri" w:cs="Times New Roman"/>
          <w:b/>
          <w:i/>
          <w:sz w:val="22"/>
          <w:lang w:eastAsia="ar-SA"/>
        </w:rPr>
        <w:br w:type="page"/>
      </w:r>
    </w:p>
    <w:p w14:paraId="089AB8CC" w14:textId="3D86934E" w:rsidR="0069476E" w:rsidRPr="008F2668" w:rsidRDefault="00537632" w:rsidP="009D277D">
      <w:pPr>
        <w:rPr>
          <w:rFonts w:eastAsia="Calibri" w:cs="Times New Roman"/>
          <w:i/>
          <w:sz w:val="22"/>
          <w:lang w:eastAsia="ar-SA"/>
        </w:rPr>
      </w:pPr>
      <w:r w:rsidRPr="008F2668">
        <w:rPr>
          <w:rFonts w:eastAsia="Calibri" w:cs="Times New Roman"/>
          <w:b/>
          <w:i/>
          <w:sz w:val="22"/>
          <w:lang w:eastAsia="ar-SA"/>
        </w:rPr>
        <w:lastRenderedPageBreak/>
        <w:t>Tabula Nr.</w:t>
      </w:r>
      <w:r w:rsidR="005D5F6C" w:rsidRPr="008F2668">
        <w:rPr>
          <w:rFonts w:eastAsia="Calibri" w:cs="Times New Roman"/>
          <w:b/>
          <w:i/>
          <w:sz w:val="22"/>
          <w:lang w:eastAsia="ar-SA"/>
        </w:rPr>
        <w:t>1</w:t>
      </w:r>
      <w:r w:rsidR="00684ADB" w:rsidRPr="008F2668">
        <w:rPr>
          <w:rFonts w:eastAsia="Calibri" w:cs="Times New Roman"/>
          <w:i/>
          <w:sz w:val="22"/>
          <w:lang w:eastAsia="ar-SA"/>
        </w:rPr>
        <w:t xml:space="preserve"> “2014.-2020.gad</w:t>
      </w:r>
      <w:r w:rsidR="00967F42" w:rsidRPr="008F2668">
        <w:rPr>
          <w:rFonts w:eastAsia="Calibri" w:cs="Times New Roman"/>
          <w:i/>
          <w:sz w:val="22"/>
          <w:lang w:eastAsia="ar-SA"/>
        </w:rPr>
        <w:t>a</w:t>
      </w:r>
      <w:r w:rsidR="00684ADB" w:rsidRPr="008F2668">
        <w:rPr>
          <w:rFonts w:eastAsia="Calibri" w:cs="Times New Roman"/>
          <w:i/>
          <w:sz w:val="22"/>
          <w:lang w:eastAsia="ar-SA"/>
        </w:rPr>
        <w:t xml:space="preserve"> plānošanas periods: ES fondu līdzfinansējuma maksājumu plāna izpilde līdz 2016.gada 1.</w:t>
      </w:r>
      <w:r w:rsidR="009F2427" w:rsidRPr="008F2668">
        <w:rPr>
          <w:rFonts w:eastAsia="Calibri" w:cs="Times New Roman"/>
          <w:i/>
          <w:sz w:val="22"/>
          <w:lang w:eastAsia="ar-SA"/>
        </w:rPr>
        <w:t>novembrim</w:t>
      </w:r>
      <w:r w:rsidR="00684ADB" w:rsidRPr="008F2668">
        <w:rPr>
          <w:rFonts w:eastAsia="Calibri" w:cs="Times New Roman"/>
          <w:i/>
          <w:sz w:val="22"/>
          <w:lang w:eastAsia="ar-SA"/>
        </w:rPr>
        <w:t xml:space="preserve">, </w:t>
      </w:r>
      <w:proofErr w:type="spellStart"/>
      <w:r w:rsidR="00684ADB" w:rsidRPr="008F2668">
        <w:rPr>
          <w:rFonts w:eastAsia="Calibri" w:cs="Times New Roman"/>
          <w:i/>
          <w:sz w:val="22"/>
          <w:lang w:eastAsia="ar-SA"/>
        </w:rPr>
        <w:t>euro</w:t>
      </w:r>
      <w:proofErr w:type="spellEnd"/>
      <w:r w:rsidR="00684ADB" w:rsidRPr="008F2668">
        <w:rPr>
          <w:rFonts w:eastAsia="Calibri" w:cs="Times New Roman"/>
          <w:i/>
          <w:sz w:val="22"/>
          <w:lang w:eastAsia="ar-SA"/>
        </w:rPr>
        <w:t>.”</w:t>
      </w:r>
    </w:p>
    <w:tbl>
      <w:tblPr>
        <w:tblW w:w="10054" w:type="dxa"/>
        <w:jc w:val="center"/>
        <w:tblLayout w:type="fixed"/>
        <w:tblLook w:val="04A0" w:firstRow="1" w:lastRow="0" w:firstColumn="1" w:lastColumn="0" w:noHBand="0" w:noVBand="1"/>
      </w:tblPr>
      <w:tblGrid>
        <w:gridCol w:w="1975"/>
        <w:gridCol w:w="1276"/>
        <w:gridCol w:w="1275"/>
        <w:gridCol w:w="1276"/>
        <w:gridCol w:w="851"/>
        <w:gridCol w:w="1275"/>
        <w:gridCol w:w="851"/>
        <w:gridCol w:w="1275"/>
      </w:tblGrid>
      <w:tr w:rsidR="0069476E" w:rsidRPr="008F2668" w14:paraId="7D3C512E" w14:textId="77777777" w:rsidTr="00732FD3">
        <w:trPr>
          <w:trHeight w:val="435"/>
          <w:tblHeader/>
          <w:jc w:val="center"/>
        </w:trPr>
        <w:tc>
          <w:tcPr>
            <w:tcW w:w="1975"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221145C" w14:textId="77777777" w:rsidR="0069476E" w:rsidRPr="008F2668" w:rsidRDefault="0069476E" w:rsidP="0069476E">
            <w:pPr>
              <w:jc w:val="center"/>
              <w:rPr>
                <w:rFonts w:eastAsia="Times New Roman" w:cs="Times New Roman"/>
                <w:b/>
                <w:bCs/>
                <w:color w:val="000000"/>
                <w:sz w:val="20"/>
                <w:szCs w:val="20"/>
                <w:lang w:eastAsia="lv-LV"/>
              </w:rPr>
            </w:pPr>
            <w:r w:rsidRPr="008F2668">
              <w:rPr>
                <w:rFonts w:eastAsia="Times New Roman" w:cs="Times New Roman"/>
                <w:b/>
                <w:bCs/>
                <w:color w:val="000000"/>
                <w:sz w:val="20"/>
                <w:szCs w:val="20"/>
                <w:lang w:eastAsia="lv-LV"/>
              </w:rPr>
              <w:t>Prioritārais virziens</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4A16CDB6" w14:textId="77777777" w:rsidR="0069476E" w:rsidRPr="008F2668" w:rsidRDefault="0069476E" w:rsidP="0069476E">
            <w:pPr>
              <w:jc w:val="center"/>
              <w:rPr>
                <w:rFonts w:eastAsia="Times New Roman" w:cs="Times New Roman"/>
                <w:b/>
                <w:bCs/>
                <w:color w:val="000000"/>
                <w:sz w:val="20"/>
                <w:szCs w:val="20"/>
                <w:lang w:eastAsia="lv-LV"/>
              </w:rPr>
            </w:pPr>
            <w:r w:rsidRPr="008F2668">
              <w:rPr>
                <w:rFonts w:eastAsia="Times New Roman" w:cs="Times New Roman"/>
                <w:b/>
                <w:bCs/>
                <w:color w:val="000000"/>
                <w:sz w:val="20"/>
                <w:szCs w:val="20"/>
                <w:lang w:eastAsia="lv-LV"/>
              </w:rPr>
              <w:t>Plāns 2016.gadam kopā</w:t>
            </w:r>
          </w:p>
        </w:tc>
        <w:tc>
          <w:tcPr>
            <w:tcW w:w="1275"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67DE931D" w14:textId="77777777" w:rsidR="0069476E" w:rsidRPr="008F2668" w:rsidRDefault="0069476E" w:rsidP="0069476E">
            <w:pPr>
              <w:jc w:val="center"/>
              <w:rPr>
                <w:rFonts w:eastAsia="Times New Roman" w:cs="Times New Roman"/>
                <w:b/>
                <w:bCs/>
                <w:color w:val="000000"/>
                <w:sz w:val="20"/>
                <w:szCs w:val="20"/>
                <w:lang w:eastAsia="lv-LV"/>
              </w:rPr>
            </w:pPr>
            <w:r w:rsidRPr="008F2668">
              <w:rPr>
                <w:rFonts w:eastAsia="Times New Roman" w:cs="Times New Roman"/>
                <w:b/>
                <w:bCs/>
                <w:color w:val="000000"/>
                <w:sz w:val="20"/>
                <w:szCs w:val="20"/>
                <w:lang w:eastAsia="lv-LV"/>
              </w:rPr>
              <w:t>Plāns 01.01.2016. - 01.11.2016.</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60BEA1C4" w14:textId="77777777" w:rsidR="0069476E" w:rsidRPr="008F2668" w:rsidRDefault="0069476E" w:rsidP="0069476E">
            <w:pPr>
              <w:jc w:val="center"/>
              <w:rPr>
                <w:rFonts w:eastAsia="Times New Roman" w:cs="Times New Roman"/>
                <w:b/>
                <w:bCs/>
                <w:color w:val="000000"/>
                <w:sz w:val="20"/>
                <w:szCs w:val="20"/>
                <w:lang w:eastAsia="lv-LV"/>
              </w:rPr>
            </w:pPr>
            <w:r w:rsidRPr="008F2668">
              <w:rPr>
                <w:rFonts w:eastAsia="Times New Roman" w:cs="Times New Roman"/>
                <w:b/>
                <w:bCs/>
                <w:color w:val="000000"/>
                <w:sz w:val="20"/>
                <w:szCs w:val="20"/>
                <w:lang w:eastAsia="lv-LV"/>
              </w:rPr>
              <w:t>Faktiskā izpilde 01.01.2016. - 01.11.2016.</w:t>
            </w:r>
          </w:p>
        </w:tc>
        <w:tc>
          <w:tcPr>
            <w:tcW w:w="2126" w:type="dxa"/>
            <w:gridSpan w:val="2"/>
            <w:tcBorders>
              <w:top w:val="single" w:sz="8" w:space="0" w:color="auto"/>
              <w:left w:val="nil"/>
              <w:bottom w:val="single" w:sz="8" w:space="0" w:color="auto"/>
              <w:right w:val="single" w:sz="8" w:space="0" w:color="000000"/>
            </w:tcBorders>
            <w:shd w:val="clear" w:color="000000" w:fill="D9D9D9"/>
            <w:vAlign w:val="center"/>
            <w:hideMark/>
          </w:tcPr>
          <w:p w14:paraId="0C50BB11" w14:textId="77777777" w:rsidR="0069476E" w:rsidRPr="008F2668" w:rsidRDefault="0069476E" w:rsidP="0069476E">
            <w:pPr>
              <w:jc w:val="center"/>
              <w:rPr>
                <w:rFonts w:eastAsia="Times New Roman" w:cs="Times New Roman"/>
                <w:b/>
                <w:bCs/>
                <w:color w:val="000000"/>
                <w:sz w:val="20"/>
                <w:szCs w:val="20"/>
                <w:lang w:eastAsia="lv-LV"/>
              </w:rPr>
            </w:pPr>
            <w:r w:rsidRPr="008F2668">
              <w:rPr>
                <w:rFonts w:eastAsia="Times New Roman" w:cs="Times New Roman"/>
                <w:b/>
                <w:bCs/>
                <w:color w:val="000000"/>
                <w:sz w:val="20"/>
                <w:szCs w:val="20"/>
                <w:lang w:eastAsia="lv-LV"/>
              </w:rPr>
              <w:t>Līdz 01.11.2016.</w:t>
            </w:r>
          </w:p>
        </w:tc>
        <w:tc>
          <w:tcPr>
            <w:tcW w:w="2126" w:type="dxa"/>
            <w:gridSpan w:val="2"/>
            <w:tcBorders>
              <w:top w:val="single" w:sz="8" w:space="0" w:color="auto"/>
              <w:left w:val="nil"/>
              <w:bottom w:val="single" w:sz="8" w:space="0" w:color="auto"/>
              <w:right w:val="single" w:sz="8" w:space="0" w:color="000000"/>
            </w:tcBorders>
            <w:shd w:val="clear" w:color="000000" w:fill="D9D9D9"/>
            <w:vAlign w:val="center"/>
            <w:hideMark/>
          </w:tcPr>
          <w:p w14:paraId="10252D02" w14:textId="77777777" w:rsidR="0069476E" w:rsidRPr="008F2668" w:rsidRDefault="0069476E" w:rsidP="0069476E">
            <w:pPr>
              <w:jc w:val="center"/>
              <w:rPr>
                <w:rFonts w:eastAsia="Times New Roman" w:cs="Times New Roman"/>
                <w:b/>
                <w:bCs/>
                <w:color w:val="000000"/>
                <w:sz w:val="20"/>
                <w:szCs w:val="20"/>
                <w:lang w:eastAsia="lv-LV"/>
              </w:rPr>
            </w:pPr>
            <w:r w:rsidRPr="008F2668">
              <w:rPr>
                <w:rFonts w:eastAsia="Times New Roman" w:cs="Times New Roman"/>
                <w:b/>
                <w:bCs/>
                <w:color w:val="000000"/>
                <w:sz w:val="20"/>
                <w:szCs w:val="20"/>
                <w:lang w:eastAsia="lv-LV"/>
              </w:rPr>
              <w:t>Iepriekšējā mēnesī</w:t>
            </w:r>
          </w:p>
        </w:tc>
      </w:tr>
      <w:tr w:rsidR="0069476E" w:rsidRPr="008F2668" w14:paraId="3FCA7793" w14:textId="77777777" w:rsidTr="00732FD3">
        <w:trPr>
          <w:trHeight w:val="510"/>
          <w:tblHeader/>
          <w:jc w:val="center"/>
        </w:trPr>
        <w:tc>
          <w:tcPr>
            <w:tcW w:w="1975" w:type="dxa"/>
            <w:vMerge/>
            <w:tcBorders>
              <w:top w:val="single" w:sz="8" w:space="0" w:color="auto"/>
              <w:left w:val="single" w:sz="8" w:space="0" w:color="auto"/>
              <w:bottom w:val="single" w:sz="8" w:space="0" w:color="000000"/>
              <w:right w:val="single" w:sz="8" w:space="0" w:color="auto"/>
            </w:tcBorders>
            <w:vAlign w:val="center"/>
            <w:hideMark/>
          </w:tcPr>
          <w:p w14:paraId="0E035F67" w14:textId="77777777" w:rsidR="0069476E" w:rsidRPr="008F2668" w:rsidRDefault="0069476E" w:rsidP="0069476E">
            <w:pPr>
              <w:rPr>
                <w:rFonts w:eastAsia="Times New Roman" w:cs="Times New Roman"/>
                <w:b/>
                <w:bCs/>
                <w:color w:val="000000"/>
                <w:sz w:val="20"/>
                <w:szCs w:val="20"/>
                <w:lang w:eastAsia="lv-LV"/>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326FB87A" w14:textId="77777777" w:rsidR="0069476E" w:rsidRPr="008F2668" w:rsidRDefault="0069476E" w:rsidP="0069476E">
            <w:pPr>
              <w:rPr>
                <w:rFonts w:eastAsia="Times New Roman" w:cs="Times New Roman"/>
                <w:b/>
                <w:bCs/>
                <w:color w:val="000000"/>
                <w:sz w:val="20"/>
                <w:szCs w:val="20"/>
                <w:lang w:eastAsia="lv-LV"/>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0304F3CB" w14:textId="77777777" w:rsidR="0069476E" w:rsidRPr="008F2668" w:rsidRDefault="0069476E" w:rsidP="0069476E">
            <w:pPr>
              <w:rPr>
                <w:rFonts w:eastAsia="Times New Roman" w:cs="Times New Roman"/>
                <w:b/>
                <w:bCs/>
                <w:color w:val="000000"/>
                <w:sz w:val="20"/>
                <w:szCs w:val="20"/>
                <w:lang w:eastAsia="lv-LV"/>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7009738E" w14:textId="77777777" w:rsidR="0069476E" w:rsidRPr="008F2668" w:rsidRDefault="0069476E" w:rsidP="0069476E">
            <w:pPr>
              <w:rPr>
                <w:rFonts w:eastAsia="Times New Roman" w:cs="Times New Roman"/>
                <w:b/>
                <w:bCs/>
                <w:color w:val="000000"/>
                <w:sz w:val="20"/>
                <w:szCs w:val="20"/>
                <w:lang w:eastAsia="lv-LV"/>
              </w:rPr>
            </w:pPr>
          </w:p>
        </w:tc>
        <w:tc>
          <w:tcPr>
            <w:tcW w:w="851"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5A3135D" w14:textId="77777777" w:rsidR="0069476E" w:rsidRPr="008F2668" w:rsidRDefault="0069476E" w:rsidP="0069476E">
            <w:pPr>
              <w:jc w:val="center"/>
              <w:rPr>
                <w:rFonts w:eastAsia="Times New Roman" w:cs="Times New Roman"/>
                <w:b/>
                <w:bCs/>
                <w:color w:val="000000"/>
                <w:sz w:val="20"/>
                <w:szCs w:val="20"/>
                <w:lang w:eastAsia="lv-LV"/>
              </w:rPr>
            </w:pPr>
            <w:r w:rsidRPr="008F2668">
              <w:rPr>
                <w:rFonts w:eastAsia="Times New Roman" w:cs="Times New Roman"/>
                <w:b/>
                <w:bCs/>
                <w:color w:val="000000"/>
                <w:sz w:val="20"/>
                <w:szCs w:val="20"/>
                <w:lang w:eastAsia="lv-LV"/>
              </w:rPr>
              <w:t>Izpilde,%</w:t>
            </w:r>
          </w:p>
        </w:tc>
        <w:tc>
          <w:tcPr>
            <w:tcW w:w="1275" w:type="dxa"/>
            <w:tcBorders>
              <w:top w:val="nil"/>
              <w:left w:val="nil"/>
              <w:bottom w:val="nil"/>
              <w:right w:val="single" w:sz="8" w:space="0" w:color="auto"/>
            </w:tcBorders>
            <w:shd w:val="clear" w:color="000000" w:fill="D9D9D9"/>
            <w:vAlign w:val="center"/>
            <w:hideMark/>
          </w:tcPr>
          <w:p w14:paraId="4C2A9C3E" w14:textId="77777777" w:rsidR="0069476E" w:rsidRPr="008F2668" w:rsidRDefault="0069476E" w:rsidP="0069476E">
            <w:pPr>
              <w:jc w:val="center"/>
              <w:rPr>
                <w:rFonts w:eastAsia="Times New Roman" w:cs="Times New Roman"/>
                <w:b/>
                <w:bCs/>
                <w:color w:val="000000"/>
                <w:sz w:val="20"/>
                <w:szCs w:val="20"/>
                <w:lang w:eastAsia="lv-LV"/>
              </w:rPr>
            </w:pPr>
            <w:r w:rsidRPr="008F2668">
              <w:rPr>
                <w:rFonts w:eastAsia="Times New Roman" w:cs="Times New Roman"/>
                <w:b/>
                <w:bCs/>
                <w:color w:val="000000"/>
                <w:sz w:val="20"/>
                <w:szCs w:val="20"/>
                <w:lang w:eastAsia="lv-LV"/>
              </w:rPr>
              <w:t>Neizpilde (-)</w:t>
            </w:r>
          </w:p>
        </w:tc>
        <w:tc>
          <w:tcPr>
            <w:tcW w:w="851"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19B8DEFA" w14:textId="77777777" w:rsidR="0069476E" w:rsidRPr="008F2668" w:rsidRDefault="0069476E" w:rsidP="0069476E">
            <w:pPr>
              <w:jc w:val="center"/>
              <w:rPr>
                <w:rFonts w:eastAsia="Times New Roman" w:cs="Times New Roman"/>
                <w:b/>
                <w:bCs/>
                <w:color w:val="000000"/>
                <w:sz w:val="20"/>
                <w:szCs w:val="20"/>
                <w:lang w:eastAsia="lv-LV"/>
              </w:rPr>
            </w:pPr>
            <w:r w:rsidRPr="008F2668">
              <w:rPr>
                <w:rFonts w:eastAsia="Times New Roman" w:cs="Times New Roman"/>
                <w:b/>
                <w:bCs/>
                <w:color w:val="000000"/>
                <w:sz w:val="20"/>
                <w:szCs w:val="20"/>
                <w:lang w:eastAsia="lv-LV"/>
              </w:rPr>
              <w:t>Izpilde,%</w:t>
            </w:r>
          </w:p>
        </w:tc>
        <w:tc>
          <w:tcPr>
            <w:tcW w:w="1275" w:type="dxa"/>
            <w:tcBorders>
              <w:top w:val="nil"/>
              <w:left w:val="nil"/>
              <w:bottom w:val="nil"/>
              <w:right w:val="single" w:sz="8" w:space="0" w:color="auto"/>
            </w:tcBorders>
            <w:shd w:val="clear" w:color="000000" w:fill="D9D9D9"/>
            <w:vAlign w:val="center"/>
            <w:hideMark/>
          </w:tcPr>
          <w:p w14:paraId="644ED83D" w14:textId="77777777" w:rsidR="0069476E" w:rsidRPr="008F2668" w:rsidRDefault="0069476E" w:rsidP="0069476E">
            <w:pPr>
              <w:jc w:val="center"/>
              <w:rPr>
                <w:rFonts w:eastAsia="Times New Roman" w:cs="Times New Roman"/>
                <w:b/>
                <w:bCs/>
                <w:color w:val="000000"/>
                <w:sz w:val="20"/>
                <w:szCs w:val="20"/>
                <w:lang w:eastAsia="lv-LV"/>
              </w:rPr>
            </w:pPr>
            <w:r w:rsidRPr="008F2668">
              <w:rPr>
                <w:rFonts w:eastAsia="Times New Roman" w:cs="Times New Roman"/>
                <w:b/>
                <w:bCs/>
                <w:color w:val="000000"/>
                <w:sz w:val="20"/>
                <w:szCs w:val="20"/>
                <w:lang w:eastAsia="lv-LV"/>
              </w:rPr>
              <w:t>Neizpilde (-)</w:t>
            </w:r>
          </w:p>
        </w:tc>
      </w:tr>
      <w:tr w:rsidR="0069476E" w:rsidRPr="008F2668" w14:paraId="5577FB91" w14:textId="77777777" w:rsidTr="00732FD3">
        <w:trPr>
          <w:trHeight w:val="330"/>
          <w:tblHeader/>
          <w:jc w:val="center"/>
        </w:trPr>
        <w:tc>
          <w:tcPr>
            <w:tcW w:w="1975" w:type="dxa"/>
            <w:vMerge/>
            <w:tcBorders>
              <w:top w:val="single" w:sz="8" w:space="0" w:color="auto"/>
              <w:left w:val="single" w:sz="8" w:space="0" w:color="auto"/>
              <w:bottom w:val="single" w:sz="8" w:space="0" w:color="000000"/>
              <w:right w:val="single" w:sz="8" w:space="0" w:color="auto"/>
            </w:tcBorders>
            <w:vAlign w:val="center"/>
            <w:hideMark/>
          </w:tcPr>
          <w:p w14:paraId="555A0CF4" w14:textId="77777777" w:rsidR="0069476E" w:rsidRPr="008F2668" w:rsidRDefault="0069476E" w:rsidP="0069476E">
            <w:pPr>
              <w:rPr>
                <w:rFonts w:eastAsia="Times New Roman" w:cs="Times New Roman"/>
                <w:b/>
                <w:bCs/>
                <w:color w:val="000000"/>
                <w:sz w:val="20"/>
                <w:szCs w:val="20"/>
                <w:lang w:eastAsia="lv-LV"/>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7AAFE293" w14:textId="77777777" w:rsidR="0069476E" w:rsidRPr="008F2668" w:rsidRDefault="0069476E" w:rsidP="0069476E">
            <w:pPr>
              <w:rPr>
                <w:rFonts w:eastAsia="Times New Roman" w:cs="Times New Roman"/>
                <w:b/>
                <w:bCs/>
                <w:color w:val="000000"/>
                <w:sz w:val="20"/>
                <w:szCs w:val="20"/>
                <w:lang w:eastAsia="lv-LV"/>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48941DDC" w14:textId="77777777" w:rsidR="0069476E" w:rsidRPr="008F2668" w:rsidRDefault="0069476E" w:rsidP="0069476E">
            <w:pPr>
              <w:rPr>
                <w:rFonts w:eastAsia="Times New Roman" w:cs="Times New Roman"/>
                <w:b/>
                <w:bCs/>
                <w:color w:val="000000"/>
                <w:sz w:val="20"/>
                <w:szCs w:val="20"/>
                <w:lang w:eastAsia="lv-LV"/>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754A4F85" w14:textId="77777777" w:rsidR="0069476E" w:rsidRPr="008F2668" w:rsidRDefault="0069476E" w:rsidP="0069476E">
            <w:pPr>
              <w:rPr>
                <w:rFonts w:eastAsia="Times New Roman" w:cs="Times New Roman"/>
                <w:b/>
                <w:bCs/>
                <w:color w:val="000000"/>
                <w:sz w:val="20"/>
                <w:szCs w:val="20"/>
                <w:lang w:eastAsia="lv-LV"/>
              </w:rPr>
            </w:pPr>
          </w:p>
        </w:tc>
        <w:tc>
          <w:tcPr>
            <w:tcW w:w="851" w:type="dxa"/>
            <w:vMerge/>
            <w:tcBorders>
              <w:top w:val="nil"/>
              <w:left w:val="single" w:sz="8" w:space="0" w:color="auto"/>
              <w:bottom w:val="single" w:sz="8" w:space="0" w:color="000000"/>
              <w:right w:val="single" w:sz="8" w:space="0" w:color="auto"/>
            </w:tcBorders>
            <w:vAlign w:val="center"/>
            <w:hideMark/>
          </w:tcPr>
          <w:p w14:paraId="3ED98FE9" w14:textId="77777777" w:rsidR="0069476E" w:rsidRPr="008F2668" w:rsidRDefault="0069476E" w:rsidP="0069476E">
            <w:pPr>
              <w:rPr>
                <w:rFonts w:eastAsia="Times New Roman" w:cs="Times New Roman"/>
                <w:b/>
                <w:bCs/>
                <w:color w:val="000000"/>
                <w:sz w:val="20"/>
                <w:szCs w:val="20"/>
                <w:lang w:eastAsia="lv-LV"/>
              </w:rPr>
            </w:pPr>
          </w:p>
        </w:tc>
        <w:tc>
          <w:tcPr>
            <w:tcW w:w="1275" w:type="dxa"/>
            <w:tcBorders>
              <w:top w:val="nil"/>
              <w:left w:val="nil"/>
              <w:bottom w:val="single" w:sz="8" w:space="0" w:color="auto"/>
              <w:right w:val="single" w:sz="8" w:space="0" w:color="auto"/>
            </w:tcBorders>
            <w:shd w:val="clear" w:color="000000" w:fill="D9D9D9"/>
            <w:vAlign w:val="center"/>
            <w:hideMark/>
          </w:tcPr>
          <w:p w14:paraId="3B72BB61" w14:textId="77777777" w:rsidR="0069476E" w:rsidRPr="008F2668" w:rsidRDefault="0069476E" w:rsidP="0069476E">
            <w:pPr>
              <w:rPr>
                <w:rFonts w:eastAsia="Times New Roman" w:cs="Times New Roman"/>
                <w:b/>
                <w:bCs/>
                <w:color w:val="000000"/>
                <w:sz w:val="20"/>
                <w:szCs w:val="20"/>
                <w:lang w:eastAsia="lv-LV"/>
              </w:rPr>
            </w:pPr>
            <w:r w:rsidRPr="008F2668">
              <w:rPr>
                <w:rFonts w:eastAsia="Times New Roman" w:cs="Times New Roman"/>
                <w:b/>
                <w:bCs/>
                <w:color w:val="000000"/>
                <w:sz w:val="20"/>
                <w:szCs w:val="20"/>
                <w:lang w:eastAsia="lv-LV"/>
              </w:rPr>
              <w:t>/</w:t>
            </w:r>
            <w:proofErr w:type="spellStart"/>
            <w:r w:rsidRPr="008F2668">
              <w:rPr>
                <w:rFonts w:eastAsia="Times New Roman" w:cs="Times New Roman"/>
                <w:b/>
                <w:bCs/>
                <w:color w:val="000000"/>
                <w:sz w:val="20"/>
                <w:szCs w:val="20"/>
                <w:lang w:eastAsia="lv-LV"/>
              </w:rPr>
              <w:t>pārpilde</w:t>
            </w:r>
            <w:proofErr w:type="spellEnd"/>
            <w:r w:rsidRPr="008F2668">
              <w:rPr>
                <w:rFonts w:eastAsia="Times New Roman" w:cs="Times New Roman"/>
                <w:b/>
                <w:bCs/>
                <w:color w:val="000000"/>
                <w:sz w:val="20"/>
                <w:szCs w:val="20"/>
                <w:lang w:eastAsia="lv-LV"/>
              </w:rPr>
              <w:t>(+)</w:t>
            </w:r>
          </w:p>
        </w:tc>
        <w:tc>
          <w:tcPr>
            <w:tcW w:w="851" w:type="dxa"/>
            <w:vMerge/>
            <w:tcBorders>
              <w:top w:val="nil"/>
              <w:left w:val="single" w:sz="8" w:space="0" w:color="auto"/>
              <w:bottom w:val="single" w:sz="8" w:space="0" w:color="000000"/>
              <w:right w:val="single" w:sz="8" w:space="0" w:color="auto"/>
            </w:tcBorders>
            <w:vAlign w:val="center"/>
            <w:hideMark/>
          </w:tcPr>
          <w:p w14:paraId="3B8B5AFF" w14:textId="77777777" w:rsidR="0069476E" w:rsidRPr="008F2668" w:rsidRDefault="0069476E" w:rsidP="0069476E">
            <w:pPr>
              <w:rPr>
                <w:rFonts w:eastAsia="Times New Roman" w:cs="Times New Roman"/>
                <w:b/>
                <w:bCs/>
                <w:color w:val="000000"/>
                <w:sz w:val="20"/>
                <w:szCs w:val="20"/>
                <w:lang w:eastAsia="lv-LV"/>
              </w:rPr>
            </w:pPr>
          </w:p>
        </w:tc>
        <w:tc>
          <w:tcPr>
            <w:tcW w:w="1275" w:type="dxa"/>
            <w:tcBorders>
              <w:top w:val="nil"/>
              <w:left w:val="nil"/>
              <w:bottom w:val="single" w:sz="8" w:space="0" w:color="auto"/>
              <w:right w:val="single" w:sz="8" w:space="0" w:color="auto"/>
            </w:tcBorders>
            <w:shd w:val="clear" w:color="000000" w:fill="D9D9D9"/>
            <w:vAlign w:val="center"/>
            <w:hideMark/>
          </w:tcPr>
          <w:p w14:paraId="6C2EAB8C" w14:textId="77777777" w:rsidR="0069476E" w:rsidRPr="008F2668" w:rsidRDefault="0069476E" w:rsidP="0069476E">
            <w:pPr>
              <w:jc w:val="center"/>
              <w:rPr>
                <w:rFonts w:eastAsia="Times New Roman" w:cs="Times New Roman"/>
                <w:b/>
                <w:bCs/>
                <w:color w:val="000000"/>
                <w:sz w:val="20"/>
                <w:szCs w:val="20"/>
                <w:lang w:eastAsia="lv-LV"/>
              </w:rPr>
            </w:pPr>
            <w:r w:rsidRPr="008F2668">
              <w:rPr>
                <w:rFonts w:eastAsia="Times New Roman" w:cs="Times New Roman"/>
                <w:b/>
                <w:bCs/>
                <w:color w:val="000000"/>
                <w:sz w:val="20"/>
                <w:szCs w:val="20"/>
                <w:lang w:eastAsia="lv-LV"/>
              </w:rPr>
              <w:t>/</w:t>
            </w:r>
            <w:proofErr w:type="spellStart"/>
            <w:r w:rsidRPr="008F2668">
              <w:rPr>
                <w:rFonts w:eastAsia="Times New Roman" w:cs="Times New Roman"/>
                <w:b/>
                <w:bCs/>
                <w:color w:val="000000"/>
                <w:sz w:val="20"/>
                <w:szCs w:val="20"/>
                <w:lang w:eastAsia="lv-LV"/>
              </w:rPr>
              <w:t>pārpilde</w:t>
            </w:r>
            <w:proofErr w:type="spellEnd"/>
            <w:r w:rsidRPr="008F2668">
              <w:rPr>
                <w:rFonts w:eastAsia="Times New Roman" w:cs="Times New Roman"/>
                <w:b/>
                <w:bCs/>
                <w:color w:val="000000"/>
                <w:sz w:val="20"/>
                <w:szCs w:val="20"/>
                <w:lang w:eastAsia="lv-LV"/>
              </w:rPr>
              <w:t>(+)</w:t>
            </w:r>
          </w:p>
        </w:tc>
      </w:tr>
      <w:tr w:rsidR="0069476E" w:rsidRPr="008F2668" w14:paraId="6AF04981" w14:textId="77777777" w:rsidTr="00732FD3">
        <w:trPr>
          <w:trHeight w:val="330"/>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76FABE1E" w14:textId="77777777" w:rsidR="0069476E" w:rsidRPr="008F2668" w:rsidRDefault="0069476E" w:rsidP="0069476E">
            <w:pPr>
              <w:rPr>
                <w:rFonts w:eastAsia="Times New Roman" w:cs="Times New Roman"/>
                <w:color w:val="000000"/>
                <w:sz w:val="20"/>
                <w:szCs w:val="20"/>
                <w:lang w:eastAsia="lv-LV"/>
              </w:rPr>
            </w:pPr>
            <w:r w:rsidRPr="008F2668">
              <w:rPr>
                <w:rFonts w:eastAsia="Times New Roman" w:cs="Times New Roman"/>
                <w:color w:val="000000"/>
                <w:sz w:val="20"/>
                <w:szCs w:val="20"/>
                <w:lang w:eastAsia="lv-LV"/>
              </w:rPr>
              <w:t>1.Pētniecība tehnoloģiju attīstība un inovācijas</w:t>
            </w:r>
          </w:p>
        </w:tc>
        <w:tc>
          <w:tcPr>
            <w:tcW w:w="1276" w:type="dxa"/>
            <w:tcBorders>
              <w:top w:val="nil"/>
              <w:left w:val="nil"/>
              <w:bottom w:val="single" w:sz="8" w:space="0" w:color="auto"/>
              <w:right w:val="single" w:sz="8" w:space="0" w:color="auto"/>
            </w:tcBorders>
            <w:shd w:val="clear" w:color="auto" w:fill="auto"/>
            <w:noWrap/>
            <w:vAlign w:val="center"/>
            <w:hideMark/>
          </w:tcPr>
          <w:p w14:paraId="0C5C79F1" w14:textId="77777777" w:rsidR="0069476E" w:rsidRPr="008F2668" w:rsidRDefault="0069476E" w:rsidP="0069476E">
            <w:pPr>
              <w:jc w:val="center"/>
              <w:rPr>
                <w:rFonts w:eastAsia="Times New Roman" w:cs="Times New Roman"/>
                <w:color w:val="000000"/>
                <w:sz w:val="20"/>
                <w:szCs w:val="20"/>
                <w:lang w:eastAsia="lv-LV"/>
              </w:rPr>
            </w:pPr>
            <w:r w:rsidRPr="008F2668">
              <w:rPr>
                <w:rFonts w:eastAsia="Times New Roman" w:cs="Times New Roman"/>
                <w:color w:val="000000"/>
                <w:sz w:val="20"/>
                <w:szCs w:val="20"/>
                <w:lang w:eastAsia="lv-LV"/>
              </w:rPr>
              <w:t>11 137 430</w:t>
            </w:r>
          </w:p>
        </w:tc>
        <w:tc>
          <w:tcPr>
            <w:tcW w:w="1275" w:type="dxa"/>
            <w:tcBorders>
              <w:top w:val="nil"/>
              <w:left w:val="nil"/>
              <w:bottom w:val="single" w:sz="8" w:space="0" w:color="auto"/>
              <w:right w:val="single" w:sz="8" w:space="0" w:color="auto"/>
            </w:tcBorders>
            <w:shd w:val="clear" w:color="auto" w:fill="auto"/>
            <w:vAlign w:val="center"/>
            <w:hideMark/>
          </w:tcPr>
          <w:p w14:paraId="52BEBB89" w14:textId="77777777" w:rsidR="0069476E" w:rsidRPr="008F2668" w:rsidRDefault="0069476E" w:rsidP="0069476E">
            <w:pPr>
              <w:jc w:val="center"/>
              <w:rPr>
                <w:rFonts w:eastAsia="Times New Roman" w:cs="Times New Roman"/>
                <w:color w:val="000000"/>
                <w:sz w:val="20"/>
                <w:szCs w:val="20"/>
                <w:lang w:eastAsia="lv-LV"/>
              </w:rPr>
            </w:pPr>
            <w:r w:rsidRPr="008F2668">
              <w:rPr>
                <w:rFonts w:eastAsia="Times New Roman" w:cs="Times New Roman"/>
                <w:color w:val="000000"/>
                <w:sz w:val="20"/>
                <w:szCs w:val="20"/>
                <w:lang w:eastAsia="lv-LV"/>
              </w:rPr>
              <w:t>7 022 443</w:t>
            </w:r>
          </w:p>
        </w:tc>
        <w:tc>
          <w:tcPr>
            <w:tcW w:w="1276" w:type="dxa"/>
            <w:tcBorders>
              <w:top w:val="nil"/>
              <w:left w:val="nil"/>
              <w:bottom w:val="single" w:sz="8" w:space="0" w:color="auto"/>
              <w:right w:val="single" w:sz="8" w:space="0" w:color="auto"/>
            </w:tcBorders>
            <w:shd w:val="clear" w:color="auto" w:fill="auto"/>
            <w:vAlign w:val="center"/>
            <w:hideMark/>
          </w:tcPr>
          <w:p w14:paraId="7A2D5E51" w14:textId="3BA266C2" w:rsidR="0069476E" w:rsidRPr="00A81658" w:rsidRDefault="0069476E" w:rsidP="0069476E">
            <w:pPr>
              <w:jc w:val="center"/>
              <w:rPr>
                <w:rFonts w:eastAsia="Times New Roman" w:cs="Times New Roman"/>
                <w:b/>
                <w:color w:val="FF0000"/>
                <w:sz w:val="20"/>
                <w:szCs w:val="20"/>
                <w:lang w:eastAsia="lv-LV"/>
              </w:rPr>
            </w:pPr>
            <w:r w:rsidRPr="00A81658">
              <w:rPr>
                <w:rFonts w:eastAsia="Times New Roman" w:cs="Times New Roman"/>
                <w:b/>
                <w:color w:val="FF0000"/>
                <w:sz w:val="20"/>
                <w:szCs w:val="20"/>
                <w:lang w:eastAsia="lv-LV"/>
              </w:rPr>
              <w:t>724 771</w:t>
            </w:r>
          </w:p>
        </w:tc>
        <w:tc>
          <w:tcPr>
            <w:tcW w:w="851" w:type="dxa"/>
            <w:tcBorders>
              <w:top w:val="nil"/>
              <w:left w:val="nil"/>
              <w:bottom w:val="single" w:sz="8" w:space="0" w:color="auto"/>
              <w:right w:val="single" w:sz="8" w:space="0" w:color="auto"/>
            </w:tcBorders>
            <w:shd w:val="clear" w:color="auto" w:fill="auto"/>
            <w:noWrap/>
            <w:vAlign w:val="center"/>
            <w:hideMark/>
          </w:tcPr>
          <w:p w14:paraId="39884AAE" w14:textId="0C08ABD1" w:rsidR="0069476E" w:rsidRPr="00A81658" w:rsidRDefault="0069476E" w:rsidP="0069476E">
            <w:pPr>
              <w:rPr>
                <w:rFonts w:eastAsia="Times New Roman" w:cs="Times New Roman"/>
                <w:b/>
                <w:color w:val="FF0000"/>
                <w:sz w:val="20"/>
                <w:szCs w:val="20"/>
                <w:lang w:eastAsia="lv-LV"/>
              </w:rPr>
            </w:pPr>
            <w:r w:rsidRPr="00A81658">
              <w:rPr>
                <w:rFonts w:eastAsia="Times New Roman" w:cs="Times New Roman"/>
                <w:b/>
                <w:color w:val="FF0000"/>
                <w:sz w:val="20"/>
                <w:szCs w:val="20"/>
                <w:lang w:eastAsia="lv-LV"/>
              </w:rPr>
              <w:t>10,3%</w:t>
            </w:r>
          </w:p>
        </w:tc>
        <w:tc>
          <w:tcPr>
            <w:tcW w:w="1275" w:type="dxa"/>
            <w:tcBorders>
              <w:top w:val="nil"/>
              <w:left w:val="nil"/>
              <w:bottom w:val="single" w:sz="8" w:space="0" w:color="auto"/>
              <w:right w:val="single" w:sz="8" w:space="0" w:color="auto"/>
            </w:tcBorders>
            <w:shd w:val="clear" w:color="auto" w:fill="auto"/>
            <w:vAlign w:val="center"/>
            <w:hideMark/>
          </w:tcPr>
          <w:p w14:paraId="3CA5B56D" w14:textId="77777777" w:rsidR="0069476E" w:rsidRPr="008F2668" w:rsidRDefault="0069476E" w:rsidP="0069476E">
            <w:pPr>
              <w:jc w:val="center"/>
              <w:rPr>
                <w:rFonts w:eastAsia="Times New Roman" w:cs="Times New Roman"/>
                <w:color w:val="000000"/>
                <w:sz w:val="20"/>
                <w:szCs w:val="20"/>
                <w:lang w:eastAsia="lv-LV"/>
              </w:rPr>
            </w:pPr>
            <w:r w:rsidRPr="008F2668">
              <w:rPr>
                <w:rFonts w:eastAsia="Times New Roman" w:cs="Times New Roman"/>
                <w:color w:val="000000"/>
                <w:sz w:val="20"/>
                <w:szCs w:val="20"/>
                <w:lang w:eastAsia="lv-LV"/>
              </w:rPr>
              <w:t>-6 297 672</w:t>
            </w:r>
          </w:p>
        </w:tc>
        <w:tc>
          <w:tcPr>
            <w:tcW w:w="851" w:type="dxa"/>
            <w:tcBorders>
              <w:top w:val="nil"/>
              <w:left w:val="nil"/>
              <w:bottom w:val="single" w:sz="8" w:space="0" w:color="auto"/>
              <w:right w:val="single" w:sz="8" w:space="0" w:color="auto"/>
            </w:tcBorders>
            <w:shd w:val="clear" w:color="auto" w:fill="auto"/>
            <w:vAlign w:val="center"/>
            <w:hideMark/>
          </w:tcPr>
          <w:p w14:paraId="3C2DE3A0" w14:textId="77777777" w:rsidR="0069476E" w:rsidRPr="008F2668" w:rsidRDefault="0069476E" w:rsidP="0069476E">
            <w:pPr>
              <w:jc w:val="center"/>
              <w:rPr>
                <w:rFonts w:eastAsia="Times New Roman" w:cs="Times New Roman"/>
                <w:color w:val="000000"/>
                <w:sz w:val="20"/>
                <w:szCs w:val="20"/>
                <w:lang w:eastAsia="lv-LV"/>
              </w:rPr>
            </w:pPr>
            <w:r w:rsidRPr="008F2668">
              <w:rPr>
                <w:rFonts w:eastAsia="Times New Roman" w:cs="Times New Roman"/>
                <w:color w:val="000000"/>
                <w:sz w:val="20"/>
                <w:szCs w:val="20"/>
                <w:lang w:eastAsia="lv-LV"/>
              </w:rPr>
              <w:t>14,4%</w:t>
            </w:r>
          </w:p>
        </w:tc>
        <w:tc>
          <w:tcPr>
            <w:tcW w:w="1275" w:type="dxa"/>
            <w:tcBorders>
              <w:top w:val="nil"/>
              <w:left w:val="nil"/>
              <w:bottom w:val="single" w:sz="8" w:space="0" w:color="auto"/>
              <w:right w:val="single" w:sz="8" w:space="0" w:color="auto"/>
            </w:tcBorders>
            <w:shd w:val="clear" w:color="auto" w:fill="auto"/>
            <w:vAlign w:val="center"/>
            <w:hideMark/>
          </w:tcPr>
          <w:p w14:paraId="47824079" w14:textId="77777777" w:rsidR="0069476E" w:rsidRPr="008F2668" w:rsidRDefault="0069476E" w:rsidP="0069476E">
            <w:pPr>
              <w:jc w:val="center"/>
              <w:rPr>
                <w:rFonts w:eastAsia="Times New Roman" w:cs="Times New Roman"/>
                <w:color w:val="000000"/>
                <w:sz w:val="20"/>
                <w:szCs w:val="20"/>
                <w:lang w:eastAsia="lv-LV"/>
              </w:rPr>
            </w:pPr>
            <w:r w:rsidRPr="008F2668">
              <w:rPr>
                <w:rFonts w:eastAsia="Times New Roman" w:cs="Times New Roman"/>
                <w:color w:val="000000"/>
                <w:sz w:val="20"/>
                <w:szCs w:val="20"/>
                <w:lang w:eastAsia="lv-LV"/>
              </w:rPr>
              <w:t>-4 275 055</w:t>
            </w:r>
          </w:p>
        </w:tc>
      </w:tr>
      <w:tr w:rsidR="0069476E" w:rsidRPr="008F2668" w14:paraId="3B28C8F8" w14:textId="77777777" w:rsidTr="00732FD3">
        <w:trPr>
          <w:trHeight w:val="330"/>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1F40DB1E" w14:textId="77777777" w:rsidR="0069476E" w:rsidRPr="008F2668" w:rsidRDefault="0069476E" w:rsidP="0069476E">
            <w:pPr>
              <w:rPr>
                <w:rFonts w:eastAsia="Times New Roman" w:cs="Times New Roman"/>
                <w:color w:val="000000"/>
                <w:sz w:val="20"/>
                <w:szCs w:val="20"/>
                <w:lang w:eastAsia="lv-LV"/>
              </w:rPr>
            </w:pPr>
            <w:r w:rsidRPr="008F2668">
              <w:rPr>
                <w:rFonts w:eastAsia="Times New Roman" w:cs="Times New Roman"/>
                <w:color w:val="000000"/>
                <w:sz w:val="20"/>
                <w:szCs w:val="20"/>
                <w:lang w:eastAsia="lv-LV"/>
              </w:rPr>
              <w:t>2.IKT pieejamība, e-pārvalde un pakalpojumi</w:t>
            </w:r>
          </w:p>
        </w:tc>
        <w:tc>
          <w:tcPr>
            <w:tcW w:w="1276" w:type="dxa"/>
            <w:tcBorders>
              <w:top w:val="nil"/>
              <w:left w:val="nil"/>
              <w:bottom w:val="single" w:sz="8" w:space="0" w:color="auto"/>
              <w:right w:val="single" w:sz="8" w:space="0" w:color="auto"/>
            </w:tcBorders>
            <w:shd w:val="clear" w:color="auto" w:fill="auto"/>
            <w:noWrap/>
            <w:vAlign w:val="center"/>
            <w:hideMark/>
          </w:tcPr>
          <w:p w14:paraId="1622CE1D" w14:textId="77777777" w:rsidR="0069476E" w:rsidRPr="008F2668" w:rsidRDefault="0069476E" w:rsidP="0069476E">
            <w:pPr>
              <w:jc w:val="center"/>
              <w:rPr>
                <w:rFonts w:eastAsia="Times New Roman" w:cs="Times New Roman"/>
                <w:color w:val="000000"/>
                <w:sz w:val="20"/>
                <w:szCs w:val="20"/>
                <w:lang w:eastAsia="lv-LV"/>
              </w:rPr>
            </w:pPr>
            <w:r w:rsidRPr="008F2668">
              <w:rPr>
                <w:rFonts w:eastAsia="Times New Roman" w:cs="Times New Roman"/>
                <w:color w:val="000000"/>
                <w:sz w:val="20"/>
                <w:szCs w:val="20"/>
                <w:lang w:eastAsia="lv-LV"/>
              </w:rPr>
              <w:t>9 340 843</w:t>
            </w:r>
          </w:p>
        </w:tc>
        <w:tc>
          <w:tcPr>
            <w:tcW w:w="1275" w:type="dxa"/>
            <w:tcBorders>
              <w:top w:val="nil"/>
              <w:left w:val="nil"/>
              <w:bottom w:val="single" w:sz="8" w:space="0" w:color="auto"/>
              <w:right w:val="single" w:sz="8" w:space="0" w:color="auto"/>
            </w:tcBorders>
            <w:shd w:val="clear" w:color="auto" w:fill="auto"/>
            <w:vAlign w:val="center"/>
            <w:hideMark/>
          </w:tcPr>
          <w:p w14:paraId="5049FB90" w14:textId="77777777" w:rsidR="0069476E" w:rsidRPr="008F2668" w:rsidRDefault="0069476E" w:rsidP="0069476E">
            <w:pPr>
              <w:jc w:val="center"/>
              <w:rPr>
                <w:rFonts w:eastAsia="Times New Roman" w:cs="Times New Roman"/>
                <w:color w:val="000000"/>
                <w:sz w:val="20"/>
                <w:szCs w:val="20"/>
                <w:lang w:eastAsia="lv-LV"/>
              </w:rPr>
            </w:pPr>
            <w:r w:rsidRPr="008F2668">
              <w:rPr>
                <w:rFonts w:eastAsia="Times New Roman" w:cs="Times New Roman"/>
                <w:color w:val="000000"/>
                <w:sz w:val="20"/>
                <w:szCs w:val="20"/>
                <w:lang w:eastAsia="lv-LV"/>
              </w:rPr>
              <w:t>709 084</w:t>
            </w:r>
          </w:p>
        </w:tc>
        <w:tc>
          <w:tcPr>
            <w:tcW w:w="1276" w:type="dxa"/>
            <w:tcBorders>
              <w:top w:val="nil"/>
              <w:left w:val="nil"/>
              <w:bottom w:val="single" w:sz="8" w:space="0" w:color="auto"/>
              <w:right w:val="single" w:sz="8" w:space="0" w:color="auto"/>
            </w:tcBorders>
            <w:shd w:val="clear" w:color="auto" w:fill="auto"/>
            <w:vAlign w:val="center"/>
            <w:hideMark/>
          </w:tcPr>
          <w:p w14:paraId="414492A9" w14:textId="77777777" w:rsidR="0069476E" w:rsidRPr="00A81658" w:rsidRDefault="0069476E" w:rsidP="0069476E">
            <w:pPr>
              <w:jc w:val="center"/>
              <w:rPr>
                <w:rFonts w:eastAsia="Times New Roman" w:cs="Times New Roman"/>
                <w:b/>
                <w:color w:val="FF0000"/>
                <w:sz w:val="20"/>
                <w:szCs w:val="20"/>
                <w:lang w:eastAsia="lv-LV"/>
              </w:rPr>
            </w:pPr>
            <w:r w:rsidRPr="00A81658">
              <w:rPr>
                <w:rFonts w:eastAsia="Times New Roman" w:cs="Times New Roman"/>
                <w:b/>
                <w:color w:val="FF0000"/>
                <w:sz w:val="20"/>
                <w:szCs w:val="20"/>
                <w:lang w:eastAsia="lv-LV"/>
              </w:rPr>
              <w:t>0</w:t>
            </w:r>
          </w:p>
        </w:tc>
        <w:tc>
          <w:tcPr>
            <w:tcW w:w="851" w:type="dxa"/>
            <w:tcBorders>
              <w:top w:val="nil"/>
              <w:left w:val="nil"/>
              <w:bottom w:val="single" w:sz="8" w:space="0" w:color="auto"/>
              <w:right w:val="single" w:sz="8" w:space="0" w:color="auto"/>
            </w:tcBorders>
            <w:shd w:val="clear" w:color="auto" w:fill="auto"/>
            <w:noWrap/>
            <w:vAlign w:val="center"/>
            <w:hideMark/>
          </w:tcPr>
          <w:p w14:paraId="7EBB44F1" w14:textId="6C60E2B2" w:rsidR="0069476E" w:rsidRPr="00A81658" w:rsidRDefault="0069476E" w:rsidP="0069476E">
            <w:pPr>
              <w:rPr>
                <w:rFonts w:eastAsia="Times New Roman" w:cs="Times New Roman"/>
                <w:b/>
                <w:color w:val="FF0000"/>
                <w:sz w:val="20"/>
                <w:szCs w:val="20"/>
                <w:lang w:eastAsia="lv-LV"/>
              </w:rPr>
            </w:pPr>
            <w:r w:rsidRPr="00A81658">
              <w:rPr>
                <w:rFonts w:eastAsia="Times New Roman" w:cs="Times New Roman"/>
                <w:b/>
                <w:color w:val="FF0000"/>
                <w:sz w:val="20"/>
                <w:szCs w:val="20"/>
                <w:lang w:eastAsia="lv-LV"/>
              </w:rPr>
              <w:t>0,0%</w:t>
            </w:r>
          </w:p>
        </w:tc>
        <w:tc>
          <w:tcPr>
            <w:tcW w:w="1275" w:type="dxa"/>
            <w:tcBorders>
              <w:top w:val="nil"/>
              <w:left w:val="nil"/>
              <w:bottom w:val="single" w:sz="8" w:space="0" w:color="auto"/>
              <w:right w:val="single" w:sz="8" w:space="0" w:color="auto"/>
            </w:tcBorders>
            <w:shd w:val="clear" w:color="auto" w:fill="auto"/>
            <w:vAlign w:val="center"/>
            <w:hideMark/>
          </w:tcPr>
          <w:p w14:paraId="7150D2CD" w14:textId="77777777" w:rsidR="0069476E" w:rsidRPr="008F2668" w:rsidRDefault="0069476E" w:rsidP="0069476E">
            <w:pPr>
              <w:jc w:val="center"/>
              <w:rPr>
                <w:rFonts w:eastAsia="Times New Roman" w:cs="Times New Roman"/>
                <w:color w:val="000000"/>
                <w:sz w:val="20"/>
                <w:szCs w:val="20"/>
                <w:lang w:eastAsia="lv-LV"/>
              </w:rPr>
            </w:pPr>
            <w:r w:rsidRPr="008F2668">
              <w:rPr>
                <w:rFonts w:eastAsia="Times New Roman" w:cs="Times New Roman"/>
                <w:color w:val="000000"/>
                <w:sz w:val="20"/>
                <w:szCs w:val="20"/>
                <w:lang w:eastAsia="lv-LV"/>
              </w:rPr>
              <w:t>-709 084</w:t>
            </w:r>
          </w:p>
        </w:tc>
        <w:tc>
          <w:tcPr>
            <w:tcW w:w="851" w:type="dxa"/>
            <w:tcBorders>
              <w:top w:val="nil"/>
              <w:left w:val="nil"/>
              <w:bottom w:val="single" w:sz="8" w:space="0" w:color="auto"/>
              <w:right w:val="single" w:sz="8" w:space="0" w:color="auto"/>
            </w:tcBorders>
            <w:shd w:val="clear" w:color="auto" w:fill="auto"/>
            <w:vAlign w:val="center"/>
            <w:hideMark/>
          </w:tcPr>
          <w:p w14:paraId="44B3E90D" w14:textId="77777777" w:rsidR="0069476E" w:rsidRPr="008F2668" w:rsidRDefault="0069476E" w:rsidP="0069476E">
            <w:pPr>
              <w:jc w:val="center"/>
              <w:rPr>
                <w:rFonts w:eastAsia="Times New Roman" w:cs="Times New Roman"/>
                <w:color w:val="000000"/>
                <w:sz w:val="20"/>
                <w:szCs w:val="20"/>
                <w:lang w:eastAsia="lv-LV"/>
              </w:rPr>
            </w:pPr>
            <w:r w:rsidRPr="008F2668">
              <w:rPr>
                <w:rFonts w:eastAsia="Times New Roman" w:cs="Times New Roman"/>
                <w:color w:val="000000"/>
                <w:sz w:val="20"/>
                <w:szCs w:val="20"/>
                <w:lang w:eastAsia="lv-LV"/>
              </w:rPr>
              <w:t>-</w:t>
            </w:r>
          </w:p>
        </w:tc>
        <w:tc>
          <w:tcPr>
            <w:tcW w:w="1275" w:type="dxa"/>
            <w:tcBorders>
              <w:top w:val="nil"/>
              <w:left w:val="nil"/>
              <w:bottom w:val="single" w:sz="8" w:space="0" w:color="auto"/>
              <w:right w:val="single" w:sz="8" w:space="0" w:color="auto"/>
            </w:tcBorders>
            <w:shd w:val="clear" w:color="auto" w:fill="auto"/>
            <w:vAlign w:val="center"/>
            <w:hideMark/>
          </w:tcPr>
          <w:p w14:paraId="450064D3" w14:textId="77777777" w:rsidR="0069476E" w:rsidRPr="008F2668" w:rsidRDefault="0069476E" w:rsidP="0069476E">
            <w:pPr>
              <w:jc w:val="center"/>
              <w:rPr>
                <w:rFonts w:eastAsia="Times New Roman" w:cs="Times New Roman"/>
                <w:color w:val="000000"/>
                <w:sz w:val="20"/>
                <w:szCs w:val="20"/>
                <w:lang w:eastAsia="lv-LV"/>
              </w:rPr>
            </w:pPr>
            <w:r w:rsidRPr="008F2668">
              <w:rPr>
                <w:rFonts w:eastAsia="Times New Roman" w:cs="Times New Roman"/>
                <w:color w:val="000000"/>
                <w:sz w:val="20"/>
                <w:szCs w:val="20"/>
                <w:lang w:eastAsia="lv-LV"/>
              </w:rPr>
              <w:t>-</w:t>
            </w:r>
          </w:p>
        </w:tc>
      </w:tr>
      <w:tr w:rsidR="0069476E" w:rsidRPr="008F2668" w14:paraId="6B0473DA" w14:textId="77777777" w:rsidTr="00732FD3">
        <w:trPr>
          <w:trHeight w:val="330"/>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26B2B587" w14:textId="77777777" w:rsidR="0069476E" w:rsidRPr="008F2668" w:rsidRDefault="0069476E" w:rsidP="0069476E">
            <w:pPr>
              <w:rPr>
                <w:rFonts w:eastAsia="Times New Roman" w:cs="Times New Roman"/>
                <w:color w:val="000000"/>
                <w:sz w:val="20"/>
                <w:szCs w:val="20"/>
                <w:lang w:eastAsia="lv-LV"/>
              </w:rPr>
            </w:pPr>
            <w:r w:rsidRPr="008F2668">
              <w:rPr>
                <w:rFonts w:eastAsia="Times New Roman" w:cs="Times New Roman"/>
                <w:color w:val="000000"/>
                <w:sz w:val="20"/>
                <w:szCs w:val="20"/>
                <w:lang w:eastAsia="lv-LV"/>
              </w:rPr>
              <w:t>3.Mazo un vidējo komersantu konkurētspēja</w:t>
            </w:r>
          </w:p>
        </w:tc>
        <w:tc>
          <w:tcPr>
            <w:tcW w:w="1276" w:type="dxa"/>
            <w:tcBorders>
              <w:top w:val="nil"/>
              <w:left w:val="nil"/>
              <w:bottom w:val="single" w:sz="8" w:space="0" w:color="auto"/>
              <w:right w:val="single" w:sz="8" w:space="0" w:color="auto"/>
            </w:tcBorders>
            <w:shd w:val="clear" w:color="auto" w:fill="auto"/>
            <w:noWrap/>
            <w:vAlign w:val="center"/>
            <w:hideMark/>
          </w:tcPr>
          <w:p w14:paraId="30EAB0F2" w14:textId="77777777" w:rsidR="0069476E" w:rsidRPr="008F2668" w:rsidRDefault="0069476E" w:rsidP="0069476E">
            <w:pPr>
              <w:jc w:val="center"/>
              <w:rPr>
                <w:rFonts w:eastAsia="Times New Roman" w:cs="Times New Roman"/>
                <w:color w:val="000000"/>
                <w:sz w:val="20"/>
                <w:szCs w:val="20"/>
                <w:lang w:eastAsia="lv-LV"/>
              </w:rPr>
            </w:pPr>
            <w:r w:rsidRPr="008F2668">
              <w:rPr>
                <w:rFonts w:eastAsia="Times New Roman" w:cs="Times New Roman"/>
                <w:color w:val="000000"/>
                <w:sz w:val="20"/>
                <w:szCs w:val="20"/>
                <w:lang w:eastAsia="lv-LV"/>
              </w:rPr>
              <w:t>30 075 247</w:t>
            </w:r>
          </w:p>
        </w:tc>
        <w:tc>
          <w:tcPr>
            <w:tcW w:w="1275" w:type="dxa"/>
            <w:tcBorders>
              <w:top w:val="nil"/>
              <w:left w:val="nil"/>
              <w:bottom w:val="single" w:sz="8" w:space="0" w:color="auto"/>
              <w:right w:val="single" w:sz="8" w:space="0" w:color="auto"/>
            </w:tcBorders>
            <w:shd w:val="clear" w:color="auto" w:fill="auto"/>
            <w:vAlign w:val="center"/>
            <w:hideMark/>
          </w:tcPr>
          <w:p w14:paraId="3692F088" w14:textId="77777777" w:rsidR="0069476E" w:rsidRPr="008F2668" w:rsidRDefault="0069476E" w:rsidP="0069476E">
            <w:pPr>
              <w:jc w:val="center"/>
              <w:rPr>
                <w:rFonts w:eastAsia="Times New Roman" w:cs="Times New Roman"/>
                <w:color w:val="000000"/>
                <w:sz w:val="20"/>
                <w:szCs w:val="20"/>
                <w:lang w:eastAsia="lv-LV"/>
              </w:rPr>
            </w:pPr>
            <w:r w:rsidRPr="008F2668">
              <w:rPr>
                <w:rFonts w:eastAsia="Times New Roman" w:cs="Times New Roman"/>
                <w:color w:val="000000"/>
                <w:sz w:val="20"/>
                <w:szCs w:val="20"/>
                <w:lang w:eastAsia="lv-LV"/>
              </w:rPr>
              <w:t>18 671 822</w:t>
            </w:r>
          </w:p>
        </w:tc>
        <w:tc>
          <w:tcPr>
            <w:tcW w:w="1276" w:type="dxa"/>
            <w:tcBorders>
              <w:top w:val="nil"/>
              <w:left w:val="nil"/>
              <w:bottom w:val="single" w:sz="8" w:space="0" w:color="auto"/>
              <w:right w:val="single" w:sz="8" w:space="0" w:color="auto"/>
            </w:tcBorders>
            <w:shd w:val="clear" w:color="auto" w:fill="auto"/>
            <w:vAlign w:val="center"/>
            <w:hideMark/>
          </w:tcPr>
          <w:p w14:paraId="3E226939" w14:textId="77777777" w:rsidR="0069476E" w:rsidRPr="008F2668" w:rsidRDefault="0069476E" w:rsidP="0069476E">
            <w:pPr>
              <w:jc w:val="center"/>
              <w:rPr>
                <w:rFonts w:eastAsia="Times New Roman" w:cs="Times New Roman"/>
                <w:color w:val="000000"/>
                <w:sz w:val="20"/>
                <w:szCs w:val="20"/>
                <w:lang w:eastAsia="lv-LV"/>
              </w:rPr>
            </w:pPr>
            <w:r w:rsidRPr="008F2668">
              <w:rPr>
                <w:rFonts w:eastAsia="Times New Roman" w:cs="Times New Roman"/>
                <w:color w:val="000000"/>
                <w:sz w:val="20"/>
                <w:szCs w:val="20"/>
                <w:lang w:eastAsia="lv-LV"/>
              </w:rPr>
              <w:t>30 588 172</w:t>
            </w:r>
          </w:p>
        </w:tc>
        <w:tc>
          <w:tcPr>
            <w:tcW w:w="851" w:type="dxa"/>
            <w:tcBorders>
              <w:top w:val="nil"/>
              <w:left w:val="nil"/>
              <w:bottom w:val="single" w:sz="8" w:space="0" w:color="auto"/>
              <w:right w:val="single" w:sz="8" w:space="0" w:color="auto"/>
            </w:tcBorders>
            <w:shd w:val="clear" w:color="auto" w:fill="auto"/>
            <w:noWrap/>
            <w:vAlign w:val="center"/>
            <w:hideMark/>
          </w:tcPr>
          <w:p w14:paraId="492B850D" w14:textId="43B43509" w:rsidR="0069476E" w:rsidRPr="008F2668" w:rsidRDefault="0069476E" w:rsidP="0069476E">
            <w:pPr>
              <w:rPr>
                <w:rFonts w:eastAsia="Times New Roman" w:cs="Times New Roman"/>
                <w:color w:val="000000"/>
                <w:sz w:val="20"/>
                <w:szCs w:val="20"/>
                <w:lang w:eastAsia="lv-LV"/>
              </w:rPr>
            </w:pPr>
            <w:r w:rsidRPr="008F2668">
              <w:rPr>
                <w:rFonts w:eastAsia="Times New Roman" w:cs="Times New Roman"/>
                <w:color w:val="000000"/>
                <w:sz w:val="20"/>
                <w:szCs w:val="20"/>
                <w:lang w:eastAsia="lv-LV"/>
              </w:rPr>
              <w:t>163,8%</w:t>
            </w:r>
          </w:p>
        </w:tc>
        <w:tc>
          <w:tcPr>
            <w:tcW w:w="1275" w:type="dxa"/>
            <w:tcBorders>
              <w:top w:val="nil"/>
              <w:left w:val="nil"/>
              <w:bottom w:val="single" w:sz="8" w:space="0" w:color="auto"/>
              <w:right w:val="single" w:sz="8" w:space="0" w:color="auto"/>
            </w:tcBorders>
            <w:shd w:val="clear" w:color="auto" w:fill="auto"/>
            <w:vAlign w:val="center"/>
            <w:hideMark/>
          </w:tcPr>
          <w:p w14:paraId="259C194B" w14:textId="77777777" w:rsidR="0069476E" w:rsidRPr="008F2668" w:rsidRDefault="0069476E" w:rsidP="0069476E">
            <w:pPr>
              <w:jc w:val="center"/>
              <w:rPr>
                <w:rFonts w:eastAsia="Times New Roman" w:cs="Times New Roman"/>
                <w:color w:val="000000"/>
                <w:sz w:val="20"/>
                <w:szCs w:val="20"/>
                <w:lang w:eastAsia="lv-LV"/>
              </w:rPr>
            </w:pPr>
            <w:r w:rsidRPr="008F2668">
              <w:rPr>
                <w:rFonts w:eastAsia="Times New Roman" w:cs="Times New Roman"/>
                <w:color w:val="000000"/>
                <w:sz w:val="20"/>
                <w:szCs w:val="20"/>
                <w:lang w:eastAsia="lv-LV"/>
              </w:rPr>
              <w:t>11 916 350</w:t>
            </w:r>
          </w:p>
        </w:tc>
        <w:tc>
          <w:tcPr>
            <w:tcW w:w="851" w:type="dxa"/>
            <w:tcBorders>
              <w:top w:val="nil"/>
              <w:left w:val="nil"/>
              <w:bottom w:val="single" w:sz="8" w:space="0" w:color="auto"/>
              <w:right w:val="single" w:sz="8" w:space="0" w:color="auto"/>
            </w:tcBorders>
            <w:shd w:val="clear" w:color="auto" w:fill="auto"/>
            <w:vAlign w:val="center"/>
            <w:hideMark/>
          </w:tcPr>
          <w:p w14:paraId="7083165A" w14:textId="77777777" w:rsidR="0069476E" w:rsidRPr="008F2668" w:rsidRDefault="0069476E" w:rsidP="0069476E">
            <w:pPr>
              <w:jc w:val="center"/>
              <w:rPr>
                <w:rFonts w:eastAsia="Times New Roman" w:cs="Times New Roman"/>
                <w:color w:val="000000"/>
                <w:sz w:val="20"/>
                <w:szCs w:val="20"/>
                <w:lang w:eastAsia="lv-LV"/>
              </w:rPr>
            </w:pPr>
            <w:r w:rsidRPr="008F2668">
              <w:rPr>
                <w:rFonts w:eastAsia="Times New Roman" w:cs="Times New Roman"/>
                <w:color w:val="000000"/>
                <w:sz w:val="20"/>
                <w:szCs w:val="20"/>
                <w:lang w:eastAsia="lv-LV"/>
              </w:rPr>
              <w:t>220,5%</w:t>
            </w:r>
          </w:p>
        </w:tc>
        <w:tc>
          <w:tcPr>
            <w:tcW w:w="1275" w:type="dxa"/>
            <w:tcBorders>
              <w:top w:val="nil"/>
              <w:left w:val="nil"/>
              <w:bottom w:val="single" w:sz="8" w:space="0" w:color="auto"/>
              <w:right w:val="single" w:sz="8" w:space="0" w:color="auto"/>
            </w:tcBorders>
            <w:shd w:val="clear" w:color="auto" w:fill="auto"/>
            <w:vAlign w:val="center"/>
            <w:hideMark/>
          </w:tcPr>
          <w:p w14:paraId="6FFD7F2A" w14:textId="77777777" w:rsidR="0069476E" w:rsidRPr="008F2668" w:rsidRDefault="0069476E" w:rsidP="0069476E">
            <w:pPr>
              <w:jc w:val="center"/>
              <w:rPr>
                <w:rFonts w:eastAsia="Times New Roman" w:cs="Times New Roman"/>
                <w:color w:val="000000"/>
                <w:sz w:val="20"/>
                <w:szCs w:val="20"/>
                <w:lang w:eastAsia="lv-LV"/>
              </w:rPr>
            </w:pPr>
            <w:r w:rsidRPr="008F2668">
              <w:rPr>
                <w:rFonts w:eastAsia="Times New Roman" w:cs="Times New Roman"/>
                <w:color w:val="000000"/>
                <w:sz w:val="20"/>
                <w:szCs w:val="20"/>
                <w:lang w:eastAsia="lv-LV"/>
              </w:rPr>
              <w:t>16 459 660</w:t>
            </w:r>
          </w:p>
        </w:tc>
      </w:tr>
      <w:tr w:rsidR="0069476E" w:rsidRPr="008F2668" w14:paraId="67AE693E" w14:textId="77777777" w:rsidTr="00732FD3">
        <w:trPr>
          <w:trHeight w:val="330"/>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24DD6D4E" w14:textId="77777777" w:rsidR="0069476E" w:rsidRPr="008F2668" w:rsidRDefault="0069476E" w:rsidP="0069476E">
            <w:pPr>
              <w:rPr>
                <w:rFonts w:eastAsia="Times New Roman" w:cs="Times New Roman"/>
                <w:color w:val="000000"/>
                <w:sz w:val="20"/>
                <w:szCs w:val="20"/>
                <w:lang w:eastAsia="lv-LV"/>
              </w:rPr>
            </w:pPr>
            <w:r w:rsidRPr="008F2668">
              <w:rPr>
                <w:rFonts w:eastAsia="Times New Roman" w:cs="Times New Roman"/>
                <w:color w:val="000000"/>
                <w:sz w:val="20"/>
                <w:szCs w:val="20"/>
                <w:lang w:eastAsia="lv-LV"/>
              </w:rPr>
              <w:t>4.</w:t>
            </w:r>
            <w:r w:rsidRPr="008F2668">
              <w:rPr>
                <w:rFonts w:eastAsia="Times New Roman" w:cs="Times New Roman"/>
                <w:color w:val="000000"/>
                <w:szCs w:val="24"/>
                <w:lang w:eastAsia="lv-LV"/>
              </w:rPr>
              <w:t xml:space="preserve"> </w:t>
            </w:r>
            <w:r w:rsidRPr="008F2668">
              <w:rPr>
                <w:rFonts w:eastAsia="Times New Roman" w:cs="Times New Roman"/>
                <w:color w:val="000000"/>
                <w:sz w:val="20"/>
                <w:szCs w:val="20"/>
                <w:lang w:eastAsia="lv-LV"/>
              </w:rPr>
              <w:t>Pāreja uz ekonomiku ar zemu oglekļa emisijas līmeni visās nozarēs</w:t>
            </w:r>
          </w:p>
        </w:tc>
        <w:tc>
          <w:tcPr>
            <w:tcW w:w="1276" w:type="dxa"/>
            <w:tcBorders>
              <w:top w:val="nil"/>
              <w:left w:val="nil"/>
              <w:bottom w:val="single" w:sz="8" w:space="0" w:color="auto"/>
              <w:right w:val="single" w:sz="8" w:space="0" w:color="auto"/>
            </w:tcBorders>
            <w:shd w:val="clear" w:color="auto" w:fill="auto"/>
            <w:noWrap/>
            <w:vAlign w:val="center"/>
            <w:hideMark/>
          </w:tcPr>
          <w:p w14:paraId="5DB70D98" w14:textId="77777777" w:rsidR="0069476E" w:rsidRPr="008F2668" w:rsidRDefault="0069476E" w:rsidP="0069476E">
            <w:pPr>
              <w:jc w:val="center"/>
              <w:rPr>
                <w:rFonts w:eastAsia="Times New Roman" w:cs="Times New Roman"/>
                <w:color w:val="000000"/>
                <w:sz w:val="20"/>
                <w:szCs w:val="20"/>
                <w:lang w:eastAsia="lv-LV"/>
              </w:rPr>
            </w:pPr>
            <w:r w:rsidRPr="008F2668">
              <w:rPr>
                <w:rFonts w:eastAsia="Times New Roman" w:cs="Times New Roman"/>
                <w:color w:val="000000"/>
                <w:sz w:val="20"/>
                <w:szCs w:val="20"/>
                <w:lang w:eastAsia="lv-LV"/>
              </w:rPr>
              <w:t>19 368 881</w:t>
            </w:r>
          </w:p>
        </w:tc>
        <w:tc>
          <w:tcPr>
            <w:tcW w:w="1275" w:type="dxa"/>
            <w:tcBorders>
              <w:top w:val="nil"/>
              <w:left w:val="nil"/>
              <w:bottom w:val="single" w:sz="8" w:space="0" w:color="auto"/>
              <w:right w:val="single" w:sz="8" w:space="0" w:color="auto"/>
            </w:tcBorders>
            <w:shd w:val="clear" w:color="auto" w:fill="auto"/>
            <w:vAlign w:val="center"/>
            <w:hideMark/>
          </w:tcPr>
          <w:p w14:paraId="52916C44" w14:textId="77777777" w:rsidR="0069476E" w:rsidRPr="008F2668" w:rsidRDefault="0069476E" w:rsidP="0069476E">
            <w:pPr>
              <w:jc w:val="center"/>
              <w:rPr>
                <w:rFonts w:eastAsia="Times New Roman" w:cs="Times New Roman"/>
                <w:color w:val="000000"/>
                <w:sz w:val="20"/>
                <w:szCs w:val="20"/>
                <w:lang w:eastAsia="lv-LV"/>
              </w:rPr>
            </w:pPr>
            <w:r w:rsidRPr="008F2668">
              <w:rPr>
                <w:rFonts w:eastAsia="Times New Roman" w:cs="Times New Roman"/>
                <w:color w:val="000000"/>
                <w:sz w:val="20"/>
                <w:szCs w:val="20"/>
                <w:lang w:eastAsia="lv-LV"/>
              </w:rPr>
              <w:t>9 601 264</w:t>
            </w:r>
          </w:p>
        </w:tc>
        <w:tc>
          <w:tcPr>
            <w:tcW w:w="1276" w:type="dxa"/>
            <w:tcBorders>
              <w:top w:val="nil"/>
              <w:left w:val="nil"/>
              <w:bottom w:val="single" w:sz="8" w:space="0" w:color="auto"/>
              <w:right w:val="single" w:sz="8" w:space="0" w:color="auto"/>
            </w:tcBorders>
            <w:shd w:val="clear" w:color="auto" w:fill="auto"/>
            <w:vAlign w:val="center"/>
            <w:hideMark/>
          </w:tcPr>
          <w:p w14:paraId="2FF343B2" w14:textId="77777777" w:rsidR="0069476E" w:rsidRPr="00A81658" w:rsidRDefault="0069476E" w:rsidP="0069476E">
            <w:pPr>
              <w:jc w:val="center"/>
              <w:rPr>
                <w:rFonts w:eastAsia="Times New Roman" w:cs="Times New Roman"/>
                <w:b/>
                <w:color w:val="FF0000"/>
                <w:sz w:val="20"/>
                <w:szCs w:val="20"/>
                <w:lang w:eastAsia="lv-LV"/>
              </w:rPr>
            </w:pPr>
            <w:r w:rsidRPr="00A81658">
              <w:rPr>
                <w:rFonts w:eastAsia="Times New Roman" w:cs="Times New Roman"/>
                <w:b/>
                <w:color w:val="FF0000"/>
                <w:sz w:val="20"/>
                <w:szCs w:val="20"/>
                <w:lang w:eastAsia="lv-LV"/>
              </w:rPr>
              <w:t>4 731 810</w:t>
            </w:r>
          </w:p>
        </w:tc>
        <w:tc>
          <w:tcPr>
            <w:tcW w:w="851" w:type="dxa"/>
            <w:tcBorders>
              <w:top w:val="nil"/>
              <w:left w:val="nil"/>
              <w:bottom w:val="single" w:sz="8" w:space="0" w:color="auto"/>
              <w:right w:val="single" w:sz="8" w:space="0" w:color="auto"/>
            </w:tcBorders>
            <w:shd w:val="clear" w:color="auto" w:fill="auto"/>
            <w:noWrap/>
            <w:vAlign w:val="center"/>
            <w:hideMark/>
          </w:tcPr>
          <w:p w14:paraId="2278D916" w14:textId="73637860" w:rsidR="0069476E" w:rsidRPr="00A81658" w:rsidRDefault="0069476E" w:rsidP="0069476E">
            <w:pPr>
              <w:rPr>
                <w:rFonts w:eastAsia="Times New Roman" w:cs="Times New Roman"/>
                <w:b/>
                <w:color w:val="FF0000"/>
                <w:sz w:val="20"/>
                <w:szCs w:val="20"/>
                <w:lang w:eastAsia="lv-LV"/>
              </w:rPr>
            </w:pPr>
            <w:r w:rsidRPr="00A81658">
              <w:rPr>
                <w:rFonts w:eastAsia="Times New Roman" w:cs="Times New Roman"/>
                <w:b/>
                <w:color w:val="FF0000"/>
                <w:sz w:val="20"/>
                <w:szCs w:val="20"/>
                <w:lang w:eastAsia="lv-LV"/>
              </w:rPr>
              <w:t>49,3%</w:t>
            </w:r>
          </w:p>
        </w:tc>
        <w:tc>
          <w:tcPr>
            <w:tcW w:w="1275" w:type="dxa"/>
            <w:tcBorders>
              <w:top w:val="nil"/>
              <w:left w:val="nil"/>
              <w:bottom w:val="single" w:sz="8" w:space="0" w:color="auto"/>
              <w:right w:val="single" w:sz="8" w:space="0" w:color="auto"/>
            </w:tcBorders>
            <w:shd w:val="clear" w:color="auto" w:fill="auto"/>
            <w:vAlign w:val="center"/>
            <w:hideMark/>
          </w:tcPr>
          <w:p w14:paraId="112CD72B" w14:textId="77777777" w:rsidR="0069476E" w:rsidRPr="008F2668" w:rsidRDefault="0069476E" w:rsidP="0069476E">
            <w:pPr>
              <w:jc w:val="center"/>
              <w:rPr>
                <w:rFonts w:eastAsia="Times New Roman" w:cs="Times New Roman"/>
                <w:color w:val="000000"/>
                <w:sz w:val="20"/>
                <w:szCs w:val="20"/>
                <w:lang w:eastAsia="lv-LV"/>
              </w:rPr>
            </w:pPr>
            <w:r w:rsidRPr="008F2668">
              <w:rPr>
                <w:rFonts w:eastAsia="Times New Roman" w:cs="Times New Roman"/>
                <w:color w:val="000000"/>
                <w:sz w:val="20"/>
                <w:szCs w:val="20"/>
                <w:lang w:eastAsia="lv-LV"/>
              </w:rPr>
              <w:t>-4 869 454</w:t>
            </w:r>
          </w:p>
        </w:tc>
        <w:tc>
          <w:tcPr>
            <w:tcW w:w="851" w:type="dxa"/>
            <w:tcBorders>
              <w:top w:val="nil"/>
              <w:left w:val="nil"/>
              <w:bottom w:val="single" w:sz="8" w:space="0" w:color="auto"/>
              <w:right w:val="single" w:sz="8" w:space="0" w:color="auto"/>
            </w:tcBorders>
            <w:shd w:val="clear" w:color="auto" w:fill="auto"/>
            <w:noWrap/>
            <w:vAlign w:val="center"/>
            <w:hideMark/>
          </w:tcPr>
          <w:p w14:paraId="00474C9D" w14:textId="77777777" w:rsidR="0069476E" w:rsidRPr="008F2668" w:rsidRDefault="0069476E" w:rsidP="0069476E">
            <w:pPr>
              <w:jc w:val="center"/>
              <w:rPr>
                <w:rFonts w:eastAsia="Times New Roman" w:cs="Times New Roman"/>
                <w:color w:val="000000"/>
                <w:sz w:val="20"/>
                <w:szCs w:val="20"/>
                <w:lang w:eastAsia="lv-LV"/>
              </w:rPr>
            </w:pPr>
            <w:r w:rsidRPr="008F2668">
              <w:rPr>
                <w:rFonts w:eastAsia="Times New Roman" w:cs="Times New Roman"/>
                <w:color w:val="000000"/>
                <w:sz w:val="20"/>
                <w:szCs w:val="20"/>
                <w:lang w:eastAsia="lv-LV"/>
              </w:rPr>
              <w:t>0,3%</w:t>
            </w:r>
          </w:p>
        </w:tc>
        <w:tc>
          <w:tcPr>
            <w:tcW w:w="1275" w:type="dxa"/>
            <w:tcBorders>
              <w:top w:val="nil"/>
              <w:left w:val="nil"/>
              <w:bottom w:val="single" w:sz="8" w:space="0" w:color="auto"/>
              <w:right w:val="single" w:sz="8" w:space="0" w:color="auto"/>
            </w:tcBorders>
            <w:shd w:val="clear" w:color="auto" w:fill="auto"/>
            <w:vAlign w:val="center"/>
            <w:hideMark/>
          </w:tcPr>
          <w:p w14:paraId="4A52DB28" w14:textId="77777777" w:rsidR="0069476E" w:rsidRPr="008F2668" w:rsidRDefault="0069476E" w:rsidP="0069476E">
            <w:pPr>
              <w:jc w:val="center"/>
              <w:rPr>
                <w:rFonts w:eastAsia="Times New Roman" w:cs="Times New Roman"/>
                <w:color w:val="000000"/>
                <w:sz w:val="20"/>
                <w:szCs w:val="20"/>
                <w:lang w:eastAsia="lv-LV"/>
              </w:rPr>
            </w:pPr>
            <w:r w:rsidRPr="008F2668">
              <w:rPr>
                <w:rFonts w:eastAsia="Times New Roman" w:cs="Times New Roman"/>
                <w:color w:val="000000"/>
                <w:sz w:val="20"/>
                <w:szCs w:val="20"/>
                <w:lang w:eastAsia="lv-LV"/>
              </w:rPr>
              <w:t>-7 015 909</w:t>
            </w:r>
          </w:p>
        </w:tc>
      </w:tr>
      <w:tr w:rsidR="0069476E" w:rsidRPr="008F2668" w14:paraId="411F8722" w14:textId="77777777" w:rsidTr="00732FD3">
        <w:trPr>
          <w:trHeight w:val="330"/>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29086457" w14:textId="77777777" w:rsidR="0069476E" w:rsidRPr="008F2668" w:rsidRDefault="0069476E" w:rsidP="0069476E">
            <w:pPr>
              <w:rPr>
                <w:rFonts w:eastAsia="Times New Roman" w:cs="Times New Roman"/>
                <w:color w:val="000000"/>
                <w:sz w:val="20"/>
                <w:szCs w:val="20"/>
                <w:lang w:eastAsia="lv-LV"/>
              </w:rPr>
            </w:pPr>
            <w:r w:rsidRPr="008F2668">
              <w:rPr>
                <w:rFonts w:eastAsia="Times New Roman" w:cs="Times New Roman"/>
                <w:color w:val="000000"/>
                <w:sz w:val="20"/>
                <w:szCs w:val="20"/>
                <w:lang w:eastAsia="lv-LV"/>
              </w:rPr>
              <w:t>5.Vides aizsardzība un resursu izmantošanas efektivitāte</w:t>
            </w:r>
          </w:p>
        </w:tc>
        <w:tc>
          <w:tcPr>
            <w:tcW w:w="1276" w:type="dxa"/>
            <w:tcBorders>
              <w:top w:val="nil"/>
              <w:left w:val="nil"/>
              <w:bottom w:val="single" w:sz="8" w:space="0" w:color="auto"/>
              <w:right w:val="single" w:sz="8" w:space="0" w:color="auto"/>
            </w:tcBorders>
            <w:shd w:val="clear" w:color="auto" w:fill="auto"/>
            <w:noWrap/>
            <w:vAlign w:val="center"/>
            <w:hideMark/>
          </w:tcPr>
          <w:p w14:paraId="41FE17E6" w14:textId="77777777" w:rsidR="0069476E" w:rsidRPr="008F2668" w:rsidRDefault="0069476E" w:rsidP="0069476E">
            <w:pPr>
              <w:jc w:val="center"/>
              <w:rPr>
                <w:rFonts w:eastAsia="Times New Roman" w:cs="Times New Roman"/>
                <w:color w:val="000000"/>
                <w:sz w:val="20"/>
                <w:szCs w:val="20"/>
                <w:lang w:eastAsia="lv-LV"/>
              </w:rPr>
            </w:pPr>
            <w:r w:rsidRPr="008F2668">
              <w:rPr>
                <w:rFonts w:eastAsia="Times New Roman" w:cs="Times New Roman"/>
                <w:color w:val="000000"/>
                <w:sz w:val="20"/>
                <w:szCs w:val="20"/>
                <w:lang w:eastAsia="lv-LV"/>
              </w:rPr>
              <w:t>27 324 058</w:t>
            </w:r>
          </w:p>
        </w:tc>
        <w:tc>
          <w:tcPr>
            <w:tcW w:w="1275" w:type="dxa"/>
            <w:tcBorders>
              <w:top w:val="nil"/>
              <w:left w:val="nil"/>
              <w:bottom w:val="single" w:sz="8" w:space="0" w:color="auto"/>
              <w:right w:val="single" w:sz="8" w:space="0" w:color="auto"/>
            </w:tcBorders>
            <w:shd w:val="clear" w:color="auto" w:fill="auto"/>
            <w:vAlign w:val="center"/>
            <w:hideMark/>
          </w:tcPr>
          <w:p w14:paraId="4BE7B888" w14:textId="77777777" w:rsidR="0069476E" w:rsidRPr="008F2668" w:rsidRDefault="0069476E" w:rsidP="0069476E">
            <w:pPr>
              <w:jc w:val="center"/>
              <w:rPr>
                <w:rFonts w:eastAsia="Times New Roman" w:cs="Times New Roman"/>
                <w:color w:val="000000"/>
                <w:sz w:val="20"/>
                <w:szCs w:val="20"/>
                <w:lang w:eastAsia="lv-LV"/>
              </w:rPr>
            </w:pPr>
            <w:r w:rsidRPr="008F2668">
              <w:rPr>
                <w:rFonts w:eastAsia="Times New Roman" w:cs="Times New Roman"/>
                <w:color w:val="000000"/>
                <w:sz w:val="20"/>
                <w:szCs w:val="20"/>
                <w:lang w:eastAsia="lv-LV"/>
              </w:rPr>
              <w:t>14 744 134</w:t>
            </w:r>
          </w:p>
        </w:tc>
        <w:tc>
          <w:tcPr>
            <w:tcW w:w="1276" w:type="dxa"/>
            <w:tcBorders>
              <w:top w:val="nil"/>
              <w:left w:val="nil"/>
              <w:bottom w:val="single" w:sz="8" w:space="0" w:color="auto"/>
              <w:right w:val="single" w:sz="8" w:space="0" w:color="auto"/>
            </w:tcBorders>
            <w:shd w:val="clear" w:color="auto" w:fill="auto"/>
            <w:vAlign w:val="center"/>
            <w:hideMark/>
          </w:tcPr>
          <w:p w14:paraId="139F1B6A" w14:textId="77777777" w:rsidR="0069476E" w:rsidRPr="00A81658" w:rsidRDefault="0069476E" w:rsidP="0069476E">
            <w:pPr>
              <w:jc w:val="center"/>
              <w:rPr>
                <w:rFonts w:eastAsia="Times New Roman" w:cs="Times New Roman"/>
                <w:b/>
                <w:color w:val="FF0000"/>
                <w:sz w:val="20"/>
                <w:szCs w:val="20"/>
                <w:lang w:eastAsia="lv-LV"/>
              </w:rPr>
            </w:pPr>
            <w:r w:rsidRPr="00A81658">
              <w:rPr>
                <w:rFonts w:eastAsia="Times New Roman" w:cs="Times New Roman"/>
                <w:b/>
                <w:color w:val="FF0000"/>
                <w:sz w:val="20"/>
                <w:szCs w:val="20"/>
                <w:lang w:eastAsia="lv-LV"/>
              </w:rPr>
              <w:t>896 618</w:t>
            </w:r>
          </w:p>
        </w:tc>
        <w:tc>
          <w:tcPr>
            <w:tcW w:w="851" w:type="dxa"/>
            <w:tcBorders>
              <w:top w:val="nil"/>
              <w:left w:val="nil"/>
              <w:bottom w:val="single" w:sz="8" w:space="0" w:color="auto"/>
              <w:right w:val="single" w:sz="8" w:space="0" w:color="auto"/>
            </w:tcBorders>
            <w:shd w:val="clear" w:color="auto" w:fill="auto"/>
            <w:noWrap/>
            <w:vAlign w:val="center"/>
            <w:hideMark/>
          </w:tcPr>
          <w:p w14:paraId="59EB7B76" w14:textId="43576D4B" w:rsidR="0069476E" w:rsidRPr="00A81658" w:rsidRDefault="0069476E" w:rsidP="0069476E">
            <w:pPr>
              <w:rPr>
                <w:rFonts w:eastAsia="Times New Roman" w:cs="Times New Roman"/>
                <w:b/>
                <w:color w:val="FF0000"/>
                <w:sz w:val="20"/>
                <w:szCs w:val="20"/>
                <w:lang w:eastAsia="lv-LV"/>
              </w:rPr>
            </w:pPr>
            <w:r w:rsidRPr="00A81658">
              <w:rPr>
                <w:rFonts w:eastAsia="Times New Roman" w:cs="Times New Roman"/>
                <w:b/>
                <w:color w:val="FF0000"/>
                <w:sz w:val="20"/>
                <w:szCs w:val="20"/>
                <w:lang w:eastAsia="lv-LV"/>
              </w:rPr>
              <w:t>6,1%</w:t>
            </w:r>
          </w:p>
        </w:tc>
        <w:tc>
          <w:tcPr>
            <w:tcW w:w="1275" w:type="dxa"/>
            <w:tcBorders>
              <w:top w:val="nil"/>
              <w:left w:val="nil"/>
              <w:bottom w:val="single" w:sz="8" w:space="0" w:color="auto"/>
              <w:right w:val="single" w:sz="8" w:space="0" w:color="auto"/>
            </w:tcBorders>
            <w:shd w:val="clear" w:color="auto" w:fill="auto"/>
            <w:vAlign w:val="center"/>
            <w:hideMark/>
          </w:tcPr>
          <w:p w14:paraId="39EC426C" w14:textId="77777777" w:rsidR="0069476E" w:rsidRPr="008F2668" w:rsidRDefault="0069476E" w:rsidP="0069476E">
            <w:pPr>
              <w:jc w:val="center"/>
              <w:rPr>
                <w:rFonts w:eastAsia="Times New Roman" w:cs="Times New Roman"/>
                <w:color w:val="000000"/>
                <w:sz w:val="20"/>
                <w:szCs w:val="20"/>
                <w:lang w:eastAsia="lv-LV"/>
              </w:rPr>
            </w:pPr>
            <w:r w:rsidRPr="008F2668">
              <w:rPr>
                <w:rFonts w:eastAsia="Times New Roman" w:cs="Times New Roman"/>
                <w:color w:val="000000"/>
                <w:sz w:val="20"/>
                <w:szCs w:val="20"/>
                <w:lang w:eastAsia="lv-LV"/>
              </w:rPr>
              <w:t>-13 847 515</w:t>
            </w:r>
          </w:p>
        </w:tc>
        <w:tc>
          <w:tcPr>
            <w:tcW w:w="851" w:type="dxa"/>
            <w:tcBorders>
              <w:top w:val="nil"/>
              <w:left w:val="nil"/>
              <w:bottom w:val="single" w:sz="8" w:space="0" w:color="auto"/>
              <w:right w:val="single" w:sz="8" w:space="0" w:color="auto"/>
            </w:tcBorders>
            <w:shd w:val="clear" w:color="auto" w:fill="auto"/>
            <w:noWrap/>
            <w:vAlign w:val="center"/>
            <w:hideMark/>
          </w:tcPr>
          <w:p w14:paraId="37BCF9EF" w14:textId="77777777" w:rsidR="0069476E" w:rsidRPr="008F2668" w:rsidRDefault="0069476E" w:rsidP="0069476E">
            <w:pPr>
              <w:jc w:val="center"/>
              <w:rPr>
                <w:rFonts w:eastAsia="Times New Roman" w:cs="Times New Roman"/>
                <w:color w:val="000000"/>
                <w:sz w:val="20"/>
                <w:szCs w:val="20"/>
                <w:lang w:eastAsia="lv-LV"/>
              </w:rPr>
            </w:pPr>
            <w:r w:rsidRPr="008F2668">
              <w:rPr>
                <w:rFonts w:eastAsia="Times New Roman" w:cs="Times New Roman"/>
                <w:color w:val="000000"/>
                <w:sz w:val="20"/>
                <w:szCs w:val="20"/>
                <w:lang w:eastAsia="lv-LV"/>
              </w:rPr>
              <w:t>7,1%</w:t>
            </w:r>
          </w:p>
        </w:tc>
        <w:tc>
          <w:tcPr>
            <w:tcW w:w="1275" w:type="dxa"/>
            <w:tcBorders>
              <w:top w:val="nil"/>
              <w:left w:val="nil"/>
              <w:bottom w:val="single" w:sz="8" w:space="0" w:color="auto"/>
              <w:right w:val="single" w:sz="8" w:space="0" w:color="auto"/>
            </w:tcBorders>
            <w:shd w:val="clear" w:color="auto" w:fill="auto"/>
            <w:vAlign w:val="center"/>
            <w:hideMark/>
          </w:tcPr>
          <w:p w14:paraId="67CD115A" w14:textId="77777777" w:rsidR="0069476E" w:rsidRPr="008F2668" w:rsidRDefault="0069476E" w:rsidP="0069476E">
            <w:pPr>
              <w:jc w:val="center"/>
              <w:rPr>
                <w:rFonts w:eastAsia="Times New Roman" w:cs="Times New Roman"/>
                <w:color w:val="000000"/>
                <w:sz w:val="20"/>
                <w:szCs w:val="20"/>
                <w:lang w:eastAsia="lv-LV"/>
              </w:rPr>
            </w:pPr>
            <w:r w:rsidRPr="008F2668">
              <w:rPr>
                <w:rFonts w:eastAsia="Times New Roman" w:cs="Times New Roman"/>
                <w:color w:val="000000"/>
                <w:sz w:val="20"/>
                <w:szCs w:val="20"/>
                <w:lang w:eastAsia="lv-LV"/>
              </w:rPr>
              <w:t>-10 772 383</w:t>
            </w:r>
          </w:p>
        </w:tc>
      </w:tr>
      <w:tr w:rsidR="0069476E" w:rsidRPr="008F2668" w14:paraId="1015D154" w14:textId="77777777" w:rsidTr="00732FD3">
        <w:trPr>
          <w:trHeight w:val="330"/>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718FEA3B" w14:textId="77777777" w:rsidR="0069476E" w:rsidRPr="008F2668" w:rsidRDefault="0069476E" w:rsidP="0069476E">
            <w:pPr>
              <w:rPr>
                <w:rFonts w:eastAsia="Times New Roman" w:cs="Times New Roman"/>
                <w:color w:val="000000"/>
                <w:sz w:val="20"/>
                <w:szCs w:val="20"/>
                <w:lang w:eastAsia="lv-LV"/>
              </w:rPr>
            </w:pPr>
            <w:r w:rsidRPr="008F2668">
              <w:rPr>
                <w:rFonts w:eastAsia="Times New Roman" w:cs="Times New Roman"/>
                <w:color w:val="000000"/>
                <w:sz w:val="20"/>
                <w:szCs w:val="20"/>
                <w:lang w:eastAsia="lv-LV"/>
              </w:rPr>
              <w:t>6.Ilgtspējīga transporta sistēma</w:t>
            </w:r>
          </w:p>
        </w:tc>
        <w:tc>
          <w:tcPr>
            <w:tcW w:w="1276" w:type="dxa"/>
            <w:tcBorders>
              <w:top w:val="nil"/>
              <w:left w:val="nil"/>
              <w:bottom w:val="single" w:sz="8" w:space="0" w:color="auto"/>
              <w:right w:val="single" w:sz="8" w:space="0" w:color="auto"/>
            </w:tcBorders>
            <w:shd w:val="clear" w:color="auto" w:fill="auto"/>
            <w:noWrap/>
            <w:vAlign w:val="center"/>
            <w:hideMark/>
          </w:tcPr>
          <w:p w14:paraId="3919D331" w14:textId="77777777" w:rsidR="0069476E" w:rsidRPr="008F2668" w:rsidRDefault="0069476E" w:rsidP="0069476E">
            <w:pPr>
              <w:jc w:val="center"/>
              <w:rPr>
                <w:rFonts w:eastAsia="Times New Roman" w:cs="Times New Roman"/>
                <w:color w:val="000000"/>
                <w:sz w:val="20"/>
                <w:szCs w:val="20"/>
                <w:lang w:eastAsia="lv-LV"/>
              </w:rPr>
            </w:pPr>
            <w:r w:rsidRPr="008F2668">
              <w:rPr>
                <w:rFonts w:eastAsia="Times New Roman" w:cs="Times New Roman"/>
                <w:color w:val="000000"/>
                <w:sz w:val="20"/>
                <w:szCs w:val="20"/>
                <w:lang w:eastAsia="lv-LV"/>
              </w:rPr>
              <w:t>152 749 691</w:t>
            </w:r>
          </w:p>
        </w:tc>
        <w:tc>
          <w:tcPr>
            <w:tcW w:w="1275" w:type="dxa"/>
            <w:tcBorders>
              <w:top w:val="nil"/>
              <w:left w:val="nil"/>
              <w:bottom w:val="single" w:sz="8" w:space="0" w:color="auto"/>
              <w:right w:val="single" w:sz="8" w:space="0" w:color="auto"/>
            </w:tcBorders>
            <w:shd w:val="clear" w:color="auto" w:fill="auto"/>
            <w:vAlign w:val="center"/>
            <w:hideMark/>
          </w:tcPr>
          <w:p w14:paraId="2EC7DF16" w14:textId="77777777" w:rsidR="0069476E" w:rsidRPr="008F2668" w:rsidRDefault="0069476E" w:rsidP="0069476E">
            <w:pPr>
              <w:jc w:val="center"/>
              <w:rPr>
                <w:rFonts w:eastAsia="Times New Roman" w:cs="Times New Roman"/>
                <w:color w:val="000000"/>
                <w:sz w:val="20"/>
                <w:szCs w:val="20"/>
                <w:lang w:eastAsia="lv-LV"/>
              </w:rPr>
            </w:pPr>
            <w:r w:rsidRPr="008F2668">
              <w:rPr>
                <w:rFonts w:eastAsia="Times New Roman" w:cs="Times New Roman"/>
                <w:color w:val="000000"/>
                <w:sz w:val="20"/>
                <w:szCs w:val="20"/>
                <w:lang w:eastAsia="lv-LV"/>
              </w:rPr>
              <w:t>111 002 926</w:t>
            </w:r>
          </w:p>
        </w:tc>
        <w:tc>
          <w:tcPr>
            <w:tcW w:w="1276" w:type="dxa"/>
            <w:tcBorders>
              <w:top w:val="nil"/>
              <w:left w:val="nil"/>
              <w:bottom w:val="single" w:sz="8" w:space="0" w:color="auto"/>
              <w:right w:val="single" w:sz="8" w:space="0" w:color="auto"/>
            </w:tcBorders>
            <w:shd w:val="clear" w:color="auto" w:fill="auto"/>
            <w:vAlign w:val="center"/>
            <w:hideMark/>
          </w:tcPr>
          <w:p w14:paraId="44C61221" w14:textId="7504F06F" w:rsidR="0069476E" w:rsidRPr="00A81658" w:rsidRDefault="0069476E" w:rsidP="0069476E">
            <w:pPr>
              <w:jc w:val="center"/>
              <w:rPr>
                <w:rFonts w:eastAsia="Times New Roman" w:cs="Times New Roman"/>
                <w:b/>
                <w:color w:val="FF0000"/>
                <w:sz w:val="20"/>
                <w:szCs w:val="20"/>
                <w:lang w:eastAsia="lv-LV"/>
              </w:rPr>
            </w:pPr>
            <w:r w:rsidRPr="00A81658">
              <w:rPr>
                <w:rFonts w:eastAsia="Times New Roman" w:cs="Times New Roman"/>
                <w:b/>
                <w:color w:val="FF0000"/>
                <w:sz w:val="20"/>
                <w:szCs w:val="20"/>
                <w:lang w:eastAsia="lv-LV"/>
              </w:rPr>
              <w:t>86 418 671</w:t>
            </w:r>
          </w:p>
        </w:tc>
        <w:tc>
          <w:tcPr>
            <w:tcW w:w="851" w:type="dxa"/>
            <w:tcBorders>
              <w:top w:val="nil"/>
              <w:left w:val="nil"/>
              <w:bottom w:val="single" w:sz="8" w:space="0" w:color="auto"/>
              <w:right w:val="single" w:sz="8" w:space="0" w:color="auto"/>
            </w:tcBorders>
            <w:shd w:val="clear" w:color="auto" w:fill="auto"/>
            <w:noWrap/>
            <w:vAlign w:val="center"/>
            <w:hideMark/>
          </w:tcPr>
          <w:p w14:paraId="7DB24C3C" w14:textId="4A0E0079" w:rsidR="0069476E" w:rsidRPr="00A81658" w:rsidRDefault="0069476E" w:rsidP="0069476E">
            <w:pPr>
              <w:rPr>
                <w:rFonts w:eastAsia="Times New Roman" w:cs="Times New Roman"/>
                <w:b/>
                <w:color w:val="FF0000"/>
                <w:sz w:val="20"/>
                <w:szCs w:val="20"/>
                <w:lang w:eastAsia="lv-LV"/>
              </w:rPr>
            </w:pPr>
            <w:r w:rsidRPr="00A81658">
              <w:rPr>
                <w:rFonts w:eastAsia="Times New Roman" w:cs="Times New Roman"/>
                <w:b/>
                <w:color w:val="FF0000"/>
                <w:sz w:val="20"/>
                <w:szCs w:val="20"/>
                <w:lang w:eastAsia="lv-LV"/>
              </w:rPr>
              <w:t>77,9%</w:t>
            </w:r>
          </w:p>
        </w:tc>
        <w:tc>
          <w:tcPr>
            <w:tcW w:w="1275" w:type="dxa"/>
            <w:tcBorders>
              <w:top w:val="nil"/>
              <w:left w:val="nil"/>
              <w:bottom w:val="single" w:sz="8" w:space="0" w:color="auto"/>
              <w:right w:val="single" w:sz="8" w:space="0" w:color="auto"/>
            </w:tcBorders>
            <w:shd w:val="clear" w:color="auto" w:fill="auto"/>
            <w:vAlign w:val="center"/>
            <w:hideMark/>
          </w:tcPr>
          <w:p w14:paraId="3C23883E" w14:textId="72B54B6F" w:rsidR="0069476E" w:rsidRPr="008F2668" w:rsidRDefault="0069476E" w:rsidP="0069476E">
            <w:pPr>
              <w:jc w:val="center"/>
              <w:rPr>
                <w:rFonts w:eastAsia="Times New Roman" w:cs="Times New Roman"/>
                <w:color w:val="000000"/>
                <w:sz w:val="20"/>
                <w:szCs w:val="20"/>
                <w:lang w:eastAsia="lv-LV"/>
              </w:rPr>
            </w:pPr>
            <w:r w:rsidRPr="008F2668">
              <w:rPr>
                <w:rFonts w:eastAsia="Times New Roman" w:cs="Times New Roman"/>
                <w:color w:val="000000"/>
                <w:sz w:val="20"/>
                <w:szCs w:val="20"/>
                <w:lang w:eastAsia="lv-LV"/>
              </w:rPr>
              <w:t>-24 584 255</w:t>
            </w:r>
          </w:p>
        </w:tc>
        <w:tc>
          <w:tcPr>
            <w:tcW w:w="851" w:type="dxa"/>
            <w:tcBorders>
              <w:top w:val="nil"/>
              <w:left w:val="nil"/>
              <w:bottom w:val="single" w:sz="8" w:space="0" w:color="auto"/>
              <w:right w:val="single" w:sz="8" w:space="0" w:color="auto"/>
            </w:tcBorders>
            <w:shd w:val="clear" w:color="auto" w:fill="auto"/>
            <w:noWrap/>
            <w:vAlign w:val="center"/>
            <w:hideMark/>
          </w:tcPr>
          <w:p w14:paraId="3A2E8279" w14:textId="77777777" w:rsidR="0069476E" w:rsidRPr="008F2668" w:rsidRDefault="0069476E" w:rsidP="0069476E">
            <w:pPr>
              <w:jc w:val="center"/>
              <w:rPr>
                <w:rFonts w:eastAsia="Times New Roman" w:cs="Times New Roman"/>
                <w:color w:val="000000"/>
                <w:sz w:val="20"/>
                <w:szCs w:val="20"/>
                <w:lang w:eastAsia="lv-LV"/>
              </w:rPr>
            </w:pPr>
            <w:r w:rsidRPr="008F2668">
              <w:rPr>
                <w:rFonts w:eastAsia="Times New Roman" w:cs="Times New Roman"/>
                <w:color w:val="000000"/>
                <w:sz w:val="20"/>
                <w:szCs w:val="20"/>
                <w:lang w:eastAsia="lv-LV"/>
              </w:rPr>
              <w:t>68,6%</w:t>
            </w:r>
          </w:p>
        </w:tc>
        <w:tc>
          <w:tcPr>
            <w:tcW w:w="1275" w:type="dxa"/>
            <w:tcBorders>
              <w:top w:val="nil"/>
              <w:left w:val="nil"/>
              <w:bottom w:val="single" w:sz="8" w:space="0" w:color="auto"/>
              <w:right w:val="single" w:sz="8" w:space="0" w:color="auto"/>
            </w:tcBorders>
            <w:shd w:val="clear" w:color="auto" w:fill="auto"/>
            <w:vAlign w:val="center"/>
            <w:hideMark/>
          </w:tcPr>
          <w:p w14:paraId="25502E88" w14:textId="77777777" w:rsidR="0069476E" w:rsidRPr="008F2668" w:rsidRDefault="0069476E" w:rsidP="0069476E">
            <w:pPr>
              <w:jc w:val="center"/>
              <w:rPr>
                <w:rFonts w:eastAsia="Times New Roman" w:cs="Times New Roman"/>
                <w:color w:val="000000"/>
                <w:sz w:val="20"/>
                <w:szCs w:val="20"/>
                <w:lang w:eastAsia="lv-LV"/>
              </w:rPr>
            </w:pPr>
            <w:r w:rsidRPr="008F2668">
              <w:rPr>
                <w:rFonts w:eastAsia="Times New Roman" w:cs="Times New Roman"/>
                <w:color w:val="000000"/>
                <w:sz w:val="20"/>
                <w:szCs w:val="20"/>
                <w:lang w:eastAsia="lv-LV"/>
              </w:rPr>
              <w:t>-30 854 069</w:t>
            </w:r>
          </w:p>
        </w:tc>
      </w:tr>
      <w:tr w:rsidR="0069476E" w:rsidRPr="008F2668" w14:paraId="384545EA" w14:textId="77777777" w:rsidTr="00732FD3">
        <w:trPr>
          <w:trHeight w:val="330"/>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300C46A7" w14:textId="77777777" w:rsidR="0069476E" w:rsidRPr="008F2668" w:rsidRDefault="0069476E" w:rsidP="0069476E">
            <w:pPr>
              <w:rPr>
                <w:rFonts w:eastAsia="Times New Roman" w:cs="Times New Roman"/>
                <w:color w:val="000000"/>
                <w:sz w:val="20"/>
                <w:szCs w:val="20"/>
                <w:lang w:eastAsia="lv-LV"/>
              </w:rPr>
            </w:pPr>
            <w:r w:rsidRPr="008F2668">
              <w:rPr>
                <w:rFonts w:eastAsia="Times New Roman" w:cs="Times New Roman"/>
                <w:color w:val="000000"/>
                <w:sz w:val="20"/>
                <w:szCs w:val="20"/>
                <w:lang w:eastAsia="lv-LV"/>
              </w:rPr>
              <w:t>7.Nodarbinātība un darbaspēka mobilitāte</w:t>
            </w:r>
          </w:p>
        </w:tc>
        <w:tc>
          <w:tcPr>
            <w:tcW w:w="1276" w:type="dxa"/>
            <w:tcBorders>
              <w:top w:val="nil"/>
              <w:left w:val="nil"/>
              <w:bottom w:val="single" w:sz="8" w:space="0" w:color="auto"/>
              <w:right w:val="single" w:sz="8" w:space="0" w:color="auto"/>
            </w:tcBorders>
            <w:shd w:val="clear" w:color="auto" w:fill="auto"/>
            <w:noWrap/>
            <w:vAlign w:val="center"/>
            <w:hideMark/>
          </w:tcPr>
          <w:p w14:paraId="61FF44EA" w14:textId="77777777" w:rsidR="0069476E" w:rsidRPr="008F2668" w:rsidRDefault="0069476E" w:rsidP="0069476E">
            <w:pPr>
              <w:jc w:val="center"/>
              <w:rPr>
                <w:rFonts w:eastAsia="Times New Roman" w:cs="Times New Roman"/>
                <w:color w:val="000000"/>
                <w:sz w:val="20"/>
                <w:szCs w:val="20"/>
                <w:lang w:eastAsia="lv-LV"/>
              </w:rPr>
            </w:pPr>
            <w:r w:rsidRPr="008F2668">
              <w:rPr>
                <w:rFonts w:eastAsia="Times New Roman" w:cs="Times New Roman"/>
                <w:color w:val="000000"/>
                <w:sz w:val="20"/>
                <w:szCs w:val="20"/>
                <w:lang w:eastAsia="lv-LV"/>
              </w:rPr>
              <w:t>31 395 139</w:t>
            </w:r>
          </w:p>
        </w:tc>
        <w:tc>
          <w:tcPr>
            <w:tcW w:w="1275" w:type="dxa"/>
            <w:tcBorders>
              <w:top w:val="nil"/>
              <w:left w:val="nil"/>
              <w:bottom w:val="single" w:sz="8" w:space="0" w:color="auto"/>
              <w:right w:val="single" w:sz="8" w:space="0" w:color="auto"/>
            </w:tcBorders>
            <w:shd w:val="clear" w:color="auto" w:fill="auto"/>
            <w:vAlign w:val="center"/>
            <w:hideMark/>
          </w:tcPr>
          <w:p w14:paraId="1903B374" w14:textId="77777777" w:rsidR="0069476E" w:rsidRPr="008F2668" w:rsidRDefault="0069476E" w:rsidP="0069476E">
            <w:pPr>
              <w:jc w:val="center"/>
              <w:rPr>
                <w:rFonts w:eastAsia="Times New Roman" w:cs="Times New Roman"/>
                <w:color w:val="000000"/>
                <w:sz w:val="20"/>
                <w:szCs w:val="20"/>
                <w:lang w:eastAsia="lv-LV"/>
              </w:rPr>
            </w:pPr>
            <w:r w:rsidRPr="008F2668">
              <w:rPr>
                <w:rFonts w:eastAsia="Times New Roman" w:cs="Times New Roman"/>
                <w:color w:val="000000"/>
                <w:sz w:val="20"/>
                <w:szCs w:val="20"/>
                <w:lang w:eastAsia="lv-LV"/>
              </w:rPr>
              <w:t>27 786 533</w:t>
            </w:r>
          </w:p>
        </w:tc>
        <w:tc>
          <w:tcPr>
            <w:tcW w:w="1276" w:type="dxa"/>
            <w:tcBorders>
              <w:top w:val="nil"/>
              <w:left w:val="nil"/>
              <w:bottom w:val="single" w:sz="8" w:space="0" w:color="auto"/>
              <w:right w:val="single" w:sz="8" w:space="0" w:color="auto"/>
            </w:tcBorders>
            <w:shd w:val="clear" w:color="auto" w:fill="auto"/>
            <w:vAlign w:val="center"/>
            <w:hideMark/>
          </w:tcPr>
          <w:p w14:paraId="3E0838F1" w14:textId="77777777" w:rsidR="0069476E" w:rsidRPr="008F2668" w:rsidRDefault="0069476E" w:rsidP="0069476E">
            <w:pPr>
              <w:jc w:val="center"/>
              <w:rPr>
                <w:rFonts w:eastAsia="Times New Roman" w:cs="Times New Roman"/>
                <w:color w:val="000000"/>
                <w:sz w:val="20"/>
                <w:szCs w:val="20"/>
                <w:lang w:eastAsia="lv-LV"/>
              </w:rPr>
            </w:pPr>
            <w:r w:rsidRPr="008F2668">
              <w:rPr>
                <w:rFonts w:eastAsia="Times New Roman" w:cs="Times New Roman"/>
                <w:color w:val="000000"/>
                <w:sz w:val="20"/>
                <w:szCs w:val="20"/>
                <w:lang w:eastAsia="lv-LV"/>
              </w:rPr>
              <w:t>33 148 426</w:t>
            </w:r>
          </w:p>
        </w:tc>
        <w:tc>
          <w:tcPr>
            <w:tcW w:w="851" w:type="dxa"/>
            <w:tcBorders>
              <w:top w:val="nil"/>
              <w:left w:val="nil"/>
              <w:bottom w:val="single" w:sz="8" w:space="0" w:color="auto"/>
              <w:right w:val="single" w:sz="8" w:space="0" w:color="auto"/>
            </w:tcBorders>
            <w:shd w:val="clear" w:color="auto" w:fill="auto"/>
            <w:noWrap/>
            <w:vAlign w:val="center"/>
            <w:hideMark/>
          </w:tcPr>
          <w:p w14:paraId="5C7D3A2F" w14:textId="1634F6B4" w:rsidR="0069476E" w:rsidRPr="008F2668" w:rsidRDefault="0069476E" w:rsidP="0069476E">
            <w:pPr>
              <w:rPr>
                <w:rFonts w:eastAsia="Times New Roman" w:cs="Times New Roman"/>
                <w:color w:val="000000"/>
                <w:sz w:val="20"/>
                <w:szCs w:val="20"/>
                <w:lang w:eastAsia="lv-LV"/>
              </w:rPr>
            </w:pPr>
            <w:r w:rsidRPr="008F2668">
              <w:rPr>
                <w:rFonts w:eastAsia="Times New Roman" w:cs="Times New Roman"/>
                <w:color w:val="000000"/>
                <w:sz w:val="20"/>
                <w:szCs w:val="20"/>
                <w:lang w:eastAsia="lv-LV"/>
              </w:rPr>
              <w:t>119,3%</w:t>
            </w:r>
          </w:p>
        </w:tc>
        <w:tc>
          <w:tcPr>
            <w:tcW w:w="1275" w:type="dxa"/>
            <w:tcBorders>
              <w:top w:val="nil"/>
              <w:left w:val="nil"/>
              <w:bottom w:val="single" w:sz="8" w:space="0" w:color="auto"/>
              <w:right w:val="single" w:sz="8" w:space="0" w:color="auto"/>
            </w:tcBorders>
            <w:shd w:val="clear" w:color="auto" w:fill="auto"/>
            <w:vAlign w:val="center"/>
            <w:hideMark/>
          </w:tcPr>
          <w:p w14:paraId="4B2E0599" w14:textId="77777777" w:rsidR="0069476E" w:rsidRPr="008F2668" w:rsidRDefault="0069476E" w:rsidP="0069476E">
            <w:pPr>
              <w:jc w:val="center"/>
              <w:rPr>
                <w:rFonts w:eastAsia="Times New Roman" w:cs="Times New Roman"/>
                <w:color w:val="000000"/>
                <w:sz w:val="20"/>
                <w:szCs w:val="20"/>
                <w:lang w:eastAsia="lv-LV"/>
              </w:rPr>
            </w:pPr>
            <w:r w:rsidRPr="008F2668">
              <w:rPr>
                <w:rFonts w:eastAsia="Times New Roman" w:cs="Times New Roman"/>
                <w:color w:val="000000"/>
                <w:sz w:val="20"/>
                <w:szCs w:val="20"/>
                <w:lang w:eastAsia="lv-LV"/>
              </w:rPr>
              <w:t>5 361 893</w:t>
            </w:r>
          </w:p>
        </w:tc>
        <w:tc>
          <w:tcPr>
            <w:tcW w:w="851" w:type="dxa"/>
            <w:tcBorders>
              <w:top w:val="nil"/>
              <w:left w:val="nil"/>
              <w:bottom w:val="single" w:sz="8" w:space="0" w:color="auto"/>
              <w:right w:val="single" w:sz="8" w:space="0" w:color="auto"/>
            </w:tcBorders>
            <w:shd w:val="clear" w:color="auto" w:fill="auto"/>
            <w:noWrap/>
            <w:vAlign w:val="center"/>
            <w:hideMark/>
          </w:tcPr>
          <w:p w14:paraId="3F99A755" w14:textId="77777777" w:rsidR="0069476E" w:rsidRPr="008F2668" w:rsidRDefault="0069476E" w:rsidP="0069476E">
            <w:pPr>
              <w:jc w:val="center"/>
              <w:rPr>
                <w:rFonts w:eastAsia="Times New Roman" w:cs="Times New Roman"/>
                <w:color w:val="000000"/>
                <w:sz w:val="20"/>
                <w:szCs w:val="20"/>
                <w:lang w:eastAsia="lv-LV"/>
              </w:rPr>
            </w:pPr>
            <w:r w:rsidRPr="008F2668">
              <w:rPr>
                <w:rFonts w:eastAsia="Times New Roman" w:cs="Times New Roman"/>
                <w:color w:val="000000"/>
                <w:sz w:val="20"/>
                <w:szCs w:val="20"/>
                <w:lang w:eastAsia="lv-LV"/>
              </w:rPr>
              <w:t>114,6%</w:t>
            </w:r>
          </w:p>
        </w:tc>
        <w:tc>
          <w:tcPr>
            <w:tcW w:w="1275" w:type="dxa"/>
            <w:tcBorders>
              <w:top w:val="nil"/>
              <w:left w:val="nil"/>
              <w:bottom w:val="single" w:sz="8" w:space="0" w:color="auto"/>
              <w:right w:val="single" w:sz="8" w:space="0" w:color="auto"/>
            </w:tcBorders>
            <w:shd w:val="clear" w:color="auto" w:fill="auto"/>
            <w:vAlign w:val="center"/>
            <w:hideMark/>
          </w:tcPr>
          <w:p w14:paraId="04B53F2D" w14:textId="77777777" w:rsidR="0069476E" w:rsidRPr="008F2668" w:rsidRDefault="0069476E" w:rsidP="0069476E">
            <w:pPr>
              <w:jc w:val="center"/>
              <w:rPr>
                <w:rFonts w:eastAsia="Times New Roman" w:cs="Times New Roman"/>
                <w:color w:val="000000"/>
                <w:sz w:val="20"/>
                <w:szCs w:val="20"/>
                <w:lang w:eastAsia="lv-LV"/>
              </w:rPr>
            </w:pPr>
            <w:r w:rsidRPr="008F2668">
              <w:rPr>
                <w:rFonts w:eastAsia="Times New Roman" w:cs="Times New Roman"/>
                <w:color w:val="000000"/>
                <w:sz w:val="20"/>
                <w:szCs w:val="20"/>
                <w:lang w:eastAsia="lv-LV"/>
              </w:rPr>
              <w:t>4 047 934</w:t>
            </w:r>
          </w:p>
        </w:tc>
      </w:tr>
      <w:tr w:rsidR="0069476E" w:rsidRPr="008F2668" w14:paraId="30CB1519" w14:textId="77777777" w:rsidTr="00732FD3">
        <w:trPr>
          <w:trHeight w:val="330"/>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5497EE0F" w14:textId="77777777" w:rsidR="0069476E" w:rsidRPr="008F2668" w:rsidRDefault="0069476E" w:rsidP="0069476E">
            <w:pPr>
              <w:rPr>
                <w:rFonts w:eastAsia="Times New Roman" w:cs="Times New Roman"/>
                <w:color w:val="000000"/>
                <w:sz w:val="20"/>
                <w:szCs w:val="20"/>
                <w:lang w:eastAsia="lv-LV"/>
              </w:rPr>
            </w:pPr>
            <w:r w:rsidRPr="008F2668">
              <w:rPr>
                <w:rFonts w:eastAsia="Times New Roman" w:cs="Times New Roman"/>
                <w:color w:val="000000"/>
                <w:sz w:val="20"/>
                <w:szCs w:val="20"/>
                <w:lang w:eastAsia="lv-LV"/>
              </w:rPr>
              <w:t>8.Izglītība, prasmes un mūžizglītība</w:t>
            </w:r>
          </w:p>
        </w:tc>
        <w:tc>
          <w:tcPr>
            <w:tcW w:w="1276" w:type="dxa"/>
            <w:tcBorders>
              <w:top w:val="nil"/>
              <w:left w:val="nil"/>
              <w:bottom w:val="single" w:sz="8" w:space="0" w:color="auto"/>
              <w:right w:val="single" w:sz="8" w:space="0" w:color="auto"/>
            </w:tcBorders>
            <w:shd w:val="clear" w:color="auto" w:fill="auto"/>
            <w:noWrap/>
            <w:vAlign w:val="center"/>
            <w:hideMark/>
          </w:tcPr>
          <w:p w14:paraId="63949D4C" w14:textId="77777777" w:rsidR="0069476E" w:rsidRPr="008F2668" w:rsidRDefault="0069476E" w:rsidP="0069476E">
            <w:pPr>
              <w:jc w:val="center"/>
              <w:rPr>
                <w:rFonts w:eastAsia="Times New Roman" w:cs="Times New Roman"/>
                <w:color w:val="000000"/>
                <w:sz w:val="20"/>
                <w:szCs w:val="20"/>
                <w:lang w:eastAsia="lv-LV"/>
              </w:rPr>
            </w:pPr>
            <w:r w:rsidRPr="008F2668">
              <w:rPr>
                <w:rFonts w:eastAsia="Times New Roman" w:cs="Times New Roman"/>
                <w:color w:val="000000"/>
                <w:sz w:val="20"/>
                <w:szCs w:val="20"/>
                <w:lang w:eastAsia="lv-LV"/>
              </w:rPr>
              <w:t>5 048 340</w:t>
            </w:r>
          </w:p>
        </w:tc>
        <w:tc>
          <w:tcPr>
            <w:tcW w:w="1275" w:type="dxa"/>
            <w:tcBorders>
              <w:top w:val="nil"/>
              <w:left w:val="nil"/>
              <w:bottom w:val="single" w:sz="8" w:space="0" w:color="auto"/>
              <w:right w:val="single" w:sz="8" w:space="0" w:color="auto"/>
            </w:tcBorders>
            <w:shd w:val="clear" w:color="auto" w:fill="auto"/>
            <w:vAlign w:val="center"/>
            <w:hideMark/>
          </w:tcPr>
          <w:p w14:paraId="5763635F" w14:textId="77777777" w:rsidR="0069476E" w:rsidRPr="008F2668" w:rsidRDefault="0069476E" w:rsidP="0069476E">
            <w:pPr>
              <w:jc w:val="center"/>
              <w:rPr>
                <w:rFonts w:eastAsia="Times New Roman" w:cs="Times New Roman"/>
                <w:color w:val="000000"/>
                <w:sz w:val="20"/>
                <w:szCs w:val="20"/>
                <w:lang w:eastAsia="lv-LV"/>
              </w:rPr>
            </w:pPr>
            <w:r w:rsidRPr="008F2668">
              <w:rPr>
                <w:rFonts w:eastAsia="Times New Roman" w:cs="Times New Roman"/>
                <w:color w:val="000000"/>
                <w:sz w:val="20"/>
                <w:szCs w:val="20"/>
                <w:lang w:eastAsia="lv-LV"/>
              </w:rPr>
              <w:t>1 209 055</w:t>
            </w:r>
          </w:p>
        </w:tc>
        <w:tc>
          <w:tcPr>
            <w:tcW w:w="1276" w:type="dxa"/>
            <w:tcBorders>
              <w:top w:val="nil"/>
              <w:left w:val="nil"/>
              <w:bottom w:val="single" w:sz="8" w:space="0" w:color="auto"/>
              <w:right w:val="single" w:sz="8" w:space="0" w:color="auto"/>
            </w:tcBorders>
            <w:shd w:val="clear" w:color="auto" w:fill="auto"/>
            <w:vAlign w:val="center"/>
            <w:hideMark/>
          </w:tcPr>
          <w:p w14:paraId="1AE80988" w14:textId="77777777" w:rsidR="0069476E" w:rsidRPr="00A81658" w:rsidRDefault="0069476E" w:rsidP="0069476E">
            <w:pPr>
              <w:jc w:val="center"/>
              <w:rPr>
                <w:rFonts w:eastAsia="Times New Roman" w:cs="Times New Roman"/>
                <w:b/>
                <w:color w:val="FF0000"/>
                <w:sz w:val="20"/>
                <w:szCs w:val="20"/>
                <w:lang w:eastAsia="lv-LV"/>
              </w:rPr>
            </w:pPr>
            <w:r w:rsidRPr="00A81658">
              <w:rPr>
                <w:rFonts w:eastAsia="Times New Roman" w:cs="Times New Roman"/>
                <w:b/>
                <w:color w:val="FF0000"/>
                <w:sz w:val="20"/>
                <w:szCs w:val="20"/>
                <w:lang w:eastAsia="lv-LV"/>
              </w:rPr>
              <w:t>284 192</w:t>
            </w:r>
          </w:p>
        </w:tc>
        <w:tc>
          <w:tcPr>
            <w:tcW w:w="851" w:type="dxa"/>
            <w:tcBorders>
              <w:top w:val="nil"/>
              <w:left w:val="nil"/>
              <w:bottom w:val="single" w:sz="8" w:space="0" w:color="auto"/>
              <w:right w:val="single" w:sz="8" w:space="0" w:color="auto"/>
            </w:tcBorders>
            <w:shd w:val="clear" w:color="auto" w:fill="auto"/>
            <w:noWrap/>
            <w:vAlign w:val="center"/>
            <w:hideMark/>
          </w:tcPr>
          <w:p w14:paraId="52C26DF6" w14:textId="08E91B94" w:rsidR="0069476E" w:rsidRPr="00A81658" w:rsidRDefault="0069476E" w:rsidP="0069476E">
            <w:pPr>
              <w:rPr>
                <w:rFonts w:eastAsia="Times New Roman" w:cs="Times New Roman"/>
                <w:b/>
                <w:color w:val="FF0000"/>
                <w:sz w:val="20"/>
                <w:szCs w:val="20"/>
                <w:lang w:eastAsia="lv-LV"/>
              </w:rPr>
            </w:pPr>
            <w:r w:rsidRPr="00A81658">
              <w:rPr>
                <w:rFonts w:eastAsia="Times New Roman" w:cs="Times New Roman"/>
                <w:b/>
                <w:color w:val="FF0000"/>
                <w:sz w:val="20"/>
                <w:szCs w:val="20"/>
                <w:lang w:eastAsia="lv-LV"/>
              </w:rPr>
              <w:t>23,5%</w:t>
            </w:r>
          </w:p>
        </w:tc>
        <w:tc>
          <w:tcPr>
            <w:tcW w:w="1275" w:type="dxa"/>
            <w:tcBorders>
              <w:top w:val="nil"/>
              <w:left w:val="nil"/>
              <w:bottom w:val="single" w:sz="8" w:space="0" w:color="auto"/>
              <w:right w:val="single" w:sz="8" w:space="0" w:color="auto"/>
            </w:tcBorders>
            <w:shd w:val="clear" w:color="auto" w:fill="auto"/>
            <w:vAlign w:val="center"/>
            <w:hideMark/>
          </w:tcPr>
          <w:p w14:paraId="0801621E" w14:textId="77777777" w:rsidR="0069476E" w:rsidRPr="008F2668" w:rsidRDefault="0069476E" w:rsidP="0069476E">
            <w:pPr>
              <w:jc w:val="center"/>
              <w:rPr>
                <w:rFonts w:eastAsia="Times New Roman" w:cs="Times New Roman"/>
                <w:color w:val="000000"/>
                <w:sz w:val="20"/>
                <w:szCs w:val="20"/>
                <w:lang w:eastAsia="lv-LV"/>
              </w:rPr>
            </w:pPr>
            <w:r w:rsidRPr="008F2668">
              <w:rPr>
                <w:rFonts w:eastAsia="Times New Roman" w:cs="Times New Roman"/>
                <w:color w:val="000000"/>
                <w:sz w:val="20"/>
                <w:szCs w:val="20"/>
                <w:lang w:eastAsia="lv-LV"/>
              </w:rPr>
              <w:t>-924 863</w:t>
            </w:r>
          </w:p>
        </w:tc>
        <w:tc>
          <w:tcPr>
            <w:tcW w:w="851" w:type="dxa"/>
            <w:tcBorders>
              <w:top w:val="nil"/>
              <w:left w:val="nil"/>
              <w:bottom w:val="single" w:sz="8" w:space="0" w:color="auto"/>
              <w:right w:val="single" w:sz="8" w:space="0" w:color="auto"/>
            </w:tcBorders>
            <w:shd w:val="clear" w:color="auto" w:fill="auto"/>
            <w:noWrap/>
            <w:vAlign w:val="center"/>
            <w:hideMark/>
          </w:tcPr>
          <w:p w14:paraId="381DD405" w14:textId="77777777" w:rsidR="0069476E" w:rsidRPr="008F2668" w:rsidRDefault="0069476E" w:rsidP="0069476E">
            <w:pPr>
              <w:jc w:val="center"/>
              <w:rPr>
                <w:rFonts w:eastAsia="Times New Roman" w:cs="Times New Roman"/>
                <w:color w:val="000000"/>
                <w:sz w:val="20"/>
                <w:szCs w:val="20"/>
                <w:lang w:eastAsia="lv-LV"/>
              </w:rPr>
            </w:pPr>
            <w:r w:rsidRPr="008F2668">
              <w:rPr>
                <w:rFonts w:eastAsia="Times New Roman" w:cs="Times New Roman"/>
                <w:color w:val="000000"/>
                <w:sz w:val="20"/>
                <w:szCs w:val="20"/>
                <w:lang w:eastAsia="lv-LV"/>
              </w:rPr>
              <w:t>30,1%</w:t>
            </w:r>
          </w:p>
        </w:tc>
        <w:tc>
          <w:tcPr>
            <w:tcW w:w="1275" w:type="dxa"/>
            <w:tcBorders>
              <w:top w:val="nil"/>
              <w:left w:val="nil"/>
              <w:bottom w:val="single" w:sz="8" w:space="0" w:color="auto"/>
              <w:right w:val="single" w:sz="8" w:space="0" w:color="auto"/>
            </w:tcBorders>
            <w:shd w:val="clear" w:color="auto" w:fill="auto"/>
            <w:vAlign w:val="center"/>
            <w:hideMark/>
          </w:tcPr>
          <w:p w14:paraId="6B5B835A" w14:textId="77777777" w:rsidR="0069476E" w:rsidRPr="008F2668" w:rsidRDefault="0069476E" w:rsidP="0069476E">
            <w:pPr>
              <w:jc w:val="center"/>
              <w:rPr>
                <w:rFonts w:eastAsia="Times New Roman" w:cs="Times New Roman"/>
                <w:color w:val="000000"/>
                <w:sz w:val="20"/>
                <w:szCs w:val="20"/>
                <w:lang w:eastAsia="lv-LV"/>
              </w:rPr>
            </w:pPr>
            <w:r w:rsidRPr="008F2668">
              <w:rPr>
                <w:rFonts w:eastAsia="Times New Roman" w:cs="Times New Roman"/>
                <w:color w:val="000000"/>
                <w:sz w:val="20"/>
                <w:szCs w:val="20"/>
                <w:lang w:eastAsia="lv-LV"/>
              </w:rPr>
              <w:t>-609 501</w:t>
            </w:r>
          </w:p>
        </w:tc>
      </w:tr>
      <w:tr w:rsidR="0069476E" w:rsidRPr="008F2668" w14:paraId="622F41FD" w14:textId="77777777" w:rsidTr="00732FD3">
        <w:trPr>
          <w:trHeight w:val="330"/>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79F52E3B" w14:textId="77777777" w:rsidR="0069476E" w:rsidRPr="008F2668" w:rsidRDefault="0069476E" w:rsidP="0069476E">
            <w:pPr>
              <w:rPr>
                <w:rFonts w:eastAsia="Times New Roman" w:cs="Times New Roman"/>
                <w:color w:val="000000"/>
                <w:sz w:val="20"/>
                <w:szCs w:val="20"/>
                <w:lang w:eastAsia="lv-LV"/>
              </w:rPr>
            </w:pPr>
            <w:r w:rsidRPr="008F2668">
              <w:rPr>
                <w:rFonts w:eastAsia="Times New Roman" w:cs="Times New Roman"/>
                <w:color w:val="000000"/>
                <w:sz w:val="20"/>
                <w:szCs w:val="20"/>
                <w:lang w:eastAsia="lv-LV"/>
              </w:rPr>
              <w:t>9.Sociālā iekļaušana un nabadzības apkarošana</w:t>
            </w:r>
          </w:p>
        </w:tc>
        <w:tc>
          <w:tcPr>
            <w:tcW w:w="1276" w:type="dxa"/>
            <w:tcBorders>
              <w:top w:val="nil"/>
              <w:left w:val="nil"/>
              <w:bottom w:val="single" w:sz="8" w:space="0" w:color="auto"/>
              <w:right w:val="single" w:sz="8" w:space="0" w:color="auto"/>
            </w:tcBorders>
            <w:shd w:val="clear" w:color="auto" w:fill="auto"/>
            <w:noWrap/>
            <w:vAlign w:val="center"/>
            <w:hideMark/>
          </w:tcPr>
          <w:p w14:paraId="4DFB7895" w14:textId="77777777" w:rsidR="0069476E" w:rsidRPr="008F2668" w:rsidRDefault="0069476E" w:rsidP="0069476E">
            <w:pPr>
              <w:jc w:val="center"/>
              <w:rPr>
                <w:rFonts w:eastAsia="Times New Roman" w:cs="Times New Roman"/>
                <w:color w:val="000000"/>
                <w:sz w:val="20"/>
                <w:szCs w:val="20"/>
                <w:lang w:eastAsia="lv-LV"/>
              </w:rPr>
            </w:pPr>
            <w:r w:rsidRPr="008F2668">
              <w:rPr>
                <w:rFonts w:eastAsia="Times New Roman" w:cs="Times New Roman"/>
                <w:color w:val="000000"/>
                <w:sz w:val="20"/>
                <w:szCs w:val="20"/>
                <w:lang w:eastAsia="lv-LV"/>
              </w:rPr>
              <w:t>16 054 669</w:t>
            </w:r>
          </w:p>
        </w:tc>
        <w:tc>
          <w:tcPr>
            <w:tcW w:w="1275" w:type="dxa"/>
            <w:tcBorders>
              <w:top w:val="nil"/>
              <w:left w:val="nil"/>
              <w:bottom w:val="single" w:sz="8" w:space="0" w:color="auto"/>
              <w:right w:val="single" w:sz="8" w:space="0" w:color="auto"/>
            </w:tcBorders>
            <w:shd w:val="clear" w:color="auto" w:fill="auto"/>
            <w:vAlign w:val="center"/>
            <w:hideMark/>
          </w:tcPr>
          <w:p w14:paraId="434DBC61" w14:textId="77777777" w:rsidR="0069476E" w:rsidRPr="008F2668" w:rsidRDefault="0069476E" w:rsidP="0069476E">
            <w:pPr>
              <w:jc w:val="center"/>
              <w:rPr>
                <w:rFonts w:eastAsia="Times New Roman" w:cs="Times New Roman"/>
                <w:color w:val="000000"/>
                <w:sz w:val="20"/>
                <w:szCs w:val="20"/>
                <w:lang w:eastAsia="lv-LV"/>
              </w:rPr>
            </w:pPr>
            <w:r w:rsidRPr="008F2668">
              <w:rPr>
                <w:rFonts w:eastAsia="Times New Roman" w:cs="Times New Roman"/>
                <w:color w:val="000000"/>
                <w:sz w:val="20"/>
                <w:szCs w:val="20"/>
                <w:lang w:eastAsia="lv-LV"/>
              </w:rPr>
              <w:t>12 049 770</w:t>
            </w:r>
          </w:p>
        </w:tc>
        <w:tc>
          <w:tcPr>
            <w:tcW w:w="1276" w:type="dxa"/>
            <w:tcBorders>
              <w:top w:val="nil"/>
              <w:left w:val="nil"/>
              <w:bottom w:val="single" w:sz="8" w:space="0" w:color="auto"/>
              <w:right w:val="single" w:sz="8" w:space="0" w:color="auto"/>
            </w:tcBorders>
            <w:shd w:val="clear" w:color="auto" w:fill="auto"/>
            <w:vAlign w:val="center"/>
            <w:hideMark/>
          </w:tcPr>
          <w:p w14:paraId="18409D52" w14:textId="77777777" w:rsidR="0069476E" w:rsidRPr="00A81658" w:rsidRDefault="0069476E" w:rsidP="0069476E">
            <w:pPr>
              <w:jc w:val="center"/>
              <w:rPr>
                <w:rFonts w:eastAsia="Times New Roman" w:cs="Times New Roman"/>
                <w:b/>
                <w:color w:val="FF0000"/>
                <w:sz w:val="20"/>
                <w:szCs w:val="20"/>
                <w:lang w:eastAsia="lv-LV"/>
              </w:rPr>
            </w:pPr>
            <w:r w:rsidRPr="00A81658">
              <w:rPr>
                <w:rFonts w:eastAsia="Times New Roman" w:cs="Times New Roman"/>
                <w:b/>
                <w:color w:val="FF0000"/>
                <w:sz w:val="20"/>
                <w:szCs w:val="20"/>
                <w:lang w:eastAsia="lv-LV"/>
              </w:rPr>
              <w:t>3 804 649</w:t>
            </w:r>
          </w:p>
        </w:tc>
        <w:tc>
          <w:tcPr>
            <w:tcW w:w="851" w:type="dxa"/>
            <w:tcBorders>
              <w:top w:val="nil"/>
              <w:left w:val="nil"/>
              <w:bottom w:val="single" w:sz="8" w:space="0" w:color="auto"/>
              <w:right w:val="single" w:sz="8" w:space="0" w:color="auto"/>
            </w:tcBorders>
            <w:shd w:val="clear" w:color="auto" w:fill="auto"/>
            <w:noWrap/>
            <w:vAlign w:val="center"/>
            <w:hideMark/>
          </w:tcPr>
          <w:p w14:paraId="01E02298" w14:textId="71D3BB7A" w:rsidR="0069476E" w:rsidRPr="00A81658" w:rsidRDefault="0069476E" w:rsidP="0069476E">
            <w:pPr>
              <w:rPr>
                <w:rFonts w:eastAsia="Times New Roman" w:cs="Times New Roman"/>
                <w:b/>
                <w:color w:val="FF0000"/>
                <w:sz w:val="20"/>
                <w:szCs w:val="20"/>
                <w:lang w:eastAsia="lv-LV"/>
              </w:rPr>
            </w:pPr>
            <w:r w:rsidRPr="00A81658">
              <w:rPr>
                <w:rFonts w:eastAsia="Times New Roman" w:cs="Times New Roman"/>
                <w:b/>
                <w:color w:val="FF0000"/>
                <w:sz w:val="20"/>
                <w:szCs w:val="20"/>
                <w:lang w:eastAsia="lv-LV"/>
              </w:rPr>
              <w:t>31,6%</w:t>
            </w:r>
          </w:p>
        </w:tc>
        <w:tc>
          <w:tcPr>
            <w:tcW w:w="1275" w:type="dxa"/>
            <w:tcBorders>
              <w:top w:val="nil"/>
              <w:left w:val="nil"/>
              <w:bottom w:val="single" w:sz="8" w:space="0" w:color="auto"/>
              <w:right w:val="single" w:sz="8" w:space="0" w:color="auto"/>
            </w:tcBorders>
            <w:shd w:val="clear" w:color="auto" w:fill="auto"/>
            <w:vAlign w:val="center"/>
            <w:hideMark/>
          </w:tcPr>
          <w:p w14:paraId="0E9BBF7E" w14:textId="77777777" w:rsidR="0069476E" w:rsidRPr="008F2668" w:rsidRDefault="0069476E" w:rsidP="0069476E">
            <w:pPr>
              <w:jc w:val="center"/>
              <w:rPr>
                <w:rFonts w:eastAsia="Times New Roman" w:cs="Times New Roman"/>
                <w:color w:val="000000"/>
                <w:sz w:val="20"/>
                <w:szCs w:val="20"/>
                <w:lang w:eastAsia="lv-LV"/>
              </w:rPr>
            </w:pPr>
            <w:r w:rsidRPr="008F2668">
              <w:rPr>
                <w:rFonts w:eastAsia="Times New Roman" w:cs="Times New Roman"/>
                <w:color w:val="000000"/>
                <w:sz w:val="20"/>
                <w:szCs w:val="20"/>
                <w:lang w:eastAsia="lv-LV"/>
              </w:rPr>
              <w:t>-8 245 121</w:t>
            </w:r>
          </w:p>
        </w:tc>
        <w:tc>
          <w:tcPr>
            <w:tcW w:w="851" w:type="dxa"/>
            <w:tcBorders>
              <w:top w:val="nil"/>
              <w:left w:val="nil"/>
              <w:bottom w:val="single" w:sz="8" w:space="0" w:color="auto"/>
              <w:right w:val="single" w:sz="8" w:space="0" w:color="auto"/>
            </w:tcBorders>
            <w:shd w:val="clear" w:color="auto" w:fill="auto"/>
            <w:noWrap/>
            <w:vAlign w:val="center"/>
            <w:hideMark/>
          </w:tcPr>
          <w:p w14:paraId="080E06F1" w14:textId="77777777" w:rsidR="0069476E" w:rsidRPr="008F2668" w:rsidRDefault="0069476E" w:rsidP="0069476E">
            <w:pPr>
              <w:jc w:val="center"/>
              <w:rPr>
                <w:rFonts w:eastAsia="Times New Roman" w:cs="Times New Roman"/>
                <w:color w:val="000000"/>
                <w:sz w:val="20"/>
                <w:szCs w:val="20"/>
                <w:lang w:eastAsia="lv-LV"/>
              </w:rPr>
            </w:pPr>
            <w:r w:rsidRPr="008F2668">
              <w:rPr>
                <w:rFonts w:eastAsia="Times New Roman" w:cs="Times New Roman"/>
                <w:color w:val="000000"/>
                <w:sz w:val="20"/>
                <w:szCs w:val="20"/>
                <w:lang w:eastAsia="lv-LV"/>
              </w:rPr>
              <w:t>40,9%</w:t>
            </w:r>
          </w:p>
        </w:tc>
        <w:tc>
          <w:tcPr>
            <w:tcW w:w="1275" w:type="dxa"/>
            <w:tcBorders>
              <w:top w:val="nil"/>
              <w:left w:val="nil"/>
              <w:bottom w:val="single" w:sz="8" w:space="0" w:color="auto"/>
              <w:right w:val="single" w:sz="8" w:space="0" w:color="auto"/>
            </w:tcBorders>
            <w:shd w:val="clear" w:color="auto" w:fill="auto"/>
            <w:vAlign w:val="center"/>
            <w:hideMark/>
          </w:tcPr>
          <w:p w14:paraId="1D2CFE94" w14:textId="77777777" w:rsidR="0069476E" w:rsidRPr="008F2668" w:rsidRDefault="0069476E" w:rsidP="0069476E">
            <w:pPr>
              <w:jc w:val="center"/>
              <w:rPr>
                <w:rFonts w:eastAsia="Times New Roman" w:cs="Times New Roman"/>
                <w:color w:val="000000"/>
                <w:sz w:val="20"/>
                <w:szCs w:val="20"/>
                <w:lang w:eastAsia="lv-LV"/>
              </w:rPr>
            </w:pPr>
            <w:r w:rsidRPr="008F2668">
              <w:rPr>
                <w:rFonts w:eastAsia="Times New Roman" w:cs="Times New Roman"/>
                <w:color w:val="000000"/>
                <w:sz w:val="20"/>
                <w:szCs w:val="20"/>
                <w:lang w:eastAsia="lv-LV"/>
              </w:rPr>
              <w:t>-5 338 724</w:t>
            </w:r>
          </w:p>
        </w:tc>
      </w:tr>
      <w:tr w:rsidR="0069476E" w:rsidRPr="008F2668" w14:paraId="05A29153" w14:textId="77777777" w:rsidTr="00732FD3">
        <w:trPr>
          <w:trHeight w:val="330"/>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4A037907" w14:textId="77777777" w:rsidR="0069476E" w:rsidRPr="008F2668" w:rsidRDefault="0069476E" w:rsidP="0069476E">
            <w:pPr>
              <w:rPr>
                <w:rFonts w:eastAsia="Times New Roman" w:cs="Times New Roman"/>
                <w:color w:val="000000"/>
                <w:sz w:val="20"/>
                <w:szCs w:val="20"/>
                <w:lang w:eastAsia="lv-LV"/>
              </w:rPr>
            </w:pPr>
            <w:r w:rsidRPr="008F2668">
              <w:rPr>
                <w:rFonts w:eastAsia="Times New Roman" w:cs="Times New Roman"/>
                <w:color w:val="000000"/>
                <w:sz w:val="20"/>
                <w:szCs w:val="20"/>
                <w:lang w:eastAsia="lv-LV"/>
              </w:rPr>
              <w:t>10.; 11.; 12. Tehniskā palīdzība</w:t>
            </w:r>
          </w:p>
        </w:tc>
        <w:tc>
          <w:tcPr>
            <w:tcW w:w="1276" w:type="dxa"/>
            <w:tcBorders>
              <w:top w:val="nil"/>
              <w:left w:val="nil"/>
              <w:bottom w:val="single" w:sz="8" w:space="0" w:color="auto"/>
              <w:right w:val="single" w:sz="8" w:space="0" w:color="auto"/>
            </w:tcBorders>
            <w:shd w:val="clear" w:color="auto" w:fill="auto"/>
            <w:noWrap/>
            <w:vAlign w:val="center"/>
            <w:hideMark/>
          </w:tcPr>
          <w:p w14:paraId="0246CD86" w14:textId="77777777" w:rsidR="0069476E" w:rsidRPr="008F2668" w:rsidRDefault="0069476E" w:rsidP="0069476E">
            <w:pPr>
              <w:jc w:val="center"/>
              <w:rPr>
                <w:rFonts w:eastAsia="Times New Roman" w:cs="Times New Roman"/>
                <w:color w:val="000000"/>
                <w:sz w:val="20"/>
                <w:szCs w:val="20"/>
                <w:lang w:eastAsia="lv-LV"/>
              </w:rPr>
            </w:pPr>
            <w:r w:rsidRPr="008F2668">
              <w:rPr>
                <w:rFonts w:eastAsia="Times New Roman" w:cs="Times New Roman"/>
                <w:color w:val="000000"/>
                <w:sz w:val="20"/>
                <w:szCs w:val="20"/>
                <w:lang w:eastAsia="lv-LV"/>
              </w:rPr>
              <w:t>12 463 361</w:t>
            </w:r>
          </w:p>
        </w:tc>
        <w:tc>
          <w:tcPr>
            <w:tcW w:w="1275" w:type="dxa"/>
            <w:tcBorders>
              <w:top w:val="nil"/>
              <w:left w:val="nil"/>
              <w:bottom w:val="single" w:sz="8" w:space="0" w:color="auto"/>
              <w:right w:val="single" w:sz="8" w:space="0" w:color="auto"/>
            </w:tcBorders>
            <w:shd w:val="clear" w:color="auto" w:fill="auto"/>
            <w:vAlign w:val="center"/>
            <w:hideMark/>
          </w:tcPr>
          <w:p w14:paraId="71474832" w14:textId="77777777" w:rsidR="0069476E" w:rsidRPr="008F2668" w:rsidRDefault="0069476E" w:rsidP="0069476E">
            <w:pPr>
              <w:jc w:val="center"/>
              <w:rPr>
                <w:rFonts w:eastAsia="Times New Roman" w:cs="Times New Roman"/>
                <w:color w:val="000000"/>
                <w:sz w:val="20"/>
                <w:szCs w:val="20"/>
                <w:lang w:eastAsia="lv-LV"/>
              </w:rPr>
            </w:pPr>
            <w:r w:rsidRPr="008F2668">
              <w:rPr>
                <w:rFonts w:eastAsia="Times New Roman" w:cs="Times New Roman"/>
                <w:color w:val="000000"/>
                <w:sz w:val="20"/>
                <w:szCs w:val="20"/>
                <w:lang w:eastAsia="lv-LV"/>
              </w:rPr>
              <w:t>8 308 908</w:t>
            </w:r>
          </w:p>
        </w:tc>
        <w:tc>
          <w:tcPr>
            <w:tcW w:w="1276" w:type="dxa"/>
            <w:tcBorders>
              <w:top w:val="nil"/>
              <w:left w:val="nil"/>
              <w:bottom w:val="single" w:sz="8" w:space="0" w:color="auto"/>
              <w:right w:val="single" w:sz="8" w:space="0" w:color="auto"/>
            </w:tcBorders>
            <w:shd w:val="clear" w:color="auto" w:fill="auto"/>
            <w:vAlign w:val="center"/>
            <w:hideMark/>
          </w:tcPr>
          <w:p w14:paraId="56A9A10C" w14:textId="77777777" w:rsidR="0069476E" w:rsidRPr="00A81658" w:rsidRDefault="0069476E" w:rsidP="0069476E">
            <w:pPr>
              <w:jc w:val="center"/>
              <w:rPr>
                <w:rFonts w:eastAsia="Times New Roman" w:cs="Times New Roman"/>
                <w:b/>
                <w:color w:val="FF0000"/>
                <w:sz w:val="20"/>
                <w:szCs w:val="20"/>
                <w:lang w:eastAsia="lv-LV"/>
              </w:rPr>
            </w:pPr>
            <w:r w:rsidRPr="00A81658">
              <w:rPr>
                <w:rFonts w:eastAsia="Times New Roman" w:cs="Times New Roman"/>
                <w:b/>
                <w:color w:val="FF0000"/>
                <w:sz w:val="20"/>
                <w:szCs w:val="20"/>
                <w:lang w:eastAsia="lv-LV"/>
              </w:rPr>
              <w:t>5 639 066</w:t>
            </w:r>
          </w:p>
        </w:tc>
        <w:tc>
          <w:tcPr>
            <w:tcW w:w="851" w:type="dxa"/>
            <w:tcBorders>
              <w:top w:val="nil"/>
              <w:left w:val="nil"/>
              <w:bottom w:val="single" w:sz="8" w:space="0" w:color="auto"/>
              <w:right w:val="single" w:sz="8" w:space="0" w:color="auto"/>
            </w:tcBorders>
            <w:shd w:val="clear" w:color="auto" w:fill="auto"/>
            <w:noWrap/>
            <w:vAlign w:val="center"/>
            <w:hideMark/>
          </w:tcPr>
          <w:p w14:paraId="44943615" w14:textId="62CC38CB" w:rsidR="0069476E" w:rsidRPr="00A81658" w:rsidRDefault="0069476E" w:rsidP="0069476E">
            <w:pPr>
              <w:rPr>
                <w:rFonts w:eastAsia="Times New Roman" w:cs="Times New Roman"/>
                <w:b/>
                <w:color w:val="FF0000"/>
                <w:sz w:val="20"/>
                <w:szCs w:val="20"/>
                <w:lang w:eastAsia="lv-LV"/>
              </w:rPr>
            </w:pPr>
            <w:r w:rsidRPr="00A81658">
              <w:rPr>
                <w:rFonts w:eastAsia="Times New Roman" w:cs="Times New Roman"/>
                <w:b/>
                <w:color w:val="FF0000"/>
                <w:sz w:val="20"/>
                <w:szCs w:val="20"/>
                <w:lang w:eastAsia="lv-LV"/>
              </w:rPr>
              <w:t>67,9%</w:t>
            </w:r>
          </w:p>
        </w:tc>
        <w:tc>
          <w:tcPr>
            <w:tcW w:w="1275" w:type="dxa"/>
            <w:tcBorders>
              <w:top w:val="nil"/>
              <w:left w:val="nil"/>
              <w:bottom w:val="single" w:sz="8" w:space="0" w:color="auto"/>
              <w:right w:val="single" w:sz="8" w:space="0" w:color="auto"/>
            </w:tcBorders>
            <w:shd w:val="clear" w:color="auto" w:fill="auto"/>
            <w:vAlign w:val="center"/>
            <w:hideMark/>
          </w:tcPr>
          <w:p w14:paraId="04EB8C9D" w14:textId="77777777" w:rsidR="0069476E" w:rsidRPr="008F2668" w:rsidRDefault="0069476E" w:rsidP="0069476E">
            <w:pPr>
              <w:jc w:val="center"/>
              <w:rPr>
                <w:rFonts w:eastAsia="Times New Roman" w:cs="Times New Roman"/>
                <w:color w:val="000000"/>
                <w:sz w:val="20"/>
                <w:szCs w:val="20"/>
                <w:lang w:eastAsia="lv-LV"/>
              </w:rPr>
            </w:pPr>
            <w:r w:rsidRPr="008F2668">
              <w:rPr>
                <w:rFonts w:eastAsia="Times New Roman" w:cs="Times New Roman"/>
                <w:color w:val="000000"/>
                <w:sz w:val="20"/>
                <w:szCs w:val="20"/>
                <w:lang w:eastAsia="lv-LV"/>
              </w:rPr>
              <w:t>-2 669 842</w:t>
            </w:r>
          </w:p>
        </w:tc>
        <w:tc>
          <w:tcPr>
            <w:tcW w:w="851" w:type="dxa"/>
            <w:tcBorders>
              <w:top w:val="nil"/>
              <w:left w:val="nil"/>
              <w:bottom w:val="single" w:sz="8" w:space="0" w:color="auto"/>
              <w:right w:val="single" w:sz="8" w:space="0" w:color="auto"/>
            </w:tcBorders>
            <w:shd w:val="clear" w:color="auto" w:fill="auto"/>
            <w:noWrap/>
            <w:vAlign w:val="center"/>
            <w:hideMark/>
          </w:tcPr>
          <w:p w14:paraId="5B7E135D" w14:textId="77777777" w:rsidR="0069476E" w:rsidRPr="008F2668" w:rsidRDefault="0069476E" w:rsidP="0069476E">
            <w:pPr>
              <w:jc w:val="center"/>
              <w:rPr>
                <w:rFonts w:eastAsia="Times New Roman" w:cs="Times New Roman"/>
                <w:color w:val="000000"/>
                <w:sz w:val="20"/>
                <w:szCs w:val="20"/>
                <w:lang w:eastAsia="lv-LV"/>
              </w:rPr>
            </w:pPr>
            <w:r w:rsidRPr="008F2668">
              <w:rPr>
                <w:rFonts w:eastAsia="Times New Roman" w:cs="Times New Roman"/>
                <w:color w:val="000000"/>
                <w:sz w:val="20"/>
                <w:szCs w:val="20"/>
                <w:lang w:eastAsia="lv-LV"/>
              </w:rPr>
              <w:t>66,4%</w:t>
            </w:r>
          </w:p>
        </w:tc>
        <w:tc>
          <w:tcPr>
            <w:tcW w:w="1275" w:type="dxa"/>
            <w:tcBorders>
              <w:top w:val="nil"/>
              <w:left w:val="nil"/>
              <w:bottom w:val="single" w:sz="8" w:space="0" w:color="auto"/>
              <w:right w:val="single" w:sz="8" w:space="0" w:color="auto"/>
            </w:tcBorders>
            <w:shd w:val="clear" w:color="auto" w:fill="auto"/>
            <w:vAlign w:val="center"/>
            <w:hideMark/>
          </w:tcPr>
          <w:p w14:paraId="0EB9B6B2" w14:textId="77777777" w:rsidR="0069476E" w:rsidRPr="008F2668" w:rsidRDefault="0069476E" w:rsidP="0069476E">
            <w:pPr>
              <w:jc w:val="center"/>
              <w:rPr>
                <w:rFonts w:eastAsia="Times New Roman" w:cs="Times New Roman"/>
                <w:color w:val="000000"/>
                <w:sz w:val="20"/>
                <w:szCs w:val="20"/>
                <w:lang w:eastAsia="lv-LV"/>
              </w:rPr>
            </w:pPr>
            <w:r w:rsidRPr="008F2668">
              <w:rPr>
                <w:rFonts w:eastAsia="Times New Roman" w:cs="Times New Roman"/>
                <w:color w:val="000000"/>
                <w:sz w:val="20"/>
                <w:szCs w:val="20"/>
                <w:lang w:eastAsia="lv-LV"/>
              </w:rPr>
              <w:t>-2 793 199</w:t>
            </w:r>
          </w:p>
        </w:tc>
      </w:tr>
      <w:tr w:rsidR="0069476E" w:rsidRPr="008F2668" w14:paraId="564C665D" w14:textId="77777777" w:rsidTr="00732FD3">
        <w:trPr>
          <w:trHeight w:val="330"/>
          <w:jc w:val="center"/>
        </w:trPr>
        <w:tc>
          <w:tcPr>
            <w:tcW w:w="1975" w:type="dxa"/>
            <w:tcBorders>
              <w:top w:val="nil"/>
              <w:left w:val="single" w:sz="8" w:space="0" w:color="auto"/>
              <w:bottom w:val="single" w:sz="8" w:space="0" w:color="auto"/>
              <w:right w:val="single" w:sz="8" w:space="0" w:color="auto"/>
            </w:tcBorders>
            <w:shd w:val="clear" w:color="auto" w:fill="auto"/>
            <w:noWrap/>
            <w:vAlign w:val="center"/>
            <w:hideMark/>
          </w:tcPr>
          <w:p w14:paraId="48ADDBA4" w14:textId="77777777" w:rsidR="0069476E" w:rsidRPr="008F2668" w:rsidRDefault="0069476E" w:rsidP="0069476E">
            <w:pPr>
              <w:rPr>
                <w:rFonts w:eastAsia="Times New Roman" w:cs="Times New Roman"/>
                <w:b/>
                <w:bCs/>
                <w:color w:val="000000"/>
                <w:sz w:val="20"/>
                <w:szCs w:val="20"/>
                <w:lang w:eastAsia="lv-LV"/>
              </w:rPr>
            </w:pPr>
            <w:r w:rsidRPr="008F2668">
              <w:rPr>
                <w:rFonts w:eastAsia="Times New Roman" w:cs="Times New Roman"/>
                <w:b/>
                <w:bCs/>
                <w:color w:val="000000"/>
                <w:sz w:val="20"/>
                <w:szCs w:val="20"/>
                <w:lang w:eastAsia="lv-LV"/>
              </w:rPr>
              <w:t>KOPĀ</w:t>
            </w:r>
          </w:p>
        </w:tc>
        <w:tc>
          <w:tcPr>
            <w:tcW w:w="1276" w:type="dxa"/>
            <w:tcBorders>
              <w:top w:val="nil"/>
              <w:left w:val="nil"/>
              <w:bottom w:val="single" w:sz="8" w:space="0" w:color="auto"/>
              <w:right w:val="single" w:sz="8" w:space="0" w:color="auto"/>
            </w:tcBorders>
            <w:shd w:val="clear" w:color="auto" w:fill="auto"/>
            <w:noWrap/>
            <w:vAlign w:val="center"/>
            <w:hideMark/>
          </w:tcPr>
          <w:p w14:paraId="50D00F26" w14:textId="77777777" w:rsidR="0069476E" w:rsidRPr="008F2668" w:rsidRDefault="0069476E" w:rsidP="0069476E">
            <w:pPr>
              <w:jc w:val="center"/>
              <w:rPr>
                <w:rFonts w:eastAsia="Times New Roman" w:cs="Times New Roman"/>
                <w:b/>
                <w:bCs/>
                <w:color w:val="000000"/>
                <w:sz w:val="20"/>
                <w:szCs w:val="20"/>
                <w:lang w:eastAsia="lv-LV"/>
              </w:rPr>
            </w:pPr>
            <w:r w:rsidRPr="008F2668">
              <w:rPr>
                <w:rFonts w:eastAsia="Times New Roman" w:cs="Times New Roman"/>
                <w:b/>
                <w:bCs/>
                <w:color w:val="000000"/>
                <w:sz w:val="20"/>
                <w:szCs w:val="20"/>
                <w:lang w:eastAsia="lv-LV"/>
              </w:rPr>
              <w:t>314 957 659</w:t>
            </w:r>
          </w:p>
        </w:tc>
        <w:tc>
          <w:tcPr>
            <w:tcW w:w="1275" w:type="dxa"/>
            <w:tcBorders>
              <w:top w:val="nil"/>
              <w:left w:val="nil"/>
              <w:bottom w:val="single" w:sz="8" w:space="0" w:color="auto"/>
              <w:right w:val="single" w:sz="8" w:space="0" w:color="auto"/>
            </w:tcBorders>
            <w:shd w:val="clear" w:color="auto" w:fill="auto"/>
            <w:noWrap/>
            <w:vAlign w:val="center"/>
            <w:hideMark/>
          </w:tcPr>
          <w:p w14:paraId="58E20636" w14:textId="77777777" w:rsidR="0069476E" w:rsidRPr="008F2668" w:rsidRDefault="0069476E" w:rsidP="0069476E">
            <w:pPr>
              <w:jc w:val="center"/>
              <w:rPr>
                <w:rFonts w:eastAsia="Times New Roman" w:cs="Times New Roman"/>
                <w:b/>
                <w:bCs/>
                <w:color w:val="000000"/>
                <w:sz w:val="20"/>
                <w:szCs w:val="20"/>
                <w:lang w:eastAsia="lv-LV"/>
              </w:rPr>
            </w:pPr>
            <w:r w:rsidRPr="008F2668">
              <w:rPr>
                <w:rFonts w:eastAsia="Times New Roman" w:cs="Times New Roman"/>
                <w:b/>
                <w:bCs/>
                <w:color w:val="000000"/>
                <w:sz w:val="20"/>
                <w:szCs w:val="20"/>
                <w:lang w:eastAsia="lv-LV"/>
              </w:rPr>
              <w:t>211 105 939</w:t>
            </w:r>
          </w:p>
        </w:tc>
        <w:tc>
          <w:tcPr>
            <w:tcW w:w="1276" w:type="dxa"/>
            <w:tcBorders>
              <w:top w:val="nil"/>
              <w:left w:val="nil"/>
              <w:bottom w:val="single" w:sz="8" w:space="0" w:color="auto"/>
              <w:right w:val="single" w:sz="8" w:space="0" w:color="auto"/>
            </w:tcBorders>
            <w:shd w:val="clear" w:color="auto" w:fill="auto"/>
            <w:noWrap/>
            <w:vAlign w:val="center"/>
            <w:hideMark/>
          </w:tcPr>
          <w:p w14:paraId="7215248C" w14:textId="77777777" w:rsidR="0069476E" w:rsidRPr="008F2668" w:rsidRDefault="0069476E" w:rsidP="0069476E">
            <w:pPr>
              <w:jc w:val="center"/>
              <w:rPr>
                <w:rFonts w:eastAsia="Times New Roman" w:cs="Times New Roman"/>
                <w:b/>
                <w:bCs/>
                <w:color w:val="000000"/>
                <w:sz w:val="20"/>
                <w:szCs w:val="20"/>
                <w:lang w:eastAsia="lv-LV"/>
              </w:rPr>
            </w:pPr>
            <w:r w:rsidRPr="008F2668">
              <w:rPr>
                <w:rFonts w:eastAsia="Times New Roman" w:cs="Times New Roman"/>
                <w:b/>
                <w:bCs/>
                <w:color w:val="000000"/>
                <w:sz w:val="20"/>
                <w:szCs w:val="20"/>
                <w:lang w:eastAsia="lv-LV"/>
              </w:rPr>
              <w:t>166 236 375</w:t>
            </w:r>
          </w:p>
        </w:tc>
        <w:tc>
          <w:tcPr>
            <w:tcW w:w="851" w:type="dxa"/>
            <w:tcBorders>
              <w:top w:val="nil"/>
              <w:left w:val="nil"/>
              <w:bottom w:val="single" w:sz="8" w:space="0" w:color="auto"/>
              <w:right w:val="single" w:sz="8" w:space="0" w:color="auto"/>
            </w:tcBorders>
            <w:shd w:val="clear" w:color="auto" w:fill="auto"/>
            <w:noWrap/>
            <w:vAlign w:val="center"/>
            <w:hideMark/>
          </w:tcPr>
          <w:p w14:paraId="30281462" w14:textId="77777777" w:rsidR="0069476E" w:rsidRPr="008F2668" w:rsidRDefault="0069476E" w:rsidP="0069476E">
            <w:pPr>
              <w:jc w:val="center"/>
              <w:rPr>
                <w:rFonts w:eastAsia="Times New Roman" w:cs="Times New Roman"/>
                <w:b/>
                <w:bCs/>
                <w:color w:val="000000"/>
                <w:sz w:val="20"/>
                <w:szCs w:val="20"/>
                <w:lang w:eastAsia="lv-LV"/>
              </w:rPr>
            </w:pPr>
            <w:r w:rsidRPr="008F2668">
              <w:rPr>
                <w:rFonts w:eastAsia="Times New Roman" w:cs="Times New Roman"/>
                <w:b/>
                <w:bCs/>
                <w:color w:val="000000"/>
                <w:sz w:val="20"/>
                <w:szCs w:val="20"/>
                <w:lang w:eastAsia="lv-LV"/>
              </w:rPr>
              <w:t>78,7%</w:t>
            </w:r>
          </w:p>
        </w:tc>
        <w:tc>
          <w:tcPr>
            <w:tcW w:w="1275" w:type="dxa"/>
            <w:tcBorders>
              <w:top w:val="nil"/>
              <w:left w:val="nil"/>
              <w:bottom w:val="single" w:sz="8" w:space="0" w:color="auto"/>
              <w:right w:val="single" w:sz="8" w:space="0" w:color="auto"/>
            </w:tcBorders>
            <w:shd w:val="clear" w:color="auto" w:fill="auto"/>
            <w:vAlign w:val="center"/>
            <w:hideMark/>
          </w:tcPr>
          <w:p w14:paraId="0CA2C175" w14:textId="77777777" w:rsidR="0069476E" w:rsidRPr="008F2668" w:rsidRDefault="0069476E" w:rsidP="0069476E">
            <w:pPr>
              <w:jc w:val="center"/>
              <w:rPr>
                <w:rFonts w:eastAsia="Times New Roman" w:cs="Times New Roman"/>
                <w:color w:val="000000"/>
                <w:sz w:val="20"/>
                <w:szCs w:val="20"/>
                <w:lang w:eastAsia="lv-LV"/>
              </w:rPr>
            </w:pPr>
            <w:r w:rsidRPr="008F2668">
              <w:rPr>
                <w:rFonts w:eastAsia="Times New Roman" w:cs="Times New Roman"/>
                <w:color w:val="000000"/>
                <w:sz w:val="20"/>
                <w:szCs w:val="20"/>
                <w:lang w:eastAsia="lv-LV"/>
              </w:rPr>
              <w:t>-44 869 564</w:t>
            </w:r>
          </w:p>
        </w:tc>
        <w:tc>
          <w:tcPr>
            <w:tcW w:w="851" w:type="dxa"/>
            <w:tcBorders>
              <w:top w:val="nil"/>
              <w:left w:val="nil"/>
              <w:bottom w:val="single" w:sz="8" w:space="0" w:color="auto"/>
              <w:right w:val="single" w:sz="8" w:space="0" w:color="auto"/>
            </w:tcBorders>
            <w:shd w:val="clear" w:color="auto" w:fill="auto"/>
            <w:noWrap/>
            <w:vAlign w:val="center"/>
            <w:hideMark/>
          </w:tcPr>
          <w:p w14:paraId="5AE44E6A" w14:textId="77777777" w:rsidR="0069476E" w:rsidRPr="008F2668" w:rsidRDefault="0069476E" w:rsidP="0069476E">
            <w:pPr>
              <w:jc w:val="center"/>
              <w:rPr>
                <w:rFonts w:eastAsia="Times New Roman" w:cs="Times New Roman"/>
                <w:b/>
                <w:bCs/>
                <w:color w:val="000000"/>
                <w:sz w:val="20"/>
                <w:szCs w:val="20"/>
                <w:lang w:eastAsia="lv-LV"/>
              </w:rPr>
            </w:pPr>
            <w:r w:rsidRPr="008F2668">
              <w:rPr>
                <w:rFonts w:eastAsia="Times New Roman" w:cs="Times New Roman"/>
                <w:b/>
                <w:bCs/>
                <w:color w:val="000000"/>
                <w:sz w:val="20"/>
                <w:szCs w:val="20"/>
                <w:lang w:eastAsia="lv-LV"/>
              </w:rPr>
              <w:t>77,3%</w:t>
            </w:r>
          </w:p>
        </w:tc>
        <w:tc>
          <w:tcPr>
            <w:tcW w:w="1275" w:type="dxa"/>
            <w:tcBorders>
              <w:top w:val="nil"/>
              <w:left w:val="nil"/>
              <w:bottom w:val="single" w:sz="8" w:space="0" w:color="auto"/>
              <w:right w:val="single" w:sz="8" w:space="0" w:color="auto"/>
            </w:tcBorders>
            <w:shd w:val="clear" w:color="auto" w:fill="auto"/>
            <w:vAlign w:val="center"/>
            <w:hideMark/>
          </w:tcPr>
          <w:p w14:paraId="03A11918" w14:textId="77777777" w:rsidR="0069476E" w:rsidRPr="008F2668" w:rsidRDefault="0069476E" w:rsidP="0069476E">
            <w:pPr>
              <w:jc w:val="center"/>
              <w:rPr>
                <w:rFonts w:eastAsia="Times New Roman" w:cs="Times New Roman"/>
                <w:b/>
                <w:bCs/>
                <w:color w:val="000000"/>
                <w:sz w:val="20"/>
                <w:szCs w:val="20"/>
                <w:lang w:eastAsia="lv-LV"/>
              </w:rPr>
            </w:pPr>
            <w:r w:rsidRPr="008F2668">
              <w:rPr>
                <w:rFonts w:eastAsia="Times New Roman" w:cs="Times New Roman"/>
                <w:b/>
                <w:bCs/>
                <w:color w:val="000000"/>
                <w:sz w:val="20"/>
                <w:szCs w:val="20"/>
                <w:lang w:eastAsia="lv-LV"/>
              </w:rPr>
              <w:t>-41 151 247</w:t>
            </w:r>
          </w:p>
        </w:tc>
      </w:tr>
    </w:tbl>
    <w:p w14:paraId="2BBA6DAF" w14:textId="77777777" w:rsidR="00DD63EB" w:rsidRDefault="00DD63EB" w:rsidP="002F41D0">
      <w:pPr>
        <w:rPr>
          <w:rFonts w:eastAsia="Calibri" w:cs="Times New Roman"/>
          <w:szCs w:val="24"/>
          <w:lang w:eastAsia="ar-SA"/>
        </w:rPr>
      </w:pPr>
    </w:p>
    <w:p w14:paraId="650033E9" w14:textId="77777777" w:rsidR="00732FD3" w:rsidRDefault="00732FD3" w:rsidP="002F41D0">
      <w:pPr>
        <w:rPr>
          <w:rFonts w:eastAsia="Calibri" w:cs="Times New Roman"/>
          <w:szCs w:val="24"/>
          <w:lang w:eastAsia="ar-SA"/>
        </w:rPr>
      </w:pPr>
    </w:p>
    <w:p w14:paraId="53D45BAB" w14:textId="77777777" w:rsidR="00732FD3" w:rsidRDefault="00732FD3" w:rsidP="002F41D0">
      <w:pPr>
        <w:rPr>
          <w:rFonts w:eastAsia="Calibri" w:cs="Times New Roman"/>
          <w:szCs w:val="24"/>
          <w:lang w:eastAsia="ar-SA"/>
        </w:rPr>
      </w:pPr>
    </w:p>
    <w:p w14:paraId="14CD89CA" w14:textId="77777777" w:rsidR="00732FD3" w:rsidRDefault="00732FD3" w:rsidP="002F41D0">
      <w:pPr>
        <w:rPr>
          <w:rFonts w:eastAsia="Calibri" w:cs="Times New Roman"/>
          <w:szCs w:val="24"/>
          <w:lang w:eastAsia="ar-SA"/>
        </w:rPr>
      </w:pPr>
    </w:p>
    <w:p w14:paraId="2293AA74" w14:textId="77777777" w:rsidR="00357A62" w:rsidRDefault="00357A62">
      <w:pPr>
        <w:rPr>
          <w:rFonts w:eastAsia="Calibri" w:cs="Times New Roman"/>
          <w:szCs w:val="24"/>
          <w:lang w:eastAsia="ar-SA"/>
        </w:rPr>
      </w:pPr>
      <w:r>
        <w:rPr>
          <w:rFonts w:eastAsia="Calibri" w:cs="Times New Roman"/>
          <w:szCs w:val="24"/>
          <w:lang w:eastAsia="ar-SA"/>
        </w:rPr>
        <w:br w:type="page"/>
      </w:r>
    </w:p>
    <w:p w14:paraId="565F5815" w14:textId="6C9EC90B" w:rsidR="00684ADB" w:rsidRPr="008F2668" w:rsidRDefault="00684ADB" w:rsidP="002F41D0">
      <w:pPr>
        <w:rPr>
          <w:rFonts w:eastAsia="Calibri" w:cs="Times New Roman"/>
          <w:szCs w:val="24"/>
          <w:lang w:eastAsia="ar-SA"/>
        </w:rPr>
      </w:pPr>
      <w:r w:rsidRPr="008F2668">
        <w:rPr>
          <w:rFonts w:eastAsia="Calibri" w:cs="Times New Roman"/>
          <w:szCs w:val="24"/>
          <w:lang w:eastAsia="ar-SA"/>
        </w:rPr>
        <w:lastRenderedPageBreak/>
        <w:t xml:space="preserve">Pielikumā: </w:t>
      </w:r>
    </w:p>
    <w:p w14:paraId="22C30A34" w14:textId="5A78C868" w:rsidR="00684ADB" w:rsidRPr="008F2668" w:rsidRDefault="00684ADB" w:rsidP="00684ADB">
      <w:pPr>
        <w:pStyle w:val="ListParagraph"/>
        <w:numPr>
          <w:ilvl w:val="0"/>
          <w:numId w:val="4"/>
        </w:numPr>
        <w:suppressAutoHyphens/>
        <w:spacing w:before="120" w:after="120"/>
        <w:ind w:left="425" w:hanging="357"/>
        <w:contextualSpacing w:val="0"/>
        <w:jc w:val="both"/>
        <w:rPr>
          <w:rFonts w:eastAsia="Calibri" w:cs="Times New Roman"/>
          <w:szCs w:val="24"/>
          <w:lang w:eastAsia="ar-SA"/>
        </w:rPr>
      </w:pPr>
      <w:r w:rsidRPr="008F2668">
        <w:rPr>
          <w:rFonts w:eastAsia="Times New Roman" w:cs="Times New Roman"/>
          <w:color w:val="000000"/>
          <w:szCs w:val="24"/>
        </w:rPr>
        <w:t>Eiropas Savienības struktūrfondu un Kohēzijas fonda 2014.-2020.gada plānošanas perioda specifisko atbalsta mērķu ieviešana</w:t>
      </w:r>
      <w:r w:rsidR="00A5453E" w:rsidRPr="008F2668">
        <w:rPr>
          <w:rFonts w:eastAsia="Times New Roman" w:cs="Times New Roman"/>
          <w:color w:val="000000"/>
          <w:szCs w:val="24"/>
        </w:rPr>
        <w:t>s laika grafika statuss uz 01.</w:t>
      </w:r>
      <w:r w:rsidR="00184E4F" w:rsidRPr="008F2668">
        <w:rPr>
          <w:rFonts w:eastAsia="Times New Roman" w:cs="Times New Roman"/>
          <w:color w:val="000000"/>
          <w:szCs w:val="24"/>
        </w:rPr>
        <w:t>11</w:t>
      </w:r>
      <w:r w:rsidRPr="008F2668">
        <w:rPr>
          <w:rFonts w:eastAsia="Times New Roman" w:cs="Times New Roman"/>
          <w:color w:val="000000"/>
          <w:szCs w:val="24"/>
        </w:rPr>
        <w:t xml:space="preserve">.2016. uz </w:t>
      </w:r>
      <w:r w:rsidR="003E1722" w:rsidRPr="008F2668">
        <w:rPr>
          <w:rFonts w:eastAsia="Times New Roman" w:cs="Times New Roman"/>
          <w:color w:val="000000"/>
          <w:szCs w:val="24"/>
        </w:rPr>
        <w:t>2</w:t>
      </w:r>
      <w:r w:rsidRPr="008F2668">
        <w:rPr>
          <w:rFonts w:eastAsia="Times New Roman" w:cs="Times New Roman"/>
          <w:color w:val="000000"/>
          <w:szCs w:val="24"/>
        </w:rPr>
        <w:t xml:space="preserve"> </w:t>
      </w:r>
      <w:proofErr w:type="spellStart"/>
      <w:r w:rsidRPr="008F2668">
        <w:rPr>
          <w:rFonts w:eastAsia="Times New Roman" w:cs="Times New Roman"/>
          <w:color w:val="000000"/>
          <w:szCs w:val="24"/>
        </w:rPr>
        <w:t>lp</w:t>
      </w:r>
      <w:proofErr w:type="spellEnd"/>
      <w:r w:rsidRPr="008F2668">
        <w:rPr>
          <w:rFonts w:eastAsia="Times New Roman" w:cs="Times New Roman"/>
          <w:color w:val="000000"/>
          <w:szCs w:val="24"/>
        </w:rPr>
        <w:t>.</w:t>
      </w:r>
    </w:p>
    <w:p w14:paraId="2F6B27EF" w14:textId="52616424" w:rsidR="00684ADB" w:rsidRPr="008F2668" w:rsidRDefault="00684ADB" w:rsidP="00684ADB">
      <w:pPr>
        <w:pStyle w:val="ListParagraph"/>
        <w:numPr>
          <w:ilvl w:val="0"/>
          <w:numId w:val="4"/>
        </w:numPr>
        <w:suppressAutoHyphens/>
        <w:spacing w:before="120" w:after="120"/>
        <w:ind w:left="425" w:hanging="357"/>
        <w:contextualSpacing w:val="0"/>
        <w:jc w:val="both"/>
        <w:rPr>
          <w:rFonts w:eastAsia="Times New Roman" w:cs="Times New Roman"/>
          <w:color w:val="000000"/>
          <w:szCs w:val="24"/>
        </w:rPr>
      </w:pPr>
      <w:r w:rsidRPr="008F2668">
        <w:rPr>
          <w:rFonts w:eastAsia="Times New Roman" w:cs="Times New Roman"/>
          <w:color w:val="000000"/>
          <w:szCs w:val="24"/>
        </w:rPr>
        <w:t>Kavētie Ministru kabineta noteikumi specifisko atbalsta mērķu/pasā</w:t>
      </w:r>
      <w:r w:rsidR="00515723" w:rsidRPr="008F2668">
        <w:rPr>
          <w:rFonts w:eastAsia="Times New Roman" w:cs="Times New Roman"/>
          <w:color w:val="000000"/>
          <w:szCs w:val="24"/>
        </w:rPr>
        <w:t>kumu laika grafikā, statuss uz 21</w:t>
      </w:r>
      <w:r w:rsidR="00A5453E" w:rsidRPr="008F2668">
        <w:rPr>
          <w:rFonts w:eastAsia="Times New Roman" w:cs="Times New Roman"/>
          <w:color w:val="000000"/>
          <w:szCs w:val="24"/>
        </w:rPr>
        <w:t>.1</w:t>
      </w:r>
      <w:r w:rsidR="00184E4F" w:rsidRPr="008F2668">
        <w:rPr>
          <w:rFonts w:eastAsia="Times New Roman" w:cs="Times New Roman"/>
          <w:color w:val="000000"/>
          <w:szCs w:val="24"/>
        </w:rPr>
        <w:t>1</w:t>
      </w:r>
      <w:r w:rsidRPr="008F2668">
        <w:rPr>
          <w:rFonts w:eastAsia="Times New Roman" w:cs="Times New Roman"/>
          <w:color w:val="000000"/>
          <w:szCs w:val="24"/>
        </w:rPr>
        <w:t xml:space="preserve">.2016 uz 1 </w:t>
      </w:r>
      <w:proofErr w:type="spellStart"/>
      <w:r w:rsidRPr="008F2668">
        <w:rPr>
          <w:rFonts w:eastAsia="Times New Roman" w:cs="Times New Roman"/>
          <w:color w:val="000000"/>
          <w:szCs w:val="24"/>
        </w:rPr>
        <w:t>lp</w:t>
      </w:r>
      <w:proofErr w:type="spellEnd"/>
      <w:r w:rsidRPr="008F2668">
        <w:rPr>
          <w:rFonts w:eastAsia="Times New Roman" w:cs="Times New Roman"/>
          <w:color w:val="000000"/>
          <w:szCs w:val="24"/>
        </w:rPr>
        <w:t>.</w:t>
      </w:r>
    </w:p>
    <w:p w14:paraId="164DF04A" w14:textId="3D73D99C" w:rsidR="00DB203A" w:rsidRPr="008F2668" w:rsidRDefault="00DB203A" w:rsidP="00DB203A">
      <w:pPr>
        <w:pStyle w:val="ListParagraph"/>
        <w:numPr>
          <w:ilvl w:val="0"/>
          <w:numId w:val="4"/>
        </w:numPr>
        <w:suppressAutoHyphens/>
        <w:spacing w:before="120" w:after="120"/>
        <w:ind w:left="425" w:hanging="357"/>
        <w:contextualSpacing w:val="0"/>
        <w:jc w:val="both"/>
        <w:rPr>
          <w:rFonts w:eastAsia="Times New Roman" w:cs="Times New Roman"/>
          <w:color w:val="000000"/>
          <w:szCs w:val="24"/>
        </w:rPr>
      </w:pPr>
      <w:r w:rsidRPr="008F2668">
        <w:rPr>
          <w:rFonts w:eastAsia="Times New Roman" w:cs="Times New Roman"/>
          <w:color w:val="000000"/>
          <w:szCs w:val="24"/>
        </w:rPr>
        <w:t xml:space="preserve">Kavēta Ministru kabineta noteikumu izsludināšana </w:t>
      </w:r>
      <w:r w:rsidR="003F6EEF" w:rsidRPr="008F2668">
        <w:rPr>
          <w:rFonts w:eastAsia="Times New Roman" w:cs="Times New Roman"/>
          <w:color w:val="000000"/>
          <w:szCs w:val="24"/>
        </w:rPr>
        <w:t>V</w:t>
      </w:r>
      <w:r w:rsidR="00515723" w:rsidRPr="008F2668">
        <w:rPr>
          <w:rFonts w:eastAsia="Times New Roman" w:cs="Times New Roman"/>
          <w:color w:val="000000"/>
          <w:szCs w:val="24"/>
        </w:rPr>
        <w:t>alsts sekretāru sanāksmē uz 21</w:t>
      </w:r>
      <w:r w:rsidR="00A5453E" w:rsidRPr="008F2668">
        <w:rPr>
          <w:rFonts w:eastAsia="Times New Roman" w:cs="Times New Roman"/>
          <w:color w:val="000000"/>
          <w:szCs w:val="24"/>
        </w:rPr>
        <w:t>.1</w:t>
      </w:r>
      <w:r w:rsidR="00184E4F" w:rsidRPr="008F2668">
        <w:rPr>
          <w:rFonts w:eastAsia="Times New Roman" w:cs="Times New Roman"/>
          <w:color w:val="000000"/>
          <w:szCs w:val="24"/>
        </w:rPr>
        <w:t>1</w:t>
      </w:r>
      <w:r w:rsidRPr="008F2668">
        <w:rPr>
          <w:rFonts w:eastAsia="Times New Roman" w:cs="Times New Roman"/>
          <w:color w:val="000000"/>
          <w:szCs w:val="24"/>
        </w:rPr>
        <w:t xml:space="preserve">.2016 uz 1 </w:t>
      </w:r>
      <w:proofErr w:type="spellStart"/>
      <w:r w:rsidRPr="008F2668">
        <w:rPr>
          <w:rFonts w:eastAsia="Times New Roman" w:cs="Times New Roman"/>
          <w:color w:val="000000"/>
          <w:szCs w:val="24"/>
        </w:rPr>
        <w:t>lp</w:t>
      </w:r>
      <w:proofErr w:type="spellEnd"/>
      <w:r w:rsidRPr="008F2668">
        <w:rPr>
          <w:rFonts w:eastAsia="Times New Roman" w:cs="Times New Roman"/>
          <w:color w:val="000000"/>
          <w:szCs w:val="24"/>
        </w:rPr>
        <w:t>.</w:t>
      </w:r>
    </w:p>
    <w:p w14:paraId="5723F1EA" w14:textId="77777777" w:rsidR="00684ADB" w:rsidRPr="008F2668" w:rsidRDefault="00684ADB" w:rsidP="00684ADB">
      <w:pPr>
        <w:tabs>
          <w:tab w:val="right" w:pos="9072"/>
        </w:tabs>
        <w:suppressAutoHyphens/>
        <w:rPr>
          <w:rFonts w:eastAsia="Calibri" w:cs="Times New Roman"/>
          <w:szCs w:val="24"/>
          <w:lang w:eastAsia="ar-SA"/>
        </w:rPr>
      </w:pPr>
    </w:p>
    <w:p w14:paraId="190485B6" w14:textId="77777777" w:rsidR="00684ADB" w:rsidRPr="008F2668" w:rsidRDefault="00684ADB" w:rsidP="00684ADB">
      <w:pPr>
        <w:tabs>
          <w:tab w:val="right" w:pos="9072"/>
        </w:tabs>
        <w:suppressAutoHyphens/>
        <w:rPr>
          <w:rFonts w:eastAsia="Calibri" w:cs="Times New Roman"/>
          <w:szCs w:val="24"/>
          <w:lang w:eastAsia="ar-SA"/>
        </w:rPr>
      </w:pPr>
    </w:p>
    <w:p w14:paraId="7C2BEB2F" w14:textId="77777777" w:rsidR="00DB203A" w:rsidRPr="008F2668" w:rsidRDefault="00DB203A" w:rsidP="00684ADB">
      <w:pPr>
        <w:tabs>
          <w:tab w:val="right" w:pos="9072"/>
        </w:tabs>
        <w:suppressAutoHyphens/>
        <w:rPr>
          <w:rFonts w:eastAsia="Calibri" w:cs="Times New Roman"/>
          <w:szCs w:val="24"/>
          <w:lang w:eastAsia="ar-SA"/>
        </w:rPr>
      </w:pPr>
    </w:p>
    <w:p w14:paraId="3BEA5A64" w14:textId="77777777" w:rsidR="00DB203A" w:rsidRPr="008F2668" w:rsidRDefault="00DB203A" w:rsidP="00684ADB">
      <w:pPr>
        <w:tabs>
          <w:tab w:val="right" w:pos="9072"/>
        </w:tabs>
        <w:suppressAutoHyphens/>
        <w:rPr>
          <w:rFonts w:eastAsia="Calibri" w:cs="Times New Roman"/>
          <w:szCs w:val="24"/>
          <w:lang w:eastAsia="ar-SA"/>
        </w:rPr>
      </w:pPr>
    </w:p>
    <w:p w14:paraId="5D8A5994" w14:textId="77777777" w:rsidR="00684ADB" w:rsidRPr="008F2668" w:rsidRDefault="00684ADB" w:rsidP="00684ADB">
      <w:pPr>
        <w:tabs>
          <w:tab w:val="right" w:pos="9072"/>
        </w:tabs>
        <w:suppressAutoHyphens/>
        <w:rPr>
          <w:rFonts w:eastAsia="Calibri" w:cs="Times New Roman"/>
          <w:szCs w:val="24"/>
          <w:lang w:eastAsia="ar-SA"/>
        </w:rPr>
      </w:pPr>
      <w:r w:rsidRPr="008F2668">
        <w:rPr>
          <w:rFonts w:eastAsia="Calibri" w:cs="Times New Roman"/>
          <w:szCs w:val="24"/>
          <w:lang w:eastAsia="ar-SA"/>
        </w:rPr>
        <w:t xml:space="preserve">Finanšu ministre                                                                                            </w:t>
      </w:r>
      <w:proofErr w:type="spellStart"/>
      <w:r w:rsidRPr="008F2668">
        <w:rPr>
          <w:rFonts w:eastAsia="Calibri" w:cs="Times New Roman"/>
          <w:szCs w:val="24"/>
          <w:lang w:eastAsia="ar-SA"/>
        </w:rPr>
        <w:t>D.Reizniece</w:t>
      </w:r>
      <w:proofErr w:type="spellEnd"/>
      <w:r w:rsidRPr="008F2668">
        <w:rPr>
          <w:rFonts w:eastAsia="Calibri" w:cs="Times New Roman"/>
          <w:szCs w:val="24"/>
          <w:lang w:eastAsia="ar-SA"/>
        </w:rPr>
        <w:t>-Ozola </w:t>
      </w:r>
    </w:p>
    <w:p w14:paraId="1F9B6107" w14:textId="77777777" w:rsidR="00684ADB" w:rsidRPr="008F2668" w:rsidRDefault="00684ADB" w:rsidP="00684ADB">
      <w:pPr>
        <w:tabs>
          <w:tab w:val="right" w:pos="9072"/>
        </w:tabs>
        <w:suppressAutoHyphens/>
        <w:rPr>
          <w:rFonts w:eastAsia="Calibri" w:cs="Times New Roman"/>
          <w:szCs w:val="24"/>
          <w:lang w:eastAsia="ar-SA"/>
        </w:rPr>
      </w:pPr>
    </w:p>
    <w:p w14:paraId="26E6105A" w14:textId="56C49C29" w:rsidR="00684ADB" w:rsidRPr="008F2668" w:rsidRDefault="0027168C" w:rsidP="0027168C">
      <w:pPr>
        <w:tabs>
          <w:tab w:val="left" w:pos="8145"/>
        </w:tabs>
        <w:rPr>
          <w:color w:val="000000" w:themeColor="text1"/>
          <w:sz w:val="18"/>
        </w:rPr>
      </w:pPr>
      <w:r w:rsidRPr="008F2668">
        <w:rPr>
          <w:color w:val="000000" w:themeColor="text1"/>
          <w:sz w:val="18"/>
        </w:rPr>
        <w:tab/>
      </w:r>
    </w:p>
    <w:p w14:paraId="630E191F" w14:textId="77777777" w:rsidR="00684ADB" w:rsidRPr="008F2668" w:rsidRDefault="00684ADB" w:rsidP="00684ADB">
      <w:pPr>
        <w:tabs>
          <w:tab w:val="left" w:pos="1725"/>
        </w:tabs>
        <w:rPr>
          <w:color w:val="000000" w:themeColor="text1"/>
          <w:sz w:val="18"/>
        </w:rPr>
      </w:pPr>
    </w:p>
    <w:p w14:paraId="422FC927" w14:textId="77777777" w:rsidR="002E28C2" w:rsidRPr="008F2668" w:rsidRDefault="002E28C2" w:rsidP="00684ADB">
      <w:pPr>
        <w:tabs>
          <w:tab w:val="left" w:pos="1725"/>
        </w:tabs>
        <w:rPr>
          <w:color w:val="000000" w:themeColor="text1"/>
          <w:sz w:val="18"/>
        </w:rPr>
      </w:pPr>
    </w:p>
    <w:p w14:paraId="3E44A82C" w14:textId="77777777" w:rsidR="002E28C2" w:rsidRPr="008F2668" w:rsidRDefault="002E28C2" w:rsidP="00684ADB">
      <w:pPr>
        <w:tabs>
          <w:tab w:val="left" w:pos="1725"/>
        </w:tabs>
        <w:rPr>
          <w:color w:val="000000" w:themeColor="text1"/>
          <w:sz w:val="18"/>
        </w:rPr>
      </w:pPr>
    </w:p>
    <w:p w14:paraId="2EE69E98" w14:textId="77777777" w:rsidR="00684ADB" w:rsidRPr="008F2668" w:rsidRDefault="00684ADB" w:rsidP="00684ADB">
      <w:pPr>
        <w:tabs>
          <w:tab w:val="left" w:pos="1725"/>
        </w:tabs>
        <w:rPr>
          <w:color w:val="000000" w:themeColor="text1"/>
          <w:sz w:val="18"/>
        </w:rPr>
      </w:pPr>
    </w:p>
    <w:p w14:paraId="4B0D916F" w14:textId="77777777" w:rsidR="006D55C0" w:rsidRPr="008F2668" w:rsidRDefault="006D55C0" w:rsidP="006D55C0">
      <w:pPr>
        <w:tabs>
          <w:tab w:val="center" w:pos="4153"/>
          <w:tab w:val="right" w:pos="8306"/>
        </w:tabs>
        <w:rPr>
          <w:color w:val="000000"/>
          <w:sz w:val="20"/>
        </w:rPr>
      </w:pPr>
      <w:r w:rsidRPr="008F2668">
        <w:rPr>
          <w:color w:val="000000"/>
          <w:sz w:val="20"/>
        </w:rPr>
        <w:t>Inta Dimzule</w:t>
      </w:r>
    </w:p>
    <w:p w14:paraId="629139DF" w14:textId="77777777" w:rsidR="006D55C0" w:rsidRPr="008F2668" w:rsidRDefault="006D55C0" w:rsidP="006D55C0">
      <w:pPr>
        <w:tabs>
          <w:tab w:val="center" w:pos="4153"/>
          <w:tab w:val="right" w:pos="8306"/>
        </w:tabs>
        <w:rPr>
          <w:color w:val="000000"/>
          <w:sz w:val="20"/>
        </w:rPr>
      </w:pPr>
      <w:r w:rsidRPr="008F2668">
        <w:rPr>
          <w:color w:val="000000"/>
          <w:sz w:val="20"/>
        </w:rPr>
        <w:t>Finanšu ministrijas Eiropas Savienības fondu uzraudzības departamenta</w:t>
      </w:r>
    </w:p>
    <w:p w14:paraId="78660516" w14:textId="77777777" w:rsidR="006D55C0" w:rsidRPr="008F2668" w:rsidRDefault="006D55C0" w:rsidP="006D55C0">
      <w:pPr>
        <w:tabs>
          <w:tab w:val="center" w:pos="4153"/>
          <w:tab w:val="right" w:pos="8306"/>
        </w:tabs>
        <w:rPr>
          <w:color w:val="000000"/>
          <w:sz w:val="20"/>
        </w:rPr>
      </w:pPr>
      <w:r w:rsidRPr="008F2668">
        <w:rPr>
          <w:color w:val="000000"/>
          <w:sz w:val="20"/>
        </w:rPr>
        <w:t>Uzņēmējdarbības un inovāciju uzraudzības nodaļas vecākā referente</w:t>
      </w:r>
    </w:p>
    <w:p w14:paraId="7CDE1E77" w14:textId="77777777" w:rsidR="006D55C0" w:rsidRPr="008F2668" w:rsidRDefault="006D55C0" w:rsidP="006D55C0">
      <w:pPr>
        <w:tabs>
          <w:tab w:val="center" w:pos="4153"/>
          <w:tab w:val="right" w:pos="8306"/>
        </w:tabs>
        <w:rPr>
          <w:color w:val="000000"/>
          <w:sz w:val="20"/>
        </w:rPr>
      </w:pPr>
      <w:r w:rsidRPr="008F2668">
        <w:rPr>
          <w:color w:val="000000"/>
          <w:sz w:val="20"/>
        </w:rPr>
        <w:t>Tālr. 67083873</w:t>
      </w:r>
    </w:p>
    <w:p w14:paraId="7043B6A2" w14:textId="77777777" w:rsidR="006D55C0" w:rsidRPr="008F2668" w:rsidRDefault="00C07B0A" w:rsidP="006D55C0">
      <w:pPr>
        <w:pStyle w:val="Header"/>
        <w:rPr>
          <w:sz w:val="20"/>
        </w:rPr>
      </w:pPr>
      <w:hyperlink r:id="rId12" w:history="1">
        <w:r w:rsidR="006D55C0" w:rsidRPr="008F2668">
          <w:rPr>
            <w:rStyle w:val="Hyperlink"/>
            <w:sz w:val="20"/>
          </w:rPr>
          <w:t>Inta.Dimzule@fm.gov.lv</w:t>
        </w:r>
      </w:hyperlink>
    </w:p>
    <w:p w14:paraId="732D946A" w14:textId="77777777" w:rsidR="00942AB5" w:rsidRPr="008F2668" w:rsidRDefault="00942AB5"/>
    <w:sectPr w:rsidR="00942AB5" w:rsidRPr="008F2668" w:rsidSect="00473293">
      <w:headerReference w:type="default" r:id="rId13"/>
      <w:footerReference w:type="default" r:id="rId14"/>
      <w:footerReference w:type="firs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50685" w14:textId="77777777" w:rsidR="00617EF8" w:rsidRDefault="00617EF8" w:rsidP="00684ADB">
      <w:r>
        <w:separator/>
      </w:r>
    </w:p>
  </w:endnote>
  <w:endnote w:type="continuationSeparator" w:id="0">
    <w:p w14:paraId="7A328870" w14:textId="77777777" w:rsidR="00617EF8" w:rsidRDefault="00617EF8" w:rsidP="0068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69D6B" w14:textId="7432B20A" w:rsidR="004F42B6" w:rsidRPr="0038735F" w:rsidRDefault="00F07333" w:rsidP="00947BBB">
    <w:pPr>
      <w:pStyle w:val="Footer"/>
      <w:jc w:val="both"/>
      <w:rPr>
        <w:sz w:val="20"/>
      </w:rPr>
    </w:pPr>
    <w:r>
      <w:rPr>
        <w:sz w:val="20"/>
      </w:rPr>
      <w:t>FMzino_2511</w:t>
    </w:r>
    <w:r w:rsidR="004F42B6">
      <w:rPr>
        <w:sz w:val="20"/>
      </w:rPr>
      <w:t>16</w:t>
    </w:r>
    <w:r w:rsidR="004F42B6" w:rsidRPr="002E1DBF">
      <w:rPr>
        <w:sz w:val="20"/>
      </w:rPr>
      <w:t>_ES_fondi;</w:t>
    </w:r>
    <w:r w:rsidR="004F42B6" w:rsidRPr="003A479C">
      <w:rPr>
        <w:sz w:val="20"/>
      </w:rPr>
      <w:t xml:space="preserve"> Informatīvais ziņojums par E</w:t>
    </w:r>
    <w:r w:rsidR="004F42B6">
      <w:rPr>
        <w:sz w:val="20"/>
      </w:rPr>
      <w:t xml:space="preserve">iropas </w:t>
    </w:r>
    <w:r w:rsidR="004F42B6" w:rsidRPr="003A479C">
      <w:rPr>
        <w:sz w:val="20"/>
      </w:rPr>
      <w:t>S</w:t>
    </w:r>
    <w:r w:rsidR="004F42B6">
      <w:rPr>
        <w:sz w:val="20"/>
      </w:rPr>
      <w:t>avienības</w:t>
    </w:r>
    <w:r w:rsidR="004F42B6" w:rsidRPr="003A479C">
      <w:rPr>
        <w:sz w:val="20"/>
      </w:rPr>
      <w:t xml:space="preserve"> st</w:t>
    </w:r>
    <w:r w:rsidR="004F42B6">
      <w:rPr>
        <w:sz w:val="20"/>
      </w:rPr>
      <w:t>ruktūrfondu un Kohēzijas fonda investīciju ieviešanas statusu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BBE59" w14:textId="069E4CDA" w:rsidR="004F42B6" w:rsidRPr="0038735F" w:rsidRDefault="004F42B6" w:rsidP="00947BBB">
    <w:pPr>
      <w:pStyle w:val="Footer"/>
      <w:jc w:val="both"/>
      <w:rPr>
        <w:sz w:val="20"/>
      </w:rPr>
    </w:pPr>
    <w:r>
      <w:rPr>
        <w:sz w:val="20"/>
      </w:rPr>
      <w:t>FMzino_</w:t>
    </w:r>
    <w:r w:rsidR="00F07333">
      <w:rPr>
        <w:sz w:val="20"/>
      </w:rPr>
      <w:t>2511</w:t>
    </w:r>
    <w:r w:rsidRPr="006A6888">
      <w:rPr>
        <w:sz w:val="20"/>
      </w:rPr>
      <w:t>16</w:t>
    </w:r>
    <w:r w:rsidRPr="002E1DBF">
      <w:rPr>
        <w:sz w:val="20"/>
      </w:rPr>
      <w:t>_ES_fondi;</w:t>
    </w:r>
    <w:r w:rsidRPr="003A479C">
      <w:rPr>
        <w:sz w:val="20"/>
      </w:rPr>
      <w:t xml:space="preserve"> Informatīvais ziņojums par E</w:t>
    </w:r>
    <w:r>
      <w:rPr>
        <w:sz w:val="20"/>
      </w:rPr>
      <w:t xml:space="preserve">iropas </w:t>
    </w:r>
    <w:r w:rsidRPr="003A479C">
      <w:rPr>
        <w:sz w:val="20"/>
      </w:rPr>
      <w:t>S</w:t>
    </w:r>
    <w:r>
      <w:rPr>
        <w:sz w:val="20"/>
      </w:rPr>
      <w:t>avienības</w:t>
    </w:r>
    <w:r w:rsidRPr="003A479C">
      <w:rPr>
        <w:sz w:val="20"/>
      </w:rPr>
      <w:t xml:space="preserve"> st</w:t>
    </w:r>
    <w:r>
      <w:rPr>
        <w:sz w:val="20"/>
      </w:rPr>
      <w:t>ruktūrfondu un Kohēzijas fonda investīciju ieviešanas statusu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43856" w14:textId="77777777" w:rsidR="00617EF8" w:rsidRDefault="00617EF8" w:rsidP="00684ADB">
      <w:r>
        <w:separator/>
      </w:r>
    </w:p>
  </w:footnote>
  <w:footnote w:type="continuationSeparator" w:id="0">
    <w:p w14:paraId="1E839C71" w14:textId="77777777" w:rsidR="00617EF8" w:rsidRDefault="00617EF8" w:rsidP="00684ADB">
      <w:r>
        <w:continuationSeparator/>
      </w:r>
    </w:p>
  </w:footnote>
  <w:footnote w:id="1">
    <w:p w14:paraId="49CAF906" w14:textId="14608053" w:rsidR="004F42B6" w:rsidRPr="00326786" w:rsidRDefault="004F42B6" w:rsidP="008F2668">
      <w:pPr>
        <w:pStyle w:val="FootnoteText"/>
        <w:jc w:val="both"/>
        <w:rPr>
          <w:sz w:val="16"/>
          <w:szCs w:val="16"/>
        </w:rPr>
      </w:pPr>
      <w:r w:rsidRPr="00326786">
        <w:rPr>
          <w:rStyle w:val="FootnoteReference"/>
          <w:sz w:val="16"/>
          <w:szCs w:val="16"/>
        </w:rPr>
        <w:footnoteRef/>
      </w:r>
      <w:r w:rsidRPr="00326786">
        <w:rPr>
          <w:sz w:val="16"/>
          <w:szCs w:val="16"/>
        </w:rPr>
        <w:t xml:space="preserve"> Ziņojumā tiek sniegta informācija par datu un informācijas apkopojumiem uz dažādiem atskaites datumiem ar mērķi sniegt aktuālo informāciju.</w:t>
      </w:r>
    </w:p>
  </w:footnote>
  <w:footnote w:id="2">
    <w:p w14:paraId="1734E5F5" w14:textId="7C3382BE" w:rsidR="007411F1" w:rsidRPr="00CD42C5" w:rsidRDefault="004D3A6C" w:rsidP="008F2668">
      <w:pPr>
        <w:pStyle w:val="FootnoteText"/>
        <w:jc w:val="both"/>
        <w:rPr>
          <w:sz w:val="16"/>
          <w:szCs w:val="16"/>
        </w:rPr>
      </w:pPr>
      <w:r w:rsidRPr="00326786">
        <w:rPr>
          <w:rStyle w:val="FootnoteReference"/>
          <w:sz w:val="16"/>
          <w:szCs w:val="16"/>
        </w:rPr>
        <w:footnoteRef/>
      </w:r>
      <w:r w:rsidRPr="00326786">
        <w:rPr>
          <w:sz w:val="16"/>
          <w:szCs w:val="16"/>
        </w:rPr>
        <w:t xml:space="preserve"> </w:t>
      </w:r>
      <w:r w:rsidRPr="00326786">
        <w:rPr>
          <w:bCs/>
          <w:sz w:val="16"/>
          <w:szCs w:val="16"/>
          <w:lang w:eastAsia="ar-SA"/>
        </w:rPr>
        <w:t xml:space="preserve">Š.g. oktobrī </w:t>
      </w:r>
      <w:r w:rsidR="007411F1" w:rsidRPr="00326786">
        <w:rPr>
          <w:bCs/>
          <w:sz w:val="16"/>
          <w:szCs w:val="16"/>
          <w:lang w:eastAsia="ar-SA"/>
        </w:rPr>
        <w:t>ir</w:t>
      </w:r>
      <w:r w:rsidRPr="00326786">
        <w:rPr>
          <w:bCs/>
          <w:sz w:val="16"/>
          <w:szCs w:val="16"/>
          <w:lang w:eastAsia="ar-SA"/>
        </w:rPr>
        <w:t xml:space="preserve"> noslēgušās atlikušās finanšu instrumentu aktivitātes. Pēc provizoriskajiem datiem, </w:t>
      </w:r>
      <w:r w:rsidR="007411F1" w:rsidRPr="00326786">
        <w:rPr>
          <w:bCs/>
          <w:sz w:val="16"/>
          <w:szCs w:val="16"/>
          <w:lang w:eastAsia="ar-SA"/>
        </w:rPr>
        <w:t xml:space="preserve">sekmīgi izmantots pieejamais ES finansējums un investīcijas turpinās sniegt atdevi </w:t>
      </w:r>
      <w:r w:rsidR="007411F1" w:rsidRPr="00CD42C5">
        <w:rPr>
          <w:bCs/>
          <w:sz w:val="16"/>
          <w:szCs w:val="16"/>
          <w:lang w:eastAsia="ar-SA"/>
        </w:rPr>
        <w:t xml:space="preserve">tautsaimniecībā ar multiplikācijas efektu” ar jauniem finanšu instrumentu darījumiem no atgrieztiem līdzekļiem. Aktuālā informācija pieejama arī š.g.24.novembra </w:t>
      </w:r>
      <w:r w:rsidR="007411F1" w:rsidRPr="00CD42C5">
        <w:rPr>
          <w:sz w:val="16"/>
          <w:szCs w:val="16"/>
        </w:rPr>
        <w:t>Uzraudzības komitejas materiālos:</w:t>
      </w:r>
    </w:p>
    <w:p w14:paraId="3DA8FD31" w14:textId="4A9953F6" w:rsidR="004D3A6C" w:rsidRPr="00CD42C5" w:rsidRDefault="00C07B0A" w:rsidP="008F2668">
      <w:pPr>
        <w:pStyle w:val="FootnoteText"/>
        <w:jc w:val="both"/>
        <w:rPr>
          <w:sz w:val="16"/>
          <w:szCs w:val="16"/>
        </w:rPr>
      </w:pPr>
      <w:hyperlink r:id="rId1" w:history="1">
        <w:r w:rsidR="007411F1" w:rsidRPr="00CD42C5">
          <w:rPr>
            <w:rStyle w:val="Hyperlink"/>
            <w:sz w:val="16"/>
            <w:szCs w:val="16"/>
          </w:rPr>
          <w:t>https://komitejas.esfondi.lv/Lists/sedes/DispForm.aspx?ID=113&amp;ContentTypeId=0x0100A71173C59228CF43AEDB868762C1146A</w:t>
        </w:r>
      </w:hyperlink>
      <w:r w:rsidR="007411F1" w:rsidRPr="00CD42C5">
        <w:rPr>
          <w:sz w:val="16"/>
          <w:szCs w:val="16"/>
        </w:rPr>
        <w:t xml:space="preserve"> </w:t>
      </w:r>
    </w:p>
  </w:footnote>
  <w:footnote w:id="3">
    <w:p w14:paraId="483EADD9" w14:textId="77777777" w:rsidR="004F42B6" w:rsidRPr="00CD42C5" w:rsidRDefault="004F42B6" w:rsidP="008F2668">
      <w:pPr>
        <w:pStyle w:val="FootnoteText"/>
        <w:jc w:val="both"/>
        <w:rPr>
          <w:color w:val="000000" w:themeColor="text1"/>
          <w:sz w:val="16"/>
          <w:szCs w:val="16"/>
        </w:rPr>
      </w:pPr>
      <w:r w:rsidRPr="00CD42C5">
        <w:rPr>
          <w:rStyle w:val="FootnoteReference"/>
          <w:color w:val="000000" w:themeColor="text1"/>
          <w:sz w:val="16"/>
          <w:szCs w:val="16"/>
        </w:rPr>
        <w:footnoteRef/>
      </w:r>
      <w:r w:rsidRPr="00CD42C5">
        <w:rPr>
          <w:color w:val="000000" w:themeColor="text1"/>
          <w:sz w:val="16"/>
          <w:szCs w:val="16"/>
        </w:rPr>
        <w:t xml:space="preserve"> ES fondu tīmekļa vietnes sadaļā par </w:t>
      </w:r>
      <w:r w:rsidRPr="00CD42C5">
        <w:rPr>
          <w:sz w:val="16"/>
          <w:szCs w:val="16"/>
        </w:rPr>
        <w:t>ES fondu un Kohēzijas fonda kopējiem EK veiktiem maksājumiem dalībvalstīm:</w:t>
      </w:r>
      <w:r w:rsidRPr="00CD42C5">
        <w:rPr>
          <w:color w:val="000000" w:themeColor="text1"/>
          <w:sz w:val="16"/>
          <w:szCs w:val="16"/>
        </w:rPr>
        <w:t xml:space="preserve"> </w:t>
      </w:r>
      <w:hyperlink r:id="rId2" w:history="1">
        <w:r w:rsidRPr="00CD42C5">
          <w:rPr>
            <w:rStyle w:val="Hyperlink"/>
            <w:sz w:val="16"/>
            <w:szCs w:val="16"/>
          </w:rPr>
          <w:t>http://www.esfondi.lv/kopejie-ek-veiktie-maksajumi-dalibvalstim</w:t>
        </w:r>
      </w:hyperlink>
    </w:p>
  </w:footnote>
  <w:footnote w:id="4">
    <w:p w14:paraId="703181B8" w14:textId="77777777" w:rsidR="004F42B6" w:rsidRPr="001C220D" w:rsidRDefault="004F42B6" w:rsidP="008F2668">
      <w:pPr>
        <w:pStyle w:val="FootnoteText"/>
        <w:jc w:val="both"/>
        <w:rPr>
          <w:sz w:val="16"/>
          <w:szCs w:val="16"/>
        </w:rPr>
      </w:pPr>
      <w:r w:rsidRPr="001C220D">
        <w:rPr>
          <w:rStyle w:val="FootnoteReference"/>
          <w:sz w:val="16"/>
          <w:szCs w:val="16"/>
        </w:rPr>
        <w:footnoteRef/>
      </w:r>
      <w:r w:rsidRPr="001C220D">
        <w:rPr>
          <w:sz w:val="16"/>
          <w:szCs w:val="16"/>
        </w:rPr>
        <w:t xml:space="preserve"> Skatīt informatīvā ziņojuma par Eiropas Savienības struktūrfondu un Kohēzijas fonda, Eiropas Ekonomikas zonas finanšu instrumenta, Norvēģijas finanšu instrumenta un Latvijas un Šveices sadarbības programmas investīciju progresu līdz 2015.gada 31.decembrim 6.pielikumu: </w:t>
      </w:r>
      <w:hyperlink r:id="rId3" w:history="1">
        <w:r w:rsidRPr="001C220D">
          <w:rPr>
            <w:rStyle w:val="Hyperlink"/>
            <w:rFonts w:eastAsia="Calibri" w:cs="Times New Roman"/>
            <w:sz w:val="16"/>
            <w:szCs w:val="16"/>
            <w:lang w:eastAsia="ar-SA"/>
          </w:rPr>
          <w:t>http://www.esfondi.lv/zinojumi-Ministru-kabinetam</w:t>
        </w:r>
      </w:hyperlink>
    </w:p>
  </w:footnote>
  <w:footnote w:id="5">
    <w:p w14:paraId="5D7FA4BF" w14:textId="77777777" w:rsidR="00207285" w:rsidRPr="001C220D" w:rsidRDefault="00207285" w:rsidP="008F2668">
      <w:pPr>
        <w:pStyle w:val="FootnoteText"/>
        <w:jc w:val="both"/>
        <w:rPr>
          <w:sz w:val="16"/>
          <w:szCs w:val="16"/>
        </w:rPr>
      </w:pPr>
      <w:r w:rsidRPr="001C220D">
        <w:rPr>
          <w:rStyle w:val="FootnoteReference"/>
          <w:sz w:val="16"/>
          <w:szCs w:val="16"/>
        </w:rPr>
        <w:footnoteRef/>
      </w:r>
      <w:r w:rsidRPr="001C220D">
        <w:rPr>
          <w:sz w:val="16"/>
          <w:szCs w:val="16"/>
        </w:rPr>
        <w:t xml:space="preserve"> Finanšu rādītāju plāni un to izpilde </w:t>
      </w:r>
      <w:hyperlink r:id="rId4" w:history="1">
        <w:r w:rsidRPr="001C220D">
          <w:rPr>
            <w:rStyle w:val="Hyperlink"/>
            <w:sz w:val="16"/>
            <w:szCs w:val="16"/>
          </w:rPr>
          <w:t>http://www.esfondi.lv/finansu-un-raditaju-plani-to-izpilde</w:t>
        </w:r>
      </w:hyperlink>
      <w:r w:rsidRPr="001C220D">
        <w:rPr>
          <w:sz w:val="16"/>
          <w:szCs w:val="16"/>
        </w:rPr>
        <w:t xml:space="preserve"> </w:t>
      </w:r>
    </w:p>
  </w:footnote>
  <w:footnote w:id="6">
    <w:p w14:paraId="4F893AC9" w14:textId="693D6554" w:rsidR="00966F47" w:rsidRPr="005635C8" w:rsidRDefault="00966F47" w:rsidP="008F2668">
      <w:pPr>
        <w:pStyle w:val="FootnoteText"/>
        <w:jc w:val="both"/>
        <w:rPr>
          <w:sz w:val="16"/>
        </w:rPr>
      </w:pPr>
      <w:r w:rsidRPr="001C220D">
        <w:rPr>
          <w:rStyle w:val="FootnoteReference"/>
          <w:sz w:val="16"/>
          <w:szCs w:val="16"/>
        </w:rPr>
        <w:footnoteRef/>
      </w:r>
      <w:r w:rsidRPr="001C220D">
        <w:rPr>
          <w:sz w:val="16"/>
          <w:szCs w:val="16"/>
        </w:rPr>
        <w:t xml:space="preserve"> Informācija sakārtota loģiskā sec</w:t>
      </w:r>
      <w:r w:rsidR="004F5936">
        <w:rPr>
          <w:sz w:val="16"/>
          <w:szCs w:val="16"/>
        </w:rPr>
        <w:t xml:space="preserve">ībā, sākot ar 2016.gada oktobri. </w:t>
      </w:r>
      <w:r w:rsidRPr="001C220D">
        <w:rPr>
          <w:sz w:val="16"/>
          <w:szCs w:val="16"/>
        </w:rPr>
        <w:t>Pilna informācija par izpildes statusu uz 2016.gada 1.oktobri apstiprinātajiem MK noteikumiem un turpinot ar kavējumiem (MK noteikumu apstiprināšanai, MK noteikumu izsludināšanai Valsts sekretāru sanāksmē</w:t>
      </w:r>
      <w:r w:rsidR="00D1696B">
        <w:rPr>
          <w:sz w:val="16"/>
          <w:szCs w:val="16"/>
        </w:rPr>
        <w:t>,</w:t>
      </w:r>
      <w:r w:rsidRPr="001C220D">
        <w:rPr>
          <w:sz w:val="16"/>
          <w:szCs w:val="16"/>
        </w:rPr>
        <w:t xml:space="preserve"> kā arī projektu iesniegumu atlases kritēriju iesniegšanai apakškomitejā) un noslēdzot ar specifiskajiem atbalsta mērķiem (turpmāk – SAM)/pasākumiem, kuriem MK noteikumu apstiprināšanas termiņš vēl nav iestājies. pieejama </w:t>
      </w:r>
      <w:hyperlink r:id="rId5" w:history="1">
        <w:r w:rsidRPr="001C220D">
          <w:rPr>
            <w:rStyle w:val="Hyperlink"/>
            <w:sz w:val="16"/>
            <w:szCs w:val="16"/>
          </w:rPr>
          <w:t>http://www.esfondi.lv/finansu-un-raditaju-plani-to-izpilde</w:t>
        </w:r>
      </w:hyperlink>
    </w:p>
  </w:footnote>
  <w:footnote w:id="7">
    <w:p w14:paraId="51009FDD" w14:textId="77777777" w:rsidR="00966F47" w:rsidRDefault="00966F47" w:rsidP="008F2668">
      <w:pPr>
        <w:pStyle w:val="FootnoteText"/>
        <w:jc w:val="both"/>
      </w:pPr>
      <w:r>
        <w:rPr>
          <w:rStyle w:val="FootnoteReference"/>
        </w:rPr>
        <w:footnoteRef/>
      </w:r>
      <w:r>
        <w:t xml:space="preserve"> </w:t>
      </w:r>
      <w:r>
        <w:rPr>
          <w:sz w:val="16"/>
          <w:szCs w:val="16"/>
        </w:rPr>
        <w:t xml:space="preserve">Nākamajos mēnešos MK noteikumu skaits var mainīties, ņemot vērā, ka Izglītības un zinātnes ministrijas plānotais 1.1.1.6.pasākums “RIS3 pārvaldības atbalsts”  netiks īstenots, kā arī plānots izveidot jaunu SAM </w:t>
      </w:r>
      <w:r>
        <w:rPr>
          <w:bCs/>
          <w:sz w:val="16"/>
          <w:szCs w:val="16"/>
        </w:rPr>
        <w:t xml:space="preserve">Inčukalna gudrona dīķu attīrīšanas </w:t>
      </w:r>
      <w:r>
        <w:rPr>
          <w:sz w:val="16"/>
          <w:szCs w:val="16"/>
        </w:rPr>
        <w:t>(sanācijas) projektam.</w:t>
      </w:r>
    </w:p>
  </w:footnote>
  <w:footnote w:id="8">
    <w:p w14:paraId="4FF09551" w14:textId="692C29DC" w:rsidR="003C1C0D" w:rsidRPr="007822D3" w:rsidRDefault="003C1C0D" w:rsidP="008F2668">
      <w:pPr>
        <w:pStyle w:val="FootnoteText"/>
        <w:jc w:val="both"/>
        <w:rPr>
          <w:sz w:val="16"/>
          <w:szCs w:val="16"/>
        </w:rPr>
      </w:pPr>
      <w:r w:rsidRPr="007822D3">
        <w:rPr>
          <w:rStyle w:val="FootnoteReference"/>
          <w:sz w:val="16"/>
        </w:rPr>
        <w:footnoteRef/>
      </w:r>
      <w:r w:rsidRPr="007822D3">
        <w:rPr>
          <w:sz w:val="16"/>
        </w:rPr>
        <w:t xml:space="preserve"> Pieejams: http://www.esfondi.lv/zinojumi-</w:t>
      </w:r>
      <w:r w:rsidRPr="007822D3">
        <w:rPr>
          <w:sz w:val="16"/>
          <w:szCs w:val="16"/>
        </w:rPr>
        <w:t>Ministru-kabinetam</w:t>
      </w:r>
    </w:p>
  </w:footnote>
  <w:footnote w:id="9">
    <w:p w14:paraId="11FC7C42" w14:textId="5A15CD53" w:rsidR="00685C64" w:rsidRPr="007822D3" w:rsidRDefault="004F42B6" w:rsidP="008F2668">
      <w:pPr>
        <w:pStyle w:val="FootnoteText"/>
        <w:jc w:val="both"/>
        <w:rPr>
          <w:sz w:val="16"/>
          <w:szCs w:val="16"/>
        </w:rPr>
      </w:pPr>
      <w:r w:rsidRPr="007822D3">
        <w:rPr>
          <w:rStyle w:val="FootnoteReference"/>
          <w:sz w:val="16"/>
          <w:szCs w:val="16"/>
        </w:rPr>
        <w:footnoteRef/>
      </w:r>
      <w:r w:rsidRPr="007822D3">
        <w:rPr>
          <w:sz w:val="16"/>
          <w:szCs w:val="16"/>
        </w:rPr>
        <w:t xml:space="preserve"> </w:t>
      </w:r>
      <w:r w:rsidRPr="007822D3">
        <w:rPr>
          <w:sz w:val="16"/>
          <w:szCs w:val="16"/>
        </w:rPr>
        <w:t>Pilna informācija par izpildes statusu uz 2016.gada 1.</w:t>
      </w:r>
      <w:r w:rsidR="00C8760B" w:rsidRPr="007822D3">
        <w:rPr>
          <w:sz w:val="16"/>
          <w:szCs w:val="16"/>
        </w:rPr>
        <w:t xml:space="preserve">novembri </w:t>
      </w:r>
      <w:r w:rsidRPr="007822D3">
        <w:rPr>
          <w:sz w:val="16"/>
          <w:szCs w:val="16"/>
        </w:rPr>
        <w:t>pieejama</w:t>
      </w:r>
      <w:hyperlink r:id="rId6" w:history="1"/>
      <w:r w:rsidRPr="007822D3">
        <w:rPr>
          <w:rStyle w:val="Hyperlink"/>
          <w:sz w:val="16"/>
          <w:szCs w:val="16"/>
        </w:rPr>
        <w:t xml:space="preserve"> </w:t>
      </w:r>
      <w:hyperlink r:id="rId7" w:history="1">
        <w:r w:rsidRPr="007822D3">
          <w:rPr>
            <w:rStyle w:val="Hyperlink"/>
            <w:sz w:val="16"/>
            <w:szCs w:val="16"/>
          </w:rPr>
          <w:t>http://www.esfondi.lv/finansu-un-raditaju-plani-to-izpilde</w:t>
        </w:r>
      </w:hyperlink>
      <w:r w:rsidRPr="007822D3">
        <w:rPr>
          <w:rStyle w:val="Hyperlink"/>
          <w:sz w:val="16"/>
          <w:szCs w:val="16"/>
        </w:rPr>
        <w:t xml:space="preserve">, </w:t>
      </w:r>
      <w:r w:rsidRPr="007822D3">
        <w:rPr>
          <w:rFonts w:eastAsia="Times New Roman" w:cs="Times New Roman"/>
          <w:color w:val="000000"/>
          <w:sz w:val="16"/>
          <w:szCs w:val="16"/>
        </w:rPr>
        <w:t xml:space="preserve">kā arī Centrālās finanšu un līgumu aģentūras tīmekļa vietnē pieejams atlašu izsludināšanas indikatīvais laika grafiks  </w:t>
      </w:r>
      <w:hyperlink r:id="rId8" w:history="1">
        <w:r w:rsidRPr="007822D3">
          <w:rPr>
            <w:rStyle w:val="Hyperlink"/>
            <w:sz w:val="16"/>
            <w:szCs w:val="16"/>
          </w:rPr>
          <w:t>http://www.cfla.gov.lv/lv/es-fondi-2014-2020/projektu-iesniegumu-atlase</w:t>
        </w:r>
      </w:hyperlink>
      <w:r w:rsidRPr="007822D3">
        <w:rPr>
          <w:rStyle w:val="Hyperlink"/>
          <w:sz w:val="16"/>
          <w:szCs w:val="16"/>
        </w:rPr>
        <w:t xml:space="preserve"> </w:t>
      </w:r>
      <w:r w:rsidR="00685C64" w:rsidRPr="007822D3">
        <w:rPr>
          <w:rStyle w:val="Hyperlink"/>
          <w:sz w:val="16"/>
          <w:szCs w:val="16"/>
        </w:rPr>
        <w:t xml:space="preserve">un </w:t>
      </w:r>
      <w:hyperlink r:id="rId9" w:history="1">
        <w:r w:rsidR="00685C64" w:rsidRPr="007822D3">
          <w:rPr>
            <w:rStyle w:val="Hyperlink"/>
            <w:rFonts w:eastAsia="Times New Roman" w:cs="Times New Roman"/>
            <w:sz w:val="16"/>
            <w:szCs w:val="16"/>
          </w:rPr>
          <w:t>http://www.cfla.gov.lv/lv/es-fondi-2014-2020/izsludinatas-atlases</w:t>
        </w:r>
      </w:hyperlink>
      <w:r w:rsidR="00685C64" w:rsidRPr="007822D3">
        <w:rPr>
          <w:rStyle w:val="Hyperlink"/>
          <w:rFonts w:eastAsia="Times New Roman" w:cs="Times New Roman"/>
          <w:sz w:val="16"/>
          <w:szCs w:val="16"/>
        </w:rPr>
        <w:t xml:space="preserve"> </w:t>
      </w:r>
    </w:p>
  </w:footnote>
  <w:footnote w:id="10">
    <w:p w14:paraId="7C869657" w14:textId="77777777" w:rsidR="004F5936" w:rsidRPr="007822D3" w:rsidRDefault="004F5936" w:rsidP="004F5936">
      <w:pPr>
        <w:pStyle w:val="FootnoteText"/>
        <w:jc w:val="both"/>
        <w:rPr>
          <w:sz w:val="16"/>
          <w:szCs w:val="16"/>
        </w:rPr>
      </w:pPr>
      <w:r w:rsidRPr="007822D3">
        <w:rPr>
          <w:rStyle w:val="FootnoteReference"/>
          <w:sz w:val="16"/>
          <w:szCs w:val="16"/>
        </w:rPr>
        <w:footnoteRef/>
      </w:r>
      <w:r w:rsidRPr="007822D3">
        <w:rPr>
          <w:sz w:val="16"/>
          <w:szCs w:val="16"/>
        </w:rPr>
        <w:t xml:space="preserve"> </w:t>
      </w:r>
      <w:r w:rsidRPr="007822D3">
        <w:rPr>
          <w:sz w:val="16"/>
          <w:szCs w:val="16"/>
        </w:rPr>
        <w:t>Pilna informācija par izpildes statusu uz 2016.gada 1.novembri pieejama</w:t>
      </w:r>
      <w:hyperlink r:id="rId10" w:history="1"/>
      <w:r w:rsidRPr="007822D3">
        <w:rPr>
          <w:rStyle w:val="Hyperlink"/>
          <w:sz w:val="16"/>
          <w:szCs w:val="16"/>
        </w:rPr>
        <w:t xml:space="preserve"> </w:t>
      </w:r>
      <w:hyperlink r:id="rId11" w:history="1">
        <w:r w:rsidRPr="007822D3">
          <w:rPr>
            <w:rStyle w:val="Hyperlink"/>
            <w:sz w:val="16"/>
            <w:szCs w:val="16"/>
          </w:rPr>
          <w:t>http://www.esfondi.lv/finansu-un-raditaju-plani-to-izpilde</w:t>
        </w:r>
      </w:hyperlink>
      <w:r w:rsidRPr="007822D3">
        <w:rPr>
          <w:rStyle w:val="Hyperlink"/>
          <w:sz w:val="16"/>
          <w:szCs w:val="16"/>
        </w:rPr>
        <w:t xml:space="preserve">, </w:t>
      </w:r>
      <w:r w:rsidRPr="007822D3">
        <w:rPr>
          <w:rFonts w:eastAsia="Times New Roman" w:cs="Times New Roman"/>
          <w:color w:val="000000"/>
          <w:sz w:val="16"/>
          <w:szCs w:val="16"/>
        </w:rPr>
        <w:t xml:space="preserve">kā arī Centrālās finanšu un līgumu aģentūras tīmekļa vietnē pieejams atlašu izsludināšanas indikatīvais laika grafiks  </w:t>
      </w:r>
      <w:hyperlink r:id="rId12" w:history="1">
        <w:r w:rsidRPr="007822D3">
          <w:rPr>
            <w:rStyle w:val="Hyperlink"/>
            <w:sz w:val="16"/>
            <w:szCs w:val="16"/>
          </w:rPr>
          <w:t>http://www.cfla.gov.lv/lv/es-fondi-2014-2020/projektu-iesniegumu-atlase</w:t>
        </w:r>
      </w:hyperlink>
      <w:r w:rsidRPr="007822D3">
        <w:rPr>
          <w:rStyle w:val="Hyperlink"/>
          <w:sz w:val="16"/>
          <w:szCs w:val="16"/>
        </w:rPr>
        <w:t xml:space="preserve"> un </w:t>
      </w:r>
      <w:hyperlink r:id="rId13" w:history="1">
        <w:r w:rsidRPr="007822D3">
          <w:rPr>
            <w:rStyle w:val="Hyperlink"/>
            <w:rFonts w:eastAsia="Times New Roman" w:cs="Times New Roman"/>
            <w:sz w:val="16"/>
            <w:szCs w:val="16"/>
          </w:rPr>
          <w:t>http://www.cfla.gov.lv/lv/es-fondi-2014-2020/izsludinatas-atlases</w:t>
        </w:r>
      </w:hyperlink>
      <w:r w:rsidRPr="007822D3">
        <w:rPr>
          <w:rStyle w:val="Hyperlink"/>
          <w:rFonts w:eastAsia="Times New Roman" w:cs="Times New Roman"/>
          <w:sz w:val="16"/>
          <w:szCs w:val="16"/>
        </w:rPr>
        <w:t xml:space="preserve"> </w:t>
      </w:r>
    </w:p>
  </w:footnote>
  <w:footnote w:id="11">
    <w:p w14:paraId="65E30F0A" w14:textId="1D04FEB5" w:rsidR="004F42B6" w:rsidRPr="007822D3" w:rsidRDefault="004F42B6" w:rsidP="008F2668">
      <w:pPr>
        <w:pStyle w:val="FootnoteText"/>
        <w:jc w:val="both"/>
        <w:rPr>
          <w:sz w:val="16"/>
          <w:szCs w:val="16"/>
        </w:rPr>
      </w:pPr>
      <w:r w:rsidRPr="007822D3">
        <w:rPr>
          <w:rStyle w:val="FootnoteReference"/>
          <w:sz w:val="16"/>
          <w:szCs w:val="16"/>
        </w:rPr>
        <w:footnoteRef/>
      </w:r>
      <w:r w:rsidRPr="007822D3">
        <w:rPr>
          <w:sz w:val="16"/>
          <w:szCs w:val="16"/>
        </w:rPr>
        <w:t xml:space="preserve"> 2016.gada </w:t>
      </w:r>
      <w:r w:rsidR="007B00A3" w:rsidRPr="007822D3">
        <w:rPr>
          <w:sz w:val="16"/>
          <w:szCs w:val="16"/>
        </w:rPr>
        <w:t>oktobra</w:t>
      </w:r>
      <w:r w:rsidRPr="007822D3">
        <w:rPr>
          <w:sz w:val="16"/>
          <w:szCs w:val="16"/>
        </w:rPr>
        <w:t xml:space="preserve"> ziņojums pieejams </w:t>
      </w:r>
      <w:hyperlink r:id="rId14" w:history="1">
        <w:r w:rsidRPr="007822D3">
          <w:rPr>
            <w:rStyle w:val="Hyperlink"/>
            <w:sz w:val="16"/>
            <w:szCs w:val="16"/>
          </w:rPr>
          <w:t>http://www.esfondi.lv/zinojumi-Ministru-kabinetam</w:t>
        </w:r>
      </w:hyperlink>
      <w:r w:rsidRPr="007822D3">
        <w:rPr>
          <w:sz w:val="16"/>
          <w:szCs w:val="16"/>
        </w:rPr>
        <w:t xml:space="preserve"> </w:t>
      </w:r>
    </w:p>
  </w:footnote>
  <w:footnote w:id="12">
    <w:p w14:paraId="2A5D2367" w14:textId="0119401C" w:rsidR="00685C64" w:rsidRPr="005635C8" w:rsidRDefault="00685C64" w:rsidP="008F2668">
      <w:pPr>
        <w:pStyle w:val="FootnoteText"/>
        <w:jc w:val="both"/>
        <w:rPr>
          <w:rFonts w:cs="Times New Roman"/>
          <w:sz w:val="16"/>
        </w:rPr>
      </w:pPr>
      <w:r w:rsidRPr="007822D3">
        <w:rPr>
          <w:rStyle w:val="FootnoteReference"/>
          <w:rFonts w:cs="Times New Roman"/>
          <w:sz w:val="16"/>
          <w:szCs w:val="16"/>
        </w:rPr>
        <w:footnoteRef/>
      </w:r>
      <w:r w:rsidRPr="007822D3">
        <w:rPr>
          <w:rFonts w:cs="Times New Roman"/>
          <w:sz w:val="16"/>
          <w:szCs w:val="16"/>
        </w:rPr>
        <w:t xml:space="preserve"> Apstiprināti ar </w:t>
      </w:r>
      <w:r w:rsidR="007C3117">
        <w:rPr>
          <w:rFonts w:cs="Times New Roman"/>
          <w:sz w:val="16"/>
          <w:szCs w:val="16"/>
        </w:rPr>
        <w:t>MK</w:t>
      </w:r>
      <w:r w:rsidRPr="007822D3">
        <w:rPr>
          <w:rFonts w:cs="Times New Roman"/>
          <w:sz w:val="16"/>
          <w:szCs w:val="16"/>
        </w:rPr>
        <w:t xml:space="preserve"> 2016.gada 3.maija rīkojumu Nr.274 “Grozījumi Eiropas Savienības struktūrfondu</w:t>
      </w:r>
      <w:r w:rsidRPr="005635C8">
        <w:rPr>
          <w:rFonts w:cs="Times New Roman"/>
          <w:sz w:val="16"/>
        </w:rPr>
        <w:t xml:space="preserve"> un Kohēzijas fonda 2014.–2020.gada plānošanas perioda darbības programmā “Izaugsme un nodarbinātība””</w:t>
      </w:r>
      <w:r w:rsidR="00BD59BD">
        <w:rPr>
          <w:rFonts w:cs="Times New Roman"/>
          <w:sz w:val="16"/>
        </w:rPr>
        <w:t>, MK</w:t>
      </w:r>
      <w:r w:rsidRPr="005635C8">
        <w:rPr>
          <w:rFonts w:cs="Times New Roman"/>
          <w:sz w:val="16"/>
        </w:rPr>
        <w:t xml:space="preserve"> 2016.gada 25.augusta rīkojumu Nr.484 “Grozījumi Eiropas Savienības struktūrfondu un Kohēzijas fonda 2014.–2020.gada plānošanas perioda darbības programmā “Izaugsme un nodarbinātība””.</w:t>
      </w:r>
    </w:p>
  </w:footnote>
  <w:footnote w:id="13">
    <w:p w14:paraId="199F74F9" w14:textId="429C1650" w:rsidR="00D43630" w:rsidRPr="0006455E" w:rsidRDefault="00D43630" w:rsidP="008F2668">
      <w:pPr>
        <w:pStyle w:val="FootnoteText"/>
        <w:rPr>
          <w:sz w:val="16"/>
          <w:szCs w:val="16"/>
        </w:rPr>
      </w:pPr>
      <w:r>
        <w:rPr>
          <w:rStyle w:val="FootnoteReference"/>
        </w:rPr>
        <w:footnoteRef/>
      </w:r>
      <w:r>
        <w:t xml:space="preserve"> </w:t>
      </w:r>
      <w:r w:rsidRPr="00F544A8">
        <w:rPr>
          <w:sz w:val="16"/>
          <w:szCs w:val="16"/>
        </w:rPr>
        <w:t>Tikšan</w:t>
      </w:r>
      <w:r w:rsidRPr="0006455E">
        <w:rPr>
          <w:sz w:val="16"/>
          <w:szCs w:val="16"/>
        </w:rPr>
        <w:t xml:space="preserve">ās ar EK materiāli pieejami šeit - </w:t>
      </w:r>
      <w:hyperlink r:id="rId15" w:anchor="/AEM/Forms/AllItems.aspx?RootFolder=%2FAEM%2F2016%2F02%5FWorking%5Fmaterials&amp;FolderCTID=0x012000F2C07636B588A64D824A60339D113949&amp;View=%7B79378E5C%2D5C0A%2D447B%2DB62E%2D55179ECC86B3%7D" w:history="1">
        <w:r w:rsidRPr="0006455E">
          <w:rPr>
            <w:rStyle w:val="Hyperlink"/>
            <w:sz w:val="16"/>
            <w:szCs w:val="16"/>
          </w:rPr>
          <w:t>https://komitejas.esfondi.lv/_layouts/15/start.aspx#/AEM/Forms/AllItems.aspx?RootFolder=%2FAEM%2F2016%2F02%5FWorking%5Fmaterials&amp;FolderCTID=0x012000F2C07636B588A64D824A60339D113949&amp;View=%7B79378E5C%2D5C0A%2D447B%2DB62E%2D55179ECC86B3%7D</w:t>
        </w:r>
      </w:hyperlink>
      <w:r w:rsidRPr="0006455E">
        <w:rPr>
          <w:sz w:val="16"/>
          <w:szCs w:val="16"/>
        </w:rPr>
        <w:t xml:space="preserve">, savukārt Uzraudzības komitejas materiāli pieejami šeit - </w:t>
      </w:r>
      <w:hyperlink r:id="rId16" w:history="1">
        <w:r w:rsidRPr="0006455E">
          <w:rPr>
            <w:rStyle w:val="Hyperlink"/>
            <w:sz w:val="16"/>
            <w:szCs w:val="16"/>
          </w:rPr>
          <w:t>https://komitejas.esfondi.lv/Lists/sedes/DispForm.aspx?ID=113&amp;ContentTypeId=0x0100A71173C59228CF43AEDB868762C1146A</w:t>
        </w:r>
      </w:hyperlink>
      <w:r w:rsidRPr="0006455E">
        <w:rPr>
          <w:sz w:val="16"/>
          <w:szCs w:val="16"/>
        </w:rPr>
        <w:t xml:space="preserve"> </w:t>
      </w:r>
    </w:p>
  </w:footnote>
  <w:footnote w:id="14">
    <w:p w14:paraId="1239CE26" w14:textId="77777777" w:rsidR="00357A62" w:rsidRPr="005635C8" w:rsidRDefault="00357A62" w:rsidP="00357A62">
      <w:pPr>
        <w:pStyle w:val="FootnoteText"/>
        <w:jc w:val="both"/>
        <w:rPr>
          <w:sz w:val="16"/>
        </w:rPr>
      </w:pPr>
      <w:r w:rsidRPr="0006455E">
        <w:rPr>
          <w:rStyle w:val="FootnoteReference"/>
          <w:sz w:val="16"/>
          <w:szCs w:val="16"/>
        </w:rPr>
        <w:footnoteRef/>
      </w:r>
      <w:r w:rsidRPr="0006455E">
        <w:rPr>
          <w:sz w:val="16"/>
          <w:szCs w:val="16"/>
        </w:rPr>
        <w:t xml:space="preserve"> Skatīt informatīvā ziņojuma par Eiropas Savienības struktūrfondu un Kohēzijas fonda, Eiropas Ekonomikas zonas finanšu instrumenta, Norvēģijas finanšu instrumenta un Latvijas un Šveices sadarbības programmas investīciju progresu līdz 2015.gada 31.decembrim 5.pielikumu: </w:t>
      </w:r>
      <w:hyperlink r:id="rId17" w:history="1">
        <w:r w:rsidRPr="0006455E">
          <w:rPr>
            <w:rStyle w:val="Hyperlink"/>
            <w:rFonts w:eastAsia="Calibri" w:cs="Times New Roman"/>
            <w:sz w:val="16"/>
            <w:szCs w:val="16"/>
            <w:lang w:eastAsia="ar-SA"/>
          </w:rPr>
          <w:t>http://www.esfondi.lv/zinojumi-Ministru-kabinetam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400518"/>
      <w:docPartObj>
        <w:docPartGallery w:val="Page Numbers (Top of Page)"/>
        <w:docPartUnique/>
      </w:docPartObj>
    </w:sdtPr>
    <w:sdtEndPr>
      <w:rPr>
        <w:noProof/>
      </w:rPr>
    </w:sdtEndPr>
    <w:sdtContent>
      <w:p w14:paraId="7885E5AC" w14:textId="315B82B4" w:rsidR="004F42B6" w:rsidRDefault="004F42B6">
        <w:pPr>
          <w:pStyle w:val="Header"/>
          <w:jc w:val="center"/>
        </w:pPr>
        <w:r>
          <w:fldChar w:fldCharType="begin"/>
        </w:r>
        <w:r>
          <w:instrText xml:space="preserve"> PAGE   \* MERGEFORMAT </w:instrText>
        </w:r>
        <w:r>
          <w:fldChar w:fldCharType="separate"/>
        </w:r>
        <w:r w:rsidR="00C07B0A">
          <w:rPr>
            <w:noProof/>
          </w:rPr>
          <w:t>5</w:t>
        </w:r>
        <w:r>
          <w:rPr>
            <w:noProof/>
          </w:rPr>
          <w:fldChar w:fldCharType="end"/>
        </w:r>
      </w:p>
    </w:sdtContent>
  </w:sdt>
  <w:p w14:paraId="0C8E0C95" w14:textId="26BB3FA8" w:rsidR="004F42B6" w:rsidRDefault="004F42B6" w:rsidP="00947BB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06C54"/>
    <w:multiLevelType w:val="hybridMultilevel"/>
    <w:tmpl w:val="64C8E8E8"/>
    <w:lvl w:ilvl="0" w:tplc="6B1A2074">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9A50485"/>
    <w:multiLevelType w:val="hybridMultilevel"/>
    <w:tmpl w:val="AB38EE72"/>
    <w:lvl w:ilvl="0" w:tplc="3EEEA132">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229258C"/>
    <w:multiLevelType w:val="hybridMultilevel"/>
    <w:tmpl w:val="68D8B1A6"/>
    <w:lvl w:ilvl="0" w:tplc="D6AADBA2">
      <w:start w:val="1"/>
      <w:numFmt w:val="decimal"/>
      <w:lvlText w:val="%1)"/>
      <w:lvlJc w:val="left"/>
      <w:pPr>
        <w:tabs>
          <w:tab w:val="num" w:pos="720"/>
        </w:tabs>
        <w:ind w:left="720" w:hanging="360"/>
      </w:pPr>
    </w:lvl>
    <w:lvl w:ilvl="1" w:tplc="8B42E8CA" w:tentative="1">
      <w:start w:val="1"/>
      <w:numFmt w:val="decimal"/>
      <w:lvlText w:val="%2)"/>
      <w:lvlJc w:val="left"/>
      <w:pPr>
        <w:tabs>
          <w:tab w:val="num" w:pos="1440"/>
        </w:tabs>
        <w:ind w:left="1440" w:hanging="360"/>
      </w:pPr>
    </w:lvl>
    <w:lvl w:ilvl="2" w:tplc="34BC91F6" w:tentative="1">
      <w:start w:val="1"/>
      <w:numFmt w:val="decimal"/>
      <w:lvlText w:val="%3)"/>
      <w:lvlJc w:val="left"/>
      <w:pPr>
        <w:tabs>
          <w:tab w:val="num" w:pos="2160"/>
        </w:tabs>
        <w:ind w:left="2160" w:hanging="360"/>
      </w:pPr>
    </w:lvl>
    <w:lvl w:ilvl="3" w:tplc="FAC28BB8" w:tentative="1">
      <w:start w:val="1"/>
      <w:numFmt w:val="decimal"/>
      <w:lvlText w:val="%4)"/>
      <w:lvlJc w:val="left"/>
      <w:pPr>
        <w:tabs>
          <w:tab w:val="num" w:pos="2880"/>
        </w:tabs>
        <w:ind w:left="2880" w:hanging="360"/>
      </w:pPr>
    </w:lvl>
    <w:lvl w:ilvl="4" w:tplc="97DAF21A" w:tentative="1">
      <w:start w:val="1"/>
      <w:numFmt w:val="decimal"/>
      <w:lvlText w:val="%5)"/>
      <w:lvlJc w:val="left"/>
      <w:pPr>
        <w:tabs>
          <w:tab w:val="num" w:pos="3600"/>
        </w:tabs>
        <w:ind w:left="3600" w:hanging="360"/>
      </w:pPr>
    </w:lvl>
    <w:lvl w:ilvl="5" w:tplc="5F7C772E" w:tentative="1">
      <w:start w:val="1"/>
      <w:numFmt w:val="decimal"/>
      <w:lvlText w:val="%6)"/>
      <w:lvlJc w:val="left"/>
      <w:pPr>
        <w:tabs>
          <w:tab w:val="num" w:pos="4320"/>
        </w:tabs>
        <w:ind w:left="4320" w:hanging="360"/>
      </w:pPr>
    </w:lvl>
    <w:lvl w:ilvl="6" w:tplc="A4FAACAC" w:tentative="1">
      <w:start w:val="1"/>
      <w:numFmt w:val="decimal"/>
      <w:lvlText w:val="%7)"/>
      <w:lvlJc w:val="left"/>
      <w:pPr>
        <w:tabs>
          <w:tab w:val="num" w:pos="5040"/>
        </w:tabs>
        <w:ind w:left="5040" w:hanging="360"/>
      </w:pPr>
    </w:lvl>
    <w:lvl w:ilvl="7" w:tplc="B636E28E" w:tentative="1">
      <w:start w:val="1"/>
      <w:numFmt w:val="decimal"/>
      <w:lvlText w:val="%8)"/>
      <w:lvlJc w:val="left"/>
      <w:pPr>
        <w:tabs>
          <w:tab w:val="num" w:pos="5760"/>
        </w:tabs>
        <w:ind w:left="5760" w:hanging="360"/>
      </w:pPr>
    </w:lvl>
    <w:lvl w:ilvl="8" w:tplc="F0F0CF9E" w:tentative="1">
      <w:start w:val="1"/>
      <w:numFmt w:val="decimal"/>
      <w:lvlText w:val="%9)"/>
      <w:lvlJc w:val="left"/>
      <w:pPr>
        <w:tabs>
          <w:tab w:val="num" w:pos="6480"/>
        </w:tabs>
        <w:ind w:left="6480" w:hanging="360"/>
      </w:pPr>
    </w:lvl>
  </w:abstractNum>
  <w:abstractNum w:abstractNumId="3">
    <w:nsid w:val="287A10C0"/>
    <w:multiLevelType w:val="hybridMultilevel"/>
    <w:tmpl w:val="7D0840FC"/>
    <w:lvl w:ilvl="0" w:tplc="0426000B">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4">
    <w:nsid w:val="300D0D16"/>
    <w:multiLevelType w:val="hybridMultilevel"/>
    <w:tmpl w:val="77F21DFC"/>
    <w:lvl w:ilvl="0" w:tplc="04260001">
      <w:start w:val="1"/>
      <w:numFmt w:val="bullet"/>
      <w:lvlText w:val=""/>
      <w:lvlJc w:val="left"/>
      <w:pPr>
        <w:ind w:left="780" w:hanging="360"/>
      </w:pPr>
      <w:rPr>
        <w:rFonts w:ascii="Symbol" w:hAnsi="Symbol" w:hint="default"/>
      </w:rPr>
    </w:lvl>
    <w:lvl w:ilvl="1" w:tplc="0824B9DE">
      <w:start w:val="1"/>
      <w:numFmt w:val="lowerLetter"/>
      <w:lvlText w:val="%2)"/>
      <w:lvlJc w:val="left"/>
      <w:pPr>
        <w:ind w:left="1500" w:hanging="360"/>
      </w:pPr>
      <w:rPr>
        <w:rFonts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nsid w:val="32A47C2C"/>
    <w:multiLevelType w:val="multilevel"/>
    <w:tmpl w:val="E58CAB1E"/>
    <w:lvl w:ilvl="0">
      <w:start w:val="2"/>
      <w:numFmt w:val="decimal"/>
      <w:lvlText w:val="%1."/>
      <w:lvlJc w:val="left"/>
      <w:pPr>
        <w:ind w:left="360" w:hanging="360"/>
      </w:pPr>
      <w:rPr>
        <w:rFonts w:eastAsia="Calibri" w:hint="default"/>
        <w:b w:val="0"/>
      </w:rPr>
    </w:lvl>
    <w:lvl w:ilvl="1">
      <w:start w:val="1"/>
      <w:numFmt w:val="decimal"/>
      <w:lvlText w:val="%1.%2."/>
      <w:lvlJc w:val="left"/>
      <w:pPr>
        <w:ind w:left="502" w:hanging="360"/>
      </w:pPr>
      <w:rPr>
        <w:rFonts w:eastAsia="Calibri" w:hint="default"/>
        <w:b w:val="0"/>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6">
    <w:nsid w:val="406B0A1B"/>
    <w:multiLevelType w:val="hybridMultilevel"/>
    <w:tmpl w:val="C5B0A606"/>
    <w:lvl w:ilvl="0" w:tplc="04260011">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46D41C4"/>
    <w:multiLevelType w:val="hybridMultilevel"/>
    <w:tmpl w:val="9F9C9CDA"/>
    <w:lvl w:ilvl="0" w:tplc="0824B9DE">
      <w:start w:val="1"/>
      <w:numFmt w:val="lowerLetter"/>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8">
    <w:nsid w:val="4876090C"/>
    <w:multiLevelType w:val="hybridMultilevel"/>
    <w:tmpl w:val="6A1A058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8546826"/>
    <w:multiLevelType w:val="multilevel"/>
    <w:tmpl w:val="81D091E4"/>
    <w:lvl w:ilvl="0">
      <w:start w:val="2"/>
      <w:numFmt w:val="decimal"/>
      <w:lvlText w:val="%1."/>
      <w:lvlJc w:val="left"/>
      <w:pPr>
        <w:ind w:left="360" w:hanging="360"/>
      </w:pPr>
      <w:rPr>
        <w:rFonts w:eastAsia="Calibri" w:hint="default"/>
      </w:rPr>
    </w:lvl>
    <w:lvl w:ilvl="1">
      <w:start w:val="1"/>
      <w:numFmt w:val="decimal"/>
      <w:lvlText w:val="%1.%2."/>
      <w:lvlJc w:val="left"/>
      <w:pPr>
        <w:ind w:left="502"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0">
    <w:nsid w:val="5CE92AE4"/>
    <w:multiLevelType w:val="hybridMultilevel"/>
    <w:tmpl w:val="54C0A912"/>
    <w:lvl w:ilvl="0" w:tplc="600ABC6A">
      <w:start w:val="1"/>
      <w:numFmt w:val="decimal"/>
      <w:lvlText w:val="%1."/>
      <w:lvlJc w:val="left"/>
      <w:pPr>
        <w:ind w:left="360" w:hanging="360"/>
      </w:pPr>
      <w:rPr>
        <w:rFonts w:eastAsia="Calibri"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nsid w:val="5FBC6DB3"/>
    <w:multiLevelType w:val="multilevel"/>
    <w:tmpl w:val="DE4CAE16"/>
    <w:lvl w:ilvl="0">
      <w:start w:val="2"/>
      <w:numFmt w:val="decimal"/>
      <w:lvlText w:val="%1."/>
      <w:lvlJc w:val="left"/>
      <w:pPr>
        <w:ind w:left="360" w:hanging="360"/>
      </w:pPr>
      <w:rPr>
        <w:rFonts w:eastAsia="Calibri" w:hint="default"/>
        <w:b w:val="0"/>
      </w:rPr>
    </w:lvl>
    <w:lvl w:ilvl="1">
      <w:start w:val="1"/>
      <w:numFmt w:val="decimal"/>
      <w:lvlText w:val="%1.%2."/>
      <w:lvlJc w:val="left"/>
      <w:pPr>
        <w:ind w:left="502" w:hanging="36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2">
    <w:nsid w:val="5FED4615"/>
    <w:multiLevelType w:val="hybridMultilevel"/>
    <w:tmpl w:val="C3F423EA"/>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3">
    <w:nsid w:val="648E5BCD"/>
    <w:multiLevelType w:val="hybridMultilevel"/>
    <w:tmpl w:val="399EB4F6"/>
    <w:lvl w:ilvl="0" w:tplc="EC2E4502">
      <w:start w:val="1"/>
      <w:numFmt w:val="lowerLetter"/>
      <w:lvlText w:val="%1)"/>
      <w:lvlJc w:val="left"/>
      <w:pPr>
        <w:tabs>
          <w:tab w:val="num" w:pos="720"/>
        </w:tabs>
        <w:ind w:left="720" w:hanging="360"/>
      </w:pPr>
    </w:lvl>
    <w:lvl w:ilvl="1" w:tplc="AFD28040" w:tentative="1">
      <w:start w:val="1"/>
      <w:numFmt w:val="lowerLetter"/>
      <w:lvlText w:val="%2)"/>
      <w:lvlJc w:val="left"/>
      <w:pPr>
        <w:tabs>
          <w:tab w:val="num" w:pos="1440"/>
        </w:tabs>
        <w:ind w:left="1440" w:hanging="360"/>
      </w:pPr>
    </w:lvl>
    <w:lvl w:ilvl="2" w:tplc="BD2A6CA8" w:tentative="1">
      <w:start w:val="1"/>
      <w:numFmt w:val="lowerLetter"/>
      <w:lvlText w:val="%3)"/>
      <w:lvlJc w:val="left"/>
      <w:pPr>
        <w:tabs>
          <w:tab w:val="num" w:pos="2160"/>
        </w:tabs>
        <w:ind w:left="2160" w:hanging="360"/>
      </w:pPr>
    </w:lvl>
    <w:lvl w:ilvl="3" w:tplc="E634E2D2" w:tentative="1">
      <w:start w:val="1"/>
      <w:numFmt w:val="lowerLetter"/>
      <w:lvlText w:val="%4)"/>
      <w:lvlJc w:val="left"/>
      <w:pPr>
        <w:tabs>
          <w:tab w:val="num" w:pos="2880"/>
        </w:tabs>
        <w:ind w:left="2880" w:hanging="360"/>
      </w:pPr>
    </w:lvl>
    <w:lvl w:ilvl="4" w:tplc="2FC64072" w:tentative="1">
      <w:start w:val="1"/>
      <w:numFmt w:val="lowerLetter"/>
      <w:lvlText w:val="%5)"/>
      <w:lvlJc w:val="left"/>
      <w:pPr>
        <w:tabs>
          <w:tab w:val="num" w:pos="3600"/>
        </w:tabs>
        <w:ind w:left="3600" w:hanging="360"/>
      </w:pPr>
    </w:lvl>
    <w:lvl w:ilvl="5" w:tplc="A41C4B0A" w:tentative="1">
      <w:start w:val="1"/>
      <w:numFmt w:val="lowerLetter"/>
      <w:lvlText w:val="%6)"/>
      <w:lvlJc w:val="left"/>
      <w:pPr>
        <w:tabs>
          <w:tab w:val="num" w:pos="4320"/>
        </w:tabs>
        <w:ind w:left="4320" w:hanging="360"/>
      </w:pPr>
    </w:lvl>
    <w:lvl w:ilvl="6" w:tplc="43F471D2" w:tentative="1">
      <w:start w:val="1"/>
      <w:numFmt w:val="lowerLetter"/>
      <w:lvlText w:val="%7)"/>
      <w:lvlJc w:val="left"/>
      <w:pPr>
        <w:tabs>
          <w:tab w:val="num" w:pos="5040"/>
        </w:tabs>
        <w:ind w:left="5040" w:hanging="360"/>
      </w:pPr>
    </w:lvl>
    <w:lvl w:ilvl="7" w:tplc="E20C6F70" w:tentative="1">
      <w:start w:val="1"/>
      <w:numFmt w:val="lowerLetter"/>
      <w:lvlText w:val="%8)"/>
      <w:lvlJc w:val="left"/>
      <w:pPr>
        <w:tabs>
          <w:tab w:val="num" w:pos="5760"/>
        </w:tabs>
        <w:ind w:left="5760" w:hanging="360"/>
      </w:pPr>
    </w:lvl>
    <w:lvl w:ilvl="8" w:tplc="836078F6" w:tentative="1">
      <w:start w:val="1"/>
      <w:numFmt w:val="lowerLetter"/>
      <w:lvlText w:val="%9)"/>
      <w:lvlJc w:val="left"/>
      <w:pPr>
        <w:tabs>
          <w:tab w:val="num" w:pos="6480"/>
        </w:tabs>
        <w:ind w:left="6480" w:hanging="360"/>
      </w:pPr>
    </w:lvl>
  </w:abstractNum>
  <w:abstractNum w:abstractNumId="14">
    <w:nsid w:val="67BF4F26"/>
    <w:multiLevelType w:val="hybridMultilevel"/>
    <w:tmpl w:val="AAF85BE6"/>
    <w:lvl w:ilvl="0" w:tplc="600ABC6A">
      <w:start w:val="1"/>
      <w:numFmt w:val="decimal"/>
      <w:lvlText w:val="%1."/>
      <w:lvlJc w:val="left"/>
      <w:pPr>
        <w:ind w:left="360" w:hanging="360"/>
      </w:pPr>
      <w:rPr>
        <w:rFonts w:eastAsia="Calibri"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A2F60CD"/>
    <w:multiLevelType w:val="multilevel"/>
    <w:tmpl w:val="C076F66E"/>
    <w:lvl w:ilvl="0">
      <w:start w:val="3"/>
      <w:numFmt w:val="decimal"/>
      <w:lvlText w:val="%1."/>
      <w:lvlJc w:val="left"/>
      <w:pPr>
        <w:ind w:left="360" w:hanging="360"/>
      </w:pPr>
      <w:rPr>
        <w:rFonts w:eastAsiaTheme="minorHAnsi" w:hint="default"/>
        <w:color w:val="auto"/>
      </w:rPr>
    </w:lvl>
    <w:lvl w:ilvl="1">
      <w:start w:val="1"/>
      <w:numFmt w:val="decimal"/>
      <w:lvlText w:val="%1.%2."/>
      <w:lvlJc w:val="left"/>
      <w:pPr>
        <w:ind w:left="502" w:hanging="360"/>
      </w:pPr>
      <w:rPr>
        <w:rFonts w:eastAsiaTheme="minorHAnsi" w:hint="default"/>
        <w:b w:val="0"/>
        <w:i w:val="0"/>
        <w:color w:val="auto"/>
        <w:sz w:val="24"/>
        <w:szCs w:val="24"/>
      </w:rPr>
    </w:lvl>
    <w:lvl w:ilvl="2">
      <w:start w:val="1"/>
      <w:numFmt w:val="lowerLetter"/>
      <w:lvlText w:val="%3."/>
      <w:lvlJc w:val="left"/>
      <w:pPr>
        <w:ind w:left="720" w:hanging="720"/>
      </w:pPr>
      <w:rPr>
        <w:rFonts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16">
    <w:nsid w:val="6CD44B46"/>
    <w:multiLevelType w:val="hybridMultilevel"/>
    <w:tmpl w:val="2688A0BA"/>
    <w:lvl w:ilvl="0" w:tplc="578CF352">
      <w:start w:val="593"/>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04018EB"/>
    <w:multiLevelType w:val="hybridMultilevel"/>
    <w:tmpl w:val="5AFA81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0622A47"/>
    <w:multiLevelType w:val="hybridMultilevel"/>
    <w:tmpl w:val="5D72649C"/>
    <w:lvl w:ilvl="0" w:tplc="436E2CF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333312D"/>
    <w:multiLevelType w:val="multilevel"/>
    <w:tmpl w:val="A510EEA2"/>
    <w:lvl w:ilvl="0">
      <w:start w:val="2"/>
      <w:numFmt w:val="decimal"/>
      <w:lvlText w:val="%1."/>
      <w:lvlJc w:val="left"/>
      <w:pPr>
        <w:ind w:left="360" w:hanging="360"/>
      </w:pPr>
      <w:rPr>
        <w:rFonts w:eastAsia="Calibri" w:hint="default"/>
        <w:b w:val="0"/>
      </w:rPr>
    </w:lvl>
    <w:lvl w:ilvl="1">
      <w:start w:val="1"/>
      <w:numFmt w:val="decimal"/>
      <w:lvlText w:val="%1.%2."/>
      <w:lvlJc w:val="left"/>
      <w:pPr>
        <w:ind w:left="502" w:hanging="360"/>
      </w:pPr>
      <w:rPr>
        <w:rFonts w:eastAsia="Calibri" w:hint="default"/>
        <w:b w:val="0"/>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0">
    <w:nsid w:val="79D666F1"/>
    <w:multiLevelType w:val="hybridMultilevel"/>
    <w:tmpl w:val="C2C818B8"/>
    <w:lvl w:ilvl="0" w:tplc="C41601EE">
      <w:start w:val="1"/>
      <w:numFmt w:val="decimal"/>
      <w:lvlText w:val="%1."/>
      <w:lvlJc w:val="left"/>
      <w:pPr>
        <w:ind w:left="720" w:hanging="360"/>
      </w:pPr>
      <w:rPr>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DED4A64"/>
    <w:multiLevelType w:val="hybridMultilevel"/>
    <w:tmpl w:val="43EAB9A4"/>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5"/>
  </w:num>
  <w:num w:numId="4">
    <w:abstractNumId w:val="0"/>
  </w:num>
  <w:num w:numId="5">
    <w:abstractNumId w:val="4"/>
  </w:num>
  <w:num w:numId="6">
    <w:abstractNumId w:val="7"/>
  </w:num>
  <w:num w:numId="7">
    <w:abstractNumId w:val="1"/>
  </w:num>
  <w:num w:numId="8">
    <w:abstractNumId w:val="12"/>
  </w:num>
  <w:num w:numId="9">
    <w:abstractNumId w:val="18"/>
  </w:num>
  <w:num w:numId="10">
    <w:abstractNumId w:val="16"/>
  </w:num>
  <w:num w:numId="11">
    <w:abstractNumId w:val="6"/>
  </w:num>
  <w:num w:numId="12">
    <w:abstractNumId w:val="2"/>
  </w:num>
  <w:num w:numId="13">
    <w:abstractNumId w:val="13"/>
  </w:num>
  <w:num w:numId="14">
    <w:abstractNumId w:val="11"/>
  </w:num>
  <w:num w:numId="15">
    <w:abstractNumId w:val="17"/>
  </w:num>
  <w:num w:numId="16">
    <w:abstractNumId w:val="10"/>
  </w:num>
  <w:num w:numId="17">
    <w:abstractNumId w:val="8"/>
  </w:num>
  <w:num w:numId="18">
    <w:abstractNumId w:val="21"/>
  </w:num>
  <w:num w:numId="19">
    <w:abstractNumId w:val="5"/>
  </w:num>
  <w:num w:numId="20">
    <w:abstractNumId w:val="19"/>
  </w:num>
  <w:num w:numId="21">
    <w:abstractNumId w:val="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DB"/>
    <w:rsid w:val="00000113"/>
    <w:rsid w:val="00007B61"/>
    <w:rsid w:val="00011FF7"/>
    <w:rsid w:val="000177C8"/>
    <w:rsid w:val="00027639"/>
    <w:rsid w:val="0003345C"/>
    <w:rsid w:val="00034E6C"/>
    <w:rsid w:val="00035523"/>
    <w:rsid w:val="0004087E"/>
    <w:rsid w:val="0004200D"/>
    <w:rsid w:val="000438BB"/>
    <w:rsid w:val="00051948"/>
    <w:rsid w:val="00051CE6"/>
    <w:rsid w:val="0005214B"/>
    <w:rsid w:val="00057EB0"/>
    <w:rsid w:val="00060B70"/>
    <w:rsid w:val="00061833"/>
    <w:rsid w:val="0006455E"/>
    <w:rsid w:val="00073BE5"/>
    <w:rsid w:val="00080827"/>
    <w:rsid w:val="000844FA"/>
    <w:rsid w:val="00094601"/>
    <w:rsid w:val="000973A6"/>
    <w:rsid w:val="00097E4D"/>
    <w:rsid w:val="000A5C17"/>
    <w:rsid w:val="000A734C"/>
    <w:rsid w:val="000B68CF"/>
    <w:rsid w:val="000C2AA0"/>
    <w:rsid w:val="000C7125"/>
    <w:rsid w:val="000D545F"/>
    <w:rsid w:val="000E0932"/>
    <w:rsid w:val="000F4DAE"/>
    <w:rsid w:val="000F5F73"/>
    <w:rsid w:val="00101539"/>
    <w:rsid w:val="00110071"/>
    <w:rsid w:val="00125246"/>
    <w:rsid w:val="00125587"/>
    <w:rsid w:val="001269CA"/>
    <w:rsid w:val="0012795B"/>
    <w:rsid w:val="00141BF7"/>
    <w:rsid w:val="00142206"/>
    <w:rsid w:val="0014261F"/>
    <w:rsid w:val="0014737B"/>
    <w:rsid w:val="00150060"/>
    <w:rsid w:val="00150DAA"/>
    <w:rsid w:val="00156756"/>
    <w:rsid w:val="00157926"/>
    <w:rsid w:val="00161E7B"/>
    <w:rsid w:val="00166EC6"/>
    <w:rsid w:val="00170349"/>
    <w:rsid w:val="00182514"/>
    <w:rsid w:val="0018493C"/>
    <w:rsid w:val="00184E4F"/>
    <w:rsid w:val="0019650B"/>
    <w:rsid w:val="001A4EB4"/>
    <w:rsid w:val="001B5E0C"/>
    <w:rsid w:val="001B70A4"/>
    <w:rsid w:val="001C220D"/>
    <w:rsid w:val="001C2A27"/>
    <w:rsid w:val="001D31EB"/>
    <w:rsid w:val="001D5725"/>
    <w:rsid w:val="001D5A0B"/>
    <w:rsid w:val="001D5A6C"/>
    <w:rsid w:val="001D796F"/>
    <w:rsid w:val="001F2CE3"/>
    <w:rsid w:val="001F303D"/>
    <w:rsid w:val="001F5182"/>
    <w:rsid w:val="001F70F2"/>
    <w:rsid w:val="001F7824"/>
    <w:rsid w:val="00207285"/>
    <w:rsid w:val="00210951"/>
    <w:rsid w:val="00211FF5"/>
    <w:rsid w:val="002314A2"/>
    <w:rsid w:val="002314FA"/>
    <w:rsid w:val="0023196F"/>
    <w:rsid w:val="0023336C"/>
    <w:rsid w:val="00241FA6"/>
    <w:rsid w:val="0024760D"/>
    <w:rsid w:val="0025053F"/>
    <w:rsid w:val="002505A2"/>
    <w:rsid w:val="00252B85"/>
    <w:rsid w:val="00253006"/>
    <w:rsid w:val="00265C0B"/>
    <w:rsid w:val="00266973"/>
    <w:rsid w:val="0027168C"/>
    <w:rsid w:val="00274C3D"/>
    <w:rsid w:val="0029527F"/>
    <w:rsid w:val="002A41D5"/>
    <w:rsid w:val="002A54AE"/>
    <w:rsid w:val="002B061F"/>
    <w:rsid w:val="002B1C6E"/>
    <w:rsid w:val="002B73DE"/>
    <w:rsid w:val="002C4B6C"/>
    <w:rsid w:val="002C7B83"/>
    <w:rsid w:val="002D3C02"/>
    <w:rsid w:val="002D5302"/>
    <w:rsid w:val="002D6160"/>
    <w:rsid w:val="002D79F5"/>
    <w:rsid w:val="002E2841"/>
    <w:rsid w:val="002E28C2"/>
    <w:rsid w:val="002E6C4E"/>
    <w:rsid w:val="002E70E7"/>
    <w:rsid w:val="002F352B"/>
    <w:rsid w:val="002F3DF0"/>
    <w:rsid w:val="002F41D0"/>
    <w:rsid w:val="002F7603"/>
    <w:rsid w:val="00301E10"/>
    <w:rsid w:val="00310428"/>
    <w:rsid w:val="00317812"/>
    <w:rsid w:val="003232BA"/>
    <w:rsid w:val="00326786"/>
    <w:rsid w:val="003304A5"/>
    <w:rsid w:val="00333CC6"/>
    <w:rsid w:val="00334E96"/>
    <w:rsid w:val="00340086"/>
    <w:rsid w:val="00343E98"/>
    <w:rsid w:val="00345C5B"/>
    <w:rsid w:val="003465BA"/>
    <w:rsid w:val="00347166"/>
    <w:rsid w:val="00347D1B"/>
    <w:rsid w:val="00347FFA"/>
    <w:rsid w:val="003540F6"/>
    <w:rsid w:val="00357620"/>
    <w:rsid w:val="00357A62"/>
    <w:rsid w:val="00357ED9"/>
    <w:rsid w:val="00360804"/>
    <w:rsid w:val="00361D88"/>
    <w:rsid w:val="003623F3"/>
    <w:rsid w:val="003633B4"/>
    <w:rsid w:val="00365B91"/>
    <w:rsid w:val="0036722E"/>
    <w:rsid w:val="00387644"/>
    <w:rsid w:val="003940E4"/>
    <w:rsid w:val="003A048F"/>
    <w:rsid w:val="003A2A5A"/>
    <w:rsid w:val="003A6D9A"/>
    <w:rsid w:val="003B01E1"/>
    <w:rsid w:val="003B15D7"/>
    <w:rsid w:val="003C15F5"/>
    <w:rsid w:val="003C1C0D"/>
    <w:rsid w:val="003C3903"/>
    <w:rsid w:val="003C50FB"/>
    <w:rsid w:val="003C6907"/>
    <w:rsid w:val="003C7CE4"/>
    <w:rsid w:val="003D3AC0"/>
    <w:rsid w:val="003E1722"/>
    <w:rsid w:val="003E6E22"/>
    <w:rsid w:val="003F0369"/>
    <w:rsid w:val="003F6EEF"/>
    <w:rsid w:val="00402106"/>
    <w:rsid w:val="00405972"/>
    <w:rsid w:val="00422750"/>
    <w:rsid w:val="0042690E"/>
    <w:rsid w:val="00427EAD"/>
    <w:rsid w:val="00430F99"/>
    <w:rsid w:val="00432E55"/>
    <w:rsid w:val="004335DA"/>
    <w:rsid w:val="00443E64"/>
    <w:rsid w:val="00444353"/>
    <w:rsid w:val="0044606A"/>
    <w:rsid w:val="00446CEC"/>
    <w:rsid w:val="00452781"/>
    <w:rsid w:val="00454A38"/>
    <w:rsid w:val="00456F50"/>
    <w:rsid w:val="00457CE3"/>
    <w:rsid w:val="00462E61"/>
    <w:rsid w:val="00465983"/>
    <w:rsid w:val="004678F2"/>
    <w:rsid w:val="00467CA1"/>
    <w:rsid w:val="00472F42"/>
    <w:rsid w:val="00473293"/>
    <w:rsid w:val="00475785"/>
    <w:rsid w:val="0048442F"/>
    <w:rsid w:val="00484FA6"/>
    <w:rsid w:val="0048532E"/>
    <w:rsid w:val="00486F24"/>
    <w:rsid w:val="00493C72"/>
    <w:rsid w:val="00495FE9"/>
    <w:rsid w:val="004A1F15"/>
    <w:rsid w:val="004A4997"/>
    <w:rsid w:val="004A68EE"/>
    <w:rsid w:val="004B0E64"/>
    <w:rsid w:val="004B76CE"/>
    <w:rsid w:val="004D0E20"/>
    <w:rsid w:val="004D3A6C"/>
    <w:rsid w:val="004D54FB"/>
    <w:rsid w:val="004E1BDE"/>
    <w:rsid w:val="004E2D4E"/>
    <w:rsid w:val="004E36CB"/>
    <w:rsid w:val="004F2A7B"/>
    <w:rsid w:val="004F42B6"/>
    <w:rsid w:val="004F5936"/>
    <w:rsid w:val="00500CC3"/>
    <w:rsid w:val="00501A39"/>
    <w:rsid w:val="00506D7D"/>
    <w:rsid w:val="0051077F"/>
    <w:rsid w:val="00512453"/>
    <w:rsid w:val="00512C0B"/>
    <w:rsid w:val="005138CB"/>
    <w:rsid w:val="00515723"/>
    <w:rsid w:val="00516573"/>
    <w:rsid w:val="00525AC5"/>
    <w:rsid w:val="0053115C"/>
    <w:rsid w:val="00535857"/>
    <w:rsid w:val="00537632"/>
    <w:rsid w:val="005410B8"/>
    <w:rsid w:val="00546DD5"/>
    <w:rsid w:val="00557883"/>
    <w:rsid w:val="00562930"/>
    <w:rsid w:val="00562B26"/>
    <w:rsid w:val="005635C8"/>
    <w:rsid w:val="0057093A"/>
    <w:rsid w:val="0059206A"/>
    <w:rsid w:val="0059443D"/>
    <w:rsid w:val="005A0106"/>
    <w:rsid w:val="005B1DFF"/>
    <w:rsid w:val="005C3132"/>
    <w:rsid w:val="005C64D0"/>
    <w:rsid w:val="005C667D"/>
    <w:rsid w:val="005C676B"/>
    <w:rsid w:val="005D5F6C"/>
    <w:rsid w:val="005E414D"/>
    <w:rsid w:val="005E46F8"/>
    <w:rsid w:val="005E7B9C"/>
    <w:rsid w:val="005F1EDA"/>
    <w:rsid w:val="00602A23"/>
    <w:rsid w:val="0061083B"/>
    <w:rsid w:val="006111EF"/>
    <w:rsid w:val="00614193"/>
    <w:rsid w:val="00615B7A"/>
    <w:rsid w:val="006175F0"/>
    <w:rsid w:val="00617EF8"/>
    <w:rsid w:val="006237BD"/>
    <w:rsid w:val="00624251"/>
    <w:rsid w:val="00625A9A"/>
    <w:rsid w:val="006306A5"/>
    <w:rsid w:val="00630757"/>
    <w:rsid w:val="006320C7"/>
    <w:rsid w:val="00637DFE"/>
    <w:rsid w:val="00644FD8"/>
    <w:rsid w:val="006528A8"/>
    <w:rsid w:val="00657060"/>
    <w:rsid w:val="00660235"/>
    <w:rsid w:val="00662016"/>
    <w:rsid w:val="0066274D"/>
    <w:rsid w:val="00667AD0"/>
    <w:rsid w:val="00673178"/>
    <w:rsid w:val="006737F3"/>
    <w:rsid w:val="006752E4"/>
    <w:rsid w:val="00676D5C"/>
    <w:rsid w:val="00684ADB"/>
    <w:rsid w:val="00685C64"/>
    <w:rsid w:val="00693241"/>
    <w:rsid w:val="0069476E"/>
    <w:rsid w:val="00697306"/>
    <w:rsid w:val="006A4607"/>
    <w:rsid w:val="006A6441"/>
    <w:rsid w:val="006A6888"/>
    <w:rsid w:val="006B098A"/>
    <w:rsid w:val="006B2E90"/>
    <w:rsid w:val="006B4AE0"/>
    <w:rsid w:val="006B7616"/>
    <w:rsid w:val="006C2DBF"/>
    <w:rsid w:val="006C6F3D"/>
    <w:rsid w:val="006D4772"/>
    <w:rsid w:val="006D55C0"/>
    <w:rsid w:val="006D65C3"/>
    <w:rsid w:val="006F32E9"/>
    <w:rsid w:val="006F3437"/>
    <w:rsid w:val="006F5D1E"/>
    <w:rsid w:val="007101BF"/>
    <w:rsid w:val="00711452"/>
    <w:rsid w:val="00711CDB"/>
    <w:rsid w:val="00712C06"/>
    <w:rsid w:val="00716137"/>
    <w:rsid w:val="00716796"/>
    <w:rsid w:val="00723899"/>
    <w:rsid w:val="00724F17"/>
    <w:rsid w:val="00726E33"/>
    <w:rsid w:val="00732FD3"/>
    <w:rsid w:val="00735E0A"/>
    <w:rsid w:val="007411F1"/>
    <w:rsid w:val="00743F75"/>
    <w:rsid w:val="00746A81"/>
    <w:rsid w:val="007516E8"/>
    <w:rsid w:val="00752848"/>
    <w:rsid w:val="00753EEC"/>
    <w:rsid w:val="007540CF"/>
    <w:rsid w:val="007550A5"/>
    <w:rsid w:val="007561E6"/>
    <w:rsid w:val="00770650"/>
    <w:rsid w:val="007716FC"/>
    <w:rsid w:val="00773E87"/>
    <w:rsid w:val="00777090"/>
    <w:rsid w:val="00781D8C"/>
    <w:rsid w:val="007822D3"/>
    <w:rsid w:val="007844C1"/>
    <w:rsid w:val="0078555D"/>
    <w:rsid w:val="0079264C"/>
    <w:rsid w:val="00792FBE"/>
    <w:rsid w:val="007972BD"/>
    <w:rsid w:val="007A582C"/>
    <w:rsid w:val="007B00A3"/>
    <w:rsid w:val="007B43D5"/>
    <w:rsid w:val="007B7485"/>
    <w:rsid w:val="007C3117"/>
    <w:rsid w:val="007C3C22"/>
    <w:rsid w:val="007C51CC"/>
    <w:rsid w:val="007D3567"/>
    <w:rsid w:val="007E502E"/>
    <w:rsid w:val="007E6376"/>
    <w:rsid w:val="007E68A5"/>
    <w:rsid w:val="007E7D8C"/>
    <w:rsid w:val="007F2A2A"/>
    <w:rsid w:val="00803ED2"/>
    <w:rsid w:val="00805DCC"/>
    <w:rsid w:val="00814FD3"/>
    <w:rsid w:val="00820FBF"/>
    <w:rsid w:val="008300C7"/>
    <w:rsid w:val="00831B8D"/>
    <w:rsid w:val="0083240E"/>
    <w:rsid w:val="00832912"/>
    <w:rsid w:val="008365C2"/>
    <w:rsid w:val="00836809"/>
    <w:rsid w:val="008567A1"/>
    <w:rsid w:val="0085714A"/>
    <w:rsid w:val="00872DB7"/>
    <w:rsid w:val="00883BD9"/>
    <w:rsid w:val="00886DD2"/>
    <w:rsid w:val="008900DF"/>
    <w:rsid w:val="008A2734"/>
    <w:rsid w:val="008B1F93"/>
    <w:rsid w:val="008B38EE"/>
    <w:rsid w:val="008B5B0D"/>
    <w:rsid w:val="008C21E4"/>
    <w:rsid w:val="008C5E2A"/>
    <w:rsid w:val="008C6B48"/>
    <w:rsid w:val="008C7F9D"/>
    <w:rsid w:val="008D09BA"/>
    <w:rsid w:val="008D149E"/>
    <w:rsid w:val="008D32FA"/>
    <w:rsid w:val="008E002E"/>
    <w:rsid w:val="008E30D9"/>
    <w:rsid w:val="008E4B6B"/>
    <w:rsid w:val="008F2668"/>
    <w:rsid w:val="008F4226"/>
    <w:rsid w:val="00901698"/>
    <w:rsid w:val="00916EAB"/>
    <w:rsid w:val="009219B5"/>
    <w:rsid w:val="0092268E"/>
    <w:rsid w:val="00925BF3"/>
    <w:rsid w:val="00931E29"/>
    <w:rsid w:val="00933BDD"/>
    <w:rsid w:val="009404B9"/>
    <w:rsid w:val="00940E47"/>
    <w:rsid w:val="00942AB5"/>
    <w:rsid w:val="00947BBB"/>
    <w:rsid w:val="009667A7"/>
    <w:rsid w:val="00966F47"/>
    <w:rsid w:val="00967F42"/>
    <w:rsid w:val="009737BF"/>
    <w:rsid w:val="009740E3"/>
    <w:rsid w:val="00980605"/>
    <w:rsid w:val="0098250D"/>
    <w:rsid w:val="00985C95"/>
    <w:rsid w:val="009905E1"/>
    <w:rsid w:val="00992717"/>
    <w:rsid w:val="009A0686"/>
    <w:rsid w:val="009A06B4"/>
    <w:rsid w:val="009A776F"/>
    <w:rsid w:val="009B58FD"/>
    <w:rsid w:val="009B707F"/>
    <w:rsid w:val="009C6B5C"/>
    <w:rsid w:val="009D277D"/>
    <w:rsid w:val="009D7E62"/>
    <w:rsid w:val="009E1C78"/>
    <w:rsid w:val="009F0C5F"/>
    <w:rsid w:val="009F2427"/>
    <w:rsid w:val="009F5465"/>
    <w:rsid w:val="009F5596"/>
    <w:rsid w:val="00A029ED"/>
    <w:rsid w:val="00A11081"/>
    <w:rsid w:val="00A145B1"/>
    <w:rsid w:val="00A17716"/>
    <w:rsid w:val="00A17F80"/>
    <w:rsid w:val="00A20951"/>
    <w:rsid w:val="00A237A5"/>
    <w:rsid w:val="00A25997"/>
    <w:rsid w:val="00A33F26"/>
    <w:rsid w:val="00A35118"/>
    <w:rsid w:val="00A363C7"/>
    <w:rsid w:val="00A37FAF"/>
    <w:rsid w:val="00A416C8"/>
    <w:rsid w:val="00A43CD1"/>
    <w:rsid w:val="00A441A2"/>
    <w:rsid w:val="00A5453E"/>
    <w:rsid w:val="00A63E93"/>
    <w:rsid w:val="00A646B3"/>
    <w:rsid w:val="00A64EBA"/>
    <w:rsid w:val="00A65F34"/>
    <w:rsid w:val="00A66422"/>
    <w:rsid w:val="00A81658"/>
    <w:rsid w:val="00A8379C"/>
    <w:rsid w:val="00A855AF"/>
    <w:rsid w:val="00A90223"/>
    <w:rsid w:val="00A93E70"/>
    <w:rsid w:val="00A95A80"/>
    <w:rsid w:val="00AA07C3"/>
    <w:rsid w:val="00AA4A7A"/>
    <w:rsid w:val="00AB1338"/>
    <w:rsid w:val="00AB7CC9"/>
    <w:rsid w:val="00AC0CCA"/>
    <w:rsid w:val="00AC6B28"/>
    <w:rsid w:val="00AC7758"/>
    <w:rsid w:val="00AE04A1"/>
    <w:rsid w:val="00AE39EB"/>
    <w:rsid w:val="00AE4B29"/>
    <w:rsid w:val="00AE524D"/>
    <w:rsid w:val="00AE709D"/>
    <w:rsid w:val="00AE7827"/>
    <w:rsid w:val="00AF0314"/>
    <w:rsid w:val="00AF24A8"/>
    <w:rsid w:val="00AF43D1"/>
    <w:rsid w:val="00AF5C6A"/>
    <w:rsid w:val="00B03A9A"/>
    <w:rsid w:val="00B04C7E"/>
    <w:rsid w:val="00B05FDF"/>
    <w:rsid w:val="00B0721A"/>
    <w:rsid w:val="00B30A86"/>
    <w:rsid w:val="00B32310"/>
    <w:rsid w:val="00B34A8A"/>
    <w:rsid w:val="00B4703B"/>
    <w:rsid w:val="00B5095D"/>
    <w:rsid w:val="00B5136C"/>
    <w:rsid w:val="00B535B2"/>
    <w:rsid w:val="00B61459"/>
    <w:rsid w:val="00B62953"/>
    <w:rsid w:val="00B63293"/>
    <w:rsid w:val="00B63A45"/>
    <w:rsid w:val="00B7100B"/>
    <w:rsid w:val="00B752B2"/>
    <w:rsid w:val="00B9639B"/>
    <w:rsid w:val="00B974C2"/>
    <w:rsid w:val="00BA22AA"/>
    <w:rsid w:val="00BA51AB"/>
    <w:rsid w:val="00BA56E3"/>
    <w:rsid w:val="00BB12BF"/>
    <w:rsid w:val="00BB15C2"/>
    <w:rsid w:val="00BB493C"/>
    <w:rsid w:val="00BB6131"/>
    <w:rsid w:val="00BC7C8C"/>
    <w:rsid w:val="00BD2B4B"/>
    <w:rsid w:val="00BD4945"/>
    <w:rsid w:val="00BD59BD"/>
    <w:rsid w:val="00BE7417"/>
    <w:rsid w:val="00C00259"/>
    <w:rsid w:val="00C07B0A"/>
    <w:rsid w:val="00C15570"/>
    <w:rsid w:val="00C22B46"/>
    <w:rsid w:val="00C2310D"/>
    <w:rsid w:val="00C26E12"/>
    <w:rsid w:val="00C40FF3"/>
    <w:rsid w:val="00C4423E"/>
    <w:rsid w:val="00C5210A"/>
    <w:rsid w:val="00C52BD5"/>
    <w:rsid w:val="00C6059D"/>
    <w:rsid w:val="00C648FF"/>
    <w:rsid w:val="00C670E4"/>
    <w:rsid w:val="00C800C7"/>
    <w:rsid w:val="00C80D75"/>
    <w:rsid w:val="00C84146"/>
    <w:rsid w:val="00C84F64"/>
    <w:rsid w:val="00C8760B"/>
    <w:rsid w:val="00C91159"/>
    <w:rsid w:val="00C94C54"/>
    <w:rsid w:val="00CB16D0"/>
    <w:rsid w:val="00CC191D"/>
    <w:rsid w:val="00CC36E2"/>
    <w:rsid w:val="00CC7A2A"/>
    <w:rsid w:val="00CD142E"/>
    <w:rsid w:val="00CD3C2B"/>
    <w:rsid w:val="00CD42C5"/>
    <w:rsid w:val="00CD5291"/>
    <w:rsid w:val="00CF067B"/>
    <w:rsid w:val="00CF4A93"/>
    <w:rsid w:val="00D03BBC"/>
    <w:rsid w:val="00D10C40"/>
    <w:rsid w:val="00D14907"/>
    <w:rsid w:val="00D1696B"/>
    <w:rsid w:val="00D217BA"/>
    <w:rsid w:val="00D22DA1"/>
    <w:rsid w:val="00D30EE6"/>
    <w:rsid w:val="00D31E6C"/>
    <w:rsid w:val="00D32CD5"/>
    <w:rsid w:val="00D376CB"/>
    <w:rsid w:val="00D43243"/>
    <w:rsid w:val="00D43630"/>
    <w:rsid w:val="00D522DE"/>
    <w:rsid w:val="00D535F1"/>
    <w:rsid w:val="00D53A16"/>
    <w:rsid w:val="00D637B2"/>
    <w:rsid w:val="00D75364"/>
    <w:rsid w:val="00D7660D"/>
    <w:rsid w:val="00D833DD"/>
    <w:rsid w:val="00DA0896"/>
    <w:rsid w:val="00DA14F3"/>
    <w:rsid w:val="00DA33AB"/>
    <w:rsid w:val="00DA47D4"/>
    <w:rsid w:val="00DA775F"/>
    <w:rsid w:val="00DB203A"/>
    <w:rsid w:val="00DC058E"/>
    <w:rsid w:val="00DC32DE"/>
    <w:rsid w:val="00DC6BE5"/>
    <w:rsid w:val="00DC6C63"/>
    <w:rsid w:val="00DD00E7"/>
    <w:rsid w:val="00DD21B0"/>
    <w:rsid w:val="00DD4093"/>
    <w:rsid w:val="00DD4D51"/>
    <w:rsid w:val="00DD63EB"/>
    <w:rsid w:val="00DE24F3"/>
    <w:rsid w:val="00DE30E6"/>
    <w:rsid w:val="00DE3FE6"/>
    <w:rsid w:val="00DE667B"/>
    <w:rsid w:val="00DF0286"/>
    <w:rsid w:val="00DF02C0"/>
    <w:rsid w:val="00DF074D"/>
    <w:rsid w:val="00DF0FAF"/>
    <w:rsid w:val="00E01228"/>
    <w:rsid w:val="00E06C5D"/>
    <w:rsid w:val="00E06F40"/>
    <w:rsid w:val="00E114D9"/>
    <w:rsid w:val="00E305B3"/>
    <w:rsid w:val="00E32E32"/>
    <w:rsid w:val="00E4395E"/>
    <w:rsid w:val="00E46679"/>
    <w:rsid w:val="00E72755"/>
    <w:rsid w:val="00E72DA3"/>
    <w:rsid w:val="00E7516F"/>
    <w:rsid w:val="00E76168"/>
    <w:rsid w:val="00E77AD6"/>
    <w:rsid w:val="00E8012A"/>
    <w:rsid w:val="00E84EBE"/>
    <w:rsid w:val="00EB1278"/>
    <w:rsid w:val="00EB276A"/>
    <w:rsid w:val="00EB4CBB"/>
    <w:rsid w:val="00EC34DC"/>
    <w:rsid w:val="00EC42BD"/>
    <w:rsid w:val="00EC6753"/>
    <w:rsid w:val="00ED37B4"/>
    <w:rsid w:val="00ED4A44"/>
    <w:rsid w:val="00ED5376"/>
    <w:rsid w:val="00EE18A8"/>
    <w:rsid w:val="00EE51B0"/>
    <w:rsid w:val="00EF20AA"/>
    <w:rsid w:val="00EF2395"/>
    <w:rsid w:val="00EF6E3D"/>
    <w:rsid w:val="00F07333"/>
    <w:rsid w:val="00F10D42"/>
    <w:rsid w:val="00F243BA"/>
    <w:rsid w:val="00F26067"/>
    <w:rsid w:val="00F30A40"/>
    <w:rsid w:val="00F31925"/>
    <w:rsid w:val="00F35F3C"/>
    <w:rsid w:val="00F36769"/>
    <w:rsid w:val="00F4023A"/>
    <w:rsid w:val="00F465A3"/>
    <w:rsid w:val="00F5184A"/>
    <w:rsid w:val="00F53BBA"/>
    <w:rsid w:val="00F544A8"/>
    <w:rsid w:val="00F65FED"/>
    <w:rsid w:val="00F66A9C"/>
    <w:rsid w:val="00F72D20"/>
    <w:rsid w:val="00F84BFB"/>
    <w:rsid w:val="00F93FDD"/>
    <w:rsid w:val="00FA2BD8"/>
    <w:rsid w:val="00FA7825"/>
    <w:rsid w:val="00FB2EBC"/>
    <w:rsid w:val="00FD3316"/>
    <w:rsid w:val="00FD4959"/>
    <w:rsid w:val="00FF49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9757"/>
  <w15:chartTrackingRefBased/>
  <w15:docId w15:val="{BCD40A59-44CB-4E0B-9C01-62CBD261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4ADB"/>
    <w:rPr>
      <w:sz w:val="16"/>
      <w:szCs w:val="16"/>
    </w:rPr>
  </w:style>
  <w:style w:type="paragraph" w:styleId="CommentText">
    <w:name w:val="annotation text"/>
    <w:basedOn w:val="Normal"/>
    <w:link w:val="CommentTextChar"/>
    <w:uiPriority w:val="99"/>
    <w:unhideWhenUsed/>
    <w:rsid w:val="00684ADB"/>
    <w:rPr>
      <w:sz w:val="20"/>
      <w:szCs w:val="20"/>
    </w:rPr>
  </w:style>
  <w:style w:type="character" w:customStyle="1" w:styleId="CommentTextChar">
    <w:name w:val="Comment Text Char"/>
    <w:basedOn w:val="DefaultParagraphFont"/>
    <w:link w:val="CommentText"/>
    <w:uiPriority w:val="99"/>
    <w:rsid w:val="00684ADB"/>
    <w:rPr>
      <w:sz w:val="20"/>
      <w:szCs w:val="20"/>
    </w:rPr>
  </w:style>
  <w:style w:type="paragraph" w:styleId="ListParagraph">
    <w:name w:val="List Paragraph"/>
    <w:aliases w:val="2,Strip"/>
    <w:basedOn w:val="Normal"/>
    <w:link w:val="ListParagraphChar"/>
    <w:uiPriority w:val="34"/>
    <w:qFormat/>
    <w:rsid w:val="00684ADB"/>
    <w:pPr>
      <w:ind w:left="720"/>
      <w:contextualSpacing/>
    </w:pPr>
  </w:style>
  <w:style w:type="character" w:styleId="Hyperlink">
    <w:name w:val="Hyperlink"/>
    <w:basedOn w:val="DefaultParagraphFont"/>
    <w:uiPriority w:val="99"/>
    <w:unhideWhenUsed/>
    <w:rsid w:val="00684ADB"/>
    <w:rPr>
      <w:color w:val="0563C1" w:themeColor="hyperlink"/>
      <w:u w:val="single"/>
    </w:rPr>
  </w:style>
  <w:style w:type="paragraph" w:styleId="Header">
    <w:name w:val="header"/>
    <w:basedOn w:val="Normal"/>
    <w:link w:val="HeaderChar"/>
    <w:uiPriority w:val="99"/>
    <w:unhideWhenUsed/>
    <w:rsid w:val="00684ADB"/>
    <w:pPr>
      <w:tabs>
        <w:tab w:val="center" w:pos="4153"/>
        <w:tab w:val="right" w:pos="8306"/>
      </w:tabs>
    </w:pPr>
  </w:style>
  <w:style w:type="character" w:customStyle="1" w:styleId="HeaderChar">
    <w:name w:val="Header Char"/>
    <w:basedOn w:val="DefaultParagraphFont"/>
    <w:link w:val="Header"/>
    <w:uiPriority w:val="99"/>
    <w:rsid w:val="00684ADB"/>
  </w:style>
  <w:style w:type="paragraph" w:styleId="Footer">
    <w:name w:val="footer"/>
    <w:basedOn w:val="Normal"/>
    <w:link w:val="FooterChar"/>
    <w:unhideWhenUsed/>
    <w:rsid w:val="00684ADB"/>
    <w:pPr>
      <w:tabs>
        <w:tab w:val="center" w:pos="4153"/>
        <w:tab w:val="right" w:pos="8306"/>
      </w:tabs>
    </w:pPr>
  </w:style>
  <w:style w:type="character" w:customStyle="1" w:styleId="FooterChar">
    <w:name w:val="Footer Char"/>
    <w:basedOn w:val="DefaultParagraphFont"/>
    <w:link w:val="Footer"/>
    <w:rsid w:val="00684ADB"/>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iPriority w:val="99"/>
    <w:unhideWhenUsed/>
    <w:rsid w:val="00684ADB"/>
    <w:rPr>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basedOn w:val="DefaultParagraphFont"/>
    <w:link w:val="FootnoteText"/>
    <w:uiPriority w:val="99"/>
    <w:rsid w:val="00684ADB"/>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684ADB"/>
    <w:rPr>
      <w:vertAlign w:val="superscript"/>
    </w:rPr>
  </w:style>
  <w:style w:type="character" w:customStyle="1" w:styleId="ListParagraphChar">
    <w:name w:val="List Paragraph Char"/>
    <w:aliases w:val="2 Char,Strip Char"/>
    <w:link w:val="ListParagraph"/>
    <w:uiPriority w:val="34"/>
    <w:qFormat/>
    <w:locked/>
    <w:rsid w:val="00684ADB"/>
  </w:style>
  <w:style w:type="paragraph" w:styleId="BodyText">
    <w:name w:val="Body Text"/>
    <w:basedOn w:val="Normal"/>
    <w:link w:val="BodyTextChar"/>
    <w:rsid w:val="00684ADB"/>
    <w:pPr>
      <w:spacing w:before="120" w:after="120" w:line="276" w:lineRule="auto"/>
    </w:pPr>
    <w:rPr>
      <w:rFonts w:eastAsia="Times New Roman" w:cs="Times New Roman"/>
      <w:b/>
      <w:bCs/>
      <w:szCs w:val="24"/>
      <w:lang w:val="en-GB"/>
    </w:rPr>
  </w:style>
  <w:style w:type="character" w:customStyle="1" w:styleId="BodyTextChar">
    <w:name w:val="Body Text Char"/>
    <w:basedOn w:val="DefaultParagraphFont"/>
    <w:link w:val="BodyText"/>
    <w:rsid w:val="00684ADB"/>
    <w:rPr>
      <w:rFonts w:eastAsia="Times New Roman" w:cs="Times New Roman"/>
      <w:b/>
      <w:bCs/>
      <w:szCs w:val="24"/>
      <w:lang w:val="en-GB"/>
    </w:rPr>
  </w:style>
  <w:style w:type="paragraph" w:styleId="BalloonText">
    <w:name w:val="Balloon Text"/>
    <w:basedOn w:val="Normal"/>
    <w:link w:val="BalloonTextChar"/>
    <w:uiPriority w:val="99"/>
    <w:semiHidden/>
    <w:unhideWhenUsed/>
    <w:rsid w:val="00684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AD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A06B4"/>
    <w:rPr>
      <w:b/>
      <w:bCs/>
    </w:rPr>
  </w:style>
  <w:style w:type="character" w:customStyle="1" w:styleId="CommentSubjectChar">
    <w:name w:val="Comment Subject Char"/>
    <w:basedOn w:val="CommentTextChar"/>
    <w:link w:val="CommentSubject"/>
    <w:uiPriority w:val="99"/>
    <w:semiHidden/>
    <w:rsid w:val="009A06B4"/>
    <w:rPr>
      <w:b/>
      <w:bCs/>
      <w:sz w:val="20"/>
      <w:szCs w:val="20"/>
    </w:rPr>
  </w:style>
  <w:style w:type="character" w:styleId="FollowedHyperlink">
    <w:name w:val="FollowedHyperlink"/>
    <w:basedOn w:val="DefaultParagraphFont"/>
    <w:uiPriority w:val="99"/>
    <w:semiHidden/>
    <w:unhideWhenUsed/>
    <w:rsid w:val="000C7125"/>
    <w:rPr>
      <w:color w:val="954F72" w:themeColor="followedHyperlink"/>
      <w:u w:val="single"/>
    </w:rPr>
  </w:style>
  <w:style w:type="character" w:styleId="Strong">
    <w:name w:val="Strong"/>
    <w:uiPriority w:val="22"/>
    <w:qFormat/>
    <w:rsid w:val="00357E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6690">
      <w:bodyDiv w:val="1"/>
      <w:marLeft w:val="0"/>
      <w:marRight w:val="0"/>
      <w:marTop w:val="0"/>
      <w:marBottom w:val="0"/>
      <w:divBdr>
        <w:top w:val="none" w:sz="0" w:space="0" w:color="auto"/>
        <w:left w:val="none" w:sz="0" w:space="0" w:color="auto"/>
        <w:bottom w:val="none" w:sz="0" w:space="0" w:color="auto"/>
        <w:right w:val="none" w:sz="0" w:space="0" w:color="auto"/>
      </w:divBdr>
    </w:div>
    <w:div w:id="199560629">
      <w:bodyDiv w:val="1"/>
      <w:marLeft w:val="0"/>
      <w:marRight w:val="0"/>
      <w:marTop w:val="0"/>
      <w:marBottom w:val="0"/>
      <w:divBdr>
        <w:top w:val="none" w:sz="0" w:space="0" w:color="auto"/>
        <w:left w:val="none" w:sz="0" w:space="0" w:color="auto"/>
        <w:bottom w:val="none" w:sz="0" w:space="0" w:color="auto"/>
        <w:right w:val="none" w:sz="0" w:space="0" w:color="auto"/>
      </w:divBdr>
    </w:div>
    <w:div w:id="228420615">
      <w:bodyDiv w:val="1"/>
      <w:marLeft w:val="0"/>
      <w:marRight w:val="0"/>
      <w:marTop w:val="0"/>
      <w:marBottom w:val="0"/>
      <w:divBdr>
        <w:top w:val="none" w:sz="0" w:space="0" w:color="auto"/>
        <w:left w:val="none" w:sz="0" w:space="0" w:color="auto"/>
        <w:bottom w:val="none" w:sz="0" w:space="0" w:color="auto"/>
        <w:right w:val="none" w:sz="0" w:space="0" w:color="auto"/>
      </w:divBdr>
    </w:div>
    <w:div w:id="589630166">
      <w:bodyDiv w:val="1"/>
      <w:marLeft w:val="0"/>
      <w:marRight w:val="0"/>
      <w:marTop w:val="0"/>
      <w:marBottom w:val="0"/>
      <w:divBdr>
        <w:top w:val="none" w:sz="0" w:space="0" w:color="auto"/>
        <w:left w:val="none" w:sz="0" w:space="0" w:color="auto"/>
        <w:bottom w:val="none" w:sz="0" w:space="0" w:color="auto"/>
        <w:right w:val="none" w:sz="0" w:space="0" w:color="auto"/>
      </w:divBdr>
    </w:div>
    <w:div w:id="745347740">
      <w:bodyDiv w:val="1"/>
      <w:marLeft w:val="0"/>
      <w:marRight w:val="0"/>
      <w:marTop w:val="0"/>
      <w:marBottom w:val="0"/>
      <w:divBdr>
        <w:top w:val="none" w:sz="0" w:space="0" w:color="auto"/>
        <w:left w:val="none" w:sz="0" w:space="0" w:color="auto"/>
        <w:bottom w:val="none" w:sz="0" w:space="0" w:color="auto"/>
        <w:right w:val="none" w:sz="0" w:space="0" w:color="auto"/>
      </w:divBdr>
    </w:div>
    <w:div w:id="1006782271">
      <w:bodyDiv w:val="1"/>
      <w:marLeft w:val="0"/>
      <w:marRight w:val="0"/>
      <w:marTop w:val="0"/>
      <w:marBottom w:val="0"/>
      <w:divBdr>
        <w:top w:val="none" w:sz="0" w:space="0" w:color="auto"/>
        <w:left w:val="none" w:sz="0" w:space="0" w:color="auto"/>
        <w:bottom w:val="none" w:sz="0" w:space="0" w:color="auto"/>
        <w:right w:val="none" w:sz="0" w:space="0" w:color="auto"/>
      </w:divBdr>
    </w:div>
    <w:div w:id="1187791643">
      <w:bodyDiv w:val="1"/>
      <w:marLeft w:val="0"/>
      <w:marRight w:val="0"/>
      <w:marTop w:val="0"/>
      <w:marBottom w:val="0"/>
      <w:divBdr>
        <w:top w:val="none" w:sz="0" w:space="0" w:color="auto"/>
        <w:left w:val="none" w:sz="0" w:space="0" w:color="auto"/>
        <w:bottom w:val="none" w:sz="0" w:space="0" w:color="auto"/>
        <w:right w:val="none" w:sz="0" w:space="0" w:color="auto"/>
      </w:divBdr>
    </w:div>
    <w:div w:id="1396314128">
      <w:bodyDiv w:val="1"/>
      <w:marLeft w:val="0"/>
      <w:marRight w:val="0"/>
      <w:marTop w:val="0"/>
      <w:marBottom w:val="0"/>
      <w:divBdr>
        <w:top w:val="none" w:sz="0" w:space="0" w:color="auto"/>
        <w:left w:val="none" w:sz="0" w:space="0" w:color="auto"/>
        <w:bottom w:val="none" w:sz="0" w:space="0" w:color="auto"/>
        <w:right w:val="none" w:sz="0" w:space="0" w:color="auto"/>
      </w:divBdr>
    </w:div>
    <w:div w:id="1406800547">
      <w:bodyDiv w:val="1"/>
      <w:marLeft w:val="0"/>
      <w:marRight w:val="0"/>
      <w:marTop w:val="0"/>
      <w:marBottom w:val="0"/>
      <w:divBdr>
        <w:top w:val="none" w:sz="0" w:space="0" w:color="auto"/>
        <w:left w:val="none" w:sz="0" w:space="0" w:color="auto"/>
        <w:bottom w:val="none" w:sz="0" w:space="0" w:color="auto"/>
        <w:right w:val="none" w:sz="0" w:space="0" w:color="auto"/>
      </w:divBdr>
    </w:div>
    <w:div w:id="1594050983">
      <w:bodyDiv w:val="1"/>
      <w:marLeft w:val="0"/>
      <w:marRight w:val="0"/>
      <w:marTop w:val="0"/>
      <w:marBottom w:val="0"/>
      <w:divBdr>
        <w:top w:val="none" w:sz="0" w:space="0" w:color="auto"/>
        <w:left w:val="none" w:sz="0" w:space="0" w:color="auto"/>
        <w:bottom w:val="none" w:sz="0" w:space="0" w:color="auto"/>
        <w:right w:val="none" w:sz="0" w:space="0" w:color="auto"/>
      </w:divBdr>
    </w:div>
    <w:div w:id="176148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ondi.lv/page.php?id=106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va.Ziepniece@f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cfla.gov.lv/lv/es-fondi-2014-2020/projektu-iesniegumu-atlase" TargetMode="External"/><Relationship Id="rId13" Type="http://schemas.openxmlformats.org/officeDocument/2006/relationships/hyperlink" Target="http://www.cfla.gov.lv/lv/es-fondi-2014-2020/izsludinatas-atlases" TargetMode="External"/><Relationship Id="rId3" Type="http://schemas.openxmlformats.org/officeDocument/2006/relationships/hyperlink" Target="http://www.esfondi.lv/zinojumi-Ministru-kabinetam" TargetMode="External"/><Relationship Id="rId7" Type="http://schemas.openxmlformats.org/officeDocument/2006/relationships/hyperlink" Target="http://www.esfondi.lv/finansu-un-raditaju-plani-to-izpilde" TargetMode="External"/><Relationship Id="rId12" Type="http://schemas.openxmlformats.org/officeDocument/2006/relationships/hyperlink" Target="http://www.cfla.gov.lv/lv/es-fondi-2014-2020/projektu-iesniegumu-atlase" TargetMode="External"/><Relationship Id="rId17" Type="http://schemas.openxmlformats.org/officeDocument/2006/relationships/hyperlink" Target="http://www.esfondi.lv/zinojumi-Ministru-kabinetam" TargetMode="External"/><Relationship Id="rId2" Type="http://schemas.openxmlformats.org/officeDocument/2006/relationships/hyperlink" Target="http://www.esfondi.lv/kopejie-ek-veiktie-maksajumi-dalibvalstim" TargetMode="External"/><Relationship Id="rId16" Type="http://schemas.openxmlformats.org/officeDocument/2006/relationships/hyperlink" Target="https://komitejas.esfondi.lv/Lists/sedes/DispForm.aspx?ID=113&amp;ContentTypeId=0x0100A71173C59228CF43AEDB868762C1146A" TargetMode="External"/><Relationship Id="rId1" Type="http://schemas.openxmlformats.org/officeDocument/2006/relationships/hyperlink" Target="https://komitejas.esfondi.lv/Lists/sedes/DispForm.aspx?ID=113&amp;ContentTypeId=0x0100A71173C59228CF43AEDB868762C1146A" TargetMode="External"/><Relationship Id="rId6" Type="http://schemas.openxmlformats.org/officeDocument/2006/relationships/hyperlink" Target="http://www.esfondi.lv/planosanas-dokumenti" TargetMode="External"/><Relationship Id="rId11" Type="http://schemas.openxmlformats.org/officeDocument/2006/relationships/hyperlink" Target="http://www.esfondi.lv/finansu-un-raditaju-plani-to-izpilde" TargetMode="External"/><Relationship Id="rId5" Type="http://schemas.openxmlformats.org/officeDocument/2006/relationships/hyperlink" Target="http://www.esfondi.lv/finansu-un-raditaju-plani-to-izpilde" TargetMode="External"/><Relationship Id="rId15" Type="http://schemas.openxmlformats.org/officeDocument/2006/relationships/hyperlink" Target="https://komitejas.esfondi.lv/_layouts/15/start.aspx" TargetMode="External"/><Relationship Id="rId10" Type="http://schemas.openxmlformats.org/officeDocument/2006/relationships/hyperlink" Target="http://www.esfondi.lv/planosanas-dokumenti" TargetMode="External"/><Relationship Id="rId4" Type="http://schemas.openxmlformats.org/officeDocument/2006/relationships/hyperlink" Target="http://www.esfondi.lv/finansu-un-raditaju-plani-to-izpilde" TargetMode="External"/><Relationship Id="rId9" Type="http://schemas.openxmlformats.org/officeDocument/2006/relationships/hyperlink" Target="http://www.cfla.gov.lv/lv/es-fondi-2014-2020/izsludinatas-atlases" TargetMode="External"/><Relationship Id="rId14" Type="http://schemas.openxmlformats.org/officeDocument/2006/relationships/hyperlink" Target="http://www.esfondi.lv/zinojumi-Ministru-kabineta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s\FUD\2014-2020\INFORMACIJA\NMS_grafiki_14_20\2016\2016.11.09_EK%20kop&#275;jie%20maks&#257;jumi_14_20%20vis&#257;m%20ES%20DV.xls"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'Avansi un starpposms'!$D$5</c:f>
              <c:strCache>
                <c:ptCount val="1"/>
                <c:pt idx="0">
                  <c:v> Sākotnējais avanss </c:v>
                </c:pt>
              </c:strCache>
            </c:strRef>
          </c:tx>
          <c:spPr>
            <a:solidFill>
              <a:srgbClr val="8EB4E3"/>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'Avansi un starpposms'!$C$6:$C$33</c:f>
              <c:strCache>
                <c:ptCount val="28"/>
                <c:pt idx="0">
                  <c:v>Luksemburga (4,7%)</c:v>
                </c:pt>
                <c:pt idx="1">
                  <c:v>Somija (4,7%)</c:v>
                </c:pt>
                <c:pt idx="2">
                  <c:v>Nīderlande (4,7%)</c:v>
                </c:pt>
                <c:pt idx="3">
                  <c:v>Austrija (4,7%)</c:v>
                </c:pt>
                <c:pt idx="4">
                  <c:v>Malta (4,7%)</c:v>
                </c:pt>
                <c:pt idx="5">
                  <c:v>Slovēnija (4,8%)</c:v>
                </c:pt>
                <c:pt idx="6">
                  <c:v>Ungārija (4,8%)</c:v>
                </c:pt>
                <c:pt idx="7">
                  <c:v>Vācija (4,9%)</c:v>
                </c:pt>
                <c:pt idx="8">
                  <c:v>Čehija (4,9%)</c:v>
                </c:pt>
                <c:pt idx="9">
                  <c:v>Horvātija (5,0%)</c:v>
                </c:pt>
                <c:pt idx="10">
                  <c:v>Dānija (5,3%)</c:v>
                </c:pt>
                <c:pt idx="11">
                  <c:v>Lielbritānija (5,3%)</c:v>
                </c:pt>
                <c:pt idx="12">
                  <c:v>Itālija (5,6%)</c:v>
                </c:pt>
                <c:pt idx="13">
                  <c:v>Francija (5,6%)</c:v>
                </c:pt>
                <c:pt idx="14">
                  <c:v>Slovākija (5,7%)</c:v>
                </c:pt>
                <c:pt idx="15">
                  <c:v>Beļģija (5,8%)</c:v>
                </c:pt>
                <c:pt idx="16">
                  <c:v>Rumānija (5,8%)</c:v>
                </c:pt>
                <c:pt idx="17">
                  <c:v>Polija (5,8%)</c:v>
                </c:pt>
                <c:pt idx="18">
                  <c:v>Zviedrija (6,1%)</c:v>
                </c:pt>
                <c:pt idx="19">
                  <c:v>Bulgārija (6,1%)</c:v>
                </c:pt>
                <c:pt idx="20">
                  <c:v>Kipra (7,0%)</c:v>
                </c:pt>
                <c:pt idx="21">
                  <c:v>Īrija (7,2%)</c:v>
                </c:pt>
                <c:pt idx="22">
                  <c:v>Latvija (7,6%)</c:v>
                </c:pt>
                <c:pt idx="23">
                  <c:v>Portugāle (7,8%)</c:v>
                </c:pt>
                <c:pt idx="24">
                  <c:v>Lietuva (8,1%)</c:v>
                </c:pt>
                <c:pt idx="25">
                  <c:v>Spānija (8,2%)</c:v>
                </c:pt>
                <c:pt idx="26">
                  <c:v>Igaunija (9,2%)</c:v>
                </c:pt>
                <c:pt idx="27">
                  <c:v>Grieķija (14,5%)</c:v>
                </c:pt>
              </c:strCache>
            </c:strRef>
          </c:cat>
          <c:val>
            <c:numRef>
              <c:f>'Avansi un starpposms'!$D$6:$D$33</c:f>
              <c:numCache>
                <c:formatCode>0.0%</c:formatCode>
                <c:ptCount val="28"/>
                <c:pt idx="0">
                  <c:v>2.8199999666318032E-2</c:v>
                </c:pt>
                <c:pt idx="1">
                  <c:v>2.8199999947104416E-2</c:v>
                </c:pt>
                <c:pt idx="2">
                  <c:v>2.819999998107697E-2</c:v>
                </c:pt>
                <c:pt idx="3">
                  <c:v>2.8199999997546889E-2</c:v>
                </c:pt>
                <c:pt idx="4">
                  <c:v>2.8200000010169646E-2</c:v>
                </c:pt>
                <c:pt idx="5">
                  <c:v>2.9097940559355294E-2</c:v>
                </c:pt>
                <c:pt idx="6">
                  <c:v>2.8878194951025799E-2</c:v>
                </c:pt>
                <c:pt idx="7">
                  <c:v>2.8199999996781508E-2</c:v>
                </c:pt>
                <c:pt idx="8">
                  <c:v>2.838448990390055E-2</c:v>
                </c:pt>
                <c:pt idx="9">
                  <c:v>3.0495760624640249E-2</c:v>
                </c:pt>
                <c:pt idx="10">
                  <c:v>2.8200000066790621E-2</c:v>
                </c:pt>
                <c:pt idx="11">
                  <c:v>3.3713840604497343E-2</c:v>
                </c:pt>
                <c:pt idx="12">
                  <c:v>3.3458479110226105E-2</c:v>
                </c:pt>
                <c:pt idx="13">
                  <c:v>3.4375460789004025E-2</c:v>
                </c:pt>
                <c:pt idx="14">
                  <c:v>2.9745625054801363E-2</c:v>
                </c:pt>
                <c:pt idx="15">
                  <c:v>3.4365524629170564E-2</c:v>
                </c:pt>
                <c:pt idx="16">
                  <c:v>3.896271707121083E-2</c:v>
                </c:pt>
                <c:pt idx="17">
                  <c:v>2.9164214341176196E-2</c:v>
                </c:pt>
                <c:pt idx="18">
                  <c:v>3.5552539151188056E-2</c:v>
                </c:pt>
                <c:pt idx="19">
                  <c:v>3.0382927540857488E-2</c:v>
                </c:pt>
                <c:pt idx="20">
                  <c:v>4.2381980534857942E-2</c:v>
                </c:pt>
                <c:pt idx="21">
                  <c:v>5.2559352970705027E-2</c:v>
                </c:pt>
                <c:pt idx="22">
                  <c:v>3.0127812123681163E-2</c:v>
                </c:pt>
                <c:pt idx="23">
                  <c:v>3.5116192023120565E-2</c:v>
                </c:pt>
                <c:pt idx="24">
                  <c:v>2.9590792980947456E-2</c:v>
                </c:pt>
                <c:pt idx="25">
                  <c:v>4.2837112401939735E-2</c:v>
                </c:pt>
                <c:pt idx="26">
                  <c:v>2.8199999992361145E-2</c:v>
                </c:pt>
                <c:pt idx="27">
                  <c:v>0.10616434919455298</c:v>
                </c:pt>
              </c:numCache>
            </c:numRef>
          </c:val>
          <c:extLst xmlns:c16r2="http://schemas.microsoft.com/office/drawing/2015/06/chart">
            <c:ext xmlns:c16="http://schemas.microsoft.com/office/drawing/2014/chart" uri="{C3380CC4-5D6E-409C-BE32-E72D297353CC}">
              <c16:uniqueId val="{00000000-82A1-4C05-A78E-374F39B6D9DE}"/>
            </c:ext>
          </c:extLst>
        </c:ser>
        <c:ser>
          <c:idx val="1"/>
          <c:order val="1"/>
          <c:tx>
            <c:strRef>
              <c:f>'Avansi un starpposms'!$E$5</c:f>
              <c:strCache>
                <c:ptCount val="1"/>
                <c:pt idx="0">
                  <c:v>Ikgadējais avanss</c:v>
                </c:pt>
              </c:strCache>
            </c:strRef>
          </c:tx>
          <c:spPr>
            <a:solidFill>
              <a:srgbClr val="FAC090"/>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'Avansi un starpposms'!$C$6:$C$33</c:f>
              <c:strCache>
                <c:ptCount val="28"/>
                <c:pt idx="0">
                  <c:v>Luksemburga (4,7%)</c:v>
                </c:pt>
                <c:pt idx="1">
                  <c:v>Somija (4,7%)</c:v>
                </c:pt>
                <c:pt idx="2">
                  <c:v>Nīderlande (4,7%)</c:v>
                </c:pt>
                <c:pt idx="3">
                  <c:v>Austrija (4,7%)</c:v>
                </c:pt>
                <c:pt idx="4">
                  <c:v>Malta (4,7%)</c:v>
                </c:pt>
                <c:pt idx="5">
                  <c:v>Slovēnija (4,8%)</c:v>
                </c:pt>
                <c:pt idx="6">
                  <c:v>Ungārija (4,8%)</c:v>
                </c:pt>
                <c:pt idx="7">
                  <c:v>Vācija (4,9%)</c:v>
                </c:pt>
                <c:pt idx="8">
                  <c:v>Čehija (4,9%)</c:v>
                </c:pt>
                <c:pt idx="9">
                  <c:v>Horvātija (5,0%)</c:v>
                </c:pt>
                <c:pt idx="10">
                  <c:v>Dānija (5,3%)</c:v>
                </c:pt>
                <c:pt idx="11">
                  <c:v>Lielbritānija (5,3%)</c:v>
                </c:pt>
                <c:pt idx="12">
                  <c:v>Itālija (5,6%)</c:v>
                </c:pt>
                <c:pt idx="13">
                  <c:v>Francija (5,6%)</c:v>
                </c:pt>
                <c:pt idx="14">
                  <c:v>Slovākija (5,7%)</c:v>
                </c:pt>
                <c:pt idx="15">
                  <c:v>Beļģija (5,8%)</c:v>
                </c:pt>
                <c:pt idx="16">
                  <c:v>Rumānija (5,8%)</c:v>
                </c:pt>
                <c:pt idx="17">
                  <c:v>Polija (5,8%)</c:v>
                </c:pt>
                <c:pt idx="18">
                  <c:v>Zviedrija (6,1%)</c:v>
                </c:pt>
                <c:pt idx="19">
                  <c:v>Bulgārija (6,1%)</c:v>
                </c:pt>
                <c:pt idx="20">
                  <c:v>Kipra (7,0%)</c:v>
                </c:pt>
                <c:pt idx="21">
                  <c:v>Īrija (7,2%)</c:v>
                </c:pt>
                <c:pt idx="22">
                  <c:v>Latvija (7,6%)</c:v>
                </c:pt>
                <c:pt idx="23">
                  <c:v>Portugāle (7,8%)</c:v>
                </c:pt>
                <c:pt idx="24">
                  <c:v>Lietuva (8,1%)</c:v>
                </c:pt>
                <c:pt idx="25">
                  <c:v>Spānija (8,2%)</c:v>
                </c:pt>
                <c:pt idx="26">
                  <c:v>Igaunija (9,2%)</c:v>
                </c:pt>
                <c:pt idx="27">
                  <c:v>Grieķija (14,5%)</c:v>
                </c:pt>
              </c:strCache>
            </c:strRef>
          </c:cat>
          <c:val>
            <c:numRef>
              <c:f>'Avansi un starpposms'!$E$6:$E$33</c:f>
              <c:numCache>
                <c:formatCode>0.0%</c:formatCode>
                <c:ptCount val="28"/>
                <c:pt idx="0">
                  <c:v>1.8799999777545356E-2</c:v>
                </c:pt>
                <c:pt idx="1">
                  <c:v>1.8799999964736271E-2</c:v>
                </c:pt>
                <c:pt idx="2">
                  <c:v>1.8799999987384644E-2</c:v>
                </c:pt>
                <c:pt idx="3">
                  <c:v>1.879999999836459E-2</c:v>
                </c:pt>
                <c:pt idx="4">
                  <c:v>1.8800000006779762E-2</c:v>
                </c:pt>
                <c:pt idx="5">
                  <c:v>1.8807340111990076E-2</c:v>
                </c:pt>
                <c:pt idx="6">
                  <c:v>1.8805543831843723E-2</c:v>
                </c:pt>
                <c:pt idx="7">
                  <c:v>1.8799999997854339E-2</c:v>
                </c:pt>
                <c:pt idx="8">
                  <c:v>1.8801508092240848E-2</c:v>
                </c:pt>
                <c:pt idx="9">
                  <c:v>1.8818766426940609E-2</c:v>
                </c:pt>
                <c:pt idx="10">
                  <c:v>1.8800000044527081E-2</c:v>
                </c:pt>
                <c:pt idx="11">
                  <c:v>1.8845072265369713E-2</c:v>
                </c:pt>
                <c:pt idx="12">
                  <c:v>1.8842989058925338E-2</c:v>
                </c:pt>
                <c:pt idx="13">
                  <c:v>1.8855209935916186E-2</c:v>
                </c:pt>
                <c:pt idx="14">
                  <c:v>1.8816938929797522E-2</c:v>
                </c:pt>
                <c:pt idx="15">
                  <c:v>1.8850398912882146E-2</c:v>
                </c:pt>
                <c:pt idx="16">
                  <c:v>1.8811285442216372E-2</c:v>
                </c:pt>
                <c:pt idx="17">
                  <c:v>1.8807881859706586E-2</c:v>
                </c:pt>
                <c:pt idx="18">
                  <c:v>1.8860101954114288E-2</c:v>
                </c:pt>
                <c:pt idx="19">
                  <c:v>1.8817844092263572E-2</c:v>
                </c:pt>
                <c:pt idx="20">
                  <c:v>1.883835514680918E-2</c:v>
                </c:pt>
                <c:pt idx="21">
                  <c:v>1.8960375400739096E-2</c:v>
                </c:pt>
                <c:pt idx="22">
                  <c:v>1.8815758673982934E-2</c:v>
                </c:pt>
                <c:pt idx="23">
                  <c:v>1.8818079067672595E-2</c:v>
                </c:pt>
                <c:pt idx="24">
                  <c:v>1.8811368879482156E-2</c:v>
                </c:pt>
                <c:pt idx="25">
                  <c:v>1.888239066997045E-2</c:v>
                </c:pt>
                <c:pt idx="26">
                  <c:v>1.8799999994907429E-2</c:v>
                </c:pt>
                <c:pt idx="27">
                  <c:v>1.8862815701533808E-2</c:v>
                </c:pt>
              </c:numCache>
            </c:numRef>
          </c:val>
          <c:extLst xmlns:c16r2="http://schemas.microsoft.com/office/drawing/2015/06/chart">
            <c:ext xmlns:c16="http://schemas.microsoft.com/office/drawing/2014/chart" uri="{C3380CC4-5D6E-409C-BE32-E72D297353CC}">
              <c16:uniqueId val="{00000001-82A1-4C05-A78E-374F39B6D9DE}"/>
            </c:ext>
          </c:extLst>
        </c:ser>
        <c:ser>
          <c:idx val="2"/>
          <c:order val="2"/>
          <c:tx>
            <c:strRef>
              <c:f>'Avansi un starpposms'!$F$5</c:f>
              <c:strCache>
                <c:ptCount val="1"/>
                <c:pt idx="0">
                  <c:v>Starpposma maksājumi </c:v>
                </c:pt>
              </c:strCache>
            </c:strRef>
          </c:tx>
          <c:spPr>
            <a:solidFill>
              <a:srgbClr val="9BBB59"/>
            </a:solidFill>
            <a:ln w="25400">
              <a:noFill/>
            </a:ln>
          </c:spPr>
          <c:invertIfNegative val="0"/>
          <c:dLbls>
            <c:dLbl>
              <c:idx val="0"/>
              <c:delete val="1"/>
              <c:extLst xmlns:c16r2="http://schemas.microsoft.com/office/drawing/2015/06/chart">
                <c:ext xmlns:c16="http://schemas.microsoft.com/office/drawing/2014/chart" uri="{C3380CC4-5D6E-409C-BE32-E72D297353CC}">
                  <c16:uniqueId val="{00000002-82A1-4C05-A78E-374F39B6D9DE}"/>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3-82A1-4C05-A78E-374F39B6D9DE}"/>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4-82A1-4C05-A78E-374F39B6D9DE}"/>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5-82A1-4C05-A78E-374F39B6D9DE}"/>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6-82A1-4C05-A78E-374F39B6D9DE}"/>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7-82A1-4C05-A78E-374F39B6D9DE}"/>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08-82A1-4C05-A78E-374F39B6D9DE}"/>
                </c:ext>
                <c:ext xmlns:c15="http://schemas.microsoft.com/office/drawing/2012/chart" uri="{CE6537A1-D6FC-4f65-9D91-7224C49458BB}"/>
              </c:extLst>
            </c:dLbl>
            <c:dLbl>
              <c:idx val="7"/>
              <c:layout>
                <c:manualLayout>
                  <c:x val="3.764267082713732E-2"/>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82A1-4C05-A78E-374F39B6D9DE}"/>
                </c:ext>
                <c:ext xmlns:c15="http://schemas.microsoft.com/office/drawing/2012/chart" uri="{CE6537A1-D6FC-4f65-9D91-7224C49458BB}">
                  <c15:layout/>
                </c:ext>
              </c:extLst>
            </c:dLbl>
            <c:dLbl>
              <c:idx val="8"/>
              <c:layout>
                <c:manualLayout>
                  <c:x val="3.5578687339005148E-2"/>
                  <c:y val="1.6629308197788431E-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82A1-4C05-A78E-374F39B6D9DE}"/>
                </c:ext>
                <c:ext xmlns:c15="http://schemas.microsoft.com/office/drawing/2012/chart" uri="{CE6537A1-D6FC-4f65-9D91-7224C49458BB}">
                  <c15:layout/>
                </c:ext>
              </c:extLst>
            </c:dLbl>
            <c:dLbl>
              <c:idx val="9"/>
              <c:layout>
                <c:manualLayout>
                  <c:x val="4.0221675076993008E-2"/>
                  <c:y val="-2.0882426193076942E-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82A1-4C05-A78E-374F39B6D9DE}"/>
                </c:ext>
                <c:ext xmlns:c15="http://schemas.microsoft.com/office/drawing/2012/chart" uri="{CE6537A1-D6FC-4f65-9D91-7224C49458BB}">
                  <c15:layout/>
                </c:ext>
              </c:extLst>
            </c:dLbl>
            <c:dLbl>
              <c:idx val="10"/>
              <c:layout>
                <c:manualLayout>
                  <c:x val="4.6924745861875547E-2"/>
                  <c:y val="-4.2531179952870853E-4"/>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82A1-4C05-A78E-374F39B6D9DE}"/>
                </c:ext>
                <c:ext xmlns:c15="http://schemas.microsoft.com/office/drawing/2012/chart" uri="{CE6537A1-D6FC-4f65-9D91-7224C49458BB}">
                  <c15:layout/>
                </c:ext>
              </c:extLst>
            </c:dLbl>
            <c:dLbl>
              <c:idx val="11"/>
              <c:delete val="1"/>
              <c:extLst xmlns:c16r2="http://schemas.microsoft.com/office/drawing/2015/06/chart">
                <c:ext xmlns:c16="http://schemas.microsoft.com/office/drawing/2014/chart" uri="{C3380CC4-5D6E-409C-BE32-E72D297353CC}">
                  <c16:uniqueId val="{0000000D-82A1-4C05-A78E-374F39B6D9DE}"/>
                </c:ext>
                <c:ext xmlns:c15="http://schemas.microsoft.com/office/drawing/2012/chart" uri="{CE6537A1-D6FC-4f65-9D91-7224C49458BB}"/>
              </c:extLst>
            </c:dLbl>
            <c:dLbl>
              <c:idx val="12"/>
              <c:layout>
                <c:manualLayout>
                  <c:x val="3.8672712350584587E-2"/>
                  <c:y val="1.9464720194647203E-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82A1-4C05-A78E-374F39B6D9DE}"/>
                </c:ext>
                <c:ext xmlns:c15="http://schemas.microsoft.com/office/drawing/2012/chart" uri="{CE6537A1-D6FC-4f65-9D91-7224C49458BB}">
                  <c15:layout/>
                </c:ext>
              </c:extLst>
            </c:dLbl>
            <c:dLbl>
              <c:idx val="13"/>
              <c:layout>
                <c:manualLayout>
                  <c:x val="4.1255779560062732E-2"/>
                  <c:y val="-7.1369816243498933E-17"/>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82A1-4C05-A78E-374F39B6D9DE}"/>
                </c:ext>
                <c:ext xmlns:c15="http://schemas.microsoft.com/office/drawing/2012/chart" uri="{CE6537A1-D6FC-4f65-9D91-7224C49458BB}">
                  <c15:layout/>
                </c:ext>
              </c:extLst>
            </c:dLbl>
            <c:dLbl>
              <c:idx val="14"/>
              <c:layout>
                <c:manualLayout>
                  <c:x val="5.4150638290956662E-2"/>
                  <c:y val="1.8047014196217459E-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82A1-4C05-A78E-374F39B6D9DE}"/>
                </c:ext>
                <c:ext xmlns:c15="http://schemas.microsoft.com/office/drawing/2012/chart" uri="{CE6537A1-D6FC-4f65-9D91-7224C49458BB}">
                  <c15:layout/>
                </c:ext>
              </c:extLst>
            </c:dLbl>
            <c:dLbl>
              <c:idx val="15"/>
              <c:layout>
                <c:manualLayout>
                  <c:x val="5.1056613279377154E-2"/>
                  <c:y val="-2.0882426193076231E-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82A1-4C05-A78E-374F39B6D9DE}"/>
                </c:ext>
                <c:ext xmlns:c15="http://schemas.microsoft.com/office/drawing/2012/chart" uri="{CE6537A1-D6FC-4f65-9D91-7224C49458BB}">
                  <c15:layout/>
                </c:ext>
              </c:extLst>
            </c:dLbl>
            <c:dLbl>
              <c:idx val="16"/>
              <c:delete val="1"/>
              <c:extLst xmlns:c16r2="http://schemas.microsoft.com/office/drawing/2015/06/chart">
                <c:ext xmlns:c16="http://schemas.microsoft.com/office/drawing/2014/chart" uri="{C3380CC4-5D6E-409C-BE32-E72D297353CC}">
                  <c16:uniqueId val="{00000012-82A1-4C05-A78E-374F39B6D9DE}"/>
                </c:ext>
                <c:ext xmlns:c15="http://schemas.microsoft.com/office/drawing/2012/chart" uri="{CE6537A1-D6FC-4f65-9D91-7224C49458BB}"/>
              </c:extLst>
            </c:dLbl>
            <c:dLbl>
              <c:idx val="17"/>
              <c:layout>
                <c:manualLayout>
                  <c:x val="6.1919504643962849E-2"/>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82A1-4C05-A78E-374F39B6D9DE}"/>
                </c:ext>
                <c:ext xmlns:c15="http://schemas.microsoft.com/office/drawing/2012/chart" uri="{CE6537A1-D6FC-4f65-9D91-7224C49458BB}">
                  <c15:layout/>
                </c:ext>
              </c:extLst>
            </c:dLbl>
            <c:dLbl>
              <c:idx val="18"/>
              <c:layout>
                <c:manualLayout>
                  <c:x val="4.5890641378805976E-2"/>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82A1-4C05-A78E-374F39B6D9DE}"/>
                </c:ext>
                <c:ext xmlns:c15="http://schemas.microsoft.com/office/drawing/2012/chart" uri="{CE6537A1-D6FC-4f65-9D91-7224C49458BB}">
                  <c15:layout/>
                </c:ext>
              </c:extLst>
            </c:dLbl>
            <c:dLbl>
              <c:idx val="19"/>
              <c:layout>
                <c:manualLayout>
                  <c:x val="6.0857609517076618E-2"/>
                  <c:y val="4.1764852386152462E-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82A1-4C05-A78E-374F39B6D9DE}"/>
                </c:ext>
                <c:ext xmlns:c15="http://schemas.microsoft.com/office/drawing/2012/chart" uri="{CE6537A1-D6FC-4f65-9D91-7224C49458BB}">
                  <c15:layout/>
                </c:ext>
              </c:extLst>
            </c:dLbl>
            <c:dLbl>
              <c:idx val="20"/>
              <c:layout>
                <c:manualLayout>
                  <c:x val="5.569163761650537E-2"/>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82A1-4C05-A78E-374F39B6D9DE}"/>
                </c:ext>
                <c:ext xmlns:c15="http://schemas.microsoft.com/office/drawing/2012/chart" uri="{CE6537A1-D6FC-4f65-9D91-7224C49458BB}">
                  <c15:layout/>
                </c:ext>
              </c:extLst>
            </c:dLbl>
            <c:dLbl>
              <c:idx val="21"/>
              <c:delete val="1"/>
              <c:extLst xmlns:c16r2="http://schemas.microsoft.com/office/drawing/2015/06/chart">
                <c:ext xmlns:c16="http://schemas.microsoft.com/office/drawing/2014/chart" uri="{C3380CC4-5D6E-409C-BE32-E72D297353CC}">
                  <c16:uniqueId val="{00000017-82A1-4C05-A78E-374F39B6D9DE}"/>
                </c:ext>
                <c:ext xmlns:c15="http://schemas.microsoft.com/office/drawing/2012/chart" uri="{CE6537A1-D6FC-4f65-9D91-7224C49458BB}"/>
              </c:extLst>
            </c:dLbl>
            <c:dLbl>
              <c:idx val="22"/>
              <c:layout>
                <c:manualLayout>
                  <c:x val="9.7007223942208537E-2"/>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82A1-4C05-A78E-374F39B6D9DE}"/>
                </c:ext>
                <c:ext xmlns:c15="http://schemas.microsoft.com/office/drawing/2012/chart" uri="{CE6537A1-D6FC-4f65-9D91-7224C49458BB}">
                  <c15:layout/>
                </c:ext>
              </c:extLst>
            </c:dLbl>
            <c:dLbl>
              <c:idx val="23"/>
              <c:layout>
                <c:manualLayout>
                  <c:x val="9.0775293955128677E-2"/>
                  <c:y val="-1.4177059984292069E-4"/>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82A1-4C05-A78E-374F39B6D9DE}"/>
                </c:ext>
                <c:ext xmlns:c15="http://schemas.microsoft.com/office/drawing/2012/chart" uri="{CE6537A1-D6FC-4f65-9D91-7224C49458BB}">
                  <c15:layout/>
                </c:ext>
              </c:extLst>
            </c:dLbl>
            <c:dLbl>
              <c:idx val="24"/>
              <c:layout>
                <c:manualLayout>
                  <c:x val="0.10624931945426326"/>
                  <c:y val="-4.2531179952870853E-4"/>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82A1-4C05-A78E-374F39B6D9DE}"/>
                </c:ext>
                <c:ext xmlns:c15="http://schemas.microsoft.com/office/drawing/2012/chart" uri="{CE6537A1-D6FC-4f65-9D91-7224C49458BB}">
                  <c15:layout/>
                </c:ext>
              </c:extLst>
            </c:dLbl>
            <c:dLbl>
              <c:idx val="25"/>
              <c:layout>
                <c:manualLayout>
                  <c:x val="8.2523422962222606E-2"/>
                  <c:y val="1.6629308197789144E-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82A1-4C05-A78E-374F39B6D9DE}"/>
                </c:ext>
                <c:ext xmlns:c15="http://schemas.microsoft.com/office/drawing/2012/chart" uri="{CE6537A1-D6FC-4f65-9D91-7224C49458BB}">
                  <c15:layout/>
                </c:ext>
              </c:extLst>
            </c:dLbl>
            <c:dLbl>
              <c:idx val="26"/>
              <c:layout>
                <c:manualLayout>
                  <c:x val="0.13874600814217117"/>
                  <c:y val="-2.0882426193076318E-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82A1-4C05-A78E-374F39B6D9DE}"/>
                </c:ext>
                <c:ext xmlns:c15="http://schemas.microsoft.com/office/drawing/2012/chart" uri="{CE6537A1-D6FC-4f65-9D91-7224C49458BB}">
                  <c15:layout/>
                </c:ext>
              </c:extLst>
            </c:dLbl>
            <c:dLbl>
              <c:idx val="27"/>
              <c:layout>
                <c:manualLayout>
                  <c:x val="7.7884498183857051E-2"/>
                  <c:y val="-5.0577619403413988E-6"/>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82A1-4C05-A78E-374F39B6D9DE}"/>
                </c:ext>
                <c:ext xmlns:c15="http://schemas.microsoft.com/office/drawing/2012/chart" uri="{CE6537A1-D6FC-4f65-9D91-7224C49458BB}">
                  <c15:layout/>
                </c:ext>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'Avansi un starpposms'!$C$6:$C$33</c:f>
              <c:strCache>
                <c:ptCount val="28"/>
                <c:pt idx="0">
                  <c:v>Luksemburga (4,7%)</c:v>
                </c:pt>
                <c:pt idx="1">
                  <c:v>Somija (4,7%)</c:v>
                </c:pt>
                <c:pt idx="2">
                  <c:v>Nīderlande (4,7%)</c:v>
                </c:pt>
                <c:pt idx="3">
                  <c:v>Austrija (4,7%)</c:v>
                </c:pt>
                <c:pt idx="4">
                  <c:v>Malta (4,7%)</c:v>
                </c:pt>
                <c:pt idx="5">
                  <c:v>Slovēnija (4,8%)</c:v>
                </c:pt>
                <c:pt idx="6">
                  <c:v>Ungārija (4,8%)</c:v>
                </c:pt>
                <c:pt idx="7">
                  <c:v>Vācija (4,9%)</c:v>
                </c:pt>
                <c:pt idx="8">
                  <c:v>Čehija (4,9%)</c:v>
                </c:pt>
                <c:pt idx="9">
                  <c:v>Horvātija (5,0%)</c:v>
                </c:pt>
                <c:pt idx="10">
                  <c:v>Dānija (5,3%)</c:v>
                </c:pt>
                <c:pt idx="11">
                  <c:v>Lielbritānija (5,3%)</c:v>
                </c:pt>
                <c:pt idx="12">
                  <c:v>Itālija (5,6%)</c:v>
                </c:pt>
                <c:pt idx="13">
                  <c:v>Francija (5,6%)</c:v>
                </c:pt>
                <c:pt idx="14">
                  <c:v>Slovākija (5,7%)</c:v>
                </c:pt>
                <c:pt idx="15">
                  <c:v>Beļģija (5,8%)</c:v>
                </c:pt>
                <c:pt idx="16">
                  <c:v>Rumānija (5,8%)</c:v>
                </c:pt>
                <c:pt idx="17">
                  <c:v>Polija (5,8%)</c:v>
                </c:pt>
                <c:pt idx="18">
                  <c:v>Zviedrija (6,1%)</c:v>
                </c:pt>
                <c:pt idx="19">
                  <c:v>Bulgārija (6,1%)</c:v>
                </c:pt>
                <c:pt idx="20">
                  <c:v>Kipra (7,0%)</c:v>
                </c:pt>
                <c:pt idx="21">
                  <c:v>Īrija (7,2%)</c:v>
                </c:pt>
                <c:pt idx="22">
                  <c:v>Latvija (7,6%)</c:v>
                </c:pt>
                <c:pt idx="23">
                  <c:v>Portugāle (7,8%)</c:v>
                </c:pt>
                <c:pt idx="24">
                  <c:v>Lietuva (8,1%)</c:v>
                </c:pt>
                <c:pt idx="25">
                  <c:v>Spānija (8,2%)</c:v>
                </c:pt>
                <c:pt idx="26">
                  <c:v>Igaunija (9,2%)</c:v>
                </c:pt>
                <c:pt idx="27">
                  <c:v>Grieķija (14,5%)</c:v>
                </c:pt>
              </c:strCache>
            </c:strRef>
          </c:cat>
          <c:val>
            <c:numRef>
              <c:f>'Avansi un starpposms'!$F$6:$F$33</c:f>
              <c:numCache>
                <c:formatCode>0.0%</c:formatCode>
                <c:ptCount val="28"/>
                <c:pt idx="0">
                  <c:v>0</c:v>
                </c:pt>
                <c:pt idx="1">
                  <c:v>0</c:v>
                </c:pt>
                <c:pt idx="2">
                  <c:v>0</c:v>
                </c:pt>
                <c:pt idx="3">
                  <c:v>0</c:v>
                </c:pt>
                <c:pt idx="4">
                  <c:v>0</c:v>
                </c:pt>
                <c:pt idx="5">
                  <c:v>0</c:v>
                </c:pt>
                <c:pt idx="6">
                  <c:v>3.7944977295888886E-4</c:v>
                </c:pt>
                <c:pt idx="7">
                  <c:v>1.4873473155770764E-3</c:v>
                </c:pt>
                <c:pt idx="8">
                  <c:v>1.3278035796947083E-3</c:v>
                </c:pt>
                <c:pt idx="9">
                  <c:v>1.0240168771191349E-3</c:v>
                </c:pt>
                <c:pt idx="10">
                  <c:v>5.5670423885843291E-3</c:v>
                </c:pt>
                <c:pt idx="11">
                  <c:v>6.8636898950032101E-5</c:v>
                </c:pt>
                <c:pt idx="12">
                  <c:v>3.3260743988256947E-3</c:v>
                </c:pt>
                <c:pt idx="13">
                  <c:v>2.8343649266501969E-3</c:v>
                </c:pt>
                <c:pt idx="14">
                  <c:v>8.7975404181908374E-3</c:v>
                </c:pt>
                <c:pt idx="15">
                  <c:v>4.5550319554461772E-3</c:v>
                </c:pt>
                <c:pt idx="16">
                  <c:v>0</c:v>
                </c:pt>
                <c:pt idx="17">
                  <c:v>1.0100839952108844E-2</c:v>
                </c:pt>
                <c:pt idx="18">
                  <c:v>6.0911950658793174E-3</c:v>
                </c:pt>
                <c:pt idx="19">
                  <c:v>1.1367660594398794E-2</c:v>
                </c:pt>
                <c:pt idx="20">
                  <c:v>8.4825175475078743E-3</c:v>
                </c:pt>
                <c:pt idx="21">
                  <c:v>0</c:v>
                </c:pt>
                <c:pt idx="22">
                  <c:v>2.7440637883448769E-2</c:v>
                </c:pt>
                <c:pt idx="23">
                  <c:v>2.3918737174302693E-2</c:v>
                </c:pt>
                <c:pt idx="24">
                  <c:v>3.2129609643424054E-2</c:v>
                </c:pt>
                <c:pt idx="25">
                  <c:v>2.0392331069028217E-2</c:v>
                </c:pt>
                <c:pt idx="26">
                  <c:v>4.5010044274856664E-2</c:v>
                </c:pt>
                <c:pt idx="27">
                  <c:v>1.9694223032912597E-2</c:v>
                </c:pt>
              </c:numCache>
            </c:numRef>
          </c:val>
          <c:extLst xmlns:c16r2="http://schemas.microsoft.com/office/drawing/2015/06/chart">
            <c:ext xmlns:c16="http://schemas.microsoft.com/office/drawing/2014/chart" uri="{C3380CC4-5D6E-409C-BE32-E72D297353CC}">
              <c16:uniqueId val="{0000001E-82A1-4C05-A78E-374F39B6D9DE}"/>
            </c:ext>
          </c:extLst>
        </c:ser>
        <c:dLbls>
          <c:showLegendKey val="0"/>
          <c:showVal val="0"/>
          <c:showCatName val="0"/>
          <c:showSerName val="0"/>
          <c:showPercent val="0"/>
          <c:showBubbleSize val="0"/>
        </c:dLbls>
        <c:gapWidth val="150"/>
        <c:overlap val="100"/>
        <c:axId val="250248960"/>
        <c:axId val="250249344"/>
      </c:barChart>
      <c:catAx>
        <c:axId val="2502489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50249344"/>
        <c:crosses val="autoZero"/>
        <c:auto val="1"/>
        <c:lblAlgn val="ctr"/>
        <c:lblOffset val="100"/>
        <c:noMultiLvlLbl val="0"/>
      </c:catAx>
      <c:valAx>
        <c:axId val="250249344"/>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ln w="9525">
            <a:noFill/>
          </a:ln>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50248960"/>
        <c:crosses val="autoZero"/>
        <c:crossBetween val="between"/>
      </c:valAx>
      <c:spPr>
        <a:noFill/>
        <a:ln w="25400">
          <a:noFill/>
        </a:ln>
      </c:spPr>
    </c:plotArea>
    <c:legend>
      <c:legendPos val="b"/>
      <c:layout/>
      <c:overlay val="0"/>
      <c:spPr>
        <a:noFill/>
        <a:ln w="25400">
          <a:noFill/>
        </a:ln>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2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sz="1200" b="1"/>
              <a:t>Kopā: 4 471,2 (101,2%)</a:t>
            </a:r>
          </a:p>
        </c:rich>
      </c:tx>
      <c:layout>
        <c:manualLayout>
          <c:xMode val="edge"/>
          <c:yMode val="edge"/>
          <c:x val="0.77682288359575336"/>
          <c:y val="4.6475716618434026E-2"/>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bar"/>
        <c:grouping val="stacked"/>
        <c:varyColors val="0"/>
        <c:ser>
          <c:idx val="0"/>
          <c:order val="0"/>
          <c:tx>
            <c:strRef>
              <c:f>LV!$M$3</c:f>
              <c:strCache>
                <c:ptCount val="1"/>
                <c:pt idx="0">
                  <c:v>Pieejamais ES fondu finansējums</c:v>
                </c:pt>
              </c:strCache>
            </c:strRef>
          </c:tx>
          <c:spPr>
            <a:solidFill>
              <a:schemeClr val="accent1"/>
            </a:solidFill>
            <a:ln>
              <a:noFill/>
            </a:ln>
            <a:effectLst/>
          </c:spPr>
          <c:invertIfNegative val="0"/>
          <c:dLbls>
            <c:dLbl>
              <c:idx val="8"/>
              <c:tx>
                <c:rich>
                  <a:bodyPr/>
                  <a:lstStyle/>
                  <a:p>
                    <a:fld id="{21984038-6180-4717-99FC-777F7F5C6774}" type="VALUE">
                      <a:rPr lang="en-US"/>
                      <a:pPr/>
                      <a:t>[VALUE]</a:t>
                    </a:fld>
                    <a:r>
                      <a:rPr lang="en-US"/>
                      <a:t> (100%)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885-471C-9C80-5997B1136D92}"/>
                </c:ext>
                <c:ext xmlns:c15="http://schemas.microsoft.com/office/drawing/2012/chart" uri="{CE6537A1-D6FC-4f65-9D91-7224C49458BB}">
                  <c15:dlblFieldTable/>
                  <c15:showDataLabelsRange val="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LV!$D$3:$N$3</c:f>
              <c:strCache>
                <c:ptCount val="11"/>
                <c:pt idx="0">
                  <c:v>Veikti maksājumi projektos</c:v>
                </c:pt>
                <c:pt idx="1">
                  <c:v>Noslēgti līgumi, skaits - 136</c:v>
                </c:pt>
                <c:pt idx="2">
                  <c:v>Apstiprināti projekti, skaits - 142</c:v>
                </c:pt>
                <c:pt idx="3">
                  <c:v>Iesniegti projekti, skaits - 714</c:v>
                </c:pt>
                <c:pt idx="4">
                  <c:v>Uzsāktās projektu atlases, skaits - 84</c:v>
                </c:pt>
                <c:pt idx="5">
                  <c:v>Apstiprināti MKN, skaits - 93</c:v>
                </c:pt>
                <c:pt idx="6">
                  <c:v>MKN VSS, skaits - 98</c:v>
                </c:pt>
                <c:pt idx="7">
                  <c:v>Apstiprinātie kritēriji, skaits - 95</c:v>
                </c:pt>
                <c:pt idx="8">
                  <c:v>Iesniegti kritēriji, skaits - 103</c:v>
                </c:pt>
                <c:pt idx="9">
                  <c:v>Pieejamais ES fondu finansējums</c:v>
                </c:pt>
                <c:pt idx="10">
                  <c:v>Pieejamais ''virssaistību'' apjoms</c:v>
                </c:pt>
              </c:strCache>
            </c:strRef>
          </c:cat>
          <c:val>
            <c:numRef>
              <c:f>LV!$D$4:$M$4</c:f>
              <c:numCache>
                <c:formatCode>General</c:formatCode>
                <c:ptCount val="10"/>
              </c:numCache>
            </c:numRef>
          </c:val>
          <c:extLst xmlns:c16r2="http://schemas.microsoft.com/office/drawing/2015/06/chart">
            <c:ext xmlns:c16="http://schemas.microsoft.com/office/drawing/2014/chart" uri="{C3380CC4-5D6E-409C-BE32-E72D297353CC}">
              <c16:uniqueId val="{00000001-6885-471C-9C80-5997B1136D92}"/>
            </c:ext>
          </c:extLst>
        </c:ser>
        <c:ser>
          <c:idx val="1"/>
          <c:order val="1"/>
          <c:tx>
            <c:strRef>
              <c:f>LV!$C$5:$C$9</c:f>
              <c:strCache>
                <c:ptCount val="1"/>
                <c:pt idx="0">
                  <c:v>Mil EUR Esošais mēnesis (31.10.)/ % Iepriekšējais mēn(30.09.)/ % Pieaugums</c:v>
                </c:pt>
              </c:strCache>
            </c:strRef>
          </c:tx>
          <c:spPr>
            <a:solidFill>
              <a:schemeClr val="accent2"/>
            </a:solidFill>
            <a:ln>
              <a:noFill/>
            </a:ln>
            <a:effectLst/>
          </c:spPr>
          <c:invertIfNegative val="0"/>
          <c:dPt>
            <c:idx val="0"/>
            <c:invertIfNegative val="0"/>
            <c:bubble3D val="0"/>
            <c:spPr>
              <a:solidFill>
                <a:srgbClr val="FFD966"/>
              </a:solidFill>
              <a:ln>
                <a:noFill/>
              </a:ln>
              <a:effectLst/>
            </c:spPr>
            <c:extLst xmlns:c16r2="http://schemas.microsoft.com/office/drawing/2015/06/chart">
              <c:ext xmlns:c16="http://schemas.microsoft.com/office/drawing/2014/chart" uri="{C3380CC4-5D6E-409C-BE32-E72D297353CC}">
                <c16:uniqueId val="{00000003-6885-471C-9C80-5997B1136D92}"/>
              </c:ext>
            </c:extLst>
          </c:dPt>
          <c:dPt>
            <c:idx val="1"/>
            <c:invertIfNegative val="0"/>
            <c:bubble3D val="0"/>
            <c:spPr>
              <a:solidFill>
                <a:srgbClr val="C9C9C9"/>
              </a:solidFill>
              <a:ln>
                <a:noFill/>
              </a:ln>
              <a:effectLst/>
            </c:spPr>
            <c:extLst xmlns:c16r2="http://schemas.microsoft.com/office/drawing/2015/06/chart">
              <c:ext xmlns:c16="http://schemas.microsoft.com/office/drawing/2014/chart" uri="{C3380CC4-5D6E-409C-BE32-E72D297353CC}">
                <c16:uniqueId val="{00000005-6885-471C-9C80-5997B1136D92}"/>
              </c:ext>
            </c:extLst>
          </c:dPt>
          <c:dPt>
            <c:idx val="2"/>
            <c:invertIfNegative val="0"/>
            <c:bubble3D val="0"/>
            <c:spPr>
              <a:solidFill>
                <a:schemeClr val="accent6">
                  <a:lumMod val="60000"/>
                  <a:lumOff val="40000"/>
                </a:schemeClr>
              </a:solidFill>
              <a:ln>
                <a:noFill/>
              </a:ln>
              <a:effectLst/>
            </c:spPr>
            <c:extLst xmlns:c16r2="http://schemas.microsoft.com/office/drawing/2015/06/chart">
              <c:ext xmlns:c16="http://schemas.microsoft.com/office/drawing/2014/chart" uri="{C3380CC4-5D6E-409C-BE32-E72D297353CC}">
                <c16:uniqueId val="{00000007-6885-471C-9C80-5997B1136D92}"/>
              </c:ext>
            </c:extLst>
          </c:dPt>
          <c:dPt>
            <c:idx val="3"/>
            <c:invertIfNegative val="0"/>
            <c:bubble3D val="0"/>
            <c:spPr>
              <a:solidFill>
                <a:srgbClr val="A9D18E"/>
              </a:solidFill>
              <a:ln>
                <a:noFill/>
              </a:ln>
              <a:effectLst/>
            </c:spPr>
            <c:extLst xmlns:c16r2="http://schemas.microsoft.com/office/drawing/2015/06/chart">
              <c:ext xmlns:c16="http://schemas.microsoft.com/office/drawing/2014/chart" uri="{C3380CC4-5D6E-409C-BE32-E72D297353CC}">
                <c16:uniqueId val="{00000009-6885-471C-9C80-5997B1136D92}"/>
              </c:ext>
            </c:extLst>
          </c:dPt>
          <c:dPt>
            <c:idx val="4"/>
            <c:invertIfNegative val="0"/>
            <c:bubble3D val="0"/>
            <c:spPr>
              <a:solidFill>
                <a:srgbClr val="FFC000"/>
              </a:solidFill>
              <a:ln>
                <a:noFill/>
              </a:ln>
              <a:effectLst/>
            </c:spPr>
            <c:extLst xmlns:c16r2="http://schemas.microsoft.com/office/drawing/2015/06/chart">
              <c:ext xmlns:c16="http://schemas.microsoft.com/office/drawing/2014/chart" uri="{C3380CC4-5D6E-409C-BE32-E72D297353CC}">
                <c16:uniqueId val="{0000000B-6885-471C-9C80-5997B1136D92}"/>
              </c:ext>
            </c:extLst>
          </c:dPt>
          <c:dPt>
            <c:idx val="5"/>
            <c:invertIfNegative val="0"/>
            <c:bubble3D val="0"/>
            <c:spPr>
              <a:solidFill>
                <a:srgbClr val="969696"/>
              </a:solidFill>
              <a:ln>
                <a:noFill/>
              </a:ln>
              <a:effectLst/>
            </c:spPr>
            <c:extLst xmlns:c16r2="http://schemas.microsoft.com/office/drawing/2015/06/chart">
              <c:ext xmlns:c16="http://schemas.microsoft.com/office/drawing/2014/chart" uri="{C3380CC4-5D6E-409C-BE32-E72D297353CC}">
                <c16:uniqueId val="{0000000D-6885-471C-9C80-5997B1136D92}"/>
              </c:ext>
            </c:extLst>
          </c:dPt>
          <c:dPt>
            <c:idx val="6"/>
            <c:invertIfNegative val="0"/>
            <c:bubble3D val="0"/>
            <c:spPr>
              <a:solidFill>
                <a:srgbClr val="F79646"/>
              </a:solidFill>
              <a:ln>
                <a:noFill/>
              </a:ln>
              <a:effectLst/>
            </c:spPr>
            <c:extLst xmlns:c16r2="http://schemas.microsoft.com/office/drawing/2015/06/chart">
              <c:ext xmlns:c16="http://schemas.microsoft.com/office/drawing/2014/chart" uri="{C3380CC4-5D6E-409C-BE32-E72D297353CC}">
                <c16:uniqueId val="{0000000F-6885-471C-9C80-5997B1136D92}"/>
              </c:ext>
            </c:extLst>
          </c:dPt>
          <c:dPt>
            <c:idx val="7"/>
            <c:invertIfNegative val="0"/>
            <c:bubble3D val="0"/>
            <c:spPr>
              <a:solidFill>
                <a:schemeClr val="accent4">
                  <a:lumMod val="60000"/>
                  <a:lumOff val="40000"/>
                </a:schemeClr>
              </a:solidFill>
              <a:ln>
                <a:noFill/>
              </a:ln>
              <a:effectLst/>
            </c:spPr>
            <c:extLst xmlns:c16r2="http://schemas.microsoft.com/office/drawing/2015/06/chart">
              <c:ext xmlns:c16="http://schemas.microsoft.com/office/drawing/2014/chart" uri="{C3380CC4-5D6E-409C-BE32-E72D297353CC}">
                <c16:uniqueId val="{00000011-6885-471C-9C80-5997B1136D92}"/>
              </c:ext>
            </c:extLst>
          </c:dPt>
          <c:dPt>
            <c:idx val="8"/>
            <c:invertIfNegative val="0"/>
            <c:bubble3D val="0"/>
            <c:spPr>
              <a:solidFill>
                <a:srgbClr val="9BBB59"/>
              </a:solidFill>
              <a:ln>
                <a:noFill/>
              </a:ln>
              <a:effectLst/>
            </c:spPr>
            <c:extLst xmlns:c16r2="http://schemas.microsoft.com/office/drawing/2015/06/chart">
              <c:ext xmlns:c16="http://schemas.microsoft.com/office/drawing/2014/chart" uri="{C3380CC4-5D6E-409C-BE32-E72D297353CC}">
                <c16:uniqueId val="{00000013-6885-471C-9C80-5997B1136D92}"/>
              </c:ext>
            </c:extLst>
          </c:dPt>
          <c:dPt>
            <c:idx val="9"/>
            <c:invertIfNegative val="0"/>
            <c:bubble3D val="0"/>
            <c:spPr>
              <a:solidFill>
                <a:schemeClr val="tx2">
                  <a:lumMod val="40000"/>
                  <a:lumOff val="60000"/>
                </a:schemeClr>
              </a:solidFill>
              <a:ln>
                <a:noFill/>
              </a:ln>
              <a:effectLst/>
            </c:spPr>
            <c:extLst xmlns:c16r2="http://schemas.microsoft.com/office/drawing/2015/06/chart">
              <c:ext xmlns:c16="http://schemas.microsoft.com/office/drawing/2014/chart" uri="{C3380CC4-5D6E-409C-BE32-E72D297353CC}">
                <c16:uniqueId val="{00000015-6885-471C-9C80-5997B1136D92}"/>
              </c:ext>
            </c:extLst>
          </c:dPt>
          <c:dLbls>
            <c:dLbl>
              <c:idx val="0"/>
              <c:layout>
                <c:manualLayout>
                  <c:x val="0.13218430281205221"/>
                  <c:y val="-1.670564650851988E-3"/>
                </c:manualLayout>
              </c:layout>
              <c:tx>
                <c:rich>
                  <a:bodyPr/>
                  <a:lstStyle/>
                  <a:p>
                    <a:fld id="{489F327E-AEEF-46CE-B86F-88FCE2FAE9F5}" type="VALUE">
                      <a:rPr lang="en-US"/>
                      <a:pPr/>
                      <a:t>[VALUE]</a:t>
                    </a:fld>
                    <a:r>
                      <a:rPr lang="en-US"/>
                      <a:t> (4,6%) </a:t>
                    </a:r>
                    <a:r>
                      <a:rPr lang="en-US">
                        <a:latin typeface="Times New Roman" panose="02020603050405020304" pitchFamily="18" charset="0"/>
                        <a:cs typeface="Times New Roman" panose="02020603050405020304" pitchFamily="18" charset="0"/>
                      </a:rPr>
                      <a:t>↑0,6%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885-471C-9C80-5997B1136D92}"/>
                </c:ext>
                <c:ext xmlns:c15="http://schemas.microsoft.com/office/drawing/2012/chart" uri="{CE6537A1-D6FC-4f65-9D91-7224C49458BB}">
                  <c15:layout>
                    <c:manualLayout>
                      <c:w val="0.25389129918734499"/>
                      <c:h val="7.7814901436685596E-2"/>
                    </c:manualLayout>
                  </c15:layout>
                  <c15:dlblFieldTable/>
                  <c15:showDataLabelsRange val="0"/>
                </c:ext>
              </c:extLst>
            </c:dLbl>
            <c:dLbl>
              <c:idx val="1"/>
              <c:layout>
                <c:manualLayout>
                  <c:x val="0.17566967855765944"/>
                  <c:y val="-1.670564650851988E-3"/>
                </c:manualLayout>
              </c:layout>
              <c:tx>
                <c:rich>
                  <a:bodyPr/>
                  <a:lstStyle/>
                  <a:p>
                    <a:fld id="{5FA50F4E-52FE-4052-AA61-C6665E5C0E21}" type="VALUE">
                      <a:rPr lang="en-US"/>
                      <a:pPr/>
                      <a:t>[VALUE]</a:t>
                    </a:fld>
                    <a:r>
                      <a:rPr lang="en-US"/>
                      <a:t> (26,4%) </a:t>
                    </a:r>
                    <a:r>
                      <a:rPr lang="en-US">
                        <a:latin typeface="Times New Roman" panose="02020603050405020304" pitchFamily="18" charset="0"/>
                        <a:cs typeface="Times New Roman" panose="02020603050405020304" pitchFamily="18" charset="0"/>
                      </a:rPr>
                      <a:t>↑2,3%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885-471C-9C80-5997B1136D92}"/>
                </c:ext>
                <c:ext xmlns:c15="http://schemas.microsoft.com/office/drawing/2012/chart" uri="{CE6537A1-D6FC-4f65-9D91-7224C49458BB}">
                  <c15:layout>
                    <c:manualLayout>
                      <c:w val="0.29184314596980704"/>
                      <c:h val="5.7768125626461747E-2"/>
                    </c:manualLayout>
                  </c15:layout>
                  <c15:dlblFieldTable/>
                  <c15:showDataLabelsRange val="0"/>
                </c:ext>
              </c:extLst>
            </c:dLbl>
            <c:dLbl>
              <c:idx val="2"/>
              <c:layout>
                <c:manualLayout>
                  <c:x val="0.18869808528584345"/>
                  <c:y val="3.5523833827487234E-3"/>
                </c:manualLayout>
              </c:layout>
              <c:tx>
                <c:rich>
                  <a:bodyPr/>
                  <a:lstStyle/>
                  <a:p>
                    <a:fld id="{5C685BE9-56FF-4DE9-BE00-C617ED8DBE3A}" type="VALUE">
                      <a:rPr lang="en-US"/>
                      <a:pPr/>
                      <a:t>[VALUE]</a:t>
                    </a:fld>
                    <a:r>
                      <a:rPr lang="en-US" baseline="0"/>
                      <a:t> (27,2%) </a:t>
                    </a:r>
                    <a:r>
                      <a:rPr lang="en-US" baseline="0">
                        <a:latin typeface="Times New Roman" panose="02020603050405020304" pitchFamily="18" charset="0"/>
                        <a:cs typeface="Times New Roman" panose="02020603050405020304" pitchFamily="18" charset="0"/>
                      </a:rPr>
                      <a:t>↑1,2%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885-471C-9C80-5997B1136D92}"/>
                </c:ext>
                <c:ext xmlns:c15="http://schemas.microsoft.com/office/drawing/2012/chart" uri="{CE6537A1-D6FC-4f65-9D91-7224C49458BB}">
                  <c15:layout>
                    <c:manualLayout>
                      <c:w val="0.29184314596980704"/>
                      <c:h val="6.4450384229869692E-2"/>
                    </c:manualLayout>
                  </c15:layout>
                  <c15:dlblFieldTable/>
                  <c15:showDataLabelsRange val="0"/>
                </c:ext>
              </c:extLst>
            </c:dLbl>
            <c:dLbl>
              <c:idx val="3"/>
              <c:layout>
                <c:manualLayout>
                  <c:x val="0.21667786234866881"/>
                  <c:y val="-3.3412608422277263E-3"/>
                </c:manualLayout>
              </c:layout>
              <c:tx>
                <c:rich>
                  <a:bodyPr/>
                  <a:lstStyle/>
                  <a:p>
                    <a:fld id="{0C9B7711-314F-41F0-91B3-78DD8C02498D}" type="VALUE">
                      <a:rPr lang="en-US"/>
                      <a:pPr/>
                      <a:t>[VALUE]</a:t>
                    </a:fld>
                    <a:r>
                      <a:rPr lang="en-US"/>
                      <a:t> (39,1%) </a:t>
                    </a:r>
                    <a:r>
                      <a:rPr lang="en-US">
                        <a:latin typeface="Times New Roman" panose="02020603050405020304" pitchFamily="18" charset="0"/>
                        <a:cs typeface="Times New Roman" panose="02020603050405020304" pitchFamily="18" charset="0"/>
                      </a:rPr>
                      <a:t>↑4,1%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6885-471C-9C80-5997B1136D92}"/>
                </c:ext>
                <c:ext xmlns:c15="http://schemas.microsoft.com/office/drawing/2012/chart" uri="{CE6537A1-D6FC-4f65-9D91-7224C49458BB}">
                  <c15:layout>
                    <c:manualLayout>
                      <c:w val="0.30681000506751926"/>
                      <c:h val="6.7791513531573658E-2"/>
                    </c:manualLayout>
                  </c15:layout>
                  <c15:dlblFieldTable/>
                  <c15:showDataLabelsRange val="0"/>
                </c:ext>
              </c:extLst>
            </c:dLbl>
            <c:dLbl>
              <c:idx val="4"/>
              <c:layout>
                <c:manualLayout>
                  <c:x val="0.28343796666212107"/>
                  <c:y val="-1.670564650851988E-3"/>
                </c:manualLayout>
              </c:layout>
              <c:tx>
                <c:rich>
                  <a:bodyPr/>
                  <a:lstStyle/>
                  <a:p>
                    <a:fld id="{3A7F3F90-B631-4989-9B3D-A825AC04F2D3}" type="VALUE">
                      <a:rPr lang="en-US"/>
                      <a:pPr/>
                      <a:t>[VALUE]</a:t>
                    </a:fld>
                    <a:r>
                      <a:rPr lang="en-US"/>
                      <a:t> (62,6%) </a:t>
                    </a:r>
                    <a:r>
                      <a:rPr lang="en-US">
                        <a:latin typeface="Times New Roman" panose="02020603050405020304" pitchFamily="18" charset="0"/>
                        <a:cs typeface="Times New Roman" panose="02020603050405020304" pitchFamily="18" charset="0"/>
                      </a:rPr>
                      <a:t>↑1,6%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6885-471C-9C80-5997B1136D92}"/>
                </c:ext>
                <c:ext xmlns:c15="http://schemas.microsoft.com/office/drawing/2012/chart" uri="{CE6537A1-D6FC-4f65-9D91-7224C49458BB}">
                  <c15:layout>
                    <c:manualLayout>
                      <c:w val="0.30681000506751926"/>
                      <c:h val="5.1085867023053795E-2"/>
                    </c:manualLayout>
                  </c15:layout>
                  <c15:dlblFieldTable/>
                  <c15:showDataLabelsRange val="0"/>
                </c:ext>
              </c:extLst>
            </c:dLbl>
            <c:dLbl>
              <c:idx val="5"/>
              <c:layout>
                <c:manualLayout>
                  <c:x val="0.29788157493783451"/>
                  <c:y val="-5.011693952555964E-3"/>
                </c:manualLayout>
              </c:layout>
              <c:tx>
                <c:rich>
                  <a:bodyPr/>
                  <a:lstStyle/>
                  <a:p>
                    <a:fld id="{24243CAE-B4D2-401D-B9BA-E772618E40DC}" type="VALUE">
                      <a:rPr lang="en-US"/>
                      <a:pPr/>
                      <a:t>[VALUE]</a:t>
                    </a:fld>
                    <a:r>
                      <a:rPr lang="en-US"/>
                      <a:t> (80,3%) </a:t>
                    </a:r>
                    <a:r>
                      <a:rPr lang="en-US">
                        <a:latin typeface="Times New Roman" panose="02020603050405020304" pitchFamily="18" charset="0"/>
                        <a:cs typeface="Times New Roman" panose="02020603050405020304" pitchFamily="18" charset="0"/>
                      </a:rPr>
                      <a:t>↑0,8%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6885-471C-9C80-5997B1136D92}"/>
                </c:ext>
                <c:ext xmlns:c15="http://schemas.microsoft.com/office/drawing/2012/chart" uri="{CE6537A1-D6FC-4f65-9D91-7224C49458BB}">
                  <c15:layout>
                    <c:manualLayout>
                      <c:w val="0.2533569368614042"/>
                      <c:h val="6.4450384229869692E-2"/>
                    </c:manualLayout>
                  </c15:layout>
                  <c15:dlblFieldTable/>
                  <c15:showDataLabelsRange val="0"/>
                </c:ext>
              </c:extLst>
            </c:dLbl>
            <c:dLbl>
              <c:idx val="6"/>
              <c:layout>
                <c:manualLayout>
                  <c:x val="0.29237464624170217"/>
                  <c:y val="9.0144720884162779E-4"/>
                </c:manualLayout>
              </c:layout>
              <c:tx>
                <c:rich>
                  <a:bodyPr/>
                  <a:lstStyle/>
                  <a:p>
                    <a:fld id="{FB32D4EF-3BF3-4D25-8786-5FA103E5C866}" type="VALUE">
                      <a:rPr lang="en-US"/>
                      <a:pPr/>
                      <a:t>[VALUE]</a:t>
                    </a:fld>
                    <a:r>
                      <a:rPr lang="en-US"/>
                      <a:t> (83,4%) </a:t>
                    </a:r>
                    <a:r>
                      <a:rPr lang="en-US">
                        <a:latin typeface="Times New Roman" panose="02020603050405020304" pitchFamily="18" charset="0"/>
                        <a:cs typeface="Times New Roman" panose="02020603050405020304" pitchFamily="18" charset="0"/>
                      </a:rPr>
                      <a:t>↑0,3%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6885-471C-9C80-5997B1136D92}"/>
                </c:ext>
                <c:ext xmlns:c15="http://schemas.microsoft.com/office/drawing/2012/chart" uri="{CE6537A1-D6FC-4f65-9D91-7224C49458BB}">
                  <c15:layout>
                    <c:manualLayout>
                      <c:w val="0.23955931101941313"/>
                      <c:h val="6.1109254928165713E-2"/>
                    </c:manualLayout>
                  </c15:layout>
                  <c15:dlblFieldTable/>
                  <c15:showDataLabelsRange val="0"/>
                </c:ext>
              </c:extLst>
            </c:dLbl>
            <c:dLbl>
              <c:idx val="7"/>
              <c:layout>
                <c:manualLayout>
                  <c:x val="0.29072105242777946"/>
                  <c:y val="-2.5664871576987027E-3"/>
                </c:manualLayout>
              </c:layout>
              <c:tx>
                <c:rich>
                  <a:bodyPr/>
                  <a:lstStyle/>
                  <a:p>
                    <a:fld id="{B434583B-C039-486E-A272-E8B566240919}" type="VALUE">
                      <a:rPr lang="en-US"/>
                      <a:pPr/>
                      <a:t>[VALUE]</a:t>
                    </a:fld>
                    <a:r>
                      <a:rPr lang="en-US"/>
                      <a:t> (80,4%) </a:t>
                    </a:r>
                    <a:r>
                      <a:rPr lang="en-US">
                        <a:latin typeface="Times New Roman" panose="02020603050405020304" pitchFamily="18" charset="0"/>
                        <a:cs typeface="Times New Roman" panose="02020603050405020304" pitchFamily="18" charset="0"/>
                      </a:rPr>
                      <a:t>↑0,3%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6885-471C-9C80-5997B1136D92}"/>
                </c:ext>
                <c:ext xmlns:c15="http://schemas.microsoft.com/office/drawing/2012/chart" uri="{CE6537A1-D6FC-4f65-9D91-7224C49458BB}">
                  <c15:layout>
                    <c:manualLayout>
                      <c:w val="0.24480444594842579"/>
                      <c:h val="6.7791513531573658E-2"/>
                    </c:manualLayout>
                  </c15:layout>
                  <c15:dlblFieldTable/>
                  <c15:showDataLabelsRange val="0"/>
                </c:ext>
              </c:extLst>
            </c:dLbl>
            <c:dLbl>
              <c:idx val="8"/>
              <c:layout>
                <c:manualLayout>
                  <c:x val="0.30646133954230703"/>
                  <c:y val="-4.2371833490743496E-3"/>
                </c:manualLayout>
              </c:layout>
              <c:tx>
                <c:rich>
                  <a:bodyPr/>
                  <a:lstStyle/>
                  <a:p>
                    <a:fld id="{40ABC9B8-FF40-4B67-AF4E-81083BD3D975}" type="VALUE">
                      <a:rPr lang="en-US"/>
                      <a:pPr/>
                      <a:t>[VALUE]</a:t>
                    </a:fld>
                    <a:r>
                      <a:rPr lang="en-US"/>
                      <a:t> (95,7%) </a:t>
                    </a:r>
                    <a:r>
                      <a:rPr lang="en-US">
                        <a:latin typeface="Times New Roman" panose="02020603050405020304" pitchFamily="18" charset="0"/>
                        <a:cs typeface="Times New Roman" panose="02020603050405020304" pitchFamily="18" charset="0"/>
                      </a:rPr>
                      <a:t>↑3,4%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6885-471C-9C80-5997B1136D92}"/>
                </c:ext>
                <c:ext xmlns:c15="http://schemas.microsoft.com/office/drawing/2012/chart" uri="{CE6537A1-D6FC-4f65-9D91-7224C49458BB}">
                  <c15:layout>
                    <c:manualLayout>
                      <c:w val="0.23521521804642925"/>
                      <c:h val="8.4497160040093555E-2"/>
                    </c:manualLayout>
                  </c15:layout>
                  <c15:dlblFieldTable/>
                  <c15:showDataLabelsRange val="0"/>
                </c:ext>
              </c:extLst>
            </c:dLbl>
            <c:dLbl>
              <c:idx val="9"/>
              <c:layout/>
              <c:tx>
                <c:rich>
                  <a:bodyPr/>
                  <a:lstStyle/>
                  <a:p>
                    <a:fld id="{872381E1-255C-4F6E-92F7-7D7A216B19D9}" type="VALUE">
                      <a:rPr lang="en-US"/>
                      <a:pPr/>
                      <a:t>[VALUE]</a:t>
                    </a:fld>
                    <a:r>
                      <a:rPr lang="en-US"/>
                      <a:t> (100%)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6885-471C-9C80-5997B1136D92}"/>
                </c:ext>
                <c:ext xmlns:c15="http://schemas.microsoft.com/office/drawing/2012/chart" uri="{CE6537A1-D6FC-4f65-9D91-7224C49458BB}">
                  <c15:layout/>
                  <c15:dlblFieldTable/>
                  <c15:showDataLabelsRange val="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LV!$D$3:$N$3</c:f>
              <c:strCache>
                <c:ptCount val="11"/>
                <c:pt idx="0">
                  <c:v>Veikti maksājumi projektos</c:v>
                </c:pt>
                <c:pt idx="1">
                  <c:v>Noslēgti līgumi, skaits - 136</c:v>
                </c:pt>
                <c:pt idx="2">
                  <c:v>Apstiprināti projekti, skaits - 142</c:v>
                </c:pt>
                <c:pt idx="3">
                  <c:v>Iesniegti projekti, skaits - 714</c:v>
                </c:pt>
                <c:pt idx="4">
                  <c:v>Uzsāktās projektu atlases, skaits - 84</c:v>
                </c:pt>
                <c:pt idx="5">
                  <c:v>Apstiprināti MKN, skaits - 93</c:v>
                </c:pt>
                <c:pt idx="6">
                  <c:v>MKN VSS, skaits - 98</c:v>
                </c:pt>
                <c:pt idx="7">
                  <c:v>Apstiprinātie kritēriji, skaits - 95</c:v>
                </c:pt>
                <c:pt idx="8">
                  <c:v>Iesniegti kritēriji, skaits - 103</c:v>
                </c:pt>
                <c:pt idx="9">
                  <c:v>Pieejamais ES fondu finansējums</c:v>
                </c:pt>
                <c:pt idx="10">
                  <c:v>Pieejamais ''virssaistību'' apjoms</c:v>
                </c:pt>
              </c:strCache>
            </c:strRef>
          </c:cat>
          <c:val>
            <c:numRef>
              <c:f>LV!$D$5:$M$5</c:f>
              <c:numCache>
                <c:formatCode>General</c:formatCode>
                <c:ptCount val="10"/>
                <c:pt idx="0" formatCode="#,##0.00">
                  <c:v>203370546</c:v>
                </c:pt>
                <c:pt idx="1">
                  <c:v>1166684288.74</c:v>
                </c:pt>
                <c:pt idx="2">
                  <c:v>1202710039.04</c:v>
                </c:pt>
                <c:pt idx="3">
                  <c:v>1726890588.1600001</c:v>
                </c:pt>
                <c:pt idx="4" formatCode="#,##0">
                  <c:v>2766923508</c:v>
                </c:pt>
                <c:pt idx="5" formatCode="#,##0">
                  <c:v>3546981923</c:v>
                </c:pt>
                <c:pt idx="6" formatCode="#,##0">
                  <c:v>3683966883</c:v>
                </c:pt>
                <c:pt idx="7" formatCode="#,##0">
                  <c:v>3551320856</c:v>
                </c:pt>
                <c:pt idx="8" formatCode="#,##0">
                  <c:v>4229294954</c:v>
                </c:pt>
                <c:pt idx="9" formatCode="#,##0">
                  <c:v>4418233214</c:v>
                </c:pt>
              </c:numCache>
            </c:numRef>
          </c:val>
          <c:extLst xmlns:c16r2="http://schemas.microsoft.com/office/drawing/2015/06/chart">
            <c:ext xmlns:c16="http://schemas.microsoft.com/office/drawing/2014/chart" uri="{C3380CC4-5D6E-409C-BE32-E72D297353CC}">
              <c16:uniqueId val="{00000016-6885-471C-9C80-5997B1136D92}"/>
            </c:ext>
          </c:extLst>
        </c:ser>
        <c:ser>
          <c:idx val="2"/>
          <c:order val="2"/>
          <c:tx>
            <c:strRef>
              <c:f>LV!$N$3</c:f>
              <c:strCache>
                <c:ptCount val="1"/>
                <c:pt idx="0">
                  <c:v>Pieejamais ''virssaistību'' apjoms</c:v>
                </c:pt>
              </c:strCache>
            </c:strRef>
          </c:tx>
          <c:spPr>
            <a:solidFill>
              <a:srgbClr val="FF0000"/>
            </a:solidFill>
            <a:ln>
              <a:noFill/>
            </a:ln>
            <a:effectLst/>
          </c:spPr>
          <c:invertIfNegative val="0"/>
          <c:dLbls>
            <c:dLbl>
              <c:idx val="8"/>
              <c:layout>
                <c:manualLayout>
                  <c:x val="5.2511415525114152E-2"/>
                  <c:y val="0"/>
                </c:manualLayout>
              </c:layout>
              <c:tx>
                <c:rich>
                  <a:bodyPr/>
                  <a:lstStyle/>
                  <a:p>
                    <a:fld id="{B96E0241-0EDD-4867-9595-D7F9D488EC81}" type="VALUE">
                      <a:rPr lang="en-US">
                        <a:solidFill>
                          <a:schemeClr val="tx1">
                            <a:lumMod val="95000"/>
                            <a:lumOff val="5000"/>
                          </a:schemeClr>
                        </a:solidFill>
                        <a:latin typeface="Times New Roman" panose="02020603050405020304" pitchFamily="18" charset="0"/>
                        <a:cs typeface="Times New Roman" panose="02020603050405020304" pitchFamily="18" charset="0"/>
                      </a:rPr>
                      <a:pPr/>
                      <a:t>[VALUE]</a:t>
                    </a:fld>
                    <a:r>
                      <a:rPr lang="en-US">
                        <a:solidFill>
                          <a:schemeClr val="tx1">
                            <a:lumMod val="95000"/>
                            <a:lumOff val="5000"/>
                          </a:schemeClr>
                        </a:solidFill>
                        <a:latin typeface="Times New Roman" panose="02020603050405020304" pitchFamily="18" charset="0"/>
                        <a:cs typeface="Times New Roman" panose="02020603050405020304" pitchFamily="18" charset="0"/>
                      </a:rPr>
                      <a:t> (1,2%)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6885-471C-9C80-5997B1136D92}"/>
                </c:ext>
                <c:ext xmlns:c15="http://schemas.microsoft.com/office/drawing/2012/chart" uri="{CE6537A1-D6FC-4f65-9D91-7224C49458BB}">
                  <c15:dlblFieldTable/>
                  <c15:showDataLabelsRange val="0"/>
                </c:ext>
              </c:extLst>
            </c:dLbl>
            <c:dLbl>
              <c:idx val="9"/>
              <c:layout>
                <c:manualLayout>
                  <c:x val="7.0765296416203272E-2"/>
                  <c:y val="0"/>
                </c:manualLayout>
              </c:layout>
              <c:tx>
                <c:rich>
                  <a:bodyPr/>
                  <a:lstStyle/>
                  <a:p>
                    <a:fld id="{B060E773-9110-48CD-8C3E-82AF6EBFF400}" type="VALUE">
                      <a:rPr lang="en-US"/>
                      <a:pPr/>
                      <a:t>[VALUE]</a:t>
                    </a:fld>
                    <a:r>
                      <a:rPr lang="en-US"/>
                      <a:t> (1,2%)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6885-471C-9C80-5997B1136D92}"/>
                </c:ext>
                <c:ext xmlns:c15="http://schemas.microsoft.com/office/drawing/2012/chart" uri="{CE6537A1-D6FC-4f65-9D91-7224C49458BB}">
                  <c15:layout/>
                  <c15:dlblFieldTable/>
                  <c15:showDataLabelsRange val="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LV!$D$3:$N$3</c:f>
              <c:strCache>
                <c:ptCount val="11"/>
                <c:pt idx="0">
                  <c:v>Veikti maksājumi projektos</c:v>
                </c:pt>
                <c:pt idx="1">
                  <c:v>Noslēgti līgumi, skaits - 136</c:v>
                </c:pt>
                <c:pt idx="2">
                  <c:v>Apstiprināti projekti, skaits - 142</c:v>
                </c:pt>
                <c:pt idx="3">
                  <c:v>Iesniegti projekti, skaits - 714</c:v>
                </c:pt>
                <c:pt idx="4">
                  <c:v>Uzsāktās projektu atlases, skaits - 84</c:v>
                </c:pt>
                <c:pt idx="5">
                  <c:v>Apstiprināti MKN, skaits - 93</c:v>
                </c:pt>
                <c:pt idx="6">
                  <c:v>MKN VSS, skaits - 98</c:v>
                </c:pt>
                <c:pt idx="7">
                  <c:v>Apstiprinātie kritēriji, skaits - 95</c:v>
                </c:pt>
                <c:pt idx="8">
                  <c:v>Iesniegti kritēriji, skaits - 103</c:v>
                </c:pt>
                <c:pt idx="9">
                  <c:v>Pieejamais ES fondu finansējums</c:v>
                </c:pt>
                <c:pt idx="10">
                  <c:v>Pieejamais ''virssaistību'' apjoms</c:v>
                </c:pt>
              </c:strCache>
            </c:strRef>
          </c:cat>
          <c:val>
            <c:numRef>
              <c:f>LV!$D$6:$M$6</c:f>
              <c:numCache>
                <c:formatCode>General</c:formatCode>
                <c:ptCount val="10"/>
                <c:pt idx="9" formatCode="#,##0">
                  <c:v>53000000</c:v>
                </c:pt>
              </c:numCache>
            </c:numRef>
          </c:val>
          <c:extLst xmlns:c16r2="http://schemas.microsoft.com/office/drawing/2015/06/chart">
            <c:ext xmlns:c16="http://schemas.microsoft.com/office/drawing/2014/chart" uri="{C3380CC4-5D6E-409C-BE32-E72D297353CC}">
              <c16:uniqueId val="{00000019-6885-471C-9C80-5997B1136D92}"/>
            </c:ext>
          </c:extLst>
        </c:ser>
        <c:ser>
          <c:idx val="3"/>
          <c:order val="3"/>
          <c:tx>
            <c:strRef>
              <c:f>'Ikmēneša ziņojumam - lielais gr'!#REF!</c:f>
              <c:strCache>
                <c:ptCount val="1"/>
                <c:pt idx="0">
                  <c:v>#REF!</c:v>
                </c:pt>
              </c:strCache>
            </c:strRef>
          </c:tx>
          <c:spPr>
            <a:solidFill>
              <a:schemeClr val="accent4"/>
            </a:solidFill>
            <a:ln>
              <a:noFill/>
            </a:ln>
            <a:effectLst/>
          </c:spPr>
          <c:invertIfNegative val="0"/>
          <c:cat>
            <c:strRef>
              <c:f>LV!$D$3:$N$3</c:f>
              <c:strCache>
                <c:ptCount val="11"/>
                <c:pt idx="0">
                  <c:v>Veikti maksājumi projektos</c:v>
                </c:pt>
                <c:pt idx="1">
                  <c:v>Noslēgti līgumi, skaits - 136</c:v>
                </c:pt>
                <c:pt idx="2">
                  <c:v>Apstiprināti projekti, skaits - 142</c:v>
                </c:pt>
                <c:pt idx="3">
                  <c:v>Iesniegti projekti, skaits - 714</c:v>
                </c:pt>
                <c:pt idx="4">
                  <c:v>Uzsāktās projektu atlases, skaits - 84</c:v>
                </c:pt>
                <c:pt idx="5">
                  <c:v>Apstiprināti MKN, skaits - 93</c:v>
                </c:pt>
                <c:pt idx="6">
                  <c:v>MKN VSS, skaits - 98</c:v>
                </c:pt>
                <c:pt idx="7">
                  <c:v>Apstiprinātie kritēriji, skaits - 95</c:v>
                </c:pt>
                <c:pt idx="8">
                  <c:v>Iesniegti kritēriji, skaits - 103</c:v>
                </c:pt>
                <c:pt idx="9">
                  <c:v>Pieejamais ES fondu finansējums</c:v>
                </c:pt>
                <c:pt idx="10">
                  <c:v>Pieejamais ''virssaistību'' apjoms</c:v>
                </c:pt>
              </c:strCache>
            </c:strRef>
          </c:cat>
          <c:val>
            <c:numRef>
              <c:f>'Ikmēneša ziņojumam - lielais gr'!#REF!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1A-6885-471C-9C80-5997B1136D92}"/>
            </c:ext>
          </c:extLst>
        </c:ser>
        <c:ser>
          <c:idx val="4"/>
          <c:order val="4"/>
          <c:tx>
            <c:strRef>
              <c:f>LV!$C$7</c:f>
              <c:strCache>
                <c:ptCount val="1"/>
                <c:pt idx="0">
                  <c:v>Esošais mēnesis (31.10.)/ %</c:v>
                </c:pt>
              </c:strCache>
            </c:strRef>
          </c:tx>
          <c:spPr>
            <a:solidFill>
              <a:schemeClr val="accent5"/>
            </a:solidFill>
            <a:ln>
              <a:noFill/>
            </a:ln>
            <a:effectLst/>
          </c:spPr>
          <c:invertIfNegative val="0"/>
          <c:cat>
            <c:strRef>
              <c:f>LV!$D$3:$N$3</c:f>
              <c:strCache>
                <c:ptCount val="11"/>
                <c:pt idx="0">
                  <c:v>Veikti maksājumi projektos</c:v>
                </c:pt>
                <c:pt idx="1">
                  <c:v>Noslēgti līgumi, skaits - 136</c:v>
                </c:pt>
                <c:pt idx="2">
                  <c:v>Apstiprināti projekti, skaits - 142</c:v>
                </c:pt>
                <c:pt idx="3">
                  <c:v>Iesniegti projekti, skaits - 714</c:v>
                </c:pt>
                <c:pt idx="4">
                  <c:v>Uzsāktās projektu atlases, skaits - 84</c:v>
                </c:pt>
                <c:pt idx="5">
                  <c:v>Apstiprināti MKN, skaits - 93</c:v>
                </c:pt>
                <c:pt idx="6">
                  <c:v>MKN VSS, skaits - 98</c:v>
                </c:pt>
                <c:pt idx="7">
                  <c:v>Apstiprinātie kritēriji, skaits - 95</c:v>
                </c:pt>
                <c:pt idx="8">
                  <c:v>Iesniegti kritēriji, skaits - 103</c:v>
                </c:pt>
                <c:pt idx="9">
                  <c:v>Pieejamais ES fondu finansējums</c:v>
                </c:pt>
                <c:pt idx="10">
                  <c:v>Pieejamais ''virssaistību'' apjoms</c:v>
                </c:pt>
              </c:strCache>
            </c:strRef>
          </c:cat>
          <c:val>
            <c:numRef>
              <c:f>LV!$D$7:$M$7</c:f>
              <c:numCache>
                <c:formatCode>0.0%</c:formatCode>
                <c:ptCount val="10"/>
                <c:pt idx="0">
                  <c:v>4.6029835038037897E-2</c:v>
                </c:pt>
                <c:pt idx="1">
                  <c:v>0.26406127341651914</c:v>
                </c:pt>
                <c:pt idx="2">
                  <c:v>0.27221515496940901</c:v>
                </c:pt>
                <c:pt idx="3">
                  <c:v>0.39085546292305795</c:v>
                </c:pt>
                <c:pt idx="4">
                  <c:v>0.62625112210747147</c:v>
                </c:pt>
                <c:pt idx="5">
                  <c:v>0.80280549966459969</c:v>
                </c:pt>
                <c:pt idx="6">
                  <c:v>0.83380996533335106</c:v>
                </c:pt>
                <c:pt idx="7">
                  <c:v>0.80378755126528278</c:v>
                </c:pt>
                <c:pt idx="8">
                  <c:v>0.95723669375321485</c:v>
                </c:pt>
              </c:numCache>
            </c:numRef>
          </c:val>
          <c:extLst xmlns:c16r2="http://schemas.microsoft.com/office/drawing/2015/06/chart">
            <c:ext xmlns:c16="http://schemas.microsoft.com/office/drawing/2014/chart" uri="{C3380CC4-5D6E-409C-BE32-E72D297353CC}">
              <c16:uniqueId val="{0000001B-6885-471C-9C80-5997B1136D92}"/>
            </c:ext>
          </c:extLst>
        </c:ser>
        <c:ser>
          <c:idx val="5"/>
          <c:order val="5"/>
          <c:tx>
            <c:strRef>
              <c:f>LV!$C$8</c:f>
              <c:strCache>
                <c:ptCount val="1"/>
                <c:pt idx="0">
                  <c:v>Iepriekšējais mēn(30.09.)/ %</c:v>
                </c:pt>
              </c:strCache>
            </c:strRef>
          </c:tx>
          <c:spPr>
            <a:solidFill>
              <a:schemeClr val="accent6"/>
            </a:solidFill>
            <a:ln>
              <a:noFill/>
            </a:ln>
            <a:effectLst/>
          </c:spPr>
          <c:invertIfNegative val="0"/>
          <c:cat>
            <c:strRef>
              <c:f>LV!$D$3:$N$3</c:f>
              <c:strCache>
                <c:ptCount val="11"/>
                <c:pt idx="0">
                  <c:v>Veikti maksājumi projektos</c:v>
                </c:pt>
                <c:pt idx="1">
                  <c:v>Noslēgti līgumi, skaits - 136</c:v>
                </c:pt>
                <c:pt idx="2">
                  <c:v>Apstiprināti projekti, skaits - 142</c:v>
                </c:pt>
                <c:pt idx="3">
                  <c:v>Iesniegti projekti, skaits - 714</c:v>
                </c:pt>
                <c:pt idx="4">
                  <c:v>Uzsāktās projektu atlases, skaits - 84</c:v>
                </c:pt>
                <c:pt idx="5">
                  <c:v>Apstiprināti MKN, skaits - 93</c:v>
                </c:pt>
                <c:pt idx="6">
                  <c:v>MKN VSS, skaits - 98</c:v>
                </c:pt>
                <c:pt idx="7">
                  <c:v>Apstiprinātie kritēriji, skaits - 95</c:v>
                </c:pt>
                <c:pt idx="8">
                  <c:v>Iesniegti kritēriji, skaits - 103</c:v>
                </c:pt>
                <c:pt idx="9">
                  <c:v>Pieejamais ES fondu finansējums</c:v>
                </c:pt>
                <c:pt idx="10">
                  <c:v>Pieejamais ''virssaistību'' apjoms</c:v>
                </c:pt>
              </c:strCache>
            </c:strRef>
          </c:cat>
          <c:val>
            <c:numRef>
              <c:f>LV!$D$8:$M$8</c:f>
              <c:numCache>
                <c:formatCode>0.0%</c:formatCode>
                <c:ptCount val="10"/>
                <c:pt idx="0">
                  <c:v>4.0227919326849736E-2</c:v>
                </c:pt>
                <c:pt idx="1">
                  <c:v>0.24063375986154995</c:v>
                </c:pt>
                <c:pt idx="2">
                  <c:v>0.26033234798365718</c:v>
                </c:pt>
                <c:pt idx="3">
                  <c:v>0.34982914136637061</c:v>
                </c:pt>
                <c:pt idx="4">
                  <c:v>0.60984760072468192</c:v>
                </c:pt>
                <c:pt idx="5">
                  <c:v>0.7949969485245918</c:v>
                </c:pt>
                <c:pt idx="6">
                  <c:v>0.83060801574970911</c:v>
                </c:pt>
                <c:pt idx="7">
                  <c:v>0.80095457088743893</c:v>
                </c:pt>
                <c:pt idx="8">
                  <c:v>0.92280296297641295</c:v>
                </c:pt>
              </c:numCache>
            </c:numRef>
          </c:val>
          <c:extLst xmlns:c16r2="http://schemas.microsoft.com/office/drawing/2015/06/chart">
            <c:ext xmlns:c16="http://schemas.microsoft.com/office/drawing/2014/chart" uri="{C3380CC4-5D6E-409C-BE32-E72D297353CC}">
              <c16:uniqueId val="{0000001C-6885-471C-9C80-5997B1136D92}"/>
            </c:ext>
          </c:extLst>
        </c:ser>
        <c:ser>
          <c:idx val="6"/>
          <c:order val="6"/>
          <c:tx>
            <c:strRef>
              <c:f>LV!$C$9</c:f>
              <c:strCache>
                <c:ptCount val="1"/>
                <c:pt idx="0">
                  <c:v>Pieaugums</c:v>
                </c:pt>
              </c:strCache>
            </c:strRef>
          </c:tx>
          <c:spPr>
            <a:solidFill>
              <a:schemeClr val="accent1">
                <a:lumMod val="60000"/>
              </a:schemeClr>
            </a:solidFill>
            <a:ln>
              <a:noFill/>
            </a:ln>
            <a:effectLst/>
          </c:spPr>
          <c:invertIfNegative val="0"/>
          <c:cat>
            <c:strRef>
              <c:f>LV!$D$3:$N$3</c:f>
              <c:strCache>
                <c:ptCount val="11"/>
                <c:pt idx="0">
                  <c:v>Veikti maksājumi projektos</c:v>
                </c:pt>
                <c:pt idx="1">
                  <c:v>Noslēgti līgumi, skaits - 136</c:v>
                </c:pt>
                <c:pt idx="2">
                  <c:v>Apstiprināti projekti, skaits - 142</c:v>
                </c:pt>
                <c:pt idx="3">
                  <c:v>Iesniegti projekti, skaits - 714</c:v>
                </c:pt>
                <c:pt idx="4">
                  <c:v>Uzsāktās projektu atlases, skaits - 84</c:v>
                </c:pt>
                <c:pt idx="5">
                  <c:v>Apstiprināti MKN, skaits - 93</c:v>
                </c:pt>
                <c:pt idx="6">
                  <c:v>MKN VSS, skaits - 98</c:v>
                </c:pt>
                <c:pt idx="7">
                  <c:v>Apstiprinātie kritēriji, skaits - 95</c:v>
                </c:pt>
                <c:pt idx="8">
                  <c:v>Iesniegti kritēriji, skaits - 103</c:v>
                </c:pt>
                <c:pt idx="9">
                  <c:v>Pieejamais ES fondu finansējums</c:v>
                </c:pt>
                <c:pt idx="10">
                  <c:v>Pieejamais ''virssaistību'' apjoms</c:v>
                </c:pt>
              </c:strCache>
            </c:strRef>
          </c:cat>
          <c:val>
            <c:numRef>
              <c:f>LV!$D$9:$M$9</c:f>
              <c:numCache>
                <c:formatCode>0.0%</c:formatCode>
                <c:ptCount val="10"/>
                <c:pt idx="0">
                  <c:v>5.8019157111881617E-3</c:v>
                </c:pt>
                <c:pt idx="1">
                  <c:v>2.3427513554969193E-2</c:v>
                </c:pt>
                <c:pt idx="2">
                  <c:v>1.1882806985751837E-2</c:v>
                </c:pt>
                <c:pt idx="3">
                  <c:v>4.102632155668734E-2</c:v>
                </c:pt>
                <c:pt idx="4">
                  <c:v>1.6403521382789554E-2</c:v>
                </c:pt>
                <c:pt idx="5">
                  <c:v>7.8085511400078911E-3</c:v>
                </c:pt>
                <c:pt idx="6">
                  <c:v>3.2019495836419498E-3</c:v>
                </c:pt>
                <c:pt idx="7">
                  <c:v>2.8329803778438523E-3</c:v>
                </c:pt>
                <c:pt idx="8">
                  <c:v>3.4433730776801896E-2</c:v>
                </c:pt>
              </c:numCache>
            </c:numRef>
          </c:val>
          <c:extLst xmlns:c16r2="http://schemas.microsoft.com/office/drawing/2015/06/chart">
            <c:ext xmlns:c16="http://schemas.microsoft.com/office/drawing/2014/chart" uri="{C3380CC4-5D6E-409C-BE32-E72D297353CC}">
              <c16:uniqueId val="{0000001D-6885-471C-9C80-5997B1136D92}"/>
            </c:ext>
          </c:extLst>
        </c:ser>
        <c:dLbls>
          <c:showLegendKey val="0"/>
          <c:showVal val="0"/>
          <c:showCatName val="0"/>
          <c:showSerName val="0"/>
          <c:showPercent val="0"/>
          <c:showBubbleSize val="0"/>
        </c:dLbls>
        <c:gapWidth val="150"/>
        <c:overlap val="100"/>
        <c:axId val="250509664"/>
        <c:axId val="250510048"/>
      </c:barChart>
      <c:catAx>
        <c:axId val="250509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50510048"/>
        <c:crosses val="autoZero"/>
        <c:auto val="1"/>
        <c:lblAlgn val="ctr"/>
        <c:lblOffset val="100"/>
        <c:noMultiLvlLbl val="0"/>
      </c:catAx>
      <c:valAx>
        <c:axId val="250510048"/>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50509664"/>
        <c:crosses val="autoZero"/>
        <c:crossBetween val="between"/>
        <c:majorUnit val="2000000000"/>
        <c:dispUnits>
          <c:builtInUnit val="millions"/>
        </c:dispUnits>
      </c:valAx>
      <c:spPr>
        <a:noFill/>
        <a:ln>
          <a:noFill/>
        </a:ln>
        <a:effectLst/>
      </c:spPr>
    </c:plotArea>
    <c:legend>
      <c:legendPos val="b"/>
      <c:legendEntry>
        <c:idx val="1"/>
        <c:delete val="1"/>
      </c:legendEntry>
      <c:legendEntry>
        <c:idx val="3"/>
        <c:delete val="1"/>
      </c:legendEntry>
      <c:legendEntry>
        <c:idx val="4"/>
        <c:delete val="1"/>
      </c:legendEntry>
      <c:legendEntry>
        <c:idx val="5"/>
        <c:delete val="1"/>
      </c:legendEntry>
      <c:legendEntry>
        <c:idx val="6"/>
        <c:delete val="1"/>
      </c:legendEntry>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9872998907982536E-2"/>
          <c:y val="2.7715174504420143E-2"/>
          <c:w val="0.91103661763574639"/>
          <c:h val="0.64134070750793781"/>
        </c:manualLayout>
      </c:layout>
      <c:barChart>
        <c:barDir val="col"/>
        <c:grouping val="clustered"/>
        <c:varyColors val="0"/>
        <c:ser>
          <c:idx val="0"/>
          <c:order val="0"/>
          <c:tx>
            <c:strRef>
              <c:f>'Kopā (4)'!$A$53</c:f>
              <c:strCache>
                <c:ptCount val="1"/>
                <c:pt idx="0">
                  <c:v>Plānotais MK noteikumu apstiprināšanas skaits</c:v>
                </c:pt>
              </c:strCache>
            </c:strRef>
          </c:tx>
          <c:spPr>
            <a:solidFill>
              <a:schemeClr val="accent5">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'Kopā (4)'!$B$52:$L$52</c:f>
              <c:strCache>
                <c:ptCount val="11"/>
                <c:pt idx="0">
                  <c:v>2014-2015</c:v>
                </c:pt>
                <c:pt idx="1">
                  <c:v>I cet.</c:v>
                </c:pt>
                <c:pt idx="2">
                  <c:v>Aprīlis</c:v>
                </c:pt>
                <c:pt idx="3">
                  <c:v>Maijs</c:v>
                </c:pt>
                <c:pt idx="4">
                  <c:v>Jūnijs</c:v>
                </c:pt>
                <c:pt idx="5">
                  <c:v>Jūlijs</c:v>
                </c:pt>
                <c:pt idx="6">
                  <c:v>Augusts</c:v>
                </c:pt>
                <c:pt idx="7">
                  <c:v>Septembris</c:v>
                </c:pt>
                <c:pt idx="8">
                  <c:v>Oktobris</c:v>
                </c:pt>
                <c:pt idx="9">
                  <c:v>Novembris</c:v>
                </c:pt>
                <c:pt idx="10">
                  <c:v>Decembris</c:v>
                </c:pt>
              </c:strCache>
            </c:strRef>
          </c:cat>
          <c:val>
            <c:numRef>
              <c:f>'Kopā (4)'!$B$53:$L$53</c:f>
              <c:numCache>
                <c:formatCode>General</c:formatCode>
                <c:ptCount val="11"/>
                <c:pt idx="0">
                  <c:v>35</c:v>
                </c:pt>
                <c:pt idx="1">
                  <c:v>58</c:v>
                </c:pt>
                <c:pt idx="2">
                  <c:v>63</c:v>
                </c:pt>
                <c:pt idx="3">
                  <c:v>77</c:v>
                </c:pt>
                <c:pt idx="4">
                  <c:v>86</c:v>
                </c:pt>
                <c:pt idx="5">
                  <c:v>91</c:v>
                </c:pt>
                <c:pt idx="6">
                  <c:v>97</c:v>
                </c:pt>
                <c:pt idx="7">
                  <c:v>103</c:v>
                </c:pt>
                <c:pt idx="8">
                  <c:v>104</c:v>
                </c:pt>
                <c:pt idx="9">
                  <c:v>104</c:v>
                </c:pt>
                <c:pt idx="10">
                  <c:v>104</c:v>
                </c:pt>
              </c:numCache>
            </c:numRef>
          </c:val>
          <c:extLst xmlns:c16r2="http://schemas.microsoft.com/office/drawing/2015/06/chart">
            <c:ext xmlns:c16="http://schemas.microsoft.com/office/drawing/2014/chart" uri="{C3380CC4-5D6E-409C-BE32-E72D297353CC}">
              <c16:uniqueId val="{00000000-B6CC-4F4E-89BC-0114117C36B8}"/>
            </c:ext>
          </c:extLst>
        </c:ser>
        <c:ser>
          <c:idx val="2"/>
          <c:order val="2"/>
          <c:tx>
            <c:strRef>
              <c:f>'Kopā (4)'!$A$55</c:f>
              <c:strCache>
                <c:ptCount val="1"/>
                <c:pt idx="0">
                  <c:v>Apstiprināti MK noteikumi</c:v>
                </c:pt>
              </c:strCache>
            </c:strRef>
          </c:tx>
          <c:spPr>
            <a:solidFill>
              <a:schemeClr val="accent6">
                <a:lumMod val="40000"/>
                <a:lumOff val="60000"/>
              </a:schemeClr>
            </a:solidFill>
            <a:ln>
              <a:noFill/>
            </a:ln>
            <a:effectLst/>
          </c:spPr>
          <c:invertIfNegative val="0"/>
          <c:dPt>
            <c:idx val="1"/>
            <c:invertIfNegative val="0"/>
            <c:bubble3D val="0"/>
            <c:spPr>
              <a:solidFill>
                <a:schemeClr val="accent6">
                  <a:lumMod val="40000"/>
                  <a:lumOff val="60000"/>
                </a:schemeClr>
              </a:solidFill>
              <a:ln>
                <a:noFill/>
              </a:ln>
              <a:effectLst/>
            </c:spPr>
            <c:extLst xmlns:c16r2="http://schemas.microsoft.com/office/drawing/2015/06/chart">
              <c:ext xmlns:c16="http://schemas.microsoft.com/office/drawing/2014/chart" uri="{C3380CC4-5D6E-409C-BE32-E72D297353CC}">
                <c16:uniqueId val="{00000002-B6CC-4F4E-89BC-0114117C36B8}"/>
              </c:ext>
            </c:extLst>
          </c:dPt>
          <c:dPt>
            <c:idx val="2"/>
            <c:invertIfNegative val="0"/>
            <c:bubble3D val="0"/>
            <c:spPr>
              <a:solidFill>
                <a:schemeClr val="accent6">
                  <a:lumMod val="40000"/>
                  <a:lumOff val="60000"/>
                </a:schemeClr>
              </a:solidFill>
              <a:ln>
                <a:noFill/>
              </a:ln>
              <a:effectLst/>
            </c:spPr>
            <c:extLst xmlns:c16r2="http://schemas.microsoft.com/office/drawing/2015/06/chart">
              <c:ext xmlns:c16="http://schemas.microsoft.com/office/drawing/2014/chart" uri="{C3380CC4-5D6E-409C-BE32-E72D297353CC}">
                <c16:uniqueId val="{00000004-B6CC-4F4E-89BC-0114117C36B8}"/>
              </c:ext>
            </c:extLst>
          </c:dPt>
          <c:dPt>
            <c:idx val="3"/>
            <c:invertIfNegative val="0"/>
            <c:bubble3D val="0"/>
            <c:spPr>
              <a:solidFill>
                <a:schemeClr val="accent6">
                  <a:lumMod val="40000"/>
                  <a:lumOff val="60000"/>
                </a:schemeClr>
              </a:solidFill>
              <a:ln>
                <a:noFill/>
              </a:ln>
              <a:effectLst/>
            </c:spPr>
            <c:extLst xmlns:c16r2="http://schemas.microsoft.com/office/drawing/2015/06/chart">
              <c:ext xmlns:c16="http://schemas.microsoft.com/office/drawing/2014/chart" uri="{C3380CC4-5D6E-409C-BE32-E72D297353CC}">
                <c16:uniqueId val="{00000006-B6CC-4F4E-89BC-0114117C36B8}"/>
              </c:ext>
            </c:extLst>
          </c:dPt>
          <c:dPt>
            <c:idx val="4"/>
            <c:invertIfNegative val="0"/>
            <c:bubble3D val="0"/>
            <c:spPr>
              <a:solidFill>
                <a:schemeClr val="accent6">
                  <a:lumMod val="40000"/>
                  <a:lumOff val="60000"/>
                </a:schemeClr>
              </a:solidFill>
              <a:ln>
                <a:noFill/>
              </a:ln>
              <a:effectLst/>
            </c:spPr>
            <c:extLst xmlns:c16r2="http://schemas.microsoft.com/office/drawing/2015/06/chart">
              <c:ext xmlns:c16="http://schemas.microsoft.com/office/drawing/2014/chart" uri="{C3380CC4-5D6E-409C-BE32-E72D297353CC}">
                <c16:uniqueId val="{00000008-B6CC-4F4E-89BC-0114117C36B8}"/>
              </c:ext>
            </c:extLst>
          </c:dPt>
          <c:dPt>
            <c:idx val="5"/>
            <c:invertIfNegative val="0"/>
            <c:bubble3D val="0"/>
            <c:spPr>
              <a:solidFill>
                <a:schemeClr val="accent6">
                  <a:lumMod val="40000"/>
                  <a:lumOff val="60000"/>
                </a:schemeClr>
              </a:solidFill>
              <a:ln>
                <a:noFill/>
              </a:ln>
              <a:effectLst/>
            </c:spPr>
            <c:extLst xmlns:c16r2="http://schemas.microsoft.com/office/drawing/2015/06/chart">
              <c:ext xmlns:c16="http://schemas.microsoft.com/office/drawing/2014/chart" uri="{C3380CC4-5D6E-409C-BE32-E72D297353CC}">
                <c16:uniqueId val="{0000000A-B6CC-4F4E-89BC-0114117C36B8}"/>
              </c:ext>
            </c:extLst>
          </c:dPt>
          <c:dPt>
            <c:idx val="6"/>
            <c:invertIfNegative val="0"/>
            <c:bubble3D val="0"/>
            <c:spPr>
              <a:solidFill>
                <a:schemeClr val="accent6">
                  <a:lumMod val="40000"/>
                  <a:lumOff val="60000"/>
                </a:schemeClr>
              </a:solidFill>
              <a:ln>
                <a:noFill/>
              </a:ln>
              <a:effectLst/>
            </c:spPr>
            <c:extLst xmlns:c16r2="http://schemas.microsoft.com/office/drawing/2015/06/chart">
              <c:ext xmlns:c16="http://schemas.microsoft.com/office/drawing/2014/chart" uri="{C3380CC4-5D6E-409C-BE32-E72D297353CC}">
                <c16:uniqueId val="{0000000C-B6CC-4F4E-89BC-0114117C36B8}"/>
              </c:ext>
            </c:extLst>
          </c:dPt>
          <c:dPt>
            <c:idx val="7"/>
            <c:invertIfNegative val="0"/>
            <c:bubble3D val="0"/>
            <c:spPr>
              <a:solidFill>
                <a:schemeClr val="accent6">
                  <a:lumMod val="40000"/>
                  <a:lumOff val="60000"/>
                </a:schemeClr>
              </a:solidFill>
              <a:ln>
                <a:noFill/>
              </a:ln>
              <a:effectLst/>
            </c:spPr>
            <c:extLst xmlns:c16r2="http://schemas.microsoft.com/office/drawing/2015/06/chart">
              <c:ext xmlns:c16="http://schemas.microsoft.com/office/drawing/2014/chart" uri="{C3380CC4-5D6E-409C-BE32-E72D297353CC}">
                <c16:uniqueId val="{0000000E-B6CC-4F4E-89BC-0114117C36B8}"/>
              </c:ext>
            </c:extLst>
          </c:dPt>
          <c:dPt>
            <c:idx val="9"/>
            <c:invertIfNegative val="0"/>
            <c:bubble3D val="0"/>
            <c:spPr>
              <a:solidFill>
                <a:schemeClr val="accent2">
                  <a:lumMod val="60000"/>
                  <a:lumOff val="40000"/>
                </a:schemeClr>
              </a:solidFill>
              <a:ln>
                <a:noFill/>
              </a:ln>
              <a:effectLst/>
            </c:spPr>
            <c:extLst xmlns:c16r2="http://schemas.microsoft.com/office/drawing/2015/06/chart">
              <c:ext xmlns:c16="http://schemas.microsoft.com/office/drawing/2014/chart" uri="{C3380CC4-5D6E-409C-BE32-E72D297353CC}">
                <c16:uniqueId val="{00000010-B6CC-4F4E-89BC-0114117C36B8}"/>
              </c:ext>
            </c:extLst>
          </c:dPt>
          <c:dLbls>
            <c:dLbl>
              <c:idx val="7"/>
              <c:layout>
                <c:manualLayout>
                  <c:x val="1.0690613641222927E-2"/>
                  <c:y val="0.49169464360517001"/>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B6CC-4F4E-89BC-0114117C36B8}"/>
                </c:ext>
                <c:ext xmlns:c15="http://schemas.microsoft.com/office/drawing/2012/chart" uri="{CE6537A1-D6FC-4f65-9D91-7224C49458BB}">
                  <c15:layout/>
                </c:ext>
              </c:extLst>
            </c:dLbl>
            <c:dLbl>
              <c:idx val="8"/>
              <c:layout>
                <c:manualLayout>
                  <c:x val="1.2828736369467608E-2"/>
                  <c:y val="0.49800296262119126"/>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B6CC-4F4E-89BC-0114117C36B8}"/>
                </c:ext>
                <c:ext xmlns:c15="http://schemas.microsoft.com/office/drawing/2012/chart" uri="{CE6537A1-D6FC-4f65-9D91-7224C49458BB}">
                  <c15:layout/>
                </c:ext>
              </c:extLst>
            </c:dLbl>
            <c:dLbl>
              <c:idx val="9"/>
              <c:layout>
                <c:manualLayout>
                  <c:x val="1.282873636946745E-2"/>
                  <c:y val="0.50045592797430771"/>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B6CC-4F4E-89BC-0114117C36B8}"/>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'Kopā (4)'!$B$52:$L$52</c:f>
              <c:strCache>
                <c:ptCount val="11"/>
                <c:pt idx="0">
                  <c:v>2014-2015</c:v>
                </c:pt>
                <c:pt idx="1">
                  <c:v>I cet.</c:v>
                </c:pt>
                <c:pt idx="2">
                  <c:v>Aprīlis</c:v>
                </c:pt>
                <c:pt idx="3">
                  <c:v>Maijs</c:v>
                </c:pt>
                <c:pt idx="4">
                  <c:v>Jūnijs</c:v>
                </c:pt>
                <c:pt idx="5">
                  <c:v>Jūlijs</c:v>
                </c:pt>
                <c:pt idx="6">
                  <c:v>Augusts</c:v>
                </c:pt>
                <c:pt idx="7">
                  <c:v>Septembris</c:v>
                </c:pt>
                <c:pt idx="8">
                  <c:v>Oktobris</c:v>
                </c:pt>
                <c:pt idx="9">
                  <c:v>Novembris</c:v>
                </c:pt>
                <c:pt idx="10">
                  <c:v>Decembris</c:v>
                </c:pt>
              </c:strCache>
            </c:strRef>
          </c:cat>
          <c:val>
            <c:numRef>
              <c:f>'Kopā (4)'!$B$55:$L$55</c:f>
              <c:numCache>
                <c:formatCode>General</c:formatCode>
                <c:ptCount val="11"/>
                <c:pt idx="0">
                  <c:v>31</c:v>
                </c:pt>
                <c:pt idx="1">
                  <c:v>48</c:v>
                </c:pt>
                <c:pt idx="2">
                  <c:v>56</c:v>
                </c:pt>
                <c:pt idx="3">
                  <c:v>69</c:v>
                </c:pt>
                <c:pt idx="4">
                  <c:v>73</c:v>
                </c:pt>
                <c:pt idx="5">
                  <c:v>78</c:v>
                </c:pt>
                <c:pt idx="6">
                  <c:v>90</c:v>
                </c:pt>
                <c:pt idx="7">
                  <c:v>92</c:v>
                </c:pt>
                <c:pt idx="8">
                  <c:v>93</c:v>
                </c:pt>
                <c:pt idx="9">
                  <c:v>94</c:v>
                </c:pt>
              </c:numCache>
            </c:numRef>
          </c:val>
          <c:extLst xmlns:c16r2="http://schemas.microsoft.com/office/drawing/2015/06/chart">
            <c:ext xmlns:c16="http://schemas.microsoft.com/office/drawing/2014/chart" uri="{C3380CC4-5D6E-409C-BE32-E72D297353CC}">
              <c16:uniqueId val="{00000012-B6CC-4F4E-89BC-0114117C36B8}"/>
            </c:ext>
          </c:extLst>
        </c:ser>
        <c:dLbls>
          <c:showLegendKey val="0"/>
          <c:showVal val="0"/>
          <c:showCatName val="0"/>
          <c:showSerName val="0"/>
          <c:showPercent val="0"/>
          <c:showBubbleSize val="0"/>
        </c:dLbls>
        <c:gapWidth val="150"/>
        <c:axId val="249637464"/>
        <c:axId val="250696816"/>
      </c:barChart>
      <c:lineChart>
        <c:grouping val="standard"/>
        <c:varyColors val="0"/>
        <c:ser>
          <c:idx val="1"/>
          <c:order val="1"/>
          <c:tx>
            <c:strRef>
              <c:f>'Kopā (4)'!$A$54</c:f>
              <c:strCache>
                <c:ptCount val="1"/>
                <c:pt idx="0">
                  <c:v>Plānotais apstiprināto MK noteikumu finansējums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4.7519212101089808E-2"/>
                  <c:y val="-3.779341977875474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B6CC-4F4E-89BC-0114117C36B8}"/>
                </c:ext>
                <c:ext xmlns:c15="http://schemas.microsoft.com/office/drawing/2012/chart" uri="{CE6537A1-D6FC-4f65-9D91-7224C49458BB}">
                  <c15:layout/>
                </c:ext>
              </c:extLst>
            </c:dLbl>
            <c:dLbl>
              <c:idx val="1"/>
              <c:layout>
                <c:manualLayout>
                  <c:x val="-5.031445987174215E-2"/>
                  <c:y val="-2.771517450442014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B6CC-4F4E-89BC-0114117C36B8}"/>
                </c:ext>
                <c:ext xmlns:c15="http://schemas.microsoft.com/office/drawing/2012/chart" uri="{CE6537A1-D6FC-4f65-9D91-7224C49458BB}">
                  <c15:layout/>
                </c:ext>
              </c:extLst>
            </c:dLbl>
            <c:dLbl>
              <c:idx val="2"/>
              <c:layout>
                <c:manualLayout>
                  <c:x val="-3.7735844903806638E-2"/>
                  <c:y val="-4.240143952259272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B6CC-4F4E-89BC-0114117C36B8}"/>
                </c:ext>
                <c:ext xmlns:c15="http://schemas.microsoft.com/office/drawing/2012/chart" uri="{CE6537A1-D6FC-4f65-9D91-7224C49458BB}">
                  <c15:layout/>
                </c:ext>
              </c:extLst>
            </c:dLbl>
            <c:dLbl>
              <c:idx val="3"/>
              <c:layout>
                <c:manualLayout>
                  <c:x val="-5.5904955413046881E-2"/>
                  <c:y val="-2.01564905486692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B6CC-4F4E-89BC-0114117C36B8}"/>
                </c:ext>
                <c:ext xmlns:c15="http://schemas.microsoft.com/office/drawing/2012/chart" uri="{CE6537A1-D6FC-4f65-9D91-7224C49458BB}">
                  <c15:layout/>
                </c:ext>
              </c:extLst>
            </c:dLbl>
            <c:dLbl>
              <c:idx val="4"/>
              <c:layout>
                <c:manualLayout>
                  <c:x val="-5.031445987174215E-2"/>
                  <c:y val="-2.01564905486692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B6CC-4F4E-89BC-0114117C36B8}"/>
                </c:ext>
                <c:ext xmlns:c15="http://schemas.microsoft.com/office/drawing/2012/chart" uri="{CE6537A1-D6FC-4f65-9D91-7224C49458BB}">
                  <c15:layout/>
                </c:ext>
              </c:extLst>
            </c:dLbl>
            <c:dLbl>
              <c:idx val="5"/>
              <c:layout>
                <c:manualLayout>
                  <c:x val="-4.4723964330437516E-2"/>
                  <c:y val="-4.031298109733841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B6CC-4F4E-89BC-0114117C36B8}"/>
                </c:ext>
                <c:ext xmlns:c15="http://schemas.microsoft.com/office/drawing/2012/chart" uri="{CE6537A1-D6FC-4f65-9D91-7224C49458BB}">
                  <c15:layout/>
                </c:ext>
              </c:extLst>
            </c:dLbl>
            <c:dLbl>
              <c:idx val="6"/>
              <c:layout>
                <c:manualLayout>
                  <c:x val="-4.7519212101089808E-2"/>
                  <c:y val="-2.267605186725286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B6CC-4F4E-89BC-0114117C36B8}"/>
                </c:ext>
                <c:ext xmlns:c15="http://schemas.microsoft.com/office/drawing/2012/chart" uri="{CE6537A1-D6FC-4f65-9D91-7224C49458BB}">
                  <c15:layout/>
                </c:ext>
              </c:extLst>
            </c:dLbl>
            <c:dLbl>
              <c:idx val="7"/>
              <c:layout>
                <c:manualLayout>
                  <c:x val="-5.031445987174215E-2"/>
                  <c:y val="-2.267605186725285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B6CC-4F4E-89BC-0114117C36B8}"/>
                </c:ext>
                <c:ext xmlns:c15="http://schemas.microsoft.com/office/drawing/2012/chart" uri="{CE6537A1-D6FC-4f65-9D91-7224C49458BB}">
                  <c15:layout/>
                </c:ext>
              </c:extLst>
            </c:dLbl>
            <c:dLbl>
              <c:idx val="8"/>
              <c:layout>
                <c:manualLayout>
                  <c:x val="-4.891683598641608E-2"/>
                  <c:y val="-2.267605186725284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B6CC-4F4E-89BC-0114117C36B8}"/>
                </c:ext>
                <c:ext xmlns:c15="http://schemas.microsoft.com/office/drawing/2012/chart" uri="{CE6537A1-D6FC-4f65-9D91-7224C49458BB}">
                  <c15:layout/>
                </c:ext>
              </c:extLst>
            </c:dLbl>
            <c:dLbl>
              <c:idx val="9"/>
              <c:layout>
                <c:manualLayout>
                  <c:x val="-3.2145349362502032E-2"/>
                  <c:y val="-2.267605186725284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B6CC-4F4E-89BC-0114117C36B8}"/>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'Kopā (4)'!$B$52:$L$52</c:f>
              <c:strCache>
                <c:ptCount val="11"/>
                <c:pt idx="0">
                  <c:v>2014-2015</c:v>
                </c:pt>
                <c:pt idx="1">
                  <c:v>I cet.</c:v>
                </c:pt>
                <c:pt idx="2">
                  <c:v>Aprīlis</c:v>
                </c:pt>
                <c:pt idx="3">
                  <c:v>Maijs</c:v>
                </c:pt>
                <c:pt idx="4">
                  <c:v>Jūnijs</c:v>
                </c:pt>
                <c:pt idx="5">
                  <c:v>Jūlijs</c:v>
                </c:pt>
                <c:pt idx="6">
                  <c:v>Augusts</c:v>
                </c:pt>
                <c:pt idx="7">
                  <c:v>Septembris</c:v>
                </c:pt>
                <c:pt idx="8">
                  <c:v>Oktobris</c:v>
                </c:pt>
                <c:pt idx="9">
                  <c:v>Novembris</c:v>
                </c:pt>
                <c:pt idx="10">
                  <c:v>Decembris</c:v>
                </c:pt>
              </c:strCache>
            </c:strRef>
          </c:cat>
          <c:val>
            <c:numRef>
              <c:f>'Kopā (4)'!$B$54:$L$54</c:f>
              <c:numCache>
                <c:formatCode>#,##0</c:formatCode>
                <c:ptCount val="11"/>
                <c:pt idx="0">
                  <c:v>1242750225</c:v>
                </c:pt>
                <c:pt idx="1">
                  <c:v>2155188793</c:v>
                </c:pt>
                <c:pt idx="2">
                  <c:v>2230708065</c:v>
                </c:pt>
                <c:pt idx="3">
                  <c:v>2961503567</c:v>
                </c:pt>
                <c:pt idx="4">
                  <c:v>3301851179</c:v>
                </c:pt>
                <c:pt idx="5">
                  <c:v>3351385016</c:v>
                </c:pt>
                <c:pt idx="6">
                  <c:v>3628926739</c:v>
                </c:pt>
                <c:pt idx="7">
                  <c:v>3879332431</c:v>
                </c:pt>
                <c:pt idx="8">
                  <c:v>4225971779</c:v>
                </c:pt>
                <c:pt idx="9">
                  <c:v>4225971779</c:v>
                </c:pt>
                <c:pt idx="10">
                  <c:v>4225971779</c:v>
                </c:pt>
              </c:numCache>
            </c:numRef>
          </c:val>
          <c:smooth val="0"/>
          <c:extLst xmlns:c16r2="http://schemas.microsoft.com/office/drawing/2015/06/chart">
            <c:ext xmlns:c16="http://schemas.microsoft.com/office/drawing/2014/chart" uri="{C3380CC4-5D6E-409C-BE32-E72D297353CC}">
              <c16:uniqueId val="{0000001D-B6CC-4F4E-89BC-0114117C36B8}"/>
            </c:ext>
          </c:extLst>
        </c:ser>
        <c:ser>
          <c:idx val="3"/>
          <c:order val="3"/>
          <c:tx>
            <c:strRef>
              <c:f>'Kopā (4)'!$A$56</c:f>
              <c:strCache>
                <c:ptCount val="1"/>
                <c:pt idx="0">
                  <c:v>Apstiprināto MK noteikumu finansējums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1"/>
              <c:layout>
                <c:manualLayout>
                  <c:x val="-2.7952477706523673E-3"/>
                  <c:y val="2.519561318583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B6CC-4F4E-89BC-0114117C36B8}"/>
                </c:ext>
                <c:ext xmlns:c15="http://schemas.microsoft.com/office/drawing/2012/chart" uri="{CE6537A1-D6FC-4f65-9D91-7224C49458BB}">
                  <c15:layout/>
                </c:ext>
              </c:extLst>
            </c:dLbl>
            <c:dLbl>
              <c:idx val="2"/>
              <c:layout>
                <c:manualLayout>
                  <c:x val="1.3976238853261708E-3"/>
                  <c:y val="2.015649054866919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B6CC-4F4E-89BC-0114117C36B8}"/>
                </c:ext>
                <c:ext xmlns:c15="http://schemas.microsoft.com/office/drawing/2012/chart" uri="{CE6537A1-D6FC-4f65-9D91-7224C49458BB}">
                  <c15:layout/>
                </c:ext>
              </c:extLst>
            </c:dLbl>
            <c:dLbl>
              <c:idx val="3"/>
              <c:layout>
                <c:manualLayout>
                  <c:x val="0"/>
                  <c:y val="1.007824527433459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0-B6CC-4F4E-89BC-0114117C36B8}"/>
                </c:ext>
                <c:ext xmlns:c15="http://schemas.microsoft.com/office/drawing/2012/chart" uri="{CE6537A1-D6FC-4f65-9D91-7224C49458BB}">
                  <c15:layout/>
                </c:ext>
              </c:extLst>
            </c:dLbl>
            <c:dLbl>
              <c:idx val="4"/>
              <c:layout>
                <c:manualLayout>
                  <c:x val="-2.7952477706523929E-3"/>
                  <c:y val="1.511736791150189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1-B6CC-4F4E-89BC-0114117C36B8}"/>
                </c:ext>
                <c:ext xmlns:c15="http://schemas.microsoft.com/office/drawing/2012/chart" uri="{CE6537A1-D6FC-4f65-9D91-7224C49458BB}">
                  <c15:layout/>
                </c:ext>
              </c:extLst>
            </c:dLbl>
            <c:dLbl>
              <c:idx val="6"/>
              <c:layout>
                <c:manualLayout>
                  <c:x val="-8.3857433119570238E-3"/>
                  <c:y val="2.2676051867252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2-B6CC-4F4E-89BC-0114117C36B8}"/>
                </c:ext>
                <c:ext xmlns:c15="http://schemas.microsoft.com/office/drawing/2012/chart" uri="{CE6537A1-D6FC-4f65-9D91-7224C49458BB}">
                  <c15:layout/>
                </c:ext>
              </c:extLst>
            </c:dLbl>
            <c:dLbl>
              <c:idx val="7"/>
              <c:layout>
                <c:manualLayout>
                  <c:x val="-2.7952477706523417E-3"/>
                  <c:y val="-2.771517450442014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3-B6CC-4F4E-89BC-0114117C36B8}"/>
                </c:ext>
                <c:ext xmlns:c15="http://schemas.microsoft.com/office/drawing/2012/chart" uri="{CE6537A1-D6FC-4f65-9D91-7224C49458BB}">
                  <c15:layout/>
                </c:ext>
              </c:extLst>
            </c:dLbl>
            <c:dLbl>
              <c:idx val="8"/>
              <c:layout>
                <c:manualLayout>
                  <c:x val="-6.9881194266309564E-3"/>
                  <c:y val="-3.52738584601710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4-B6CC-4F4E-89BC-0114117C36B8}"/>
                </c:ext>
                <c:ext xmlns:c15="http://schemas.microsoft.com/office/drawing/2012/chart" uri="{CE6537A1-D6FC-4f65-9D91-7224C49458BB}">
                  <c15:layout/>
                </c:ext>
              </c:extLst>
            </c:dLbl>
            <c:dLbl>
              <c:idx val="9"/>
              <c:layout>
                <c:manualLayout>
                  <c:x val="-2.1381227282446015E-3"/>
                  <c:y val="-1.927525057825753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5-B6CC-4F4E-89BC-0114117C36B8}"/>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'Kopā (4)'!$B$52:$L$52</c:f>
              <c:strCache>
                <c:ptCount val="11"/>
                <c:pt idx="0">
                  <c:v>2014-2015</c:v>
                </c:pt>
                <c:pt idx="1">
                  <c:v>I cet.</c:v>
                </c:pt>
                <c:pt idx="2">
                  <c:v>Aprīlis</c:v>
                </c:pt>
                <c:pt idx="3">
                  <c:v>Maijs</c:v>
                </c:pt>
                <c:pt idx="4">
                  <c:v>Jūnijs</c:v>
                </c:pt>
                <c:pt idx="5">
                  <c:v>Jūlijs</c:v>
                </c:pt>
                <c:pt idx="6">
                  <c:v>Augusts</c:v>
                </c:pt>
                <c:pt idx="7">
                  <c:v>Septembris</c:v>
                </c:pt>
                <c:pt idx="8">
                  <c:v>Oktobris</c:v>
                </c:pt>
                <c:pt idx="9">
                  <c:v>Novembris</c:v>
                </c:pt>
                <c:pt idx="10">
                  <c:v>Decembris</c:v>
                </c:pt>
              </c:strCache>
            </c:strRef>
          </c:cat>
          <c:val>
            <c:numRef>
              <c:f>'Kopā (4)'!$B$56:$L$56</c:f>
              <c:numCache>
                <c:formatCode>#,##0</c:formatCode>
                <c:ptCount val="11"/>
                <c:pt idx="0">
                  <c:v>1076187422</c:v>
                </c:pt>
                <c:pt idx="1">
                  <c:v>1966937422</c:v>
                </c:pt>
                <c:pt idx="2">
                  <c:v>2114180016</c:v>
                </c:pt>
                <c:pt idx="3">
                  <c:v>2643746354</c:v>
                </c:pt>
                <c:pt idx="4">
                  <c:v>2934472660</c:v>
                </c:pt>
                <c:pt idx="5">
                  <c:v>3020809120</c:v>
                </c:pt>
                <c:pt idx="6">
                  <c:v>3478651893</c:v>
                </c:pt>
                <c:pt idx="7">
                  <c:v>3512481923</c:v>
                </c:pt>
                <c:pt idx="8">
                  <c:v>3546981923</c:v>
                </c:pt>
                <c:pt idx="9">
                  <c:v>3566332980</c:v>
                </c:pt>
              </c:numCache>
            </c:numRef>
          </c:val>
          <c:smooth val="0"/>
          <c:extLst xmlns:c16r2="http://schemas.microsoft.com/office/drawing/2015/06/chart">
            <c:ext xmlns:c16="http://schemas.microsoft.com/office/drawing/2014/chart" uri="{C3380CC4-5D6E-409C-BE32-E72D297353CC}">
              <c16:uniqueId val="{00000026-B6CC-4F4E-89BC-0114117C36B8}"/>
            </c:ext>
          </c:extLst>
        </c:ser>
        <c:dLbls>
          <c:showLegendKey val="0"/>
          <c:showVal val="0"/>
          <c:showCatName val="0"/>
          <c:showSerName val="0"/>
          <c:showPercent val="0"/>
          <c:showBubbleSize val="0"/>
        </c:dLbls>
        <c:marker val="1"/>
        <c:smooth val="0"/>
        <c:axId val="250752256"/>
        <c:axId val="250697200"/>
      </c:lineChart>
      <c:catAx>
        <c:axId val="249637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50696816"/>
        <c:crosses val="autoZero"/>
        <c:auto val="1"/>
        <c:lblAlgn val="ctr"/>
        <c:lblOffset val="100"/>
        <c:noMultiLvlLbl val="0"/>
      </c:catAx>
      <c:valAx>
        <c:axId val="250696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49637464"/>
        <c:crosses val="autoZero"/>
        <c:crossBetween val="between"/>
      </c:valAx>
      <c:valAx>
        <c:axId val="250697200"/>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50752256"/>
        <c:crosses val="max"/>
        <c:crossBetween val="between"/>
        <c:dispUnits>
          <c:builtInUnit val="millions"/>
        </c:dispUnits>
      </c:valAx>
      <c:catAx>
        <c:axId val="250752256"/>
        <c:scaling>
          <c:orientation val="minMax"/>
        </c:scaling>
        <c:delete val="1"/>
        <c:axPos val="b"/>
        <c:numFmt formatCode="General" sourceLinked="1"/>
        <c:majorTickMark val="out"/>
        <c:minorTickMark val="none"/>
        <c:tickLblPos val="nextTo"/>
        <c:crossAx val="250697200"/>
        <c:crosses val="autoZero"/>
        <c:auto val="1"/>
        <c:lblAlgn val="ctr"/>
        <c:lblOffset val="100"/>
        <c:noMultiLvlLbl val="0"/>
      </c:catAx>
      <c:spPr>
        <a:noFill/>
        <a:ln>
          <a:noFill/>
        </a:ln>
        <a:effectLst/>
      </c:spPr>
    </c:plotArea>
    <c:legend>
      <c:legendPos val="b"/>
      <c:layout>
        <c:manualLayout>
          <c:xMode val="edge"/>
          <c:yMode val="edge"/>
          <c:x val="1.9347367632928613E-2"/>
          <c:y val="0.82388158014558122"/>
          <c:w val="0.96664927977505188"/>
          <c:h val="0.1716171905104660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0.69149</cdr:x>
      <cdr:y>0.28076</cdr:y>
    </cdr:from>
    <cdr:to>
      <cdr:x>0.9913</cdr:x>
      <cdr:y>0.33794</cdr:y>
    </cdr:to>
    <cdr:sp macro="" textlink="">
      <cdr:nvSpPr>
        <cdr:cNvPr id="2" name="TextBox 1"/>
        <cdr:cNvSpPr txBox="1"/>
      </cdr:nvSpPr>
      <cdr:spPr>
        <a:xfrm xmlns:a="http://schemas.openxmlformats.org/drawingml/2006/main">
          <a:off x="3787228" y="1353187"/>
          <a:ext cx="1642022" cy="2755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200">
              <a:latin typeface="Times New Roman" panose="02020603050405020304" pitchFamily="18" charset="0"/>
              <a:cs typeface="Times New Roman" panose="02020603050405020304" pitchFamily="18" charset="0"/>
            </a:rPr>
            <a:t>ES</a:t>
          </a:r>
          <a:r>
            <a:rPr lang="lv-LV" sz="1200" baseline="0">
              <a:latin typeface="Times New Roman" panose="02020603050405020304" pitchFamily="18" charset="0"/>
              <a:cs typeface="Times New Roman" panose="02020603050405020304" pitchFamily="18" charset="0"/>
            </a:rPr>
            <a:t> vidējais - 6,22%</a:t>
          </a:r>
          <a:endParaRPr lang="lv-LV"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0.68819</cdr:x>
      <cdr:y>0.05043</cdr:y>
    </cdr:from>
    <cdr:to>
      <cdr:x>0.83519</cdr:x>
      <cdr:y>0.09742</cdr:y>
    </cdr:to>
    <cdr:sp macro="" textlink="">
      <cdr:nvSpPr>
        <cdr:cNvPr id="3" name="TextBox 2"/>
        <cdr:cNvSpPr txBox="1"/>
      </cdr:nvSpPr>
      <cdr:spPr>
        <a:xfrm xmlns:a="http://schemas.openxmlformats.org/drawingml/2006/main">
          <a:off x="4234551" y="329032"/>
          <a:ext cx="904513" cy="3065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100" b="1">
              <a:latin typeface="Times New Roman" panose="02020603050405020304" pitchFamily="18" charset="0"/>
              <a:cs typeface="Times New Roman" panose="02020603050405020304" pitchFamily="18" charset="0"/>
            </a:rPr>
            <a:t>1. vieta</a:t>
          </a:r>
        </a:p>
      </cdr:txBody>
    </cdr:sp>
  </cdr:relSizeAnchor>
  <cdr:relSizeAnchor xmlns:cdr="http://schemas.openxmlformats.org/drawingml/2006/chartDrawing">
    <cdr:from>
      <cdr:x>0.62557</cdr:x>
      <cdr:y>0.10466</cdr:y>
    </cdr:from>
    <cdr:to>
      <cdr:x>0.77257</cdr:x>
      <cdr:y>0.15165</cdr:y>
    </cdr:to>
    <cdr:sp macro="" textlink="">
      <cdr:nvSpPr>
        <cdr:cNvPr id="4" name="TextBox 1"/>
        <cdr:cNvSpPr txBox="1"/>
      </cdr:nvSpPr>
      <cdr:spPr>
        <a:xfrm xmlns:a="http://schemas.openxmlformats.org/drawingml/2006/main">
          <a:off x="3426183" y="504448"/>
          <a:ext cx="805101" cy="2264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b="1">
              <a:latin typeface="Times New Roman" panose="02020603050405020304" pitchFamily="18" charset="0"/>
              <a:cs typeface="Times New Roman" panose="02020603050405020304" pitchFamily="18" charset="0"/>
            </a:rPr>
            <a:t>2. vieta</a:t>
          </a:r>
        </a:p>
      </cdr:txBody>
    </cdr:sp>
  </cdr:relSizeAnchor>
  <cdr:relSizeAnchor xmlns:cdr="http://schemas.openxmlformats.org/drawingml/2006/chartDrawing">
    <cdr:from>
      <cdr:x>0.61455</cdr:x>
      <cdr:y>0.16955</cdr:y>
    </cdr:from>
    <cdr:to>
      <cdr:x>0.76156</cdr:x>
      <cdr:y>0.21653</cdr:y>
    </cdr:to>
    <cdr:sp macro="" textlink="">
      <cdr:nvSpPr>
        <cdr:cNvPr id="5" name="TextBox 1"/>
        <cdr:cNvSpPr txBox="1"/>
      </cdr:nvSpPr>
      <cdr:spPr>
        <a:xfrm xmlns:a="http://schemas.openxmlformats.org/drawingml/2006/main">
          <a:off x="3365823" y="817159"/>
          <a:ext cx="805155" cy="22642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b="1">
              <a:latin typeface="Times New Roman" panose="02020603050405020304" pitchFamily="18" charset="0"/>
              <a:cs typeface="Times New Roman" panose="02020603050405020304" pitchFamily="18" charset="0"/>
            </a:rPr>
            <a:t>3. vieta</a:t>
          </a:r>
        </a:p>
      </cdr:txBody>
    </cdr:sp>
  </cdr:relSizeAnchor>
  <cdr:relSizeAnchor xmlns:cdr="http://schemas.openxmlformats.org/drawingml/2006/chartDrawing">
    <cdr:from>
      <cdr:x>0</cdr:x>
      <cdr:y>0.27226</cdr:y>
    </cdr:from>
    <cdr:to>
      <cdr:x>1</cdr:x>
      <cdr:y>0.27539</cdr:y>
    </cdr:to>
    <cdr:cxnSp macro="">
      <cdr:nvCxnSpPr>
        <cdr:cNvPr id="8" name="Straight Connector 7"/>
        <cdr:cNvCxnSpPr>
          <a:cxnSpLocks xmlns:a="http://schemas.openxmlformats.org/drawingml/2006/main" noChangeShapeType="1"/>
        </cdr:cNvCxnSpPr>
      </cdr:nvCxnSpPr>
      <cdr:spPr bwMode="auto">
        <a:xfrm xmlns:a="http://schemas.openxmlformats.org/drawingml/2006/main">
          <a:off x="0" y="1592953"/>
          <a:ext cx="5939790" cy="18313"/>
        </a:xfrm>
        <a:prstGeom xmlns:a="http://schemas.openxmlformats.org/drawingml/2006/main" prst="line">
          <a:avLst/>
        </a:prstGeom>
        <a:noFill xmlns:a="http://schemas.openxmlformats.org/drawingml/2006/main"/>
        <a:ln xmlns:a="http://schemas.openxmlformats.org/drawingml/2006/main" w="9525" algn="ctr">
          <a:solidFill>
            <a:srgbClr xmlns:mc="http://schemas.openxmlformats.org/markup-compatibility/2006" xmlns:a14="http://schemas.microsoft.com/office/drawing/2010/main" val="000000" mc:Ignorable="a14" a14:legacySpreadsheetColorIndex="64"/>
          </a:solidFill>
          <a:round/>
          <a:headEnd/>
          <a:tailEnd/>
        </a:ln>
        <a:effectLst xmlns:a="http://schemas.openxmlformats.org/drawingml/2006/main"/>
        <a:extLst xmlns:a="http://schemas.openxmlformats.org/drawingml/2006/main">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cdr:spPr>
    </cdr:cxnSp>
  </cdr:relSizeAnchor>
  <cdr:relSizeAnchor xmlns:cdr="http://schemas.openxmlformats.org/drawingml/2006/chartDrawing">
    <cdr:from>
      <cdr:x>0.05518</cdr:x>
      <cdr:y>0.17875</cdr:y>
    </cdr:from>
    <cdr:to>
      <cdr:x>0.73529</cdr:x>
      <cdr:y>0.21314</cdr:y>
    </cdr:to>
    <cdr:sp macro="" textlink="">
      <cdr:nvSpPr>
        <cdr:cNvPr id="9" name="Rounded Rectangle 8"/>
        <cdr:cNvSpPr/>
      </cdr:nvSpPr>
      <cdr:spPr bwMode="auto">
        <a:xfrm xmlns:a="http://schemas.openxmlformats.org/drawingml/2006/main">
          <a:off x="339543" y="1166252"/>
          <a:ext cx="4184832" cy="224398"/>
        </a:xfrm>
        <a:prstGeom xmlns:a="http://schemas.openxmlformats.org/drawingml/2006/main" prst="roundRect">
          <a:avLst/>
        </a:prstGeom>
        <a:noFill xmlns:a="http://schemas.openxmlformats.org/drawingml/2006/main"/>
        <a:ln xmlns:a="http://schemas.openxmlformats.org/drawingml/2006/main" w="22225" cap="flat" cmpd="sng" algn="ctr">
          <a:solidFill>
            <a:srgbClr val="00B050"/>
          </a:solidFill>
          <a:prstDash val="solid"/>
          <a:round/>
          <a:headEnd type="none" w="med" len="med"/>
          <a:tailEnd type="none" w="med" len="med"/>
        </a:ln>
        <a:effectLst xmlns:a="http://schemas.openxmlformats.org/drawingml/2006/main"/>
        <a:extLst xmlns:a="http://schemas.openxmlformats.org/drawingml/2006/main"/>
      </cdr:spPr>
      <cdr:txBody>
        <a:bodyPr xmlns:a="http://schemas.openxmlformats.org/drawingml/2006/main" rot="0" spcFirstLastPara="0" vert="horz" wrap="square" lIns="18288" tIns="0" rIns="0" bIns="0" numCol="1" spcCol="0" rtlCol="0" fromWordArt="0" anchor="t" anchorCtr="0" forceAA="0" upright="1" compatLnSpc="1">
          <a:prstTxWarp prst="textNoShape">
            <a:avLst/>
          </a:prstTxWarp>
          <a:noAutofit/>
        </a:bodyPr>
        <a:lstStyle xmlns:a="http://schemas.openxmlformats.org/drawingml/2006/main"/>
        <a:p xmlns:a="http://schemas.openxmlformats.org/drawingml/2006/main">
          <a:endParaRPr lang="lv-LV"/>
        </a:p>
      </cdr:txBody>
    </cdr:sp>
  </cdr:relSizeAnchor>
</c:userShapes>
</file>

<file path=word/drawings/drawing2.xml><?xml version="1.0" encoding="utf-8"?>
<c:userShapes xmlns:c="http://schemas.openxmlformats.org/drawingml/2006/chart">
  <cdr:relSizeAnchor xmlns:cdr="http://schemas.openxmlformats.org/drawingml/2006/chartDrawing">
    <cdr:from>
      <cdr:x>0.00117</cdr:x>
      <cdr:y>0.55051</cdr:y>
    </cdr:from>
    <cdr:to>
      <cdr:x>1</cdr:x>
      <cdr:y>0.55211</cdr:y>
    </cdr:to>
    <cdr:cxnSp macro="">
      <cdr:nvCxnSpPr>
        <cdr:cNvPr id="5" name="Straight Connector 4"/>
        <cdr:cNvCxnSpPr/>
      </cdr:nvCxnSpPr>
      <cdr:spPr>
        <a:xfrm xmlns:a="http://schemas.openxmlformats.org/drawingml/2006/main" flipV="1">
          <a:off x="6950" y="2092552"/>
          <a:ext cx="5932840" cy="6082"/>
        </a:xfrm>
        <a:prstGeom xmlns:a="http://schemas.openxmlformats.org/drawingml/2006/main" prst="line">
          <a:avLst/>
        </a:prstGeom>
        <a:ln xmlns:a="http://schemas.openxmlformats.org/drawingml/2006/main">
          <a:solidFill>
            <a:schemeClr val="tx1">
              <a:lumMod val="95000"/>
              <a:lumOff val="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0.13312</cdr:x>
      <cdr:y>0.86947</cdr:y>
    </cdr:from>
    <cdr:to>
      <cdr:x>0.48323</cdr:x>
      <cdr:y>0.94316</cdr:y>
    </cdr:to>
    <cdr:sp macro="" textlink="">
      <cdr:nvSpPr>
        <cdr:cNvPr id="2" name="TextBox 1"/>
        <cdr:cNvSpPr txBox="1"/>
      </cdr:nvSpPr>
      <cdr:spPr>
        <a:xfrm xmlns:a="http://schemas.openxmlformats.org/drawingml/2006/main">
          <a:off x="1209676" y="3933826"/>
          <a:ext cx="3181350" cy="333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BF3FB-0E19-42DC-A80C-2374B81C4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6</Pages>
  <Words>6397</Words>
  <Characters>3647</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STRUKTŪRFONDU UN KOHĒZIJAS FONDA INVESTĪCIJU IEVIEŠANAS STATUSU</dc:title>
  <dc:subject>Informatīvais ziņojums</dc:subject>
  <dc:creator>Inta Dimzule</dc:creator>
  <cp:keywords/>
  <dc:description>67083873, inta.dimzule@fm.gov.lv</dc:description>
  <cp:lastModifiedBy>Inta Dimzule</cp:lastModifiedBy>
  <cp:revision>57</cp:revision>
  <cp:lastPrinted>2016-10-19T11:17:00Z</cp:lastPrinted>
  <dcterms:created xsi:type="dcterms:W3CDTF">2016-11-22T09:23:00Z</dcterms:created>
  <dcterms:modified xsi:type="dcterms:W3CDTF">2016-11-24T13:31:00Z</dcterms:modified>
</cp:coreProperties>
</file>