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50" w:rsidRPr="00D5747A" w:rsidRDefault="00FC3DAC" w:rsidP="00D5747A">
      <w:pPr>
        <w:ind w:firstLine="709"/>
        <w:jc w:val="right"/>
        <w:rPr>
          <w:i/>
          <w:sz w:val="28"/>
          <w:szCs w:val="28"/>
        </w:rPr>
      </w:pPr>
      <w:r w:rsidRPr="00D5747A">
        <w:rPr>
          <w:i/>
          <w:sz w:val="28"/>
          <w:szCs w:val="28"/>
        </w:rPr>
        <w:t>Projekts</w:t>
      </w:r>
    </w:p>
    <w:p w:rsidR="00BB4E50" w:rsidRPr="00D5747A" w:rsidRDefault="00BB4E50" w:rsidP="00D5747A">
      <w:pPr>
        <w:ind w:firstLine="709"/>
        <w:jc w:val="right"/>
        <w:rPr>
          <w:i/>
          <w:sz w:val="28"/>
          <w:szCs w:val="28"/>
        </w:rPr>
      </w:pPr>
    </w:p>
    <w:p w:rsidR="00BB4E50" w:rsidRPr="00D5747A" w:rsidRDefault="00BB4E50" w:rsidP="00D5747A">
      <w:pPr>
        <w:ind w:firstLine="709"/>
        <w:jc w:val="center"/>
        <w:rPr>
          <w:szCs w:val="28"/>
        </w:rPr>
      </w:pPr>
      <w:proofErr w:type="gramStart"/>
      <w:r w:rsidRPr="00D5747A">
        <w:rPr>
          <w:szCs w:val="28"/>
        </w:rPr>
        <w:t>LATVIJAS REPUBLIKAS MINISTRU KABINETS</w:t>
      </w:r>
      <w:proofErr w:type="gramEnd"/>
    </w:p>
    <w:p w:rsidR="00BB4E50" w:rsidRPr="00D5747A" w:rsidRDefault="00BB4E50" w:rsidP="00D5747A">
      <w:pPr>
        <w:ind w:firstLine="709"/>
        <w:jc w:val="center"/>
        <w:rPr>
          <w:szCs w:val="28"/>
        </w:rPr>
      </w:pPr>
    </w:p>
    <w:p w:rsidR="00BB4E50" w:rsidRPr="00D5747A" w:rsidRDefault="00BB4E50" w:rsidP="00D5747A">
      <w:pPr>
        <w:ind w:firstLine="709"/>
        <w:jc w:val="center"/>
        <w:rPr>
          <w:szCs w:val="28"/>
        </w:rPr>
      </w:pPr>
    </w:p>
    <w:tbl>
      <w:tblPr>
        <w:tblW w:w="0" w:type="auto"/>
        <w:tblLook w:val="0000" w:firstRow="0" w:lastRow="0" w:firstColumn="0" w:lastColumn="0" w:noHBand="0" w:noVBand="0"/>
      </w:tblPr>
      <w:tblGrid>
        <w:gridCol w:w="4261"/>
        <w:gridCol w:w="4919"/>
      </w:tblGrid>
      <w:tr w:rsidR="00BB4E50" w:rsidRPr="00D5747A" w:rsidTr="0024047A">
        <w:tc>
          <w:tcPr>
            <w:tcW w:w="4261" w:type="dxa"/>
          </w:tcPr>
          <w:p w:rsidR="00BB4E50" w:rsidRPr="00D5747A" w:rsidRDefault="00941FD2" w:rsidP="00D5747A">
            <w:pPr>
              <w:ind w:firstLine="709"/>
              <w:rPr>
                <w:szCs w:val="28"/>
              </w:rPr>
            </w:pPr>
            <w:r w:rsidRPr="00D5747A">
              <w:rPr>
                <w:szCs w:val="28"/>
              </w:rPr>
              <w:t>201</w:t>
            </w:r>
            <w:r w:rsidR="009549E5" w:rsidRPr="00D5747A">
              <w:rPr>
                <w:szCs w:val="28"/>
              </w:rPr>
              <w:t>6</w:t>
            </w:r>
            <w:r w:rsidR="00BB4E50" w:rsidRPr="00D5747A">
              <w:rPr>
                <w:szCs w:val="28"/>
              </w:rPr>
              <w:t>. gada _________</w:t>
            </w:r>
          </w:p>
        </w:tc>
        <w:tc>
          <w:tcPr>
            <w:tcW w:w="4919" w:type="dxa"/>
          </w:tcPr>
          <w:p w:rsidR="00BB4E50" w:rsidRPr="00D5747A" w:rsidRDefault="00BB4E50" w:rsidP="00D5747A">
            <w:pPr>
              <w:ind w:firstLine="709"/>
              <w:jc w:val="right"/>
              <w:rPr>
                <w:szCs w:val="28"/>
              </w:rPr>
            </w:pPr>
            <w:smartTag w:uri="schemas-tilde-lv/tildestengine" w:element="veidnes">
              <w:smartTagPr>
                <w:attr w:name="baseform" w:val="rīkojum|s"/>
                <w:attr w:name="id" w:val="-1"/>
                <w:attr w:name="text" w:val="Rīkojums"/>
              </w:smartTagPr>
              <w:r w:rsidRPr="00D5747A">
                <w:rPr>
                  <w:szCs w:val="28"/>
                </w:rPr>
                <w:t>Rīkojums</w:t>
              </w:r>
            </w:smartTag>
            <w:r w:rsidRPr="00D5747A">
              <w:rPr>
                <w:szCs w:val="28"/>
              </w:rPr>
              <w:t xml:space="preserve"> Nr. ___</w:t>
            </w:r>
          </w:p>
        </w:tc>
      </w:tr>
      <w:tr w:rsidR="00BB4E50" w:rsidRPr="00D5747A" w:rsidTr="0024047A">
        <w:tc>
          <w:tcPr>
            <w:tcW w:w="4261" w:type="dxa"/>
          </w:tcPr>
          <w:p w:rsidR="00BB4E50" w:rsidRPr="00D5747A" w:rsidRDefault="00BB4E50" w:rsidP="00D5747A">
            <w:pPr>
              <w:ind w:firstLine="709"/>
              <w:rPr>
                <w:szCs w:val="28"/>
              </w:rPr>
            </w:pPr>
            <w:r w:rsidRPr="00D5747A">
              <w:rPr>
                <w:szCs w:val="28"/>
              </w:rPr>
              <w:t>Rīgā</w:t>
            </w:r>
          </w:p>
        </w:tc>
        <w:tc>
          <w:tcPr>
            <w:tcW w:w="4919" w:type="dxa"/>
          </w:tcPr>
          <w:p w:rsidR="00BB4E50" w:rsidRPr="00D5747A" w:rsidRDefault="00BB4E50" w:rsidP="00D5747A">
            <w:pPr>
              <w:ind w:firstLine="709"/>
              <w:jc w:val="right"/>
              <w:rPr>
                <w:szCs w:val="28"/>
              </w:rPr>
            </w:pPr>
            <w:r w:rsidRPr="00D5747A">
              <w:rPr>
                <w:szCs w:val="28"/>
              </w:rPr>
              <w:t>(prot. Nr. ____</w:t>
            </w:r>
            <w:proofErr w:type="gramStart"/>
            <w:r w:rsidRPr="00D5747A">
              <w:rPr>
                <w:szCs w:val="28"/>
              </w:rPr>
              <w:t xml:space="preserve">  </w:t>
            </w:r>
            <w:proofErr w:type="gramEnd"/>
            <w:r w:rsidRPr="00D5747A">
              <w:rPr>
                <w:szCs w:val="28"/>
              </w:rPr>
              <w:t>______ §)</w:t>
            </w:r>
          </w:p>
        </w:tc>
      </w:tr>
    </w:tbl>
    <w:p w:rsidR="00BB4E50" w:rsidRPr="00D5747A" w:rsidRDefault="00BB4E50" w:rsidP="00D5747A">
      <w:pPr>
        <w:pStyle w:val="Kjene"/>
        <w:ind w:firstLine="709"/>
        <w:jc w:val="center"/>
        <w:rPr>
          <w:b/>
          <w:bCs/>
          <w:szCs w:val="28"/>
          <w:lang w:val="lv-LV"/>
        </w:rPr>
      </w:pPr>
      <w:bookmarkStart w:id="0" w:name="OLE_LINK1"/>
      <w:bookmarkStart w:id="1" w:name="OLE_LINK2"/>
    </w:p>
    <w:p w:rsidR="00BB4E50" w:rsidRPr="00D5747A" w:rsidRDefault="00BB4E50" w:rsidP="00D5747A">
      <w:pPr>
        <w:ind w:firstLine="709"/>
        <w:jc w:val="center"/>
        <w:rPr>
          <w:b/>
          <w:color w:val="000000"/>
          <w:szCs w:val="28"/>
        </w:rPr>
      </w:pPr>
      <w:r w:rsidRPr="00D5747A">
        <w:rPr>
          <w:b/>
          <w:bCs/>
          <w:szCs w:val="28"/>
        </w:rPr>
        <w:t xml:space="preserve">Par </w:t>
      </w:r>
      <w:bookmarkEnd w:id="0"/>
      <w:bookmarkEnd w:id="1"/>
      <w:r w:rsidR="004E66BD" w:rsidRPr="00D5747A">
        <w:rPr>
          <w:b/>
          <w:szCs w:val="28"/>
        </w:rPr>
        <w:t>konceptuālo ziņojumu</w:t>
      </w:r>
      <w:r w:rsidRPr="00D5747A">
        <w:rPr>
          <w:b/>
          <w:szCs w:val="28"/>
        </w:rPr>
        <w:t xml:space="preserve"> </w:t>
      </w:r>
      <w:r w:rsidR="00A61E8F" w:rsidRPr="00D5747A">
        <w:rPr>
          <w:b/>
          <w:szCs w:val="28"/>
        </w:rPr>
        <w:t>„</w:t>
      </w:r>
      <w:r w:rsidR="00BD0409" w:rsidRPr="00D5747A">
        <w:rPr>
          <w:b/>
          <w:szCs w:val="28"/>
        </w:rPr>
        <w:t>Par</w:t>
      </w:r>
      <w:r w:rsidR="00BD0409" w:rsidRPr="00D5747A">
        <w:rPr>
          <w:b/>
          <w:color w:val="000000"/>
          <w:szCs w:val="28"/>
        </w:rPr>
        <w:t xml:space="preserve"> advokātu procesa ieviešana atsevišķās civillietu kategorijās</w:t>
      </w:r>
      <w:r w:rsidR="00A61E8F" w:rsidRPr="00D5747A">
        <w:rPr>
          <w:b/>
          <w:color w:val="000000"/>
          <w:szCs w:val="28"/>
        </w:rPr>
        <w:t>”</w:t>
      </w:r>
    </w:p>
    <w:p w:rsidR="00BB4E50" w:rsidRPr="00D5747A" w:rsidRDefault="00BB4E50" w:rsidP="004A4A68">
      <w:pPr>
        <w:pStyle w:val="Kjene"/>
        <w:ind w:firstLine="567"/>
        <w:jc w:val="center"/>
        <w:rPr>
          <w:b/>
          <w:bCs/>
          <w:szCs w:val="28"/>
          <w:lang w:val="lv-LV"/>
        </w:rPr>
      </w:pPr>
    </w:p>
    <w:p w:rsidR="0099740D" w:rsidRPr="00D5747A" w:rsidRDefault="004E66BD" w:rsidP="004A4A68">
      <w:pPr>
        <w:pStyle w:val="Sarakstarindkopa"/>
        <w:numPr>
          <w:ilvl w:val="0"/>
          <w:numId w:val="1"/>
        </w:numPr>
        <w:tabs>
          <w:tab w:val="left" w:pos="426"/>
          <w:tab w:val="left" w:pos="993"/>
        </w:tabs>
        <w:ind w:left="39" w:firstLine="567"/>
        <w:jc w:val="both"/>
        <w:rPr>
          <w:szCs w:val="28"/>
        </w:rPr>
      </w:pPr>
      <w:r w:rsidRPr="00D5747A">
        <w:rPr>
          <w:szCs w:val="28"/>
        </w:rPr>
        <w:t>Atbalstīt konceptuālā ziņojum</w:t>
      </w:r>
      <w:r w:rsidR="0090469B" w:rsidRPr="00D5747A">
        <w:rPr>
          <w:szCs w:val="28"/>
        </w:rPr>
        <w:t>ā</w:t>
      </w:r>
      <w:r w:rsidRPr="00D5747A">
        <w:rPr>
          <w:szCs w:val="28"/>
        </w:rPr>
        <w:t xml:space="preserve"> </w:t>
      </w:r>
      <w:r w:rsidR="00A61E8F" w:rsidRPr="00D5747A">
        <w:rPr>
          <w:szCs w:val="28"/>
        </w:rPr>
        <w:t>„</w:t>
      </w:r>
      <w:r w:rsidR="00BD0409" w:rsidRPr="00D5747A">
        <w:rPr>
          <w:szCs w:val="28"/>
        </w:rPr>
        <w:t>Par</w:t>
      </w:r>
      <w:r w:rsidR="00BD0409" w:rsidRPr="00D5747A">
        <w:rPr>
          <w:color w:val="000000"/>
          <w:szCs w:val="28"/>
        </w:rPr>
        <w:t xml:space="preserve"> advokātu procesa ieviešana atsevišķās civillietu kategorijās</w:t>
      </w:r>
      <w:r w:rsidR="00A61E8F" w:rsidRPr="00D5747A">
        <w:rPr>
          <w:color w:val="000000"/>
          <w:szCs w:val="28"/>
        </w:rPr>
        <w:t>”</w:t>
      </w:r>
      <w:r w:rsidRPr="00D5747A">
        <w:rPr>
          <w:szCs w:val="28"/>
        </w:rPr>
        <w:t xml:space="preserve"> </w:t>
      </w:r>
      <w:r w:rsidR="0090469B" w:rsidRPr="00D5747A">
        <w:rPr>
          <w:szCs w:val="28"/>
        </w:rPr>
        <w:t xml:space="preserve">iekļauto </w:t>
      </w:r>
      <w:r w:rsidR="00BD0409" w:rsidRPr="00D5747A">
        <w:rPr>
          <w:szCs w:val="28"/>
        </w:rPr>
        <w:t>II variantu</w:t>
      </w:r>
      <w:r w:rsidR="00DF77CC" w:rsidRPr="00D5747A">
        <w:rPr>
          <w:szCs w:val="28"/>
        </w:rPr>
        <w:t xml:space="preserve">, </w:t>
      </w:r>
      <w:proofErr w:type="gramStart"/>
      <w:r w:rsidR="00DF77CC" w:rsidRPr="00D5747A">
        <w:rPr>
          <w:szCs w:val="28"/>
        </w:rPr>
        <w:t xml:space="preserve">kas </w:t>
      </w:r>
      <w:r w:rsidR="00530B43" w:rsidRPr="00D5747A">
        <w:rPr>
          <w:szCs w:val="28"/>
        </w:rPr>
        <w:t>paredz, ka dokumentu sastādīšanu un/vai pārstāvības tiesas sēdē īstenošanu puse pēc izvēles</w:t>
      </w:r>
      <w:proofErr w:type="gramEnd"/>
      <w:r w:rsidR="00530B43" w:rsidRPr="00D5747A">
        <w:rPr>
          <w:szCs w:val="28"/>
        </w:rPr>
        <w:t xml:space="preserve"> nodrošina </w:t>
      </w:r>
      <w:r w:rsidR="00530B43" w:rsidRPr="00D5747A">
        <w:rPr>
          <w:i/>
          <w:szCs w:val="28"/>
        </w:rPr>
        <w:t>„pati”</w:t>
      </w:r>
      <w:r w:rsidR="00DF77CC" w:rsidRPr="00D5747A">
        <w:rPr>
          <w:szCs w:val="28"/>
        </w:rPr>
        <w:t xml:space="preserve"> v</w:t>
      </w:r>
      <w:r w:rsidR="00422DAC" w:rsidRPr="00D5747A">
        <w:rPr>
          <w:szCs w:val="28"/>
        </w:rPr>
        <w:t>a</w:t>
      </w:r>
      <w:r w:rsidR="00A36903" w:rsidRPr="00D5747A">
        <w:rPr>
          <w:szCs w:val="28"/>
        </w:rPr>
        <w:t>i</w:t>
      </w:r>
      <w:r w:rsidR="00422DAC" w:rsidRPr="00D5747A">
        <w:rPr>
          <w:szCs w:val="28"/>
        </w:rPr>
        <w:t xml:space="preserve"> ar advokāta starpniecību, kas</w:t>
      </w:r>
      <w:r w:rsidR="00530B43" w:rsidRPr="00D5747A">
        <w:rPr>
          <w:szCs w:val="28"/>
        </w:rPr>
        <w:t xml:space="preserve"> ieviešams no pirmā</w:t>
      </w:r>
      <w:r w:rsidR="00DF77CC" w:rsidRPr="00D5747A">
        <w:rPr>
          <w:szCs w:val="28"/>
        </w:rPr>
        <w:t>s instances tiesas</w:t>
      </w:r>
      <w:r w:rsidR="00530B43" w:rsidRPr="00D5747A">
        <w:rPr>
          <w:szCs w:val="28"/>
        </w:rPr>
        <w:t xml:space="preserve"> </w:t>
      </w:r>
      <w:r w:rsidR="00DF77CC" w:rsidRPr="00D5747A">
        <w:rPr>
          <w:szCs w:val="28"/>
        </w:rPr>
        <w:t>šādās civillietu kategorijās:</w:t>
      </w:r>
      <w:r w:rsidR="00F249E9" w:rsidRPr="00D5747A">
        <w:rPr>
          <w:szCs w:val="28"/>
        </w:rPr>
        <w:t xml:space="preserve"> </w:t>
      </w:r>
    </w:p>
    <w:p w:rsidR="0099740D" w:rsidRPr="00D5747A" w:rsidRDefault="0099740D" w:rsidP="004A4A68">
      <w:pPr>
        <w:pStyle w:val="Sarakstarindkopa"/>
        <w:ind w:left="1560"/>
        <w:jc w:val="both"/>
        <w:rPr>
          <w:szCs w:val="28"/>
        </w:rPr>
      </w:pPr>
      <w:r w:rsidRPr="00D5747A">
        <w:rPr>
          <w:szCs w:val="28"/>
        </w:rPr>
        <w:t>1.1.</w:t>
      </w:r>
      <w:r w:rsidR="00530B43" w:rsidRPr="00D5747A">
        <w:rPr>
          <w:szCs w:val="28"/>
        </w:rPr>
        <w:t>lietās par akcionāru un dalībnieku sapulces lēmumu atzīšanu par spēkā neesošu;</w:t>
      </w:r>
      <w:r w:rsidRPr="00D5747A">
        <w:rPr>
          <w:szCs w:val="28"/>
        </w:rPr>
        <w:t xml:space="preserve"> </w:t>
      </w:r>
    </w:p>
    <w:p w:rsidR="0099740D" w:rsidRPr="00D5747A" w:rsidRDefault="0099740D" w:rsidP="004A4A68">
      <w:pPr>
        <w:pStyle w:val="Sarakstarindkopa"/>
        <w:ind w:left="1560"/>
        <w:jc w:val="both"/>
        <w:rPr>
          <w:color w:val="000000"/>
        </w:rPr>
      </w:pPr>
      <w:r w:rsidRPr="00D5747A">
        <w:t>1.2.lietā</w:t>
      </w:r>
      <w:r w:rsidR="00401AD6" w:rsidRPr="00D5747A">
        <w:t xml:space="preserve">s, kurās ir strīdi saistīti ar </w:t>
      </w:r>
      <w:r w:rsidR="00530B43" w:rsidRPr="00D5747A">
        <w:t>nekustamo īpašumu</w:t>
      </w:r>
      <w:r w:rsidR="00530B43" w:rsidRPr="00D5747A">
        <w:rPr>
          <w:color w:val="000000"/>
        </w:rPr>
        <w:t>;</w:t>
      </w:r>
      <w:r w:rsidR="00F249E9" w:rsidRPr="00D5747A">
        <w:rPr>
          <w:color w:val="000000"/>
        </w:rPr>
        <w:t xml:space="preserve"> </w:t>
      </w:r>
    </w:p>
    <w:p w:rsidR="00530B43" w:rsidRPr="00D5747A" w:rsidRDefault="0099740D" w:rsidP="004A4A68">
      <w:pPr>
        <w:pStyle w:val="Sarakstarindkopa"/>
        <w:ind w:left="1560"/>
        <w:jc w:val="both"/>
      </w:pPr>
      <w:r w:rsidRPr="00D5747A">
        <w:rPr>
          <w:color w:val="000000"/>
        </w:rPr>
        <w:t>1.3.</w:t>
      </w:r>
      <w:r w:rsidR="00530B43" w:rsidRPr="00D5747A">
        <w:t xml:space="preserve">lietās, kurās ir strīds, kas izriet no saistību tiesībām, un kurās prasības summa pārsniedz 150 000 </w:t>
      </w:r>
      <w:proofErr w:type="spellStart"/>
      <w:r w:rsidR="00530B43" w:rsidRPr="00D5747A">
        <w:rPr>
          <w:i/>
        </w:rPr>
        <w:t>euro</w:t>
      </w:r>
      <w:proofErr w:type="spellEnd"/>
      <w:r w:rsidR="00530B43" w:rsidRPr="00D5747A">
        <w:rPr>
          <w:i/>
        </w:rPr>
        <w:t>.</w:t>
      </w:r>
    </w:p>
    <w:p w:rsidR="00343E6B" w:rsidRPr="00D5747A" w:rsidRDefault="00BB4E50" w:rsidP="004A4A68">
      <w:pPr>
        <w:autoSpaceDE w:val="0"/>
        <w:autoSpaceDN w:val="0"/>
        <w:adjustRightInd w:val="0"/>
        <w:ind w:firstLine="567"/>
        <w:jc w:val="both"/>
        <w:rPr>
          <w:rFonts w:eastAsia="Calibri"/>
          <w:color w:val="000000" w:themeColor="text1"/>
        </w:rPr>
      </w:pPr>
      <w:r w:rsidRPr="00D5747A">
        <w:t>2. </w:t>
      </w:r>
      <w:r w:rsidR="005D4612" w:rsidRPr="00D5747A">
        <w:t xml:space="preserve">Noteikt </w:t>
      </w:r>
      <w:r w:rsidR="00ED7809" w:rsidRPr="00D5747A">
        <w:t>Tieslietu</w:t>
      </w:r>
      <w:r w:rsidR="005D4612" w:rsidRPr="00D5747A">
        <w:t xml:space="preserve"> ministriju par atbildīgo institūciju </w:t>
      </w:r>
      <w:r w:rsidR="000840F6" w:rsidRPr="00D5747A">
        <w:t>atbalstīt</w:t>
      </w:r>
      <w:r w:rsidR="006E12C7" w:rsidRPr="00D5747A">
        <w:t>ā varianta</w:t>
      </w:r>
      <w:r w:rsidR="00F05B27" w:rsidRPr="00D5747A">
        <w:t xml:space="preserve"> ieviešanā.</w:t>
      </w:r>
    </w:p>
    <w:p w:rsidR="00092496" w:rsidRPr="00D5747A" w:rsidRDefault="00EF0364" w:rsidP="004A4A68">
      <w:pPr>
        <w:autoSpaceDE w:val="0"/>
        <w:autoSpaceDN w:val="0"/>
        <w:adjustRightInd w:val="0"/>
        <w:ind w:firstLine="567"/>
        <w:jc w:val="both"/>
        <w:rPr>
          <w:rFonts w:eastAsia="Calibri"/>
          <w:color w:val="000000" w:themeColor="text1"/>
        </w:rPr>
      </w:pPr>
      <w:r w:rsidRPr="00D5747A">
        <w:rPr>
          <w:rFonts w:eastAsia="Calibri"/>
          <w:color w:val="000000" w:themeColor="text1"/>
        </w:rPr>
        <w:t>3</w:t>
      </w:r>
      <w:r w:rsidR="00092496" w:rsidRPr="00D5747A">
        <w:rPr>
          <w:rFonts w:eastAsia="Calibri"/>
          <w:color w:val="000000" w:themeColor="text1"/>
        </w:rPr>
        <w:t xml:space="preserve">. </w:t>
      </w:r>
      <w:r w:rsidR="00F05B27" w:rsidRPr="00D5747A">
        <w:rPr>
          <w:rFonts w:eastAsia="Calibri"/>
          <w:color w:val="000000" w:themeColor="text1"/>
        </w:rPr>
        <w:t>Tieslietu</w:t>
      </w:r>
      <w:r w:rsidR="00ED7809" w:rsidRPr="00D5747A">
        <w:rPr>
          <w:rFonts w:eastAsia="Calibri"/>
          <w:color w:val="000000" w:themeColor="text1"/>
        </w:rPr>
        <w:t xml:space="preserve"> ministrijai</w:t>
      </w:r>
      <w:r w:rsidR="00316D05" w:rsidRPr="00D5747A">
        <w:rPr>
          <w:rFonts w:eastAsia="Calibri"/>
          <w:color w:val="000000" w:themeColor="text1"/>
        </w:rPr>
        <w:t xml:space="preserve"> </w:t>
      </w:r>
      <w:r w:rsidR="00316D05" w:rsidRPr="00D5747A">
        <w:t xml:space="preserve">sagatavot un tieslietu ministram </w:t>
      </w:r>
      <w:r w:rsidR="00FB088F" w:rsidRPr="00D5747A">
        <w:t xml:space="preserve">noteiktā kārtībā </w:t>
      </w:r>
      <w:r w:rsidR="00316D05" w:rsidRPr="00D5747A">
        <w:t xml:space="preserve">līdz 2017. gada </w:t>
      </w:r>
      <w:proofErr w:type="gramStart"/>
      <w:r w:rsidR="00401AD6" w:rsidRPr="00D5747A">
        <w:t>31.augustam</w:t>
      </w:r>
      <w:proofErr w:type="gramEnd"/>
      <w:r w:rsidR="00316D05" w:rsidRPr="00D5747A">
        <w:t xml:space="preserve"> iesniegt izskatīšanai Ministru kabinetā </w:t>
      </w:r>
      <w:r w:rsidR="001C66DA" w:rsidRPr="00D5747A">
        <w:rPr>
          <w:rFonts w:eastAsia="Calibri"/>
          <w:color w:val="000000" w:themeColor="text1"/>
        </w:rPr>
        <w:t>tiesību aktu projektus</w:t>
      </w:r>
      <w:r w:rsidR="00316D05" w:rsidRPr="00D5747A">
        <w:rPr>
          <w:rFonts w:eastAsia="Calibri"/>
          <w:color w:val="000000" w:themeColor="text1"/>
        </w:rPr>
        <w:t xml:space="preserve"> </w:t>
      </w:r>
      <w:r w:rsidR="00DF77CC" w:rsidRPr="00D5747A">
        <w:t>saistībā ar</w:t>
      </w:r>
      <w:r w:rsidR="007D2B56" w:rsidRPr="00D5747A">
        <w:rPr>
          <w:color w:val="000000"/>
        </w:rPr>
        <w:t xml:space="preserve"> advokātu procesa ieviešanu</w:t>
      </w:r>
      <w:r w:rsidR="00DF77CC" w:rsidRPr="00D5747A">
        <w:rPr>
          <w:color w:val="000000"/>
        </w:rPr>
        <w:t xml:space="preserve"> atsevišķās civillietu kategorijās</w:t>
      </w:r>
      <w:r w:rsidR="00316D05" w:rsidRPr="00D5747A">
        <w:rPr>
          <w:rFonts w:eastAsia="Calibri"/>
          <w:color w:val="000000" w:themeColor="text1"/>
        </w:rPr>
        <w:t>.</w:t>
      </w:r>
    </w:p>
    <w:p w:rsidR="0054001D" w:rsidRPr="00D5747A" w:rsidRDefault="0000310F" w:rsidP="004A4A68">
      <w:pPr>
        <w:ind w:firstLine="567"/>
        <w:jc w:val="both"/>
      </w:pPr>
      <w:r w:rsidRPr="00D5747A">
        <w:t xml:space="preserve">4. </w:t>
      </w:r>
      <w:r w:rsidR="0054001D" w:rsidRPr="00D5747A">
        <w:t>Jautājumu par papildu nepieciešamā finansējuma piešķiršanu Tieslietu ministrijai rīkojuma 1.punktā paredzētā risinājuma īstenošanai un nodrošināšanai</w:t>
      </w:r>
      <w:r w:rsidR="0000571F" w:rsidRPr="00D5747A">
        <w:t xml:space="preserve"> budžeta apakšprogrammā 03.01.00 “Tiesu administrēšana”</w:t>
      </w:r>
      <w:r w:rsidR="0054001D" w:rsidRPr="00D5747A">
        <w:t xml:space="preserve"> </w:t>
      </w:r>
      <w:proofErr w:type="gramStart"/>
      <w:r w:rsidR="0054001D" w:rsidRPr="00D5747A">
        <w:t>2019.gadam</w:t>
      </w:r>
      <w:proofErr w:type="gramEnd"/>
      <w:r w:rsidR="0054001D" w:rsidRPr="00D5747A">
        <w:t xml:space="preserve"> </w:t>
      </w:r>
      <w:r w:rsidR="0000571F" w:rsidRPr="00D5747A">
        <w:t xml:space="preserve">18 193 </w:t>
      </w:r>
      <w:r w:rsidR="0054001D" w:rsidRPr="00D5747A">
        <w:t>EUR apmērā</w:t>
      </w:r>
      <w:r w:rsidR="0000571F" w:rsidRPr="00D5747A">
        <w:t xml:space="preserve"> un budžeta apakšprogrammā 03.03.00 “Juridiskās palīdzības nodrošināšana” 2019.gadam 274 389 EUR </w:t>
      </w:r>
      <w:r w:rsidR="0054001D" w:rsidRPr="00D5747A">
        <w:t>un 2020.gadam un turpmākajiem gadiem 72 039 EUR apmērā izskatīt Ministru kabinetā likumprojekta "Par valsts budžetu 2019.gadam" un likumprojekta "Par vidēja termiņa budžeta ietvaru 2019., 2020. un 2021.gadam" sagatavošanas un izskatīšanas procesā kopā ar visu ministriju un citu centrālo valsts iestāžu priekšlikumiem jaunajām politikas iniciatīvām.</w:t>
      </w:r>
    </w:p>
    <w:p w:rsidR="00FB088F" w:rsidRPr="00D5747A" w:rsidRDefault="0000310F" w:rsidP="004A4A68">
      <w:pPr>
        <w:ind w:firstLine="567"/>
        <w:jc w:val="both"/>
        <w:rPr>
          <w:rFonts w:eastAsia="Calibri"/>
          <w:color w:val="000000" w:themeColor="text1"/>
        </w:rPr>
      </w:pPr>
      <w:r w:rsidRPr="00D5747A">
        <w:rPr>
          <w:rFonts w:eastAsia="Calibri"/>
          <w:color w:val="000000" w:themeColor="text1"/>
        </w:rPr>
        <w:t>5</w:t>
      </w:r>
      <w:r w:rsidR="0052656A" w:rsidRPr="00D5747A">
        <w:rPr>
          <w:rFonts w:eastAsia="Calibri"/>
          <w:color w:val="000000" w:themeColor="text1"/>
        </w:rPr>
        <w:t xml:space="preserve">.Tieslietu ministrijai sagatavot un </w:t>
      </w:r>
      <w:r w:rsidR="00FB088F" w:rsidRPr="00D5747A">
        <w:rPr>
          <w:rFonts w:eastAsia="Calibri"/>
          <w:color w:val="000000" w:themeColor="text1"/>
        </w:rPr>
        <w:t xml:space="preserve">tieslietu ministram noteiktā kārtībā iesniegt ziņojumu par ieviestā advokātu procesa darbības izvērtējumu par piecu gadu periodu no grozījumu spēkā stāšanās dienas. </w:t>
      </w:r>
    </w:p>
    <w:p w:rsidR="00953FC6" w:rsidRPr="00D5747A" w:rsidRDefault="00953FC6" w:rsidP="00D5747A">
      <w:pPr>
        <w:autoSpaceDE w:val="0"/>
        <w:autoSpaceDN w:val="0"/>
        <w:adjustRightInd w:val="0"/>
        <w:ind w:firstLine="709"/>
        <w:jc w:val="both"/>
        <w:rPr>
          <w:rFonts w:eastAsia="Calibri"/>
          <w:color w:val="000000" w:themeColor="text1"/>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626EC" w:rsidRPr="00D5747A" w:rsidTr="000626EC">
        <w:tc>
          <w:tcPr>
            <w:tcW w:w="4643" w:type="dxa"/>
          </w:tcPr>
          <w:p w:rsidR="000626EC" w:rsidRPr="00D5747A" w:rsidRDefault="000626EC" w:rsidP="00D5747A">
            <w:pPr>
              <w:ind w:firstLine="709"/>
              <w:jc w:val="both"/>
              <w:rPr>
                <w:szCs w:val="28"/>
              </w:rPr>
            </w:pPr>
            <w:r w:rsidRPr="00D5747A">
              <w:rPr>
                <w:szCs w:val="28"/>
              </w:rPr>
              <w:t>Ministru prezidents</w:t>
            </w:r>
            <w:r w:rsidRPr="00D5747A">
              <w:rPr>
                <w:szCs w:val="28"/>
              </w:rPr>
              <w:tab/>
            </w:r>
          </w:p>
          <w:p w:rsidR="000626EC" w:rsidRPr="00D5747A" w:rsidRDefault="000626EC" w:rsidP="00D5747A">
            <w:pPr>
              <w:ind w:firstLine="709"/>
              <w:jc w:val="both"/>
              <w:rPr>
                <w:color w:val="FF0000"/>
                <w:szCs w:val="28"/>
              </w:rPr>
            </w:pPr>
          </w:p>
        </w:tc>
        <w:tc>
          <w:tcPr>
            <w:tcW w:w="4644" w:type="dxa"/>
          </w:tcPr>
          <w:p w:rsidR="000626EC" w:rsidRPr="00D5747A" w:rsidRDefault="000626EC" w:rsidP="00D5747A">
            <w:pPr>
              <w:ind w:firstLine="709"/>
              <w:jc w:val="right"/>
              <w:rPr>
                <w:color w:val="FF0000"/>
                <w:szCs w:val="28"/>
              </w:rPr>
            </w:pPr>
            <w:r w:rsidRPr="00D5747A">
              <w:rPr>
                <w:szCs w:val="28"/>
              </w:rPr>
              <w:t>Māris Kučinskis</w:t>
            </w:r>
          </w:p>
        </w:tc>
      </w:tr>
      <w:tr w:rsidR="000626EC" w:rsidRPr="00D5747A" w:rsidTr="000626EC">
        <w:tc>
          <w:tcPr>
            <w:tcW w:w="4643" w:type="dxa"/>
          </w:tcPr>
          <w:p w:rsidR="000626EC" w:rsidRPr="00D5747A" w:rsidRDefault="000626EC" w:rsidP="00D5747A">
            <w:pPr>
              <w:ind w:firstLine="709"/>
              <w:jc w:val="both"/>
              <w:rPr>
                <w:szCs w:val="28"/>
              </w:rPr>
            </w:pPr>
            <w:r w:rsidRPr="00D5747A">
              <w:rPr>
                <w:szCs w:val="28"/>
              </w:rPr>
              <w:t xml:space="preserve">Tieslietu ministrs </w:t>
            </w:r>
            <w:r w:rsidRPr="00D5747A">
              <w:rPr>
                <w:szCs w:val="28"/>
              </w:rPr>
              <w:tab/>
            </w:r>
          </w:p>
          <w:p w:rsidR="000626EC" w:rsidRPr="00D5747A" w:rsidRDefault="000626EC" w:rsidP="00D5747A">
            <w:pPr>
              <w:ind w:firstLine="709"/>
              <w:jc w:val="both"/>
              <w:rPr>
                <w:color w:val="FF0000"/>
                <w:szCs w:val="28"/>
              </w:rPr>
            </w:pPr>
          </w:p>
        </w:tc>
        <w:tc>
          <w:tcPr>
            <w:tcW w:w="4644" w:type="dxa"/>
          </w:tcPr>
          <w:p w:rsidR="000626EC" w:rsidRPr="00D5747A" w:rsidRDefault="000626EC" w:rsidP="00D5747A">
            <w:pPr>
              <w:ind w:firstLine="709"/>
              <w:jc w:val="right"/>
              <w:rPr>
                <w:color w:val="FF0000"/>
                <w:szCs w:val="28"/>
              </w:rPr>
            </w:pPr>
            <w:r w:rsidRPr="00D5747A">
              <w:rPr>
                <w:szCs w:val="28"/>
              </w:rPr>
              <w:t>Dzintars Rasnačs</w:t>
            </w:r>
          </w:p>
        </w:tc>
      </w:tr>
      <w:tr w:rsidR="000626EC" w:rsidRPr="00D5747A" w:rsidTr="000626EC">
        <w:tc>
          <w:tcPr>
            <w:tcW w:w="4643" w:type="dxa"/>
          </w:tcPr>
          <w:p w:rsidR="000626EC" w:rsidRPr="00D5747A" w:rsidRDefault="000626EC" w:rsidP="00D5747A">
            <w:pPr>
              <w:ind w:firstLine="709"/>
              <w:rPr>
                <w:szCs w:val="28"/>
              </w:rPr>
            </w:pPr>
            <w:r w:rsidRPr="00D5747A">
              <w:rPr>
                <w:szCs w:val="28"/>
              </w:rPr>
              <w:t>Iesniedzējs:</w:t>
            </w:r>
          </w:p>
          <w:p w:rsidR="000626EC" w:rsidRPr="00D5747A" w:rsidRDefault="000626EC" w:rsidP="00D5747A">
            <w:pPr>
              <w:ind w:firstLine="709"/>
              <w:jc w:val="both"/>
              <w:rPr>
                <w:color w:val="FF0000"/>
                <w:szCs w:val="28"/>
              </w:rPr>
            </w:pPr>
            <w:r w:rsidRPr="00D5747A">
              <w:rPr>
                <w:szCs w:val="28"/>
              </w:rPr>
              <w:t>tieslietu ministrs</w:t>
            </w:r>
          </w:p>
        </w:tc>
        <w:tc>
          <w:tcPr>
            <w:tcW w:w="4644" w:type="dxa"/>
          </w:tcPr>
          <w:p w:rsidR="000626EC" w:rsidRPr="00D5747A" w:rsidRDefault="000626EC" w:rsidP="00D5747A">
            <w:pPr>
              <w:ind w:firstLine="709"/>
              <w:jc w:val="right"/>
              <w:rPr>
                <w:szCs w:val="28"/>
              </w:rPr>
            </w:pPr>
          </w:p>
          <w:p w:rsidR="000626EC" w:rsidRPr="00D5747A" w:rsidRDefault="000626EC" w:rsidP="00D5747A">
            <w:pPr>
              <w:ind w:firstLine="709"/>
              <w:jc w:val="right"/>
              <w:rPr>
                <w:color w:val="FF0000"/>
                <w:szCs w:val="28"/>
              </w:rPr>
            </w:pPr>
            <w:r w:rsidRPr="00D5747A">
              <w:rPr>
                <w:szCs w:val="28"/>
              </w:rPr>
              <w:t>Dzintars Rasnačs</w:t>
            </w:r>
          </w:p>
        </w:tc>
      </w:tr>
    </w:tbl>
    <w:p w:rsidR="001C66DA" w:rsidRPr="00D5747A" w:rsidRDefault="001C66DA" w:rsidP="00D5747A">
      <w:pPr>
        <w:ind w:firstLine="709"/>
        <w:jc w:val="both"/>
        <w:rPr>
          <w:color w:val="FF0000"/>
          <w:szCs w:val="28"/>
        </w:rPr>
      </w:pPr>
    </w:p>
    <w:p w:rsidR="00F05B27" w:rsidRPr="00D5747A" w:rsidRDefault="00F05B27" w:rsidP="00D5747A">
      <w:pPr>
        <w:ind w:firstLine="709"/>
        <w:jc w:val="both"/>
        <w:rPr>
          <w:szCs w:val="28"/>
        </w:rPr>
      </w:pPr>
    </w:p>
    <w:p w:rsidR="004E66BD" w:rsidRPr="00D5747A" w:rsidRDefault="00D5747A" w:rsidP="00D5747A">
      <w:pPr>
        <w:ind w:firstLine="709"/>
        <w:rPr>
          <w:sz w:val="20"/>
          <w:szCs w:val="20"/>
        </w:rPr>
      </w:pPr>
      <w:r>
        <w:rPr>
          <w:sz w:val="20"/>
          <w:szCs w:val="20"/>
        </w:rPr>
        <w:t>3</w:t>
      </w:r>
      <w:r w:rsidR="000626EC" w:rsidRPr="00D5747A">
        <w:rPr>
          <w:sz w:val="20"/>
          <w:szCs w:val="20"/>
        </w:rPr>
        <w:t xml:space="preserve">1.08.2016., </w:t>
      </w:r>
      <w:r w:rsidR="001D12A5" w:rsidRPr="00D5747A">
        <w:rPr>
          <w:sz w:val="20"/>
          <w:szCs w:val="20"/>
        </w:rPr>
        <w:t>1</w:t>
      </w:r>
      <w:r>
        <w:rPr>
          <w:sz w:val="20"/>
          <w:szCs w:val="20"/>
        </w:rPr>
        <w:t>2</w:t>
      </w:r>
      <w:r w:rsidR="001D12A5" w:rsidRPr="00D5747A">
        <w:rPr>
          <w:sz w:val="20"/>
          <w:szCs w:val="20"/>
        </w:rPr>
        <w:t>:</w:t>
      </w:r>
      <w:r>
        <w:rPr>
          <w:sz w:val="20"/>
          <w:szCs w:val="20"/>
        </w:rPr>
        <w:t>2</w:t>
      </w:r>
      <w:r w:rsidR="004A4A68">
        <w:rPr>
          <w:sz w:val="20"/>
          <w:szCs w:val="20"/>
        </w:rPr>
        <w:t>7</w:t>
      </w:r>
      <w:bookmarkStart w:id="2" w:name="_GoBack"/>
      <w:bookmarkEnd w:id="2"/>
    </w:p>
    <w:p w:rsidR="004E66BD" w:rsidRPr="00D5747A" w:rsidRDefault="003918BF" w:rsidP="00D5747A">
      <w:pPr>
        <w:ind w:firstLine="709"/>
        <w:rPr>
          <w:sz w:val="20"/>
          <w:szCs w:val="20"/>
        </w:rPr>
      </w:pPr>
      <w:r w:rsidRPr="00D5747A">
        <w:rPr>
          <w:sz w:val="20"/>
          <w:szCs w:val="20"/>
        </w:rPr>
        <w:t>269</w:t>
      </w:r>
    </w:p>
    <w:p w:rsidR="004E66BD" w:rsidRPr="00D5747A" w:rsidRDefault="000626EC" w:rsidP="00D5747A">
      <w:pPr>
        <w:ind w:firstLine="709"/>
        <w:rPr>
          <w:sz w:val="20"/>
          <w:szCs w:val="20"/>
        </w:rPr>
      </w:pPr>
      <w:bookmarkStart w:id="3" w:name="OLE_LINK3"/>
      <w:bookmarkStart w:id="4" w:name="OLE_LINK4"/>
      <w:r w:rsidRPr="00D5747A">
        <w:rPr>
          <w:sz w:val="20"/>
          <w:szCs w:val="20"/>
        </w:rPr>
        <w:t>E.Feldmane</w:t>
      </w:r>
    </w:p>
    <w:p w:rsidR="00E41984" w:rsidRPr="00D5747A" w:rsidRDefault="004E66BD" w:rsidP="00D5747A">
      <w:pPr>
        <w:ind w:firstLine="709"/>
        <w:jc w:val="both"/>
        <w:rPr>
          <w:sz w:val="22"/>
          <w:szCs w:val="22"/>
        </w:rPr>
      </w:pPr>
      <w:r w:rsidRPr="00D5747A">
        <w:rPr>
          <w:sz w:val="20"/>
          <w:szCs w:val="20"/>
        </w:rPr>
        <w:t>6703</w:t>
      </w:r>
      <w:r w:rsidR="00DF77CC" w:rsidRPr="00D5747A">
        <w:rPr>
          <w:sz w:val="20"/>
          <w:szCs w:val="20"/>
        </w:rPr>
        <w:t>6</w:t>
      </w:r>
      <w:bookmarkEnd w:id="3"/>
      <w:bookmarkEnd w:id="4"/>
      <w:r w:rsidR="000626EC" w:rsidRPr="00D5747A">
        <w:rPr>
          <w:sz w:val="20"/>
          <w:szCs w:val="20"/>
        </w:rPr>
        <w:t xml:space="preserve">945, </w:t>
      </w:r>
      <w:hyperlink r:id="rId9" w:history="1">
        <w:r w:rsidR="000626EC" w:rsidRPr="00D5747A">
          <w:rPr>
            <w:rStyle w:val="Hipersaite"/>
            <w:sz w:val="20"/>
            <w:szCs w:val="20"/>
          </w:rPr>
          <w:t>Elina.Feldmane@tm.gov.lv</w:t>
        </w:r>
      </w:hyperlink>
      <w:r w:rsidR="000626EC" w:rsidRPr="00D5747A">
        <w:rPr>
          <w:sz w:val="20"/>
          <w:szCs w:val="20"/>
        </w:rPr>
        <w:t xml:space="preserve"> </w:t>
      </w:r>
    </w:p>
    <w:p w:rsidR="0000310F" w:rsidRPr="00D5747A" w:rsidRDefault="0000310F" w:rsidP="00D5747A">
      <w:pPr>
        <w:ind w:firstLine="709"/>
        <w:jc w:val="both"/>
        <w:rPr>
          <w:sz w:val="22"/>
          <w:szCs w:val="22"/>
        </w:rPr>
      </w:pPr>
    </w:p>
    <w:p w:rsidR="0000310F" w:rsidRPr="00D5747A" w:rsidRDefault="0000310F" w:rsidP="00D5747A">
      <w:pPr>
        <w:ind w:firstLine="709"/>
        <w:jc w:val="both"/>
        <w:rPr>
          <w:sz w:val="22"/>
          <w:szCs w:val="22"/>
        </w:rPr>
      </w:pPr>
    </w:p>
    <w:sectPr w:rsidR="0000310F" w:rsidRPr="00D5747A" w:rsidSect="00DE069A">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72" w:rsidRDefault="00875A72">
      <w:r>
        <w:separator/>
      </w:r>
    </w:p>
  </w:endnote>
  <w:endnote w:type="continuationSeparator" w:id="0">
    <w:p w:rsidR="00875A72" w:rsidRDefault="0087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1" w:rsidRPr="00BB7947" w:rsidRDefault="003D5311">
    <w:pPr>
      <w:pStyle w:val="Kjene"/>
      <w:rPr>
        <w:lang w:val="lv-LV"/>
      </w:rPr>
    </w:pPr>
    <w:r>
      <w:rPr>
        <w:lang w:val="lv-LV"/>
      </w:rPr>
      <w:t>LMrik_171013; Koncepcija par izdienas pensiju piešķiršanu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1" w:rsidRPr="00DF77CC" w:rsidRDefault="004E66BD" w:rsidP="00DB6EA6">
    <w:pPr>
      <w:jc w:val="both"/>
      <w:rPr>
        <w:sz w:val="18"/>
        <w:szCs w:val="18"/>
      </w:rPr>
    </w:pPr>
    <w:r w:rsidRPr="00DF77CC">
      <w:rPr>
        <w:sz w:val="18"/>
        <w:szCs w:val="18"/>
      </w:rPr>
      <w:t>TMR</w:t>
    </w:r>
    <w:r w:rsidR="001A06B8">
      <w:rPr>
        <w:sz w:val="18"/>
        <w:szCs w:val="18"/>
      </w:rPr>
      <w:t>ik_</w:t>
    </w:r>
    <w:r w:rsidR="00D5747A">
      <w:rPr>
        <w:sz w:val="18"/>
        <w:szCs w:val="18"/>
      </w:rPr>
      <w:t>3</w:t>
    </w:r>
    <w:r w:rsidR="000626EC">
      <w:rPr>
        <w:sz w:val="18"/>
        <w:szCs w:val="18"/>
      </w:rPr>
      <w:t>108</w:t>
    </w:r>
    <w:r w:rsidR="009549E5">
      <w:rPr>
        <w:sz w:val="18"/>
        <w:szCs w:val="18"/>
      </w:rPr>
      <w:t>16</w:t>
    </w:r>
    <w:r w:rsidR="001A06B8">
      <w:rPr>
        <w:sz w:val="18"/>
        <w:szCs w:val="18"/>
      </w:rPr>
      <w:t>_</w:t>
    </w:r>
    <w:r w:rsidR="00DF77CC" w:rsidRPr="00DF77CC">
      <w:rPr>
        <w:sz w:val="18"/>
        <w:szCs w:val="18"/>
      </w:rPr>
      <w:t>AdvokProc</w:t>
    </w:r>
    <w:r w:rsidR="002810D5" w:rsidRPr="00DF77CC">
      <w:rPr>
        <w:sz w:val="18"/>
        <w:szCs w:val="18"/>
      </w:rPr>
      <w:t xml:space="preserve">; </w:t>
    </w:r>
    <w:r w:rsidRPr="00DF77CC">
      <w:rPr>
        <w:sz w:val="18"/>
        <w:szCs w:val="18"/>
      </w:rPr>
      <w:t>Ministru kabineta rīkojuma projekts „</w:t>
    </w:r>
    <w:r w:rsidRPr="00DF77CC">
      <w:rPr>
        <w:bCs/>
        <w:sz w:val="18"/>
        <w:szCs w:val="18"/>
      </w:rPr>
      <w:t xml:space="preserve">Par </w:t>
    </w:r>
    <w:r w:rsidRPr="00DF77CC">
      <w:rPr>
        <w:sz w:val="18"/>
        <w:szCs w:val="18"/>
      </w:rPr>
      <w:t xml:space="preserve">konceptuālo ziņojumu </w:t>
    </w:r>
    <w:r w:rsidR="00DF77CC" w:rsidRPr="00DF77CC">
      <w:rPr>
        <w:sz w:val="18"/>
        <w:szCs w:val="18"/>
      </w:rPr>
      <w:t>„Par</w:t>
    </w:r>
    <w:r w:rsidR="00DF77CC" w:rsidRPr="00DF77CC">
      <w:rPr>
        <w:color w:val="000000"/>
        <w:sz w:val="18"/>
        <w:szCs w:val="18"/>
      </w:rPr>
      <w:t xml:space="preserve"> advokātu procesa ieviešana atsevišķās civillietu kategorijās”</w:t>
    </w:r>
    <w:r w:rsidRPr="00DF77C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72" w:rsidRDefault="00875A72">
      <w:r>
        <w:separator/>
      </w:r>
    </w:p>
  </w:footnote>
  <w:footnote w:type="continuationSeparator" w:id="0">
    <w:p w:rsidR="00875A72" w:rsidRDefault="0087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1" w:rsidRDefault="003D5311">
    <w:pPr>
      <w:pStyle w:val="Galvene"/>
      <w:jc w:val="center"/>
    </w:pPr>
    <w:r>
      <w:fldChar w:fldCharType="begin"/>
    </w:r>
    <w:r>
      <w:instrText xml:space="preserve"> PAGE   \* MERGEFORMAT </w:instrText>
    </w:r>
    <w:r>
      <w:fldChar w:fldCharType="separate"/>
    </w:r>
    <w:r w:rsidR="00D5747A">
      <w:rPr>
        <w:noProof/>
      </w:rPr>
      <w:t>2</w:t>
    </w:r>
    <w:r>
      <w:rPr>
        <w:noProof/>
      </w:rPr>
      <w:fldChar w:fldCharType="end"/>
    </w:r>
  </w:p>
  <w:p w:rsidR="00330D41" w:rsidRDefault="004A4A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2AC8"/>
    <w:multiLevelType w:val="multilevel"/>
    <w:tmpl w:val="83A02B1C"/>
    <w:lvl w:ilvl="0">
      <w:start w:val="1"/>
      <w:numFmt w:val="decimal"/>
      <w:lvlText w:val="%1."/>
      <w:lvlJc w:val="left"/>
      <w:pPr>
        <w:ind w:left="1740" w:hanging="1020"/>
      </w:pPr>
      <w:rPr>
        <w:rFonts w:hint="default"/>
      </w:rPr>
    </w:lvl>
    <w:lvl w:ilvl="1">
      <w:start w:val="1"/>
      <w:numFmt w:val="decimal"/>
      <w:isLgl/>
      <w:lvlText w:val="%1.%2."/>
      <w:lvlJc w:val="left"/>
      <w:pPr>
        <w:ind w:left="2460" w:hanging="720"/>
      </w:pPr>
      <w:rPr>
        <w:rFonts w:hint="default"/>
        <w:i w:val="0"/>
        <w:sz w:val="28"/>
      </w:rPr>
    </w:lvl>
    <w:lvl w:ilvl="2">
      <w:start w:val="1"/>
      <w:numFmt w:val="decimal"/>
      <w:isLgl/>
      <w:lvlText w:val="%1.%2.%3."/>
      <w:lvlJc w:val="left"/>
      <w:pPr>
        <w:ind w:left="3480" w:hanging="720"/>
      </w:pPr>
      <w:rPr>
        <w:rFonts w:hint="default"/>
        <w:i w:val="0"/>
        <w:sz w:val="28"/>
      </w:rPr>
    </w:lvl>
    <w:lvl w:ilvl="3">
      <w:start w:val="1"/>
      <w:numFmt w:val="decimal"/>
      <w:isLgl/>
      <w:lvlText w:val="%1.%2.%3.%4."/>
      <w:lvlJc w:val="left"/>
      <w:pPr>
        <w:ind w:left="4860" w:hanging="1080"/>
      </w:pPr>
      <w:rPr>
        <w:rFonts w:hint="default"/>
        <w:i w:val="0"/>
        <w:sz w:val="28"/>
      </w:rPr>
    </w:lvl>
    <w:lvl w:ilvl="4">
      <w:start w:val="1"/>
      <w:numFmt w:val="decimal"/>
      <w:isLgl/>
      <w:lvlText w:val="%1.%2.%3.%4.%5."/>
      <w:lvlJc w:val="left"/>
      <w:pPr>
        <w:ind w:left="5880" w:hanging="1080"/>
      </w:pPr>
      <w:rPr>
        <w:rFonts w:hint="default"/>
        <w:i w:val="0"/>
        <w:sz w:val="28"/>
      </w:rPr>
    </w:lvl>
    <w:lvl w:ilvl="5">
      <w:start w:val="1"/>
      <w:numFmt w:val="decimal"/>
      <w:isLgl/>
      <w:lvlText w:val="%1.%2.%3.%4.%5.%6."/>
      <w:lvlJc w:val="left"/>
      <w:pPr>
        <w:ind w:left="7260" w:hanging="1440"/>
      </w:pPr>
      <w:rPr>
        <w:rFonts w:hint="default"/>
        <w:i w:val="0"/>
        <w:sz w:val="28"/>
      </w:rPr>
    </w:lvl>
    <w:lvl w:ilvl="6">
      <w:start w:val="1"/>
      <w:numFmt w:val="decimal"/>
      <w:isLgl/>
      <w:lvlText w:val="%1.%2.%3.%4.%5.%6.%7."/>
      <w:lvlJc w:val="left"/>
      <w:pPr>
        <w:ind w:left="8640" w:hanging="1800"/>
      </w:pPr>
      <w:rPr>
        <w:rFonts w:hint="default"/>
        <w:i w:val="0"/>
        <w:sz w:val="28"/>
      </w:rPr>
    </w:lvl>
    <w:lvl w:ilvl="7">
      <w:start w:val="1"/>
      <w:numFmt w:val="decimal"/>
      <w:isLgl/>
      <w:lvlText w:val="%1.%2.%3.%4.%5.%6.%7.%8."/>
      <w:lvlJc w:val="left"/>
      <w:pPr>
        <w:ind w:left="9660" w:hanging="1800"/>
      </w:pPr>
      <w:rPr>
        <w:rFonts w:hint="default"/>
        <w:i w:val="0"/>
        <w:sz w:val="28"/>
      </w:rPr>
    </w:lvl>
    <w:lvl w:ilvl="8">
      <w:start w:val="1"/>
      <w:numFmt w:val="decimal"/>
      <w:isLgl/>
      <w:lvlText w:val="%1.%2.%3.%4.%5.%6.%7.%8.%9."/>
      <w:lvlJc w:val="left"/>
      <w:pPr>
        <w:ind w:left="11040" w:hanging="2160"/>
      </w:pPr>
      <w:rPr>
        <w:rFonts w:hint="default"/>
        <w:i w:val="0"/>
        <w:sz w:val="28"/>
      </w:rPr>
    </w:lvl>
  </w:abstractNum>
  <w:abstractNum w:abstractNumId="1">
    <w:nsid w:val="55D52005"/>
    <w:multiLevelType w:val="multilevel"/>
    <w:tmpl w:val="3C3C1598"/>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6E33681F"/>
    <w:multiLevelType w:val="hybridMultilevel"/>
    <w:tmpl w:val="E9CCE70C"/>
    <w:lvl w:ilvl="0" w:tplc="3FF87200">
      <w:start w:val="1"/>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50"/>
    <w:rsid w:val="0000310F"/>
    <w:rsid w:val="00003999"/>
    <w:rsid w:val="0000571F"/>
    <w:rsid w:val="00007AC5"/>
    <w:rsid w:val="000110C9"/>
    <w:rsid w:val="000546C1"/>
    <w:rsid w:val="000626EC"/>
    <w:rsid w:val="00077411"/>
    <w:rsid w:val="000840F6"/>
    <w:rsid w:val="00092496"/>
    <w:rsid w:val="000B1F55"/>
    <w:rsid w:val="000C285B"/>
    <w:rsid w:val="000C5896"/>
    <w:rsid w:val="001A06B8"/>
    <w:rsid w:val="001A2E41"/>
    <w:rsid w:val="001C66DA"/>
    <w:rsid w:val="001D12A5"/>
    <w:rsid w:val="001D6DEE"/>
    <w:rsid w:val="001D72E6"/>
    <w:rsid w:val="001F4070"/>
    <w:rsid w:val="001F444C"/>
    <w:rsid w:val="002050C3"/>
    <w:rsid w:val="002248B6"/>
    <w:rsid w:val="00254D4D"/>
    <w:rsid w:val="0025687A"/>
    <w:rsid w:val="00264547"/>
    <w:rsid w:val="00264AEC"/>
    <w:rsid w:val="002810D5"/>
    <w:rsid w:val="002F6E1B"/>
    <w:rsid w:val="00301DDC"/>
    <w:rsid w:val="00316D05"/>
    <w:rsid w:val="00343E6B"/>
    <w:rsid w:val="00366B61"/>
    <w:rsid w:val="00383E73"/>
    <w:rsid w:val="003918BF"/>
    <w:rsid w:val="00396249"/>
    <w:rsid w:val="003C613D"/>
    <w:rsid w:val="003D5311"/>
    <w:rsid w:val="00401AD6"/>
    <w:rsid w:val="00422DAC"/>
    <w:rsid w:val="00426F1B"/>
    <w:rsid w:val="00427FB4"/>
    <w:rsid w:val="00450528"/>
    <w:rsid w:val="00457B85"/>
    <w:rsid w:val="00461B1B"/>
    <w:rsid w:val="004A20F9"/>
    <w:rsid w:val="004A4A68"/>
    <w:rsid w:val="004B062A"/>
    <w:rsid w:val="004B392F"/>
    <w:rsid w:val="004E66BD"/>
    <w:rsid w:val="00501E4B"/>
    <w:rsid w:val="0052371C"/>
    <w:rsid w:val="0052656A"/>
    <w:rsid w:val="00530B43"/>
    <w:rsid w:val="0054001D"/>
    <w:rsid w:val="00580D4E"/>
    <w:rsid w:val="00587762"/>
    <w:rsid w:val="005C3876"/>
    <w:rsid w:val="005D4612"/>
    <w:rsid w:val="005F7891"/>
    <w:rsid w:val="006067F2"/>
    <w:rsid w:val="006174B9"/>
    <w:rsid w:val="00631BB7"/>
    <w:rsid w:val="00647B08"/>
    <w:rsid w:val="00673400"/>
    <w:rsid w:val="006C54B3"/>
    <w:rsid w:val="006C575F"/>
    <w:rsid w:val="006C6213"/>
    <w:rsid w:val="006D63BD"/>
    <w:rsid w:val="006D6E36"/>
    <w:rsid w:val="006E12C7"/>
    <w:rsid w:val="006F292E"/>
    <w:rsid w:val="007059F9"/>
    <w:rsid w:val="0074144D"/>
    <w:rsid w:val="00763A9F"/>
    <w:rsid w:val="00793A14"/>
    <w:rsid w:val="007B71E2"/>
    <w:rsid w:val="007D2B56"/>
    <w:rsid w:val="007D3CB7"/>
    <w:rsid w:val="007E178C"/>
    <w:rsid w:val="008171C4"/>
    <w:rsid w:val="00822FCA"/>
    <w:rsid w:val="00837B52"/>
    <w:rsid w:val="00846CB5"/>
    <w:rsid w:val="00852014"/>
    <w:rsid w:val="00875A72"/>
    <w:rsid w:val="008864CF"/>
    <w:rsid w:val="008963C1"/>
    <w:rsid w:val="008B3B05"/>
    <w:rsid w:val="008E2138"/>
    <w:rsid w:val="0090038C"/>
    <w:rsid w:val="0090469B"/>
    <w:rsid w:val="00906C68"/>
    <w:rsid w:val="00912639"/>
    <w:rsid w:val="00941FD2"/>
    <w:rsid w:val="00953FC6"/>
    <w:rsid w:val="009549E5"/>
    <w:rsid w:val="00963271"/>
    <w:rsid w:val="00982915"/>
    <w:rsid w:val="00984FC1"/>
    <w:rsid w:val="00996A3A"/>
    <w:rsid w:val="0099740D"/>
    <w:rsid w:val="009E5B71"/>
    <w:rsid w:val="009F2B5A"/>
    <w:rsid w:val="00A11D94"/>
    <w:rsid w:val="00A13189"/>
    <w:rsid w:val="00A30EA7"/>
    <w:rsid w:val="00A33774"/>
    <w:rsid w:val="00A36903"/>
    <w:rsid w:val="00A373AA"/>
    <w:rsid w:val="00A42DB6"/>
    <w:rsid w:val="00A61E8F"/>
    <w:rsid w:val="00A738F3"/>
    <w:rsid w:val="00A75290"/>
    <w:rsid w:val="00A75341"/>
    <w:rsid w:val="00AB2501"/>
    <w:rsid w:val="00AB7C63"/>
    <w:rsid w:val="00B105F0"/>
    <w:rsid w:val="00B178F4"/>
    <w:rsid w:val="00B3374E"/>
    <w:rsid w:val="00B44699"/>
    <w:rsid w:val="00B45FED"/>
    <w:rsid w:val="00B62855"/>
    <w:rsid w:val="00BB4E50"/>
    <w:rsid w:val="00BC6684"/>
    <w:rsid w:val="00BD0409"/>
    <w:rsid w:val="00BD3F6E"/>
    <w:rsid w:val="00BD7D05"/>
    <w:rsid w:val="00BE5644"/>
    <w:rsid w:val="00C578B5"/>
    <w:rsid w:val="00C74B64"/>
    <w:rsid w:val="00C85FF8"/>
    <w:rsid w:val="00C878C6"/>
    <w:rsid w:val="00CA4DBE"/>
    <w:rsid w:val="00CD763F"/>
    <w:rsid w:val="00CE3A60"/>
    <w:rsid w:val="00CE5C24"/>
    <w:rsid w:val="00CF55D2"/>
    <w:rsid w:val="00D3244D"/>
    <w:rsid w:val="00D5747A"/>
    <w:rsid w:val="00D83B90"/>
    <w:rsid w:val="00D97E7E"/>
    <w:rsid w:val="00DA05E9"/>
    <w:rsid w:val="00DA1D15"/>
    <w:rsid w:val="00DB475C"/>
    <w:rsid w:val="00DB6EA6"/>
    <w:rsid w:val="00DC4C1D"/>
    <w:rsid w:val="00DE069A"/>
    <w:rsid w:val="00DF4578"/>
    <w:rsid w:val="00DF77CC"/>
    <w:rsid w:val="00E10F1C"/>
    <w:rsid w:val="00E138A7"/>
    <w:rsid w:val="00E15D49"/>
    <w:rsid w:val="00E300B1"/>
    <w:rsid w:val="00E30109"/>
    <w:rsid w:val="00E317F5"/>
    <w:rsid w:val="00E342D6"/>
    <w:rsid w:val="00E41984"/>
    <w:rsid w:val="00E43B31"/>
    <w:rsid w:val="00E4682F"/>
    <w:rsid w:val="00E607E8"/>
    <w:rsid w:val="00E62005"/>
    <w:rsid w:val="00E97799"/>
    <w:rsid w:val="00EA08A5"/>
    <w:rsid w:val="00EA4B0D"/>
    <w:rsid w:val="00EB2150"/>
    <w:rsid w:val="00EB2D5B"/>
    <w:rsid w:val="00EC140C"/>
    <w:rsid w:val="00EC2904"/>
    <w:rsid w:val="00ED7809"/>
    <w:rsid w:val="00EE5882"/>
    <w:rsid w:val="00EF0364"/>
    <w:rsid w:val="00EF1753"/>
    <w:rsid w:val="00F0483C"/>
    <w:rsid w:val="00F05B27"/>
    <w:rsid w:val="00F15715"/>
    <w:rsid w:val="00F249E9"/>
    <w:rsid w:val="00F504ED"/>
    <w:rsid w:val="00FB088F"/>
    <w:rsid w:val="00FC2695"/>
    <w:rsid w:val="00FC3DAC"/>
    <w:rsid w:val="00FC51E0"/>
    <w:rsid w:val="00FF6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4E5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BB4E50"/>
    <w:pPr>
      <w:tabs>
        <w:tab w:val="center" w:pos="4153"/>
        <w:tab w:val="right" w:pos="8306"/>
      </w:tabs>
    </w:pPr>
    <w:rPr>
      <w:lang w:val="x-none"/>
    </w:rPr>
  </w:style>
  <w:style w:type="character" w:customStyle="1" w:styleId="KjeneRakstz">
    <w:name w:val="Kājene Rakstz."/>
    <w:basedOn w:val="Noklusjumarindkopasfonts"/>
    <w:link w:val="Kjene"/>
    <w:rsid w:val="00BB4E50"/>
    <w:rPr>
      <w:rFonts w:ascii="Times New Roman" w:eastAsia="Times New Roman" w:hAnsi="Times New Roman" w:cs="Times New Roman"/>
      <w:sz w:val="24"/>
      <w:szCs w:val="24"/>
      <w:lang w:val="x-none"/>
    </w:rPr>
  </w:style>
  <w:style w:type="paragraph" w:customStyle="1" w:styleId="naisf">
    <w:name w:val="naisf"/>
    <w:basedOn w:val="Parasts"/>
    <w:rsid w:val="00BB4E50"/>
    <w:pPr>
      <w:spacing w:before="88" w:after="88"/>
      <w:ind w:firstLine="439"/>
      <w:jc w:val="both"/>
    </w:pPr>
    <w:rPr>
      <w:lang w:eastAsia="lv-LV"/>
    </w:rPr>
  </w:style>
  <w:style w:type="paragraph" w:styleId="Galvene">
    <w:name w:val="header"/>
    <w:basedOn w:val="Parasts"/>
    <w:link w:val="GalveneRakstz"/>
    <w:uiPriority w:val="99"/>
    <w:unhideWhenUsed/>
    <w:rsid w:val="00BB4E50"/>
    <w:pPr>
      <w:tabs>
        <w:tab w:val="center" w:pos="4153"/>
        <w:tab w:val="right" w:pos="8306"/>
      </w:tabs>
    </w:pPr>
  </w:style>
  <w:style w:type="character" w:customStyle="1" w:styleId="GalveneRakstz">
    <w:name w:val="Galvene Rakstz."/>
    <w:basedOn w:val="Noklusjumarindkopasfonts"/>
    <w:link w:val="Galvene"/>
    <w:uiPriority w:val="99"/>
    <w:rsid w:val="00BB4E50"/>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92496"/>
    <w:rPr>
      <w:sz w:val="16"/>
      <w:szCs w:val="16"/>
    </w:rPr>
  </w:style>
  <w:style w:type="paragraph" w:styleId="Komentrateksts">
    <w:name w:val="annotation text"/>
    <w:basedOn w:val="Parasts"/>
    <w:link w:val="KomentratekstsRakstz"/>
    <w:uiPriority w:val="99"/>
    <w:semiHidden/>
    <w:unhideWhenUsed/>
    <w:rsid w:val="00092496"/>
    <w:rPr>
      <w:sz w:val="20"/>
      <w:szCs w:val="20"/>
    </w:rPr>
  </w:style>
  <w:style w:type="character" w:customStyle="1" w:styleId="KomentratekstsRakstz">
    <w:name w:val="Komentāra teksts Rakstz."/>
    <w:basedOn w:val="Noklusjumarindkopasfonts"/>
    <w:link w:val="Komentrateksts"/>
    <w:uiPriority w:val="99"/>
    <w:semiHidden/>
    <w:rsid w:val="00092496"/>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09249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2496"/>
    <w:rPr>
      <w:rFonts w:ascii="Tahoma" w:eastAsia="Times New Roman" w:hAnsi="Tahoma" w:cs="Tahoma"/>
      <w:sz w:val="16"/>
      <w:szCs w:val="16"/>
    </w:rPr>
  </w:style>
  <w:style w:type="character" w:styleId="Hipersaite">
    <w:name w:val="Hyperlink"/>
    <w:basedOn w:val="Noklusjumarindkopasfonts"/>
    <w:uiPriority w:val="99"/>
    <w:unhideWhenUsed/>
    <w:rsid w:val="00D83B90"/>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A61E8F"/>
    <w:rPr>
      <w:b/>
      <w:bCs/>
    </w:rPr>
  </w:style>
  <w:style w:type="character" w:customStyle="1" w:styleId="KomentratmaRakstz">
    <w:name w:val="Komentāra tēma Rakstz."/>
    <w:basedOn w:val="KomentratekstsRakstz"/>
    <w:link w:val="Komentratma"/>
    <w:uiPriority w:val="99"/>
    <w:semiHidden/>
    <w:rsid w:val="00A61E8F"/>
    <w:rPr>
      <w:rFonts w:ascii="Times New Roman" w:eastAsia="Times New Roman" w:hAnsi="Times New Roman" w:cs="Times New Roman"/>
      <w:b/>
      <w:bCs/>
      <w:sz w:val="20"/>
      <w:szCs w:val="20"/>
    </w:rPr>
  </w:style>
  <w:style w:type="paragraph" w:styleId="Sarakstarindkopa">
    <w:name w:val="List Paragraph"/>
    <w:basedOn w:val="Parasts"/>
    <w:uiPriority w:val="34"/>
    <w:qFormat/>
    <w:rsid w:val="00BD0409"/>
    <w:pPr>
      <w:ind w:left="720"/>
      <w:contextualSpacing/>
    </w:pPr>
  </w:style>
  <w:style w:type="table" w:styleId="Reatabula">
    <w:name w:val="Table Grid"/>
    <w:basedOn w:val="Parastatabula"/>
    <w:uiPriority w:val="59"/>
    <w:rsid w:val="0006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4E5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BB4E50"/>
    <w:pPr>
      <w:tabs>
        <w:tab w:val="center" w:pos="4153"/>
        <w:tab w:val="right" w:pos="8306"/>
      </w:tabs>
    </w:pPr>
    <w:rPr>
      <w:lang w:val="x-none"/>
    </w:rPr>
  </w:style>
  <w:style w:type="character" w:customStyle="1" w:styleId="KjeneRakstz">
    <w:name w:val="Kājene Rakstz."/>
    <w:basedOn w:val="Noklusjumarindkopasfonts"/>
    <w:link w:val="Kjene"/>
    <w:rsid w:val="00BB4E50"/>
    <w:rPr>
      <w:rFonts w:ascii="Times New Roman" w:eastAsia="Times New Roman" w:hAnsi="Times New Roman" w:cs="Times New Roman"/>
      <w:sz w:val="24"/>
      <w:szCs w:val="24"/>
      <w:lang w:val="x-none"/>
    </w:rPr>
  </w:style>
  <w:style w:type="paragraph" w:customStyle="1" w:styleId="naisf">
    <w:name w:val="naisf"/>
    <w:basedOn w:val="Parasts"/>
    <w:rsid w:val="00BB4E50"/>
    <w:pPr>
      <w:spacing w:before="88" w:after="88"/>
      <w:ind w:firstLine="439"/>
      <w:jc w:val="both"/>
    </w:pPr>
    <w:rPr>
      <w:lang w:eastAsia="lv-LV"/>
    </w:rPr>
  </w:style>
  <w:style w:type="paragraph" w:styleId="Galvene">
    <w:name w:val="header"/>
    <w:basedOn w:val="Parasts"/>
    <w:link w:val="GalveneRakstz"/>
    <w:uiPriority w:val="99"/>
    <w:unhideWhenUsed/>
    <w:rsid w:val="00BB4E50"/>
    <w:pPr>
      <w:tabs>
        <w:tab w:val="center" w:pos="4153"/>
        <w:tab w:val="right" w:pos="8306"/>
      </w:tabs>
    </w:pPr>
  </w:style>
  <w:style w:type="character" w:customStyle="1" w:styleId="GalveneRakstz">
    <w:name w:val="Galvene Rakstz."/>
    <w:basedOn w:val="Noklusjumarindkopasfonts"/>
    <w:link w:val="Galvene"/>
    <w:uiPriority w:val="99"/>
    <w:rsid w:val="00BB4E50"/>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92496"/>
    <w:rPr>
      <w:sz w:val="16"/>
      <w:szCs w:val="16"/>
    </w:rPr>
  </w:style>
  <w:style w:type="paragraph" w:styleId="Komentrateksts">
    <w:name w:val="annotation text"/>
    <w:basedOn w:val="Parasts"/>
    <w:link w:val="KomentratekstsRakstz"/>
    <w:uiPriority w:val="99"/>
    <w:semiHidden/>
    <w:unhideWhenUsed/>
    <w:rsid w:val="00092496"/>
    <w:rPr>
      <w:sz w:val="20"/>
      <w:szCs w:val="20"/>
    </w:rPr>
  </w:style>
  <w:style w:type="character" w:customStyle="1" w:styleId="KomentratekstsRakstz">
    <w:name w:val="Komentāra teksts Rakstz."/>
    <w:basedOn w:val="Noklusjumarindkopasfonts"/>
    <w:link w:val="Komentrateksts"/>
    <w:uiPriority w:val="99"/>
    <w:semiHidden/>
    <w:rsid w:val="00092496"/>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09249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2496"/>
    <w:rPr>
      <w:rFonts w:ascii="Tahoma" w:eastAsia="Times New Roman" w:hAnsi="Tahoma" w:cs="Tahoma"/>
      <w:sz w:val="16"/>
      <w:szCs w:val="16"/>
    </w:rPr>
  </w:style>
  <w:style w:type="character" w:styleId="Hipersaite">
    <w:name w:val="Hyperlink"/>
    <w:basedOn w:val="Noklusjumarindkopasfonts"/>
    <w:uiPriority w:val="99"/>
    <w:unhideWhenUsed/>
    <w:rsid w:val="00D83B90"/>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A61E8F"/>
    <w:rPr>
      <w:b/>
      <w:bCs/>
    </w:rPr>
  </w:style>
  <w:style w:type="character" w:customStyle="1" w:styleId="KomentratmaRakstz">
    <w:name w:val="Komentāra tēma Rakstz."/>
    <w:basedOn w:val="KomentratekstsRakstz"/>
    <w:link w:val="Komentratma"/>
    <w:uiPriority w:val="99"/>
    <w:semiHidden/>
    <w:rsid w:val="00A61E8F"/>
    <w:rPr>
      <w:rFonts w:ascii="Times New Roman" w:eastAsia="Times New Roman" w:hAnsi="Times New Roman" w:cs="Times New Roman"/>
      <w:b/>
      <w:bCs/>
      <w:sz w:val="20"/>
      <w:szCs w:val="20"/>
    </w:rPr>
  </w:style>
  <w:style w:type="paragraph" w:styleId="Sarakstarindkopa">
    <w:name w:val="List Paragraph"/>
    <w:basedOn w:val="Parasts"/>
    <w:uiPriority w:val="34"/>
    <w:qFormat/>
    <w:rsid w:val="00BD0409"/>
    <w:pPr>
      <w:ind w:left="720"/>
      <w:contextualSpacing/>
    </w:pPr>
  </w:style>
  <w:style w:type="table" w:styleId="Reatabula">
    <w:name w:val="Table Grid"/>
    <w:basedOn w:val="Parastatabula"/>
    <w:uiPriority w:val="59"/>
    <w:rsid w:val="0006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E61E-0B6D-4034-915A-B0BA6403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1447</Words>
  <Characters>826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konceptuālo ziņojumu „Par advokātu procesa ieviešana atsevišķās civillietu kategorijās”</vt:lpstr>
      <vt:lpstr>Koncepcija par adopcijas un ārpusģimenes aprūpes sistēmu pilnveidošanu</vt:lpstr>
    </vt:vector>
  </TitlesOfParts>
  <Company>Tieslietu ministrija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advokātu procesa ieviešana atsevišķās civillietu kategorijās”</dc:title>
  <dc:subject>Ministru kabineta rīkojuma projekts</dc:subject>
  <dc:creator>I.Pelša</dc:creator>
  <dc:description>67036994, Ilze.Pelsa@tm.gov.lv</dc:description>
  <cp:lastModifiedBy>Evita Drobisevska</cp:lastModifiedBy>
  <cp:revision>15</cp:revision>
  <cp:lastPrinted>2016-08-11T05:42:00Z</cp:lastPrinted>
  <dcterms:created xsi:type="dcterms:W3CDTF">2016-06-28T06:30:00Z</dcterms:created>
  <dcterms:modified xsi:type="dcterms:W3CDTF">2016-08-31T09:27:00Z</dcterms:modified>
</cp:coreProperties>
</file>