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26" w:rsidRPr="004F4C11" w:rsidRDefault="00993C26" w:rsidP="00DC27EA">
      <w:pPr>
        <w:contextualSpacing/>
        <w:jc w:val="center"/>
        <w:rPr>
          <w:rFonts w:eastAsia="Times New Roman" w:cs="Times New Roman"/>
          <w:b/>
          <w:bCs/>
          <w:szCs w:val="26"/>
          <w:lang w:eastAsia="lv-LV"/>
        </w:rPr>
      </w:pPr>
      <w:bookmarkStart w:id="0" w:name="OLE_LINK1"/>
      <w:bookmarkStart w:id="1" w:name="OLE_LINK2"/>
      <w:bookmarkStart w:id="2" w:name="OLE_LINK3"/>
      <w:bookmarkStart w:id="3" w:name="OLE_LINK4"/>
      <w:r w:rsidRPr="004F4C11">
        <w:rPr>
          <w:rFonts w:eastAsia="Times New Roman" w:cs="Times New Roman"/>
          <w:b/>
          <w:bCs/>
          <w:szCs w:val="26"/>
          <w:lang w:eastAsia="lv-LV"/>
        </w:rPr>
        <w:t xml:space="preserve">Ministru kabineta noteikumu projekta </w:t>
      </w:r>
      <w:r w:rsidR="001E4EE1">
        <w:rPr>
          <w:rFonts w:eastAsia="Times New Roman" w:cs="Times New Roman"/>
          <w:b/>
          <w:bCs/>
          <w:szCs w:val="26"/>
          <w:lang w:eastAsia="lv-LV"/>
        </w:rPr>
        <w:t>„</w:t>
      </w:r>
      <w:r w:rsidRPr="004F4C11">
        <w:rPr>
          <w:rFonts w:eastAsia="Times New Roman" w:cs="Times New Roman"/>
          <w:b/>
          <w:bCs/>
          <w:szCs w:val="26"/>
          <w:lang w:eastAsia="lv-LV"/>
        </w:rPr>
        <w:t>Grozījumi Ministru kabineta 2013.</w:t>
      </w:r>
      <w:r w:rsidR="00826033">
        <w:rPr>
          <w:rFonts w:eastAsia="Times New Roman" w:cs="Times New Roman"/>
          <w:b/>
          <w:bCs/>
          <w:szCs w:val="26"/>
          <w:lang w:eastAsia="lv-LV"/>
        </w:rPr>
        <w:t> </w:t>
      </w:r>
      <w:r w:rsidRPr="004F4C11">
        <w:rPr>
          <w:rFonts w:eastAsia="Times New Roman" w:cs="Times New Roman"/>
          <w:b/>
          <w:bCs/>
          <w:szCs w:val="26"/>
          <w:lang w:eastAsia="lv-LV"/>
        </w:rPr>
        <w:t>gada 17.</w:t>
      </w:r>
      <w:r w:rsidR="00826033">
        <w:rPr>
          <w:rFonts w:eastAsia="Times New Roman" w:cs="Times New Roman"/>
          <w:b/>
          <w:bCs/>
          <w:szCs w:val="26"/>
          <w:lang w:eastAsia="lv-LV"/>
        </w:rPr>
        <w:t> </w:t>
      </w:r>
      <w:r w:rsidRPr="004F4C11">
        <w:rPr>
          <w:rFonts w:eastAsia="Times New Roman" w:cs="Times New Roman"/>
          <w:b/>
          <w:bCs/>
          <w:szCs w:val="26"/>
          <w:lang w:eastAsia="lv-LV"/>
        </w:rPr>
        <w:t>decembra noteikumos Nr.</w:t>
      </w:r>
      <w:r w:rsidR="00826033">
        <w:rPr>
          <w:rFonts w:eastAsia="Times New Roman" w:cs="Times New Roman"/>
          <w:b/>
          <w:bCs/>
          <w:szCs w:val="26"/>
          <w:lang w:eastAsia="lv-LV"/>
        </w:rPr>
        <w:t> </w:t>
      </w:r>
      <w:r w:rsidRPr="004F4C11">
        <w:rPr>
          <w:rFonts w:eastAsia="Times New Roman" w:cs="Times New Roman"/>
          <w:b/>
          <w:bCs/>
          <w:szCs w:val="26"/>
          <w:lang w:eastAsia="lv-LV"/>
        </w:rPr>
        <w:t xml:space="preserve">1529 </w:t>
      </w:r>
      <w:r w:rsidR="001E4EE1">
        <w:rPr>
          <w:rFonts w:eastAsia="Times New Roman" w:cs="Times New Roman"/>
          <w:b/>
          <w:bCs/>
          <w:szCs w:val="26"/>
          <w:lang w:eastAsia="lv-LV"/>
        </w:rPr>
        <w:t>„</w:t>
      </w:r>
      <w:r w:rsidRPr="004F4C11">
        <w:rPr>
          <w:rFonts w:eastAsia="Times New Roman" w:cs="Times New Roman"/>
          <w:b/>
          <w:bCs/>
          <w:szCs w:val="26"/>
          <w:lang w:eastAsia="lv-LV"/>
        </w:rPr>
        <w:t>Veselības aprūpes organizēšanas un finansēšanas kārtība</w:t>
      </w:r>
      <w:r w:rsidR="001E4EE1">
        <w:rPr>
          <w:rFonts w:eastAsia="Times New Roman" w:cs="Times New Roman"/>
          <w:b/>
          <w:bCs/>
          <w:szCs w:val="26"/>
          <w:lang w:eastAsia="lv-LV"/>
        </w:rPr>
        <w:t>””</w:t>
      </w:r>
      <w:r w:rsidRPr="004F4C11">
        <w:rPr>
          <w:rFonts w:eastAsia="Times New Roman" w:cs="Times New Roman"/>
          <w:b/>
          <w:bCs/>
          <w:szCs w:val="26"/>
          <w:lang w:eastAsia="lv-LV"/>
        </w:rPr>
        <w:t xml:space="preserve"> sākotnējās ietekmes novērtējuma ziņojums (anotācija</w:t>
      </w:r>
      <w:bookmarkEnd w:id="0"/>
      <w:bookmarkEnd w:id="1"/>
      <w:r w:rsidRPr="004F4C11">
        <w:rPr>
          <w:rFonts w:eastAsia="Times New Roman" w:cs="Times New Roman"/>
          <w:b/>
          <w:bCs/>
          <w:szCs w:val="26"/>
          <w:lang w:eastAsia="lv-LV"/>
        </w:rPr>
        <w:t>)</w:t>
      </w:r>
    </w:p>
    <w:bookmarkEnd w:id="2"/>
    <w:bookmarkEnd w:id="3"/>
    <w:p w:rsidR="00993C26" w:rsidRDefault="00993C26" w:rsidP="00993C26">
      <w:pPr>
        <w:jc w:val="center"/>
      </w:pPr>
    </w:p>
    <w:tbl>
      <w:tblPr>
        <w:tblW w:w="5000"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0"/>
        <w:gridCol w:w="1891"/>
        <w:gridCol w:w="7217"/>
      </w:tblGrid>
      <w:tr w:rsidR="00993C26" w:rsidRPr="004F4C11" w:rsidTr="00790486">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993C26" w:rsidRPr="004F4C11" w:rsidRDefault="00993C26" w:rsidP="00685C6C">
            <w:pPr>
              <w:contextualSpacing/>
              <w:jc w:val="center"/>
              <w:rPr>
                <w:rFonts w:eastAsia="Times New Roman" w:cs="Times New Roman"/>
                <w:szCs w:val="24"/>
                <w:lang w:eastAsia="lv-LV"/>
              </w:rPr>
            </w:pPr>
            <w:r w:rsidRPr="004F4C11">
              <w:rPr>
                <w:rFonts w:eastAsia="Times New Roman" w:cs="Times New Roman"/>
                <w:b/>
                <w:bCs/>
                <w:szCs w:val="24"/>
                <w:lang w:eastAsia="lv-LV"/>
              </w:rPr>
              <w:t>I. Tiesību akta projekta izstrādes nepieciešamība</w:t>
            </w:r>
          </w:p>
        </w:tc>
      </w:tr>
      <w:tr w:rsidR="007F39C6" w:rsidRPr="002757B9" w:rsidTr="00790486">
        <w:trPr>
          <w:trHeight w:val="405"/>
        </w:trPr>
        <w:tc>
          <w:tcPr>
            <w:tcW w:w="304"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1.</w:t>
            </w:r>
          </w:p>
        </w:tc>
        <w:tc>
          <w:tcPr>
            <w:tcW w:w="975"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Pamatojums</w:t>
            </w:r>
          </w:p>
        </w:tc>
        <w:tc>
          <w:tcPr>
            <w:tcW w:w="3721" w:type="pct"/>
            <w:tcBorders>
              <w:top w:val="outset" w:sz="6" w:space="0" w:color="auto"/>
              <w:left w:val="outset" w:sz="6" w:space="0" w:color="auto"/>
              <w:bottom w:val="outset" w:sz="6" w:space="0" w:color="auto"/>
              <w:right w:val="outset" w:sz="6" w:space="0" w:color="auto"/>
            </w:tcBorders>
            <w:hideMark/>
          </w:tcPr>
          <w:p w:rsidR="004603E9" w:rsidRDefault="004603E9" w:rsidP="004603E9">
            <w:pPr>
              <w:ind w:firstLine="336"/>
              <w:contextualSpacing/>
              <w:jc w:val="both"/>
              <w:rPr>
                <w:rFonts w:cs="Times New Roman"/>
              </w:rPr>
            </w:pPr>
            <w:r w:rsidRPr="00803F40">
              <w:t xml:space="preserve">Ministru kabineta noteikumu projektu </w:t>
            </w:r>
            <w:r w:rsidR="001E4EE1">
              <w:t>„</w:t>
            </w:r>
            <w:r w:rsidRPr="00803F40">
              <w:t>Grozījumi Ministru kabineta 2013.</w:t>
            </w:r>
            <w:r w:rsidR="00826033">
              <w:t> </w:t>
            </w:r>
            <w:r w:rsidRPr="00803F40">
              <w:t>gada 17.</w:t>
            </w:r>
            <w:r w:rsidR="00826033">
              <w:t> </w:t>
            </w:r>
            <w:r w:rsidRPr="00803F40">
              <w:t>decembra noteikumos Nr.</w:t>
            </w:r>
            <w:r w:rsidR="00826033">
              <w:t> </w:t>
            </w:r>
            <w:r w:rsidRPr="00803F40">
              <w:t>1529</w:t>
            </w:r>
            <w:r w:rsidR="00826033">
              <w:t> </w:t>
            </w:r>
            <w:r w:rsidR="00FE2147">
              <w:t>„</w:t>
            </w:r>
            <w:r w:rsidRPr="00803F40">
              <w:t>Veselības aprūpes organizēšanas un finansēšanas kārtība</w:t>
            </w:r>
            <w:r w:rsidR="00FE2147">
              <w:t>””</w:t>
            </w:r>
            <w:r w:rsidRPr="00803F40">
              <w:t xml:space="preserve"> (turpmāk – noteikumu projekts)</w:t>
            </w:r>
            <w:r>
              <w:t xml:space="preserve"> izstrādāts pamatojoties uz: </w:t>
            </w:r>
          </w:p>
          <w:p w:rsidR="00993C26" w:rsidRPr="004603E9" w:rsidRDefault="00993C26" w:rsidP="0041665B">
            <w:pPr>
              <w:pStyle w:val="ListParagraph"/>
              <w:numPr>
                <w:ilvl w:val="0"/>
                <w:numId w:val="1"/>
              </w:numPr>
              <w:jc w:val="both"/>
              <w:rPr>
                <w:rFonts w:cs="Times New Roman"/>
              </w:rPr>
            </w:pPr>
            <w:r w:rsidRPr="004603E9">
              <w:rPr>
                <w:rFonts w:cs="Times New Roman"/>
              </w:rPr>
              <w:t>Ārstni</w:t>
            </w:r>
            <w:r w:rsidR="004603E9">
              <w:rPr>
                <w:rFonts w:cs="Times New Roman"/>
              </w:rPr>
              <w:t>ecības likuma 4.</w:t>
            </w:r>
            <w:r w:rsidR="00826033">
              <w:rPr>
                <w:rFonts w:cs="Times New Roman"/>
              </w:rPr>
              <w:t> </w:t>
            </w:r>
            <w:r w:rsidR="004603E9">
              <w:rPr>
                <w:rFonts w:cs="Times New Roman"/>
              </w:rPr>
              <w:t>panta pirm</w:t>
            </w:r>
            <w:r w:rsidR="005E5CF1">
              <w:rPr>
                <w:rFonts w:cs="Times New Roman"/>
              </w:rPr>
              <w:t>o</w:t>
            </w:r>
            <w:r w:rsidR="004603E9">
              <w:rPr>
                <w:rFonts w:cs="Times New Roman"/>
              </w:rPr>
              <w:t xml:space="preserve"> daļu;</w:t>
            </w:r>
          </w:p>
          <w:p w:rsidR="0041665B" w:rsidRDefault="0041665B" w:rsidP="00E365A7">
            <w:pPr>
              <w:pStyle w:val="ListParagraph"/>
              <w:numPr>
                <w:ilvl w:val="0"/>
                <w:numId w:val="1"/>
              </w:numPr>
              <w:jc w:val="both"/>
              <w:rPr>
                <w:rFonts w:cs="Times New Roman"/>
              </w:rPr>
            </w:pPr>
            <w:r>
              <w:rPr>
                <w:rFonts w:cs="Times New Roman"/>
              </w:rPr>
              <w:t>Ministru kabineta 2016.</w:t>
            </w:r>
            <w:r w:rsidR="00826033">
              <w:rPr>
                <w:rFonts w:cs="Times New Roman"/>
              </w:rPr>
              <w:t> </w:t>
            </w:r>
            <w:r>
              <w:rPr>
                <w:rFonts w:cs="Times New Roman"/>
              </w:rPr>
              <w:t>gada 27.</w:t>
            </w:r>
            <w:r w:rsidR="00826033">
              <w:rPr>
                <w:rFonts w:cs="Times New Roman"/>
              </w:rPr>
              <w:t> </w:t>
            </w:r>
            <w:r>
              <w:rPr>
                <w:rFonts w:cs="Times New Roman"/>
              </w:rPr>
              <w:t>septembra sēdē (prot. Nr.</w:t>
            </w:r>
            <w:r w:rsidR="00826033">
              <w:rPr>
                <w:rFonts w:cs="Times New Roman"/>
              </w:rPr>
              <w:t> </w:t>
            </w:r>
            <w:r>
              <w:rPr>
                <w:rFonts w:cs="Times New Roman"/>
              </w:rPr>
              <w:t xml:space="preserve">48 </w:t>
            </w:r>
            <w:r w:rsidR="00826033">
              <w:rPr>
                <w:rFonts w:cs="Times New Roman"/>
              </w:rPr>
              <w:t> </w:t>
            </w:r>
            <w:r>
              <w:rPr>
                <w:rFonts w:cs="Times New Roman"/>
              </w:rPr>
              <w:t>51.</w:t>
            </w:r>
            <w:r w:rsidR="00826033">
              <w:rPr>
                <w:rFonts w:cs="Times New Roman"/>
              </w:rPr>
              <w:t> </w:t>
            </w:r>
            <w:r>
              <w:rPr>
                <w:rFonts w:cs="Times New Roman"/>
              </w:rPr>
              <w:t>§</w:t>
            </w:r>
            <w:r w:rsidR="00826033">
              <w:rPr>
                <w:rFonts w:cs="Times New Roman"/>
              </w:rPr>
              <w:t> </w:t>
            </w:r>
            <w:r>
              <w:rPr>
                <w:rFonts w:cs="Times New Roman"/>
              </w:rPr>
              <w:t>2.</w:t>
            </w:r>
            <w:r w:rsidR="00826033">
              <w:rPr>
                <w:rFonts w:cs="Times New Roman"/>
              </w:rPr>
              <w:t> </w:t>
            </w:r>
            <w:r w:rsidR="00E365A7">
              <w:rPr>
                <w:rFonts w:cs="Times New Roman"/>
              </w:rPr>
              <w:t>punkts</w:t>
            </w:r>
            <w:r>
              <w:rPr>
                <w:rFonts w:cs="Times New Roman"/>
              </w:rPr>
              <w:t>) Veselības ministrijai sadarbībā ar Tieslietu ministriju tika uzdots izvērtēt iespēju ieslodzījuma vietās strādājošajiem  ārstiem piešķirt tiesības nosūtīt ieslodzījuma vietās esošās personas uz nepieciešamajiem izmeklējumiem ļaundabīgo audzēju primārai diagnostikai paātrinātā kārtībā un veselības ministram līdz 2016.</w:t>
            </w:r>
            <w:r w:rsidR="00826033">
              <w:rPr>
                <w:rFonts w:cs="Times New Roman"/>
              </w:rPr>
              <w:t> </w:t>
            </w:r>
            <w:r>
              <w:rPr>
                <w:rFonts w:cs="Times New Roman"/>
              </w:rPr>
              <w:t>gada 30.</w:t>
            </w:r>
            <w:r w:rsidR="00826033">
              <w:rPr>
                <w:rFonts w:cs="Times New Roman"/>
              </w:rPr>
              <w:t> </w:t>
            </w:r>
            <w:r>
              <w:rPr>
                <w:rFonts w:cs="Times New Roman"/>
              </w:rPr>
              <w:t>decembrim noteiktā kārtībā iesniegt izskatīšanai Ministru kabinetā attiecīgu noteikumu projektu</w:t>
            </w:r>
            <w:r w:rsidR="00E365A7">
              <w:rPr>
                <w:rFonts w:cs="Times New Roman"/>
              </w:rPr>
              <w:t>;</w:t>
            </w:r>
          </w:p>
          <w:p w:rsidR="008E6BC8" w:rsidRPr="008E6BC8" w:rsidRDefault="00E365A7" w:rsidP="00826033">
            <w:pPr>
              <w:pStyle w:val="ListParagraph"/>
              <w:numPr>
                <w:ilvl w:val="0"/>
                <w:numId w:val="1"/>
              </w:numPr>
              <w:jc w:val="both"/>
              <w:rPr>
                <w:rFonts w:cs="Times New Roman"/>
              </w:rPr>
            </w:pPr>
            <w:r>
              <w:rPr>
                <w:rFonts w:cs="Times New Roman"/>
              </w:rPr>
              <w:t>Ministru kabineta 2016.</w:t>
            </w:r>
            <w:r w:rsidR="00826033">
              <w:rPr>
                <w:rFonts w:cs="Times New Roman"/>
              </w:rPr>
              <w:t> </w:t>
            </w:r>
            <w:r>
              <w:rPr>
                <w:rFonts w:cs="Times New Roman"/>
              </w:rPr>
              <w:t>gada 27.</w:t>
            </w:r>
            <w:r w:rsidR="00826033">
              <w:rPr>
                <w:rFonts w:cs="Times New Roman"/>
              </w:rPr>
              <w:t> </w:t>
            </w:r>
            <w:r>
              <w:rPr>
                <w:rFonts w:cs="Times New Roman"/>
              </w:rPr>
              <w:t>septembra sēdē (prot.</w:t>
            </w:r>
            <w:r w:rsidR="00826033">
              <w:rPr>
                <w:rFonts w:cs="Times New Roman"/>
              </w:rPr>
              <w:t> </w:t>
            </w:r>
            <w:r>
              <w:rPr>
                <w:rFonts w:cs="Times New Roman"/>
              </w:rPr>
              <w:t>Nr.</w:t>
            </w:r>
            <w:r w:rsidR="00826033">
              <w:rPr>
                <w:rFonts w:cs="Times New Roman"/>
              </w:rPr>
              <w:t> </w:t>
            </w:r>
            <w:r>
              <w:rPr>
                <w:rFonts w:cs="Times New Roman"/>
              </w:rPr>
              <w:t>48</w:t>
            </w:r>
            <w:r w:rsidR="00826033">
              <w:rPr>
                <w:rFonts w:cs="Times New Roman"/>
              </w:rPr>
              <w:t> </w:t>
            </w:r>
            <w:r>
              <w:rPr>
                <w:rFonts w:cs="Times New Roman"/>
              </w:rPr>
              <w:t>51. §</w:t>
            </w:r>
            <w:r w:rsidR="00826033">
              <w:rPr>
                <w:rFonts w:cs="Times New Roman"/>
              </w:rPr>
              <w:t> </w:t>
            </w:r>
            <w:r>
              <w:rPr>
                <w:rFonts w:cs="Times New Roman"/>
              </w:rPr>
              <w:t>3.</w:t>
            </w:r>
            <w:r w:rsidR="00826033">
              <w:rPr>
                <w:rFonts w:cs="Times New Roman"/>
              </w:rPr>
              <w:t> </w:t>
            </w:r>
            <w:r>
              <w:rPr>
                <w:rFonts w:cs="Times New Roman"/>
              </w:rPr>
              <w:t>punkts) Veselības ministrijai līdz 2017.</w:t>
            </w:r>
            <w:r w:rsidR="00826033">
              <w:rPr>
                <w:rFonts w:cs="Times New Roman"/>
              </w:rPr>
              <w:t> </w:t>
            </w:r>
            <w:r>
              <w:rPr>
                <w:rFonts w:cs="Times New Roman"/>
              </w:rPr>
              <w:t>gada 1.</w:t>
            </w:r>
            <w:r w:rsidR="00826033">
              <w:rPr>
                <w:rFonts w:cs="Times New Roman"/>
              </w:rPr>
              <w:t> </w:t>
            </w:r>
            <w:r>
              <w:rPr>
                <w:rFonts w:cs="Times New Roman"/>
              </w:rPr>
              <w:t>februārim tika uzdots</w:t>
            </w:r>
            <w:r w:rsidR="00780305">
              <w:rPr>
                <w:rFonts w:cs="Times New Roman"/>
              </w:rPr>
              <w:t xml:space="preserve"> izvērtēt Ministru kabineta</w:t>
            </w:r>
            <w:r>
              <w:rPr>
                <w:rFonts w:cs="Times New Roman"/>
              </w:rPr>
              <w:t xml:space="preserve"> noteikumos ietverto ģimenes ārstiem maksājamās </w:t>
            </w:r>
            <w:proofErr w:type="spellStart"/>
            <w:r>
              <w:rPr>
                <w:rFonts w:cs="Times New Roman"/>
              </w:rPr>
              <w:t>kapitācijas</w:t>
            </w:r>
            <w:proofErr w:type="spellEnd"/>
            <w:r>
              <w:rPr>
                <w:rFonts w:cs="Times New Roman"/>
              </w:rPr>
              <w:t xml:space="preserve"> naudas aprēķinu, un nepieciešamības gadījumā veselības ministram noteiktā kārtībā iesniegt izskatīšanai Ministru kabinetā attiecīgu noteikumu projektu.</w:t>
            </w:r>
          </w:p>
        </w:tc>
      </w:tr>
      <w:tr w:rsidR="007F39C6" w:rsidRPr="002757B9" w:rsidTr="00790486">
        <w:trPr>
          <w:trHeight w:val="465"/>
        </w:trPr>
        <w:tc>
          <w:tcPr>
            <w:tcW w:w="304"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spacing w:before="75" w:after="75"/>
              <w:contextualSpacing/>
              <w:rPr>
                <w:rFonts w:eastAsia="Times New Roman" w:cs="Times New Roman"/>
                <w:szCs w:val="24"/>
                <w:lang w:eastAsia="lv-LV"/>
              </w:rPr>
            </w:pPr>
            <w:r w:rsidRPr="002757B9">
              <w:rPr>
                <w:rFonts w:eastAsia="Times New Roman" w:cs="Times New Roman"/>
                <w:szCs w:val="24"/>
                <w:lang w:eastAsia="lv-LV"/>
              </w:rPr>
              <w:t>2.</w:t>
            </w:r>
          </w:p>
        </w:tc>
        <w:tc>
          <w:tcPr>
            <w:tcW w:w="975" w:type="pct"/>
            <w:tcBorders>
              <w:top w:val="outset" w:sz="6" w:space="0" w:color="auto"/>
              <w:left w:val="outset" w:sz="6" w:space="0" w:color="auto"/>
              <w:bottom w:val="outset" w:sz="6" w:space="0" w:color="auto"/>
              <w:right w:val="outset" w:sz="6" w:space="0" w:color="auto"/>
            </w:tcBorders>
            <w:hideMark/>
          </w:tcPr>
          <w:p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Pašreizējā situācija un problēmas, kuru risināšanai tiesību akta projekts izstrādāts, tiesiskā regulējuma mērķis un būtība</w:t>
            </w:r>
          </w:p>
          <w:p w:rsidR="00B05411" w:rsidRDefault="00B05411" w:rsidP="00685C6C">
            <w:pPr>
              <w:contextualSpacing/>
              <w:rPr>
                <w:rFonts w:eastAsia="Times New Roman" w:cs="Times New Roman"/>
                <w:szCs w:val="24"/>
                <w:lang w:eastAsia="lv-LV"/>
              </w:rPr>
            </w:pPr>
          </w:p>
          <w:p w:rsidR="00AC58D6" w:rsidRDefault="00AC58D6">
            <w:pPr>
              <w:rPr>
                <w:rFonts w:eastAsia="Times New Roman" w:cs="Times New Roman"/>
                <w:szCs w:val="24"/>
                <w:lang w:eastAsia="lv-LV"/>
              </w:rPr>
            </w:pPr>
          </w:p>
          <w:p w:rsidR="00AC58D6" w:rsidRDefault="00AC58D6">
            <w:pPr>
              <w:rPr>
                <w:rFonts w:eastAsia="Times New Roman" w:cs="Times New Roman"/>
                <w:szCs w:val="24"/>
                <w:lang w:eastAsia="lv-LV"/>
              </w:rPr>
            </w:pPr>
          </w:p>
          <w:p w:rsidR="00AC58D6" w:rsidRDefault="00AC58D6">
            <w:pPr>
              <w:rPr>
                <w:rFonts w:eastAsia="Times New Roman" w:cs="Times New Roman"/>
                <w:szCs w:val="24"/>
                <w:lang w:eastAsia="lv-LV"/>
              </w:rPr>
            </w:pPr>
          </w:p>
          <w:p w:rsidR="00AC58D6" w:rsidRDefault="00AC58D6">
            <w:pPr>
              <w:rPr>
                <w:rFonts w:eastAsia="Times New Roman" w:cs="Times New Roman"/>
                <w:szCs w:val="24"/>
                <w:lang w:eastAsia="lv-LV"/>
              </w:rPr>
            </w:pPr>
          </w:p>
          <w:p w:rsidR="00AC58D6" w:rsidRDefault="00AC58D6">
            <w:pPr>
              <w:rPr>
                <w:rFonts w:eastAsia="Times New Roman" w:cs="Times New Roman"/>
                <w:szCs w:val="24"/>
                <w:lang w:eastAsia="lv-LV"/>
              </w:rPr>
            </w:pPr>
          </w:p>
          <w:p w:rsidR="00AC58D6" w:rsidRDefault="00AC58D6">
            <w:pPr>
              <w:rPr>
                <w:rFonts w:eastAsia="Times New Roman" w:cs="Times New Roman"/>
                <w:szCs w:val="24"/>
                <w:lang w:eastAsia="lv-LV"/>
              </w:rPr>
            </w:pPr>
          </w:p>
          <w:p w:rsidR="00AC58D6" w:rsidRDefault="00AC58D6">
            <w:pPr>
              <w:rPr>
                <w:rFonts w:eastAsia="Times New Roman" w:cs="Times New Roman"/>
                <w:szCs w:val="24"/>
                <w:lang w:eastAsia="lv-LV"/>
              </w:rPr>
            </w:pPr>
          </w:p>
          <w:p w:rsidR="00AC58D6" w:rsidRDefault="00AC58D6">
            <w:pPr>
              <w:rPr>
                <w:rFonts w:eastAsia="Times New Roman" w:cs="Times New Roman"/>
                <w:szCs w:val="24"/>
                <w:lang w:eastAsia="lv-LV"/>
              </w:rPr>
            </w:pPr>
          </w:p>
          <w:p w:rsidR="00AC58D6" w:rsidRDefault="00AC58D6">
            <w:pPr>
              <w:rPr>
                <w:rFonts w:eastAsia="Times New Roman" w:cs="Times New Roman"/>
                <w:szCs w:val="24"/>
                <w:lang w:eastAsia="lv-LV"/>
              </w:rPr>
            </w:pPr>
          </w:p>
          <w:p w:rsidR="00AC58D6" w:rsidRDefault="00AC58D6">
            <w:pPr>
              <w:rPr>
                <w:rFonts w:eastAsia="Times New Roman" w:cs="Times New Roman"/>
                <w:szCs w:val="24"/>
                <w:lang w:eastAsia="lv-LV"/>
              </w:rPr>
            </w:pPr>
          </w:p>
          <w:p w:rsidR="00AC58D6" w:rsidRDefault="00AC58D6">
            <w:pPr>
              <w:rPr>
                <w:rFonts w:eastAsia="Times New Roman" w:cs="Times New Roman"/>
                <w:szCs w:val="24"/>
                <w:lang w:eastAsia="lv-LV"/>
              </w:rPr>
            </w:pPr>
          </w:p>
          <w:p w:rsidR="00AC58D6" w:rsidRDefault="00AC58D6">
            <w:pPr>
              <w:rPr>
                <w:rFonts w:eastAsia="Times New Roman" w:cs="Times New Roman"/>
                <w:szCs w:val="24"/>
                <w:lang w:eastAsia="lv-LV"/>
              </w:rPr>
            </w:pPr>
          </w:p>
          <w:p w:rsidR="00AC58D6" w:rsidRDefault="00AC58D6">
            <w:pPr>
              <w:rPr>
                <w:rFonts w:eastAsia="Times New Roman" w:cs="Times New Roman"/>
                <w:szCs w:val="24"/>
                <w:lang w:eastAsia="lv-LV"/>
              </w:rPr>
            </w:pPr>
          </w:p>
          <w:p w:rsidR="00AC58D6" w:rsidRDefault="00AC58D6">
            <w:pPr>
              <w:rPr>
                <w:rFonts w:eastAsia="Times New Roman" w:cs="Times New Roman"/>
                <w:szCs w:val="24"/>
                <w:lang w:eastAsia="lv-LV"/>
              </w:rPr>
            </w:pPr>
          </w:p>
          <w:p w:rsidR="00B05411" w:rsidRDefault="00B05411" w:rsidP="00B05411">
            <w:pPr>
              <w:rPr>
                <w:rFonts w:eastAsia="Times New Roman" w:cs="Times New Roman"/>
                <w:szCs w:val="24"/>
                <w:lang w:eastAsia="lv-LV"/>
              </w:rPr>
            </w:pPr>
          </w:p>
          <w:p w:rsidR="00AC58D6" w:rsidRDefault="00AC58D6">
            <w:pPr>
              <w:ind w:firstLine="720"/>
              <w:rPr>
                <w:rFonts w:eastAsia="Times New Roman" w:cs="Times New Roman"/>
                <w:szCs w:val="24"/>
                <w:lang w:eastAsia="lv-LV"/>
              </w:rPr>
            </w:pPr>
          </w:p>
        </w:tc>
        <w:tc>
          <w:tcPr>
            <w:tcW w:w="3721" w:type="pct"/>
            <w:tcBorders>
              <w:top w:val="outset" w:sz="6" w:space="0" w:color="auto"/>
              <w:left w:val="outset" w:sz="6" w:space="0" w:color="auto"/>
              <w:bottom w:val="outset" w:sz="6" w:space="0" w:color="auto"/>
              <w:right w:val="outset" w:sz="6" w:space="0" w:color="auto"/>
            </w:tcBorders>
            <w:hideMark/>
          </w:tcPr>
          <w:p w:rsidR="00C0130A" w:rsidRPr="009C2E20" w:rsidRDefault="00C0130A" w:rsidP="00B05411">
            <w:pPr>
              <w:ind w:firstLine="252"/>
              <w:contextualSpacing/>
              <w:jc w:val="both"/>
            </w:pPr>
            <w:r w:rsidRPr="009C2E20">
              <w:lastRenderedPageBreak/>
              <w:t>Kārtību, kādā iedzīvotāji saņem valsts apmaksātos veselības aprūpes pakalpojumus nosaka Ministru kabineta 2013.</w:t>
            </w:r>
            <w:r w:rsidR="00826033">
              <w:t> </w:t>
            </w:r>
            <w:r w:rsidRPr="009C2E20">
              <w:t>gada 17.</w:t>
            </w:r>
            <w:r w:rsidR="00826033">
              <w:t> </w:t>
            </w:r>
            <w:r w:rsidRPr="009C2E20">
              <w:t>decembra noteikumi Nr.</w:t>
            </w:r>
            <w:r w:rsidR="00826033">
              <w:t> </w:t>
            </w:r>
            <w:r w:rsidRPr="009C2E20">
              <w:t>1529 „Veselības aprūpes organizēšanas un finansēšanas kārtība”</w:t>
            </w:r>
            <w:r w:rsidRPr="009C2E20">
              <w:rPr>
                <w:bCs/>
              </w:rPr>
              <w:t>.</w:t>
            </w:r>
            <w:r w:rsidRPr="009C2E20">
              <w:t xml:space="preserve"> </w:t>
            </w:r>
          </w:p>
          <w:p w:rsidR="00C0130A" w:rsidRPr="009C2E20" w:rsidRDefault="00C0130A" w:rsidP="00C0130A">
            <w:pPr>
              <w:ind w:firstLine="252"/>
              <w:contextualSpacing/>
              <w:jc w:val="both"/>
            </w:pPr>
            <w:r w:rsidRPr="009C2E20">
              <w:t>Veselības ministrija noteiktā kārtībā ir sagatavojusi Ministru kabineta noteikumu projektu ar mērķi pilnveidot noteikumos iekļautās normas atbilstoši ekonomiskai un finanšu situācijai, kā arī ņemot vērā iestāžu izteiktos priekšlikumus veselības aprūpes nozarē.</w:t>
            </w:r>
          </w:p>
          <w:p w:rsidR="005732E2" w:rsidRPr="009C2E20" w:rsidRDefault="00692ECA" w:rsidP="002F5F24">
            <w:pPr>
              <w:ind w:firstLine="336"/>
              <w:contextualSpacing/>
              <w:jc w:val="both"/>
              <w:rPr>
                <w:rFonts w:cs="Times New Roman"/>
                <w:color w:val="000000" w:themeColor="text1"/>
                <w:szCs w:val="24"/>
              </w:rPr>
            </w:pPr>
            <w:r w:rsidRPr="009C2E20">
              <w:rPr>
                <w:rFonts w:cs="Times New Roman"/>
                <w:color w:val="000000" w:themeColor="text1"/>
                <w:szCs w:val="24"/>
              </w:rPr>
              <w:t>Šo noteikumu grozījumu mērķis ir ar 2017.</w:t>
            </w:r>
            <w:r w:rsidR="00826033">
              <w:rPr>
                <w:rFonts w:cs="Times New Roman"/>
                <w:color w:val="000000" w:themeColor="text1"/>
                <w:szCs w:val="24"/>
              </w:rPr>
              <w:t> </w:t>
            </w:r>
            <w:r w:rsidRPr="009C2E20">
              <w:rPr>
                <w:rFonts w:cs="Times New Roman"/>
                <w:color w:val="000000" w:themeColor="text1"/>
                <w:szCs w:val="24"/>
              </w:rPr>
              <w:t>gada 1.</w:t>
            </w:r>
            <w:r w:rsidR="00826033">
              <w:rPr>
                <w:rFonts w:cs="Times New Roman"/>
                <w:color w:val="000000" w:themeColor="text1"/>
                <w:szCs w:val="24"/>
              </w:rPr>
              <w:t> </w:t>
            </w:r>
            <w:r w:rsidRPr="009C2E20">
              <w:rPr>
                <w:rFonts w:cs="Times New Roman"/>
                <w:color w:val="000000" w:themeColor="text1"/>
                <w:szCs w:val="24"/>
              </w:rPr>
              <w:t>janvāri</w:t>
            </w:r>
            <w:r w:rsidR="005732E2" w:rsidRPr="009C2E20">
              <w:rPr>
                <w:rFonts w:cs="Times New Roman"/>
                <w:color w:val="000000" w:themeColor="text1"/>
                <w:szCs w:val="24"/>
              </w:rPr>
              <w:t>:</w:t>
            </w:r>
          </w:p>
          <w:p w:rsidR="005732E2" w:rsidRPr="009C2E20" w:rsidRDefault="005732E2" w:rsidP="002F5F24">
            <w:pPr>
              <w:ind w:firstLine="336"/>
              <w:contextualSpacing/>
              <w:jc w:val="both"/>
              <w:rPr>
                <w:rFonts w:cs="Times New Roman"/>
                <w:color w:val="000000" w:themeColor="text1"/>
                <w:szCs w:val="24"/>
              </w:rPr>
            </w:pPr>
            <w:r w:rsidRPr="009C2E20">
              <w:rPr>
                <w:rFonts w:cs="Times New Roman"/>
                <w:color w:val="000000" w:themeColor="text1"/>
                <w:szCs w:val="24"/>
              </w:rPr>
              <w:t xml:space="preserve">1) nodrošināt ļaundabīgo audzēju sekundāro diagnostiku, iekļaujot noteikumos kārtību kādā </w:t>
            </w:r>
            <w:r w:rsidR="00EA5061" w:rsidRPr="009C2E20">
              <w:rPr>
                <w:rFonts w:cs="Times New Roman"/>
                <w:color w:val="000000" w:themeColor="text1"/>
                <w:szCs w:val="24"/>
              </w:rPr>
              <w:t>organizējami un veicami diagnostikas pasākumi;</w:t>
            </w:r>
          </w:p>
          <w:p w:rsidR="00EA5061" w:rsidRPr="009C2E20" w:rsidRDefault="00EA5061" w:rsidP="002F5F24">
            <w:pPr>
              <w:ind w:firstLine="336"/>
              <w:contextualSpacing/>
              <w:jc w:val="both"/>
              <w:rPr>
                <w:rFonts w:cs="Times New Roman"/>
                <w:color w:val="000000" w:themeColor="text1"/>
                <w:szCs w:val="24"/>
              </w:rPr>
            </w:pPr>
            <w:r w:rsidRPr="009C2E20">
              <w:rPr>
                <w:rFonts w:cs="Times New Roman"/>
                <w:color w:val="000000" w:themeColor="text1"/>
                <w:szCs w:val="24"/>
              </w:rPr>
              <w:t>2) nodrošināt valsts un pašvaldību ārstniecības iestādēs nodarbināto darba samaksas pieaugumu, atbilstoši papildus piešķirtajiem budžeta līdzekļiem</w:t>
            </w:r>
            <w:r w:rsidR="00D2639D" w:rsidRPr="009C2E20">
              <w:rPr>
                <w:rFonts w:cs="Times New Roman"/>
                <w:color w:val="000000" w:themeColor="text1"/>
                <w:szCs w:val="24"/>
              </w:rPr>
              <w:t>;</w:t>
            </w:r>
          </w:p>
          <w:p w:rsidR="00F74533" w:rsidRPr="009C2E20" w:rsidRDefault="00F74533" w:rsidP="00675384">
            <w:pPr>
              <w:ind w:firstLine="335"/>
              <w:contextualSpacing/>
              <w:jc w:val="both"/>
            </w:pPr>
            <w:r w:rsidRPr="009C2E20">
              <w:t>1.</w:t>
            </w:r>
            <w:r w:rsidR="00826033">
              <w:t> </w:t>
            </w:r>
            <w:r w:rsidR="00F53FBE" w:rsidRPr="009C2E20">
              <w:t>Veselības aprūpei paredzēto budžeta līdzekļu izlietojum</w:t>
            </w:r>
            <w:r w:rsidR="00D8358C" w:rsidRPr="009C2E20">
              <w:t xml:space="preserve">a </w:t>
            </w:r>
            <w:r w:rsidR="00985675" w:rsidRPr="009C2E20">
              <w:t>iedalījumu</w:t>
            </w:r>
            <w:r w:rsidR="00F53FBE" w:rsidRPr="009C2E20">
              <w:t xml:space="preserve"> nosaka noteikumu 4.</w:t>
            </w:r>
            <w:r w:rsidR="00826033">
              <w:t> </w:t>
            </w:r>
            <w:r w:rsidR="00F53FBE" w:rsidRPr="009C2E20">
              <w:t>punkts.</w:t>
            </w:r>
            <w:r w:rsidR="00675384" w:rsidRPr="009C2E20">
              <w:t xml:space="preserve"> </w:t>
            </w:r>
            <w:r w:rsidR="00D8358C" w:rsidRPr="009C2E20">
              <w:t>Šobrīd atbilstoši noteikumu 4.</w:t>
            </w:r>
            <w:r w:rsidR="00826033">
              <w:t> </w:t>
            </w:r>
            <w:r w:rsidR="00D8358C" w:rsidRPr="009C2E20">
              <w:t xml:space="preserve">punktā noteiktajam, veselības aprūpe paredzētos valsts budžeta līdzekļus izlieto </w:t>
            </w:r>
            <w:r w:rsidR="00985675" w:rsidRPr="009C2E20">
              <w:t>samaksai par: veselības aprūpes pakalpojumiem</w:t>
            </w:r>
            <w:r w:rsidR="00D8358C" w:rsidRPr="009C2E20">
              <w:t>, kompensējamām zālēm un medicīnas ierīcēm, centralizētajiem iepirkumiem</w:t>
            </w:r>
            <w:r w:rsidR="00985675" w:rsidRPr="009C2E20">
              <w:t xml:space="preserve"> un </w:t>
            </w:r>
            <w:r w:rsidR="00D8358C" w:rsidRPr="009C2E20">
              <w:t>ģimenes ārstu konsultatīvā tālruņa darbības nodrošināšanu.</w:t>
            </w:r>
            <w:r w:rsidRPr="009C2E20">
              <w:t xml:space="preserve"> </w:t>
            </w:r>
          </w:p>
          <w:p w:rsidR="00875CCB" w:rsidRPr="009C2E20" w:rsidRDefault="00985675" w:rsidP="00675384">
            <w:pPr>
              <w:ind w:firstLine="335"/>
              <w:contextualSpacing/>
              <w:jc w:val="both"/>
            </w:pPr>
            <w:r w:rsidRPr="009C2E20">
              <w:t xml:space="preserve">Pašreizējā punkta redakcija ir nepilnīga un tā neietver informāciju par samaksu, kas saistāma ar organizatoriskā darba nodrošināšanu ārstniecības iestādēs, kas savukārt uzskatāma par daļu no veselības aprūpes pakalpojuma. Tādēļ, lai nodrošinātu metodiskā darba veikšanu </w:t>
            </w:r>
            <w:r w:rsidRPr="009C2E20">
              <w:lastRenderedPageBreak/>
              <w:t xml:space="preserve">aktuālās veselības aprūpes jomās, risinātu </w:t>
            </w:r>
            <w:proofErr w:type="spellStart"/>
            <w:r w:rsidRPr="009C2E20">
              <w:t>problemsituācijas</w:t>
            </w:r>
            <w:proofErr w:type="spellEnd"/>
            <w:r w:rsidRPr="009C2E20">
              <w:t xml:space="preserve"> un uzlabotu veselības aprūpes pakalpojumu sniegšanu,</w:t>
            </w:r>
            <w:r w:rsidR="00875CCB" w:rsidRPr="009C2E20">
              <w:t xml:space="preserve"> nepieciešams veikt grozījumus noteikumu 4.</w:t>
            </w:r>
            <w:r w:rsidR="00826033">
              <w:t> </w:t>
            </w:r>
            <w:r w:rsidR="00875CCB" w:rsidRPr="009C2E20">
              <w:t>punktā, to papildinot ar 4.5.</w:t>
            </w:r>
            <w:r w:rsidR="00826033">
              <w:t> </w:t>
            </w:r>
            <w:r w:rsidR="00875CCB" w:rsidRPr="009C2E20">
              <w:t>apakšpunktu.</w:t>
            </w:r>
          </w:p>
          <w:p w:rsidR="008A137B" w:rsidRPr="009C2E20" w:rsidRDefault="00F315B1" w:rsidP="00D50C8E">
            <w:pPr>
              <w:ind w:firstLine="335"/>
              <w:contextualSpacing/>
              <w:jc w:val="both"/>
              <w:rPr>
                <w:bCs/>
                <w:szCs w:val="24"/>
              </w:rPr>
            </w:pPr>
            <w:r w:rsidRPr="009C2E20">
              <w:t>2.</w:t>
            </w:r>
            <w:r w:rsidR="00826033">
              <w:t> </w:t>
            </w:r>
            <w:r w:rsidR="00EA5061" w:rsidRPr="009C2E20">
              <w:t>Ar Ministru kabineta 2016.</w:t>
            </w:r>
            <w:r w:rsidR="00826033">
              <w:t> </w:t>
            </w:r>
            <w:r w:rsidR="00EA5061" w:rsidRPr="009C2E20">
              <w:t>gada 27.</w:t>
            </w:r>
            <w:r w:rsidR="00826033">
              <w:t> </w:t>
            </w:r>
            <w:r w:rsidR="00EA5061" w:rsidRPr="009C2E20">
              <w:rPr>
                <w:szCs w:val="24"/>
              </w:rPr>
              <w:t>septembra noteikumiem Nr.</w:t>
            </w:r>
            <w:r w:rsidR="00826033">
              <w:rPr>
                <w:szCs w:val="24"/>
              </w:rPr>
              <w:t> </w:t>
            </w:r>
            <w:r w:rsidR="00EA5061" w:rsidRPr="009C2E20">
              <w:rPr>
                <w:szCs w:val="24"/>
              </w:rPr>
              <w:t xml:space="preserve"> 642</w:t>
            </w:r>
            <w:r w:rsidR="00826033">
              <w:rPr>
                <w:szCs w:val="24"/>
              </w:rPr>
              <w:t> </w:t>
            </w:r>
            <w:r w:rsidR="00EA5061" w:rsidRPr="009C2E20">
              <w:rPr>
                <w:szCs w:val="24"/>
              </w:rPr>
              <w:t xml:space="preserve">„Grozījumi Ministru </w:t>
            </w:r>
            <w:r w:rsidR="00EA5061" w:rsidRPr="009C2E20">
              <w:rPr>
                <w:bCs/>
                <w:szCs w:val="24"/>
              </w:rPr>
              <w:t>kabineta 2013.</w:t>
            </w:r>
            <w:r w:rsidR="00826033">
              <w:rPr>
                <w:bCs/>
                <w:szCs w:val="24"/>
              </w:rPr>
              <w:t> </w:t>
            </w:r>
            <w:r w:rsidR="00EA5061" w:rsidRPr="009C2E20">
              <w:rPr>
                <w:bCs/>
                <w:szCs w:val="24"/>
              </w:rPr>
              <w:t>gada 17.</w:t>
            </w:r>
            <w:r w:rsidR="00826033">
              <w:rPr>
                <w:bCs/>
                <w:szCs w:val="24"/>
              </w:rPr>
              <w:t> </w:t>
            </w:r>
            <w:r w:rsidR="00EA5061" w:rsidRPr="009C2E20">
              <w:rPr>
                <w:bCs/>
                <w:szCs w:val="24"/>
              </w:rPr>
              <w:t>decembra noteikumos Nr.</w:t>
            </w:r>
            <w:r w:rsidR="00826033">
              <w:rPr>
                <w:bCs/>
                <w:szCs w:val="24"/>
              </w:rPr>
              <w:t> </w:t>
            </w:r>
            <w:r w:rsidR="00EA5061" w:rsidRPr="009C2E20">
              <w:rPr>
                <w:bCs/>
                <w:szCs w:val="24"/>
              </w:rPr>
              <w:t>1529</w:t>
            </w:r>
            <w:r w:rsidR="00826033">
              <w:rPr>
                <w:bCs/>
                <w:szCs w:val="24"/>
              </w:rPr>
              <w:t> </w:t>
            </w:r>
            <w:r w:rsidR="00EA5061" w:rsidRPr="009C2E20">
              <w:rPr>
                <w:bCs/>
                <w:szCs w:val="24"/>
              </w:rPr>
              <w:t>„Veselības aprūpes organizēšanas un finansēšanas kārtība”</w:t>
            </w:r>
            <w:r w:rsidR="00EC02E7" w:rsidRPr="009C2E20">
              <w:rPr>
                <w:bCs/>
                <w:szCs w:val="24"/>
              </w:rPr>
              <w:t>, noteikumos tika noteikta kārtība kādā īstenojama ļaundabīgo audzēju primārā diagnostika. Lai uzlabotu ļaundabīgo audzēju primāro diagnostiku</w:t>
            </w:r>
            <w:r w:rsidR="008A137B" w:rsidRPr="009C2E20">
              <w:rPr>
                <w:bCs/>
                <w:szCs w:val="24"/>
              </w:rPr>
              <w:t>,</w:t>
            </w:r>
            <w:r w:rsidR="00EC02E7" w:rsidRPr="009C2E20">
              <w:rPr>
                <w:bCs/>
                <w:szCs w:val="24"/>
              </w:rPr>
              <w:t xml:space="preserve"> Nacionāl</w:t>
            </w:r>
            <w:r w:rsidR="008A137B" w:rsidRPr="009C2E20">
              <w:rPr>
                <w:bCs/>
                <w:szCs w:val="24"/>
              </w:rPr>
              <w:t>ais veselības dienests</w:t>
            </w:r>
            <w:r w:rsidR="00EC02E7" w:rsidRPr="009C2E20">
              <w:rPr>
                <w:bCs/>
                <w:szCs w:val="24"/>
              </w:rPr>
              <w:t xml:space="preserve"> (turpmāk – dienests) </w:t>
            </w:r>
            <w:r w:rsidR="008A137B" w:rsidRPr="009C2E20">
              <w:rPr>
                <w:bCs/>
                <w:szCs w:val="24"/>
              </w:rPr>
              <w:t>2016.</w:t>
            </w:r>
            <w:r w:rsidR="00826033">
              <w:rPr>
                <w:bCs/>
                <w:szCs w:val="24"/>
              </w:rPr>
              <w:t> </w:t>
            </w:r>
            <w:r w:rsidR="008A137B" w:rsidRPr="009C2E20">
              <w:rPr>
                <w:bCs/>
                <w:szCs w:val="24"/>
              </w:rPr>
              <w:t xml:space="preserve"> gada 9.</w:t>
            </w:r>
            <w:r w:rsidR="00826033">
              <w:rPr>
                <w:bCs/>
                <w:szCs w:val="24"/>
              </w:rPr>
              <w:t> </w:t>
            </w:r>
            <w:r w:rsidR="008A137B" w:rsidRPr="009C2E20">
              <w:rPr>
                <w:bCs/>
                <w:szCs w:val="24"/>
              </w:rPr>
              <w:t>novembrī rīkoja diskusiju par onkoloģisko slimību diagnostiku specializētās ārstniecības iestādēs, kurā piedalījās dienesta pārstāvji un nozares speciālisti. Pamatojoties uz diskusijā izteiktajiem argumentiem un veiktajiem secinājumiem, noteikumu 34.</w:t>
            </w:r>
            <w:r w:rsidR="00826033">
              <w:rPr>
                <w:bCs/>
                <w:szCs w:val="24"/>
              </w:rPr>
              <w:t> </w:t>
            </w:r>
            <w:r w:rsidR="008A137B" w:rsidRPr="009C2E20">
              <w:rPr>
                <w:bCs/>
                <w:szCs w:val="24"/>
              </w:rPr>
              <w:t>pielikumā veicami sekojoši grozījumi:</w:t>
            </w:r>
          </w:p>
          <w:p w:rsidR="00EC02E7" w:rsidRPr="009C2E20" w:rsidRDefault="00EC02E7" w:rsidP="00EC02E7">
            <w:pPr>
              <w:ind w:firstLine="335"/>
              <w:contextualSpacing/>
              <w:jc w:val="both"/>
            </w:pPr>
            <w:r w:rsidRPr="009C2E20">
              <w:t>1)</w:t>
            </w:r>
            <w:r w:rsidR="00826033">
              <w:t> </w:t>
            </w:r>
            <w:r w:rsidRPr="009C2E20">
              <w:t>Mutes, sejas un žokļu ķirurga kompetencē</w:t>
            </w:r>
            <w:r w:rsidR="008A137B" w:rsidRPr="009C2E20">
              <w:t xml:space="preserve"> ietilpst</w:t>
            </w:r>
            <w:r w:rsidRPr="009C2E20">
              <w:t xml:space="preserve"> veikt zobu, žokļu un mutes dobuma orgānu un galvaskausa un sejas rajona slimību, traumu, iedzimtu un iegūtu defektu un deformāciju diagnostiku un ārstēšanu. Līdz ar to, ja ādas veidojuma lokalizācijas ir uz sejas, tad ģimenes ārstam pacients jānosūta tieši pie mutes, sejas un žokļu ķirurga, kurš, atbilstoši savai specialitātei un zināšanām, kā arī izvērtējot pacienta medicīniskās indikācijas, spēj noteikt precīzu diagnozi ādas veidojumam attiecīgajā lokalizācijas vietā. Ņemot vērā iepriekš minēto, veikti attiecīgi grozījumi noteikumu 34.</w:t>
            </w:r>
            <w:r w:rsidR="00826033">
              <w:t> </w:t>
            </w:r>
            <w:r w:rsidRPr="009C2E20">
              <w:t>pielikuma 3.6.</w:t>
            </w:r>
            <w:r w:rsidR="00826033">
              <w:t> </w:t>
            </w:r>
            <w:r w:rsidRPr="009C2E20">
              <w:t>apakšpunktā.</w:t>
            </w:r>
          </w:p>
          <w:p w:rsidR="00B76827" w:rsidRPr="009C2E20" w:rsidRDefault="00EC02E7" w:rsidP="00B76827">
            <w:pPr>
              <w:ind w:firstLine="335"/>
              <w:contextualSpacing/>
              <w:jc w:val="both"/>
            </w:pPr>
            <w:r w:rsidRPr="009C2E20">
              <w:t>2)</w:t>
            </w:r>
            <w:r w:rsidR="00826033">
              <w:t> </w:t>
            </w:r>
            <w:proofErr w:type="spellStart"/>
            <w:r w:rsidRPr="009C2E20">
              <w:t>Torakālā</w:t>
            </w:r>
            <w:proofErr w:type="spellEnd"/>
            <w:r w:rsidRPr="009C2E20">
              <w:t xml:space="preserve"> ķirurga kompetencē ir veikt krūšu kurvja orgānu slimību un traumatisku bojājumu diagnostiku, ārstēšanu, profilaksi un rehabilitāciju. Līdz ar to, ja ādas veidojuma lokalizācijas ir bronhu un plaušu rajonā, tad ģimenes ārstam pacients jānosūta tieši pie </w:t>
            </w:r>
            <w:proofErr w:type="spellStart"/>
            <w:r w:rsidRPr="009C2E20">
              <w:t>torakālā</w:t>
            </w:r>
            <w:proofErr w:type="spellEnd"/>
            <w:r w:rsidRPr="009C2E20">
              <w:t xml:space="preserve"> ķirurga, kurš, atbilstoši savai specialitātei un zināšanām, kā arī izvērtējot pacienta medicīniskās indikācijas, spēj noteikt precīzu diagnozi ādas veidojumam attiecīgajā lokalizācijas vietā. Ņemot vērā iepriekš minēto, veikti attiecīgi grozījumi noteikumu 34.</w:t>
            </w:r>
            <w:r w:rsidR="00826033">
              <w:t> </w:t>
            </w:r>
            <w:r w:rsidRPr="009C2E20">
              <w:t>pielikuma 5.6.</w:t>
            </w:r>
            <w:r w:rsidR="00826033">
              <w:t> </w:t>
            </w:r>
            <w:r w:rsidRPr="009C2E20">
              <w:t>apakšpunktā.</w:t>
            </w:r>
          </w:p>
          <w:p w:rsidR="00EC02E7" w:rsidRPr="009C2E20" w:rsidRDefault="00F56CA8" w:rsidP="00B76827">
            <w:pPr>
              <w:ind w:firstLine="335"/>
              <w:contextualSpacing/>
              <w:jc w:val="both"/>
              <w:rPr>
                <w:bCs/>
                <w:szCs w:val="24"/>
              </w:rPr>
            </w:pPr>
            <w:r w:rsidRPr="009C2E20">
              <w:rPr>
                <w:bCs/>
                <w:szCs w:val="24"/>
              </w:rPr>
              <w:t xml:space="preserve">Vienlaikus, lai nodrošinātu ļaundabīgo audzēju sekundāro diagnostiku, veikti grozījumi noteikumu </w:t>
            </w:r>
            <w:r w:rsidRPr="009C2E20">
              <w:rPr>
                <w:szCs w:val="24"/>
              </w:rPr>
              <w:t>131.</w:t>
            </w:r>
            <w:r w:rsidRPr="009C2E20">
              <w:rPr>
                <w:szCs w:val="24"/>
                <w:vertAlign w:val="superscript"/>
              </w:rPr>
              <w:t>3</w:t>
            </w:r>
            <w:r w:rsidR="00826033">
              <w:rPr>
                <w:szCs w:val="24"/>
              </w:rPr>
              <w:t> </w:t>
            </w:r>
            <w:r w:rsidRPr="009C2E20">
              <w:rPr>
                <w:szCs w:val="24"/>
              </w:rPr>
              <w:t>punktā, kas nosaka papildus nosacījumus prioritārai speciālistu konsultāciju saņemšanai un 36.</w:t>
            </w:r>
            <w:r w:rsidR="00826033">
              <w:rPr>
                <w:szCs w:val="24"/>
              </w:rPr>
              <w:t> </w:t>
            </w:r>
            <w:r w:rsidRPr="009C2E20">
              <w:rPr>
                <w:szCs w:val="24"/>
              </w:rPr>
              <w:t xml:space="preserve"> pielikumu „Ļaundabīgo audzēju sekundārā diagnostika noteiktām </w:t>
            </w:r>
            <w:proofErr w:type="spellStart"/>
            <w:r w:rsidRPr="009C2E20">
              <w:rPr>
                <w:szCs w:val="24"/>
              </w:rPr>
              <w:t>lokalizācijām</w:t>
            </w:r>
            <w:proofErr w:type="spellEnd"/>
            <w:r w:rsidRPr="009C2E20">
              <w:rPr>
                <w:szCs w:val="24"/>
              </w:rPr>
              <w:t>” (turpmāk – 36.</w:t>
            </w:r>
            <w:r w:rsidR="00826033">
              <w:rPr>
                <w:szCs w:val="24"/>
              </w:rPr>
              <w:t> </w:t>
            </w:r>
            <w:r w:rsidRPr="009C2E20">
              <w:rPr>
                <w:szCs w:val="24"/>
              </w:rPr>
              <w:t>pielikums), kas nosaka kārtību kādā ārstniecības iestāde, kurā personai veikta ļaundabīgo audzēju primārā diagnostika, nodrošina konsultāciju pie ārsta speciālista.</w:t>
            </w:r>
          </w:p>
          <w:p w:rsidR="00B76827" w:rsidRPr="009C2E20" w:rsidRDefault="00B76827" w:rsidP="00B76827">
            <w:pPr>
              <w:ind w:firstLine="335"/>
              <w:contextualSpacing/>
              <w:jc w:val="both"/>
              <w:rPr>
                <w:rFonts w:cs="Times New Roman"/>
              </w:rPr>
            </w:pPr>
            <w:r w:rsidRPr="009C2E20">
              <w:t xml:space="preserve">Papildus iepriekš minētajiem grozījumiem, kas skar ļaundabīgo audzēju primāro un sekundāro diagnostiku, Veselības ministrija ir izvērtējusi </w:t>
            </w:r>
            <w:r w:rsidR="00F315B1" w:rsidRPr="009C2E20">
              <w:t>Tieslietu ministrijas 2016.</w:t>
            </w:r>
            <w:r w:rsidR="00826033">
              <w:t> </w:t>
            </w:r>
            <w:r w:rsidR="00F315B1" w:rsidRPr="009C2E20">
              <w:t>gada 16.</w:t>
            </w:r>
            <w:r w:rsidR="00826033">
              <w:t> </w:t>
            </w:r>
            <w:r w:rsidR="00F315B1" w:rsidRPr="009C2E20">
              <w:t>septembrī sniegtajā atzinumā Nr.</w:t>
            </w:r>
            <w:r w:rsidR="00826033">
              <w:t> </w:t>
            </w:r>
            <w:r w:rsidR="00F315B1" w:rsidRPr="009C2E20">
              <w:t>1-9.1/1214 par noteikumu projektu</w:t>
            </w:r>
            <w:r w:rsidR="00586312" w:rsidRPr="009C2E20">
              <w:t xml:space="preserve"> ietverto iebildumu Nr.</w:t>
            </w:r>
            <w:r w:rsidR="00826033">
              <w:t> </w:t>
            </w:r>
            <w:r w:rsidR="00586312" w:rsidRPr="009C2E20">
              <w:t>1</w:t>
            </w:r>
            <w:r w:rsidRPr="009C2E20">
              <w:t xml:space="preserve"> (par ieslodzījuma vietas ārsta kompetenci saistībā ar agrīnu onkoloģisko slimību diagnostiku) </w:t>
            </w:r>
            <w:r w:rsidR="00586312" w:rsidRPr="009C2E20">
              <w:t xml:space="preserve">un </w:t>
            </w:r>
            <w:r w:rsidR="00586312" w:rsidRPr="009C2E20">
              <w:rPr>
                <w:rFonts w:cs="Times New Roman"/>
              </w:rPr>
              <w:t>Ministru kabineta 2016. gada 27. septembra sēdē (prot. Nr.</w:t>
            </w:r>
            <w:r w:rsidR="00826033">
              <w:rPr>
                <w:rFonts w:cs="Times New Roman"/>
              </w:rPr>
              <w:t> </w:t>
            </w:r>
            <w:r w:rsidR="00586312" w:rsidRPr="009C2E20">
              <w:rPr>
                <w:rFonts w:cs="Times New Roman"/>
              </w:rPr>
              <w:t>48</w:t>
            </w:r>
            <w:r w:rsidR="00826033">
              <w:rPr>
                <w:rFonts w:cs="Times New Roman"/>
              </w:rPr>
              <w:t> </w:t>
            </w:r>
            <w:r w:rsidR="00586312" w:rsidRPr="009C2E20">
              <w:rPr>
                <w:rFonts w:cs="Times New Roman"/>
              </w:rPr>
              <w:t>51.</w:t>
            </w:r>
            <w:r w:rsidR="00826033">
              <w:rPr>
                <w:rFonts w:cs="Times New Roman"/>
              </w:rPr>
              <w:t> </w:t>
            </w:r>
            <w:r w:rsidR="00586312" w:rsidRPr="009C2E20">
              <w:rPr>
                <w:rFonts w:cs="Times New Roman"/>
              </w:rPr>
              <w:t>§</w:t>
            </w:r>
            <w:r w:rsidR="00826033">
              <w:rPr>
                <w:rFonts w:cs="Times New Roman"/>
              </w:rPr>
              <w:t> </w:t>
            </w:r>
            <w:r w:rsidR="00586312" w:rsidRPr="009C2E20">
              <w:rPr>
                <w:rFonts w:cs="Times New Roman"/>
              </w:rPr>
              <w:t>2.</w:t>
            </w:r>
            <w:r w:rsidR="00826033">
              <w:rPr>
                <w:rFonts w:cs="Times New Roman"/>
              </w:rPr>
              <w:t> </w:t>
            </w:r>
            <w:r w:rsidR="00586312" w:rsidRPr="009C2E20">
              <w:rPr>
                <w:rFonts w:cs="Times New Roman"/>
              </w:rPr>
              <w:t>punkts) Veselības ministrijai  uzdoto</w:t>
            </w:r>
            <w:r w:rsidRPr="009C2E20">
              <w:rPr>
                <w:rFonts w:cs="Times New Roman"/>
              </w:rPr>
              <w:t xml:space="preserve"> (skat. anotācijas I</w:t>
            </w:r>
            <w:r w:rsidR="00826033">
              <w:rPr>
                <w:rFonts w:cs="Times New Roman"/>
              </w:rPr>
              <w:t> </w:t>
            </w:r>
            <w:r w:rsidRPr="009C2E20">
              <w:rPr>
                <w:rFonts w:cs="Times New Roman"/>
              </w:rPr>
              <w:t>sadaļas 1.</w:t>
            </w:r>
            <w:r w:rsidR="00826033">
              <w:rPr>
                <w:rFonts w:cs="Times New Roman"/>
              </w:rPr>
              <w:t> </w:t>
            </w:r>
            <w:r w:rsidRPr="009C2E20">
              <w:rPr>
                <w:rFonts w:cs="Times New Roman"/>
              </w:rPr>
              <w:t>punktu)</w:t>
            </w:r>
            <w:r w:rsidR="00586312" w:rsidRPr="009C2E20">
              <w:rPr>
                <w:rFonts w:cs="Times New Roman"/>
              </w:rPr>
              <w:t>,</w:t>
            </w:r>
            <w:r w:rsidRPr="009C2E20">
              <w:rPr>
                <w:rFonts w:cs="Times New Roman"/>
              </w:rPr>
              <w:t xml:space="preserve"> un atbilstoši iepriekš minētajam veic grozījumus, kas precizē noteikumu 51.</w:t>
            </w:r>
            <w:r w:rsidRPr="009C2E20">
              <w:rPr>
                <w:rFonts w:cs="Times New Roman"/>
                <w:vertAlign w:val="superscript"/>
              </w:rPr>
              <w:t>1</w:t>
            </w:r>
            <w:r w:rsidR="00826033">
              <w:rPr>
                <w:rFonts w:cs="Times New Roman"/>
              </w:rPr>
              <w:t> </w:t>
            </w:r>
            <w:r w:rsidRPr="009C2E20">
              <w:rPr>
                <w:rFonts w:cs="Times New Roman"/>
              </w:rPr>
              <w:t>punktu un 34.</w:t>
            </w:r>
            <w:r w:rsidR="00826033">
              <w:rPr>
                <w:rFonts w:cs="Times New Roman"/>
              </w:rPr>
              <w:t> </w:t>
            </w:r>
            <w:r w:rsidRPr="009C2E20">
              <w:rPr>
                <w:rFonts w:cs="Times New Roman"/>
              </w:rPr>
              <w:t xml:space="preserve">pielikumu, lai nodrošinātu ieslodzījuma vietās nodarbinātajiem ārstiem tiesības nosūtīt ieslodzījuma vietās esošās personas uz nepieciešamajiem izmeklējumiem ļaundabīgo audzēju primārai diagnostikai paātrinātā kārtībā, kā arī, lai </w:t>
            </w:r>
            <w:r w:rsidRPr="009C2E20">
              <w:rPr>
                <w:rFonts w:cs="Times New Roman"/>
              </w:rPr>
              <w:lastRenderedPageBreak/>
              <w:t>veicinātu agrīnu onkoloģisko slimību un savlaicīgu ārstēšanu ieslodzījumu vietās esošajām personām.</w:t>
            </w:r>
          </w:p>
          <w:p w:rsidR="00085D40" w:rsidRPr="009C2E20" w:rsidRDefault="00F315B1" w:rsidP="00D2639D">
            <w:pPr>
              <w:ind w:firstLine="335"/>
              <w:contextualSpacing/>
              <w:jc w:val="both"/>
            </w:pPr>
            <w:r w:rsidRPr="009C2E20">
              <w:t>3</w:t>
            </w:r>
            <w:r w:rsidR="00D50C8E" w:rsidRPr="009C2E20">
              <w:t>.</w:t>
            </w:r>
            <w:r w:rsidR="00826033">
              <w:t> </w:t>
            </w:r>
            <w:r w:rsidR="00D2639D" w:rsidRPr="009C2E20">
              <w:t>Noteikumu 74.</w:t>
            </w:r>
            <w:r w:rsidR="00826033">
              <w:t> </w:t>
            </w:r>
            <w:r w:rsidR="00D2639D" w:rsidRPr="009C2E20">
              <w:t xml:space="preserve">punkts nosaka veselības aprūpes pakalpojumu apjomu, kas ietilpst veselības aprūpes pakalpojumā mājās. Lai novērstu </w:t>
            </w:r>
            <w:proofErr w:type="spellStart"/>
            <w:r w:rsidR="00D2639D" w:rsidRPr="009C2E20">
              <w:t>problēmsitācijas</w:t>
            </w:r>
            <w:proofErr w:type="spellEnd"/>
            <w:r w:rsidR="00D2639D" w:rsidRPr="009C2E20">
              <w:t xml:space="preserve">, kas saistītas ar veselības aprūpes pakalpojums - urīna </w:t>
            </w:r>
            <w:proofErr w:type="spellStart"/>
            <w:r w:rsidR="00D2639D" w:rsidRPr="009C2E20">
              <w:t>ilgkatetera</w:t>
            </w:r>
            <w:proofErr w:type="spellEnd"/>
            <w:r w:rsidR="00D2639D" w:rsidRPr="009C2E20">
              <w:t xml:space="preserve"> </w:t>
            </w:r>
            <w:r w:rsidR="00826033">
              <w:t>maiņa, kas saskaņā ar noteikumu</w:t>
            </w:r>
            <w:r w:rsidR="00D2639D" w:rsidRPr="009C2E20">
              <w:t xml:space="preserve"> 6.2.1.3.</w:t>
            </w:r>
            <w:r w:rsidR="00826033">
              <w:t> </w:t>
            </w:r>
            <w:r w:rsidR="00D2639D" w:rsidRPr="009C2E20">
              <w:t>apakšpunktu ir no valsts budžeta līdzekļiem nodrošināms veselības aprūpes pakalpojums, apmaksas kārtību, ar grozījumiem nepieciešams papildināt noteikumu 74.3.</w:t>
            </w:r>
            <w:r w:rsidR="00826033">
              <w:t> </w:t>
            </w:r>
            <w:r w:rsidR="00D2639D" w:rsidRPr="009C2E20">
              <w:t>apakšpunktu ar konkrēto veselības aprūpes pakalpojumu.</w:t>
            </w:r>
          </w:p>
          <w:p w:rsidR="00CA473B" w:rsidRPr="009C2E20" w:rsidRDefault="00F315B1" w:rsidP="00271872">
            <w:pPr>
              <w:ind w:firstLine="335"/>
              <w:contextualSpacing/>
              <w:jc w:val="both"/>
            </w:pPr>
            <w:r w:rsidRPr="009C2E20">
              <w:t>4.</w:t>
            </w:r>
            <w:r w:rsidR="00826033">
              <w:t> </w:t>
            </w:r>
            <w:r w:rsidR="00F43521" w:rsidRPr="009C2E20">
              <w:t>Kārtību kādā ārstniecības iestādes veic apmaksu par veiktajiem zobārstniecības pakalpojumi</w:t>
            </w:r>
            <w:r w:rsidR="0078679A" w:rsidRPr="009C2E20">
              <w:t>em, nosaka noteikumu 96.</w:t>
            </w:r>
            <w:r w:rsidR="00826033">
              <w:t> </w:t>
            </w:r>
            <w:r w:rsidR="0078679A" w:rsidRPr="009C2E20">
              <w:t xml:space="preserve">punkts. </w:t>
            </w:r>
            <w:r w:rsidR="0078679A" w:rsidRPr="009C2E20">
              <w:rPr>
                <w:rFonts w:cs="Times New Roman"/>
                <w:color w:val="000000"/>
              </w:rPr>
              <w:t xml:space="preserve">Lai atbilstoši </w:t>
            </w:r>
            <w:r w:rsidR="0078679A" w:rsidRPr="009C2E20">
              <w:t>kabineta 2016.</w:t>
            </w:r>
            <w:r w:rsidR="00826033">
              <w:t> </w:t>
            </w:r>
            <w:r w:rsidR="0078679A" w:rsidRPr="009C2E20">
              <w:t>gada 30.</w:t>
            </w:r>
            <w:r w:rsidR="00826033">
              <w:t> </w:t>
            </w:r>
            <w:r w:rsidR="0078679A" w:rsidRPr="009C2E20">
              <w:t>augusta noteikumos Nr.</w:t>
            </w:r>
            <w:r w:rsidR="00826033">
              <w:t> </w:t>
            </w:r>
            <w:r w:rsidR="0078679A" w:rsidRPr="009C2E20">
              <w:t>574 „Grozījumi Ministru kabineta 2013.</w:t>
            </w:r>
            <w:r w:rsidR="00826033">
              <w:t> </w:t>
            </w:r>
            <w:r w:rsidR="0078679A" w:rsidRPr="009C2E20">
              <w:t>gada 17.</w:t>
            </w:r>
            <w:r w:rsidR="00826033">
              <w:t> </w:t>
            </w:r>
            <w:r w:rsidR="0078679A" w:rsidRPr="009C2E20">
              <w:t>decembra noteikumos Nr.</w:t>
            </w:r>
            <w:r w:rsidR="00826033">
              <w:t> </w:t>
            </w:r>
            <w:r w:rsidR="0078679A" w:rsidRPr="009C2E20">
              <w:t>1529 „Veselības aprūpes organizēšanas un finansēšanas kārtība”</w:t>
            </w:r>
            <w:r w:rsidR="008A1124" w:rsidRPr="009C2E20">
              <w:t>”</w:t>
            </w:r>
            <w:r w:rsidR="0078679A" w:rsidRPr="009C2E20">
              <w:t xml:space="preserve"> iekļautajiem grozījumiem, kas pilnveidoja zobārstniecības pakalpojumu finansēšanas sistēmu, tiktu kompleksi risināta zobārstniecības pakalpojumu apjoma regulācijas pilnveidošana,</w:t>
            </w:r>
            <w:r w:rsidR="00DF23C0" w:rsidRPr="009C2E20">
              <w:t xml:space="preserve"> Nacionālais veselības dienests</w:t>
            </w:r>
            <w:r w:rsidR="0078679A" w:rsidRPr="009C2E20">
              <w:t xml:space="preserve"> </w:t>
            </w:r>
            <w:r w:rsidR="00DF23C0" w:rsidRPr="009C2E20">
              <w:t xml:space="preserve">(turpmāk – </w:t>
            </w:r>
            <w:r w:rsidR="0078679A" w:rsidRPr="009C2E20">
              <w:t>dienests</w:t>
            </w:r>
            <w:r w:rsidR="00DF23C0" w:rsidRPr="009C2E20">
              <w:t>)</w:t>
            </w:r>
            <w:r w:rsidR="0078679A" w:rsidRPr="009C2E20">
              <w:t xml:space="preserve"> sadarbojoties ar Latvijas Zobārstni</w:t>
            </w:r>
            <w:r w:rsidR="00460646" w:rsidRPr="009C2E20">
              <w:t xml:space="preserve">ecības asociāciju </w:t>
            </w:r>
            <w:r w:rsidR="0078679A" w:rsidRPr="009C2E20">
              <w:t>izstrādāja un noteica manipulāciju apjomu, kur</w:t>
            </w:r>
            <w:r w:rsidR="00460646" w:rsidRPr="009C2E20">
              <w:t>u at</w:t>
            </w:r>
            <w:r w:rsidR="00271872" w:rsidRPr="009C2E20">
              <w:t xml:space="preserve">bilstoši kompetencei var veikt </w:t>
            </w:r>
            <w:r w:rsidR="00460646" w:rsidRPr="009C2E20">
              <w:t>tikai noteikts zobārstniecības speciālists.</w:t>
            </w:r>
            <w:r w:rsidR="00271872" w:rsidRPr="009C2E20">
              <w:t xml:space="preserve"> Nepieciešamība noteikumos iekļaut izstrādāto manipulāciju apjomu, saistāma ar datu kvalitātes nodrošinājumu, </w:t>
            </w:r>
            <w:r w:rsidR="00D23EA3" w:rsidRPr="009C2E20">
              <w:t>tos</w:t>
            </w:r>
            <w:r w:rsidR="00271872" w:rsidRPr="009C2E20">
              <w:t xml:space="preserve"> ievietojot un apstrā</w:t>
            </w:r>
            <w:r w:rsidR="00D23EA3" w:rsidRPr="009C2E20">
              <w:t xml:space="preserve">dājot dienesta </w:t>
            </w:r>
            <w:r w:rsidR="00D2639D" w:rsidRPr="009C2E20">
              <w:t>V</w:t>
            </w:r>
            <w:r w:rsidR="00937FA8" w:rsidRPr="009C2E20">
              <w:t>adības informācijas sistēmā</w:t>
            </w:r>
            <w:r w:rsidR="00D23EA3" w:rsidRPr="009C2E20">
              <w:t>, kas savukārt saistāma ar precīzu finanšu līdzekļu aprēķinu.</w:t>
            </w:r>
          </w:p>
          <w:p w:rsidR="007146E8" w:rsidRPr="009C2E20" w:rsidRDefault="00325DDE" w:rsidP="006B2E7C">
            <w:pPr>
              <w:ind w:firstLine="336"/>
              <w:contextualSpacing/>
              <w:jc w:val="both"/>
              <w:rPr>
                <w:strike/>
                <w:szCs w:val="24"/>
              </w:rPr>
            </w:pPr>
            <w:r w:rsidRPr="009C2E20">
              <w:t>5.</w:t>
            </w:r>
            <w:r w:rsidR="00826033">
              <w:rPr>
                <w:rFonts w:cs="Times New Roman"/>
              </w:rPr>
              <w:t> </w:t>
            </w:r>
            <w:r w:rsidR="007146E8" w:rsidRPr="009C2E20">
              <w:rPr>
                <w:rFonts w:cs="Times New Roman"/>
              </w:rPr>
              <w:t>Atbilstoši noteikumu 135.</w:t>
            </w:r>
            <w:r w:rsidR="00826033">
              <w:rPr>
                <w:rFonts w:cs="Times New Roman"/>
              </w:rPr>
              <w:t> </w:t>
            </w:r>
            <w:r w:rsidR="007146E8" w:rsidRPr="009C2E20">
              <w:rPr>
                <w:rFonts w:cs="Times New Roman"/>
              </w:rPr>
              <w:t xml:space="preserve">punktā noteiktajam, dienests katru gadu līdz 1. jūnijam apkopo un publicē savā tīmekļa vietnē informāciju </w:t>
            </w:r>
            <w:r w:rsidR="00DA35B6" w:rsidRPr="009C2E20">
              <w:rPr>
                <w:rFonts w:cs="Times New Roman"/>
              </w:rPr>
              <w:t xml:space="preserve">par to ārstniecības iestāžu veselības aprūpes kvalitāti (iepriekšējā gadā), kas sniedz stacionāros veselības aprūpes atbilstoši normā noteiktajiem kritērijiem. </w:t>
            </w:r>
          </w:p>
          <w:p w:rsidR="00DA35B6" w:rsidRPr="009C2E20" w:rsidRDefault="00DA35B6" w:rsidP="0011252C">
            <w:pPr>
              <w:ind w:firstLine="335"/>
              <w:contextualSpacing/>
              <w:jc w:val="both"/>
              <w:rPr>
                <w:rFonts w:cs="Times New Roman"/>
              </w:rPr>
            </w:pPr>
            <w:r w:rsidRPr="009C2E20">
              <w:rPr>
                <w:rFonts w:cs="Times New Roman"/>
              </w:rPr>
              <w:t>Pamatojoties uz nepieciešamību pēc citu kvalitāti raksturojošu rādītāju izmantošanu informācijas apkopošanā un analīzē, nepieciešams veikt grozījumu noteikumu 135.</w:t>
            </w:r>
            <w:r w:rsidR="00826033">
              <w:rPr>
                <w:rFonts w:cs="Times New Roman"/>
              </w:rPr>
              <w:t> </w:t>
            </w:r>
            <w:r w:rsidRPr="009C2E20">
              <w:rPr>
                <w:rFonts w:cs="Times New Roman"/>
              </w:rPr>
              <w:t>punktā,</w:t>
            </w:r>
            <w:r w:rsidR="00FE7F80" w:rsidRPr="009C2E20">
              <w:rPr>
                <w:rFonts w:cs="Times New Roman"/>
              </w:rPr>
              <w:t xml:space="preserve"> nosakot, ka var tikt pielietoti arī citi būtiski kvalitāti raksturojoši rādītāji. </w:t>
            </w:r>
          </w:p>
          <w:p w:rsidR="00EB57AB" w:rsidRPr="009C2E20" w:rsidRDefault="00EB57AB" w:rsidP="00EB57AB">
            <w:pPr>
              <w:ind w:firstLine="335"/>
              <w:contextualSpacing/>
              <w:jc w:val="both"/>
              <w:rPr>
                <w:rFonts w:cs="Times New Roman"/>
              </w:rPr>
            </w:pPr>
            <w:r w:rsidRPr="009C2E20">
              <w:rPr>
                <w:rFonts w:cs="Times New Roman"/>
              </w:rPr>
              <w:t>Šādi dienesta apkopotie dati palīdz organizēt efektīvu veselības aprūpei atvēlēto valsts budžeta līdzekļu izlietojumu, kā arī konstatēt tendences dinamikā veselības aprūpes jomā.</w:t>
            </w:r>
          </w:p>
          <w:p w:rsidR="006B2E7C" w:rsidRPr="009C2E20" w:rsidRDefault="006B2E7C" w:rsidP="006B2E7C">
            <w:pPr>
              <w:ind w:firstLine="335"/>
              <w:contextualSpacing/>
              <w:jc w:val="both"/>
              <w:rPr>
                <w:rFonts w:cs="Times New Roman"/>
              </w:rPr>
            </w:pPr>
            <w:r w:rsidRPr="009C2E20">
              <w:rPr>
                <w:rFonts w:cs="Times New Roman"/>
              </w:rPr>
              <w:t>6</w:t>
            </w:r>
            <w:r w:rsidR="00692ECA" w:rsidRPr="009C2E20">
              <w:rPr>
                <w:rFonts w:cs="Times New Roman"/>
              </w:rPr>
              <w:t>.</w:t>
            </w:r>
            <w:r w:rsidR="00826033">
              <w:rPr>
                <w:rFonts w:cs="Times New Roman"/>
              </w:rPr>
              <w:t> </w:t>
            </w:r>
            <w:r w:rsidRPr="009C2E20">
              <w:rPr>
                <w:rFonts w:cs="Times New Roman"/>
              </w:rPr>
              <w:t>Noteikumu projekts paredz noteikumu 157.</w:t>
            </w:r>
            <w:r w:rsidR="00826033">
              <w:rPr>
                <w:rFonts w:cs="Times New Roman"/>
              </w:rPr>
              <w:t> </w:t>
            </w:r>
            <w:r w:rsidRPr="009C2E20">
              <w:rPr>
                <w:rFonts w:cs="Times New Roman"/>
              </w:rPr>
              <w:t>punktu papildināt ar atsauci uz noteikumu 2.</w:t>
            </w:r>
            <w:r w:rsidR="00826033">
              <w:rPr>
                <w:rFonts w:cs="Times New Roman"/>
              </w:rPr>
              <w:t> </w:t>
            </w:r>
            <w:r w:rsidRPr="009C2E20">
              <w:rPr>
                <w:rFonts w:cs="Times New Roman"/>
              </w:rPr>
              <w:t>pielikuma 1.</w:t>
            </w:r>
            <w:r w:rsidR="00826033">
              <w:rPr>
                <w:rFonts w:cs="Times New Roman"/>
              </w:rPr>
              <w:t> </w:t>
            </w:r>
            <w:r w:rsidRPr="009C2E20">
              <w:rPr>
                <w:rFonts w:cs="Times New Roman"/>
              </w:rPr>
              <w:t>punktu (apmaksājamo ambulatoro laboratorisko izmeklējumu sarakstu) un papildus precizējumu par ambulatori laboratoriski veikto izmeklējumu apmaksu, jo saskaņa ar budžeta apakšprogrammu „Laboratorisko izmeklējumu nodrošināšana ambulatorā aprūpē” un noteikumu 244.1.2.</w:t>
            </w:r>
            <w:r w:rsidR="00826033">
              <w:rPr>
                <w:rFonts w:cs="Times New Roman"/>
              </w:rPr>
              <w:t> </w:t>
            </w:r>
            <w:r w:rsidRPr="009C2E20">
              <w:rPr>
                <w:rFonts w:cs="Times New Roman"/>
              </w:rPr>
              <w:t>apakšpunktu, budžeta līdzekļi prioritāri tiek plānoti histoloģisko pakalpojumu apmaksai, tos apmaksājot pēc faktiski veikto aprūpes epizožu skaita.</w:t>
            </w:r>
          </w:p>
          <w:p w:rsidR="00772580" w:rsidRPr="009C2E20" w:rsidRDefault="006B2E7C" w:rsidP="00804EE2">
            <w:pPr>
              <w:ind w:firstLine="335"/>
              <w:contextualSpacing/>
              <w:jc w:val="both"/>
              <w:rPr>
                <w:rFonts w:cs="Times New Roman"/>
              </w:rPr>
            </w:pPr>
            <w:r w:rsidRPr="009C2E20">
              <w:rPr>
                <w:rFonts w:cs="Times New Roman"/>
              </w:rPr>
              <w:t>7</w:t>
            </w:r>
            <w:r w:rsidR="00D831FA" w:rsidRPr="009C2E20">
              <w:rPr>
                <w:rFonts w:cs="Times New Roman"/>
              </w:rPr>
              <w:t>.</w:t>
            </w:r>
            <w:r w:rsidR="00826033">
              <w:rPr>
                <w:rFonts w:cs="Times New Roman"/>
              </w:rPr>
              <w:t> </w:t>
            </w:r>
            <w:r w:rsidR="00C9671F" w:rsidRPr="009C2E20">
              <w:rPr>
                <w:rFonts w:cs="Times New Roman"/>
              </w:rPr>
              <w:t xml:space="preserve">Noteikumu projekts paredz </w:t>
            </w:r>
            <w:r w:rsidR="00FE7F80" w:rsidRPr="009C2E20">
              <w:rPr>
                <w:rFonts w:cs="Times New Roman"/>
              </w:rPr>
              <w:t>izteikt jaunā redakcijā</w:t>
            </w:r>
            <w:r w:rsidR="00C9671F" w:rsidRPr="009C2E20">
              <w:rPr>
                <w:rFonts w:cs="Times New Roman"/>
              </w:rPr>
              <w:t xml:space="preserve"> noteikumu 168.6.</w:t>
            </w:r>
            <w:r w:rsidR="00826033">
              <w:rPr>
                <w:rFonts w:cs="Times New Roman"/>
              </w:rPr>
              <w:t> </w:t>
            </w:r>
            <w:r w:rsidR="00C9671F" w:rsidRPr="009C2E20">
              <w:rPr>
                <w:rFonts w:cs="Times New Roman"/>
              </w:rPr>
              <w:t>un 168.7.</w:t>
            </w:r>
            <w:r w:rsidR="00826033">
              <w:rPr>
                <w:rFonts w:cs="Times New Roman"/>
              </w:rPr>
              <w:t> </w:t>
            </w:r>
            <w:r w:rsidR="00C9671F" w:rsidRPr="009C2E20">
              <w:rPr>
                <w:rFonts w:cs="Times New Roman"/>
              </w:rPr>
              <w:t xml:space="preserve">apakšpunktus attiecībā uz samaksu par pakalpojumu programmās ietilpstošajiem veselības aprūpes pakalpojumiem, kuriem noteikts viena pacienta ārstēšanās tarifs, paredzot, ka par tiem turpmāk maksā pēc </w:t>
            </w:r>
            <w:r w:rsidRPr="009C2E20">
              <w:rPr>
                <w:rFonts w:cs="Times New Roman"/>
              </w:rPr>
              <w:t>sniegtā pakalpojumu apjom</w:t>
            </w:r>
            <w:r w:rsidR="00804EE2" w:rsidRPr="009C2E20">
              <w:rPr>
                <w:rFonts w:cs="Times New Roman"/>
              </w:rPr>
              <w:t>a</w:t>
            </w:r>
            <w:r w:rsidR="00C9671F" w:rsidRPr="009C2E20">
              <w:rPr>
                <w:rFonts w:cs="Times New Roman"/>
              </w:rPr>
              <w:t>.</w:t>
            </w:r>
            <w:r w:rsidR="00804EE2" w:rsidRPr="009C2E20">
              <w:rPr>
                <w:rFonts w:cs="Times New Roman"/>
              </w:rPr>
              <w:t xml:space="preserve">  </w:t>
            </w:r>
          </w:p>
          <w:p w:rsidR="005E2FF0" w:rsidRPr="009C2E20" w:rsidRDefault="00772580" w:rsidP="005E2FF0">
            <w:pPr>
              <w:ind w:firstLine="335"/>
              <w:contextualSpacing/>
              <w:jc w:val="both"/>
              <w:rPr>
                <w:rFonts w:cs="Times New Roman"/>
              </w:rPr>
            </w:pPr>
            <w:r w:rsidRPr="009C2E20">
              <w:rPr>
                <w:rFonts w:cs="Times New Roman"/>
              </w:rPr>
              <w:t>Savukārt, lai nodrošinātu ilg</w:t>
            </w:r>
            <w:r w:rsidR="005E2FF0" w:rsidRPr="009C2E20">
              <w:rPr>
                <w:rFonts w:cs="Times New Roman"/>
              </w:rPr>
              <w:t xml:space="preserve">stošu psihiatrisko ārstniecību </w:t>
            </w:r>
            <w:r w:rsidRPr="009C2E20">
              <w:rPr>
                <w:rFonts w:cs="Times New Roman"/>
              </w:rPr>
              <w:t xml:space="preserve">bērniem </w:t>
            </w:r>
            <w:r w:rsidR="005E2FF0" w:rsidRPr="009C2E20">
              <w:rPr>
                <w:rFonts w:cs="Times New Roman"/>
              </w:rPr>
              <w:lastRenderedPageBreak/>
              <w:t>(</w:t>
            </w:r>
            <w:r w:rsidRPr="009C2E20">
              <w:rPr>
                <w:rFonts w:cs="Times New Roman"/>
              </w:rPr>
              <w:t>stacionārā ārstniecības iestādē</w:t>
            </w:r>
            <w:r w:rsidR="005E2FF0" w:rsidRPr="009C2E20">
              <w:rPr>
                <w:rFonts w:cs="Times New Roman"/>
              </w:rPr>
              <w:t>)</w:t>
            </w:r>
            <w:r w:rsidRPr="009C2E20">
              <w:rPr>
                <w:rFonts w:cs="Times New Roman"/>
              </w:rPr>
              <w:t xml:space="preserve"> un </w:t>
            </w:r>
            <w:r w:rsidR="005E2FF0" w:rsidRPr="009C2E20">
              <w:rPr>
                <w:rFonts w:cs="Times New Roman"/>
              </w:rPr>
              <w:t xml:space="preserve">piespiedu psihiatrisko ārstēšanu (ar apsardzi), noteikumu papildināti ar </w:t>
            </w:r>
            <w:r w:rsidR="00804EE2" w:rsidRPr="009C2E20">
              <w:rPr>
                <w:rFonts w:cs="Times New Roman"/>
              </w:rPr>
              <w:t>168.9.</w:t>
            </w:r>
            <w:r w:rsidR="00826033">
              <w:rPr>
                <w:rFonts w:cs="Times New Roman"/>
              </w:rPr>
              <w:t> </w:t>
            </w:r>
            <w:r w:rsidR="00804EE2" w:rsidRPr="009C2E20">
              <w:rPr>
                <w:rFonts w:cs="Times New Roman"/>
              </w:rPr>
              <w:t>apakšpunkt</w:t>
            </w:r>
            <w:r w:rsidR="005E2FF0" w:rsidRPr="009C2E20">
              <w:rPr>
                <w:rFonts w:cs="Times New Roman"/>
              </w:rPr>
              <w:t>u</w:t>
            </w:r>
            <w:r w:rsidR="00804EE2" w:rsidRPr="009C2E20">
              <w:rPr>
                <w:rFonts w:cs="Times New Roman"/>
              </w:rPr>
              <w:t xml:space="preserve"> nosakot</w:t>
            </w:r>
            <w:r w:rsidR="005E2FF0" w:rsidRPr="009C2E20">
              <w:rPr>
                <w:rFonts w:cs="Times New Roman"/>
              </w:rPr>
              <w:t>, ka iepriekšminētos veselības aprūpes pakalpojumus apmaksā atbilstoši tāmes finansējumam.  Ar iepriekš minēto grozījumu VSIA „Bērnu psihoneiroloģiskā slimnīca „Ainaži”” būs iespējams turpmāk nodrošināt psihiatriskās ārstēšanas pakalpojumus, neatkarīgi no ārstniecības iestādē ārstēto pacientu skaita.</w:t>
            </w:r>
          </w:p>
          <w:p w:rsidR="006E51C7" w:rsidRPr="009C2E20" w:rsidRDefault="00804EE2" w:rsidP="006E51C7">
            <w:pPr>
              <w:ind w:firstLine="335"/>
              <w:contextualSpacing/>
              <w:jc w:val="both"/>
              <w:rPr>
                <w:rFonts w:cs="Times New Roman"/>
              </w:rPr>
            </w:pPr>
            <w:r w:rsidRPr="009C2E20">
              <w:rPr>
                <w:rFonts w:cs="Times New Roman"/>
              </w:rPr>
              <w:t>8</w:t>
            </w:r>
            <w:r w:rsidR="003179E5" w:rsidRPr="009C2E20">
              <w:rPr>
                <w:rFonts w:cs="Times New Roman"/>
              </w:rPr>
              <w:t>.</w:t>
            </w:r>
            <w:r w:rsidR="00826033">
              <w:rPr>
                <w:rFonts w:cs="Times New Roman"/>
              </w:rPr>
              <w:t> </w:t>
            </w:r>
            <w:r w:rsidRPr="009C2E20">
              <w:rPr>
                <w:rFonts w:cs="Times New Roman"/>
              </w:rPr>
              <w:t>Lai veicinātu veselības aprūpes pakalpojumu pieejamību un savlaicīgu medicīniskās palīdzības saņemšanu</w:t>
            </w:r>
            <w:r w:rsidR="00F6487B" w:rsidRPr="009C2E20">
              <w:rPr>
                <w:rFonts w:cs="Times New Roman"/>
              </w:rPr>
              <w:t xml:space="preserve"> jebkurā diennakts laikā</w:t>
            </w:r>
            <w:r w:rsidRPr="009C2E20">
              <w:rPr>
                <w:rFonts w:cs="Times New Roman"/>
              </w:rPr>
              <w:t>, veikti grozījumi noteikumu 169.</w:t>
            </w:r>
            <w:r w:rsidR="00826033">
              <w:rPr>
                <w:rFonts w:cs="Times New Roman"/>
              </w:rPr>
              <w:t> </w:t>
            </w:r>
            <w:r w:rsidRPr="009C2E20">
              <w:rPr>
                <w:rFonts w:cs="Times New Roman"/>
              </w:rPr>
              <w:t>punktā, kā arī 3.</w:t>
            </w:r>
            <w:r w:rsidR="00826033">
              <w:rPr>
                <w:rFonts w:cs="Times New Roman"/>
              </w:rPr>
              <w:t> </w:t>
            </w:r>
            <w:r w:rsidRPr="009C2E20">
              <w:rPr>
                <w:rFonts w:cs="Times New Roman"/>
              </w:rPr>
              <w:t>pielikuma 1.</w:t>
            </w:r>
            <w:r w:rsidR="00826033">
              <w:rPr>
                <w:rFonts w:cs="Times New Roman"/>
              </w:rPr>
              <w:t> </w:t>
            </w:r>
            <w:r w:rsidRPr="009C2E20">
              <w:rPr>
                <w:rFonts w:cs="Times New Roman"/>
              </w:rPr>
              <w:t>punktā.</w:t>
            </w:r>
            <w:r w:rsidR="00280254" w:rsidRPr="009C2E20">
              <w:rPr>
                <w:rFonts w:cs="Times New Roman"/>
              </w:rPr>
              <w:t xml:space="preserve"> </w:t>
            </w:r>
            <w:r w:rsidR="00772580" w:rsidRPr="009C2E20">
              <w:rPr>
                <w:rFonts w:cs="Times New Roman"/>
              </w:rPr>
              <w:t xml:space="preserve">Ar grozījumiem </w:t>
            </w:r>
            <w:r w:rsidR="00280254" w:rsidRPr="009C2E20">
              <w:rPr>
                <w:rFonts w:cs="Times New Roman"/>
              </w:rPr>
              <w:t xml:space="preserve">noteikts, ka </w:t>
            </w:r>
            <w:r w:rsidR="00F6487B" w:rsidRPr="009C2E20">
              <w:rPr>
                <w:rFonts w:cs="Times New Roman"/>
              </w:rPr>
              <w:t>ārstniecības iestādēm, kas minētas noteikumu 3.</w:t>
            </w:r>
            <w:r w:rsidR="00826033">
              <w:rPr>
                <w:rFonts w:cs="Times New Roman"/>
              </w:rPr>
              <w:t> </w:t>
            </w:r>
            <w:r w:rsidR="00F6487B" w:rsidRPr="009C2E20">
              <w:rPr>
                <w:rFonts w:cs="Times New Roman"/>
              </w:rPr>
              <w:t>pielikuma 1.</w:t>
            </w:r>
            <w:r w:rsidR="00826033">
              <w:rPr>
                <w:rFonts w:cs="Times New Roman"/>
              </w:rPr>
              <w:t> </w:t>
            </w:r>
            <w:r w:rsidR="00F6487B" w:rsidRPr="009C2E20">
              <w:rPr>
                <w:rFonts w:cs="Times New Roman"/>
              </w:rPr>
              <w:t>punktā, ir pienākums nodrošināt atbilstošu specialitāšu ārstniecības personu diennakts dežūras</w:t>
            </w:r>
            <w:r w:rsidR="007F3D60" w:rsidRPr="009C2E20">
              <w:rPr>
                <w:rFonts w:cs="Times New Roman"/>
              </w:rPr>
              <w:t xml:space="preserve"> slimnīcā</w:t>
            </w:r>
            <w:r w:rsidR="00F6487B" w:rsidRPr="009C2E20">
              <w:rPr>
                <w:rFonts w:cs="Times New Roman"/>
              </w:rPr>
              <w:t>.</w:t>
            </w:r>
          </w:p>
          <w:p w:rsidR="005A3079" w:rsidRPr="009C2E20" w:rsidRDefault="006E51C7" w:rsidP="006E51C7">
            <w:pPr>
              <w:ind w:firstLine="335"/>
              <w:contextualSpacing/>
              <w:jc w:val="both"/>
              <w:rPr>
                <w:rFonts w:cs="Times New Roman"/>
              </w:rPr>
            </w:pPr>
            <w:r w:rsidRPr="009C2E20">
              <w:rPr>
                <w:rFonts w:cs="Times New Roman"/>
              </w:rPr>
              <w:t>Vienlaikus pamatojoties uz apstākļiem, kas norāda, ka ne visas ārstniecības iestādes, kuras minētas 3.</w:t>
            </w:r>
            <w:r w:rsidR="00826033">
              <w:rPr>
                <w:rFonts w:cs="Times New Roman"/>
              </w:rPr>
              <w:t xml:space="preserve"> </w:t>
            </w:r>
            <w:r w:rsidRPr="009C2E20">
              <w:rPr>
                <w:rFonts w:cs="Times New Roman"/>
              </w:rPr>
              <w:t>pielikuma 1.</w:t>
            </w:r>
            <w:r w:rsidR="00826033">
              <w:rPr>
                <w:rFonts w:cs="Times New Roman"/>
              </w:rPr>
              <w:t> </w:t>
            </w:r>
            <w:r w:rsidRPr="009C2E20">
              <w:rPr>
                <w:rFonts w:cs="Times New Roman"/>
              </w:rPr>
              <w:t>punktā ar 2017.</w:t>
            </w:r>
            <w:r w:rsidR="00826033">
              <w:rPr>
                <w:rFonts w:cs="Times New Roman"/>
              </w:rPr>
              <w:t> </w:t>
            </w:r>
            <w:r w:rsidRPr="009C2E20">
              <w:rPr>
                <w:rFonts w:cs="Times New Roman"/>
              </w:rPr>
              <w:t>gada 1.</w:t>
            </w:r>
            <w:r w:rsidR="00826033">
              <w:rPr>
                <w:rFonts w:cs="Times New Roman"/>
              </w:rPr>
              <w:t> </w:t>
            </w:r>
            <w:r w:rsidRPr="009C2E20">
              <w:rPr>
                <w:rFonts w:cs="Times New Roman"/>
              </w:rPr>
              <w:t>janvāri var nodrošināt minētos speciālistes ārstniecības personas, noteikumu projekts ar 366.</w:t>
            </w:r>
            <w:r w:rsidR="00826033">
              <w:rPr>
                <w:rFonts w:cs="Times New Roman"/>
              </w:rPr>
              <w:t> </w:t>
            </w:r>
            <w:r w:rsidRPr="009C2E20">
              <w:rPr>
                <w:rFonts w:cs="Times New Roman"/>
              </w:rPr>
              <w:t>punktu paredz noteikt pārejas periodu līdz 2017.</w:t>
            </w:r>
            <w:r w:rsidR="00826033">
              <w:rPr>
                <w:rFonts w:cs="Times New Roman"/>
              </w:rPr>
              <w:t> </w:t>
            </w:r>
            <w:r w:rsidRPr="009C2E20">
              <w:rPr>
                <w:rFonts w:cs="Times New Roman"/>
              </w:rPr>
              <w:t>gada 1.</w:t>
            </w:r>
            <w:r w:rsidR="00826033">
              <w:rPr>
                <w:rFonts w:cs="Times New Roman"/>
              </w:rPr>
              <w:t> </w:t>
            </w:r>
            <w:r w:rsidRPr="009C2E20">
              <w:rPr>
                <w:rFonts w:cs="Times New Roman"/>
              </w:rPr>
              <w:t>jūlijam</w:t>
            </w:r>
            <w:r w:rsidR="005A3079" w:rsidRPr="009C2E20">
              <w:rPr>
                <w:rFonts w:cs="Times New Roman"/>
              </w:rPr>
              <w:t>. Ņemot vērā iepriekš minēto, konkrētajām ārstniecības iestādēm līdz pārejas perioda beigām būs iespējams organizēt diennakts dežūras atbilstoši ārstniecības iestādē esošajiem cilvēkresursiem.</w:t>
            </w:r>
          </w:p>
          <w:p w:rsidR="00821AD4" w:rsidRPr="009C2E20" w:rsidRDefault="00760854" w:rsidP="00821AD4">
            <w:pPr>
              <w:ind w:firstLine="335"/>
              <w:contextualSpacing/>
              <w:jc w:val="both"/>
              <w:rPr>
                <w:rFonts w:cs="Times New Roman"/>
              </w:rPr>
            </w:pPr>
            <w:r w:rsidRPr="009C2E20">
              <w:rPr>
                <w:rFonts w:cs="Times New Roman"/>
              </w:rPr>
              <w:t>9</w:t>
            </w:r>
            <w:r w:rsidR="00C9671F" w:rsidRPr="009C2E20">
              <w:rPr>
                <w:rFonts w:cs="Times New Roman"/>
              </w:rPr>
              <w:t>.</w:t>
            </w:r>
            <w:r w:rsidR="00826033">
              <w:rPr>
                <w:rFonts w:cs="Times New Roman"/>
              </w:rPr>
              <w:t> </w:t>
            </w:r>
            <w:r w:rsidR="00821AD4" w:rsidRPr="009C2E20">
              <w:rPr>
                <w:rFonts w:cs="Times New Roman"/>
              </w:rPr>
              <w:t>Ņemot vērā, ka mikrobioloģisko izmeklējumu rezultāti, kas saistīti ar tuberkulozes noteikšanu, ir tieši saistīti ar konkrētas diagnozes noteikšanu, kas savukārt ietekmē turpmāko ārstniecību, nepieciešam</w:t>
            </w:r>
            <w:r w:rsidR="00826033">
              <w:rPr>
                <w:rFonts w:cs="Times New Roman"/>
              </w:rPr>
              <w:t>s veikt grozījumu notikumu 178. </w:t>
            </w:r>
            <w:r w:rsidR="00821AD4" w:rsidRPr="009C2E20">
              <w:rPr>
                <w:rFonts w:cs="Times New Roman"/>
              </w:rPr>
              <w:t>punktā, nosakot, ka dienests veic apmaksu par mikrobioloģiskajiem izmeklējumiem uz tuberkulozi, ja paraugs paņemts pirms personas ievietošanas stacionārajā iestādē.</w:t>
            </w:r>
          </w:p>
          <w:p w:rsidR="00EA24B4" w:rsidRPr="009C2E20" w:rsidRDefault="00C9671F" w:rsidP="00760854">
            <w:pPr>
              <w:ind w:firstLine="335"/>
              <w:contextualSpacing/>
              <w:jc w:val="both"/>
              <w:rPr>
                <w:rFonts w:cs="Times New Roman"/>
              </w:rPr>
            </w:pPr>
            <w:r w:rsidRPr="009C2E20">
              <w:rPr>
                <w:rFonts w:cs="Times New Roman"/>
              </w:rPr>
              <w:t>1</w:t>
            </w:r>
            <w:r w:rsidR="004E6DA4" w:rsidRPr="009C2E20">
              <w:rPr>
                <w:rFonts w:cs="Times New Roman"/>
              </w:rPr>
              <w:t>0</w:t>
            </w:r>
            <w:r w:rsidRPr="009C2E20">
              <w:rPr>
                <w:rFonts w:cs="Times New Roman"/>
              </w:rPr>
              <w:t>.</w:t>
            </w:r>
            <w:r w:rsidR="00826033">
              <w:rPr>
                <w:rFonts w:cs="Times New Roman"/>
              </w:rPr>
              <w:t> </w:t>
            </w:r>
            <w:r w:rsidR="00EA24B4" w:rsidRPr="009C2E20">
              <w:rPr>
                <w:rFonts w:cs="Times New Roman"/>
              </w:rPr>
              <w:t>Ar grozījumiem noteikumu 180.</w:t>
            </w:r>
            <w:r w:rsidR="00826033">
              <w:rPr>
                <w:rFonts w:cs="Times New Roman"/>
              </w:rPr>
              <w:t> </w:t>
            </w:r>
            <w:r w:rsidR="00EA24B4" w:rsidRPr="009C2E20">
              <w:rPr>
                <w:rFonts w:cs="Times New Roman"/>
              </w:rPr>
              <w:t>punktā tiek noteikts, ka laboratorisko pakalpojumu apjoms tiek plānots atbilstoši budžeta apakšprogrammai „Laboratorisko izmeklējumu nodrošināšana ambulatorā aprūpē” vienlaikus norādot, ka budžeta līdzekļi prioritāri tiek plānoti histoloģisko pakalpojumu apmaksai.</w:t>
            </w:r>
            <w:r w:rsidR="00760854" w:rsidRPr="009C2E20">
              <w:rPr>
                <w:rFonts w:cs="Times New Roman"/>
              </w:rPr>
              <w:t xml:space="preserve"> </w:t>
            </w:r>
            <w:r w:rsidR="00EA24B4" w:rsidRPr="009C2E20">
              <w:rPr>
                <w:rFonts w:cs="Times New Roman"/>
              </w:rPr>
              <w:t xml:space="preserve">Pamatojoties uz </w:t>
            </w:r>
            <w:r w:rsidR="00760854" w:rsidRPr="009C2E20">
              <w:rPr>
                <w:rFonts w:cs="Times New Roman"/>
              </w:rPr>
              <w:t xml:space="preserve"> iepriekš minētajiem </w:t>
            </w:r>
            <w:r w:rsidR="00EA24B4" w:rsidRPr="009C2E20">
              <w:rPr>
                <w:rFonts w:cs="Times New Roman"/>
              </w:rPr>
              <w:t>grozījumiem noteikumu 180.</w:t>
            </w:r>
            <w:r w:rsidR="00826033">
              <w:rPr>
                <w:rFonts w:cs="Times New Roman"/>
              </w:rPr>
              <w:t> </w:t>
            </w:r>
            <w:r w:rsidR="00EA24B4" w:rsidRPr="009C2E20">
              <w:rPr>
                <w:rFonts w:cs="Times New Roman"/>
              </w:rPr>
              <w:t xml:space="preserve">punktā, </w:t>
            </w:r>
            <w:r w:rsidR="00FA451B" w:rsidRPr="009C2E20">
              <w:rPr>
                <w:rFonts w:cs="Times New Roman"/>
              </w:rPr>
              <w:t xml:space="preserve">papildus </w:t>
            </w:r>
            <w:r w:rsidR="00EA24B4" w:rsidRPr="009C2E20">
              <w:rPr>
                <w:rFonts w:cs="Times New Roman"/>
              </w:rPr>
              <w:t>veikti attiecīgi grozījumi noteikumu 181.</w:t>
            </w:r>
            <w:r w:rsidR="00826033">
              <w:rPr>
                <w:rFonts w:cs="Times New Roman"/>
              </w:rPr>
              <w:t> </w:t>
            </w:r>
            <w:r w:rsidR="00EA24B4" w:rsidRPr="009C2E20">
              <w:rPr>
                <w:rFonts w:cs="Times New Roman"/>
              </w:rPr>
              <w:t>un 181.</w:t>
            </w:r>
            <w:r w:rsidR="00EA24B4" w:rsidRPr="009C2E20">
              <w:rPr>
                <w:rFonts w:cs="Times New Roman"/>
                <w:vertAlign w:val="superscript"/>
              </w:rPr>
              <w:t>1</w:t>
            </w:r>
            <w:r w:rsidR="00826033">
              <w:rPr>
                <w:rFonts w:cs="Times New Roman"/>
              </w:rPr>
              <w:t> </w:t>
            </w:r>
            <w:r w:rsidR="00EA24B4" w:rsidRPr="009C2E20">
              <w:rPr>
                <w:rFonts w:cs="Times New Roman"/>
              </w:rPr>
              <w:t>punktā.</w:t>
            </w:r>
          </w:p>
          <w:p w:rsidR="004E6DA4" w:rsidRPr="009C2E20" w:rsidRDefault="00035E5E" w:rsidP="004E6DA4">
            <w:pPr>
              <w:ind w:firstLine="335"/>
              <w:contextualSpacing/>
              <w:jc w:val="both"/>
            </w:pPr>
            <w:r w:rsidRPr="009C2E20">
              <w:rPr>
                <w:rFonts w:cs="Times New Roman"/>
              </w:rPr>
              <w:t>1</w:t>
            </w:r>
            <w:r w:rsidR="004E6DA4" w:rsidRPr="009C2E20">
              <w:rPr>
                <w:rFonts w:cs="Times New Roman"/>
              </w:rPr>
              <w:t>1</w:t>
            </w:r>
            <w:r w:rsidRPr="009C2E20">
              <w:rPr>
                <w:rFonts w:cs="Times New Roman"/>
              </w:rPr>
              <w:t>.</w:t>
            </w:r>
            <w:r w:rsidR="00826033">
              <w:rPr>
                <w:rFonts w:cs="Times New Roman"/>
              </w:rPr>
              <w:t> </w:t>
            </w:r>
            <w:r w:rsidR="004E6DA4" w:rsidRPr="009C2E20">
              <w:rPr>
                <w:rFonts w:cs="Times New Roman"/>
              </w:rPr>
              <w:t>Noteikumu 182.</w:t>
            </w:r>
            <w:r w:rsidR="006138C1" w:rsidRPr="009C2E20">
              <w:rPr>
                <w:rFonts w:cs="Times New Roman"/>
              </w:rPr>
              <w:t>1.4.</w:t>
            </w:r>
            <w:r w:rsidR="00826033">
              <w:rPr>
                <w:rFonts w:cs="Times New Roman"/>
              </w:rPr>
              <w:t> </w:t>
            </w:r>
            <w:r w:rsidR="004E6DA4" w:rsidRPr="009C2E20">
              <w:rPr>
                <w:rFonts w:cs="Times New Roman"/>
              </w:rPr>
              <w:t>punktā veikti redakcion</w:t>
            </w:r>
            <w:r w:rsidR="00826033">
              <w:rPr>
                <w:rFonts w:cs="Times New Roman"/>
              </w:rPr>
              <w:t>āli labojumi, jo noteikumu 9.4. </w:t>
            </w:r>
            <w:r w:rsidR="004E6DA4" w:rsidRPr="009C2E20">
              <w:rPr>
                <w:rFonts w:cs="Times New Roman"/>
              </w:rPr>
              <w:t xml:space="preserve">apakšpunktā ir noteiktas ārstu, kuri nodarbināti Nacionālo bruņoto spēku ārstniecības iestādēs, tiesības izrakstīt nosūtījumu </w:t>
            </w:r>
            <w:r w:rsidR="004E6DA4" w:rsidRPr="009C2E20">
              <w:t>valsts ap</w:t>
            </w:r>
            <w:r w:rsidR="006138C1" w:rsidRPr="009C2E20">
              <w:t>maksāto veselības aprūpes pakal</w:t>
            </w:r>
            <w:r w:rsidR="004E6DA4" w:rsidRPr="009C2E20">
              <w:t>pojumu saņemšanai vai izrakstīt ambulatorai ārstēšanai paredzētās no valsts budžeta līdzekļiem kompensējamās zāles un medicīniskās ierīces</w:t>
            </w:r>
            <w:r w:rsidR="00FB3044" w:rsidRPr="009C2E20">
              <w:t>.</w:t>
            </w:r>
          </w:p>
          <w:p w:rsidR="006138C1" w:rsidRPr="009C2E20" w:rsidRDefault="00FB3044" w:rsidP="004E6DA4">
            <w:pPr>
              <w:ind w:firstLine="335"/>
              <w:contextualSpacing/>
              <w:jc w:val="both"/>
            </w:pPr>
            <w:r w:rsidRPr="009C2E20">
              <w:t xml:space="preserve">12. </w:t>
            </w:r>
            <w:r w:rsidR="006138C1" w:rsidRPr="009C2E20">
              <w:t>Noteikumu projekts paredz papildināt noteikumus ar 182.</w:t>
            </w:r>
            <w:r w:rsidR="006138C1" w:rsidRPr="009C2E20">
              <w:rPr>
                <w:vertAlign w:val="superscript"/>
              </w:rPr>
              <w:t>1</w:t>
            </w:r>
            <w:r w:rsidR="006138C1" w:rsidRPr="009C2E20">
              <w:t xml:space="preserve"> punktu, lai noteiktu kārtību, kādā dienests plāno atvēlamos finanšu līdzekļus, gadījumā, kad nosūtījumu uz laboratoriskajiem pakalpojumiem izraksta noteikumu 182.1.4.</w:t>
            </w:r>
            <w:r w:rsidR="00826033">
              <w:t> </w:t>
            </w:r>
            <w:r w:rsidR="006138C1" w:rsidRPr="009C2E20">
              <w:t>apakšpunktā minētās ārstniecības personas.</w:t>
            </w:r>
          </w:p>
          <w:p w:rsidR="00035E5E" w:rsidRPr="009C2E20" w:rsidRDefault="00035E5E" w:rsidP="00853190">
            <w:pPr>
              <w:ind w:firstLine="335"/>
              <w:contextualSpacing/>
              <w:jc w:val="both"/>
              <w:rPr>
                <w:rFonts w:cs="Times New Roman"/>
              </w:rPr>
            </w:pPr>
            <w:r w:rsidRPr="009C2E20">
              <w:rPr>
                <w:rFonts w:cs="Times New Roman"/>
              </w:rPr>
              <w:t>1</w:t>
            </w:r>
            <w:r w:rsidR="007D3105" w:rsidRPr="009C2E20">
              <w:rPr>
                <w:rFonts w:cs="Times New Roman"/>
              </w:rPr>
              <w:t>3</w:t>
            </w:r>
            <w:r w:rsidRPr="009C2E20">
              <w:rPr>
                <w:rFonts w:cs="Times New Roman"/>
              </w:rPr>
              <w:t>.</w:t>
            </w:r>
            <w:r w:rsidR="00826033">
              <w:rPr>
                <w:rFonts w:cs="Times New Roman"/>
              </w:rPr>
              <w:t> </w:t>
            </w:r>
            <w:r w:rsidR="00587AA9" w:rsidRPr="009C2E20">
              <w:rPr>
                <w:rFonts w:cs="Times New Roman"/>
              </w:rPr>
              <w:t xml:space="preserve">Ar grozījumiem noteikumu </w:t>
            </w:r>
            <w:r w:rsidR="001A0484" w:rsidRPr="009C2E20">
              <w:rPr>
                <w:rFonts w:cs="Times New Roman"/>
              </w:rPr>
              <w:t>185.</w:t>
            </w:r>
            <w:r w:rsidR="00826033">
              <w:rPr>
                <w:rFonts w:cs="Times New Roman"/>
              </w:rPr>
              <w:t> </w:t>
            </w:r>
            <w:r w:rsidR="001A0484" w:rsidRPr="009C2E20">
              <w:rPr>
                <w:rFonts w:cs="Times New Roman"/>
              </w:rPr>
              <w:t xml:space="preserve">punkts </w:t>
            </w:r>
            <w:r w:rsidR="00587AA9" w:rsidRPr="009C2E20">
              <w:rPr>
                <w:rFonts w:cs="Times New Roman"/>
              </w:rPr>
              <w:t>tiek precizēts, nosakot kārtību kādā tiek plānotas ambulatori laboratorisko pakalpojumu izmaksas, vienlaikus precizējot kārtību kādā tiek aprēķinātas hemodialīzes pacientiem sniegto hemodialīzes laboratorisko pakalpojumu izmaksas.</w:t>
            </w:r>
          </w:p>
          <w:p w:rsidR="007D3105" w:rsidRPr="009C2E20" w:rsidRDefault="00CF14BA" w:rsidP="007D3105">
            <w:pPr>
              <w:ind w:firstLine="335"/>
              <w:contextualSpacing/>
              <w:jc w:val="both"/>
              <w:rPr>
                <w:rFonts w:cs="Times New Roman"/>
              </w:rPr>
            </w:pPr>
            <w:r w:rsidRPr="009C2E20">
              <w:rPr>
                <w:rFonts w:cs="Times New Roman"/>
              </w:rPr>
              <w:t>1</w:t>
            </w:r>
            <w:r w:rsidR="007D3105" w:rsidRPr="009C2E20">
              <w:rPr>
                <w:rFonts w:cs="Times New Roman"/>
              </w:rPr>
              <w:t>4</w:t>
            </w:r>
            <w:r w:rsidRPr="009C2E20">
              <w:rPr>
                <w:rFonts w:cs="Times New Roman"/>
              </w:rPr>
              <w:t>.</w:t>
            </w:r>
            <w:r w:rsidR="00826033">
              <w:rPr>
                <w:rFonts w:cs="Times New Roman"/>
              </w:rPr>
              <w:t> </w:t>
            </w:r>
            <w:r w:rsidR="007D3105" w:rsidRPr="009C2E20">
              <w:rPr>
                <w:rFonts w:cs="Times New Roman"/>
              </w:rPr>
              <w:t xml:space="preserve">Lai noteiktu kārtību kādā tiek plānots laboratorisko līdzekļu apjoms speciālistiem, kas sniedz pacientiem hemodialīzes pakalpojumus, </w:t>
            </w:r>
            <w:r w:rsidR="007D3105" w:rsidRPr="009C2E20">
              <w:rPr>
                <w:rFonts w:cs="Times New Roman"/>
              </w:rPr>
              <w:lastRenderedPageBreak/>
              <w:t>kas pielīdzināmi neatliekamai palīdzībai, noteikumu projekts paredz papildināt noteikumus ar 185.</w:t>
            </w:r>
            <w:r w:rsidR="007D3105" w:rsidRPr="009C2E20">
              <w:rPr>
                <w:rFonts w:cs="Times New Roman"/>
                <w:vertAlign w:val="superscript"/>
              </w:rPr>
              <w:t>1</w:t>
            </w:r>
            <w:r w:rsidR="00826033">
              <w:t> </w:t>
            </w:r>
            <w:r w:rsidR="007D3105" w:rsidRPr="009C2E20">
              <w:rPr>
                <w:rFonts w:cs="Times New Roman"/>
              </w:rPr>
              <w:t>punktu.</w:t>
            </w:r>
          </w:p>
          <w:p w:rsidR="00853190" w:rsidRPr="009C2E20" w:rsidRDefault="007D3105" w:rsidP="00853190">
            <w:pPr>
              <w:ind w:firstLine="335"/>
              <w:contextualSpacing/>
              <w:jc w:val="both"/>
              <w:rPr>
                <w:rFonts w:cs="Times New Roman"/>
              </w:rPr>
            </w:pPr>
            <w:r w:rsidRPr="009C2E20">
              <w:rPr>
                <w:rFonts w:cs="Times New Roman"/>
              </w:rPr>
              <w:t>15</w:t>
            </w:r>
            <w:r w:rsidR="00CF14BA" w:rsidRPr="009C2E20">
              <w:rPr>
                <w:rFonts w:cs="Times New Roman"/>
              </w:rPr>
              <w:t>.</w:t>
            </w:r>
            <w:r w:rsidR="00826033">
              <w:rPr>
                <w:rFonts w:cs="Times New Roman"/>
              </w:rPr>
              <w:t> </w:t>
            </w:r>
            <w:r w:rsidR="00853190" w:rsidRPr="009C2E20">
              <w:rPr>
                <w:rFonts w:cs="Times New Roman"/>
              </w:rPr>
              <w:t>Pašreizējā 241.4.6.3. un 241.4.6.3.</w:t>
            </w:r>
            <w:r w:rsidR="00853190" w:rsidRPr="009C2E20">
              <w:rPr>
                <w:rFonts w:cs="Times New Roman"/>
                <w:vertAlign w:val="superscript"/>
              </w:rPr>
              <w:t>1</w:t>
            </w:r>
            <w:r w:rsidR="00826033">
              <w:t> </w:t>
            </w:r>
            <w:r w:rsidR="00853190" w:rsidRPr="009C2E20">
              <w:rPr>
                <w:rFonts w:cs="Times New Roman"/>
              </w:rPr>
              <w:t xml:space="preserve">apakšpunkta redakcijās noteikts deviņu mēnešu periods, kas tiek izmantots veicot kopējā stacionēšanas gadījumu skaita aprēķinu. </w:t>
            </w:r>
          </w:p>
          <w:p w:rsidR="00853190" w:rsidRPr="009C2E20" w:rsidRDefault="00853190" w:rsidP="00853190">
            <w:pPr>
              <w:ind w:firstLine="335"/>
              <w:contextualSpacing/>
              <w:jc w:val="both"/>
              <w:rPr>
                <w:rFonts w:cs="Times New Roman"/>
              </w:rPr>
            </w:pPr>
            <w:r w:rsidRPr="009C2E20">
              <w:rPr>
                <w:rFonts w:cs="Times New Roman"/>
              </w:rPr>
              <w:t>Lai līgumu grozīšanas process būtu savlaicīgs un lai būtu iespējams iegūt un izmantot korektus līguma izpildes datus, noteikumu projekts paredz samazināt aprēķina periodu no deviņiem līdz sešiem mēnešiem.</w:t>
            </w:r>
          </w:p>
          <w:p w:rsidR="0090626A" w:rsidRPr="009C2E20" w:rsidRDefault="0016558D" w:rsidP="007D3105">
            <w:pPr>
              <w:ind w:firstLine="335"/>
              <w:contextualSpacing/>
              <w:jc w:val="both"/>
              <w:rPr>
                <w:rFonts w:cs="Times New Roman"/>
              </w:rPr>
            </w:pPr>
            <w:r w:rsidRPr="009C2E20">
              <w:rPr>
                <w:rFonts w:cs="Times New Roman"/>
              </w:rPr>
              <w:t>1</w:t>
            </w:r>
            <w:r w:rsidR="007D3105" w:rsidRPr="009C2E20">
              <w:rPr>
                <w:rFonts w:cs="Times New Roman"/>
              </w:rPr>
              <w:t>6</w:t>
            </w:r>
            <w:r w:rsidRPr="009C2E20">
              <w:rPr>
                <w:rFonts w:cs="Times New Roman"/>
              </w:rPr>
              <w:t>.</w:t>
            </w:r>
            <w:r w:rsidR="004548B6">
              <w:rPr>
                <w:rFonts w:cs="Times New Roman"/>
              </w:rPr>
              <w:t> </w:t>
            </w:r>
            <w:r w:rsidR="003D5646" w:rsidRPr="009C2E20">
              <w:rPr>
                <w:rFonts w:cs="Times New Roman"/>
              </w:rPr>
              <w:t>Noteikumu projekts paredz precizēt noteikumu 246.</w:t>
            </w:r>
            <w:r w:rsidR="0067643C" w:rsidRPr="009C2E20">
              <w:rPr>
                <w:rFonts w:cs="Times New Roman"/>
              </w:rPr>
              <w:t>1.</w:t>
            </w:r>
            <w:r w:rsidR="004548B6">
              <w:t> </w:t>
            </w:r>
            <w:r w:rsidR="004548B6">
              <w:rPr>
                <w:rFonts w:cs="Times New Roman"/>
              </w:rPr>
              <w:t>un 246.2. </w:t>
            </w:r>
            <w:r w:rsidR="003D5646" w:rsidRPr="009C2E20">
              <w:rPr>
                <w:rFonts w:cs="Times New Roman"/>
              </w:rPr>
              <w:t>apakšpunktu</w:t>
            </w:r>
            <w:r w:rsidR="0090626A" w:rsidRPr="009C2E20">
              <w:t xml:space="preserve">. </w:t>
            </w:r>
            <w:r w:rsidR="00937FA8" w:rsidRPr="009C2E20">
              <w:rPr>
                <w:rFonts w:cs="Times New Roman"/>
              </w:rPr>
              <w:t xml:space="preserve">Grozījumi paredz palielināt </w:t>
            </w:r>
            <w:proofErr w:type="spellStart"/>
            <w:r w:rsidR="007D3105" w:rsidRPr="009C2E20">
              <w:rPr>
                <w:rFonts w:cs="Times New Roman"/>
              </w:rPr>
              <w:t>laikaposmu</w:t>
            </w:r>
            <w:proofErr w:type="spellEnd"/>
            <w:r w:rsidR="008036EE" w:rsidRPr="009C2E20">
              <w:rPr>
                <w:rFonts w:cs="Times New Roman"/>
              </w:rPr>
              <w:t xml:space="preserve"> par kuru dienests veic aprēķinu finanšu apmēra noteikšanai</w:t>
            </w:r>
            <w:r w:rsidR="007D3105" w:rsidRPr="009C2E20">
              <w:rPr>
                <w:rFonts w:cs="Times New Roman"/>
              </w:rPr>
              <w:t>, kas nepieciešami</w:t>
            </w:r>
            <w:r w:rsidR="0090626A" w:rsidRPr="009C2E20">
              <w:rPr>
                <w:rFonts w:cs="Times New Roman"/>
              </w:rPr>
              <w:t xml:space="preserve">, lai dienests varētu veikt precīzākus aprēķinus </w:t>
            </w:r>
            <w:r w:rsidR="00E255CC" w:rsidRPr="009C2E20">
              <w:rPr>
                <w:rFonts w:cs="Times New Roman"/>
              </w:rPr>
              <w:t xml:space="preserve">efektīvākai </w:t>
            </w:r>
            <w:r w:rsidR="0090626A" w:rsidRPr="009C2E20">
              <w:rPr>
                <w:rFonts w:cs="Times New Roman"/>
              </w:rPr>
              <w:t>budžeta līdzekļu sadalei, vienlaikus veicinot labāku pakalpojuma pieejamību.</w:t>
            </w:r>
          </w:p>
          <w:p w:rsidR="0074440E" w:rsidRPr="009C2E20" w:rsidRDefault="0016558D" w:rsidP="0074440E">
            <w:pPr>
              <w:ind w:firstLine="335"/>
              <w:contextualSpacing/>
              <w:jc w:val="both"/>
              <w:rPr>
                <w:rFonts w:cs="Times New Roman"/>
                <w:bCs/>
              </w:rPr>
            </w:pPr>
            <w:r w:rsidRPr="009C2E20">
              <w:rPr>
                <w:rFonts w:cs="Times New Roman"/>
              </w:rPr>
              <w:t>1</w:t>
            </w:r>
            <w:r w:rsidR="007D3105" w:rsidRPr="009C2E20">
              <w:rPr>
                <w:rFonts w:cs="Times New Roman"/>
              </w:rPr>
              <w:t>7</w:t>
            </w:r>
            <w:r w:rsidRPr="009C2E20">
              <w:rPr>
                <w:rFonts w:cs="Times New Roman"/>
              </w:rPr>
              <w:t>.</w:t>
            </w:r>
            <w:r w:rsidR="004548B6">
              <w:rPr>
                <w:rFonts w:cs="Times New Roman"/>
              </w:rPr>
              <w:t> </w:t>
            </w:r>
            <w:r w:rsidR="00964760" w:rsidRPr="009C2E20">
              <w:rPr>
                <w:rFonts w:cs="Times New Roman"/>
              </w:rPr>
              <w:t>Lai nodrošinātu efektīvu finanšu līdzekļu izlietošanu, ir mainīts samaksas veids stacionārās veselības aprūpes pakalpojumu sniedzējiem noteikumu 247.</w:t>
            </w:r>
            <w:r w:rsidR="004548B6">
              <w:rPr>
                <w:rFonts w:cs="Times New Roman"/>
              </w:rPr>
              <w:t> </w:t>
            </w:r>
            <w:r w:rsidR="00964760" w:rsidRPr="009C2E20">
              <w:rPr>
                <w:rFonts w:cs="Times New Roman"/>
              </w:rPr>
              <w:t>punktā. P</w:t>
            </w:r>
            <w:r w:rsidR="00964760" w:rsidRPr="009C2E20">
              <w:rPr>
                <w:rFonts w:cs="Times New Roman"/>
                <w:bCs/>
              </w:rPr>
              <w:t xml:space="preserve">ar pakalpojumu programmās ietilpstošajiem veselības aprūpes pakalpojumiem, kuriem noteikts viena pacienta ārstēšanas tarifs, maksās pēc </w:t>
            </w:r>
            <w:r w:rsidR="007D3105" w:rsidRPr="009C2E20">
              <w:rPr>
                <w:rFonts w:cs="Times New Roman"/>
                <w:bCs/>
              </w:rPr>
              <w:t>sniegtā pakalpojumu apjoma</w:t>
            </w:r>
            <w:r w:rsidR="00964760" w:rsidRPr="009C2E20">
              <w:rPr>
                <w:rFonts w:cs="Times New Roman"/>
                <w:bCs/>
              </w:rPr>
              <w:t>. Ņemot v</w:t>
            </w:r>
            <w:r w:rsidR="007D3105" w:rsidRPr="009C2E20">
              <w:rPr>
                <w:rFonts w:cs="Times New Roman"/>
                <w:bCs/>
              </w:rPr>
              <w:t xml:space="preserve">ērā iepriekš minēto, ir veiktas </w:t>
            </w:r>
            <w:r w:rsidR="00964760" w:rsidRPr="009C2E20">
              <w:rPr>
                <w:rFonts w:cs="Times New Roman"/>
                <w:bCs/>
              </w:rPr>
              <w:t>izmaiņas noteikumu 247.</w:t>
            </w:r>
            <w:r w:rsidR="004548B6">
              <w:rPr>
                <w:rFonts w:cs="Times New Roman"/>
                <w:bCs/>
              </w:rPr>
              <w:t> </w:t>
            </w:r>
            <w:r w:rsidR="00964760" w:rsidRPr="009C2E20">
              <w:rPr>
                <w:rFonts w:cs="Times New Roman"/>
                <w:bCs/>
              </w:rPr>
              <w:t xml:space="preserve">punktā minētajos finanšu apmēra plānošanas nosacījumos. </w:t>
            </w:r>
          </w:p>
          <w:p w:rsidR="008E198F" w:rsidRPr="00861D1B" w:rsidRDefault="0016558D" w:rsidP="008E198F">
            <w:pPr>
              <w:ind w:firstLine="335"/>
              <w:contextualSpacing/>
              <w:jc w:val="both"/>
              <w:rPr>
                <w:rFonts w:cs="Times New Roman"/>
              </w:rPr>
            </w:pPr>
            <w:r w:rsidRPr="00861D1B">
              <w:t>1</w:t>
            </w:r>
            <w:r w:rsidR="007D3105" w:rsidRPr="00861D1B">
              <w:t>8</w:t>
            </w:r>
            <w:r w:rsidRPr="00861D1B">
              <w:t>.</w:t>
            </w:r>
            <w:r w:rsidR="004548B6">
              <w:t> </w:t>
            </w:r>
            <w:r w:rsidR="00BF371F" w:rsidRPr="00861D1B">
              <w:rPr>
                <w:rFonts w:cs="Times New Roman"/>
              </w:rPr>
              <w:t>Lai nodrošinātu efektīvāku līdzekļu plānošanu nākamajam periodam un nodrošinātu veselības aprūpes pakalpojumu kvalitāti, noteikumu 251.</w:t>
            </w:r>
            <w:r w:rsidR="004548B6">
              <w:rPr>
                <w:rFonts w:cs="Times New Roman"/>
              </w:rPr>
              <w:t> </w:t>
            </w:r>
            <w:r w:rsidR="00BF371F" w:rsidRPr="00861D1B">
              <w:rPr>
                <w:rFonts w:cs="Times New Roman"/>
              </w:rPr>
              <w:t>punktā veikti grozījumi, nosakot vispārinātāku finanšu līdzekļu plānošanas kārtību. Pašreiz noteikumu 251.</w:t>
            </w:r>
            <w:r w:rsidR="004548B6">
              <w:rPr>
                <w:rFonts w:cs="Times New Roman"/>
              </w:rPr>
              <w:t> </w:t>
            </w:r>
            <w:r w:rsidR="00BF371F" w:rsidRPr="00861D1B">
              <w:rPr>
                <w:rFonts w:cs="Times New Roman"/>
              </w:rPr>
              <w:t>punkts iekļauj detalizētus priekšnosacījumus, kas nosaka k</w:t>
            </w:r>
            <w:r w:rsidR="008E198F" w:rsidRPr="00861D1B">
              <w:rPr>
                <w:rFonts w:cs="Times New Roman"/>
              </w:rPr>
              <w:t xml:space="preserve">ā dienestam nepieciešams plānot </w:t>
            </w:r>
            <w:r w:rsidR="00BF371F" w:rsidRPr="00861D1B">
              <w:rPr>
                <w:rFonts w:cs="Times New Roman"/>
              </w:rPr>
              <w:t xml:space="preserve">veselības aprūpei </w:t>
            </w:r>
            <w:r w:rsidR="008E198F" w:rsidRPr="00861D1B">
              <w:rPr>
                <w:rFonts w:cs="Times New Roman"/>
              </w:rPr>
              <w:t>atvēlēto</w:t>
            </w:r>
            <w:r w:rsidR="00BF371F" w:rsidRPr="00861D1B">
              <w:rPr>
                <w:rFonts w:cs="Times New Roman"/>
              </w:rPr>
              <w:t xml:space="preserve"> finansējuma apmēru. Pamatojoties uz apstākļiem, kas ietekmē noteiktu veselības aprūpes pakalpojumu pieejamību ierobežotā finansējuma dēļ (augsts pieprasījums, tehnoloģiskie ierobežojumi u.c.),</w:t>
            </w:r>
            <w:r w:rsidR="008E198F" w:rsidRPr="00861D1B">
              <w:rPr>
                <w:rFonts w:cs="Times New Roman"/>
              </w:rPr>
              <w:t xml:space="preserve"> nepieciešams tiesību normā iekļaut vispārīgu priekšnosacījumu, lai nodrošinātu faktiskajai situācijai atbilstošu finanšu</w:t>
            </w:r>
            <w:r w:rsidR="00861D1B">
              <w:rPr>
                <w:rFonts w:cs="Times New Roman"/>
              </w:rPr>
              <w:t xml:space="preserve"> līdzekļu plānošanu.</w:t>
            </w:r>
          </w:p>
          <w:p w:rsidR="0016558D" w:rsidRPr="009C2E20" w:rsidRDefault="007D3105" w:rsidP="006A20B9">
            <w:pPr>
              <w:ind w:firstLine="335"/>
              <w:contextualSpacing/>
              <w:jc w:val="both"/>
              <w:rPr>
                <w:rFonts w:cs="Times New Roman"/>
              </w:rPr>
            </w:pPr>
            <w:r w:rsidRPr="009C2E20">
              <w:rPr>
                <w:rFonts w:cs="Times New Roman"/>
              </w:rPr>
              <w:t>19</w:t>
            </w:r>
            <w:r w:rsidR="0016558D" w:rsidRPr="009C2E20">
              <w:rPr>
                <w:rFonts w:cs="Times New Roman"/>
              </w:rPr>
              <w:t>.</w:t>
            </w:r>
            <w:r w:rsidR="004548B6">
              <w:rPr>
                <w:rFonts w:cs="Times New Roman"/>
              </w:rPr>
              <w:t> </w:t>
            </w:r>
            <w:r w:rsidR="0016558D" w:rsidRPr="009C2E20">
              <w:rPr>
                <w:rFonts w:cs="Times New Roman"/>
              </w:rPr>
              <w:t>254.1. Grozījumi noteikumu 2.5.1.</w:t>
            </w:r>
            <w:r w:rsidR="004548B6">
              <w:rPr>
                <w:rFonts w:cs="Times New Roman"/>
              </w:rPr>
              <w:t> </w:t>
            </w:r>
            <w:r w:rsidR="0016558D" w:rsidRPr="009C2E20">
              <w:rPr>
                <w:rFonts w:cs="Times New Roman"/>
              </w:rPr>
              <w:t>apakšpunktā nepieciešami, lai nodrošinātu to atbilstību noteiku</w:t>
            </w:r>
            <w:r w:rsidR="00555C01" w:rsidRPr="009C2E20">
              <w:rPr>
                <w:rFonts w:cs="Times New Roman"/>
              </w:rPr>
              <w:t>mu 13.</w:t>
            </w:r>
            <w:r w:rsidR="004548B6">
              <w:rPr>
                <w:rFonts w:cs="Times New Roman"/>
              </w:rPr>
              <w:t> </w:t>
            </w:r>
            <w:r w:rsidR="00555C01" w:rsidRPr="009C2E20">
              <w:rPr>
                <w:rFonts w:cs="Times New Roman"/>
              </w:rPr>
              <w:t>pielikuma 3.</w:t>
            </w:r>
            <w:r w:rsidR="004548B6">
              <w:rPr>
                <w:rFonts w:cs="Times New Roman"/>
              </w:rPr>
              <w:t> </w:t>
            </w:r>
            <w:r w:rsidR="00555C01" w:rsidRPr="009C2E20">
              <w:rPr>
                <w:rFonts w:cs="Times New Roman"/>
              </w:rPr>
              <w:t>punktam, kas</w:t>
            </w:r>
            <w:r w:rsidR="0016558D" w:rsidRPr="009C2E20">
              <w:rPr>
                <w:rFonts w:cs="Times New Roman"/>
              </w:rPr>
              <w:t xml:space="preserve"> tiek izteikts jaunā redakcijā.</w:t>
            </w:r>
          </w:p>
          <w:p w:rsidR="006A20B9" w:rsidRPr="009C2E20" w:rsidRDefault="007D3105" w:rsidP="00853190">
            <w:pPr>
              <w:ind w:firstLine="335"/>
              <w:contextualSpacing/>
              <w:jc w:val="both"/>
              <w:rPr>
                <w:rFonts w:cs="Times New Roman"/>
              </w:rPr>
            </w:pPr>
            <w:r w:rsidRPr="009C2E20">
              <w:rPr>
                <w:rFonts w:cs="Times New Roman"/>
              </w:rPr>
              <w:t>20</w:t>
            </w:r>
            <w:r w:rsidR="0016558D" w:rsidRPr="009C2E20">
              <w:rPr>
                <w:rFonts w:cs="Times New Roman"/>
              </w:rPr>
              <w:t>.</w:t>
            </w:r>
            <w:r w:rsidR="004548B6">
              <w:rPr>
                <w:rFonts w:cs="Times New Roman"/>
              </w:rPr>
              <w:t> </w:t>
            </w:r>
            <w:r w:rsidR="006A20B9" w:rsidRPr="009C2E20">
              <w:rPr>
                <w:rFonts w:cs="Times New Roman"/>
              </w:rPr>
              <w:t>Pamatojoties uz Latvijas Republikas Saeimas 2016.</w:t>
            </w:r>
            <w:r w:rsidR="004548B6">
              <w:rPr>
                <w:rFonts w:cs="Times New Roman"/>
              </w:rPr>
              <w:t> </w:t>
            </w:r>
            <w:r w:rsidR="006A20B9" w:rsidRPr="009C2E20">
              <w:rPr>
                <w:rFonts w:cs="Times New Roman"/>
              </w:rPr>
              <w:t>gada 23.</w:t>
            </w:r>
            <w:r w:rsidR="004548B6">
              <w:rPr>
                <w:rFonts w:cs="Times New Roman"/>
              </w:rPr>
              <w:t> </w:t>
            </w:r>
            <w:r w:rsidR="006A20B9" w:rsidRPr="009C2E20">
              <w:rPr>
                <w:rFonts w:cs="Times New Roman"/>
              </w:rPr>
              <w:t>un 24. novembra ārkārtas sēdē galīgajā lasījumā pieņemto likumu “Par valsts budžetu</w:t>
            </w:r>
            <w:r w:rsidR="004548B6">
              <w:rPr>
                <w:rFonts w:cs="Times New Roman"/>
              </w:rPr>
              <w:t> </w:t>
            </w:r>
            <w:r w:rsidR="006A20B9" w:rsidRPr="009C2E20">
              <w:rPr>
                <w:rFonts w:cs="Times New Roman"/>
              </w:rPr>
              <w:t>2017.gadam”, kas paredz izmaiņas finansējumā veselības nozarei un arī izmaiņas minimālās darba algas apjomā, veikti grozījumi noteikumu 287.</w:t>
            </w:r>
            <w:r w:rsidR="004548B6">
              <w:rPr>
                <w:rFonts w:cs="Times New Roman"/>
              </w:rPr>
              <w:t> </w:t>
            </w:r>
            <w:r w:rsidR="006A20B9" w:rsidRPr="009C2E20">
              <w:rPr>
                <w:rFonts w:cs="Times New Roman"/>
              </w:rPr>
              <w:t>punktā, palielinot noteikto vidē</w:t>
            </w:r>
            <w:r w:rsidR="009850B5" w:rsidRPr="009C2E20">
              <w:rPr>
                <w:rFonts w:cs="Times New Roman"/>
              </w:rPr>
              <w:t>jo mēneša darba samaksas apmēru, vienlaikus palielinot 9.</w:t>
            </w:r>
            <w:r w:rsidR="004548B6">
              <w:rPr>
                <w:rFonts w:cs="Times New Roman"/>
              </w:rPr>
              <w:t> </w:t>
            </w:r>
            <w:r w:rsidR="009850B5" w:rsidRPr="009C2E20">
              <w:rPr>
                <w:rFonts w:cs="Times New Roman"/>
              </w:rPr>
              <w:t>pielikuma 5.</w:t>
            </w:r>
            <w:r w:rsidR="004548B6">
              <w:rPr>
                <w:rFonts w:cs="Times New Roman"/>
              </w:rPr>
              <w:t> </w:t>
            </w:r>
            <w:r w:rsidR="009850B5" w:rsidRPr="009C2E20">
              <w:rPr>
                <w:rFonts w:cs="Times New Roman"/>
              </w:rPr>
              <w:t xml:space="preserve">punktā noteikto </w:t>
            </w:r>
            <w:proofErr w:type="spellStart"/>
            <w:r w:rsidR="009850B5" w:rsidRPr="009C2E20">
              <w:rPr>
                <w:rFonts w:cs="Times New Roman"/>
              </w:rPr>
              <w:t>kapitācijas</w:t>
            </w:r>
            <w:proofErr w:type="spellEnd"/>
            <w:r w:rsidR="009850B5" w:rsidRPr="009C2E20">
              <w:rPr>
                <w:rFonts w:cs="Times New Roman"/>
              </w:rPr>
              <w:t xml:space="preserve"> naudas apmēru.</w:t>
            </w:r>
          </w:p>
          <w:p w:rsidR="004F3A3F" w:rsidRPr="009C2E20" w:rsidRDefault="0016558D" w:rsidP="004F3A3F">
            <w:pPr>
              <w:ind w:firstLine="335"/>
              <w:contextualSpacing/>
              <w:jc w:val="both"/>
              <w:rPr>
                <w:rFonts w:cs="Times New Roman"/>
              </w:rPr>
            </w:pPr>
            <w:r w:rsidRPr="009C2E20">
              <w:rPr>
                <w:rFonts w:cs="Times New Roman"/>
              </w:rPr>
              <w:t>2</w:t>
            </w:r>
            <w:r w:rsidR="007D3105" w:rsidRPr="009C2E20">
              <w:rPr>
                <w:rFonts w:cs="Times New Roman"/>
              </w:rPr>
              <w:t>1</w:t>
            </w:r>
            <w:r w:rsidRPr="009C2E20">
              <w:rPr>
                <w:rFonts w:cs="Times New Roman"/>
              </w:rPr>
              <w:t>.</w:t>
            </w:r>
            <w:r w:rsidR="004548B6">
              <w:t> </w:t>
            </w:r>
            <w:r w:rsidRPr="009C2E20">
              <w:rPr>
                <w:rFonts w:cs="Times New Roman"/>
                <w:bCs/>
              </w:rPr>
              <w:t>Ar grozījumiem noteikumos mainīts samaksas veids (samaksa par faktiski sniegto pakalpojumu) un tā plānošanas kārtība. Ņemot vērā, ka šāda maksāšanas kārtība</w:t>
            </w:r>
            <w:r w:rsidR="00B40352" w:rsidRPr="009C2E20">
              <w:rPr>
                <w:rFonts w:cs="Times New Roman"/>
                <w:bCs/>
              </w:rPr>
              <w:t xml:space="preserve"> atsevišķām stac</w:t>
            </w:r>
            <w:r w:rsidR="004F3A3F" w:rsidRPr="009C2E20">
              <w:rPr>
                <w:rFonts w:cs="Times New Roman"/>
                <w:bCs/>
              </w:rPr>
              <w:t xml:space="preserve">ionārajām ārstniecības iestādēm </w:t>
            </w:r>
            <w:r w:rsidR="00B40352" w:rsidRPr="009C2E20">
              <w:rPr>
                <w:rFonts w:cs="Times New Roman"/>
                <w:bCs/>
              </w:rPr>
              <w:t xml:space="preserve">mainīs novirzāmo finansējumu apjomu valsts apmaksāto veselības aprūpes pakalpojumu sniegšanai, </w:t>
            </w:r>
            <w:r w:rsidR="004F3A3F" w:rsidRPr="009C2E20">
              <w:rPr>
                <w:rFonts w:cs="Times New Roman"/>
                <w:bCs/>
              </w:rPr>
              <w:t>noteikumu projekta 365.</w:t>
            </w:r>
            <w:r w:rsidR="004548B6">
              <w:rPr>
                <w:rFonts w:cs="Times New Roman"/>
                <w:bCs/>
              </w:rPr>
              <w:t> </w:t>
            </w:r>
            <w:r w:rsidR="004F3A3F" w:rsidRPr="009C2E20">
              <w:rPr>
                <w:rFonts w:cs="Times New Roman"/>
                <w:bCs/>
              </w:rPr>
              <w:t>punkts paredz noteikt pārejas periodu un kārtību, kādā dienests aprēķina 2017.</w:t>
            </w:r>
            <w:r w:rsidR="004548B6">
              <w:rPr>
                <w:rFonts w:cs="Times New Roman"/>
                <w:bCs/>
              </w:rPr>
              <w:t> </w:t>
            </w:r>
            <w:r w:rsidR="004F3A3F" w:rsidRPr="009C2E20">
              <w:rPr>
                <w:rFonts w:cs="Times New Roman"/>
                <w:bCs/>
              </w:rPr>
              <w:t xml:space="preserve">gadam fiksētā maksājuma </w:t>
            </w:r>
            <w:r w:rsidR="004F3A3F" w:rsidRPr="009C2E20">
              <w:rPr>
                <w:rFonts w:cs="Times New Roman"/>
              </w:rPr>
              <w:t>par DRG grupas pakalpojumiem gada apmēru ārstniecības iestādei.</w:t>
            </w:r>
          </w:p>
          <w:p w:rsidR="00DE6791" w:rsidRPr="009C2E20" w:rsidRDefault="00DE6791" w:rsidP="004F3A3F">
            <w:pPr>
              <w:ind w:firstLine="335"/>
              <w:contextualSpacing/>
              <w:jc w:val="both"/>
              <w:rPr>
                <w:rFonts w:cs="Times New Roman"/>
              </w:rPr>
            </w:pPr>
            <w:r w:rsidRPr="009C2E20">
              <w:rPr>
                <w:rFonts w:cs="Times New Roman"/>
              </w:rPr>
              <w:t>22.</w:t>
            </w:r>
            <w:r w:rsidR="004548B6">
              <w:rPr>
                <w:rFonts w:cs="Times New Roman"/>
              </w:rPr>
              <w:t> </w:t>
            </w:r>
            <w:r w:rsidRPr="009C2E20">
              <w:rPr>
                <w:rFonts w:cs="Times New Roman"/>
              </w:rPr>
              <w:t>Noteikumu 1.</w:t>
            </w:r>
            <w:r w:rsidR="004548B6">
              <w:rPr>
                <w:rFonts w:cs="Times New Roman"/>
              </w:rPr>
              <w:t> </w:t>
            </w:r>
            <w:r w:rsidRPr="009C2E20">
              <w:rPr>
                <w:rFonts w:cs="Times New Roman"/>
              </w:rPr>
              <w:t>pielikuma 1.1.4.</w:t>
            </w:r>
            <w:r w:rsidR="004548B6">
              <w:rPr>
                <w:rFonts w:cs="Times New Roman"/>
              </w:rPr>
              <w:t> </w:t>
            </w:r>
            <w:r w:rsidRPr="009C2E20">
              <w:rPr>
                <w:rFonts w:cs="Times New Roman"/>
              </w:rPr>
              <w:t xml:space="preserve">apakšpunktā precizēts, ka </w:t>
            </w:r>
            <w:r w:rsidRPr="009C2E20">
              <w:rPr>
                <w:rFonts w:cs="Times New Roman"/>
              </w:rPr>
              <w:lastRenderedPageBreak/>
              <w:t xml:space="preserve">jaundzimušo </w:t>
            </w:r>
            <w:proofErr w:type="spellStart"/>
            <w:r w:rsidRPr="009C2E20">
              <w:rPr>
                <w:rFonts w:cs="Times New Roman"/>
              </w:rPr>
              <w:t>skrīnings</w:t>
            </w:r>
            <w:proofErr w:type="spellEnd"/>
            <w:r w:rsidRPr="009C2E20">
              <w:rPr>
                <w:rFonts w:cs="Times New Roman"/>
              </w:rPr>
              <w:t xml:space="preserve"> uz </w:t>
            </w:r>
            <w:proofErr w:type="spellStart"/>
            <w:r w:rsidRPr="009C2E20">
              <w:rPr>
                <w:rFonts w:cs="Times New Roman"/>
              </w:rPr>
              <w:t>fenilketonūriju</w:t>
            </w:r>
            <w:proofErr w:type="spellEnd"/>
            <w:r w:rsidRPr="009C2E20">
              <w:rPr>
                <w:rFonts w:cs="Times New Roman"/>
              </w:rPr>
              <w:t xml:space="preserve"> un </w:t>
            </w:r>
            <w:proofErr w:type="spellStart"/>
            <w:r w:rsidRPr="009C2E20">
              <w:rPr>
                <w:rFonts w:cs="Times New Roman"/>
              </w:rPr>
              <w:t>hipotireozi</w:t>
            </w:r>
            <w:proofErr w:type="spellEnd"/>
            <w:r w:rsidRPr="009C2E20">
              <w:rPr>
                <w:rFonts w:cs="Times New Roman"/>
              </w:rPr>
              <w:t xml:space="preserve"> jāveic laikā no 48.</w:t>
            </w:r>
            <w:r w:rsidR="004548B6">
              <w:rPr>
                <w:rFonts w:cs="Times New Roman"/>
              </w:rPr>
              <w:t> </w:t>
            </w:r>
            <w:r w:rsidRPr="009C2E20">
              <w:rPr>
                <w:rFonts w:cs="Times New Roman"/>
              </w:rPr>
              <w:t>līdz 72.</w:t>
            </w:r>
            <w:r w:rsidR="004548B6">
              <w:rPr>
                <w:rFonts w:cs="Times New Roman"/>
              </w:rPr>
              <w:t> </w:t>
            </w:r>
            <w:r w:rsidRPr="009C2E20">
              <w:rPr>
                <w:rFonts w:cs="Times New Roman"/>
              </w:rPr>
              <w:t>dzīves stundai, atbilstoši rekomendācijām.</w:t>
            </w:r>
            <w:r w:rsidRPr="009C2E20">
              <w:rPr>
                <w:rStyle w:val="FootnoteReference"/>
                <w:rFonts w:cs="Times New Roman"/>
              </w:rPr>
              <w:footnoteReference w:id="2"/>
            </w:r>
          </w:p>
          <w:p w:rsidR="008D6B85" w:rsidRPr="009C2E20" w:rsidRDefault="00241A8F" w:rsidP="00241A8F">
            <w:pPr>
              <w:ind w:firstLine="335"/>
              <w:contextualSpacing/>
              <w:jc w:val="both"/>
              <w:rPr>
                <w:rFonts w:cs="Times New Roman"/>
              </w:rPr>
            </w:pPr>
            <w:r w:rsidRPr="009C2E20">
              <w:rPr>
                <w:rFonts w:cs="Times New Roman"/>
              </w:rPr>
              <w:t>2</w:t>
            </w:r>
            <w:r w:rsidR="00060225" w:rsidRPr="009C2E20">
              <w:rPr>
                <w:rFonts w:cs="Times New Roman"/>
              </w:rPr>
              <w:t>2</w:t>
            </w:r>
            <w:r w:rsidRPr="009C2E20">
              <w:rPr>
                <w:rFonts w:cs="Times New Roman"/>
              </w:rPr>
              <w:t>.</w:t>
            </w:r>
            <w:r w:rsidR="004548B6">
              <w:rPr>
                <w:rFonts w:cs="Times New Roman"/>
              </w:rPr>
              <w:t> </w:t>
            </w:r>
            <w:r w:rsidR="008D6B85" w:rsidRPr="009C2E20">
              <w:rPr>
                <w:rFonts w:cs="Times New Roman"/>
              </w:rPr>
              <w:t>Noteikumu 3.</w:t>
            </w:r>
            <w:r w:rsidR="004548B6">
              <w:rPr>
                <w:rFonts w:cs="Times New Roman"/>
              </w:rPr>
              <w:t> pielikuma 2.1.23.1. </w:t>
            </w:r>
            <w:r w:rsidR="008D6B85" w:rsidRPr="009C2E20">
              <w:rPr>
                <w:rFonts w:cs="Times New Roman"/>
              </w:rPr>
              <w:t>apakšpunktā veikti redakcionāls labojums, svītrojot no minētā apakšpunkta manipulāciju Nr.</w:t>
            </w:r>
            <w:r w:rsidR="004548B6">
              <w:rPr>
                <w:rFonts w:cs="Times New Roman"/>
              </w:rPr>
              <w:t> </w:t>
            </w:r>
            <w:r w:rsidR="008D6B85" w:rsidRPr="009C2E20">
              <w:rPr>
                <w:rFonts w:cs="Times New Roman"/>
              </w:rPr>
              <w:t>19254, jo tā iekļauta noteikumu 22.</w:t>
            </w:r>
            <w:r w:rsidR="004548B6">
              <w:rPr>
                <w:rFonts w:cs="Times New Roman"/>
              </w:rPr>
              <w:t> </w:t>
            </w:r>
            <w:r w:rsidR="008D6B85" w:rsidRPr="009C2E20">
              <w:t>pielikumā, kur uzskaitīti atbilstoši ārstniecības iestāžu iesniegtajiem rēķiniem apmaksājamie veselības aprūpes pakalpojumi.</w:t>
            </w:r>
          </w:p>
          <w:p w:rsidR="008D6B85" w:rsidRPr="009C2E20" w:rsidRDefault="00BA0EED" w:rsidP="008D6B85">
            <w:pPr>
              <w:ind w:firstLine="335"/>
              <w:contextualSpacing/>
              <w:jc w:val="both"/>
            </w:pPr>
            <w:r w:rsidRPr="009C2E20">
              <w:rPr>
                <w:rFonts w:cs="Times New Roman"/>
              </w:rPr>
              <w:t>2</w:t>
            </w:r>
            <w:r w:rsidR="00060225" w:rsidRPr="009C2E20">
              <w:rPr>
                <w:rFonts w:cs="Times New Roman"/>
              </w:rPr>
              <w:t>3</w:t>
            </w:r>
            <w:r w:rsidR="00E218D2" w:rsidRPr="009C2E20">
              <w:rPr>
                <w:rFonts w:cs="Times New Roman"/>
              </w:rPr>
              <w:t>.</w:t>
            </w:r>
            <w:r w:rsidR="004548B6">
              <w:rPr>
                <w:rFonts w:cs="Times New Roman"/>
              </w:rPr>
              <w:t> </w:t>
            </w:r>
            <w:r w:rsidR="005617A7" w:rsidRPr="009C2E20">
              <w:rPr>
                <w:rFonts w:cs="Times New Roman"/>
              </w:rPr>
              <w:t>N</w:t>
            </w:r>
            <w:r w:rsidR="008D6B85" w:rsidRPr="009C2E20">
              <w:rPr>
                <w:rFonts w:cs="Times New Roman"/>
              </w:rPr>
              <w:t xml:space="preserve">oteikumu </w:t>
            </w:r>
            <w:r w:rsidRPr="009C2E20">
              <w:t>16.</w:t>
            </w:r>
            <w:r w:rsidR="004548B6">
              <w:t> </w:t>
            </w:r>
            <w:r w:rsidRPr="009C2E20">
              <w:t>pielikum</w:t>
            </w:r>
            <w:r w:rsidR="00E218D2" w:rsidRPr="009C2E20">
              <w:t>a</w:t>
            </w:r>
            <w:r w:rsidRPr="009C2E20">
              <w:t xml:space="preserve"> 11.</w:t>
            </w:r>
            <w:r w:rsidRPr="009C2E20">
              <w:rPr>
                <w:vertAlign w:val="superscript"/>
              </w:rPr>
              <w:t>1</w:t>
            </w:r>
            <w:r w:rsidR="004548B6">
              <w:t> </w:t>
            </w:r>
            <w:r w:rsidRPr="009C2E20">
              <w:t>punktā</w:t>
            </w:r>
            <w:r w:rsidR="008D6B85" w:rsidRPr="009C2E20">
              <w:t xml:space="preserve"> ietvert</w:t>
            </w:r>
            <w:r w:rsidR="005617A7" w:rsidRPr="009C2E20">
              <w:t>a</w:t>
            </w:r>
            <w:r w:rsidR="004548B6">
              <w:t xml:space="preserve"> manipulācija Nr. </w:t>
            </w:r>
            <w:r w:rsidR="008D6B85" w:rsidRPr="009C2E20">
              <w:t>01068, kas paredz piemaksu ģimenes ārstam par katra patvēruma meklētāja apmeklējumu, tādēļ nepieciešams precizēt noteikumu 11.</w:t>
            </w:r>
            <w:r w:rsidR="004548B6">
              <w:t> </w:t>
            </w:r>
            <w:r w:rsidR="008D6B85" w:rsidRPr="009C2E20">
              <w:t>p</w:t>
            </w:r>
            <w:r w:rsidR="005617A7" w:rsidRPr="009C2E20">
              <w:t>i</w:t>
            </w:r>
            <w:r w:rsidR="008D6B85" w:rsidRPr="009C2E20">
              <w:t>elikumu ar jaunu 8.</w:t>
            </w:r>
            <w:r w:rsidR="008D6B85" w:rsidRPr="009C2E20">
              <w:rPr>
                <w:vertAlign w:val="superscript"/>
              </w:rPr>
              <w:t>1</w:t>
            </w:r>
            <w:r w:rsidR="004548B6">
              <w:t> </w:t>
            </w:r>
            <w:r w:rsidR="008D6B85" w:rsidRPr="009C2E20">
              <w:t>punktu.</w:t>
            </w:r>
          </w:p>
          <w:p w:rsidR="00065083" w:rsidRPr="009C2E20" w:rsidRDefault="00BA0EED" w:rsidP="00065083">
            <w:pPr>
              <w:ind w:firstLine="335"/>
              <w:contextualSpacing/>
              <w:jc w:val="both"/>
              <w:rPr>
                <w:rFonts w:cs="Times New Roman"/>
              </w:rPr>
            </w:pPr>
            <w:r w:rsidRPr="009C2E20">
              <w:t>2</w:t>
            </w:r>
            <w:r w:rsidR="00060225" w:rsidRPr="009C2E20">
              <w:t>4</w:t>
            </w:r>
            <w:r w:rsidRPr="009C2E20">
              <w:t>.</w:t>
            </w:r>
            <w:r w:rsidR="004548B6">
              <w:t> </w:t>
            </w:r>
            <w:r w:rsidR="00065083" w:rsidRPr="009C2E20">
              <w:rPr>
                <w:rFonts w:cs="Times New Roman"/>
              </w:rPr>
              <w:t xml:space="preserve">Noteikumu projekts paredz sekojošas izmaiņas noteikumu </w:t>
            </w:r>
            <w:r w:rsidR="004548B6">
              <w:t>3. pielikuma 3. </w:t>
            </w:r>
            <w:r w:rsidR="00B44E0F" w:rsidRPr="009C2E20">
              <w:t>punktā</w:t>
            </w:r>
            <w:r w:rsidR="00065083" w:rsidRPr="009C2E20">
              <w:rPr>
                <w:rFonts w:cs="Times New Roman"/>
              </w:rPr>
              <w:t>:</w:t>
            </w:r>
          </w:p>
          <w:p w:rsidR="00065083" w:rsidRPr="009C2E20" w:rsidRDefault="00065083" w:rsidP="00065083">
            <w:pPr>
              <w:ind w:firstLine="335"/>
              <w:contextualSpacing/>
              <w:jc w:val="both"/>
              <w:rPr>
                <w:rFonts w:cs="Times New Roman"/>
              </w:rPr>
            </w:pPr>
            <w:r w:rsidRPr="009C2E20">
              <w:rPr>
                <w:rFonts w:cs="Times New Roman"/>
              </w:rPr>
              <w:t>1) Noteikumu 3.</w:t>
            </w:r>
            <w:r w:rsidR="004548B6">
              <w:rPr>
                <w:rFonts w:cs="Times New Roman"/>
              </w:rPr>
              <w:t> </w:t>
            </w:r>
            <w:r w:rsidRPr="009C2E20">
              <w:rPr>
                <w:rFonts w:cs="Times New Roman"/>
              </w:rPr>
              <w:t>pielikuma 3.1.</w:t>
            </w:r>
            <w:r w:rsidR="004548B6">
              <w:rPr>
                <w:rFonts w:cs="Times New Roman"/>
              </w:rPr>
              <w:t> </w:t>
            </w:r>
            <w:r w:rsidRPr="009C2E20">
              <w:rPr>
                <w:rFonts w:cs="Times New Roman"/>
              </w:rPr>
              <w:t>apakšpunktā veikts grozījums, nosakot, ka VSIA “Bērnu psihoneiroloģiskā slimnīca „Ainaži”” gultasdienas tarifs ir 00,00</w:t>
            </w:r>
            <w:r w:rsidR="004548B6">
              <w:rPr>
                <w:rFonts w:cs="Times New Roman"/>
              </w:rPr>
              <w:t> </w:t>
            </w:r>
            <w:proofErr w:type="spellStart"/>
            <w:r w:rsidRPr="009C2E20">
              <w:rPr>
                <w:rFonts w:cs="Times New Roman"/>
                <w:i/>
              </w:rPr>
              <w:t>euro</w:t>
            </w:r>
            <w:proofErr w:type="spellEnd"/>
            <w:r w:rsidRPr="009C2E20">
              <w:rPr>
                <w:rFonts w:cs="Times New Roman"/>
              </w:rPr>
              <w:t xml:space="preserve">. Grozījums nepieciešams, lai nodrošinātu </w:t>
            </w:r>
            <w:r w:rsidRPr="009C2E20">
              <w:rPr>
                <w:rFonts w:cs="Times New Roman"/>
                <w:shd w:val="clear" w:color="auto" w:fill="FFFFFF"/>
              </w:rPr>
              <w:t xml:space="preserve">VSIA </w:t>
            </w:r>
            <w:r w:rsidRPr="009C2E20">
              <w:rPr>
                <w:rFonts w:cs="Times New Roman"/>
              </w:rPr>
              <w:t xml:space="preserve">„Bērnu psihoneiroloģiskā slimnīca „Ainaži”” turpmāko darbību pacientu ārstēšanā, kas ir būtiski gan šo pacientu atveseļošanās procesam, gan vienlīdz pašas </w:t>
            </w:r>
            <w:r w:rsidRPr="009C2E20">
              <w:rPr>
                <w:rFonts w:cs="Times New Roman"/>
                <w:shd w:val="clear" w:color="auto" w:fill="FFFFFF"/>
              </w:rPr>
              <w:t xml:space="preserve"> VSIA </w:t>
            </w:r>
            <w:r w:rsidRPr="009C2E20">
              <w:rPr>
                <w:rFonts w:cs="Times New Roman"/>
              </w:rPr>
              <w:t xml:space="preserve">„Bērnu psihoneiroloģiskā slimnīca „Ainaži”” kā ārstniecības iestādes turpmākai pastāvēšanai. Vienlaikus minētais grozījums skatāms kopsakarā ar piezīmi (sk. </w:t>
            </w:r>
            <w:r w:rsidR="001B7A9C" w:rsidRPr="009C2E20">
              <w:rPr>
                <w:rFonts w:cs="Times New Roman"/>
              </w:rPr>
              <w:t>simbolu „*”</w:t>
            </w:r>
            <w:r w:rsidRPr="009C2E20">
              <w:rPr>
                <w:rFonts w:cs="Times New Roman"/>
              </w:rPr>
              <w:t xml:space="preserve"> pie tarifa), kas papildina 3.pielikumu, un kurā noteikts, ka šajā gadījumā samaksa tiek veikta ar tāmes finansējumu.</w:t>
            </w:r>
          </w:p>
          <w:p w:rsidR="00065083" w:rsidRPr="009C2E20" w:rsidRDefault="00065083" w:rsidP="00065083">
            <w:pPr>
              <w:ind w:firstLine="335"/>
              <w:contextualSpacing/>
              <w:jc w:val="both"/>
              <w:rPr>
                <w:rFonts w:cs="Times New Roman"/>
              </w:rPr>
            </w:pPr>
            <w:r w:rsidRPr="009C2E20">
              <w:rPr>
                <w:rFonts w:cs="Times New Roman"/>
              </w:rPr>
              <w:t>3) Noteikumu 3.</w:t>
            </w:r>
            <w:r w:rsidR="004548B6">
              <w:rPr>
                <w:rFonts w:cs="Times New Roman"/>
              </w:rPr>
              <w:t> </w:t>
            </w:r>
            <w:r w:rsidRPr="009C2E20">
              <w:rPr>
                <w:rFonts w:cs="Times New Roman"/>
              </w:rPr>
              <w:t>pielikuma 3.2.5., 3.2.6., 3.2.16. un 3.2.18.3.</w:t>
            </w:r>
            <w:r w:rsidR="004548B6">
              <w:rPr>
                <w:rFonts w:cs="Times New Roman"/>
              </w:rPr>
              <w:t> </w:t>
            </w:r>
            <w:r w:rsidRPr="009C2E20">
              <w:rPr>
                <w:rFonts w:cs="Times New Roman"/>
              </w:rPr>
              <w:t xml:space="preserve">apakšpunktā veikti grozījumi, nosakot jaunus viena pacienta ārstēšanās tarifus šādām ārstēšanas programmām: Bērnu </w:t>
            </w:r>
            <w:proofErr w:type="spellStart"/>
            <w:r w:rsidRPr="009C2E20">
              <w:rPr>
                <w:rFonts w:cs="Times New Roman"/>
              </w:rPr>
              <w:t>surdoloģija</w:t>
            </w:r>
            <w:proofErr w:type="spellEnd"/>
            <w:r w:rsidRPr="009C2E20">
              <w:rPr>
                <w:rFonts w:cs="Times New Roman"/>
              </w:rPr>
              <w:t xml:space="preserve"> (pārejoši vai pastāvīgi dzirdes un valodas traucējumi). Stacionārā palīdzība. Rehabilitācija; Cilmes šūnu transplantācija; </w:t>
            </w:r>
            <w:proofErr w:type="spellStart"/>
            <w:r w:rsidRPr="009C2E20">
              <w:rPr>
                <w:rFonts w:cs="Times New Roman"/>
              </w:rPr>
              <w:t>Kohleārā</w:t>
            </w:r>
            <w:proofErr w:type="spellEnd"/>
            <w:r w:rsidRPr="009C2E20">
              <w:rPr>
                <w:rFonts w:cs="Times New Roman"/>
              </w:rPr>
              <w:t xml:space="preserve"> implanta implantācija bērniem; Rehabilitācija bērniem. No programmas ir izņemtas manipulācijas 60107 (pavadošās personas atrašanās pie pacienta diennakts rehabilitācijas iestādē vai pie bērna diennakts stacionārā pēc medicīniskām indikācijām (par vienu </w:t>
            </w:r>
            <w:proofErr w:type="spellStart"/>
            <w:r w:rsidRPr="009C2E20">
              <w:rPr>
                <w:rFonts w:cs="Times New Roman"/>
              </w:rPr>
              <w:t>gultasdienu</w:t>
            </w:r>
            <w:proofErr w:type="spellEnd"/>
            <w:r w:rsidRPr="009C2E20">
              <w:rPr>
                <w:rFonts w:cs="Times New Roman"/>
              </w:rPr>
              <w:t>) izmaksas, ņemot vērā, ka ne katras programmas ietvaros attiecīgā manipulācija faktiski tiek piemērota. Par pavadošās personas atrašanos pie pacienta tiks maksāts atsevišķi un atbilstoši faktiski sniegtajam pakalpojumam.</w:t>
            </w:r>
          </w:p>
          <w:p w:rsidR="00065083" w:rsidRPr="009C2E20" w:rsidRDefault="00065083" w:rsidP="00065083">
            <w:pPr>
              <w:ind w:firstLine="335"/>
              <w:contextualSpacing/>
              <w:jc w:val="both"/>
              <w:rPr>
                <w:rFonts w:cs="Times New Roman"/>
              </w:rPr>
            </w:pPr>
            <w:r w:rsidRPr="009C2E20">
              <w:rPr>
                <w:rFonts w:cs="Times New Roman"/>
              </w:rPr>
              <w:t>4) Noteikumu 3.</w:t>
            </w:r>
            <w:r w:rsidR="004548B6">
              <w:rPr>
                <w:rFonts w:cs="Times New Roman"/>
              </w:rPr>
              <w:t> </w:t>
            </w:r>
            <w:r w:rsidRPr="009C2E20">
              <w:rPr>
                <w:rFonts w:cs="Times New Roman"/>
              </w:rPr>
              <w:t>pielikuma 3.2.23.</w:t>
            </w:r>
            <w:r w:rsidR="004548B6">
              <w:rPr>
                <w:rFonts w:cs="Times New Roman"/>
              </w:rPr>
              <w:t> </w:t>
            </w:r>
            <w:r w:rsidRPr="009C2E20">
              <w:rPr>
                <w:rFonts w:cs="Times New Roman"/>
              </w:rPr>
              <w:t xml:space="preserve">apakšpunktā veikti grozījumi, kas paredz izmaiņas izmaksu aprēķinā. </w:t>
            </w:r>
            <w:r w:rsidRPr="009C2E20">
              <w:rPr>
                <w:rFonts w:cs="Times New Roman"/>
                <w:color w:val="000000" w:themeColor="text1"/>
              </w:rPr>
              <w:t>Samaksa par šo noteikumu 3.2.23.</w:t>
            </w:r>
            <w:r w:rsidR="004548B6">
              <w:rPr>
                <w:rFonts w:cs="Times New Roman"/>
                <w:color w:val="000000" w:themeColor="text1"/>
              </w:rPr>
              <w:t> </w:t>
            </w:r>
            <w:r w:rsidRPr="009C2E20">
              <w:rPr>
                <w:rFonts w:cs="Times New Roman"/>
                <w:color w:val="000000" w:themeColor="text1"/>
              </w:rPr>
              <w:t>apakšpunktā ietvertajām programmām vairs netiks iekļauta diagnozēm piesaistīto grupu (DRG) aprēķinā.</w:t>
            </w:r>
          </w:p>
          <w:p w:rsidR="00065083" w:rsidRPr="009C2E20" w:rsidRDefault="00065083" w:rsidP="00065083">
            <w:pPr>
              <w:ind w:firstLine="335"/>
              <w:contextualSpacing/>
              <w:jc w:val="both"/>
              <w:rPr>
                <w:i/>
              </w:rPr>
            </w:pPr>
            <w:r w:rsidRPr="009C2E20">
              <w:rPr>
                <w:rFonts w:cs="Times New Roman"/>
              </w:rPr>
              <w:t>5) Noteikumu 3.</w:t>
            </w:r>
            <w:r w:rsidR="004548B6">
              <w:rPr>
                <w:rFonts w:cs="Times New Roman"/>
              </w:rPr>
              <w:t> </w:t>
            </w:r>
            <w:r w:rsidRPr="009C2E20">
              <w:rPr>
                <w:rFonts w:cs="Times New Roman"/>
              </w:rPr>
              <w:t>pielikuma 3.2.29., 3.2.33., 3.2.34., 3.2.36., 3.2.38.4., 3.2.38.5., 3.2.38.7., 3.2.43.1.</w:t>
            </w:r>
            <w:r w:rsidR="004548B6">
              <w:rPr>
                <w:rFonts w:cs="Times New Roman"/>
              </w:rPr>
              <w:t> </w:t>
            </w:r>
            <w:r w:rsidRPr="009C2E20">
              <w:rPr>
                <w:rFonts w:cs="Times New Roman"/>
              </w:rPr>
              <w:t xml:space="preserve">apakšpunktā veikti grozījumi, nosakot jaunus viena pacienta ārstēšanās tarifus šādām ārstēšanas programmām: sifiliss, gonoreja bērniem; ķīmijterapija bērniem; ķīmijterapija pieaugušajiem; stacionārā psihiatriskā palīdzība bērniem; tuberkulozes diagnostika un ārstēšana bērniem; tuberkulozes seku ārstēšana bērniem; </w:t>
            </w:r>
            <w:proofErr w:type="spellStart"/>
            <w:r w:rsidRPr="009C2E20">
              <w:rPr>
                <w:rFonts w:cs="Times New Roman"/>
              </w:rPr>
              <w:t>multirezistentās</w:t>
            </w:r>
            <w:proofErr w:type="spellEnd"/>
            <w:r w:rsidRPr="009C2E20">
              <w:rPr>
                <w:rFonts w:cs="Times New Roman"/>
              </w:rPr>
              <w:t xml:space="preserve"> tuberkulozes pacientu ārstēšana; psihiatriskā palīdzība, tai </w:t>
            </w:r>
            <w:r w:rsidRPr="009C2E20">
              <w:rPr>
                <w:rFonts w:cs="Times New Roman"/>
              </w:rPr>
              <w:lastRenderedPageBreak/>
              <w:t xml:space="preserve">skaitā pēc tiesas lēmuma. No programmas ir izņemtas manipulācijas 60107 (pavadošās personas atrašanās pie pacienta diennakts rehabilitācijas iestādē vai pie bērna diennakts stacionārā pēc medicīniskām indikācijām (par vienu </w:t>
            </w:r>
            <w:proofErr w:type="spellStart"/>
            <w:r w:rsidRPr="009C2E20">
              <w:rPr>
                <w:rFonts w:cs="Times New Roman"/>
              </w:rPr>
              <w:t>gultasdienu</w:t>
            </w:r>
            <w:proofErr w:type="spellEnd"/>
            <w:r w:rsidRPr="009C2E20">
              <w:rPr>
                <w:rFonts w:cs="Times New Roman"/>
              </w:rPr>
              <w:t>) izmaksas, ņemot vērā, ka ne katras programmas ietvaros attiecīgā manipulācija faktiski tiek piemērota. Par pavadošās personas atrašanos pie pacienta tiks maksāts atsevišķi un atbilstoši faktiski sniegtajam pakalpojumam.</w:t>
            </w:r>
          </w:p>
          <w:p w:rsidR="007428A1" w:rsidRPr="009C2E20" w:rsidRDefault="007428A1" w:rsidP="00065083">
            <w:pPr>
              <w:ind w:firstLine="335"/>
              <w:contextualSpacing/>
              <w:jc w:val="both"/>
              <w:rPr>
                <w:rFonts w:cs="Times New Roman"/>
              </w:rPr>
            </w:pPr>
            <w:r w:rsidRPr="009C2E20">
              <w:rPr>
                <w:rFonts w:cs="Times New Roman"/>
              </w:rPr>
              <w:t>6) Noteikumu 3.</w:t>
            </w:r>
            <w:r w:rsidR="004548B6">
              <w:rPr>
                <w:rFonts w:cs="Times New Roman"/>
              </w:rPr>
              <w:t> </w:t>
            </w:r>
            <w:r w:rsidRPr="009C2E20">
              <w:rPr>
                <w:rFonts w:cs="Times New Roman"/>
              </w:rPr>
              <w:t>pielikuma 3.2.45.</w:t>
            </w:r>
            <w:r w:rsidR="004548B6">
              <w:rPr>
                <w:rFonts w:cs="Times New Roman"/>
              </w:rPr>
              <w:t> </w:t>
            </w:r>
            <w:r w:rsidRPr="009C2E20">
              <w:rPr>
                <w:rFonts w:cs="Times New Roman"/>
              </w:rPr>
              <w:t xml:space="preserve">apakšpunktā veikti grozījumi ar, kuriem palielināti dzemdību aprūpes epizožu tarifi. </w:t>
            </w:r>
          </w:p>
          <w:p w:rsidR="007428A1" w:rsidRPr="009C2E20" w:rsidRDefault="007428A1" w:rsidP="007428A1">
            <w:pPr>
              <w:ind w:firstLine="335"/>
              <w:contextualSpacing/>
              <w:jc w:val="both"/>
              <w:rPr>
                <w:rFonts w:cs="Times New Roman"/>
                <w:vertAlign w:val="superscript"/>
              </w:rPr>
            </w:pPr>
            <w:r w:rsidRPr="009C2E20">
              <w:rPr>
                <w:rFonts w:cs="Times New Roman"/>
              </w:rPr>
              <w:t xml:space="preserve">Mātes mirstība ir viens no rādītājiem, kas liecina par </w:t>
            </w:r>
            <w:proofErr w:type="spellStart"/>
            <w:r w:rsidRPr="009C2E20">
              <w:rPr>
                <w:rFonts w:cs="Times New Roman"/>
              </w:rPr>
              <w:t>antenatālās</w:t>
            </w:r>
            <w:proofErr w:type="spellEnd"/>
            <w:r w:rsidRPr="009C2E20">
              <w:rPr>
                <w:rFonts w:cs="Times New Roman"/>
              </w:rPr>
              <w:t xml:space="preserve"> un perinatālās aprūpes kvalitāti valstī. Latvijā gandrīz katru gadu tiek reģistrēti mātes nāves gadījumi. Jāatzīmē gan, ka mātes mirstības relatīvais rādītājs nelielās valstīs ir ļoti svārstīgs – tā kā dzīvi dzimušo skaits ir salīdzinoši neliels, tad šo rādītāj</w:t>
            </w:r>
            <w:r w:rsidR="004548B6">
              <w:rPr>
                <w:rFonts w:cs="Times New Roman"/>
              </w:rPr>
              <w:t>u (kas tiek rēķināts uz 100 000 </w:t>
            </w:r>
            <w:r w:rsidRPr="009C2E20">
              <w:rPr>
                <w:rFonts w:cs="Times New Roman"/>
              </w:rPr>
              <w:t xml:space="preserve">dzīvi dzimušo) būtiski ietekmē ikviens mātes nāves gadījums. </w:t>
            </w:r>
          </w:p>
          <w:p w:rsidR="007428A1" w:rsidRPr="009C2E20" w:rsidRDefault="007428A1" w:rsidP="007428A1">
            <w:pPr>
              <w:ind w:firstLine="335"/>
              <w:contextualSpacing/>
              <w:jc w:val="both"/>
              <w:rPr>
                <w:rFonts w:cs="Times New Roman"/>
              </w:rPr>
            </w:pPr>
            <w:r w:rsidRPr="009C2E20">
              <w:rPr>
                <w:rFonts w:cs="Times New Roman"/>
              </w:rPr>
              <w:t>Grūtnieces un bērna veselība aprūpe saskaņā ar Nacionālo attīstības plānu 2020.</w:t>
            </w:r>
            <w:r w:rsidR="004548B6">
              <w:rPr>
                <w:rFonts w:cs="Times New Roman"/>
              </w:rPr>
              <w:t> </w:t>
            </w:r>
            <w:r w:rsidRPr="009C2E20">
              <w:rPr>
                <w:rFonts w:cs="Times New Roman"/>
              </w:rPr>
              <w:t xml:space="preserve">gadam un SVP ir izvirzīta par vienu no veselības aprūpes prioritātēm. Ņemot vērā minēto, Veselības ministrija jau ir mērķtiecīgi veikusi pasākumus, lai uzlabotu grūtnieču aprūpi, dzemdību palīdzību un jaundzimušā aprūpi. Lai nodrošinātu mātes un bērna veselības aprūpes kvalitāti kā grūtniecības periodā, tā arī dzemdībās, jānodrošina mātes un bērna veselības aprūpes iznākuma un kvalitātes regulāra uzraudzība kā lokāli, tā nacionāli, jo pakalpojumam jābūt ne tikai pieejamam, bet arī kvalitatīvam nosakot riskus, kas var radīt veselības problēmas grūtniecības laikā, dzemdībās vai pēcdzemdību periodā, kā mātei, tā arī bērnam, un nodrošinot adekvātu augsta riska pacientu aprūpes vadību. </w:t>
            </w:r>
          </w:p>
          <w:p w:rsidR="007428A1" w:rsidRPr="009C2E20" w:rsidRDefault="007428A1" w:rsidP="007428A1">
            <w:pPr>
              <w:ind w:firstLine="335"/>
              <w:contextualSpacing/>
              <w:jc w:val="both"/>
              <w:rPr>
                <w:rFonts w:cs="Times New Roman"/>
              </w:rPr>
            </w:pPr>
            <w:r w:rsidRPr="009C2E20">
              <w:rPr>
                <w:rFonts w:cs="Times New Roman"/>
              </w:rPr>
              <w:t>Ņemot vērā minēto, kopš 2015.</w:t>
            </w:r>
            <w:r w:rsidR="004548B6">
              <w:rPr>
                <w:rFonts w:cs="Times New Roman"/>
              </w:rPr>
              <w:t> </w:t>
            </w:r>
            <w:r w:rsidRPr="009C2E20">
              <w:rPr>
                <w:rFonts w:cs="Times New Roman"/>
              </w:rPr>
              <w:t>gada Nacionālā veselības dienesta līgumos ar ārstniecības iestādēm par stacionāro veselības aprūpes  pakalpojumu sniegšanu un apmaksu, stacionārajām  ārstniecības iestādēm, kuru sastāvā ir dzemdību nodaļas, ir noteiktas  kvalitātes un pacientu drošības prasības, kas ietver prasības kvalitātes vadības sistēmai, cilvēkresursu un to kompetences nodrošinājumam, tehnoloģiju un palīgdienestu pieejamībai, augsta riska pacientu aprūpes vadībai. Diemžēl, neskatoties uz jau paveikto mātes un bērna aprūpes uzlabošanā, Latvijā joprojām katru gadu tiek reģistrēti mātes nāves gadījumi</w:t>
            </w:r>
            <w:r w:rsidRPr="009C2E20">
              <w:rPr>
                <w:rFonts w:cs="Times New Roman"/>
                <w:vertAlign w:val="superscript"/>
              </w:rPr>
              <w:footnoteReference w:id="3"/>
            </w:r>
            <w:r w:rsidRPr="009C2E20">
              <w:rPr>
                <w:rFonts w:cs="Times New Roman"/>
              </w:rPr>
              <w:t>. Īpaši satraucoši rādītāji bija 2015.</w:t>
            </w:r>
            <w:r w:rsidR="004548B6">
              <w:rPr>
                <w:rFonts w:cs="Times New Roman"/>
              </w:rPr>
              <w:t> </w:t>
            </w:r>
            <w:r w:rsidRPr="009C2E20">
              <w:rPr>
                <w:rFonts w:cs="Times New Roman"/>
              </w:rPr>
              <w:t>gadā, kad mātes mirstības rādītājs bija 55,2</w:t>
            </w:r>
            <w:r w:rsidR="004548B6">
              <w:rPr>
                <w:rFonts w:cs="Times New Roman"/>
              </w:rPr>
              <w:t> </w:t>
            </w:r>
            <w:r w:rsidRPr="009C2E20">
              <w:rPr>
                <w:rFonts w:cs="Times New Roman"/>
              </w:rPr>
              <w:t>uz 100 000 dzīvi dzimušiem. Absolūtos skaitļos tie bija 12 mātes nāves gadījumi, no kuriem 8</w:t>
            </w:r>
            <w:r w:rsidR="004548B6">
              <w:rPr>
                <w:rFonts w:cs="Times New Roman"/>
              </w:rPr>
              <w:t> </w:t>
            </w:r>
            <w:r w:rsidRPr="009C2E20">
              <w:rPr>
                <w:rFonts w:cs="Times New Roman"/>
              </w:rPr>
              <w:t xml:space="preserve">gadījumi bija ar grūtniecību tieši saistīto cēloņu dēļ. </w:t>
            </w:r>
          </w:p>
          <w:p w:rsidR="007428A1" w:rsidRPr="009C2E20" w:rsidRDefault="007428A1" w:rsidP="007428A1">
            <w:pPr>
              <w:ind w:firstLine="335"/>
              <w:contextualSpacing/>
              <w:jc w:val="both"/>
              <w:rPr>
                <w:rFonts w:cs="Times New Roman"/>
                <w:bCs/>
              </w:rPr>
            </w:pPr>
            <w:r w:rsidRPr="009C2E20">
              <w:rPr>
                <w:rFonts w:cs="Times New Roman"/>
              </w:rPr>
              <w:t>Lai pilnveidotu grūtnieču un dzemdētāju aprūpes kvalitāti, sadarbībā ar jomas speciālistiem tiek grozīti MK 2006.</w:t>
            </w:r>
            <w:r w:rsidR="004548B6">
              <w:rPr>
                <w:rFonts w:cs="Times New Roman"/>
              </w:rPr>
              <w:t> </w:t>
            </w:r>
            <w:r w:rsidRPr="009C2E20">
              <w:rPr>
                <w:rFonts w:cs="Times New Roman"/>
              </w:rPr>
              <w:t>gada 25.</w:t>
            </w:r>
            <w:r w:rsidR="004548B6">
              <w:rPr>
                <w:rFonts w:cs="Times New Roman"/>
              </w:rPr>
              <w:t> </w:t>
            </w:r>
            <w:r w:rsidRPr="009C2E20">
              <w:rPr>
                <w:rFonts w:cs="Times New Roman"/>
              </w:rPr>
              <w:t>jūlija noteikumi Nr.</w:t>
            </w:r>
            <w:r w:rsidR="004548B6">
              <w:rPr>
                <w:rFonts w:cs="Times New Roman"/>
              </w:rPr>
              <w:t> </w:t>
            </w:r>
            <w:r w:rsidRPr="009C2E20">
              <w:rPr>
                <w:rFonts w:cs="Times New Roman"/>
              </w:rPr>
              <w:t>611 „Dzemdību palīdzības nodrošināšanas kārtība” ar kuriem noteiktas k</w:t>
            </w:r>
            <w:r w:rsidRPr="009C2E20">
              <w:rPr>
                <w:rFonts w:cs="Times New Roman"/>
                <w:bCs/>
              </w:rPr>
              <w:t xml:space="preserve">valitātes prasības grūtnieču un dzemdētāju aprūpē iesaistītā personāla apmācībai (profesionālo pilnveidi), grūtnieču, dzemdētāju un jaundzimušo aprūpei, neatliekamajai palīdzībai dzemdniecībā un </w:t>
            </w:r>
            <w:proofErr w:type="spellStart"/>
            <w:r w:rsidRPr="009C2E20">
              <w:rPr>
                <w:rFonts w:cs="Times New Roman"/>
                <w:bCs/>
              </w:rPr>
              <w:t>neonatoloģijā</w:t>
            </w:r>
            <w:proofErr w:type="spellEnd"/>
            <w:r w:rsidRPr="009C2E20">
              <w:rPr>
                <w:rFonts w:cs="Times New Roman"/>
                <w:bCs/>
              </w:rPr>
              <w:t xml:space="preserve">, kā arī komandu treniņiem operatīvas un saskaņotas rīcības </w:t>
            </w:r>
            <w:r w:rsidRPr="009C2E20">
              <w:rPr>
                <w:rFonts w:cs="Times New Roman"/>
                <w:bCs/>
              </w:rPr>
              <w:lastRenderedPageBreak/>
              <w:t xml:space="preserve">nodrošināšanai dzīvībai un veselībai kritiskās situācijās. </w:t>
            </w:r>
          </w:p>
          <w:p w:rsidR="007428A1" w:rsidRPr="009C2E20" w:rsidRDefault="007428A1" w:rsidP="007428A1">
            <w:pPr>
              <w:ind w:firstLine="335"/>
              <w:contextualSpacing/>
              <w:jc w:val="both"/>
              <w:rPr>
                <w:rFonts w:cs="Times New Roman"/>
              </w:rPr>
            </w:pPr>
            <w:r w:rsidRPr="009C2E20">
              <w:rPr>
                <w:rFonts w:cs="Times New Roman"/>
              </w:rPr>
              <w:t xml:space="preserve">Labvēlīgai grūtniecības un dzemdību norisei un tās pozitīvam iznākumam ir nepieciešams augsti profesionāls atbalsts, kas ir saistīts ar vērā ņemamiem izdevumiem. Dzemdību pakalpojuma tarifā valstī noteiktais ārstniecības personu atalgojums nav atbilstošs dzemdību palīdzības sniedzēju ieguldītajam darbam un reālajai situācijai. Šobrīd atalgojums ambulatorajā sektorā ievērojami atšķiras no atalgojuma stacionārajā sektorā. Piemēram, ārstniecības persona, sniedzot ginekoloģiskos pakalpojumus ambulatori šobrīd var nopelnīt vairāk nekā ārstniecības persona, kura strādā slimnīcā, nodrošinot dzemdību pakalpojuma sniegšanu neatliekamās palīdzības režīmā. Rezultātā slimnīcām, kuras nodrošina dzemdību palīdzību, ir arvien grūtāk piesaistīt nepieciešamo personālu – ārstus, vecmātes, māsas un citus speciālistus, kas izvēlas strādāt ambulatorajā sektorā. Tādējādi tiek apdraudēts cilvēkresursu nodrošinājums ārstniecības iestādēs, kuras sniedz dzemdību pakalpojumus, kas var nelabvēlīgi  ietekmēt dzemdību palīdzības pakalpojumu kvalitāti. </w:t>
            </w:r>
          </w:p>
          <w:p w:rsidR="00065083" w:rsidRPr="009C2E20" w:rsidRDefault="007428A1" w:rsidP="00065083">
            <w:pPr>
              <w:ind w:firstLine="335"/>
              <w:contextualSpacing/>
              <w:jc w:val="both"/>
              <w:rPr>
                <w:rFonts w:cs="Times New Roman"/>
              </w:rPr>
            </w:pPr>
            <w:r w:rsidRPr="009C2E20">
              <w:rPr>
                <w:rFonts w:cs="Times New Roman"/>
              </w:rPr>
              <w:t>Lai nodrošinātu kvalitatīvu dzemdību pakalpojumu sniegšanu, tiek veikta dzemdību palīdzības nodrošināšanas organizācijas reforma, kuras viens no elementiem ir dzemdību tarifu pārskatīšana, paredzot papildu finansējumu cilvēkresursu izmaksām stacionārajās ārstniecības iestādēs, kuras nodrošina dzemdību palīdzību, palielinot  dzemdību tarifu dzemdību palīdzības sniegšanā iesaistīto ārstniecības personu atalgojumam un pietuvinot dzemdību tarifu patiesajām pakalpojuma izmaksām.</w:t>
            </w:r>
            <w:r w:rsidR="001E4456" w:rsidRPr="009C2E20">
              <w:rPr>
                <w:rFonts w:cs="Times New Roman"/>
              </w:rPr>
              <w:t>7</w:t>
            </w:r>
            <w:r w:rsidR="00065083" w:rsidRPr="009C2E20">
              <w:rPr>
                <w:rFonts w:cs="Times New Roman"/>
              </w:rPr>
              <w:t>) Noteikumu 3.</w:t>
            </w:r>
            <w:r w:rsidR="004548B6">
              <w:rPr>
                <w:rFonts w:cs="Times New Roman"/>
              </w:rPr>
              <w:t> </w:t>
            </w:r>
            <w:r w:rsidR="00065083" w:rsidRPr="009C2E20">
              <w:rPr>
                <w:rFonts w:cs="Times New Roman"/>
              </w:rPr>
              <w:t>pielikuma 3.2.53.</w:t>
            </w:r>
            <w:r w:rsidR="004548B6">
              <w:rPr>
                <w:rFonts w:cs="Times New Roman"/>
              </w:rPr>
              <w:t> </w:t>
            </w:r>
            <w:r w:rsidR="00065083" w:rsidRPr="009C2E20">
              <w:rPr>
                <w:rFonts w:cs="Times New Roman"/>
              </w:rPr>
              <w:t>apakšpunktā veikts grozījums, ar kuru par ārstēšanas programmu “</w:t>
            </w:r>
            <w:r w:rsidR="00065083" w:rsidRPr="009C2E20">
              <w:rPr>
                <w:rFonts w:cs="Times New Roman"/>
                <w:shd w:val="clear" w:color="auto" w:fill="FFFFFF"/>
              </w:rPr>
              <w:t>Piespiedu psihiatriskā ārstēšana stacionārā ar apsardzi</w:t>
            </w:r>
            <w:r w:rsidR="00065083" w:rsidRPr="009C2E20">
              <w:rPr>
                <w:rFonts w:cs="Times New Roman"/>
              </w:rPr>
              <w:t>” noteikts aprūpes epizodes tarifs 00,00. Minētais apakšpunkts tiek precizēts atbilstoši faktiskajai situācijai, proti, attiecīgā programma jau tiek apmaksāta ar tāmes finansējumu.</w:t>
            </w:r>
          </w:p>
          <w:p w:rsidR="00B23827" w:rsidRPr="009C2E20" w:rsidRDefault="00BA0EED" w:rsidP="00517361">
            <w:pPr>
              <w:ind w:firstLine="335"/>
              <w:contextualSpacing/>
              <w:jc w:val="both"/>
            </w:pPr>
            <w:r w:rsidRPr="009C2E20">
              <w:t>2</w:t>
            </w:r>
            <w:r w:rsidR="00060225" w:rsidRPr="009C2E20">
              <w:t>5</w:t>
            </w:r>
            <w:r w:rsidRPr="009C2E20">
              <w:t xml:space="preserve">. </w:t>
            </w:r>
            <w:r w:rsidR="00B23827" w:rsidRPr="009C2E20">
              <w:t>Pamatojoties uz Veselības aprūpes sistēmai piešķirto finanšu līdzekļu palielinājumu 2017.</w:t>
            </w:r>
            <w:r w:rsidR="004548B6">
              <w:t> </w:t>
            </w:r>
            <w:r w:rsidR="00B23827" w:rsidRPr="009C2E20">
              <w:t>gada</w:t>
            </w:r>
            <w:r w:rsidR="004548B6">
              <w:t>m, noteikumi paredz izteikt 16. </w:t>
            </w:r>
            <w:r w:rsidR="00B23827" w:rsidRPr="009C2E20">
              <w:t>pielikumu jaunā redakcijā, lai uzlabotu veselības aprūpes pakalpojumu nodrošinājumu un pieejamību.</w:t>
            </w:r>
            <w:r w:rsidR="00E810D3" w:rsidRPr="009C2E20">
              <w:t xml:space="preserve"> Noteikumu 16.</w:t>
            </w:r>
            <w:r w:rsidR="004548B6">
              <w:t> </w:t>
            </w:r>
            <w:r w:rsidR="00E810D3" w:rsidRPr="009C2E20">
              <w:t>pielikumā veikti sekojoši grozījumi:</w:t>
            </w:r>
          </w:p>
          <w:p w:rsidR="00E70A7D" w:rsidRPr="009C2E20" w:rsidRDefault="00E70A7D" w:rsidP="00E70A7D">
            <w:pPr>
              <w:ind w:firstLine="335"/>
              <w:contextualSpacing/>
              <w:jc w:val="both"/>
            </w:pPr>
            <w:r w:rsidRPr="009C2E20">
              <w:t>1) sadaļā “UROLOĢIJA” (manipulācijas 19009 – 19309). Sadaļa papildināta ar 3.</w:t>
            </w:r>
            <w:r w:rsidR="004548B6">
              <w:t xml:space="preserve"> punktu, kas nosaka, ka </w:t>
            </w:r>
            <w:r w:rsidRPr="009C2E20">
              <w:t xml:space="preserve">manipulācijā 19065 ir ietverta </w:t>
            </w:r>
            <w:proofErr w:type="spellStart"/>
            <w:r w:rsidRPr="009C2E20">
              <w:t>stenta</w:t>
            </w:r>
            <w:proofErr w:type="spellEnd"/>
            <w:r w:rsidRPr="009C2E20">
              <w:t xml:space="preserve"> ielikšana vai nomaiņa apakšējos urīn</w:t>
            </w:r>
            <w:r w:rsidR="004548B6">
              <w:t xml:space="preserve">ceļos </w:t>
            </w:r>
            <w:proofErr w:type="spellStart"/>
            <w:r w:rsidR="004548B6">
              <w:t>endoskopijas</w:t>
            </w:r>
            <w:proofErr w:type="spellEnd"/>
            <w:r w:rsidR="004548B6">
              <w:t xml:space="preserve"> laikā, un 4. </w:t>
            </w:r>
            <w:r w:rsidRPr="009C2E20">
              <w:t xml:space="preserve">punktu, kas nosaka, ka  manipulācija Nr. 19075 nav uzrādāma kombinācijā ar citām </w:t>
            </w:r>
            <w:proofErr w:type="spellStart"/>
            <w:r w:rsidRPr="009C2E20">
              <w:t>endoskopiskām</w:t>
            </w:r>
            <w:proofErr w:type="spellEnd"/>
            <w:r w:rsidRPr="009C2E20">
              <w:t xml:space="preserve"> manipulācijām;</w:t>
            </w:r>
          </w:p>
          <w:p w:rsidR="00A25FB3" w:rsidRPr="009C2E20" w:rsidRDefault="00E70A7D" w:rsidP="00E70A7D">
            <w:pPr>
              <w:ind w:firstLine="335"/>
              <w:contextualSpacing/>
              <w:jc w:val="both"/>
            </w:pPr>
            <w:r w:rsidRPr="009C2E20">
              <w:t>2) sadaļas “RADIOLOĢIJA” (manipulācijas 50011 – 50853). Sadaļas 4.</w:t>
            </w:r>
            <w:r w:rsidR="004548B6">
              <w:t> </w:t>
            </w:r>
            <w:r w:rsidRPr="009C2E20">
              <w:t>punkts precizēts, nosakot, ka manipulāciju 50012 – 50027 uzrāda vienam pacientam vienu reizi par vienā dienā veiktajiem izmeklējumiem, izvēloties to manipulāciju, kura atbilst rentgenogrāfijas izmeklējumu projekciju kopskaitam</w:t>
            </w:r>
            <w:r w:rsidR="00E810D3" w:rsidRPr="009C2E20">
              <w:t>;</w:t>
            </w:r>
            <w:r w:rsidRPr="009C2E20">
              <w:t xml:space="preserve"> </w:t>
            </w:r>
          </w:p>
          <w:p w:rsidR="00E70A7D" w:rsidRPr="009C2E20" w:rsidRDefault="00E810D3" w:rsidP="00E70A7D">
            <w:pPr>
              <w:ind w:firstLine="335"/>
              <w:contextualSpacing/>
              <w:jc w:val="both"/>
            </w:pPr>
            <w:r w:rsidRPr="009C2E20">
              <w:t xml:space="preserve">3) </w:t>
            </w:r>
            <w:r w:rsidR="00E70A7D" w:rsidRPr="009C2E20">
              <w:t xml:space="preserve">Noteikumu projekts paredz noteikumus papildināt ar punktu, ar kuru </w:t>
            </w:r>
            <w:r w:rsidR="00313C8C" w:rsidRPr="009C2E20">
              <w:t>noteikumos iekļaujama</w:t>
            </w:r>
            <w:r w:rsidR="00E70A7D" w:rsidRPr="009C2E20">
              <w:t xml:space="preserve"> manipulācija 21080* “Piemaksa par operācijām ar divu vai vairāk orgānu </w:t>
            </w:r>
            <w:proofErr w:type="spellStart"/>
            <w:r w:rsidR="00E70A7D" w:rsidRPr="009C2E20">
              <w:t>rezekciju</w:t>
            </w:r>
            <w:proofErr w:type="spellEnd"/>
            <w:r w:rsidR="00E70A7D" w:rsidRPr="009C2E20">
              <w:t xml:space="preserve"> operācijām dažādām </w:t>
            </w:r>
            <w:proofErr w:type="spellStart"/>
            <w:r w:rsidR="00E70A7D" w:rsidRPr="009C2E20">
              <w:t>lokalizācijām</w:t>
            </w:r>
            <w:proofErr w:type="spellEnd"/>
            <w:r w:rsidR="00E70A7D" w:rsidRPr="009C2E20">
              <w:t xml:space="preserve">, ko izdara vienlaicīgi”.  Izmaiņas nepieciešamas, lai veicinātu efektīvu valsts budžeta līdzekļu izlietojumu un pacientu uzskaites dokumenti tiktu korekti aizpildīti vienlaicīgi veicot pacientam </w:t>
            </w:r>
            <w:r w:rsidR="00E70A7D" w:rsidRPr="009C2E20">
              <w:lastRenderedPageBreak/>
              <w:t>vienā reizē divas vai vairāk orgānu operācijas</w:t>
            </w:r>
            <w:r w:rsidRPr="009C2E20">
              <w:t>;</w:t>
            </w:r>
          </w:p>
          <w:p w:rsidR="00313C8C" w:rsidRPr="009C2E20" w:rsidRDefault="00E810D3" w:rsidP="00313C8C">
            <w:pPr>
              <w:ind w:firstLine="335"/>
              <w:contextualSpacing/>
              <w:jc w:val="both"/>
            </w:pPr>
            <w:r w:rsidRPr="009C2E20">
              <w:t xml:space="preserve">4) </w:t>
            </w:r>
            <w:r w:rsidR="00313C8C" w:rsidRPr="009C2E20">
              <w:t xml:space="preserve">Lai nodrošinātu pakalpojumu uzskaiti par Minesotas programmas pakalpojumu apjomu narkoloģiskā profila dienas stacionārā. </w:t>
            </w:r>
            <w:r w:rsidR="00BA0EED" w:rsidRPr="009C2E20">
              <w:t>Noteikumu 16.</w:t>
            </w:r>
            <w:r w:rsidR="00313C8C" w:rsidRPr="009C2E20">
              <w:t xml:space="preserve"> </w:t>
            </w:r>
            <w:r w:rsidR="00BA0EED" w:rsidRPr="009C2E20">
              <w:t>pielikum</w:t>
            </w:r>
            <w:r w:rsidR="00313C8C" w:rsidRPr="009C2E20">
              <w:t>ā</w:t>
            </w:r>
            <w:r w:rsidR="00BA0EED" w:rsidRPr="009C2E20">
              <w:t xml:space="preserve"> iekļauta jauna manipulācija 60069 “Minesotas programma dienas stacionārā”</w:t>
            </w:r>
            <w:r w:rsidRPr="009C2E20">
              <w:t>;</w:t>
            </w:r>
            <w:r w:rsidR="00BA0EED" w:rsidRPr="009C2E20">
              <w:t xml:space="preserve"> </w:t>
            </w:r>
          </w:p>
          <w:p w:rsidR="00E810D3" w:rsidRPr="009C2E20" w:rsidRDefault="00B44E0F" w:rsidP="00E810D3">
            <w:pPr>
              <w:ind w:firstLine="335"/>
              <w:contextualSpacing/>
              <w:jc w:val="both"/>
            </w:pPr>
            <w:r w:rsidRPr="009C2E20">
              <w:t>5) Noteikumu 16.</w:t>
            </w:r>
            <w:r w:rsidR="004548B6">
              <w:t> </w:t>
            </w:r>
            <w:r w:rsidRPr="009C2E20">
              <w:t>pielikuma sadaļa “CITĀS SADAĻĀS NEIEKĻAUTĀS MANIPULĀCIJAS” (manipulācijas 60001-60339; 60400-60419; 60450-60482) papildināta ar 7.</w:t>
            </w:r>
            <w:r w:rsidR="004548B6">
              <w:t> </w:t>
            </w:r>
            <w:r w:rsidRPr="009C2E20">
              <w:t>punktu, kas nosaka, ka manipulāciju 60421 pielieto, ja konstatēts, ka, nosūtot pacientu saņemt  ļaundabīgo audzēju primārās diagnostikas izmeklējumus vai speciālistu konsultācijas,  veidlapa  Nr.</w:t>
            </w:r>
            <w:r w:rsidR="004548B6">
              <w:t> </w:t>
            </w:r>
            <w:r w:rsidRPr="009C2E20">
              <w:t>027/u  nav noformēta saskaņā ar normatīvajiem aktiem par  medicīnisko dokumentu lietvedības kārtību. Nosūtījumu aizpildīšanas kvalitātes uzraudzīšanai nepieciešama jauna uzskaites manipulācija, līdz ar to noteikumi papildināmi ar tiesību normu, kas paredz iespēju veikt uzraudzības pasākumus attiecībā uz pacienta nosūtīšanu ļaundabīgo audzēju primārās diagnostikas izmeklēšanai;</w:t>
            </w:r>
          </w:p>
          <w:p w:rsidR="00517361" w:rsidRPr="009C2E20" w:rsidRDefault="00E810D3" w:rsidP="00E810D3">
            <w:pPr>
              <w:ind w:firstLine="335"/>
              <w:contextualSpacing/>
              <w:jc w:val="both"/>
            </w:pPr>
            <w:r w:rsidRPr="009C2E20">
              <w:t xml:space="preserve">6) </w:t>
            </w:r>
            <w:r w:rsidR="00BA0EED" w:rsidRPr="009C2E20">
              <w:t>Noteikumu 16.</w:t>
            </w:r>
            <w:r w:rsidR="004548B6">
              <w:t> </w:t>
            </w:r>
            <w:r w:rsidR="00BA0EED" w:rsidRPr="009C2E20">
              <w:t xml:space="preserve">pielikumā ietvertā manipulācija “Pavadošās personas atrašanās pie pacienta diennakts rehabilitācijas iestādē vai pie bērna diennakts stacionārā pēc medicīniskām indikācijām (par vienu </w:t>
            </w:r>
            <w:proofErr w:type="spellStart"/>
            <w:r w:rsidR="00BA0EED" w:rsidRPr="009C2E20">
              <w:t>gultasdienu</w:t>
            </w:r>
            <w:proofErr w:type="spellEnd"/>
            <w:r w:rsidR="00BA0EED" w:rsidRPr="009C2E20">
              <w:t xml:space="preserve">)” papildināta ar otru </w:t>
            </w:r>
            <w:r w:rsidR="00332C8F" w:rsidRPr="009C2E20">
              <w:t xml:space="preserve"> simbolu „</w:t>
            </w:r>
            <w:r w:rsidR="00BA0EED" w:rsidRPr="009C2E20">
              <w:t>*</w:t>
            </w:r>
            <w:r w:rsidR="00332C8F" w:rsidRPr="009C2E20">
              <w:t>”</w:t>
            </w:r>
            <w:r w:rsidR="00BA0EED" w:rsidRPr="009C2E20">
              <w:t xml:space="preserve">, t.i. </w:t>
            </w:r>
            <w:r w:rsidR="00332C8F" w:rsidRPr="009C2E20">
              <w:t>„</w:t>
            </w:r>
            <w:r w:rsidR="00BA0EED" w:rsidRPr="009C2E20">
              <w:t>60107**</w:t>
            </w:r>
            <w:r w:rsidR="00332C8F" w:rsidRPr="009C2E20">
              <w:t>”</w:t>
            </w:r>
            <w:r w:rsidR="00BA0EED" w:rsidRPr="009C2E20">
              <w:t xml:space="preserve">. Šo manipulāciju, kas nav tieši saistīta ar pacienta diagnozi, bet gan citiem funkcionālajiem stāvokļiem, vecumu vai mobilitāti, turpmāk maksās papildus viena pacienta vidējām ārstēšanas izmaksām, tādejādi finansējumu novirzot tieši tiem </w:t>
            </w:r>
            <w:proofErr w:type="spellStart"/>
            <w:r w:rsidR="00BA0EED" w:rsidRPr="009C2E20">
              <w:t>stacionēšanās</w:t>
            </w:r>
            <w:proofErr w:type="spellEnd"/>
            <w:r w:rsidR="00BA0EED" w:rsidRPr="009C2E20">
              <w:t xml:space="preserve"> gadījumiem, kuros ir bijusi pavadošā persona</w:t>
            </w:r>
            <w:r w:rsidRPr="009C2E20">
              <w:t>;</w:t>
            </w:r>
          </w:p>
          <w:p w:rsidR="00517361" w:rsidRPr="009C2E20" w:rsidRDefault="008F0212" w:rsidP="00517361">
            <w:pPr>
              <w:ind w:firstLine="335"/>
              <w:contextualSpacing/>
              <w:jc w:val="both"/>
            </w:pPr>
            <w:r w:rsidRPr="009C2E20">
              <w:t>7</w:t>
            </w:r>
            <w:r w:rsidR="00E810D3" w:rsidRPr="009C2E20">
              <w:t xml:space="preserve">) </w:t>
            </w:r>
            <w:r w:rsidR="00BA0EED" w:rsidRPr="009C2E20">
              <w:t>Noteikumu 16.</w:t>
            </w:r>
            <w:r w:rsidR="004548B6">
              <w:t> </w:t>
            </w:r>
            <w:r w:rsidR="00BA0EED" w:rsidRPr="009C2E20">
              <w:t>pielikumā atsevišķos manipulāciju nosaukumos veiktas redakcionālas izmaiņas, lai nodrošinātu precīzu un pamatotu šo manipulāciju piemērošanu</w:t>
            </w:r>
            <w:r w:rsidR="00E810D3" w:rsidRPr="009C2E20">
              <w:t>;</w:t>
            </w:r>
          </w:p>
          <w:p w:rsidR="00A25FB3" w:rsidRPr="009C2E20" w:rsidRDefault="008F0212" w:rsidP="00A25FB3">
            <w:pPr>
              <w:ind w:firstLine="335"/>
              <w:contextualSpacing/>
              <w:jc w:val="both"/>
            </w:pPr>
            <w:r w:rsidRPr="009C2E20">
              <w:t>8</w:t>
            </w:r>
            <w:r w:rsidR="00E810D3" w:rsidRPr="009C2E20">
              <w:t xml:space="preserve">) </w:t>
            </w:r>
            <w:r w:rsidR="00BA0EED" w:rsidRPr="009C2E20">
              <w:t>Noteikumu 16.</w:t>
            </w:r>
            <w:r w:rsidR="004548B6">
              <w:t> </w:t>
            </w:r>
            <w:r w:rsidR="00BA0EED" w:rsidRPr="009C2E20">
              <w:t>pielikumā a</w:t>
            </w:r>
            <w:r w:rsidR="00E810D3" w:rsidRPr="009C2E20">
              <w:t>tsevišķām manipulācijām svītrots simbols „</w:t>
            </w:r>
            <w:r w:rsidR="00BA0EED" w:rsidRPr="009C2E20">
              <w:t>*</w:t>
            </w:r>
            <w:r w:rsidR="00E810D3" w:rsidRPr="009C2E20">
              <w:t>”</w:t>
            </w:r>
            <w:r w:rsidR="00BA0EED" w:rsidRPr="009C2E20">
              <w:t>, jo samaksa tiek veikta saskaņā ar tāmi</w:t>
            </w:r>
            <w:r w:rsidR="00E810D3" w:rsidRPr="009C2E20">
              <w:t>;</w:t>
            </w:r>
          </w:p>
          <w:p w:rsidR="00A25FB3" w:rsidRPr="009C2E20" w:rsidRDefault="008F0212" w:rsidP="00A25FB3">
            <w:pPr>
              <w:ind w:firstLine="335"/>
              <w:contextualSpacing/>
              <w:jc w:val="both"/>
            </w:pPr>
            <w:r w:rsidRPr="009C2E20">
              <w:t>9</w:t>
            </w:r>
            <w:r w:rsidR="00E810D3" w:rsidRPr="009C2E20">
              <w:t xml:space="preserve">) </w:t>
            </w:r>
            <w:r w:rsidR="00A25FB3" w:rsidRPr="009C2E20">
              <w:t>No noteikumu 16.</w:t>
            </w:r>
            <w:r w:rsidR="004548B6">
              <w:t> </w:t>
            </w:r>
            <w:r w:rsidR="00A25FB3" w:rsidRPr="009C2E20">
              <w:t xml:space="preserve">pielikuma svītrota manipulācija ar kodu 19254, kura turpmāk tiks apmaksāta saskaņā ar </w:t>
            </w:r>
            <w:r w:rsidR="00E810D3" w:rsidRPr="009C2E20">
              <w:t>sniegto pakalpojumu apjomu</w:t>
            </w:r>
            <w:r w:rsidR="00A25FB3" w:rsidRPr="009C2E20">
              <w:t>.</w:t>
            </w:r>
          </w:p>
          <w:p w:rsidR="006E54E7" w:rsidRPr="009C2E20" w:rsidRDefault="00E810D3" w:rsidP="00517361">
            <w:pPr>
              <w:ind w:firstLine="335"/>
              <w:contextualSpacing/>
              <w:jc w:val="both"/>
            </w:pPr>
            <w:r w:rsidRPr="009C2E20">
              <w:t>2</w:t>
            </w:r>
            <w:r w:rsidR="00060225" w:rsidRPr="009C2E20">
              <w:t>6</w:t>
            </w:r>
            <w:r w:rsidRPr="009C2E20">
              <w:t xml:space="preserve">. </w:t>
            </w:r>
            <w:r w:rsidR="002F3C5A" w:rsidRPr="009C2E20">
              <w:t>Pamatojoties uz veikt</w:t>
            </w:r>
            <w:r w:rsidR="004548B6">
              <w:t>ajiem grozījumiem noteikumu 16. </w:t>
            </w:r>
            <w:r w:rsidR="002F3C5A" w:rsidRPr="009C2E20">
              <w:t>pielikumā, veikti redakcionāli grozījumu 3.</w:t>
            </w:r>
            <w:r w:rsidR="004548B6">
              <w:t> </w:t>
            </w:r>
            <w:r w:rsidR="002F3C5A" w:rsidRPr="009C2E20">
              <w:t>pielikuma 4.579. un 4.590.</w:t>
            </w:r>
            <w:r w:rsidR="004548B6">
              <w:t> </w:t>
            </w:r>
            <w:r w:rsidR="002F3C5A" w:rsidRPr="009C2E20">
              <w:t>apakšpunktā, lai nodrošinātu konsekventu manipulāciju nosaukumu lietojumu.</w:t>
            </w:r>
          </w:p>
          <w:p w:rsidR="0076772B" w:rsidRPr="009C2E20" w:rsidRDefault="00BA0EED" w:rsidP="0076772B">
            <w:pPr>
              <w:ind w:firstLine="335"/>
              <w:contextualSpacing/>
              <w:jc w:val="both"/>
            </w:pPr>
            <w:r w:rsidRPr="009C2E20">
              <w:t>2</w:t>
            </w:r>
            <w:r w:rsidR="00060225" w:rsidRPr="009C2E20">
              <w:t>7</w:t>
            </w:r>
            <w:r w:rsidRPr="009C2E20">
              <w:t xml:space="preserve">. </w:t>
            </w:r>
            <w:r w:rsidR="0076772B" w:rsidRPr="009C2E20">
              <w:t>Lai nodrošinātu veselības aprūpes pakalpojumu uzskaiti par Minesotas programmas veselības aprūpes pakalpojumu apjomu narkoloģiskā profila dienas stacionārā, veikti grozījumi 19.</w:t>
            </w:r>
            <w:r w:rsidR="004548B6">
              <w:t> pielikuma 9. </w:t>
            </w:r>
            <w:r w:rsidR="0076772B" w:rsidRPr="009C2E20">
              <w:t xml:space="preserve">punktā, papildinot konkrēto normu ar jaunu uzskaites </w:t>
            </w:r>
            <w:r w:rsidR="006A20B9" w:rsidRPr="009C2E20">
              <w:t xml:space="preserve">(nulles vērtības) </w:t>
            </w:r>
            <w:r w:rsidR="0076772B" w:rsidRPr="009C2E20">
              <w:t>manipulāciju Nr.</w:t>
            </w:r>
            <w:r w:rsidR="004548B6">
              <w:t> </w:t>
            </w:r>
            <w:r w:rsidR="0076772B" w:rsidRPr="009C2E20">
              <w:t>60069.</w:t>
            </w:r>
          </w:p>
          <w:p w:rsidR="00CE6C88" w:rsidRPr="009C2E20" w:rsidRDefault="007D3105" w:rsidP="001C6AD8">
            <w:pPr>
              <w:ind w:firstLine="335"/>
              <w:contextualSpacing/>
              <w:jc w:val="both"/>
            </w:pPr>
            <w:r w:rsidRPr="009C2E20">
              <w:t>2</w:t>
            </w:r>
            <w:r w:rsidR="00060225" w:rsidRPr="009C2E20">
              <w:t>8</w:t>
            </w:r>
            <w:r w:rsidR="00BA0EED" w:rsidRPr="009C2E20">
              <w:t xml:space="preserve">. Ņemot vērā, ka </w:t>
            </w:r>
            <w:proofErr w:type="spellStart"/>
            <w:r w:rsidR="00BA0EED" w:rsidRPr="009C2E20">
              <w:t>tuberkulīna</w:t>
            </w:r>
            <w:proofErr w:type="spellEnd"/>
            <w:r w:rsidR="00BA0EED" w:rsidRPr="009C2E20">
              <w:t xml:space="preserve"> šļirces jau ir iekļautas manipulācijā, kas tiek apmaksāta no valsts budžeta līdzekļiem,</w:t>
            </w:r>
            <w:r w:rsidR="00452B8F" w:rsidRPr="009C2E20">
              <w:t xml:space="preserve"> konkrēto manipulāciju nepieciešams svītrot no noteikumu 32.</w:t>
            </w:r>
            <w:r w:rsidR="004548B6">
              <w:t> </w:t>
            </w:r>
            <w:r w:rsidR="00452B8F" w:rsidRPr="009C2E20">
              <w:t>pielikuma 1.18.</w:t>
            </w:r>
            <w:r w:rsidR="004548B6">
              <w:t> </w:t>
            </w:r>
            <w:r w:rsidR="00452B8F" w:rsidRPr="009C2E20">
              <w:t>apakšpunkta.</w:t>
            </w:r>
          </w:p>
          <w:p w:rsidR="001C6AD8" w:rsidRPr="009C2E20" w:rsidRDefault="001C6AD8" w:rsidP="001C6AD8">
            <w:pPr>
              <w:ind w:firstLine="335"/>
              <w:contextualSpacing/>
              <w:jc w:val="both"/>
            </w:pPr>
            <w:r w:rsidRPr="009C2E20">
              <w:t xml:space="preserve">29. </w:t>
            </w:r>
            <w:r w:rsidR="000F48A7" w:rsidRPr="009C2E20">
              <w:t>Cilvēka imūndeficīta vīrusa (</w:t>
            </w:r>
            <w:r w:rsidRPr="009C2E20">
              <w:t>HIV</w:t>
            </w:r>
            <w:r w:rsidR="000F48A7" w:rsidRPr="009C2E20">
              <w:t>)</w:t>
            </w:r>
            <w:r w:rsidRPr="009C2E20">
              <w:t xml:space="preserve"> vertikālās transmisijas profilakse joprojām ir aktuāls jautājums, jo katru gadu tiek reģistrētas apmēram 70 HIV inficētas grūtnieces un vairāki HIV vertikālās transmisijas (no mātes bērnam) gadījumi. Ņemot vērā to, ka HIV infekcija nav ārstējama un, inficējoties ar HIV infekciju jaundzimušā periodā, cilvēks ir atkarīgs no ārstēšanas visu mūžu, kas būtiski ietekmē viņa dzīves kvalitāti, ir svarīgi novērst jebkurus jaundzimušā inficēšanas </w:t>
            </w:r>
            <w:r w:rsidRPr="009C2E20">
              <w:lastRenderedPageBreak/>
              <w:t xml:space="preserve">riskus. </w:t>
            </w:r>
          </w:p>
          <w:p w:rsidR="001C6AD8" w:rsidRPr="009C2E20" w:rsidRDefault="001C6AD8" w:rsidP="001C6AD8">
            <w:pPr>
              <w:ind w:firstLine="335"/>
              <w:contextualSpacing/>
              <w:jc w:val="both"/>
            </w:pPr>
            <w:r w:rsidRPr="009C2E20">
              <w:t>HIV inficētas mātes piens arī ir viens no šīs infekcijas pārneses ceļiem, tādēļ, aizsargājot jaundzimušo no inficēšanās ar HIV, nedrīkst lietot inficētas mātes pienu. Kā viens no HIV infekcijas profilakses līdzekļiem šiem bērniem ir mātes piena aizstājējprodukti. Tādēļ Veselības ministrija ir paredzējusi no 2017.</w:t>
            </w:r>
            <w:r w:rsidR="004548B6">
              <w:t> </w:t>
            </w:r>
            <w:r w:rsidRPr="009C2E20">
              <w:t>gada</w:t>
            </w:r>
            <w:r w:rsidR="00674FE9">
              <w:t xml:space="preserve"> 1.</w:t>
            </w:r>
            <w:r w:rsidR="004548B6">
              <w:t> </w:t>
            </w:r>
            <w:r w:rsidR="00674FE9">
              <w:t>aprīļa</w:t>
            </w:r>
            <w:r w:rsidR="00806536">
              <w:t xml:space="preserve"> </w:t>
            </w:r>
            <w:r w:rsidRPr="009C2E20">
              <w:t>nodrošināt jaundzimušos līdz 1 gada vecumam, kas dzimuši HIV inficētām mātēm ar mākslīgajiem maisījumiem.</w:t>
            </w:r>
          </w:p>
          <w:p w:rsidR="001C6AD8" w:rsidRPr="009C2E20" w:rsidRDefault="001C6AD8" w:rsidP="001C6AD8">
            <w:pPr>
              <w:ind w:firstLine="335"/>
              <w:contextualSpacing/>
              <w:jc w:val="both"/>
            </w:pPr>
            <w:r w:rsidRPr="009C2E20">
              <w:t>Lai nodrošinātu šo iniciatīvu Nacionālajam veselības dienestam ir jāveic mākslīgo maisījumu centralizēts iepirkums. Tādēļ ir nepieciešams veikt grozījumus noteikumus, papildinot 32.</w:t>
            </w:r>
            <w:r w:rsidR="004548B6">
              <w:t> </w:t>
            </w:r>
            <w:r w:rsidRPr="009C2E20">
              <w:t xml:space="preserve">pielikumu „Centralizēti iepērkamo ārstniecības līdzekļu saraksts” ar mākslīgajiem maisījumiem zīdaiņiem, kas dzimuši HIV inficētām mātēm. </w:t>
            </w:r>
          </w:p>
          <w:p w:rsidR="00BA0EED" w:rsidRPr="001A0484" w:rsidRDefault="001C6AD8" w:rsidP="0076139C">
            <w:pPr>
              <w:ind w:firstLine="335"/>
              <w:contextualSpacing/>
              <w:jc w:val="both"/>
            </w:pPr>
            <w:r w:rsidRPr="009C2E20">
              <w:t>Ir paredzēts, ka centralizēti iepirktos maisījumus atbilstoši iepirkuma līgumam piegādās Rīgas Dzemdību namam, Paula Stradiņa klīniskajai universitātes slimnīcai un Rīgas Austrumu klīniskās universitātes slimnīcai (RAKUS). Savukārt RAKUS nodrošinās mākslīgo zīdaiņu maisījumu izsniegšanu perinatālās aprūpes centriem, kas vajadzības gadījumā tos nodos dzemdību nodaļām. Papildus minētajam RAKUS izsniegs mākslīgos zīdaiņu maisījumus arī saviem pacientiem.</w:t>
            </w:r>
          </w:p>
        </w:tc>
      </w:tr>
      <w:tr w:rsidR="007F39C6" w:rsidRPr="006D1F1C" w:rsidTr="00790486">
        <w:trPr>
          <w:trHeight w:val="465"/>
        </w:trPr>
        <w:tc>
          <w:tcPr>
            <w:tcW w:w="304"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lastRenderedPageBreak/>
              <w:t>3.</w:t>
            </w:r>
          </w:p>
        </w:tc>
        <w:tc>
          <w:tcPr>
            <w:tcW w:w="975"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contextualSpacing/>
              <w:rPr>
                <w:rFonts w:eastAsia="Times New Roman" w:cs="Times New Roman"/>
                <w:szCs w:val="24"/>
                <w:lang w:eastAsia="lv-LV"/>
              </w:rPr>
            </w:pPr>
            <w:r w:rsidRPr="006D1F1C">
              <w:rPr>
                <w:rFonts w:eastAsia="Times New Roman" w:cs="Times New Roman"/>
                <w:szCs w:val="24"/>
                <w:lang w:eastAsia="lv-LV"/>
              </w:rPr>
              <w:t>Projekta izstrādē iesaistītās institūcijas</w:t>
            </w:r>
          </w:p>
        </w:tc>
        <w:tc>
          <w:tcPr>
            <w:tcW w:w="3721" w:type="pct"/>
            <w:tcBorders>
              <w:top w:val="outset" w:sz="6" w:space="0" w:color="auto"/>
              <w:left w:val="outset" w:sz="6" w:space="0" w:color="auto"/>
              <w:bottom w:val="outset" w:sz="6" w:space="0" w:color="auto"/>
              <w:right w:val="outset" w:sz="6" w:space="0" w:color="auto"/>
            </w:tcBorders>
            <w:hideMark/>
          </w:tcPr>
          <w:p w:rsidR="00993C26" w:rsidRPr="003C6024" w:rsidRDefault="00E2257C" w:rsidP="00434313">
            <w:pPr>
              <w:contextualSpacing/>
              <w:jc w:val="both"/>
              <w:rPr>
                <w:rFonts w:eastAsia="Times New Roman" w:cs="Times New Roman"/>
                <w:szCs w:val="24"/>
                <w:lang w:eastAsia="lv-LV"/>
              </w:rPr>
            </w:pPr>
            <w:r>
              <w:rPr>
                <w:rFonts w:eastAsia="Times New Roman" w:cs="Times New Roman"/>
                <w:szCs w:val="24"/>
                <w:lang w:eastAsia="lv-LV"/>
              </w:rPr>
              <w:t xml:space="preserve">Nacionālais veselības dienests </w:t>
            </w:r>
            <w:r w:rsidRPr="00806B85">
              <w:rPr>
                <w:rFonts w:eastAsia="Times New Roman" w:cs="Times New Roman"/>
                <w:szCs w:val="24"/>
                <w:lang w:eastAsia="lv-LV"/>
              </w:rPr>
              <w:t>VISA „Bērnu klīniskā universitātes slimnīca” un Latvijas Zobārstu asociācija.</w:t>
            </w:r>
          </w:p>
        </w:tc>
      </w:tr>
      <w:tr w:rsidR="007F39C6" w:rsidRPr="006D1F1C" w:rsidTr="00790486">
        <w:tc>
          <w:tcPr>
            <w:tcW w:w="304"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t>4.</w:t>
            </w:r>
          </w:p>
        </w:tc>
        <w:tc>
          <w:tcPr>
            <w:tcW w:w="975"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contextualSpacing/>
              <w:rPr>
                <w:rFonts w:eastAsia="Times New Roman" w:cs="Times New Roman"/>
                <w:szCs w:val="24"/>
                <w:lang w:eastAsia="lv-LV"/>
              </w:rPr>
            </w:pPr>
            <w:r w:rsidRPr="006D1F1C">
              <w:rPr>
                <w:rFonts w:eastAsia="Times New Roman" w:cs="Times New Roman"/>
                <w:szCs w:val="24"/>
                <w:lang w:eastAsia="lv-LV"/>
              </w:rPr>
              <w:t>Cita informācija</w:t>
            </w:r>
          </w:p>
        </w:tc>
        <w:tc>
          <w:tcPr>
            <w:tcW w:w="3721" w:type="pct"/>
            <w:tcBorders>
              <w:top w:val="outset" w:sz="6" w:space="0" w:color="auto"/>
              <w:left w:val="outset" w:sz="6" w:space="0" w:color="auto"/>
              <w:bottom w:val="outset" w:sz="6" w:space="0" w:color="auto"/>
              <w:right w:val="outset" w:sz="6" w:space="0" w:color="auto"/>
            </w:tcBorders>
            <w:hideMark/>
          </w:tcPr>
          <w:p w:rsidR="00993C26" w:rsidRPr="006D1F1C" w:rsidRDefault="00993C26" w:rsidP="00685C6C">
            <w:pPr>
              <w:pStyle w:val="NormalWeb"/>
              <w:contextualSpacing/>
              <w:jc w:val="both"/>
            </w:pPr>
            <w:r>
              <w:t>Nav</w:t>
            </w:r>
            <w:r w:rsidR="00B767EF">
              <w:t>.</w:t>
            </w:r>
          </w:p>
        </w:tc>
      </w:tr>
    </w:tbl>
    <w:p w:rsidR="001C7DC4" w:rsidRDefault="001C7DC4"/>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2375"/>
        <w:gridCol w:w="6822"/>
      </w:tblGrid>
      <w:tr w:rsidR="00DC27EA" w:rsidRPr="00857BA9" w:rsidTr="00790486">
        <w:tc>
          <w:tcPr>
            <w:tcW w:w="5000" w:type="pct"/>
            <w:gridSpan w:val="3"/>
          </w:tcPr>
          <w:p w:rsidR="00DC27EA" w:rsidRPr="00857BA9" w:rsidRDefault="00DC27EA" w:rsidP="004213D9">
            <w:pPr>
              <w:jc w:val="center"/>
            </w:pPr>
            <w:r w:rsidRPr="00DD3994">
              <w:rPr>
                <w:b/>
                <w:bCs/>
                <w:lang w:val="fi-FI"/>
              </w:rPr>
              <w:t>II. Tiesību akta projekta ietekme uz sabiedrību, tautsaimniecības attīstību un administratīvo slogu</w:t>
            </w:r>
          </w:p>
        </w:tc>
      </w:tr>
      <w:tr w:rsidR="00DC27EA" w:rsidRPr="00857BA9" w:rsidTr="00790486">
        <w:tc>
          <w:tcPr>
            <w:tcW w:w="229" w:type="pct"/>
          </w:tcPr>
          <w:p w:rsidR="00DC27EA" w:rsidRPr="00857BA9" w:rsidRDefault="00DC27EA" w:rsidP="004213D9">
            <w:r w:rsidRPr="00857BA9">
              <w:t>1.</w:t>
            </w:r>
          </w:p>
        </w:tc>
        <w:tc>
          <w:tcPr>
            <w:tcW w:w="1232" w:type="pct"/>
          </w:tcPr>
          <w:p w:rsidR="00DC27EA" w:rsidRPr="00857BA9" w:rsidRDefault="00DC27EA" w:rsidP="004213D9">
            <w:pPr>
              <w:ind w:left="-42" w:right="-108"/>
            </w:pPr>
            <w:r w:rsidRPr="00857BA9">
              <w:t>Sabiedrības mērķgrupas, kuras tiesiskais regulējums ietekmē vai varētu ietekmēt</w:t>
            </w:r>
          </w:p>
        </w:tc>
        <w:tc>
          <w:tcPr>
            <w:tcW w:w="3539" w:type="pct"/>
          </w:tcPr>
          <w:p w:rsidR="00DC27EA" w:rsidRPr="00D07721" w:rsidRDefault="00DC27EA" w:rsidP="003F165E">
            <w:pPr>
              <w:jc w:val="both"/>
              <w:rPr>
                <w:i/>
              </w:rPr>
            </w:pPr>
            <w:r>
              <w:t>Noteikumu projektā ietvertie normu grozījumi attiecas uz visiem valsts budžeta apmaksāto veselības aprūpes pakalpojumu sniedzējiem un saņēmējiem.</w:t>
            </w:r>
          </w:p>
        </w:tc>
      </w:tr>
      <w:tr w:rsidR="00DC27EA" w:rsidRPr="00EF3FA3" w:rsidTr="00790486">
        <w:tc>
          <w:tcPr>
            <w:tcW w:w="229" w:type="pct"/>
          </w:tcPr>
          <w:p w:rsidR="00DC27EA" w:rsidRPr="00857BA9" w:rsidRDefault="00DC27EA" w:rsidP="004213D9">
            <w:r w:rsidRPr="00857BA9">
              <w:t>2.</w:t>
            </w:r>
          </w:p>
        </w:tc>
        <w:tc>
          <w:tcPr>
            <w:tcW w:w="1232" w:type="pct"/>
          </w:tcPr>
          <w:p w:rsidR="00DC27EA" w:rsidRPr="00857BA9" w:rsidRDefault="00DC27EA" w:rsidP="004213D9">
            <w:pPr>
              <w:ind w:left="-42" w:right="-108"/>
            </w:pPr>
            <w:r w:rsidRPr="00857BA9">
              <w:t>Tiesiskā regulējuma ietekme uz tautsaimniecību un administratīvo slogu</w:t>
            </w:r>
          </w:p>
        </w:tc>
        <w:tc>
          <w:tcPr>
            <w:tcW w:w="3539" w:type="pct"/>
          </w:tcPr>
          <w:p w:rsidR="007C35F1" w:rsidRDefault="009D270E" w:rsidP="009D270E">
            <w:pPr>
              <w:jc w:val="both"/>
            </w:pPr>
            <w:r>
              <w:t>Nav.</w:t>
            </w:r>
          </w:p>
          <w:p w:rsidR="00DC27EA" w:rsidRPr="00B767EF" w:rsidRDefault="00DC27EA" w:rsidP="005E5CF1">
            <w:pPr>
              <w:jc w:val="both"/>
              <w:rPr>
                <w:color w:val="000000" w:themeColor="text1"/>
              </w:rPr>
            </w:pPr>
          </w:p>
        </w:tc>
      </w:tr>
      <w:tr w:rsidR="00DC27EA" w:rsidRPr="00822F53" w:rsidTr="00790486">
        <w:tc>
          <w:tcPr>
            <w:tcW w:w="229" w:type="pct"/>
          </w:tcPr>
          <w:p w:rsidR="00DC27EA" w:rsidRPr="00857BA9" w:rsidRDefault="00DC27EA" w:rsidP="004213D9">
            <w:r w:rsidRPr="00857BA9">
              <w:t>3.</w:t>
            </w:r>
          </w:p>
        </w:tc>
        <w:tc>
          <w:tcPr>
            <w:tcW w:w="1232" w:type="pct"/>
          </w:tcPr>
          <w:p w:rsidR="00DC27EA" w:rsidRPr="00857BA9" w:rsidRDefault="00DC27EA" w:rsidP="004213D9">
            <w:pPr>
              <w:ind w:left="-42" w:right="-108"/>
            </w:pPr>
            <w:r w:rsidRPr="00857BA9">
              <w:t>Administratīvo izmaksu monetārs novērtējums</w:t>
            </w:r>
          </w:p>
        </w:tc>
        <w:tc>
          <w:tcPr>
            <w:tcW w:w="3539" w:type="pct"/>
          </w:tcPr>
          <w:p w:rsidR="00416A21" w:rsidRPr="00416A21" w:rsidRDefault="00C10DBC" w:rsidP="004D5766">
            <w:pPr>
              <w:jc w:val="both"/>
            </w:pPr>
            <w:r>
              <w:t>Nav.</w:t>
            </w:r>
          </w:p>
        </w:tc>
      </w:tr>
      <w:tr w:rsidR="00DC27EA" w:rsidRPr="00857BA9" w:rsidTr="00790486">
        <w:tc>
          <w:tcPr>
            <w:tcW w:w="229" w:type="pct"/>
          </w:tcPr>
          <w:p w:rsidR="00DC27EA" w:rsidRPr="00857BA9" w:rsidRDefault="00DC27EA" w:rsidP="004213D9">
            <w:r w:rsidRPr="00857BA9">
              <w:t>4.</w:t>
            </w:r>
          </w:p>
        </w:tc>
        <w:tc>
          <w:tcPr>
            <w:tcW w:w="1232" w:type="pct"/>
          </w:tcPr>
          <w:p w:rsidR="00DC27EA" w:rsidRPr="00857BA9" w:rsidRDefault="00DC27EA" w:rsidP="004213D9">
            <w:pPr>
              <w:ind w:left="-42" w:right="-108"/>
            </w:pPr>
            <w:r w:rsidRPr="00857BA9">
              <w:t>Cita informācija</w:t>
            </w:r>
          </w:p>
        </w:tc>
        <w:tc>
          <w:tcPr>
            <w:tcW w:w="3539" w:type="pct"/>
          </w:tcPr>
          <w:p w:rsidR="00DC27EA" w:rsidRPr="00857BA9" w:rsidRDefault="00C10DBC" w:rsidP="004213D9">
            <w:pPr>
              <w:jc w:val="both"/>
              <w:rPr>
                <w:highlight w:val="yellow"/>
              </w:rPr>
            </w:pPr>
            <w:r w:rsidRPr="00C10DBC">
              <w:t>Nav.</w:t>
            </w:r>
          </w:p>
        </w:tc>
      </w:tr>
    </w:tbl>
    <w:p w:rsidR="00DC27EA" w:rsidRDefault="00DC27EA" w:rsidP="00C421D8">
      <w:pPr>
        <w:ind w:right="-143"/>
      </w:pPr>
    </w:p>
    <w:tbl>
      <w:tblPr>
        <w:tblW w:w="4973" w:type="pct"/>
        <w:jc w:val="center"/>
        <w:tblInd w:w="-3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09"/>
        <w:gridCol w:w="1682"/>
        <w:gridCol w:w="1804"/>
        <w:gridCol w:w="1414"/>
        <w:gridCol w:w="1428"/>
        <w:gridCol w:w="1709"/>
      </w:tblGrid>
      <w:tr w:rsidR="004325FC" w:rsidRPr="006D1F1C" w:rsidTr="00E105A2">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rsidR="004325FC" w:rsidRPr="006D1F1C" w:rsidRDefault="004325FC" w:rsidP="004325FC">
            <w:pPr>
              <w:spacing w:before="75" w:after="75"/>
              <w:jc w:val="center"/>
              <w:rPr>
                <w:rFonts w:eastAsia="Times New Roman" w:cs="Times New Roman"/>
                <w:szCs w:val="24"/>
                <w:lang w:eastAsia="lv-LV"/>
              </w:rPr>
            </w:pPr>
            <w:r w:rsidRPr="006D1F1C">
              <w:rPr>
                <w:rFonts w:eastAsia="Times New Roman" w:cs="Times New Roman"/>
                <w:b/>
                <w:bCs/>
                <w:szCs w:val="24"/>
                <w:lang w:eastAsia="lv-LV"/>
              </w:rPr>
              <w:t>III. Tiesību akta projekta ietekme uz valsts budžetu un pašvaldību budžetiem</w:t>
            </w:r>
          </w:p>
        </w:tc>
      </w:tr>
      <w:tr w:rsidR="004325FC" w:rsidRPr="006D1F1C" w:rsidTr="00E105A2">
        <w:trPr>
          <w:jc w:val="center"/>
        </w:trPr>
        <w:tc>
          <w:tcPr>
            <w:tcW w:w="834" w:type="pct"/>
            <w:vMerge w:val="restart"/>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rPr>
                <w:rFonts w:eastAsia="Times New Roman" w:cs="Times New Roman"/>
                <w:szCs w:val="24"/>
                <w:lang w:eastAsia="lv-LV"/>
              </w:rPr>
            </w:pPr>
            <w:r w:rsidRPr="006D1F1C">
              <w:rPr>
                <w:rFonts w:eastAsia="Times New Roman" w:cs="Times New Roman"/>
                <w:b/>
                <w:bCs/>
                <w:szCs w:val="24"/>
                <w:lang w:eastAsia="lv-LV"/>
              </w:rPr>
              <w:t>Rādītāji</w:t>
            </w:r>
          </w:p>
        </w:tc>
        <w:tc>
          <w:tcPr>
            <w:tcW w:w="1807"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6</w:t>
            </w:r>
            <w:r w:rsidRPr="006D1F1C">
              <w:rPr>
                <w:rFonts w:eastAsia="Times New Roman" w:cs="Times New Roman"/>
                <w:b/>
                <w:bCs/>
                <w:szCs w:val="24"/>
                <w:lang w:eastAsia="lv-LV"/>
              </w:rPr>
              <w:t>. gads</w:t>
            </w:r>
          </w:p>
        </w:tc>
        <w:tc>
          <w:tcPr>
            <w:tcW w:w="2359" w:type="pct"/>
            <w:gridSpan w:val="3"/>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jc w:val="center"/>
              <w:rPr>
                <w:rFonts w:eastAsia="Times New Roman" w:cs="Times New Roman"/>
                <w:szCs w:val="24"/>
                <w:lang w:eastAsia="lv-LV"/>
              </w:rPr>
            </w:pPr>
            <w:r w:rsidRPr="006D1F1C">
              <w:rPr>
                <w:rFonts w:eastAsia="Times New Roman" w:cs="Times New Roman"/>
                <w:szCs w:val="24"/>
                <w:lang w:eastAsia="lv-LV"/>
              </w:rPr>
              <w:t>Turpmākie trīs gadi (</w:t>
            </w:r>
            <w:proofErr w:type="spellStart"/>
            <w:r w:rsidRPr="006D1F1C">
              <w:rPr>
                <w:rFonts w:eastAsia="Times New Roman" w:cs="Times New Roman"/>
                <w:i/>
                <w:szCs w:val="24"/>
                <w:lang w:eastAsia="lv-LV"/>
              </w:rPr>
              <w:t>euro</w:t>
            </w:r>
            <w:proofErr w:type="spellEnd"/>
            <w:r w:rsidRPr="006D1F1C">
              <w:rPr>
                <w:rFonts w:eastAsia="Times New Roman" w:cs="Times New Roman"/>
                <w:szCs w:val="24"/>
                <w:lang w:eastAsia="lv-LV"/>
              </w:rPr>
              <w:t>)</w:t>
            </w:r>
          </w:p>
        </w:tc>
      </w:tr>
      <w:tr w:rsidR="00C421D8" w:rsidRPr="006D1F1C" w:rsidTr="00E105A2">
        <w:trPr>
          <w:jc w:val="center"/>
        </w:trPr>
        <w:tc>
          <w:tcPr>
            <w:tcW w:w="834" w:type="pct"/>
            <w:vMerge/>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rPr>
                <w:rFonts w:eastAsia="Times New Roman" w:cs="Times New Roman"/>
                <w:szCs w:val="24"/>
                <w:lang w:eastAsia="lv-LV"/>
              </w:rPr>
            </w:pPr>
          </w:p>
        </w:tc>
        <w:tc>
          <w:tcPr>
            <w:tcW w:w="1807" w:type="pct"/>
            <w:gridSpan w:val="2"/>
            <w:vMerge/>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rPr>
                <w:rFonts w:eastAsia="Times New Roman" w:cs="Times New Roman"/>
                <w:szCs w:val="24"/>
                <w:lang w:eastAsia="lv-LV"/>
              </w:rPr>
            </w:pPr>
          </w:p>
        </w:tc>
        <w:tc>
          <w:tcPr>
            <w:tcW w:w="733" w:type="pct"/>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7</w:t>
            </w:r>
          </w:p>
        </w:tc>
        <w:tc>
          <w:tcPr>
            <w:tcW w:w="740" w:type="pct"/>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8</w:t>
            </w:r>
          </w:p>
        </w:tc>
        <w:tc>
          <w:tcPr>
            <w:tcW w:w="886" w:type="pct"/>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9</w:t>
            </w:r>
          </w:p>
        </w:tc>
      </w:tr>
      <w:tr w:rsidR="00C421D8" w:rsidRPr="006D1F1C" w:rsidTr="00E105A2">
        <w:trPr>
          <w:jc w:val="center"/>
        </w:trPr>
        <w:tc>
          <w:tcPr>
            <w:tcW w:w="834" w:type="pct"/>
            <w:vMerge/>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rPr>
                <w:rFonts w:eastAsia="Times New Roman" w:cs="Times New Roman"/>
                <w:szCs w:val="24"/>
                <w:lang w:eastAsia="lv-LV"/>
              </w:rPr>
            </w:pPr>
          </w:p>
        </w:tc>
        <w:tc>
          <w:tcPr>
            <w:tcW w:w="872" w:type="pct"/>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rPr>
                <w:rFonts w:eastAsia="Times New Roman" w:cs="Times New Roman"/>
                <w:szCs w:val="24"/>
                <w:lang w:eastAsia="lv-LV"/>
              </w:rPr>
            </w:pPr>
            <w:r w:rsidRPr="006D1F1C">
              <w:rPr>
                <w:rFonts w:eastAsia="Times New Roman" w:cs="Times New Roman"/>
                <w:szCs w:val="24"/>
                <w:lang w:eastAsia="lv-LV"/>
              </w:rPr>
              <w:t xml:space="preserve">saskaņā ar valsts budžetu </w:t>
            </w:r>
            <w:r w:rsidRPr="006D1F1C">
              <w:rPr>
                <w:rFonts w:eastAsia="Times New Roman" w:cs="Times New Roman"/>
                <w:szCs w:val="24"/>
                <w:lang w:eastAsia="lv-LV"/>
              </w:rPr>
              <w:lastRenderedPageBreak/>
              <w:t>kārtējam gadam</w:t>
            </w:r>
            <w:r>
              <w:rPr>
                <w:rFonts w:eastAsia="Times New Roman" w:cs="Times New Roman"/>
                <w:szCs w:val="24"/>
                <w:lang w:eastAsia="lv-LV"/>
              </w:rPr>
              <w:t>*</w:t>
            </w:r>
          </w:p>
        </w:tc>
        <w:tc>
          <w:tcPr>
            <w:tcW w:w="935" w:type="pct"/>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rPr>
                <w:rFonts w:eastAsia="Times New Roman" w:cs="Times New Roman"/>
                <w:szCs w:val="24"/>
                <w:lang w:eastAsia="lv-LV"/>
              </w:rPr>
            </w:pPr>
            <w:r w:rsidRPr="006D1F1C">
              <w:rPr>
                <w:rFonts w:eastAsia="Times New Roman" w:cs="Times New Roman"/>
                <w:szCs w:val="24"/>
                <w:lang w:eastAsia="lv-LV"/>
              </w:rPr>
              <w:lastRenderedPageBreak/>
              <w:t xml:space="preserve">izmaiņas kārtējā gadā, salīdzinot </w:t>
            </w:r>
            <w:r w:rsidRPr="006D1F1C">
              <w:rPr>
                <w:rFonts w:eastAsia="Times New Roman" w:cs="Times New Roman"/>
                <w:szCs w:val="24"/>
                <w:lang w:eastAsia="lv-LV"/>
              </w:rPr>
              <w:lastRenderedPageBreak/>
              <w:t>ar valsts budžetu kārtējam gadam</w:t>
            </w:r>
          </w:p>
        </w:tc>
        <w:tc>
          <w:tcPr>
            <w:tcW w:w="733" w:type="pct"/>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rPr>
                <w:rFonts w:eastAsia="Times New Roman" w:cs="Times New Roman"/>
                <w:szCs w:val="24"/>
                <w:lang w:eastAsia="lv-LV"/>
              </w:rPr>
            </w:pPr>
            <w:r w:rsidRPr="006D1F1C">
              <w:rPr>
                <w:rFonts w:eastAsia="Times New Roman" w:cs="Times New Roman"/>
                <w:szCs w:val="24"/>
                <w:lang w:eastAsia="lv-LV"/>
              </w:rPr>
              <w:lastRenderedPageBreak/>
              <w:t xml:space="preserve">izmaiņas, salīdzinot ar </w:t>
            </w:r>
            <w:r w:rsidRPr="006D1F1C">
              <w:rPr>
                <w:rFonts w:eastAsia="Times New Roman" w:cs="Times New Roman"/>
                <w:szCs w:val="24"/>
                <w:lang w:eastAsia="lv-LV"/>
              </w:rPr>
              <w:lastRenderedPageBreak/>
              <w:t>kārtējo (n) gadu</w:t>
            </w:r>
          </w:p>
        </w:tc>
        <w:tc>
          <w:tcPr>
            <w:tcW w:w="740" w:type="pct"/>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rPr>
                <w:rFonts w:eastAsia="Times New Roman" w:cs="Times New Roman"/>
                <w:szCs w:val="24"/>
                <w:lang w:eastAsia="lv-LV"/>
              </w:rPr>
            </w:pPr>
            <w:r w:rsidRPr="006D1F1C">
              <w:rPr>
                <w:rFonts w:eastAsia="Times New Roman" w:cs="Times New Roman"/>
                <w:szCs w:val="24"/>
                <w:lang w:eastAsia="lv-LV"/>
              </w:rPr>
              <w:lastRenderedPageBreak/>
              <w:t xml:space="preserve">izmaiņas, salīdzinot ar </w:t>
            </w:r>
            <w:r w:rsidRPr="006D1F1C">
              <w:rPr>
                <w:rFonts w:eastAsia="Times New Roman" w:cs="Times New Roman"/>
                <w:szCs w:val="24"/>
                <w:lang w:eastAsia="lv-LV"/>
              </w:rPr>
              <w:lastRenderedPageBreak/>
              <w:t>kārtējo (n) gadu</w:t>
            </w:r>
          </w:p>
        </w:tc>
        <w:tc>
          <w:tcPr>
            <w:tcW w:w="886" w:type="pct"/>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rPr>
                <w:rFonts w:eastAsia="Times New Roman" w:cs="Times New Roman"/>
                <w:szCs w:val="24"/>
                <w:lang w:eastAsia="lv-LV"/>
              </w:rPr>
            </w:pPr>
            <w:r w:rsidRPr="006D1F1C">
              <w:rPr>
                <w:rFonts w:eastAsia="Times New Roman" w:cs="Times New Roman"/>
                <w:szCs w:val="24"/>
                <w:lang w:eastAsia="lv-LV"/>
              </w:rPr>
              <w:lastRenderedPageBreak/>
              <w:t xml:space="preserve">izmaiņas, salīdzinot ar </w:t>
            </w:r>
            <w:r w:rsidRPr="006D1F1C">
              <w:rPr>
                <w:rFonts w:eastAsia="Times New Roman" w:cs="Times New Roman"/>
                <w:szCs w:val="24"/>
                <w:lang w:eastAsia="lv-LV"/>
              </w:rPr>
              <w:lastRenderedPageBreak/>
              <w:t>kārtējo (n) gadu</w:t>
            </w:r>
          </w:p>
        </w:tc>
      </w:tr>
      <w:tr w:rsidR="00C421D8" w:rsidRPr="006D1F1C" w:rsidTr="00E105A2">
        <w:trPr>
          <w:trHeight w:val="346"/>
          <w:jc w:val="center"/>
        </w:trPr>
        <w:tc>
          <w:tcPr>
            <w:tcW w:w="834" w:type="pct"/>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lastRenderedPageBreak/>
              <w:t>1</w:t>
            </w:r>
          </w:p>
        </w:tc>
        <w:tc>
          <w:tcPr>
            <w:tcW w:w="872" w:type="pct"/>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2</w:t>
            </w:r>
          </w:p>
        </w:tc>
        <w:tc>
          <w:tcPr>
            <w:tcW w:w="935" w:type="pct"/>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3</w:t>
            </w:r>
          </w:p>
        </w:tc>
        <w:tc>
          <w:tcPr>
            <w:tcW w:w="733" w:type="pct"/>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4</w:t>
            </w:r>
          </w:p>
        </w:tc>
        <w:tc>
          <w:tcPr>
            <w:tcW w:w="740" w:type="pct"/>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5</w:t>
            </w:r>
          </w:p>
        </w:tc>
        <w:tc>
          <w:tcPr>
            <w:tcW w:w="886" w:type="pct"/>
            <w:tcBorders>
              <w:top w:val="outset" w:sz="6" w:space="0" w:color="auto"/>
              <w:left w:val="outset" w:sz="6" w:space="0" w:color="auto"/>
              <w:bottom w:val="outset" w:sz="6" w:space="0" w:color="auto"/>
              <w:right w:val="outset" w:sz="6" w:space="0" w:color="auto"/>
            </w:tcBorders>
            <w:vAlign w:val="center"/>
            <w:hideMark/>
          </w:tcPr>
          <w:p w:rsidR="004325FC" w:rsidRPr="006D1F1C" w:rsidRDefault="004325FC" w:rsidP="004325FC">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6</w:t>
            </w:r>
          </w:p>
        </w:tc>
      </w:tr>
      <w:tr w:rsidR="00FB7F75"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FB7F75" w:rsidRPr="006D1F1C" w:rsidRDefault="00FB7F75" w:rsidP="004325FC">
            <w:pPr>
              <w:rPr>
                <w:rFonts w:cs="Times New Roman"/>
                <w:b/>
                <w:bCs/>
                <w:szCs w:val="24"/>
              </w:rPr>
            </w:pPr>
            <w:r w:rsidRPr="006D1F1C">
              <w:rPr>
                <w:rFonts w:cs="Times New Roman"/>
                <w:b/>
                <w:bCs/>
              </w:rPr>
              <w:t>1. Budžeta ieņēmumi:</w:t>
            </w:r>
          </w:p>
        </w:tc>
        <w:tc>
          <w:tcPr>
            <w:tcW w:w="872" w:type="pct"/>
            <w:tcBorders>
              <w:top w:val="outset" w:sz="6" w:space="0" w:color="auto"/>
              <w:left w:val="outset" w:sz="6" w:space="0" w:color="auto"/>
              <w:bottom w:val="outset" w:sz="6" w:space="0" w:color="auto"/>
              <w:right w:val="outset" w:sz="6" w:space="0" w:color="auto"/>
            </w:tcBorders>
            <w:hideMark/>
          </w:tcPr>
          <w:p w:rsidR="00FB7F75" w:rsidRPr="00AF6B3C" w:rsidRDefault="00FB7F75" w:rsidP="00E810D3">
            <w:pPr>
              <w:rPr>
                <w:rFonts w:eastAsia="Times New Roman" w:cs="Times New Roman"/>
                <w:b/>
                <w:lang w:eastAsia="lv-LV"/>
              </w:rPr>
            </w:pPr>
            <w:r>
              <w:rPr>
                <w:rFonts w:eastAsia="Times New Roman" w:cs="Times New Roman"/>
                <w:color w:val="000000"/>
                <w:shd w:val="clear" w:color="auto" w:fill="FFFFFF"/>
                <w:lang w:eastAsia="lv-LV" w:bidi="lv-LV"/>
              </w:rPr>
              <w:t>520</w:t>
            </w:r>
            <w:r w:rsidRPr="00106EDD">
              <w:rPr>
                <w:rFonts w:eastAsia="Times New Roman" w:cs="Times New Roman"/>
                <w:color w:val="000000"/>
                <w:shd w:val="clear" w:color="auto" w:fill="FFFFFF"/>
                <w:lang w:eastAsia="lv-LV" w:bidi="lv-LV"/>
              </w:rPr>
              <w:t> 1</w:t>
            </w:r>
            <w:r>
              <w:rPr>
                <w:rFonts w:eastAsia="Times New Roman" w:cs="Times New Roman"/>
                <w:color w:val="000000"/>
                <w:shd w:val="clear" w:color="auto" w:fill="FFFFFF"/>
                <w:lang w:eastAsia="lv-LV" w:bidi="lv-LV"/>
              </w:rPr>
              <w:t>40</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680</w:t>
            </w:r>
          </w:p>
        </w:tc>
        <w:tc>
          <w:tcPr>
            <w:tcW w:w="935" w:type="pct"/>
            <w:tcBorders>
              <w:top w:val="outset" w:sz="6" w:space="0" w:color="auto"/>
              <w:left w:val="outset" w:sz="6" w:space="0" w:color="auto"/>
              <w:bottom w:val="outset" w:sz="6" w:space="0" w:color="auto"/>
              <w:right w:val="outset" w:sz="6" w:space="0" w:color="auto"/>
            </w:tcBorders>
            <w:hideMark/>
          </w:tcPr>
          <w:p w:rsidR="00FB7F75" w:rsidRPr="00C17DE8" w:rsidRDefault="00FB7F75" w:rsidP="00E810D3">
            <w:pPr>
              <w:rPr>
                <w:rFonts w:eastAsia="Times New Roman" w:cs="Times New Roman"/>
                <w:b/>
                <w:lang w:eastAsia="lv-LV"/>
              </w:rPr>
            </w:pPr>
            <w:r>
              <w:rPr>
                <w:rFonts w:eastAsia="Times New Roman" w:cs="Times New Roman"/>
                <w:b/>
                <w:lang w:eastAsia="lv-LV"/>
              </w:rPr>
              <w:t>0</w:t>
            </w:r>
          </w:p>
        </w:tc>
        <w:tc>
          <w:tcPr>
            <w:tcW w:w="733" w:type="pct"/>
            <w:tcBorders>
              <w:top w:val="outset" w:sz="6" w:space="0" w:color="auto"/>
              <w:left w:val="outset" w:sz="6" w:space="0" w:color="auto"/>
              <w:bottom w:val="outset" w:sz="6" w:space="0" w:color="auto"/>
              <w:right w:val="outset" w:sz="6" w:space="0" w:color="auto"/>
            </w:tcBorders>
            <w:hideMark/>
          </w:tcPr>
          <w:p w:rsidR="00FB7F75" w:rsidRPr="0024324A" w:rsidRDefault="00FB7F75" w:rsidP="00E810D3">
            <w:pPr>
              <w:rPr>
                <w:rFonts w:eastAsia="Times New Roman" w:cs="Times New Roman"/>
                <w:strike/>
                <w:lang w:eastAsia="lv-LV"/>
              </w:rPr>
            </w:pPr>
            <w:r w:rsidRPr="000055DD">
              <w:rPr>
                <w:rFonts w:cs="Times New Roman"/>
                <w:szCs w:val="24"/>
                <w:lang w:eastAsia="lv-LV"/>
              </w:rPr>
              <w:t>9 906 145</w:t>
            </w:r>
          </w:p>
        </w:tc>
        <w:tc>
          <w:tcPr>
            <w:tcW w:w="740" w:type="pct"/>
            <w:tcBorders>
              <w:top w:val="outset" w:sz="6" w:space="0" w:color="auto"/>
              <w:left w:val="outset" w:sz="6" w:space="0" w:color="auto"/>
              <w:bottom w:val="outset" w:sz="6" w:space="0" w:color="auto"/>
              <w:right w:val="outset" w:sz="6" w:space="0" w:color="auto"/>
            </w:tcBorders>
            <w:hideMark/>
          </w:tcPr>
          <w:p w:rsidR="00FB7F75" w:rsidRDefault="00FB7F75">
            <w:r w:rsidRPr="004C5E0A">
              <w:rPr>
                <w:rFonts w:cs="Times New Roman"/>
                <w:szCs w:val="24"/>
                <w:lang w:eastAsia="lv-LV"/>
              </w:rPr>
              <w:t>9 906 145</w:t>
            </w:r>
          </w:p>
        </w:tc>
        <w:tc>
          <w:tcPr>
            <w:tcW w:w="886" w:type="pct"/>
            <w:tcBorders>
              <w:top w:val="outset" w:sz="6" w:space="0" w:color="auto"/>
              <w:left w:val="outset" w:sz="6" w:space="0" w:color="auto"/>
              <w:bottom w:val="outset" w:sz="6" w:space="0" w:color="auto"/>
              <w:right w:val="outset" w:sz="6" w:space="0" w:color="auto"/>
            </w:tcBorders>
            <w:hideMark/>
          </w:tcPr>
          <w:p w:rsidR="00FB7F75" w:rsidRDefault="00FB7F75">
            <w:r w:rsidRPr="004C5E0A">
              <w:rPr>
                <w:rFonts w:cs="Times New Roman"/>
                <w:szCs w:val="24"/>
                <w:lang w:eastAsia="lv-LV"/>
              </w:rPr>
              <w:t>9 906 145</w:t>
            </w:r>
          </w:p>
        </w:tc>
      </w:tr>
      <w:tr w:rsidR="00FB7F75"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FB7F75" w:rsidRPr="006D1F1C" w:rsidRDefault="00FB7F75" w:rsidP="004325FC">
            <w:pPr>
              <w:rPr>
                <w:rFonts w:cs="Times New Roman"/>
                <w:szCs w:val="24"/>
              </w:rPr>
            </w:pPr>
            <w:r w:rsidRPr="006D1F1C">
              <w:rPr>
                <w:rFonts w:cs="Times New Roman"/>
              </w:rPr>
              <w:t>1.1. valsts pamatbudžets, tai skaitā ieņēmumi no maksas pakalpojumiem un citi pašu ieņēmumi</w:t>
            </w:r>
          </w:p>
        </w:tc>
        <w:tc>
          <w:tcPr>
            <w:tcW w:w="872" w:type="pct"/>
            <w:tcBorders>
              <w:top w:val="outset" w:sz="6" w:space="0" w:color="auto"/>
              <w:left w:val="outset" w:sz="6" w:space="0" w:color="auto"/>
              <w:bottom w:val="outset" w:sz="6" w:space="0" w:color="auto"/>
              <w:right w:val="outset" w:sz="6" w:space="0" w:color="auto"/>
            </w:tcBorders>
            <w:hideMark/>
          </w:tcPr>
          <w:p w:rsidR="00FB7F75" w:rsidRDefault="00FB7F75" w:rsidP="00E810D3">
            <w:pPr>
              <w:rPr>
                <w:rFonts w:eastAsia="Times New Roman" w:cs="Times New Roman"/>
                <w:color w:val="000000"/>
                <w:shd w:val="clear" w:color="auto" w:fill="FFFFFF"/>
                <w:lang w:eastAsia="lv-LV" w:bidi="lv-LV"/>
              </w:rPr>
            </w:pPr>
            <w:r w:rsidRPr="00106EDD">
              <w:rPr>
                <w:rFonts w:eastAsia="Times New Roman" w:cs="Times New Roman"/>
                <w:color w:val="000000"/>
                <w:shd w:val="clear" w:color="auto" w:fill="FFFFFF"/>
                <w:lang w:eastAsia="lv-LV" w:bidi="lv-LV"/>
              </w:rPr>
              <w:t>51</w:t>
            </w:r>
            <w:r>
              <w:rPr>
                <w:rFonts w:eastAsia="Times New Roman" w:cs="Times New Roman"/>
                <w:color w:val="000000"/>
                <w:shd w:val="clear" w:color="auto" w:fill="FFFFFF"/>
                <w:lang w:eastAsia="lv-LV" w:bidi="lv-LV"/>
              </w:rPr>
              <w:t>9 053 606</w:t>
            </w:r>
          </w:p>
          <w:p w:rsidR="00FB7F75" w:rsidRDefault="00FB7F75" w:rsidP="00E810D3">
            <w:pPr>
              <w:rPr>
                <w:rFonts w:eastAsia="Times New Roman" w:cs="Times New Roman"/>
                <w:color w:val="000000"/>
                <w:shd w:val="clear" w:color="auto" w:fill="FFFFFF"/>
                <w:lang w:eastAsia="lv-LV" w:bidi="lv-LV"/>
              </w:rPr>
            </w:pPr>
          </w:p>
          <w:p w:rsidR="00FB7F75" w:rsidRDefault="00FB7F75" w:rsidP="00E810D3">
            <w:pPr>
              <w:rPr>
                <w:rFonts w:eastAsia="Times New Roman" w:cs="Times New Roman"/>
                <w:color w:val="000000"/>
                <w:shd w:val="clear" w:color="auto" w:fill="FFFFFF"/>
                <w:lang w:eastAsia="lv-LV" w:bidi="lv-LV"/>
              </w:rPr>
            </w:pPr>
          </w:p>
          <w:p w:rsidR="00FB7F75" w:rsidRDefault="00FB7F75" w:rsidP="00E810D3">
            <w:pPr>
              <w:rPr>
                <w:rFonts w:eastAsia="Times New Roman" w:cs="Times New Roman"/>
                <w:color w:val="000000"/>
                <w:shd w:val="clear" w:color="auto" w:fill="FFFFFF"/>
                <w:lang w:eastAsia="lv-LV" w:bidi="lv-LV"/>
              </w:rPr>
            </w:pPr>
            <w:r w:rsidRPr="00106EDD">
              <w:rPr>
                <w:rFonts w:eastAsia="Times New Roman" w:cs="Times New Roman"/>
                <w:color w:val="000000"/>
                <w:shd w:val="clear" w:color="auto" w:fill="FFFFFF"/>
                <w:lang w:eastAsia="lv-LV" w:bidi="lv-LV"/>
              </w:rPr>
              <w:t>1 087 074</w:t>
            </w:r>
          </w:p>
          <w:p w:rsidR="00FB7F75" w:rsidRPr="00AF6B3C" w:rsidRDefault="00FB7F75" w:rsidP="00E810D3">
            <w:pPr>
              <w:rPr>
                <w:rFonts w:eastAsia="Times New Roman" w:cs="Times New Roman"/>
                <w:lang w:eastAsia="lv-LV"/>
              </w:rPr>
            </w:pPr>
          </w:p>
        </w:tc>
        <w:tc>
          <w:tcPr>
            <w:tcW w:w="935" w:type="pct"/>
            <w:tcBorders>
              <w:top w:val="outset" w:sz="6" w:space="0" w:color="auto"/>
              <w:left w:val="outset" w:sz="6" w:space="0" w:color="auto"/>
              <w:bottom w:val="outset" w:sz="6" w:space="0" w:color="auto"/>
              <w:right w:val="outset" w:sz="6" w:space="0" w:color="auto"/>
            </w:tcBorders>
            <w:hideMark/>
          </w:tcPr>
          <w:p w:rsidR="00FB7F75" w:rsidRPr="00C17DE8" w:rsidRDefault="00FB7F75" w:rsidP="00E810D3">
            <w:pPr>
              <w:rPr>
                <w:rFonts w:eastAsia="Times New Roman" w:cs="Times New Roman"/>
                <w:lang w:eastAsia="lv-LV"/>
              </w:rPr>
            </w:pPr>
            <w:r w:rsidRPr="00C17DE8">
              <w:rPr>
                <w:rFonts w:eastAsia="Times New Roman" w:cs="Times New Roman"/>
                <w:lang w:eastAsia="lv-LV"/>
              </w:rPr>
              <w:t>0</w:t>
            </w:r>
          </w:p>
        </w:tc>
        <w:tc>
          <w:tcPr>
            <w:tcW w:w="733" w:type="pct"/>
            <w:tcBorders>
              <w:top w:val="outset" w:sz="6" w:space="0" w:color="auto"/>
              <w:left w:val="outset" w:sz="6" w:space="0" w:color="auto"/>
              <w:bottom w:val="outset" w:sz="6" w:space="0" w:color="auto"/>
              <w:right w:val="outset" w:sz="6" w:space="0" w:color="auto"/>
            </w:tcBorders>
            <w:hideMark/>
          </w:tcPr>
          <w:p w:rsidR="00FB7F75" w:rsidRPr="0024324A" w:rsidRDefault="00FB7F75" w:rsidP="00E810D3">
            <w:pPr>
              <w:rPr>
                <w:rFonts w:eastAsia="Times New Roman" w:cs="Times New Roman"/>
                <w:strike/>
                <w:lang w:eastAsia="lv-LV"/>
              </w:rPr>
            </w:pPr>
            <w:r w:rsidRPr="000055DD">
              <w:rPr>
                <w:rFonts w:cs="Times New Roman"/>
                <w:szCs w:val="24"/>
                <w:lang w:eastAsia="lv-LV"/>
              </w:rPr>
              <w:t>9 906 145</w:t>
            </w:r>
          </w:p>
        </w:tc>
        <w:tc>
          <w:tcPr>
            <w:tcW w:w="740" w:type="pct"/>
            <w:tcBorders>
              <w:top w:val="outset" w:sz="6" w:space="0" w:color="auto"/>
              <w:left w:val="outset" w:sz="6" w:space="0" w:color="auto"/>
              <w:bottom w:val="outset" w:sz="6" w:space="0" w:color="auto"/>
              <w:right w:val="outset" w:sz="6" w:space="0" w:color="auto"/>
            </w:tcBorders>
            <w:hideMark/>
          </w:tcPr>
          <w:p w:rsidR="00FB7F75" w:rsidRDefault="00FB7F75">
            <w:r w:rsidRPr="004C5E0A">
              <w:rPr>
                <w:rFonts w:cs="Times New Roman"/>
                <w:szCs w:val="24"/>
                <w:lang w:eastAsia="lv-LV"/>
              </w:rPr>
              <w:t>9 906 145</w:t>
            </w:r>
          </w:p>
        </w:tc>
        <w:tc>
          <w:tcPr>
            <w:tcW w:w="886" w:type="pct"/>
            <w:tcBorders>
              <w:top w:val="outset" w:sz="6" w:space="0" w:color="auto"/>
              <w:left w:val="outset" w:sz="6" w:space="0" w:color="auto"/>
              <w:bottom w:val="outset" w:sz="6" w:space="0" w:color="auto"/>
              <w:right w:val="outset" w:sz="6" w:space="0" w:color="auto"/>
            </w:tcBorders>
            <w:hideMark/>
          </w:tcPr>
          <w:p w:rsidR="00FB7F75" w:rsidRDefault="00FB7F75">
            <w:r w:rsidRPr="004C5E0A">
              <w:rPr>
                <w:rFonts w:cs="Times New Roman"/>
                <w:szCs w:val="24"/>
                <w:lang w:eastAsia="lv-LV"/>
              </w:rPr>
              <w:t>9 906 145</w:t>
            </w:r>
          </w:p>
        </w:tc>
      </w:tr>
      <w:tr w:rsidR="00E810D3"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cs="Times New Roman"/>
                <w:szCs w:val="24"/>
              </w:rPr>
            </w:pPr>
            <w:r w:rsidRPr="006D1F1C">
              <w:rPr>
                <w:rFonts w:cs="Times New Roman"/>
              </w:rPr>
              <w:t>1.2. valsts speciālais budžets</w:t>
            </w:r>
          </w:p>
        </w:tc>
        <w:tc>
          <w:tcPr>
            <w:tcW w:w="872" w:type="pct"/>
            <w:tcBorders>
              <w:top w:val="outset" w:sz="6" w:space="0" w:color="auto"/>
              <w:left w:val="outset" w:sz="6" w:space="0" w:color="auto"/>
              <w:bottom w:val="outset" w:sz="6" w:space="0" w:color="auto"/>
              <w:right w:val="outset" w:sz="6" w:space="0" w:color="auto"/>
            </w:tcBorders>
            <w:hideMark/>
          </w:tcPr>
          <w:p w:rsidR="00E810D3" w:rsidRPr="002929D5" w:rsidRDefault="00E810D3" w:rsidP="00E810D3">
            <w:pPr>
              <w:rPr>
                <w:rFonts w:eastAsia="Times New Roman" w:cs="Times New Roman"/>
                <w:strike/>
                <w:lang w:eastAsia="lv-LV"/>
              </w:rPr>
            </w:pPr>
          </w:p>
        </w:tc>
        <w:tc>
          <w:tcPr>
            <w:tcW w:w="935" w:type="pct"/>
            <w:tcBorders>
              <w:top w:val="outset" w:sz="6" w:space="0" w:color="auto"/>
              <w:left w:val="outset" w:sz="6" w:space="0" w:color="auto"/>
              <w:bottom w:val="outset" w:sz="6" w:space="0" w:color="auto"/>
              <w:right w:val="outset" w:sz="6" w:space="0" w:color="auto"/>
            </w:tcBorders>
            <w:hideMark/>
          </w:tcPr>
          <w:p w:rsidR="00E810D3" w:rsidRPr="00C17DE8" w:rsidRDefault="00E810D3" w:rsidP="00E810D3">
            <w:pPr>
              <w:rPr>
                <w:rFonts w:eastAsia="Times New Roman" w:cs="Times New Roman"/>
                <w:lang w:eastAsia="lv-LV"/>
              </w:rPr>
            </w:pPr>
          </w:p>
        </w:tc>
        <w:tc>
          <w:tcPr>
            <w:tcW w:w="733" w:type="pct"/>
            <w:tcBorders>
              <w:top w:val="outset" w:sz="6" w:space="0" w:color="auto"/>
              <w:left w:val="outset" w:sz="6" w:space="0" w:color="auto"/>
              <w:bottom w:val="outset" w:sz="6" w:space="0" w:color="auto"/>
              <w:right w:val="outset" w:sz="6" w:space="0" w:color="auto"/>
            </w:tcBorders>
            <w:hideMark/>
          </w:tcPr>
          <w:p w:rsidR="00E810D3" w:rsidRPr="002929D5" w:rsidRDefault="00E810D3" w:rsidP="00E810D3">
            <w:pPr>
              <w:rPr>
                <w:rFonts w:eastAsia="Times New Roman" w:cs="Times New Roman"/>
                <w:strike/>
                <w:lang w:eastAsia="lv-LV"/>
              </w:rPr>
            </w:pPr>
          </w:p>
        </w:tc>
        <w:tc>
          <w:tcPr>
            <w:tcW w:w="740" w:type="pct"/>
            <w:tcBorders>
              <w:top w:val="outset" w:sz="6" w:space="0" w:color="auto"/>
              <w:left w:val="outset" w:sz="6" w:space="0" w:color="auto"/>
              <w:bottom w:val="outset" w:sz="6" w:space="0" w:color="auto"/>
              <w:right w:val="outset" w:sz="6" w:space="0" w:color="auto"/>
            </w:tcBorders>
            <w:hideMark/>
          </w:tcPr>
          <w:p w:rsidR="00E810D3" w:rsidRPr="002929D5" w:rsidRDefault="00E810D3" w:rsidP="00E810D3">
            <w:pPr>
              <w:rPr>
                <w:rFonts w:eastAsia="Times New Roman" w:cs="Times New Roman"/>
                <w:strike/>
                <w:lang w:eastAsia="lv-LV"/>
              </w:rPr>
            </w:pPr>
          </w:p>
        </w:tc>
        <w:tc>
          <w:tcPr>
            <w:tcW w:w="886" w:type="pct"/>
            <w:tcBorders>
              <w:top w:val="outset" w:sz="6" w:space="0" w:color="auto"/>
              <w:left w:val="outset" w:sz="6" w:space="0" w:color="auto"/>
              <w:bottom w:val="outset" w:sz="6" w:space="0" w:color="auto"/>
              <w:right w:val="outset" w:sz="6" w:space="0" w:color="auto"/>
            </w:tcBorders>
            <w:hideMark/>
          </w:tcPr>
          <w:p w:rsidR="00E810D3" w:rsidRPr="002929D5" w:rsidRDefault="00E810D3" w:rsidP="00E810D3">
            <w:pPr>
              <w:rPr>
                <w:rFonts w:eastAsia="Times New Roman" w:cs="Times New Roman"/>
                <w:strike/>
                <w:lang w:eastAsia="lv-LV"/>
              </w:rPr>
            </w:pPr>
          </w:p>
        </w:tc>
      </w:tr>
      <w:tr w:rsidR="00E810D3"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cs="Times New Roman"/>
                <w:szCs w:val="24"/>
              </w:rPr>
            </w:pPr>
            <w:r w:rsidRPr="006D1F1C">
              <w:rPr>
                <w:rFonts w:cs="Times New Roman"/>
              </w:rPr>
              <w:t>1.3. pašvaldību budžets</w:t>
            </w:r>
          </w:p>
        </w:tc>
        <w:tc>
          <w:tcPr>
            <w:tcW w:w="872" w:type="pct"/>
            <w:tcBorders>
              <w:top w:val="outset" w:sz="6" w:space="0" w:color="auto"/>
              <w:left w:val="outset" w:sz="6" w:space="0" w:color="auto"/>
              <w:bottom w:val="outset" w:sz="6" w:space="0" w:color="auto"/>
              <w:right w:val="outset" w:sz="6" w:space="0" w:color="auto"/>
            </w:tcBorders>
            <w:hideMark/>
          </w:tcPr>
          <w:p w:rsidR="00E810D3" w:rsidRPr="002929D5" w:rsidRDefault="00E810D3" w:rsidP="00E810D3">
            <w:pPr>
              <w:rPr>
                <w:rFonts w:eastAsia="Times New Roman" w:cs="Times New Roman"/>
                <w:strike/>
                <w:lang w:eastAsia="lv-LV"/>
              </w:rPr>
            </w:pPr>
          </w:p>
        </w:tc>
        <w:tc>
          <w:tcPr>
            <w:tcW w:w="935" w:type="pct"/>
            <w:tcBorders>
              <w:top w:val="outset" w:sz="6" w:space="0" w:color="auto"/>
              <w:left w:val="outset" w:sz="6" w:space="0" w:color="auto"/>
              <w:bottom w:val="outset" w:sz="6" w:space="0" w:color="auto"/>
              <w:right w:val="outset" w:sz="6" w:space="0" w:color="auto"/>
            </w:tcBorders>
            <w:hideMark/>
          </w:tcPr>
          <w:p w:rsidR="00E810D3" w:rsidRPr="00C17DE8" w:rsidRDefault="00E810D3" w:rsidP="00E810D3">
            <w:pPr>
              <w:rPr>
                <w:rFonts w:eastAsia="Times New Roman" w:cs="Times New Roman"/>
                <w:lang w:eastAsia="lv-LV"/>
              </w:rPr>
            </w:pPr>
          </w:p>
        </w:tc>
        <w:tc>
          <w:tcPr>
            <w:tcW w:w="733" w:type="pct"/>
            <w:tcBorders>
              <w:top w:val="outset" w:sz="6" w:space="0" w:color="auto"/>
              <w:left w:val="outset" w:sz="6" w:space="0" w:color="auto"/>
              <w:bottom w:val="outset" w:sz="6" w:space="0" w:color="auto"/>
              <w:right w:val="outset" w:sz="6" w:space="0" w:color="auto"/>
            </w:tcBorders>
            <w:hideMark/>
          </w:tcPr>
          <w:p w:rsidR="00E810D3" w:rsidRPr="002929D5" w:rsidRDefault="00E810D3" w:rsidP="00E810D3">
            <w:pPr>
              <w:rPr>
                <w:rFonts w:eastAsia="Times New Roman" w:cs="Times New Roman"/>
                <w:strike/>
                <w:lang w:eastAsia="lv-LV"/>
              </w:rPr>
            </w:pPr>
          </w:p>
        </w:tc>
        <w:tc>
          <w:tcPr>
            <w:tcW w:w="740" w:type="pct"/>
            <w:tcBorders>
              <w:top w:val="outset" w:sz="6" w:space="0" w:color="auto"/>
              <w:left w:val="outset" w:sz="6" w:space="0" w:color="auto"/>
              <w:bottom w:val="outset" w:sz="6" w:space="0" w:color="auto"/>
              <w:right w:val="outset" w:sz="6" w:space="0" w:color="auto"/>
            </w:tcBorders>
            <w:hideMark/>
          </w:tcPr>
          <w:p w:rsidR="00E810D3" w:rsidRPr="002929D5" w:rsidRDefault="00E810D3" w:rsidP="00E810D3">
            <w:pPr>
              <w:rPr>
                <w:rFonts w:eastAsia="Times New Roman" w:cs="Times New Roman"/>
                <w:strike/>
                <w:lang w:eastAsia="lv-LV"/>
              </w:rPr>
            </w:pPr>
          </w:p>
        </w:tc>
        <w:tc>
          <w:tcPr>
            <w:tcW w:w="886" w:type="pct"/>
            <w:tcBorders>
              <w:top w:val="outset" w:sz="6" w:space="0" w:color="auto"/>
              <w:left w:val="outset" w:sz="6" w:space="0" w:color="auto"/>
              <w:bottom w:val="outset" w:sz="6" w:space="0" w:color="auto"/>
              <w:right w:val="outset" w:sz="6" w:space="0" w:color="auto"/>
            </w:tcBorders>
            <w:hideMark/>
          </w:tcPr>
          <w:p w:rsidR="00E810D3" w:rsidRPr="002929D5" w:rsidRDefault="00E810D3" w:rsidP="00E810D3">
            <w:pPr>
              <w:rPr>
                <w:rFonts w:eastAsia="Times New Roman" w:cs="Times New Roman"/>
                <w:strike/>
                <w:lang w:eastAsia="lv-LV"/>
              </w:rPr>
            </w:pPr>
          </w:p>
        </w:tc>
      </w:tr>
      <w:tr w:rsidR="00FB7F75"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FB7F75" w:rsidRPr="006D1F1C" w:rsidRDefault="00FB7F75" w:rsidP="004325FC">
            <w:pPr>
              <w:rPr>
                <w:rFonts w:cs="Times New Roman"/>
                <w:b/>
                <w:bCs/>
                <w:szCs w:val="24"/>
              </w:rPr>
            </w:pPr>
            <w:r w:rsidRPr="006D1F1C">
              <w:rPr>
                <w:rFonts w:cs="Times New Roman"/>
                <w:b/>
                <w:bCs/>
              </w:rPr>
              <w:t>2. Budžeta izdevumi:</w:t>
            </w:r>
          </w:p>
        </w:tc>
        <w:tc>
          <w:tcPr>
            <w:tcW w:w="872" w:type="pct"/>
            <w:tcBorders>
              <w:top w:val="outset" w:sz="6" w:space="0" w:color="auto"/>
              <w:left w:val="outset" w:sz="6" w:space="0" w:color="auto"/>
              <w:bottom w:val="outset" w:sz="6" w:space="0" w:color="auto"/>
              <w:right w:val="outset" w:sz="6" w:space="0" w:color="auto"/>
            </w:tcBorders>
            <w:hideMark/>
          </w:tcPr>
          <w:p w:rsidR="00FB7F75" w:rsidRPr="00AF6B3C" w:rsidRDefault="00FB7F75" w:rsidP="00E810D3">
            <w:pPr>
              <w:rPr>
                <w:rFonts w:eastAsia="Times New Roman" w:cs="Times New Roman"/>
                <w:b/>
                <w:lang w:eastAsia="lv-LV"/>
              </w:rPr>
            </w:pPr>
            <w:r>
              <w:rPr>
                <w:rFonts w:eastAsia="Times New Roman" w:cs="Times New Roman"/>
                <w:color w:val="000000"/>
                <w:shd w:val="clear" w:color="auto" w:fill="FFFFFF"/>
                <w:lang w:eastAsia="lv-LV" w:bidi="lv-LV"/>
              </w:rPr>
              <w:t>520</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662</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115</w:t>
            </w:r>
          </w:p>
        </w:tc>
        <w:tc>
          <w:tcPr>
            <w:tcW w:w="935" w:type="pct"/>
            <w:tcBorders>
              <w:top w:val="outset" w:sz="6" w:space="0" w:color="auto"/>
              <w:left w:val="outset" w:sz="6" w:space="0" w:color="auto"/>
              <w:bottom w:val="outset" w:sz="6" w:space="0" w:color="auto"/>
              <w:right w:val="outset" w:sz="6" w:space="0" w:color="auto"/>
            </w:tcBorders>
            <w:hideMark/>
          </w:tcPr>
          <w:p w:rsidR="00FB7F75" w:rsidRPr="00C17DE8" w:rsidRDefault="00FB7F75" w:rsidP="00E810D3">
            <w:pPr>
              <w:rPr>
                <w:rFonts w:eastAsia="Times New Roman" w:cs="Times New Roman"/>
                <w:b/>
                <w:lang w:eastAsia="lv-LV"/>
              </w:rPr>
            </w:pPr>
            <w:r w:rsidRPr="00C17DE8">
              <w:rPr>
                <w:rFonts w:eastAsia="Times New Roman" w:cs="Times New Roman"/>
                <w:b/>
                <w:lang w:eastAsia="lv-LV"/>
              </w:rPr>
              <w:t>0</w:t>
            </w:r>
          </w:p>
        </w:tc>
        <w:tc>
          <w:tcPr>
            <w:tcW w:w="733" w:type="pct"/>
            <w:tcBorders>
              <w:top w:val="outset" w:sz="6" w:space="0" w:color="auto"/>
              <w:left w:val="outset" w:sz="6" w:space="0" w:color="auto"/>
              <w:bottom w:val="outset" w:sz="6" w:space="0" w:color="auto"/>
              <w:right w:val="outset" w:sz="6" w:space="0" w:color="auto"/>
            </w:tcBorders>
            <w:hideMark/>
          </w:tcPr>
          <w:p w:rsidR="00FB7F75" w:rsidRDefault="00FB7F75">
            <w:r w:rsidRPr="001F1705">
              <w:rPr>
                <w:rFonts w:cs="Times New Roman"/>
                <w:szCs w:val="24"/>
                <w:lang w:eastAsia="lv-LV"/>
              </w:rPr>
              <w:t>9 906 145</w:t>
            </w:r>
          </w:p>
        </w:tc>
        <w:tc>
          <w:tcPr>
            <w:tcW w:w="740" w:type="pct"/>
            <w:tcBorders>
              <w:top w:val="outset" w:sz="6" w:space="0" w:color="auto"/>
              <w:left w:val="outset" w:sz="6" w:space="0" w:color="auto"/>
              <w:bottom w:val="outset" w:sz="6" w:space="0" w:color="auto"/>
              <w:right w:val="outset" w:sz="6" w:space="0" w:color="auto"/>
            </w:tcBorders>
            <w:hideMark/>
          </w:tcPr>
          <w:p w:rsidR="00FB7F75" w:rsidRDefault="00FB7F75">
            <w:r w:rsidRPr="001F1705">
              <w:rPr>
                <w:rFonts w:cs="Times New Roman"/>
                <w:szCs w:val="24"/>
                <w:lang w:eastAsia="lv-LV"/>
              </w:rPr>
              <w:t>9 906 145</w:t>
            </w:r>
          </w:p>
        </w:tc>
        <w:tc>
          <w:tcPr>
            <w:tcW w:w="886" w:type="pct"/>
            <w:tcBorders>
              <w:top w:val="outset" w:sz="6" w:space="0" w:color="auto"/>
              <w:left w:val="outset" w:sz="6" w:space="0" w:color="auto"/>
              <w:bottom w:val="outset" w:sz="6" w:space="0" w:color="auto"/>
              <w:right w:val="outset" w:sz="6" w:space="0" w:color="auto"/>
            </w:tcBorders>
            <w:hideMark/>
          </w:tcPr>
          <w:p w:rsidR="00FB7F75" w:rsidRDefault="00FB7F75">
            <w:r w:rsidRPr="001F1705">
              <w:rPr>
                <w:rFonts w:cs="Times New Roman"/>
                <w:szCs w:val="24"/>
                <w:lang w:eastAsia="lv-LV"/>
              </w:rPr>
              <w:t>9 906 145</w:t>
            </w:r>
          </w:p>
        </w:tc>
      </w:tr>
      <w:tr w:rsidR="00E810D3"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cs="Times New Roman"/>
                <w:szCs w:val="24"/>
              </w:rPr>
            </w:pPr>
            <w:r w:rsidRPr="006D1F1C">
              <w:rPr>
                <w:rFonts w:cs="Times New Roman"/>
              </w:rPr>
              <w:t>2.1. valsts pamatbudžets</w:t>
            </w:r>
          </w:p>
        </w:tc>
        <w:tc>
          <w:tcPr>
            <w:tcW w:w="872" w:type="pct"/>
            <w:tcBorders>
              <w:top w:val="outset" w:sz="6" w:space="0" w:color="auto"/>
              <w:left w:val="outset" w:sz="6" w:space="0" w:color="auto"/>
              <w:bottom w:val="outset" w:sz="6" w:space="0" w:color="auto"/>
              <w:right w:val="outset" w:sz="6" w:space="0" w:color="auto"/>
            </w:tcBorders>
            <w:hideMark/>
          </w:tcPr>
          <w:p w:rsidR="00E810D3" w:rsidRPr="002929D5" w:rsidRDefault="00E810D3" w:rsidP="00E810D3">
            <w:pPr>
              <w:rPr>
                <w:rFonts w:eastAsia="Times New Roman" w:cs="Times New Roman"/>
                <w:strike/>
                <w:lang w:eastAsia="lv-LV"/>
              </w:rPr>
            </w:pPr>
          </w:p>
        </w:tc>
        <w:tc>
          <w:tcPr>
            <w:tcW w:w="935" w:type="pct"/>
            <w:tcBorders>
              <w:top w:val="outset" w:sz="6" w:space="0" w:color="auto"/>
              <w:left w:val="outset" w:sz="6" w:space="0" w:color="auto"/>
              <w:bottom w:val="outset" w:sz="6" w:space="0" w:color="auto"/>
              <w:right w:val="outset" w:sz="6" w:space="0" w:color="auto"/>
            </w:tcBorders>
            <w:hideMark/>
          </w:tcPr>
          <w:p w:rsidR="00E810D3" w:rsidRPr="00C17DE8" w:rsidRDefault="00E810D3" w:rsidP="00E810D3">
            <w:pPr>
              <w:rPr>
                <w:rFonts w:eastAsia="Times New Roman" w:cs="Times New Roman"/>
                <w:lang w:eastAsia="lv-LV"/>
              </w:rPr>
            </w:pPr>
          </w:p>
        </w:tc>
        <w:tc>
          <w:tcPr>
            <w:tcW w:w="733" w:type="pct"/>
            <w:tcBorders>
              <w:top w:val="outset" w:sz="6" w:space="0" w:color="auto"/>
              <w:left w:val="outset" w:sz="6" w:space="0" w:color="auto"/>
              <w:bottom w:val="outset" w:sz="6" w:space="0" w:color="auto"/>
              <w:right w:val="outset" w:sz="6" w:space="0" w:color="auto"/>
            </w:tcBorders>
            <w:hideMark/>
          </w:tcPr>
          <w:p w:rsidR="00E810D3" w:rsidRPr="002929D5" w:rsidRDefault="00E810D3" w:rsidP="00E810D3">
            <w:pPr>
              <w:rPr>
                <w:strike/>
              </w:rPr>
            </w:pPr>
          </w:p>
        </w:tc>
        <w:tc>
          <w:tcPr>
            <w:tcW w:w="740" w:type="pct"/>
            <w:tcBorders>
              <w:top w:val="outset" w:sz="6" w:space="0" w:color="auto"/>
              <w:left w:val="outset" w:sz="6" w:space="0" w:color="auto"/>
              <w:bottom w:val="outset" w:sz="6" w:space="0" w:color="auto"/>
              <w:right w:val="outset" w:sz="6" w:space="0" w:color="auto"/>
            </w:tcBorders>
            <w:hideMark/>
          </w:tcPr>
          <w:p w:rsidR="00E810D3" w:rsidRPr="00C26702" w:rsidRDefault="00E810D3" w:rsidP="00E810D3">
            <w:pPr>
              <w:rPr>
                <w:strike/>
              </w:rPr>
            </w:pPr>
          </w:p>
        </w:tc>
        <w:tc>
          <w:tcPr>
            <w:tcW w:w="886" w:type="pct"/>
            <w:tcBorders>
              <w:top w:val="outset" w:sz="6" w:space="0" w:color="auto"/>
              <w:left w:val="outset" w:sz="6" w:space="0" w:color="auto"/>
              <w:bottom w:val="outset" w:sz="6" w:space="0" w:color="auto"/>
              <w:right w:val="outset" w:sz="6" w:space="0" w:color="auto"/>
            </w:tcBorders>
            <w:hideMark/>
          </w:tcPr>
          <w:p w:rsidR="00E810D3" w:rsidRPr="00C26702" w:rsidRDefault="00E810D3" w:rsidP="00E810D3">
            <w:pPr>
              <w:rPr>
                <w:strike/>
              </w:rPr>
            </w:pPr>
          </w:p>
        </w:tc>
      </w:tr>
      <w:tr w:rsidR="00E810D3"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cs="Times New Roman"/>
                <w:szCs w:val="24"/>
              </w:rPr>
            </w:pPr>
            <w:r w:rsidRPr="006D1F1C">
              <w:rPr>
                <w:rFonts w:cs="Times New Roman"/>
              </w:rPr>
              <w:t>2.2. valsts speciālais budžets</w:t>
            </w:r>
          </w:p>
        </w:tc>
        <w:tc>
          <w:tcPr>
            <w:tcW w:w="872" w:type="pct"/>
            <w:tcBorders>
              <w:top w:val="outset" w:sz="6" w:space="0" w:color="auto"/>
              <w:left w:val="outset" w:sz="6" w:space="0" w:color="auto"/>
              <w:bottom w:val="outset" w:sz="6" w:space="0" w:color="auto"/>
              <w:right w:val="outset" w:sz="6" w:space="0" w:color="auto"/>
            </w:tcBorders>
            <w:hideMark/>
          </w:tcPr>
          <w:p w:rsidR="00E810D3" w:rsidRPr="002929D5" w:rsidRDefault="00E810D3" w:rsidP="00E810D3">
            <w:pPr>
              <w:rPr>
                <w:rFonts w:eastAsia="Times New Roman" w:cs="Times New Roman"/>
                <w:strike/>
                <w:lang w:eastAsia="lv-LV"/>
              </w:rPr>
            </w:pPr>
            <w:r>
              <w:rPr>
                <w:rFonts w:eastAsia="Times New Roman" w:cs="Times New Roman"/>
                <w:color w:val="000000"/>
                <w:shd w:val="clear" w:color="auto" w:fill="FFFFFF"/>
                <w:lang w:eastAsia="lv-LV" w:bidi="lv-LV"/>
              </w:rPr>
              <w:t>520</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662</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115</w:t>
            </w:r>
          </w:p>
        </w:tc>
        <w:tc>
          <w:tcPr>
            <w:tcW w:w="935" w:type="pct"/>
            <w:tcBorders>
              <w:top w:val="outset" w:sz="6" w:space="0" w:color="auto"/>
              <w:left w:val="outset" w:sz="6" w:space="0" w:color="auto"/>
              <w:bottom w:val="outset" w:sz="6" w:space="0" w:color="auto"/>
              <w:right w:val="outset" w:sz="6" w:space="0" w:color="auto"/>
            </w:tcBorders>
            <w:hideMark/>
          </w:tcPr>
          <w:p w:rsidR="00E810D3" w:rsidRPr="00C17DE8" w:rsidRDefault="00E810D3" w:rsidP="00E810D3">
            <w:pPr>
              <w:rPr>
                <w:rFonts w:eastAsia="Times New Roman" w:cs="Times New Roman"/>
                <w:lang w:eastAsia="lv-LV"/>
              </w:rPr>
            </w:pPr>
            <w:r w:rsidRPr="00C17DE8">
              <w:rPr>
                <w:rFonts w:eastAsia="Times New Roman" w:cs="Times New Roman"/>
                <w:lang w:eastAsia="lv-LV"/>
              </w:rPr>
              <w:t>0</w:t>
            </w:r>
          </w:p>
        </w:tc>
        <w:tc>
          <w:tcPr>
            <w:tcW w:w="733" w:type="pct"/>
            <w:tcBorders>
              <w:top w:val="outset" w:sz="6" w:space="0" w:color="auto"/>
              <w:left w:val="outset" w:sz="6" w:space="0" w:color="auto"/>
              <w:bottom w:val="outset" w:sz="6" w:space="0" w:color="auto"/>
              <w:right w:val="outset" w:sz="6" w:space="0" w:color="auto"/>
            </w:tcBorders>
            <w:hideMark/>
          </w:tcPr>
          <w:p w:rsidR="00E810D3" w:rsidRPr="0024324A" w:rsidRDefault="00FB7F75" w:rsidP="00E810D3">
            <w:pPr>
              <w:rPr>
                <w:rFonts w:eastAsia="Times New Roman" w:cs="Times New Roman"/>
                <w:strike/>
                <w:lang w:eastAsia="lv-LV"/>
              </w:rPr>
            </w:pPr>
            <w:r w:rsidRPr="000055DD">
              <w:rPr>
                <w:rFonts w:cs="Times New Roman"/>
                <w:szCs w:val="24"/>
                <w:lang w:eastAsia="lv-LV"/>
              </w:rPr>
              <w:t>9 906 145</w:t>
            </w:r>
            <w:r w:rsidR="00E810D3">
              <w:rPr>
                <w:rFonts w:cs="Times New Roman"/>
                <w:szCs w:val="24"/>
                <w:lang w:eastAsia="lv-LV"/>
              </w:rPr>
              <w:t>**</w:t>
            </w:r>
          </w:p>
        </w:tc>
        <w:tc>
          <w:tcPr>
            <w:tcW w:w="740" w:type="pct"/>
            <w:tcBorders>
              <w:top w:val="outset" w:sz="6" w:space="0" w:color="auto"/>
              <w:left w:val="outset" w:sz="6" w:space="0" w:color="auto"/>
              <w:bottom w:val="outset" w:sz="6" w:space="0" w:color="auto"/>
              <w:right w:val="outset" w:sz="6" w:space="0" w:color="auto"/>
            </w:tcBorders>
            <w:hideMark/>
          </w:tcPr>
          <w:p w:rsidR="00E810D3" w:rsidRPr="00C26702" w:rsidRDefault="00FB7F75" w:rsidP="00E810D3">
            <w:pPr>
              <w:rPr>
                <w:rFonts w:eastAsia="Times New Roman" w:cs="Times New Roman"/>
                <w:strike/>
                <w:lang w:eastAsia="lv-LV"/>
              </w:rPr>
            </w:pPr>
            <w:r w:rsidRPr="000055DD">
              <w:rPr>
                <w:rFonts w:cs="Times New Roman"/>
                <w:szCs w:val="24"/>
                <w:lang w:eastAsia="lv-LV"/>
              </w:rPr>
              <w:t>9 906 145</w:t>
            </w:r>
            <w:r w:rsidR="00E810D3" w:rsidRPr="00C26702">
              <w:rPr>
                <w:rFonts w:cs="Times New Roman"/>
                <w:szCs w:val="24"/>
                <w:lang w:eastAsia="lv-LV"/>
              </w:rPr>
              <w:t>*</w:t>
            </w:r>
            <w:r w:rsidR="00E810D3">
              <w:rPr>
                <w:rFonts w:cs="Times New Roman"/>
                <w:szCs w:val="24"/>
                <w:lang w:eastAsia="lv-LV"/>
              </w:rPr>
              <w:t>*</w:t>
            </w:r>
          </w:p>
        </w:tc>
        <w:tc>
          <w:tcPr>
            <w:tcW w:w="886" w:type="pct"/>
            <w:tcBorders>
              <w:top w:val="outset" w:sz="6" w:space="0" w:color="auto"/>
              <w:left w:val="outset" w:sz="6" w:space="0" w:color="auto"/>
              <w:bottom w:val="outset" w:sz="6" w:space="0" w:color="auto"/>
              <w:right w:val="outset" w:sz="6" w:space="0" w:color="auto"/>
            </w:tcBorders>
            <w:hideMark/>
          </w:tcPr>
          <w:p w:rsidR="00E810D3" w:rsidRPr="00C26702" w:rsidRDefault="00FB7F75" w:rsidP="00E810D3">
            <w:pPr>
              <w:rPr>
                <w:rFonts w:eastAsia="Times New Roman" w:cs="Times New Roman"/>
                <w:strike/>
                <w:lang w:eastAsia="lv-LV"/>
              </w:rPr>
            </w:pPr>
            <w:r w:rsidRPr="000055DD">
              <w:rPr>
                <w:rFonts w:cs="Times New Roman"/>
                <w:szCs w:val="24"/>
                <w:lang w:eastAsia="lv-LV"/>
              </w:rPr>
              <w:t>9 906 145</w:t>
            </w:r>
            <w:r w:rsidR="00E810D3" w:rsidRPr="00C26702">
              <w:rPr>
                <w:rFonts w:cs="Times New Roman"/>
                <w:szCs w:val="24"/>
                <w:lang w:eastAsia="lv-LV"/>
              </w:rPr>
              <w:t>*</w:t>
            </w:r>
            <w:r w:rsidR="00E810D3">
              <w:rPr>
                <w:rFonts w:cs="Times New Roman"/>
                <w:szCs w:val="24"/>
                <w:lang w:eastAsia="lv-LV"/>
              </w:rPr>
              <w:t>*</w:t>
            </w:r>
          </w:p>
        </w:tc>
      </w:tr>
      <w:tr w:rsidR="00E810D3"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cs="Times New Roman"/>
                <w:szCs w:val="24"/>
              </w:rPr>
            </w:pPr>
            <w:r w:rsidRPr="006D1F1C">
              <w:rPr>
                <w:rFonts w:cs="Times New Roman"/>
              </w:rPr>
              <w:t xml:space="preserve">2.3. pašvaldību budžets </w:t>
            </w:r>
          </w:p>
        </w:tc>
        <w:tc>
          <w:tcPr>
            <w:tcW w:w="872"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935"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733"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740"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886"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r>
      <w:tr w:rsidR="00E810D3"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cs="Times New Roman"/>
                <w:b/>
                <w:szCs w:val="24"/>
              </w:rPr>
            </w:pPr>
            <w:r w:rsidRPr="006D1F1C">
              <w:rPr>
                <w:rFonts w:cs="Times New Roman"/>
                <w:b/>
              </w:rPr>
              <w:t>3. Finansiālā ietekme:</w:t>
            </w:r>
          </w:p>
        </w:tc>
        <w:tc>
          <w:tcPr>
            <w:tcW w:w="872" w:type="pct"/>
            <w:tcBorders>
              <w:top w:val="outset" w:sz="6" w:space="0" w:color="auto"/>
              <w:left w:val="outset" w:sz="6" w:space="0" w:color="auto"/>
              <w:bottom w:val="outset" w:sz="6" w:space="0" w:color="auto"/>
              <w:right w:val="outset" w:sz="6" w:space="0" w:color="auto"/>
            </w:tcBorders>
            <w:vAlign w:val="bottom"/>
            <w:hideMark/>
          </w:tcPr>
          <w:p w:rsidR="00E810D3" w:rsidRPr="002929D5" w:rsidRDefault="00E810D3" w:rsidP="00E810D3">
            <w:pPr>
              <w:rPr>
                <w:rFonts w:cs="Times New Roman"/>
                <w:b/>
                <w:strike/>
              </w:rPr>
            </w:pPr>
            <w:r>
              <w:rPr>
                <w:rFonts w:eastAsia="Times New Roman" w:cs="Times New Roman"/>
                <w:noProof/>
                <w:szCs w:val="24"/>
                <w:lang w:eastAsia="lv-LV"/>
              </w:rPr>
              <w:t xml:space="preserve">-521 </w:t>
            </w:r>
            <w:r>
              <w:rPr>
                <w:rFonts w:eastAsia="Times New Roman" w:cs="Times New Roman"/>
                <w:color w:val="000000"/>
                <w:shd w:val="clear" w:color="auto" w:fill="FFFFFF"/>
                <w:lang w:eastAsia="lv-LV" w:bidi="lv-LV"/>
              </w:rPr>
              <w:t>435</w:t>
            </w:r>
          </w:p>
        </w:tc>
        <w:tc>
          <w:tcPr>
            <w:tcW w:w="935" w:type="pct"/>
            <w:tcBorders>
              <w:top w:val="outset" w:sz="6" w:space="0" w:color="auto"/>
              <w:left w:val="outset" w:sz="6" w:space="0" w:color="auto"/>
              <w:bottom w:val="outset" w:sz="6" w:space="0" w:color="auto"/>
              <w:right w:val="outset" w:sz="6" w:space="0" w:color="auto"/>
            </w:tcBorders>
            <w:vAlign w:val="bottom"/>
            <w:hideMark/>
          </w:tcPr>
          <w:p w:rsidR="00E810D3" w:rsidRPr="00C17DE8" w:rsidRDefault="00E810D3" w:rsidP="00E810D3">
            <w:pPr>
              <w:rPr>
                <w:rFonts w:cs="Times New Roman"/>
                <w:b/>
              </w:rPr>
            </w:pPr>
            <w:r w:rsidRPr="00C17DE8">
              <w:rPr>
                <w:rFonts w:cs="Times New Roman"/>
                <w:b/>
              </w:rPr>
              <w:t>0</w:t>
            </w:r>
          </w:p>
        </w:tc>
        <w:tc>
          <w:tcPr>
            <w:tcW w:w="733" w:type="pct"/>
            <w:tcBorders>
              <w:top w:val="outset" w:sz="6" w:space="0" w:color="auto"/>
              <w:left w:val="outset" w:sz="6" w:space="0" w:color="auto"/>
              <w:bottom w:val="outset" w:sz="6" w:space="0" w:color="auto"/>
              <w:right w:val="outset" w:sz="6" w:space="0" w:color="auto"/>
            </w:tcBorders>
            <w:hideMark/>
          </w:tcPr>
          <w:p w:rsidR="00E810D3" w:rsidRPr="002929D5" w:rsidRDefault="00E810D3" w:rsidP="00F034AC">
            <w:pPr>
              <w:rPr>
                <w:rFonts w:eastAsia="Times New Roman" w:cs="Times New Roman"/>
                <w:b/>
                <w:strike/>
                <w:lang w:eastAsia="lv-LV"/>
              </w:rPr>
            </w:pPr>
          </w:p>
        </w:tc>
        <w:tc>
          <w:tcPr>
            <w:tcW w:w="740" w:type="pct"/>
            <w:tcBorders>
              <w:top w:val="outset" w:sz="6" w:space="0" w:color="auto"/>
              <w:left w:val="outset" w:sz="6" w:space="0" w:color="auto"/>
              <w:bottom w:val="outset" w:sz="6" w:space="0" w:color="auto"/>
              <w:right w:val="outset" w:sz="6" w:space="0" w:color="auto"/>
            </w:tcBorders>
            <w:hideMark/>
          </w:tcPr>
          <w:p w:rsidR="00E810D3" w:rsidRPr="002929D5" w:rsidRDefault="00E810D3" w:rsidP="00F034AC">
            <w:pPr>
              <w:rPr>
                <w:rFonts w:eastAsia="Times New Roman" w:cs="Times New Roman"/>
                <w:b/>
                <w:strike/>
                <w:lang w:eastAsia="lv-LV"/>
              </w:rPr>
            </w:pPr>
          </w:p>
        </w:tc>
        <w:tc>
          <w:tcPr>
            <w:tcW w:w="886" w:type="pct"/>
            <w:tcBorders>
              <w:top w:val="outset" w:sz="6" w:space="0" w:color="auto"/>
              <w:left w:val="outset" w:sz="6" w:space="0" w:color="auto"/>
              <w:bottom w:val="outset" w:sz="6" w:space="0" w:color="auto"/>
              <w:right w:val="outset" w:sz="6" w:space="0" w:color="auto"/>
            </w:tcBorders>
            <w:hideMark/>
          </w:tcPr>
          <w:p w:rsidR="00E810D3" w:rsidRPr="002929D5" w:rsidRDefault="00E810D3" w:rsidP="00F034AC">
            <w:pPr>
              <w:rPr>
                <w:rFonts w:eastAsia="Times New Roman" w:cs="Times New Roman"/>
                <w:b/>
                <w:strike/>
                <w:lang w:eastAsia="lv-LV"/>
              </w:rPr>
            </w:pPr>
          </w:p>
        </w:tc>
      </w:tr>
      <w:tr w:rsidR="00E810D3"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cs="Times New Roman"/>
                <w:szCs w:val="24"/>
              </w:rPr>
            </w:pPr>
            <w:r w:rsidRPr="006D1F1C">
              <w:rPr>
                <w:rFonts w:cs="Times New Roman"/>
              </w:rPr>
              <w:t>3.1. valsts pamatbudžets</w:t>
            </w:r>
          </w:p>
        </w:tc>
        <w:tc>
          <w:tcPr>
            <w:tcW w:w="872"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r>
              <w:rPr>
                <w:rFonts w:eastAsia="Times New Roman" w:cs="Times New Roman"/>
                <w:noProof/>
                <w:szCs w:val="24"/>
                <w:lang w:eastAsia="lv-LV"/>
              </w:rPr>
              <w:t xml:space="preserve">-521 </w:t>
            </w:r>
            <w:r>
              <w:rPr>
                <w:rFonts w:eastAsia="Times New Roman" w:cs="Times New Roman"/>
                <w:color w:val="000000"/>
                <w:shd w:val="clear" w:color="auto" w:fill="FFFFFF"/>
                <w:lang w:eastAsia="lv-LV" w:bidi="lv-LV"/>
              </w:rPr>
              <w:t>435</w:t>
            </w:r>
          </w:p>
        </w:tc>
        <w:tc>
          <w:tcPr>
            <w:tcW w:w="935"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733" w:type="pct"/>
            <w:tcBorders>
              <w:top w:val="outset" w:sz="6" w:space="0" w:color="auto"/>
              <w:left w:val="outset" w:sz="6" w:space="0" w:color="auto"/>
              <w:bottom w:val="outset" w:sz="6" w:space="0" w:color="auto"/>
              <w:right w:val="outset" w:sz="6" w:space="0" w:color="auto"/>
            </w:tcBorders>
            <w:hideMark/>
          </w:tcPr>
          <w:p w:rsidR="00E810D3" w:rsidRPr="002929D5" w:rsidRDefault="00E810D3" w:rsidP="00F034AC">
            <w:pPr>
              <w:rPr>
                <w:strike/>
              </w:rPr>
            </w:pPr>
          </w:p>
        </w:tc>
        <w:tc>
          <w:tcPr>
            <w:tcW w:w="740" w:type="pct"/>
            <w:tcBorders>
              <w:top w:val="outset" w:sz="6" w:space="0" w:color="auto"/>
              <w:left w:val="outset" w:sz="6" w:space="0" w:color="auto"/>
              <w:bottom w:val="outset" w:sz="6" w:space="0" w:color="auto"/>
              <w:right w:val="outset" w:sz="6" w:space="0" w:color="auto"/>
            </w:tcBorders>
            <w:hideMark/>
          </w:tcPr>
          <w:p w:rsidR="00E810D3" w:rsidRPr="002929D5" w:rsidRDefault="00E810D3" w:rsidP="00F034AC">
            <w:pPr>
              <w:rPr>
                <w:strike/>
              </w:rPr>
            </w:pPr>
          </w:p>
        </w:tc>
        <w:tc>
          <w:tcPr>
            <w:tcW w:w="886" w:type="pct"/>
            <w:tcBorders>
              <w:top w:val="outset" w:sz="6" w:space="0" w:color="auto"/>
              <w:left w:val="outset" w:sz="6" w:space="0" w:color="auto"/>
              <w:bottom w:val="outset" w:sz="6" w:space="0" w:color="auto"/>
              <w:right w:val="outset" w:sz="6" w:space="0" w:color="auto"/>
            </w:tcBorders>
            <w:hideMark/>
          </w:tcPr>
          <w:p w:rsidR="00E810D3" w:rsidRPr="002929D5" w:rsidRDefault="00E810D3" w:rsidP="00F034AC">
            <w:pPr>
              <w:rPr>
                <w:strike/>
              </w:rPr>
            </w:pPr>
          </w:p>
        </w:tc>
      </w:tr>
      <w:tr w:rsidR="00E810D3"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eastAsia="Times New Roman" w:cs="Times New Roman"/>
                <w:szCs w:val="24"/>
                <w:lang w:eastAsia="lv-LV"/>
              </w:rPr>
            </w:pPr>
            <w:r w:rsidRPr="006D1F1C">
              <w:rPr>
                <w:rFonts w:eastAsia="Times New Roman" w:cs="Times New Roman"/>
                <w:szCs w:val="24"/>
                <w:lang w:eastAsia="lv-LV"/>
              </w:rPr>
              <w:t>3.2. speciālais budžets</w:t>
            </w:r>
          </w:p>
        </w:tc>
        <w:tc>
          <w:tcPr>
            <w:tcW w:w="872"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935"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733"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740"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886"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r>
      <w:tr w:rsidR="00E810D3"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eastAsia="Times New Roman" w:cs="Times New Roman"/>
                <w:szCs w:val="24"/>
                <w:lang w:eastAsia="lv-LV"/>
              </w:rPr>
            </w:pPr>
            <w:r w:rsidRPr="006D1F1C">
              <w:rPr>
                <w:rFonts w:eastAsia="Times New Roman" w:cs="Times New Roman"/>
                <w:szCs w:val="24"/>
                <w:lang w:eastAsia="lv-LV"/>
              </w:rPr>
              <w:t xml:space="preserve">3.3. pašvaldību budžets </w:t>
            </w:r>
          </w:p>
        </w:tc>
        <w:tc>
          <w:tcPr>
            <w:tcW w:w="872"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935"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733"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740"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886"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r>
      <w:tr w:rsidR="00E810D3" w:rsidRPr="006D1F1C" w:rsidTr="00E105A2">
        <w:trPr>
          <w:trHeight w:val="1380"/>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eastAsia="Times New Roman" w:cs="Times New Roman"/>
                <w:szCs w:val="24"/>
                <w:lang w:eastAsia="lv-LV"/>
              </w:rPr>
            </w:pPr>
            <w:r w:rsidRPr="006D1F1C">
              <w:rPr>
                <w:rFonts w:eastAsia="Times New Roman" w:cs="Times New Roman"/>
                <w:szCs w:val="24"/>
                <w:lang w:eastAsia="lv-LV"/>
              </w:rPr>
              <w:t>4. Finanšu līdzekļi papildu izdevumu finansēšanai (kompensējošu izdevumu samazinājumu norāda ar "+" zīmi)</w:t>
            </w:r>
          </w:p>
        </w:tc>
        <w:tc>
          <w:tcPr>
            <w:tcW w:w="872"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spacing w:before="75" w:after="75"/>
              <w:rPr>
                <w:rFonts w:eastAsia="Times New Roman" w:cs="Times New Roman"/>
                <w:strike/>
                <w:lang w:eastAsia="lv-LV"/>
              </w:rPr>
            </w:pPr>
          </w:p>
        </w:tc>
        <w:tc>
          <w:tcPr>
            <w:tcW w:w="935" w:type="pct"/>
            <w:tcBorders>
              <w:top w:val="outset" w:sz="6" w:space="0" w:color="auto"/>
              <w:left w:val="outset" w:sz="6" w:space="0" w:color="auto"/>
              <w:right w:val="outset" w:sz="6" w:space="0" w:color="auto"/>
            </w:tcBorders>
            <w:hideMark/>
          </w:tcPr>
          <w:p w:rsidR="00E810D3" w:rsidRPr="002929D5" w:rsidRDefault="00E810D3" w:rsidP="004325FC">
            <w:pPr>
              <w:rPr>
                <w:rFonts w:cs="Times New Roman"/>
                <w:strike/>
              </w:rPr>
            </w:pPr>
          </w:p>
        </w:tc>
        <w:tc>
          <w:tcPr>
            <w:tcW w:w="733" w:type="pct"/>
            <w:tcBorders>
              <w:top w:val="outset" w:sz="6" w:space="0" w:color="auto"/>
              <w:left w:val="outset" w:sz="6" w:space="0" w:color="auto"/>
              <w:right w:val="outset" w:sz="6" w:space="0" w:color="auto"/>
            </w:tcBorders>
            <w:hideMark/>
          </w:tcPr>
          <w:p w:rsidR="00E810D3" w:rsidRPr="002929D5" w:rsidRDefault="00E810D3" w:rsidP="004325FC">
            <w:pPr>
              <w:rPr>
                <w:rFonts w:cs="Times New Roman"/>
                <w:strike/>
              </w:rPr>
            </w:pPr>
          </w:p>
        </w:tc>
        <w:tc>
          <w:tcPr>
            <w:tcW w:w="740" w:type="pct"/>
            <w:tcBorders>
              <w:top w:val="outset" w:sz="6" w:space="0" w:color="auto"/>
              <w:left w:val="outset" w:sz="6" w:space="0" w:color="auto"/>
              <w:right w:val="outset" w:sz="6" w:space="0" w:color="auto"/>
            </w:tcBorders>
            <w:hideMark/>
          </w:tcPr>
          <w:p w:rsidR="00E810D3" w:rsidRPr="002929D5" w:rsidRDefault="00E810D3" w:rsidP="004325FC">
            <w:pPr>
              <w:rPr>
                <w:rFonts w:cs="Times New Roman"/>
                <w:strike/>
              </w:rPr>
            </w:pPr>
          </w:p>
        </w:tc>
        <w:tc>
          <w:tcPr>
            <w:tcW w:w="886" w:type="pct"/>
            <w:tcBorders>
              <w:top w:val="outset" w:sz="6" w:space="0" w:color="auto"/>
              <w:left w:val="outset" w:sz="6" w:space="0" w:color="auto"/>
              <w:right w:val="outset" w:sz="6" w:space="0" w:color="auto"/>
            </w:tcBorders>
            <w:hideMark/>
          </w:tcPr>
          <w:p w:rsidR="00E810D3" w:rsidRPr="002929D5" w:rsidRDefault="00E810D3" w:rsidP="004325FC">
            <w:pPr>
              <w:rPr>
                <w:rFonts w:cs="Times New Roman"/>
                <w:strike/>
              </w:rPr>
            </w:pPr>
          </w:p>
        </w:tc>
      </w:tr>
      <w:tr w:rsidR="00E810D3"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eastAsia="Times New Roman" w:cs="Times New Roman"/>
                <w:szCs w:val="24"/>
                <w:lang w:eastAsia="lv-LV"/>
              </w:rPr>
            </w:pPr>
            <w:r w:rsidRPr="006D1F1C">
              <w:rPr>
                <w:rFonts w:eastAsia="Times New Roman" w:cs="Times New Roman"/>
                <w:szCs w:val="24"/>
                <w:lang w:eastAsia="lv-LV"/>
              </w:rPr>
              <w:t xml:space="preserve">5. Precizēta </w:t>
            </w:r>
            <w:r w:rsidRPr="006D1F1C">
              <w:rPr>
                <w:rFonts w:eastAsia="Times New Roman" w:cs="Times New Roman"/>
                <w:szCs w:val="24"/>
                <w:lang w:eastAsia="lv-LV"/>
              </w:rPr>
              <w:lastRenderedPageBreak/>
              <w:t>finansiālā ietekme:</w:t>
            </w:r>
          </w:p>
        </w:tc>
        <w:tc>
          <w:tcPr>
            <w:tcW w:w="872" w:type="pct"/>
            <w:vMerge w:val="restart"/>
            <w:tcBorders>
              <w:top w:val="outset" w:sz="6" w:space="0" w:color="auto"/>
              <w:left w:val="outset" w:sz="6" w:space="0" w:color="auto"/>
              <w:bottom w:val="outset" w:sz="6" w:space="0" w:color="auto"/>
              <w:right w:val="outset" w:sz="6" w:space="0" w:color="auto"/>
            </w:tcBorders>
            <w:hideMark/>
          </w:tcPr>
          <w:p w:rsidR="00E810D3" w:rsidRPr="00B767EF" w:rsidRDefault="00E810D3" w:rsidP="004325FC">
            <w:pPr>
              <w:spacing w:before="75" w:after="75"/>
              <w:rPr>
                <w:rFonts w:eastAsia="Times New Roman" w:cs="Times New Roman"/>
                <w:lang w:eastAsia="lv-LV"/>
              </w:rPr>
            </w:pPr>
            <w:r w:rsidRPr="00B767EF">
              <w:rPr>
                <w:rFonts w:eastAsia="Times New Roman" w:cs="Times New Roman"/>
                <w:sz w:val="22"/>
                <w:lang w:eastAsia="lv-LV"/>
              </w:rPr>
              <w:lastRenderedPageBreak/>
              <w:t>X</w:t>
            </w:r>
          </w:p>
        </w:tc>
        <w:tc>
          <w:tcPr>
            <w:tcW w:w="935"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733" w:type="pct"/>
            <w:tcBorders>
              <w:top w:val="outset" w:sz="6" w:space="0" w:color="auto"/>
              <w:left w:val="outset" w:sz="6" w:space="0" w:color="auto"/>
              <w:bottom w:val="outset" w:sz="6" w:space="0" w:color="auto"/>
              <w:right w:val="outset" w:sz="6" w:space="0" w:color="auto"/>
            </w:tcBorders>
            <w:hideMark/>
          </w:tcPr>
          <w:p w:rsidR="00E810D3" w:rsidRPr="002929D5" w:rsidRDefault="00E810D3" w:rsidP="00F034AC">
            <w:pPr>
              <w:rPr>
                <w:rFonts w:eastAsia="Times New Roman" w:cs="Times New Roman"/>
                <w:b/>
                <w:strike/>
                <w:lang w:eastAsia="lv-LV"/>
              </w:rPr>
            </w:pPr>
          </w:p>
        </w:tc>
        <w:tc>
          <w:tcPr>
            <w:tcW w:w="740" w:type="pct"/>
            <w:tcBorders>
              <w:top w:val="outset" w:sz="6" w:space="0" w:color="auto"/>
              <w:left w:val="outset" w:sz="6" w:space="0" w:color="auto"/>
              <w:bottom w:val="outset" w:sz="6" w:space="0" w:color="auto"/>
              <w:right w:val="outset" w:sz="6" w:space="0" w:color="auto"/>
            </w:tcBorders>
            <w:hideMark/>
          </w:tcPr>
          <w:p w:rsidR="00E810D3" w:rsidRPr="002929D5" w:rsidRDefault="00E810D3" w:rsidP="00F034AC">
            <w:pPr>
              <w:rPr>
                <w:rFonts w:eastAsia="Times New Roman" w:cs="Times New Roman"/>
                <w:b/>
                <w:strike/>
                <w:lang w:eastAsia="lv-LV"/>
              </w:rPr>
            </w:pPr>
          </w:p>
        </w:tc>
        <w:tc>
          <w:tcPr>
            <w:tcW w:w="886" w:type="pct"/>
            <w:tcBorders>
              <w:top w:val="outset" w:sz="6" w:space="0" w:color="auto"/>
              <w:left w:val="outset" w:sz="6" w:space="0" w:color="auto"/>
              <w:bottom w:val="outset" w:sz="6" w:space="0" w:color="auto"/>
              <w:right w:val="outset" w:sz="6" w:space="0" w:color="auto"/>
            </w:tcBorders>
            <w:hideMark/>
          </w:tcPr>
          <w:p w:rsidR="00E810D3" w:rsidRPr="002929D5" w:rsidRDefault="00E810D3" w:rsidP="00F034AC">
            <w:pPr>
              <w:rPr>
                <w:rFonts w:eastAsia="Times New Roman" w:cs="Times New Roman"/>
                <w:b/>
                <w:strike/>
                <w:lang w:eastAsia="lv-LV"/>
              </w:rPr>
            </w:pPr>
          </w:p>
        </w:tc>
      </w:tr>
      <w:tr w:rsidR="00E810D3"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eastAsia="Times New Roman" w:cs="Times New Roman"/>
                <w:szCs w:val="24"/>
                <w:lang w:eastAsia="lv-LV"/>
              </w:rPr>
            </w:pPr>
            <w:r w:rsidRPr="006D1F1C">
              <w:rPr>
                <w:rFonts w:eastAsia="Times New Roman" w:cs="Times New Roman"/>
                <w:szCs w:val="24"/>
                <w:lang w:eastAsia="lv-LV"/>
              </w:rPr>
              <w:lastRenderedPageBreak/>
              <w:t>5.1. valsts pamatbudžets</w:t>
            </w:r>
          </w:p>
        </w:tc>
        <w:tc>
          <w:tcPr>
            <w:tcW w:w="872" w:type="pct"/>
            <w:vMerge/>
            <w:tcBorders>
              <w:top w:val="outset" w:sz="6" w:space="0" w:color="auto"/>
              <w:left w:val="outset" w:sz="6" w:space="0" w:color="auto"/>
              <w:bottom w:val="outset" w:sz="6" w:space="0" w:color="auto"/>
              <w:right w:val="outset" w:sz="6" w:space="0" w:color="auto"/>
            </w:tcBorders>
            <w:vAlign w:val="center"/>
            <w:hideMark/>
          </w:tcPr>
          <w:p w:rsidR="00E810D3" w:rsidRPr="002929D5" w:rsidRDefault="00E810D3" w:rsidP="004325FC">
            <w:pPr>
              <w:rPr>
                <w:rFonts w:eastAsia="Times New Roman" w:cs="Times New Roman"/>
                <w:strike/>
                <w:lang w:eastAsia="lv-LV"/>
              </w:rPr>
            </w:pPr>
          </w:p>
        </w:tc>
        <w:tc>
          <w:tcPr>
            <w:tcW w:w="935"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733" w:type="pct"/>
            <w:tcBorders>
              <w:top w:val="outset" w:sz="6" w:space="0" w:color="auto"/>
              <w:left w:val="outset" w:sz="6" w:space="0" w:color="auto"/>
              <w:bottom w:val="outset" w:sz="6" w:space="0" w:color="auto"/>
              <w:right w:val="outset" w:sz="6" w:space="0" w:color="auto"/>
            </w:tcBorders>
            <w:hideMark/>
          </w:tcPr>
          <w:p w:rsidR="00E810D3" w:rsidRPr="002929D5" w:rsidRDefault="00E810D3" w:rsidP="00F034AC">
            <w:pPr>
              <w:rPr>
                <w:strike/>
              </w:rPr>
            </w:pPr>
          </w:p>
        </w:tc>
        <w:tc>
          <w:tcPr>
            <w:tcW w:w="740" w:type="pct"/>
            <w:tcBorders>
              <w:top w:val="outset" w:sz="6" w:space="0" w:color="auto"/>
              <w:left w:val="outset" w:sz="6" w:space="0" w:color="auto"/>
              <w:bottom w:val="outset" w:sz="6" w:space="0" w:color="auto"/>
              <w:right w:val="outset" w:sz="6" w:space="0" w:color="auto"/>
            </w:tcBorders>
            <w:hideMark/>
          </w:tcPr>
          <w:p w:rsidR="00E810D3" w:rsidRPr="002929D5" w:rsidRDefault="00E810D3" w:rsidP="00F034AC">
            <w:pPr>
              <w:rPr>
                <w:strike/>
              </w:rPr>
            </w:pPr>
          </w:p>
        </w:tc>
        <w:tc>
          <w:tcPr>
            <w:tcW w:w="886" w:type="pct"/>
            <w:tcBorders>
              <w:top w:val="outset" w:sz="6" w:space="0" w:color="auto"/>
              <w:left w:val="outset" w:sz="6" w:space="0" w:color="auto"/>
              <w:bottom w:val="outset" w:sz="6" w:space="0" w:color="auto"/>
              <w:right w:val="outset" w:sz="6" w:space="0" w:color="auto"/>
            </w:tcBorders>
            <w:hideMark/>
          </w:tcPr>
          <w:p w:rsidR="00E810D3" w:rsidRPr="002929D5" w:rsidRDefault="00E810D3" w:rsidP="00F034AC">
            <w:pPr>
              <w:rPr>
                <w:strike/>
              </w:rPr>
            </w:pPr>
          </w:p>
        </w:tc>
      </w:tr>
      <w:tr w:rsidR="00E810D3"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eastAsia="Times New Roman" w:cs="Times New Roman"/>
                <w:szCs w:val="24"/>
                <w:lang w:eastAsia="lv-LV"/>
              </w:rPr>
            </w:pPr>
            <w:r w:rsidRPr="006D1F1C">
              <w:rPr>
                <w:rFonts w:eastAsia="Times New Roman" w:cs="Times New Roman"/>
                <w:szCs w:val="24"/>
                <w:lang w:eastAsia="lv-LV"/>
              </w:rPr>
              <w:t>5.2. speciālais budžets</w:t>
            </w:r>
          </w:p>
        </w:tc>
        <w:tc>
          <w:tcPr>
            <w:tcW w:w="872" w:type="pct"/>
            <w:vMerge/>
            <w:tcBorders>
              <w:top w:val="outset" w:sz="6" w:space="0" w:color="auto"/>
              <w:left w:val="outset" w:sz="6" w:space="0" w:color="auto"/>
              <w:bottom w:val="outset" w:sz="6" w:space="0" w:color="auto"/>
              <w:right w:val="outset" w:sz="6" w:space="0" w:color="auto"/>
            </w:tcBorders>
            <w:vAlign w:val="center"/>
            <w:hideMark/>
          </w:tcPr>
          <w:p w:rsidR="00E810D3" w:rsidRPr="002929D5" w:rsidRDefault="00E810D3" w:rsidP="004325FC">
            <w:pPr>
              <w:rPr>
                <w:rFonts w:eastAsia="Times New Roman" w:cs="Times New Roman"/>
                <w:strike/>
                <w:lang w:eastAsia="lv-LV"/>
              </w:rPr>
            </w:pPr>
          </w:p>
        </w:tc>
        <w:tc>
          <w:tcPr>
            <w:tcW w:w="935"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733"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740"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886"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r>
      <w:tr w:rsidR="00E810D3"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eastAsia="Times New Roman" w:cs="Times New Roman"/>
                <w:szCs w:val="24"/>
                <w:lang w:eastAsia="lv-LV"/>
              </w:rPr>
            </w:pPr>
            <w:r w:rsidRPr="006D1F1C">
              <w:rPr>
                <w:rFonts w:eastAsia="Times New Roman" w:cs="Times New Roman"/>
                <w:szCs w:val="24"/>
                <w:lang w:eastAsia="lv-LV"/>
              </w:rPr>
              <w:t xml:space="preserve">5.3. pašvaldību budžets </w:t>
            </w:r>
          </w:p>
        </w:tc>
        <w:tc>
          <w:tcPr>
            <w:tcW w:w="872" w:type="pct"/>
            <w:vMerge/>
            <w:tcBorders>
              <w:top w:val="outset" w:sz="6" w:space="0" w:color="auto"/>
              <w:left w:val="outset" w:sz="6" w:space="0" w:color="auto"/>
              <w:bottom w:val="outset" w:sz="6" w:space="0" w:color="auto"/>
              <w:right w:val="outset" w:sz="6" w:space="0" w:color="auto"/>
            </w:tcBorders>
            <w:vAlign w:val="center"/>
            <w:hideMark/>
          </w:tcPr>
          <w:p w:rsidR="00E810D3" w:rsidRPr="002929D5" w:rsidRDefault="00E810D3" w:rsidP="004325FC">
            <w:pPr>
              <w:rPr>
                <w:rFonts w:eastAsia="Times New Roman" w:cs="Times New Roman"/>
                <w:strike/>
                <w:szCs w:val="24"/>
                <w:lang w:eastAsia="lv-LV"/>
              </w:rPr>
            </w:pPr>
          </w:p>
        </w:tc>
        <w:tc>
          <w:tcPr>
            <w:tcW w:w="935"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733"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740"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c>
          <w:tcPr>
            <w:tcW w:w="886" w:type="pct"/>
            <w:tcBorders>
              <w:top w:val="outset" w:sz="6" w:space="0" w:color="auto"/>
              <w:left w:val="outset" w:sz="6" w:space="0" w:color="auto"/>
              <w:bottom w:val="outset" w:sz="6" w:space="0" w:color="auto"/>
              <w:right w:val="outset" w:sz="6" w:space="0" w:color="auto"/>
            </w:tcBorders>
            <w:hideMark/>
          </w:tcPr>
          <w:p w:rsidR="00E810D3" w:rsidRPr="002929D5" w:rsidRDefault="00E810D3" w:rsidP="004325FC">
            <w:pPr>
              <w:rPr>
                <w:rFonts w:cs="Times New Roman"/>
                <w:strike/>
              </w:rPr>
            </w:pPr>
          </w:p>
        </w:tc>
      </w:tr>
      <w:tr w:rsidR="00E810D3"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eastAsia="Times New Roman" w:cs="Times New Roman"/>
                <w:szCs w:val="24"/>
                <w:lang w:eastAsia="lv-LV"/>
              </w:rPr>
            </w:pPr>
            <w:r w:rsidRPr="006D1F1C">
              <w:rPr>
                <w:rFonts w:eastAsia="Times New Roman" w:cs="Times New Roman"/>
                <w:szCs w:val="24"/>
                <w:lang w:eastAsia="lv-LV"/>
              </w:rPr>
              <w:t>6. Detalizēts ieņēmumu un izdevumu aprēķins (ja nepieciešams, detalizētu ieņēmumu un izdevumu aprēķinu var pievienot anotācijas pielikumā):</w:t>
            </w:r>
          </w:p>
        </w:tc>
        <w:tc>
          <w:tcPr>
            <w:tcW w:w="4166"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FB7F75" w:rsidRDefault="00FB7F75" w:rsidP="00FB7F75">
            <w:pPr>
              <w:pStyle w:val="naisf"/>
              <w:spacing w:before="0" w:after="0"/>
              <w:ind w:right="141"/>
              <w:rPr>
                <w:i/>
              </w:rPr>
            </w:pPr>
            <w:r>
              <w:rPr>
                <w:i/>
              </w:rPr>
              <w:t>*</w:t>
            </w:r>
            <w:r w:rsidRPr="0099389F">
              <w:rPr>
                <w:i/>
              </w:rPr>
              <w:t xml:space="preserve"> Atbilstoši likumam „Par valsts budžetu 2016.gadam” un ņemot vērā Finanšu ministrijas (turpmāk – FM) 08.04.2016. rīkojumu Nr.17,  FM 27.04.2016. rīkojumu Nr.201, FM 20.07.2016. rīkojumu Nr.331, FM 03.10.2016. Nr.483,  08.11.2016. MK protokolu 60 61 </w:t>
            </w:r>
            <w:r w:rsidRPr="0099389F">
              <w:rPr>
                <w:noProof/>
              </w:rPr>
              <w:t xml:space="preserve">§, </w:t>
            </w:r>
            <w:r w:rsidRPr="0099389F">
              <w:rPr>
                <w:i/>
              </w:rPr>
              <w:t xml:space="preserve"> </w:t>
            </w:r>
          </w:p>
          <w:p w:rsidR="00FB7F75" w:rsidRDefault="00FB7F75" w:rsidP="00FB7F75">
            <w:pPr>
              <w:pStyle w:val="naisf"/>
              <w:spacing w:before="0" w:after="0"/>
              <w:ind w:right="141"/>
              <w:rPr>
                <w:i/>
              </w:rPr>
            </w:pPr>
            <w:r>
              <w:rPr>
                <w:i/>
              </w:rPr>
              <w:t>**</w:t>
            </w:r>
            <w:r w:rsidRPr="006F09BC">
              <w:rPr>
                <w:i/>
              </w:rPr>
              <w:t xml:space="preserve">2017.gadā izmaiņas plānotas apakšprogrammas </w:t>
            </w:r>
            <w:r w:rsidRPr="006F09BC">
              <w:rPr>
                <w:i/>
                <w:noProof/>
                <w:lang w:bidi="gu-IN"/>
              </w:rPr>
              <w:t xml:space="preserve">33.14.00 “Primārās ambulatorās veselības aprūpes nodrošināšana”, </w:t>
            </w:r>
            <w:r w:rsidRPr="006F09BC">
              <w:rPr>
                <w:i/>
                <w:color w:val="000000"/>
                <w:shd w:val="clear" w:color="auto" w:fill="FFFFFF"/>
                <w:lang w:bidi="lv-LV"/>
              </w:rPr>
              <w:t xml:space="preserve">33.15.00 „Laboratorisko izmeklējumu nodrošināšana ambulatorajā aprūpē”, 33.16.00 „Pārējo ambulatoro veselības aprūpes pakalpojumu nodrošināšana”, </w:t>
            </w:r>
            <w:r w:rsidRPr="006F09BC">
              <w:rPr>
                <w:i/>
                <w:noProof/>
                <w:lang w:bidi="gu-IN"/>
              </w:rPr>
              <w:t>33.17.00 “Neatliekamās medicīniskās palīdzības nodrošināšana stacionārās ārstniecības iestādēs”, 33.18.00 “Plānveida stacionāro veselības aprūpes pakalpojumu nodrošināšana” ietvaros.</w:t>
            </w:r>
            <w:r w:rsidRPr="0024324A">
              <w:rPr>
                <w:i/>
                <w:noProof/>
                <w:lang w:bidi="gu-IN"/>
              </w:rPr>
              <w:t xml:space="preserve"> </w:t>
            </w:r>
          </w:p>
          <w:p w:rsidR="00FB7F75" w:rsidRPr="0099389F" w:rsidRDefault="00FB7F75" w:rsidP="00FB7F75">
            <w:pPr>
              <w:widowControl w:val="0"/>
              <w:jc w:val="both"/>
              <w:rPr>
                <w:rFonts w:eastAsia="Times New Roman" w:cs="Times New Roman"/>
                <w:color w:val="000000"/>
                <w:szCs w:val="24"/>
                <w:shd w:val="clear" w:color="auto" w:fill="FFFFFF"/>
                <w:lang w:eastAsia="lv-LV" w:bidi="lv-LV"/>
              </w:rPr>
            </w:pPr>
          </w:p>
          <w:p w:rsidR="00FB7F75" w:rsidRPr="0099389F" w:rsidRDefault="00FB7F75" w:rsidP="00FB7F75">
            <w:pPr>
              <w:ind w:right="140"/>
              <w:jc w:val="both"/>
              <w:rPr>
                <w:rFonts w:eastAsia="Times New Roman" w:cs="Times New Roman"/>
                <w:noProof/>
                <w:szCs w:val="24"/>
                <w:lang w:bidi="gu-IN"/>
              </w:rPr>
            </w:pPr>
            <w:r>
              <w:rPr>
                <w:rFonts w:eastAsia="Times New Roman" w:cs="Times New Roman"/>
                <w:noProof/>
                <w:szCs w:val="24"/>
                <w:lang w:bidi="gu-IN"/>
              </w:rPr>
              <w:t xml:space="preserve">  </w:t>
            </w:r>
            <w:r w:rsidRPr="0099389F">
              <w:rPr>
                <w:rFonts w:eastAsia="Times New Roman" w:cs="Times New Roman"/>
                <w:noProof/>
                <w:szCs w:val="24"/>
                <w:lang w:bidi="gu-IN"/>
              </w:rPr>
              <w:t>Veselības aprūpes pakalpojumu apmaksa tiek nodrošināta Veselības ministrijas valsts pamatbudžeta programmas 33.00.00 „Veselības aprūpes nodrošināšana” 2016.gadā apakš</w:t>
            </w:r>
            <w:r w:rsidRPr="0099389F">
              <w:rPr>
                <w:rFonts w:eastAsia="Times New Roman" w:cs="Times New Roman"/>
                <w:noProof/>
                <w:szCs w:val="24"/>
                <w:lang w:bidi="gu-IN"/>
              </w:rPr>
              <w:softHyphen/>
              <w:t>programmas 33.01.00 „Ārstniecība” ietvaros (administrē Nacionālais veselības dienests).</w:t>
            </w:r>
          </w:p>
          <w:p w:rsidR="00FB7F75" w:rsidRPr="0099389F" w:rsidRDefault="00FB7F75" w:rsidP="00FB7F75">
            <w:pPr>
              <w:widowControl w:val="0"/>
              <w:ind w:firstLine="209"/>
              <w:jc w:val="both"/>
              <w:rPr>
                <w:rFonts w:eastAsia="Times New Roman" w:cs="Times New Roman"/>
                <w:color w:val="000000"/>
                <w:szCs w:val="24"/>
                <w:u w:val="single"/>
                <w:shd w:val="clear" w:color="auto" w:fill="FFFFFF"/>
                <w:lang w:eastAsia="lv-LV" w:bidi="lv-LV"/>
              </w:rPr>
            </w:pPr>
          </w:p>
          <w:p w:rsidR="00FB7F75" w:rsidRPr="0099389F" w:rsidRDefault="00FB7F75" w:rsidP="00FB7F75">
            <w:pPr>
              <w:widowControl w:val="0"/>
              <w:ind w:firstLine="209"/>
              <w:jc w:val="both"/>
              <w:rPr>
                <w:rFonts w:eastAsia="Times New Roman" w:cs="Times New Roman"/>
                <w:color w:val="000000"/>
                <w:szCs w:val="24"/>
                <w:shd w:val="clear" w:color="auto" w:fill="FFFFFF"/>
                <w:lang w:eastAsia="lv-LV" w:bidi="lv-LV"/>
              </w:rPr>
            </w:pPr>
            <w:r w:rsidRPr="0099389F">
              <w:rPr>
                <w:rFonts w:eastAsia="Times New Roman" w:cs="Times New Roman"/>
                <w:color w:val="000000"/>
                <w:szCs w:val="24"/>
                <w:u w:val="single"/>
                <w:shd w:val="clear" w:color="auto" w:fill="FFFFFF"/>
                <w:lang w:eastAsia="lv-LV" w:bidi="lv-LV"/>
              </w:rPr>
              <w:t>2016.gadā</w:t>
            </w:r>
            <w:r w:rsidRPr="0099389F">
              <w:rPr>
                <w:rFonts w:eastAsia="Times New Roman" w:cs="Times New Roman"/>
                <w:color w:val="000000"/>
                <w:szCs w:val="24"/>
                <w:shd w:val="clear" w:color="auto" w:fill="FFFFFF"/>
                <w:lang w:eastAsia="lv-LV" w:bidi="lv-LV"/>
              </w:rPr>
              <w:t xml:space="preserve"> Veselības ministrijas (Nacionālā veselības dienests) budžeta programmas 33.00.00 „Veselības aprūpes nodrošināšana” apakšprogrammā: 33.01.00 „Ārstniecība”:</w:t>
            </w:r>
          </w:p>
          <w:p w:rsidR="00FB7F75" w:rsidRPr="0099389F" w:rsidRDefault="00FB7F75" w:rsidP="00FB7F75">
            <w:pPr>
              <w:ind w:right="142"/>
              <w:rPr>
                <w:rFonts w:eastAsia="Times New Roman" w:cs="Times New Roman"/>
                <w:noProof/>
                <w:szCs w:val="24"/>
                <w:lang w:eastAsia="lv-LV"/>
              </w:rPr>
            </w:pPr>
            <w:r w:rsidRPr="0099389F">
              <w:rPr>
                <w:rFonts w:eastAsia="Times New Roman" w:cs="Times New Roman"/>
                <w:noProof/>
                <w:szCs w:val="24"/>
                <w:lang w:eastAsia="lv-LV"/>
              </w:rPr>
              <w:t xml:space="preserve">Resursi izdevumu segšanai </w:t>
            </w:r>
            <w:r w:rsidRPr="0099389F">
              <w:rPr>
                <w:rFonts w:eastAsia="Times New Roman" w:cs="Times New Roman"/>
                <w:color w:val="000000"/>
                <w:szCs w:val="24"/>
                <w:shd w:val="clear" w:color="auto" w:fill="FFFFFF"/>
                <w:lang w:eastAsia="lv-LV" w:bidi="lv-LV"/>
              </w:rPr>
              <w:t xml:space="preserve">520 140 680 </w:t>
            </w:r>
            <w:r w:rsidRPr="0099389F">
              <w:rPr>
                <w:rFonts w:eastAsia="Times New Roman" w:cs="Times New Roman"/>
                <w:i/>
                <w:noProof/>
                <w:szCs w:val="24"/>
                <w:lang w:eastAsia="lv-LV"/>
              </w:rPr>
              <w:t>euro</w:t>
            </w:r>
          </w:p>
          <w:p w:rsidR="00FB7F75" w:rsidRPr="0099389F" w:rsidRDefault="00FB7F75" w:rsidP="00FB7F75">
            <w:pPr>
              <w:tabs>
                <w:tab w:val="right" w:pos="259"/>
              </w:tabs>
              <w:ind w:left="259" w:right="142"/>
              <w:rPr>
                <w:rFonts w:eastAsia="Times New Roman" w:cs="Times New Roman"/>
                <w:noProof/>
                <w:szCs w:val="24"/>
                <w:lang w:eastAsia="lv-LV"/>
              </w:rPr>
            </w:pPr>
            <w:r w:rsidRPr="0099389F">
              <w:rPr>
                <w:rFonts w:eastAsia="Times New Roman" w:cs="Times New Roman"/>
                <w:noProof/>
                <w:szCs w:val="24"/>
                <w:lang w:eastAsia="lv-LV"/>
              </w:rPr>
              <w:t xml:space="preserve">ieņēmumi no maksas pakalpojumiem </w:t>
            </w:r>
            <w:r w:rsidRPr="0099389F">
              <w:rPr>
                <w:rFonts w:eastAsia="Times New Roman" w:cs="Times New Roman"/>
                <w:color w:val="000000"/>
                <w:szCs w:val="24"/>
                <w:shd w:val="clear" w:color="auto" w:fill="FFFFFF"/>
                <w:lang w:eastAsia="lv-LV" w:bidi="lv-LV"/>
              </w:rPr>
              <w:t xml:space="preserve">1 087 074 </w:t>
            </w:r>
            <w:r w:rsidRPr="0099389F">
              <w:rPr>
                <w:rFonts w:eastAsia="Times New Roman" w:cs="Times New Roman"/>
                <w:i/>
                <w:noProof/>
                <w:szCs w:val="24"/>
                <w:lang w:eastAsia="lv-LV"/>
              </w:rPr>
              <w:t>euro</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 xml:space="preserve">dotācija no vispārējiem ieņēmumiem </w:t>
            </w:r>
            <w:r w:rsidRPr="0099389F">
              <w:rPr>
                <w:rFonts w:eastAsia="Times New Roman" w:cs="Times New Roman"/>
                <w:color w:val="000000"/>
                <w:szCs w:val="24"/>
                <w:shd w:val="clear" w:color="auto" w:fill="FFFFFF"/>
                <w:lang w:eastAsia="lv-LV" w:bidi="lv-LV"/>
              </w:rPr>
              <w:t xml:space="preserve">519 053 606 </w:t>
            </w:r>
            <w:r w:rsidRPr="0099389F">
              <w:rPr>
                <w:rFonts w:eastAsia="Times New Roman" w:cs="Times New Roman"/>
                <w:i/>
                <w:noProof/>
                <w:szCs w:val="24"/>
                <w:lang w:eastAsia="lv-LV"/>
              </w:rPr>
              <w:t>euro</w:t>
            </w:r>
            <w:r w:rsidRPr="0099389F">
              <w:rPr>
                <w:rFonts w:eastAsia="Times New Roman" w:cs="Times New Roman"/>
                <w:noProof/>
                <w:szCs w:val="24"/>
                <w:lang w:eastAsia="lv-LV"/>
              </w:rPr>
              <w:t xml:space="preserve"> </w:t>
            </w:r>
          </w:p>
          <w:p w:rsidR="00FB7F75" w:rsidRPr="0099389F" w:rsidRDefault="00FB7F75" w:rsidP="00FB7F75">
            <w:pPr>
              <w:ind w:right="142"/>
              <w:rPr>
                <w:rFonts w:eastAsia="Times New Roman" w:cs="Times New Roman"/>
                <w:noProof/>
                <w:szCs w:val="24"/>
                <w:lang w:eastAsia="lv-LV"/>
              </w:rPr>
            </w:pPr>
            <w:r w:rsidRPr="0099389F">
              <w:rPr>
                <w:rFonts w:eastAsia="Times New Roman" w:cs="Times New Roman"/>
                <w:noProof/>
                <w:szCs w:val="24"/>
                <w:lang w:eastAsia="lv-LV"/>
              </w:rPr>
              <w:t xml:space="preserve">Izdevumi </w:t>
            </w:r>
            <w:r w:rsidRPr="0099389F">
              <w:rPr>
                <w:rFonts w:eastAsia="Times New Roman" w:cs="Times New Roman"/>
                <w:color w:val="000000"/>
                <w:szCs w:val="24"/>
                <w:shd w:val="clear" w:color="auto" w:fill="FFFFFF"/>
                <w:lang w:eastAsia="lv-LV" w:bidi="lv-LV"/>
              </w:rPr>
              <w:t xml:space="preserve">520 662 115 </w:t>
            </w:r>
            <w:r w:rsidRPr="0099389F">
              <w:rPr>
                <w:rFonts w:eastAsia="Times New Roman" w:cs="Times New Roman"/>
                <w:i/>
                <w:noProof/>
                <w:szCs w:val="24"/>
                <w:lang w:eastAsia="lv-LV"/>
              </w:rPr>
              <w:t>euro</w:t>
            </w:r>
            <w:r w:rsidRPr="0099389F">
              <w:rPr>
                <w:rFonts w:eastAsia="Times New Roman" w:cs="Times New Roman"/>
                <w:noProof/>
                <w:szCs w:val="24"/>
                <w:lang w:eastAsia="lv-LV"/>
              </w:rPr>
              <w:t>, tai skaitā:</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 xml:space="preserve">subsīdijas un dotācijas </w:t>
            </w:r>
            <w:r w:rsidRPr="0099389F">
              <w:rPr>
                <w:rFonts w:eastAsia="Times New Roman" w:cs="Times New Roman"/>
                <w:color w:val="000000"/>
                <w:szCs w:val="24"/>
                <w:shd w:val="clear" w:color="auto" w:fill="FFFFFF"/>
                <w:lang w:eastAsia="lv-LV" w:bidi="lv-LV"/>
              </w:rPr>
              <w:t xml:space="preserve">518 978 438 </w:t>
            </w:r>
            <w:r w:rsidRPr="0099389F">
              <w:rPr>
                <w:rFonts w:eastAsia="Times New Roman" w:cs="Times New Roman"/>
                <w:i/>
                <w:noProof/>
                <w:szCs w:val="24"/>
                <w:lang w:eastAsia="lv-LV"/>
              </w:rPr>
              <w:t>euro</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valsts budžeta uzturēšanas izdevumu transferti pašvaldībām</w:t>
            </w:r>
          </w:p>
          <w:p w:rsidR="00FB7F75" w:rsidRPr="0099389F" w:rsidRDefault="00FB7F75" w:rsidP="00FB7F75">
            <w:pPr>
              <w:ind w:right="142" w:firstLine="259"/>
              <w:rPr>
                <w:rFonts w:eastAsia="Times New Roman" w:cs="Times New Roman"/>
                <w:i/>
                <w:noProof/>
                <w:szCs w:val="24"/>
                <w:lang w:eastAsia="lv-LV"/>
              </w:rPr>
            </w:pPr>
            <w:r w:rsidRPr="0099389F">
              <w:rPr>
                <w:rFonts w:eastAsia="Times New Roman" w:cs="Times New Roman"/>
                <w:noProof/>
                <w:szCs w:val="24"/>
                <w:lang w:eastAsia="lv-LV"/>
              </w:rPr>
              <w:t xml:space="preserve">noteiktam mērķim </w:t>
            </w:r>
            <w:r w:rsidRPr="0099389F">
              <w:rPr>
                <w:rFonts w:eastAsia="Times New Roman" w:cs="Times New Roman"/>
                <w:color w:val="000000"/>
                <w:szCs w:val="24"/>
                <w:shd w:val="clear" w:color="auto" w:fill="FFFFFF"/>
                <w:lang w:eastAsia="lv-LV" w:bidi="lv-LV"/>
              </w:rPr>
              <w:t xml:space="preserve">1 678 118 </w:t>
            </w:r>
            <w:r w:rsidRPr="0099389F">
              <w:rPr>
                <w:rFonts w:eastAsia="Times New Roman" w:cs="Times New Roman"/>
                <w:i/>
                <w:noProof/>
                <w:szCs w:val="24"/>
                <w:lang w:eastAsia="lv-LV"/>
              </w:rPr>
              <w:t>euro</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Valsts budžeta transferti valsts budžeta daļēji finansētām atvasinātām publiskām personām un budžeta nefinansētām iestādēm noteiktam mērķim 5 559 euro</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 xml:space="preserve">Finansiālā bilance -521 </w:t>
            </w:r>
            <w:r w:rsidRPr="0099389F">
              <w:rPr>
                <w:rFonts w:eastAsia="Times New Roman" w:cs="Times New Roman"/>
                <w:color w:val="000000"/>
                <w:szCs w:val="24"/>
                <w:shd w:val="clear" w:color="auto" w:fill="FFFFFF"/>
                <w:lang w:eastAsia="lv-LV" w:bidi="lv-LV"/>
              </w:rPr>
              <w:t xml:space="preserve">435 </w:t>
            </w:r>
            <w:r w:rsidRPr="0099389F">
              <w:rPr>
                <w:rFonts w:eastAsia="Times New Roman" w:cs="Times New Roman"/>
                <w:i/>
                <w:noProof/>
                <w:szCs w:val="24"/>
                <w:lang w:eastAsia="lv-LV"/>
              </w:rPr>
              <w:t>euro</w:t>
            </w:r>
          </w:p>
          <w:p w:rsidR="00FB7F75" w:rsidRPr="0099389F" w:rsidRDefault="00FB7F75" w:rsidP="00FB7F75">
            <w:pPr>
              <w:ind w:right="142" w:firstLine="259"/>
              <w:rPr>
                <w:rFonts w:cs="Times New Roman"/>
                <w:szCs w:val="24"/>
                <w:lang w:eastAsia="lv-LV"/>
              </w:rPr>
            </w:pPr>
          </w:p>
          <w:p w:rsidR="00FB7F75" w:rsidRPr="0099389F" w:rsidRDefault="00FB7F75" w:rsidP="00FB7F75">
            <w:pPr>
              <w:ind w:right="142" w:firstLine="344"/>
              <w:jc w:val="both"/>
              <w:rPr>
                <w:rFonts w:eastAsia="Times New Roman" w:cs="Times New Roman"/>
                <w:noProof/>
                <w:szCs w:val="24"/>
                <w:lang w:bidi="gu-IN"/>
              </w:rPr>
            </w:pPr>
            <w:r w:rsidRPr="0099389F">
              <w:rPr>
                <w:rFonts w:eastAsia="Times New Roman" w:cs="Times New Roman"/>
                <w:noProof/>
                <w:szCs w:val="24"/>
                <w:lang w:eastAsia="lv-LV"/>
              </w:rPr>
              <w:t xml:space="preserve">2017.gadā un turpmāk </w:t>
            </w:r>
            <w:r w:rsidRPr="0099389F">
              <w:rPr>
                <w:rFonts w:eastAsia="Times New Roman" w:cs="Times New Roman"/>
                <w:noProof/>
                <w:szCs w:val="24"/>
                <w:lang w:bidi="gu-IN"/>
              </w:rPr>
              <w:t>veselības aprūpes pakalpojumu apmaksa tiek nodrošināta šādu apakšprogrammu ietvaros (administrē Nacionālais veselības dienests) : apakš</w:t>
            </w:r>
            <w:r w:rsidRPr="0099389F">
              <w:rPr>
                <w:rFonts w:eastAsia="Times New Roman" w:cs="Times New Roman"/>
                <w:noProof/>
                <w:szCs w:val="24"/>
                <w:lang w:bidi="gu-IN"/>
              </w:rPr>
              <w:softHyphen/>
              <w:t>programmas 33.12.00 „</w:t>
            </w:r>
            <w:r w:rsidRPr="0099389F">
              <w:rPr>
                <w:rFonts w:cs="Times New Roman"/>
                <w:szCs w:val="24"/>
              </w:rPr>
              <w:t xml:space="preserve"> </w:t>
            </w:r>
            <w:r w:rsidRPr="0099389F">
              <w:rPr>
                <w:rFonts w:eastAsia="Times New Roman" w:cs="Times New Roman"/>
                <w:noProof/>
                <w:szCs w:val="24"/>
                <w:lang w:bidi="gu-IN"/>
              </w:rPr>
              <w:t xml:space="preserve">Reto slimību medikamentozā ārstēšana bērniem”, 33.14.00 “Primārās ambulatorās veselības aprūpes nodrošināšana”,  33.15.00 “Laboratorisko izmeklējumu nodrošināšana ambulatorajā aprūpē”, 33.16.00 “Pārējo ambulatoro veselības aprūpes pakalpojumu nodrošināšana”, 33.17.00 “Neatliekamās medicīniskās palīdzības nodrošināšana stacionārās ārstniecības iestādēs”, 33.18.00 “Plānveida stacionāro veselības aprūpes pakalpojumu nodrošināšana”, 33.19.00 “Starptautiskie norēķini par sniegtajiem </w:t>
            </w:r>
            <w:r w:rsidRPr="0099389F">
              <w:rPr>
                <w:rFonts w:eastAsia="Times New Roman" w:cs="Times New Roman"/>
                <w:noProof/>
                <w:szCs w:val="24"/>
                <w:lang w:bidi="gu-IN"/>
              </w:rPr>
              <w:lastRenderedPageBreak/>
              <w:t xml:space="preserve">veselības aprūpes pakalpojumiem”. </w:t>
            </w:r>
          </w:p>
          <w:p w:rsidR="00FB7F75" w:rsidRPr="0099389F" w:rsidRDefault="00FB7F75" w:rsidP="00FB7F75">
            <w:pPr>
              <w:ind w:right="142" w:firstLine="344"/>
              <w:jc w:val="both"/>
              <w:rPr>
                <w:rFonts w:eastAsia="Times New Roman" w:cs="Times New Roman"/>
                <w:noProof/>
                <w:szCs w:val="24"/>
                <w:lang w:bidi="gu-IN"/>
              </w:rPr>
            </w:pPr>
          </w:p>
          <w:p w:rsidR="00FB7F75" w:rsidRPr="006D6F5F" w:rsidRDefault="00FB7F75" w:rsidP="00FB7F75">
            <w:pPr>
              <w:spacing w:before="120"/>
              <w:ind w:right="142"/>
              <w:jc w:val="both"/>
              <w:rPr>
                <w:rFonts w:cs="Times New Roman"/>
                <w:noProof/>
                <w:szCs w:val="24"/>
                <w:lang w:bidi="gu-IN"/>
              </w:rPr>
            </w:pPr>
            <w:r w:rsidRPr="0099389F">
              <w:rPr>
                <w:rFonts w:eastAsia="Times New Roman" w:cs="Times New Roman"/>
                <w:noProof/>
                <w:szCs w:val="24"/>
                <w:lang w:bidi="gu-IN"/>
              </w:rPr>
              <w:t xml:space="preserve"> </w:t>
            </w:r>
            <w:r w:rsidRPr="0099389F">
              <w:rPr>
                <w:rFonts w:cs="Times New Roman"/>
                <w:noProof/>
                <w:szCs w:val="24"/>
                <w:u w:val="single"/>
              </w:rPr>
              <w:t xml:space="preserve">Atbilstoši 2016.gada 23 un 24.novembrī Saeimas ārkārtas sēdē galīgajā lasījumā pieņemtajam likumam „Par valsts budžetu 2017.gadam” un likumam </w:t>
            </w:r>
            <w:r w:rsidRPr="0099389F">
              <w:rPr>
                <w:rFonts w:cs="Times New Roman"/>
                <w:szCs w:val="24"/>
                <w:u w:val="single"/>
              </w:rPr>
              <w:t xml:space="preserve">„Par </w:t>
            </w:r>
            <w:r w:rsidRPr="006D6F5F">
              <w:rPr>
                <w:rFonts w:cs="Times New Roman"/>
                <w:szCs w:val="24"/>
                <w:u w:val="single"/>
              </w:rPr>
              <w:t>vidēja termiņa budžeta ietvaru 2017., 2018. un 2019.gadam”</w:t>
            </w:r>
            <w:r w:rsidRPr="006D6F5F">
              <w:rPr>
                <w:rFonts w:cs="Times New Roman"/>
                <w:noProof/>
                <w:szCs w:val="24"/>
                <w:lang w:bidi="gu-IN"/>
              </w:rPr>
              <w:t xml:space="preserve"> finansējums  </w:t>
            </w:r>
            <w:r w:rsidRPr="006D6F5F">
              <w:rPr>
                <w:rFonts w:eastAsia="Times New Roman" w:cs="Times New Roman"/>
                <w:noProof/>
                <w:szCs w:val="24"/>
                <w:u w:val="single"/>
                <w:lang w:eastAsia="lv-LV"/>
              </w:rPr>
              <w:t xml:space="preserve">2017.gadā, 2018.gadā un 2019.gadā </w:t>
            </w:r>
            <w:r w:rsidRPr="006D6F5F">
              <w:rPr>
                <w:rFonts w:cs="Times New Roman"/>
                <w:noProof/>
                <w:szCs w:val="24"/>
                <w:lang w:bidi="gu-IN"/>
              </w:rPr>
              <w:t>valsts pamatbudžeta programmas 33.00.00 „Veselības aprūpes nodrošināšana” apakš</w:t>
            </w:r>
            <w:r w:rsidRPr="006D6F5F">
              <w:rPr>
                <w:rFonts w:cs="Times New Roman"/>
                <w:noProof/>
                <w:szCs w:val="24"/>
                <w:lang w:bidi="gu-IN"/>
              </w:rPr>
              <w:softHyphen/>
              <w:t xml:space="preserve">programmā: </w:t>
            </w:r>
          </w:p>
          <w:p w:rsidR="00FB7F75" w:rsidRPr="006D6F5F" w:rsidRDefault="00FB7F75" w:rsidP="00FB7F75">
            <w:pPr>
              <w:ind w:right="142"/>
              <w:jc w:val="both"/>
              <w:rPr>
                <w:rFonts w:eastAsia="Times New Roman" w:cs="Times New Roman"/>
                <w:noProof/>
                <w:szCs w:val="24"/>
                <w:lang w:bidi="gu-IN"/>
              </w:rPr>
            </w:pPr>
            <w:r w:rsidRPr="006D6F5F">
              <w:rPr>
                <w:rFonts w:eastAsia="Times New Roman" w:cs="Times New Roman"/>
                <w:noProof/>
                <w:szCs w:val="24"/>
                <w:lang w:bidi="gu-IN"/>
              </w:rPr>
              <w:t>33.12.00 „</w:t>
            </w:r>
            <w:r w:rsidRPr="006D6F5F">
              <w:rPr>
                <w:rFonts w:cs="Times New Roman"/>
                <w:szCs w:val="24"/>
              </w:rPr>
              <w:t xml:space="preserve"> </w:t>
            </w:r>
            <w:r w:rsidRPr="006D6F5F">
              <w:rPr>
                <w:rFonts w:eastAsia="Times New Roman" w:cs="Times New Roman"/>
                <w:noProof/>
                <w:szCs w:val="24"/>
                <w:lang w:bidi="gu-IN"/>
              </w:rPr>
              <w:t xml:space="preserve">Reto slimību medikamentozā ārstēšana bērniem”: </w:t>
            </w:r>
          </w:p>
          <w:p w:rsidR="00FB7F75" w:rsidRPr="006D6F5F" w:rsidRDefault="00FB7F75" w:rsidP="00FB7F75">
            <w:pPr>
              <w:ind w:right="142"/>
              <w:rPr>
                <w:rFonts w:eastAsia="Times New Roman" w:cs="Times New Roman"/>
                <w:noProof/>
                <w:szCs w:val="24"/>
                <w:lang w:eastAsia="lv-LV"/>
              </w:rPr>
            </w:pPr>
            <w:r w:rsidRPr="006D6F5F">
              <w:rPr>
                <w:rFonts w:eastAsia="Times New Roman" w:cs="Times New Roman"/>
                <w:noProof/>
                <w:szCs w:val="24"/>
                <w:lang w:eastAsia="lv-LV"/>
              </w:rPr>
              <w:t xml:space="preserve">Resursi izdevumu segšanai </w:t>
            </w:r>
            <w:r w:rsidRPr="006D6F5F">
              <w:rPr>
                <w:rFonts w:eastAsia="Times New Roman" w:cs="Times New Roman"/>
                <w:szCs w:val="24"/>
                <w:shd w:val="clear" w:color="auto" w:fill="FFFFFF"/>
                <w:lang w:eastAsia="lv-LV" w:bidi="lv-LV"/>
              </w:rPr>
              <w:t xml:space="preserve">1 990 076 </w:t>
            </w:r>
            <w:r w:rsidRPr="006D6F5F">
              <w:rPr>
                <w:rFonts w:eastAsia="Times New Roman" w:cs="Times New Roman"/>
                <w:i/>
                <w:noProof/>
                <w:szCs w:val="24"/>
                <w:lang w:eastAsia="lv-LV"/>
              </w:rPr>
              <w:t>euro</w:t>
            </w:r>
          </w:p>
          <w:p w:rsidR="00FB7F75" w:rsidRPr="006D6F5F" w:rsidRDefault="00FB7F75" w:rsidP="00FB7F75">
            <w:pPr>
              <w:ind w:right="142" w:firstLine="259"/>
              <w:rPr>
                <w:rFonts w:eastAsia="Times New Roman" w:cs="Times New Roman"/>
                <w:noProof/>
                <w:szCs w:val="24"/>
                <w:lang w:eastAsia="lv-LV"/>
              </w:rPr>
            </w:pPr>
            <w:r w:rsidRPr="006D6F5F">
              <w:rPr>
                <w:rFonts w:eastAsia="Times New Roman" w:cs="Times New Roman"/>
                <w:noProof/>
                <w:szCs w:val="24"/>
                <w:lang w:eastAsia="lv-LV"/>
              </w:rPr>
              <w:t xml:space="preserve">dotācija no vispārējiem ieņēmumiem </w:t>
            </w:r>
            <w:r w:rsidRPr="006D6F5F">
              <w:rPr>
                <w:rFonts w:eastAsia="Times New Roman" w:cs="Times New Roman"/>
                <w:szCs w:val="24"/>
                <w:shd w:val="clear" w:color="auto" w:fill="FFFFFF"/>
                <w:lang w:eastAsia="lv-LV" w:bidi="lv-LV"/>
              </w:rPr>
              <w:t xml:space="preserve">1 990 076 </w:t>
            </w:r>
            <w:r w:rsidRPr="006D6F5F">
              <w:rPr>
                <w:rFonts w:eastAsia="Times New Roman" w:cs="Times New Roman"/>
                <w:i/>
                <w:noProof/>
                <w:szCs w:val="24"/>
                <w:lang w:eastAsia="lv-LV"/>
              </w:rPr>
              <w:t>euro</w:t>
            </w:r>
            <w:r w:rsidRPr="006D6F5F">
              <w:rPr>
                <w:rFonts w:eastAsia="Times New Roman" w:cs="Times New Roman"/>
                <w:noProof/>
                <w:szCs w:val="24"/>
                <w:lang w:eastAsia="lv-LV"/>
              </w:rPr>
              <w:t xml:space="preserve"> </w:t>
            </w:r>
          </w:p>
          <w:p w:rsidR="00FB7F75" w:rsidRPr="006D6F5F" w:rsidRDefault="00FB7F75" w:rsidP="00FB7F75">
            <w:pPr>
              <w:ind w:right="142"/>
              <w:rPr>
                <w:rFonts w:eastAsia="Times New Roman" w:cs="Times New Roman"/>
                <w:noProof/>
                <w:szCs w:val="24"/>
                <w:lang w:eastAsia="lv-LV"/>
              </w:rPr>
            </w:pPr>
            <w:r w:rsidRPr="006D6F5F">
              <w:rPr>
                <w:rFonts w:eastAsia="Times New Roman" w:cs="Times New Roman"/>
                <w:noProof/>
                <w:szCs w:val="24"/>
                <w:lang w:eastAsia="lv-LV"/>
              </w:rPr>
              <w:t xml:space="preserve">Izdevumi </w:t>
            </w:r>
            <w:r w:rsidRPr="006D6F5F">
              <w:rPr>
                <w:rFonts w:eastAsia="Times New Roman" w:cs="Times New Roman"/>
                <w:szCs w:val="24"/>
                <w:shd w:val="clear" w:color="auto" w:fill="FFFFFF"/>
                <w:lang w:eastAsia="lv-LV" w:bidi="lv-LV"/>
              </w:rPr>
              <w:t xml:space="preserve">1 990 076  </w:t>
            </w:r>
            <w:r w:rsidRPr="006D6F5F">
              <w:rPr>
                <w:rFonts w:eastAsia="Times New Roman" w:cs="Times New Roman"/>
                <w:i/>
                <w:noProof/>
                <w:szCs w:val="24"/>
                <w:lang w:eastAsia="lv-LV"/>
              </w:rPr>
              <w:t>euro</w:t>
            </w:r>
            <w:r w:rsidRPr="006D6F5F">
              <w:rPr>
                <w:rFonts w:eastAsia="Times New Roman" w:cs="Times New Roman"/>
                <w:noProof/>
                <w:szCs w:val="24"/>
                <w:lang w:eastAsia="lv-LV"/>
              </w:rPr>
              <w:t>, tai skaitā:</w:t>
            </w:r>
          </w:p>
          <w:p w:rsidR="00FB7F75" w:rsidRPr="006D6F5F" w:rsidRDefault="00FB7F75" w:rsidP="00FB7F75">
            <w:pPr>
              <w:ind w:right="142" w:firstLine="259"/>
              <w:rPr>
                <w:rFonts w:eastAsia="Times New Roman" w:cs="Times New Roman"/>
                <w:noProof/>
                <w:szCs w:val="24"/>
                <w:lang w:eastAsia="lv-LV"/>
              </w:rPr>
            </w:pPr>
            <w:r w:rsidRPr="006D6F5F">
              <w:rPr>
                <w:rFonts w:eastAsia="Times New Roman" w:cs="Times New Roman"/>
                <w:noProof/>
                <w:szCs w:val="24"/>
                <w:lang w:eastAsia="lv-LV"/>
              </w:rPr>
              <w:t xml:space="preserve">subsīdijas un dotācijas </w:t>
            </w:r>
            <w:r w:rsidRPr="006D6F5F">
              <w:rPr>
                <w:rFonts w:eastAsia="Times New Roman" w:cs="Times New Roman"/>
                <w:szCs w:val="24"/>
                <w:shd w:val="clear" w:color="auto" w:fill="FFFFFF"/>
                <w:lang w:eastAsia="lv-LV" w:bidi="lv-LV"/>
              </w:rPr>
              <w:t xml:space="preserve">1 990 076 </w:t>
            </w:r>
            <w:r w:rsidRPr="006D6F5F">
              <w:rPr>
                <w:rFonts w:eastAsia="Times New Roman" w:cs="Times New Roman"/>
                <w:i/>
                <w:noProof/>
                <w:szCs w:val="24"/>
                <w:lang w:eastAsia="lv-LV"/>
              </w:rPr>
              <w:t>euro</w:t>
            </w:r>
          </w:p>
          <w:p w:rsidR="00FB7F75" w:rsidRPr="0099389F" w:rsidRDefault="00FB7F75" w:rsidP="00FB7F75">
            <w:pPr>
              <w:ind w:right="142"/>
              <w:jc w:val="both"/>
              <w:rPr>
                <w:rFonts w:eastAsia="Times New Roman" w:cs="Times New Roman"/>
                <w:noProof/>
                <w:szCs w:val="24"/>
                <w:lang w:bidi="gu-IN"/>
              </w:rPr>
            </w:pPr>
            <w:r w:rsidRPr="0099389F">
              <w:rPr>
                <w:rFonts w:eastAsia="Times New Roman" w:cs="Times New Roman"/>
                <w:noProof/>
                <w:szCs w:val="24"/>
                <w:lang w:bidi="gu-IN"/>
              </w:rPr>
              <w:t>33.14.00 “Primārās ambulatorās veselības aprūpes nodrošināšana”</w:t>
            </w:r>
          </w:p>
          <w:p w:rsidR="00FB7F75" w:rsidRPr="0099389F" w:rsidRDefault="00FB7F75" w:rsidP="00FB7F75">
            <w:pPr>
              <w:ind w:right="142"/>
              <w:rPr>
                <w:rFonts w:eastAsia="Times New Roman" w:cs="Times New Roman"/>
                <w:noProof/>
                <w:szCs w:val="24"/>
                <w:lang w:eastAsia="lv-LV"/>
              </w:rPr>
            </w:pPr>
            <w:r w:rsidRPr="0099389F">
              <w:rPr>
                <w:rFonts w:eastAsia="Times New Roman" w:cs="Times New Roman"/>
                <w:noProof/>
                <w:szCs w:val="24"/>
                <w:lang w:eastAsia="lv-LV"/>
              </w:rPr>
              <w:t xml:space="preserve">Resursi izdevumu segšanai </w:t>
            </w:r>
            <w:r w:rsidRPr="0099389F">
              <w:rPr>
                <w:rFonts w:eastAsia="Times New Roman" w:cs="Times New Roman"/>
                <w:szCs w:val="24"/>
                <w:shd w:val="clear" w:color="auto" w:fill="FFFFFF"/>
                <w:lang w:eastAsia="lv-LV" w:bidi="lv-LV"/>
              </w:rPr>
              <w:t xml:space="preserve">86 941 355 </w:t>
            </w:r>
            <w:r w:rsidRPr="0099389F">
              <w:rPr>
                <w:rFonts w:eastAsia="Times New Roman" w:cs="Times New Roman"/>
                <w:i/>
                <w:noProof/>
                <w:szCs w:val="24"/>
                <w:lang w:eastAsia="lv-LV"/>
              </w:rPr>
              <w:t>euro</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ieņēmumi no maksas pakalpojumiem 13 304</w:t>
            </w:r>
            <w:r w:rsidRPr="0099389F">
              <w:rPr>
                <w:rFonts w:eastAsia="Times New Roman" w:cs="Times New Roman"/>
                <w:szCs w:val="24"/>
                <w:shd w:val="clear" w:color="auto" w:fill="FFFFFF"/>
                <w:lang w:eastAsia="lv-LV" w:bidi="lv-LV"/>
              </w:rPr>
              <w:t xml:space="preserve"> </w:t>
            </w:r>
            <w:r w:rsidRPr="0099389F">
              <w:rPr>
                <w:rFonts w:eastAsia="Times New Roman" w:cs="Times New Roman"/>
                <w:i/>
                <w:noProof/>
                <w:szCs w:val="24"/>
                <w:lang w:eastAsia="lv-LV"/>
              </w:rPr>
              <w:t>euro</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 xml:space="preserve">dotācija no vispārējiem ieņēmumiem </w:t>
            </w:r>
            <w:r w:rsidRPr="0099389F">
              <w:rPr>
                <w:rFonts w:eastAsia="Times New Roman" w:cs="Times New Roman"/>
                <w:szCs w:val="24"/>
                <w:shd w:val="clear" w:color="auto" w:fill="FFFFFF"/>
                <w:lang w:eastAsia="lv-LV" w:bidi="lv-LV"/>
              </w:rPr>
              <w:t xml:space="preserve">86 928 051 </w:t>
            </w:r>
            <w:r w:rsidRPr="0099389F">
              <w:rPr>
                <w:rFonts w:eastAsia="Times New Roman" w:cs="Times New Roman"/>
                <w:i/>
                <w:noProof/>
                <w:szCs w:val="24"/>
                <w:lang w:eastAsia="lv-LV"/>
              </w:rPr>
              <w:t>euro</w:t>
            </w:r>
            <w:r w:rsidRPr="0099389F">
              <w:rPr>
                <w:rFonts w:eastAsia="Times New Roman" w:cs="Times New Roman"/>
                <w:noProof/>
                <w:szCs w:val="24"/>
                <w:lang w:eastAsia="lv-LV"/>
              </w:rPr>
              <w:t xml:space="preserve"> </w:t>
            </w:r>
          </w:p>
          <w:p w:rsidR="00FB7F75" w:rsidRPr="0099389F" w:rsidRDefault="00FB7F75" w:rsidP="00FB7F75">
            <w:pPr>
              <w:ind w:right="142"/>
              <w:rPr>
                <w:rFonts w:eastAsia="Times New Roman" w:cs="Times New Roman"/>
                <w:noProof/>
                <w:szCs w:val="24"/>
                <w:lang w:eastAsia="lv-LV"/>
              </w:rPr>
            </w:pPr>
            <w:r w:rsidRPr="0099389F">
              <w:rPr>
                <w:rFonts w:eastAsia="Times New Roman" w:cs="Times New Roman"/>
                <w:noProof/>
                <w:szCs w:val="24"/>
                <w:lang w:eastAsia="lv-LV"/>
              </w:rPr>
              <w:t>Izdevumi 86 941 355</w:t>
            </w:r>
            <w:r w:rsidRPr="0099389F">
              <w:rPr>
                <w:rFonts w:eastAsia="Times New Roman" w:cs="Times New Roman"/>
                <w:szCs w:val="24"/>
                <w:shd w:val="clear" w:color="auto" w:fill="FFFFFF"/>
                <w:lang w:eastAsia="lv-LV" w:bidi="lv-LV"/>
              </w:rPr>
              <w:t xml:space="preserve"> </w:t>
            </w:r>
            <w:r w:rsidRPr="0099389F">
              <w:rPr>
                <w:rFonts w:eastAsia="Times New Roman" w:cs="Times New Roman"/>
                <w:i/>
                <w:noProof/>
                <w:szCs w:val="24"/>
                <w:lang w:eastAsia="lv-LV"/>
              </w:rPr>
              <w:t>euro</w:t>
            </w:r>
            <w:r w:rsidRPr="0099389F">
              <w:rPr>
                <w:rFonts w:eastAsia="Times New Roman" w:cs="Times New Roman"/>
                <w:noProof/>
                <w:szCs w:val="24"/>
                <w:lang w:eastAsia="lv-LV"/>
              </w:rPr>
              <w:t>, tai skaitā:</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 xml:space="preserve">subsīdijas un dotācijas </w:t>
            </w:r>
            <w:r w:rsidRPr="0099389F">
              <w:rPr>
                <w:rFonts w:cs="Times New Roman"/>
                <w:color w:val="000000"/>
                <w:szCs w:val="24"/>
              </w:rPr>
              <w:t xml:space="preserve">85 909 967 </w:t>
            </w:r>
            <w:r w:rsidRPr="0099389F">
              <w:rPr>
                <w:rFonts w:eastAsia="Times New Roman" w:cs="Times New Roman"/>
                <w:szCs w:val="24"/>
                <w:shd w:val="clear" w:color="auto" w:fill="FFFFFF"/>
                <w:lang w:eastAsia="lv-LV" w:bidi="lv-LV"/>
              </w:rPr>
              <w:t xml:space="preserve"> </w:t>
            </w:r>
            <w:r w:rsidRPr="0099389F">
              <w:rPr>
                <w:rFonts w:eastAsia="Times New Roman" w:cs="Times New Roman"/>
                <w:i/>
                <w:noProof/>
                <w:szCs w:val="24"/>
                <w:lang w:eastAsia="lv-LV"/>
              </w:rPr>
              <w:t>euro</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valsts budžeta uzturēšanas izdevumu transferti pašvaldībām</w:t>
            </w:r>
          </w:p>
          <w:p w:rsidR="00FB7F75" w:rsidRPr="0099389F" w:rsidRDefault="00FB7F75" w:rsidP="00FB7F75">
            <w:pPr>
              <w:ind w:right="142" w:firstLine="259"/>
              <w:rPr>
                <w:rFonts w:eastAsia="Times New Roman" w:cs="Times New Roman"/>
                <w:i/>
                <w:noProof/>
                <w:szCs w:val="24"/>
                <w:lang w:eastAsia="lv-LV"/>
              </w:rPr>
            </w:pPr>
            <w:r w:rsidRPr="0099389F">
              <w:rPr>
                <w:rFonts w:eastAsia="Times New Roman" w:cs="Times New Roman"/>
                <w:noProof/>
                <w:szCs w:val="24"/>
                <w:lang w:eastAsia="lv-LV"/>
              </w:rPr>
              <w:t>noteiktam mērķim 1 031 388</w:t>
            </w:r>
            <w:r w:rsidRPr="0099389F">
              <w:rPr>
                <w:rFonts w:eastAsia="Times New Roman" w:cs="Times New Roman"/>
                <w:szCs w:val="24"/>
                <w:shd w:val="clear" w:color="auto" w:fill="FFFFFF"/>
                <w:lang w:eastAsia="lv-LV" w:bidi="lv-LV"/>
              </w:rPr>
              <w:t xml:space="preserve"> </w:t>
            </w:r>
            <w:r w:rsidRPr="0099389F">
              <w:rPr>
                <w:rFonts w:eastAsia="Times New Roman" w:cs="Times New Roman"/>
                <w:i/>
                <w:noProof/>
                <w:szCs w:val="24"/>
                <w:lang w:eastAsia="lv-LV"/>
              </w:rPr>
              <w:t>euro</w:t>
            </w:r>
          </w:p>
          <w:p w:rsidR="00FB7F75" w:rsidRPr="0099389F" w:rsidRDefault="00FB7F75" w:rsidP="00FB7F75">
            <w:pPr>
              <w:widowControl w:val="0"/>
              <w:jc w:val="both"/>
              <w:rPr>
                <w:rFonts w:eastAsia="Times New Roman" w:cs="Times New Roman"/>
                <w:color w:val="000000"/>
                <w:szCs w:val="24"/>
                <w:shd w:val="clear" w:color="auto" w:fill="FFFFFF"/>
                <w:lang w:eastAsia="lv-LV" w:bidi="lv-LV"/>
              </w:rPr>
            </w:pPr>
            <w:r w:rsidRPr="0099389F">
              <w:rPr>
                <w:rFonts w:eastAsia="Times New Roman" w:cs="Times New Roman"/>
                <w:color w:val="000000"/>
                <w:szCs w:val="24"/>
                <w:shd w:val="clear" w:color="auto" w:fill="FFFFFF"/>
                <w:lang w:eastAsia="lv-LV" w:bidi="lv-LV"/>
              </w:rPr>
              <w:t>33.15.00 „Laboratorisko izmeklējumu nodrošināšana ambulatorajā aprūpē”:</w:t>
            </w:r>
          </w:p>
          <w:p w:rsidR="00FB7F75" w:rsidRPr="0099389F" w:rsidRDefault="00FB7F75" w:rsidP="00FB7F75">
            <w:pPr>
              <w:ind w:right="142"/>
              <w:rPr>
                <w:rFonts w:eastAsia="Times New Roman" w:cs="Times New Roman"/>
                <w:noProof/>
                <w:szCs w:val="24"/>
                <w:lang w:eastAsia="lv-LV"/>
              </w:rPr>
            </w:pPr>
            <w:r w:rsidRPr="0099389F">
              <w:rPr>
                <w:rFonts w:eastAsia="Times New Roman" w:cs="Times New Roman"/>
                <w:noProof/>
                <w:szCs w:val="24"/>
                <w:lang w:eastAsia="lv-LV"/>
              </w:rPr>
              <w:t>Resursi izdevumu segšanai 25 410 416</w:t>
            </w:r>
            <w:r w:rsidRPr="0099389F">
              <w:rPr>
                <w:rFonts w:eastAsia="Times New Roman" w:cs="Times New Roman"/>
                <w:szCs w:val="24"/>
                <w:shd w:val="clear" w:color="auto" w:fill="FFFFFF"/>
                <w:lang w:eastAsia="lv-LV" w:bidi="lv-LV"/>
              </w:rPr>
              <w:t xml:space="preserve"> </w:t>
            </w:r>
            <w:r w:rsidRPr="0099389F">
              <w:rPr>
                <w:rFonts w:eastAsia="Times New Roman" w:cs="Times New Roman"/>
                <w:i/>
                <w:noProof/>
                <w:szCs w:val="24"/>
                <w:lang w:eastAsia="lv-LV"/>
              </w:rPr>
              <w:t>euro</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ieņēmumi no maksas pakalpojumiem 1620</w:t>
            </w:r>
            <w:r w:rsidRPr="0099389F">
              <w:rPr>
                <w:rFonts w:eastAsia="Times New Roman" w:cs="Times New Roman"/>
                <w:szCs w:val="24"/>
                <w:shd w:val="clear" w:color="auto" w:fill="FFFFFF"/>
                <w:lang w:eastAsia="lv-LV" w:bidi="lv-LV"/>
              </w:rPr>
              <w:t xml:space="preserve"> </w:t>
            </w:r>
            <w:r w:rsidRPr="0099389F">
              <w:rPr>
                <w:rFonts w:eastAsia="Times New Roman" w:cs="Times New Roman"/>
                <w:i/>
                <w:noProof/>
                <w:szCs w:val="24"/>
                <w:lang w:eastAsia="lv-LV"/>
              </w:rPr>
              <w:t>euro</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dotācija no vispārējiem ieņēmumiem 25 408 796</w:t>
            </w:r>
            <w:r w:rsidRPr="0099389F">
              <w:rPr>
                <w:rFonts w:eastAsia="Times New Roman" w:cs="Times New Roman"/>
                <w:szCs w:val="24"/>
                <w:shd w:val="clear" w:color="auto" w:fill="FFFFFF"/>
                <w:lang w:eastAsia="lv-LV" w:bidi="lv-LV"/>
              </w:rPr>
              <w:t xml:space="preserve"> </w:t>
            </w:r>
            <w:r w:rsidRPr="0099389F">
              <w:rPr>
                <w:rFonts w:eastAsia="Times New Roman" w:cs="Times New Roman"/>
                <w:i/>
                <w:noProof/>
                <w:szCs w:val="24"/>
                <w:lang w:eastAsia="lv-LV"/>
              </w:rPr>
              <w:t>euro</w:t>
            </w:r>
            <w:r w:rsidRPr="0099389F">
              <w:rPr>
                <w:rFonts w:eastAsia="Times New Roman" w:cs="Times New Roman"/>
                <w:noProof/>
                <w:szCs w:val="24"/>
                <w:lang w:eastAsia="lv-LV"/>
              </w:rPr>
              <w:t xml:space="preserve"> </w:t>
            </w:r>
          </w:p>
          <w:p w:rsidR="00FB7F75" w:rsidRPr="0099389F" w:rsidRDefault="00FB7F75" w:rsidP="00FB7F75">
            <w:pPr>
              <w:ind w:right="142"/>
              <w:rPr>
                <w:rFonts w:eastAsia="Times New Roman" w:cs="Times New Roman"/>
                <w:noProof/>
                <w:szCs w:val="24"/>
                <w:lang w:eastAsia="lv-LV"/>
              </w:rPr>
            </w:pPr>
            <w:r w:rsidRPr="0099389F">
              <w:rPr>
                <w:rFonts w:eastAsia="Times New Roman" w:cs="Times New Roman"/>
                <w:noProof/>
                <w:szCs w:val="24"/>
                <w:lang w:eastAsia="lv-LV"/>
              </w:rPr>
              <w:t>Izdevumi 25 410 416</w:t>
            </w:r>
            <w:r w:rsidRPr="0099389F">
              <w:rPr>
                <w:rFonts w:eastAsia="Times New Roman" w:cs="Times New Roman"/>
                <w:szCs w:val="24"/>
                <w:shd w:val="clear" w:color="auto" w:fill="FFFFFF"/>
                <w:lang w:eastAsia="lv-LV" w:bidi="lv-LV"/>
              </w:rPr>
              <w:t xml:space="preserve"> </w:t>
            </w:r>
            <w:r w:rsidRPr="0099389F">
              <w:rPr>
                <w:rFonts w:eastAsia="Times New Roman" w:cs="Times New Roman"/>
                <w:i/>
                <w:noProof/>
                <w:szCs w:val="24"/>
                <w:lang w:eastAsia="lv-LV"/>
              </w:rPr>
              <w:t>euro</w:t>
            </w:r>
            <w:r w:rsidRPr="0099389F">
              <w:rPr>
                <w:rFonts w:eastAsia="Times New Roman" w:cs="Times New Roman"/>
                <w:noProof/>
                <w:szCs w:val="24"/>
                <w:lang w:eastAsia="lv-LV"/>
              </w:rPr>
              <w:t>, tai skaitā:</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subsīdijas un dotācijas 25 404 857</w:t>
            </w:r>
            <w:r w:rsidRPr="0099389F">
              <w:rPr>
                <w:rFonts w:cs="Times New Roman"/>
                <w:color w:val="000000"/>
                <w:szCs w:val="24"/>
              </w:rPr>
              <w:t xml:space="preserve"> </w:t>
            </w:r>
            <w:r w:rsidRPr="0099389F">
              <w:rPr>
                <w:rFonts w:eastAsia="Times New Roman" w:cs="Times New Roman"/>
                <w:szCs w:val="24"/>
                <w:shd w:val="clear" w:color="auto" w:fill="FFFFFF"/>
                <w:lang w:eastAsia="lv-LV" w:bidi="lv-LV"/>
              </w:rPr>
              <w:t xml:space="preserve"> </w:t>
            </w:r>
            <w:r w:rsidRPr="0099389F">
              <w:rPr>
                <w:rFonts w:eastAsia="Times New Roman" w:cs="Times New Roman"/>
                <w:i/>
                <w:noProof/>
                <w:szCs w:val="24"/>
                <w:lang w:eastAsia="lv-LV"/>
              </w:rPr>
              <w:t>euro</w:t>
            </w:r>
          </w:p>
          <w:p w:rsidR="00FB7F75" w:rsidRPr="0099389F" w:rsidRDefault="00FB7F75" w:rsidP="00FB7F75">
            <w:pPr>
              <w:ind w:left="272" w:right="142" w:hanging="13"/>
              <w:rPr>
                <w:rFonts w:eastAsia="Times New Roman" w:cs="Times New Roman"/>
                <w:i/>
                <w:noProof/>
                <w:szCs w:val="24"/>
                <w:lang w:eastAsia="lv-LV"/>
              </w:rPr>
            </w:pPr>
            <w:r w:rsidRPr="0099389F">
              <w:rPr>
                <w:rFonts w:eastAsia="Times New Roman" w:cs="Times New Roman"/>
                <w:noProof/>
                <w:szCs w:val="24"/>
                <w:lang w:eastAsia="lv-LV"/>
              </w:rPr>
              <w:t>Valsts budžeta transferti valsts budžeta daļēji finansētām atvasinātām publiskām personām un budžeta nefinansētām iestādēm noteiktam mērķim 5 559</w:t>
            </w:r>
            <w:r w:rsidRPr="0099389F">
              <w:rPr>
                <w:rFonts w:eastAsia="Times New Roman" w:cs="Times New Roman"/>
                <w:szCs w:val="24"/>
                <w:shd w:val="clear" w:color="auto" w:fill="FFFFFF"/>
                <w:lang w:eastAsia="lv-LV" w:bidi="lv-LV"/>
              </w:rPr>
              <w:t xml:space="preserve"> </w:t>
            </w:r>
            <w:r w:rsidRPr="0099389F">
              <w:rPr>
                <w:rFonts w:eastAsia="Times New Roman" w:cs="Times New Roman"/>
                <w:i/>
                <w:noProof/>
                <w:szCs w:val="24"/>
                <w:lang w:eastAsia="lv-LV"/>
              </w:rPr>
              <w:t>euro</w:t>
            </w:r>
          </w:p>
          <w:p w:rsidR="00FB7F75" w:rsidRPr="0099389F" w:rsidRDefault="00FB7F75" w:rsidP="00FB7F75">
            <w:pPr>
              <w:widowControl w:val="0"/>
              <w:jc w:val="both"/>
              <w:rPr>
                <w:rFonts w:eastAsia="Times New Roman" w:cs="Times New Roman"/>
                <w:color w:val="000000"/>
                <w:szCs w:val="24"/>
                <w:shd w:val="clear" w:color="auto" w:fill="FFFFFF"/>
                <w:lang w:eastAsia="lv-LV" w:bidi="lv-LV"/>
              </w:rPr>
            </w:pPr>
            <w:r w:rsidRPr="0099389F">
              <w:rPr>
                <w:rFonts w:eastAsia="Times New Roman" w:cs="Times New Roman"/>
                <w:color w:val="000000"/>
                <w:szCs w:val="24"/>
                <w:shd w:val="clear" w:color="auto" w:fill="FFFFFF"/>
                <w:lang w:eastAsia="lv-LV" w:bidi="lv-LV"/>
              </w:rPr>
              <w:t>33.16.00 „Pārējo ambulatoro veselības aprūpes pakalpojumu nodrošināšana”:</w:t>
            </w:r>
          </w:p>
          <w:p w:rsidR="00FB7F75" w:rsidRPr="0099389F" w:rsidRDefault="00FB7F75" w:rsidP="00FB7F75">
            <w:pPr>
              <w:ind w:right="142"/>
              <w:rPr>
                <w:rFonts w:eastAsia="Times New Roman" w:cs="Times New Roman"/>
                <w:noProof/>
                <w:szCs w:val="24"/>
                <w:lang w:eastAsia="lv-LV"/>
              </w:rPr>
            </w:pPr>
            <w:r w:rsidRPr="0099389F">
              <w:rPr>
                <w:rFonts w:eastAsia="Times New Roman" w:cs="Times New Roman"/>
                <w:noProof/>
                <w:szCs w:val="24"/>
                <w:lang w:eastAsia="lv-LV"/>
              </w:rPr>
              <w:t>Resursi izdevumu segšanai 156 643 132</w:t>
            </w:r>
            <w:r w:rsidRPr="0099389F">
              <w:rPr>
                <w:rFonts w:eastAsia="Times New Roman" w:cs="Times New Roman"/>
                <w:szCs w:val="24"/>
                <w:shd w:val="clear" w:color="auto" w:fill="FFFFFF"/>
                <w:lang w:eastAsia="lv-LV" w:bidi="lv-LV"/>
              </w:rPr>
              <w:t xml:space="preserve"> </w:t>
            </w:r>
            <w:r w:rsidRPr="0099389F">
              <w:rPr>
                <w:rFonts w:eastAsia="Times New Roman" w:cs="Times New Roman"/>
                <w:i/>
                <w:noProof/>
                <w:szCs w:val="24"/>
                <w:lang w:eastAsia="lv-LV"/>
              </w:rPr>
              <w:t>euro</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ieņēmumi no maksas pakalpojumiem 25 052</w:t>
            </w:r>
            <w:r w:rsidRPr="0099389F">
              <w:rPr>
                <w:rFonts w:eastAsia="Times New Roman" w:cs="Times New Roman"/>
                <w:szCs w:val="24"/>
                <w:shd w:val="clear" w:color="auto" w:fill="FFFFFF"/>
                <w:lang w:eastAsia="lv-LV" w:bidi="lv-LV"/>
              </w:rPr>
              <w:t xml:space="preserve"> </w:t>
            </w:r>
            <w:r w:rsidRPr="0099389F">
              <w:rPr>
                <w:rFonts w:eastAsia="Times New Roman" w:cs="Times New Roman"/>
                <w:i/>
                <w:noProof/>
                <w:szCs w:val="24"/>
                <w:lang w:eastAsia="lv-LV"/>
              </w:rPr>
              <w:t>euro</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 xml:space="preserve">dotācija no vispārējiem ieņēmumiem 156 618 080 </w:t>
            </w:r>
            <w:r w:rsidRPr="0099389F">
              <w:rPr>
                <w:rFonts w:eastAsia="Times New Roman" w:cs="Times New Roman"/>
                <w:i/>
                <w:noProof/>
                <w:szCs w:val="24"/>
                <w:lang w:eastAsia="lv-LV"/>
              </w:rPr>
              <w:t>euro</w:t>
            </w:r>
            <w:r w:rsidRPr="0099389F">
              <w:rPr>
                <w:rFonts w:eastAsia="Times New Roman" w:cs="Times New Roman"/>
                <w:noProof/>
                <w:szCs w:val="24"/>
                <w:lang w:eastAsia="lv-LV"/>
              </w:rPr>
              <w:t xml:space="preserve"> </w:t>
            </w:r>
          </w:p>
          <w:p w:rsidR="00FB7F75" w:rsidRPr="0099389F" w:rsidRDefault="00FB7F75" w:rsidP="00FB7F75">
            <w:pPr>
              <w:ind w:right="142"/>
              <w:rPr>
                <w:rFonts w:eastAsia="Times New Roman" w:cs="Times New Roman"/>
                <w:noProof/>
                <w:szCs w:val="24"/>
                <w:lang w:eastAsia="lv-LV"/>
              </w:rPr>
            </w:pPr>
            <w:r w:rsidRPr="0099389F">
              <w:rPr>
                <w:rFonts w:eastAsia="Times New Roman" w:cs="Times New Roman"/>
                <w:noProof/>
                <w:szCs w:val="24"/>
                <w:lang w:eastAsia="lv-LV"/>
              </w:rPr>
              <w:t>Izdevumi 156 643 132</w:t>
            </w:r>
            <w:r w:rsidRPr="0099389F">
              <w:rPr>
                <w:rFonts w:eastAsia="Times New Roman" w:cs="Times New Roman"/>
                <w:szCs w:val="24"/>
                <w:shd w:val="clear" w:color="auto" w:fill="FFFFFF"/>
                <w:lang w:eastAsia="lv-LV" w:bidi="lv-LV"/>
              </w:rPr>
              <w:t xml:space="preserve"> </w:t>
            </w:r>
            <w:r w:rsidRPr="0099389F">
              <w:rPr>
                <w:rFonts w:eastAsia="Times New Roman" w:cs="Times New Roman"/>
                <w:i/>
                <w:noProof/>
                <w:szCs w:val="24"/>
                <w:lang w:eastAsia="lv-LV"/>
              </w:rPr>
              <w:t>euro</w:t>
            </w:r>
            <w:r w:rsidRPr="0099389F">
              <w:rPr>
                <w:rFonts w:eastAsia="Times New Roman" w:cs="Times New Roman"/>
                <w:noProof/>
                <w:szCs w:val="24"/>
                <w:lang w:eastAsia="lv-LV"/>
              </w:rPr>
              <w:t>, tai skaitā:</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subsīdijas un dotācijas 156 021 779</w:t>
            </w:r>
            <w:r w:rsidRPr="0099389F">
              <w:rPr>
                <w:rFonts w:cs="Times New Roman"/>
                <w:color w:val="000000"/>
                <w:szCs w:val="24"/>
              </w:rPr>
              <w:t xml:space="preserve"> </w:t>
            </w:r>
            <w:r w:rsidRPr="0099389F">
              <w:rPr>
                <w:rFonts w:eastAsia="Times New Roman" w:cs="Times New Roman"/>
                <w:szCs w:val="24"/>
                <w:shd w:val="clear" w:color="auto" w:fill="FFFFFF"/>
                <w:lang w:eastAsia="lv-LV" w:bidi="lv-LV"/>
              </w:rPr>
              <w:t xml:space="preserve"> </w:t>
            </w:r>
            <w:r w:rsidRPr="0099389F">
              <w:rPr>
                <w:rFonts w:eastAsia="Times New Roman" w:cs="Times New Roman"/>
                <w:i/>
                <w:noProof/>
                <w:szCs w:val="24"/>
                <w:lang w:eastAsia="lv-LV"/>
              </w:rPr>
              <w:t>euro</w:t>
            </w:r>
          </w:p>
          <w:p w:rsidR="00FB7F75" w:rsidRPr="0099389F" w:rsidRDefault="00FB7F75" w:rsidP="00FB7F75">
            <w:pPr>
              <w:ind w:left="414" w:right="142" w:hanging="70"/>
              <w:jc w:val="both"/>
              <w:rPr>
                <w:rFonts w:eastAsia="Times New Roman" w:cs="Times New Roman"/>
                <w:i/>
                <w:noProof/>
                <w:szCs w:val="24"/>
                <w:lang w:eastAsia="lv-LV"/>
              </w:rPr>
            </w:pPr>
            <w:r w:rsidRPr="0099389F">
              <w:rPr>
                <w:rFonts w:eastAsia="Times New Roman" w:cs="Times New Roman"/>
                <w:noProof/>
                <w:szCs w:val="24"/>
                <w:lang w:eastAsia="lv-LV"/>
              </w:rPr>
              <w:t>Valsts budžeta uzturēšanas izdevumu transferti pašvaldībām noteiktam mērķim 621 353</w:t>
            </w:r>
            <w:r w:rsidRPr="0099389F">
              <w:rPr>
                <w:rFonts w:eastAsia="Times New Roman" w:cs="Times New Roman"/>
                <w:szCs w:val="24"/>
                <w:shd w:val="clear" w:color="auto" w:fill="FFFFFF"/>
                <w:lang w:eastAsia="lv-LV" w:bidi="lv-LV"/>
              </w:rPr>
              <w:t xml:space="preserve"> </w:t>
            </w:r>
            <w:r w:rsidRPr="0099389F">
              <w:rPr>
                <w:rFonts w:eastAsia="Times New Roman" w:cs="Times New Roman"/>
                <w:i/>
                <w:noProof/>
                <w:szCs w:val="24"/>
                <w:lang w:eastAsia="lv-LV"/>
              </w:rPr>
              <w:t>euro</w:t>
            </w:r>
          </w:p>
          <w:p w:rsidR="00FB7F75" w:rsidRPr="0099389F" w:rsidRDefault="00FB7F75" w:rsidP="00FB7F75">
            <w:pPr>
              <w:ind w:right="142"/>
              <w:jc w:val="both"/>
              <w:rPr>
                <w:rFonts w:eastAsia="Times New Roman" w:cs="Times New Roman"/>
                <w:noProof/>
                <w:szCs w:val="24"/>
                <w:lang w:bidi="gu-IN"/>
              </w:rPr>
            </w:pPr>
            <w:r w:rsidRPr="0099389F">
              <w:rPr>
                <w:rFonts w:eastAsia="Times New Roman" w:cs="Times New Roman"/>
                <w:noProof/>
                <w:szCs w:val="24"/>
                <w:lang w:bidi="gu-IN"/>
              </w:rPr>
              <w:t>33.17.00 “Neatliekamās medicīniskās palīdzības nodrošināšana stacionārās ārstniecības iestādēs” (2017.gadam):</w:t>
            </w:r>
          </w:p>
          <w:p w:rsidR="00FB7F75" w:rsidRPr="0099389F" w:rsidRDefault="00FB7F75" w:rsidP="00FB7F75">
            <w:pPr>
              <w:ind w:right="142"/>
              <w:rPr>
                <w:rFonts w:eastAsia="Times New Roman" w:cs="Times New Roman"/>
                <w:noProof/>
                <w:szCs w:val="24"/>
                <w:lang w:eastAsia="lv-LV"/>
              </w:rPr>
            </w:pPr>
            <w:r w:rsidRPr="0099389F">
              <w:rPr>
                <w:rFonts w:eastAsia="Times New Roman" w:cs="Times New Roman"/>
                <w:noProof/>
                <w:szCs w:val="24"/>
                <w:lang w:eastAsia="lv-LV"/>
              </w:rPr>
              <w:t xml:space="preserve">Resursi izdevumu segšanai </w:t>
            </w:r>
            <w:r w:rsidRPr="0099389F">
              <w:rPr>
                <w:rFonts w:eastAsia="Times New Roman" w:cs="Times New Roman"/>
                <w:color w:val="000000"/>
                <w:szCs w:val="24"/>
                <w:shd w:val="clear" w:color="auto" w:fill="FFFFFF"/>
                <w:lang w:eastAsia="lv-LV" w:bidi="lv-LV"/>
              </w:rPr>
              <w:t xml:space="preserve">162 380 437 </w:t>
            </w:r>
            <w:r w:rsidRPr="0099389F">
              <w:rPr>
                <w:rFonts w:eastAsia="Times New Roman" w:cs="Times New Roman"/>
                <w:i/>
                <w:noProof/>
                <w:szCs w:val="24"/>
                <w:lang w:eastAsia="lv-LV"/>
              </w:rPr>
              <w:t>euro</w:t>
            </w:r>
          </w:p>
          <w:p w:rsidR="00FB7F75" w:rsidRPr="0099389F" w:rsidRDefault="00FB7F75" w:rsidP="00FB7F75">
            <w:pPr>
              <w:tabs>
                <w:tab w:val="right" w:pos="259"/>
              </w:tabs>
              <w:ind w:left="259" w:right="142"/>
              <w:rPr>
                <w:rFonts w:eastAsia="Times New Roman" w:cs="Times New Roman"/>
                <w:noProof/>
                <w:szCs w:val="24"/>
                <w:lang w:eastAsia="lv-LV"/>
              </w:rPr>
            </w:pPr>
            <w:r w:rsidRPr="0099389F">
              <w:rPr>
                <w:rFonts w:eastAsia="Times New Roman" w:cs="Times New Roman"/>
                <w:noProof/>
                <w:szCs w:val="24"/>
                <w:lang w:eastAsia="lv-LV"/>
              </w:rPr>
              <w:t xml:space="preserve">ieņēmumi no maksas pakalpojumiem </w:t>
            </w:r>
            <w:r w:rsidRPr="0099389F">
              <w:rPr>
                <w:rFonts w:eastAsia="Times New Roman" w:cs="Times New Roman"/>
                <w:color w:val="000000"/>
                <w:szCs w:val="24"/>
                <w:shd w:val="clear" w:color="auto" w:fill="FFFFFF"/>
                <w:lang w:eastAsia="lv-LV" w:bidi="lv-LV"/>
              </w:rPr>
              <w:t xml:space="preserve">1 047 098 </w:t>
            </w:r>
            <w:r w:rsidRPr="0099389F">
              <w:rPr>
                <w:rFonts w:eastAsia="Times New Roman" w:cs="Times New Roman"/>
                <w:i/>
                <w:noProof/>
                <w:szCs w:val="24"/>
                <w:lang w:eastAsia="lv-LV"/>
              </w:rPr>
              <w:t>euro</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 xml:space="preserve">dotācija no vispārējiem ieņēmumiem </w:t>
            </w:r>
            <w:r w:rsidRPr="0099389F">
              <w:rPr>
                <w:rFonts w:eastAsia="Times New Roman" w:cs="Times New Roman"/>
                <w:color w:val="000000"/>
                <w:szCs w:val="24"/>
                <w:shd w:val="clear" w:color="auto" w:fill="FFFFFF"/>
                <w:lang w:eastAsia="lv-LV" w:bidi="lv-LV"/>
              </w:rPr>
              <w:t xml:space="preserve">161 333 339 </w:t>
            </w:r>
            <w:r w:rsidRPr="0099389F">
              <w:rPr>
                <w:rFonts w:eastAsia="Times New Roman" w:cs="Times New Roman"/>
                <w:i/>
                <w:noProof/>
                <w:szCs w:val="24"/>
                <w:lang w:eastAsia="lv-LV"/>
              </w:rPr>
              <w:t>euro</w:t>
            </w:r>
            <w:r w:rsidRPr="0099389F">
              <w:rPr>
                <w:rFonts w:eastAsia="Times New Roman" w:cs="Times New Roman"/>
                <w:noProof/>
                <w:szCs w:val="24"/>
                <w:lang w:eastAsia="lv-LV"/>
              </w:rPr>
              <w:t xml:space="preserve"> </w:t>
            </w:r>
          </w:p>
          <w:p w:rsidR="00FB7F75" w:rsidRPr="0099389F" w:rsidRDefault="00FB7F75" w:rsidP="00FB7F75">
            <w:pPr>
              <w:ind w:right="142"/>
              <w:rPr>
                <w:rFonts w:eastAsia="Times New Roman" w:cs="Times New Roman"/>
                <w:noProof/>
                <w:szCs w:val="24"/>
                <w:lang w:eastAsia="lv-LV"/>
              </w:rPr>
            </w:pPr>
            <w:r w:rsidRPr="0099389F">
              <w:rPr>
                <w:rFonts w:eastAsia="Times New Roman" w:cs="Times New Roman"/>
                <w:noProof/>
                <w:szCs w:val="24"/>
                <w:lang w:eastAsia="lv-LV"/>
              </w:rPr>
              <w:t xml:space="preserve">Izdevumi </w:t>
            </w:r>
            <w:r w:rsidRPr="0099389F">
              <w:rPr>
                <w:rFonts w:eastAsia="Times New Roman" w:cs="Times New Roman"/>
                <w:color w:val="000000"/>
                <w:szCs w:val="24"/>
                <w:shd w:val="clear" w:color="auto" w:fill="FFFFFF"/>
                <w:lang w:eastAsia="lv-LV" w:bidi="lv-LV"/>
              </w:rPr>
              <w:t xml:space="preserve">162 380 437 </w:t>
            </w:r>
            <w:r w:rsidRPr="0099389F">
              <w:rPr>
                <w:rFonts w:eastAsia="Times New Roman" w:cs="Times New Roman"/>
                <w:i/>
                <w:noProof/>
                <w:szCs w:val="24"/>
                <w:lang w:eastAsia="lv-LV"/>
              </w:rPr>
              <w:t>euro</w:t>
            </w:r>
            <w:r w:rsidRPr="0099389F">
              <w:rPr>
                <w:rFonts w:eastAsia="Times New Roman" w:cs="Times New Roman"/>
                <w:noProof/>
                <w:szCs w:val="24"/>
                <w:lang w:eastAsia="lv-LV"/>
              </w:rPr>
              <w:t>, tai skaitā:</w:t>
            </w:r>
          </w:p>
          <w:p w:rsidR="00FB7F75" w:rsidRPr="0099389F" w:rsidRDefault="00FB7F75" w:rsidP="00FB7F75">
            <w:pPr>
              <w:ind w:right="142" w:firstLine="259"/>
              <w:rPr>
                <w:rFonts w:eastAsia="Times New Roman" w:cs="Times New Roman"/>
                <w:i/>
                <w:noProof/>
                <w:szCs w:val="24"/>
                <w:lang w:eastAsia="lv-LV"/>
              </w:rPr>
            </w:pPr>
            <w:r w:rsidRPr="0099389F">
              <w:rPr>
                <w:rFonts w:eastAsia="Times New Roman" w:cs="Times New Roman"/>
                <w:noProof/>
                <w:szCs w:val="24"/>
                <w:lang w:eastAsia="lv-LV"/>
              </w:rPr>
              <w:t xml:space="preserve">subsīdijas un dotācijas </w:t>
            </w:r>
            <w:r w:rsidRPr="0099389F">
              <w:rPr>
                <w:rFonts w:eastAsia="Times New Roman" w:cs="Times New Roman"/>
                <w:color w:val="000000"/>
                <w:szCs w:val="24"/>
                <w:shd w:val="clear" w:color="auto" w:fill="FFFFFF"/>
                <w:lang w:eastAsia="lv-LV" w:bidi="lv-LV"/>
              </w:rPr>
              <w:t xml:space="preserve">162 380 437  </w:t>
            </w:r>
            <w:r w:rsidRPr="0099389F">
              <w:rPr>
                <w:rFonts w:eastAsia="Times New Roman" w:cs="Times New Roman"/>
                <w:i/>
                <w:noProof/>
                <w:szCs w:val="24"/>
                <w:lang w:eastAsia="lv-LV"/>
              </w:rPr>
              <w:t>euro</w:t>
            </w:r>
          </w:p>
          <w:p w:rsidR="00FB7F75" w:rsidRPr="0099389F" w:rsidRDefault="00FB7F75" w:rsidP="00FB7F75">
            <w:pPr>
              <w:ind w:right="142"/>
              <w:jc w:val="both"/>
              <w:rPr>
                <w:rFonts w:eastAsia="Times New Roman" w:cs="Times New Roman"/>
                <w:noProof/>
                <w:szCs w:val="24"/>
                <w:lang w:bidi="gu-IN"/>
              </w:rPr>
            </w:pPr>
            <w:r w:rsidRPr="0099389F">
              <w:rPr>
                <w:rFonts w:eastAsia="Times New Roman" w:cs="Times New Roman"/>
                <w:noProof/>
                <w:szCs w:val="24"/>
                <w:lang w:bidi="gu-IN"/>
              </w:rPr>
              <w:t>33.17.00 “Neatliekamās medicīniskās palīdzības nodrošināšana stacionārās ārstniecības iestādēs” (2018. – 2019.gadam):</w:t>
            </w:r>
          </w:p>
          <w:p w:rsidR="00FB7F75" w:rsidRPr="0099389F" w:rsidRDefault="00FB7F75" w:rsidP="00FB7F75">
            <w:pPr>
              <w:ind w:right="142"/>
              <w:rPr>
                <w:rFonts w:eastAsia="Times New Roman" w:cs="Times New Roman"/>
                <w:noProof/>
                <w:szCs w:val="24"/>
                <w:lang w:eastAsia="lv-LV"/>
              </w:rPr>
            </w:pPr>
            <w:r w:rsidRPr="0099389F">
              <w:rPr>
                <w:rFonts w:eastAsia="Times New Roman" w:cs="Times New Roman"/>
                <w:noProof/>
                <w:szCs w:val="24"/>
                <w:lang w:eastAsia="lv-LV"/>
              </w:rPr>
              <w:t xml:space="preserve">Resursi izdevumu segšanai </w:t>
            </w:r>
            <w:r w:rsidRPr="0099389F">
              <w:rPr>
                <w:rFonts w:eastAsia="Times New Roman" w:cs="Times New Roman"/>
                <w:color w:val="000000"/>
                <w:szCs w:val="24"/>
                <w:shd w:val="clear" w:color="auto" w:fill="FFFFFF"/>
                <w:lang w:eastAsia="lv-LV" w:bidi="lv-LV"/>
              </w:rPr>
              <w:t xml:space="preserve">162 340 437 </w:t>
            </w:r>
            <w:r w:rsidRPr="0099389F">
              <w:rPr>
                <w:rFonts w:eastAsia="Times New Roman" w:cs="Times New Roman"/>
                <w:i/>
                <w:noProof/>
                <w:szCs w:val="24"/>
                <w:lang w:eastAsia="lv-LV"/>
              </w:rPr>
              <w:t>euro</w:t>
            </w:r>
          </w:p>
          <w:p w:rsidR="00FB7F75" w:rsidRPr="0099389F" w:rsidRDefault="00FB7F75" w:rsidP="00FB7F75">
            <w:pPr>
              <w:tabs>
                <w:tab w:val="right" w:pos="259"/>
              </w:tabs>
              <w:ind w:left="259" w:right="142"/>
              <w:rPr>
                <w:rFonts w:eastAsia="Times New Roman" w:cs="Times New Roman"/>
                <w:noProof/>
                <w:szCs w:val="24"/>
                <w:lang w:eastAsia="lv-LV"/>
              </w:rPr>
            </w:pPr>
            <w:r w:rsidRPr="0099389F">
              <w:rPr>
                <w:rFonts w:eastAsia="Times New Roman" w:cs="Times New Roman"/>
                <w:noProof/>
                <w:szCs w:val="24"/>
                <w:lang w:eastAsia="lv-LV"/>
              </w:rPr>
              <w:t xml:space="preserve">ieņēmumi no maksas pakalpojumiem </w:t>
            </w:r>
            <w:r w:rsidRPr="0099389F">
              <w:rPr>
                <w:rFonts w:eastAsia="Times New Roman" w:cs="Times New Roman"/>
                <w:color w:val="000000"/>
                <w:szCs w:val="24"/>
                <w:shd w:val="clear" w:color="auto" w:fill="FFFFFF"/>
                <w:lang w:eastAsia="lv-LV" w:bidi="lv-LV"/>
              </w:rPr>
              <w:t xml:space="preserve">1 047 098 </w:t>
            </w:r>
            <w:r w:rsidRPr="0099389F">
              <w:rPr>
                <w:rFonts w:eastAsia="Times New Roman" w:cs="Times New Roman"/>
                <w:i/>
                <w:noProof/>
                <w:szCs w:val="24"/>
                <w:lang w:eastAsia="lv-LV"/>
              </w:rPr>
              <w:t>euro</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 xml:space="preserve">dotācija no vispārējiem ieņēmumiem </w:t>
            </w:r>
            <w:r w:rsidRPr="0099389F">
              <w:rPr>
                <w:rFonts w:eastAsia="Times New Roman" w:cs="Times New Roman"/>
                <w:color w:val="000000"/>
                <w:szCs w:val="24"/>
                <w:shd w:val="clear" w:color="auto" w:fill="FFFFFF"/>
                <w:lang w:eastAsia="lv-LV" w:bidi="lv-LV"/>
              </w:rPr>
              <w:t xml:space="preserve">161 293 339 </w:t>
            </w:r>
            <w:r w:rsidRPr="0099389F">
              <w:rPr>
                <w:rFonts w:eastAsia="Times New Roman" w:cs="Times New Roman"/>
                <w:i/>
                <w:noProof/>
                <w:szCs w:val="24"/>
                <w:lang w:eastAsia="lv-LV"/>
              </w:rPr>
              <w:t>euro</w:t>
            </w:r>
            <w:r w:rsidRPr="0099389F">
              <w:rPr>
                <w:rFonts w:eastAsia="Times New Roman" w:cs="Times New Roman"/>
                <w:noProof/>
                <w:szCs w:val="24"/>
                <w:lang w:eastAsia="lv-LV"/>
              </w:rPr>
              <w:t xml:space="preserve"> </w:t>
            </w:r>
          </w:p>
          <w:p w:rsidR="00FB7F75" w:rsidRPr="0099389F" w:rsidRDefault="00FB7F75" w:rsidP="00FB7F75">
            <w:pPr>
              <w:ind w:right="142"/>
              <w:rPr>
                <w:rFonts w:eastAsia="Times New Roman" w:cs="Times New Roman"/>
                <w:noProof/>
                <w:szCs w:val="24"/>
                <w:lang w:eastAsia="lv-LV"/>
              </w:rPr>
            </w:pPr>
            <w:r w:rsidRPr="0099389F">
              <w:rPr>
                <w:rFonts w:eastAsia="Times New Roman" w:cs="Times New Roman"/>
                <w:noProof/>
                <w:szCs w:val="24"/>
                <w:lang w:eastAsia="lv-LV"/>
              </w:rPr>
              <w:t xml:space="preserve">Izdevumi </w:t>
            </w:r>
            <w:r w:rsidRPr="0099389F">
              <w:rPr>
                <w:rFonts w:eastAsia="Times New Roman" w:cs="Times New Roman"/>
                <w:color w:val="000000"/>
                <w:szCs w:val="24"/>
                <w:shd w:val="clear" w:color="auto" w:fill="FFFFFF"/>
                <w:lang w:eastAsia="lv-LV" w:bidi="lv-LV"/>
              </w:rPr>
              <w:t xml:space="preserve">162 340 437 </w:t>
            </w:r>
            <w:r w:rsidRPr="0099389F">
              <w:rPr>
                <w:rFonts w:eastAsia="Times New Roman" w:cs="Times New Roman"/>
                <w:i/>
                <w:noProof/>
                <w:szCs w:val="24"/>
                <w:lang w:eastAsia="lv-LV"/>
              </w:rPr>
              <w:t>euro</w:t>
            </w:r>
            <w:r w:rsidRPr="0099389F">
              <w:rPr>
                <w:rFonts w:eastAsia="Times New Roman" w:cs="Times New Roman"/>
                <w:noProof/>
                <w:szCs w:val="24"/>
                <w:lang w:eastAsia="lv-LV"/>
              </w:rPr>
              <w:t>, tai skaitā:</w:t>
            </w:r>
          </w:p>
          <w:p w:rsidR="00FB7F75" w:rsidRPr="0099389F" w:rsidRDefault="00FB7F75" w:rsidP="00FB7F75">
            <w:pPr>
              <w:ind w:right="142" w:firstLine="259"/>
              <w:rPr>
                <w:rFonts w:eastAsia="Times New Roman" w:cs="Times New Roman"/>
                <w:i/>
                <w:noProof/>
                <w:szCs w:val="24"/>
                <w:lang w:eastAsia="lv-LV"/>
              </w:rPr>
            </w:pPr>
            <w:r w:rsidRPr="0099389F">
              <w:rPr>
                <w:rFonts w:eastAsia="Times New Roman" w:cs="Times New Roman"/>
                <w:noProof/>
                <w:szCs w:val="24"/>
                <w:lang w:eastAsia="lv-LV"/>
              </w:rPr>
              <w:lastRenderedPageBreak/>
              <w:t xml:space="preserve">subsīdijas un dotācijas </w:t>
            </w:r>
            <w:r w:rsidRPr="0099389F">
              <w:rPr>
                <w:rFonts w:eastAsia="Times New Roman" w:cs="Times New Roman"/>
                <w:color w:val="000000"/>
                <w:szCs w:val="24"/>
                <w:shd w:val="clear" w:color="auto" w:fill="FFFFFF"/>
                <w:lang w:eastAsia="lv-LV" w:bidi="lv-LV"/>
              </w:rPr>
              <w:t xml:space="preserve">162 340 437  </w:t>
            </w:r>
            <w:r w:rsidRPr="0099389F">
              <w:rPr>
                <w:rFonts w:eastAsia="Times New Roman" w:cs="Times New Roman"/>
                <w:i/>
                <w:noProof/>
                <w:szCs w:val="24"/>
                <w:lang w:eastAsia="lv-LV"/>
              </w:rPr>
              <w:t>euro</w:t>
            </w:r>
          </w:p>
          <w:p w:rsidR="00FB7F75" w:rsidRPr="0099389F" w:rsidRDefault="00FB7F75" w:rsidP="00FB7F75">
            <w:pPr>
              <w:ind w:right="142"/>
              <w:rPr>
                <w:rFonts w:eastAsia="Times New Roman" w:cs="Times New Roman"/>
                <w:noProof/>
                <w:szCs w:val="24"/>
                <w:lang w:bidi="gu-IN"/>
              </w:rPr>
            </w:pPr>
            <w:r w:rsidRPr="0099389F">
              <w:rPr>
                <w:rFonts w:eastAsia="Times New Roman" w:cs="Times New Roman"/>
                <w:noProof/>
                <w:szCs w:val="24"/>
                <w:lang w:bidi="gu-IN"/>
              </w:rPr>
              <w:t>33.18.00 “Plānveida stacionāro veselības aprūpes pakalpojumu nodrošināšana” (2017.gadam):</w:t>
            </w:r>
          </w:p>
          <w:p w:rsidR="00FB7F75" w:rsidRPr="0099389F" w:rsidRDefault="00FB7F75" w:rsidP="00FB7F75">
            <w:pPr>
              <w:ind w:right="142"/>
              <w:rPr>
                <w:rFonts w:eastAsia="Times New Roman" w:cs="Times New Roman"/>
                <w:noProof/>
                <w:szCs w:val="24"/>
                <w:lang w:eastAsia="lv-LV"/>
              </w:rPr>
            </w:pPr>
            <w:r w:rsidRPr="0099389F">
              <w:rPr>
                <w:rFonts w:eastAsia="Times New Roman" w:cs="Times New Roman"/>
                <w:noProof/>
                <w:szCs w:val="24"/>
                <w:lang w:eastAsia="lv-LV"/>
              </w:rPr>
              <w:t xml:space="preserve">Resursi izdevumu segšanai </w:t>
            </w:r>
            <w:r>
              <w:rPr>
                <w:rFonts w:eastAsia="Times New Roman" w:cs="Times New Roman"/>
                <w:color w:val="000000"/>
                <w:szCs w:val="24"/>
                <w:shd w:val="clear" w:color="auto" w:fill="FFFFFF"/>
                <w:lang w:eastAsia="lv-LV" w:bidi="lv-LV"/>
              </w:rPr>
              <w:t>99 793</w:t>
            </w:r>
            <w:r w:rsidRPr="0099389F">
              <w:rPr>
                <w:rFonts w:eastAsia="Times New Roman" w:cs="Times New Roman"/>
                <w:color w:val="000000"/>
                <w:szCs w:val="24"/>
                <w:shd w:val="clear" w:color="auto" w:fill="FFFFFF"/>
                <w:lang w:eastAsia="lv-LV" w:bidi="lv-LV"/>
              </w:rPr>
              <w:t xml:space="preserve"> 392 </w:t>
            </w:r>
            <w:r w:rsidRPr="0099389F">
              <w:rPr>
                <w:rFonts w:eastAsia="Times New Roman" w:cs="Times New Roman"/>
                <w:i/>
                <w:noProof/>
                <w:szCs w:val="24"/>
                <w:lang w:eastAsia="lv-LV"/>
              </w:rPr>
              <w:t>euro</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 xml:space="preserve">dotācija no vispārējiem ieņēmumiem </w:t>
            </w:r>
            <w:r>
              <w:rPr>
                <w:rFonts w:eastAsia="Times New Roman" w:cs="Times New Roman"/>
                <w:color w:val="000000"/>
                <w:szCs w:val="24"/>
                <w:shd w:val="clear" w:color="auto" w:fill="FFFFFF"/>
                <w:lang w:eastAsia="lv-LV" w:bidi="lv-LV"/>
              </w:rPr>
              <w:t>99 793</w:t>
            </w:r>
            <w:r w:rsidRPr="0099389F">
              <w:rPr>
                <w:rFonts w:eastAsia="Times New Roman" w:cs="Times New Roman"/>
                <w:color w:val="000000"/>
                <w:szCs w:val="24"/>
                <w:shd w:val="clear" w:color="auto" w:fill="FFFFFF"/>
                <w:lang w:eastAsia="lv-LV" w:bidi="lv-LV"/>
              </w:rPr>
              <w:t xml:space="preserve"> 392 </w:t>
            </w:r>
            <w:r w:rsidRPr="0099389F">
              <w:rPr>
                <w:rFonts w:eastAsia="Times New Roman" w:cs="Times New Roman"/>
                <w:i/>
                <w:noProof/>
                <w:szCs w:val="24"/>
                <w:lang w:eastAsia="lv-LV"/>
              </w:rPr>
              <w:t>euro</w:t>
            </w:r>
            <w:r w:rsidRPr="0099389F">
              <w:rPr>
                <w:rFonts w:eastAsia="Times New Roman" w:cs="Times New Roman"/>
                <w:noProof/>
                <w:szCs w:val="24"/>
                <w:lang w:eastAsia="lv-LV"/>
              </w:rPr>
              <w:t xml:space="preserve"> </w:t>
            </w:r>
          </w:p>
          <w:p w:rsidR="00FB7F75" w:rsidRPr="0099389F" w:rsidRDefault="00FB7F75" w:rsidP="00FB7F75">
            <w:pPr>
              <w:ind w:right="142"/>
              <w:rPr>
                <w:rFonts w:eastAsia="Times New Roman" w:cs="Times New Roman"/>
                <w:noProof/>
                <w:szCs w:val="24"/>
                <w:lang w:eastAsia="lv-LV"/>
              </w:rPr>
            </w:pPr>
            <w:r w:rsidRPr="0099389F">
              <w:rPr>
                <w:rFonts w:eastAsia="Times New Roman" w:cs="Times New Roman"/>
                <w:noProof/>
                <w:szCs w:val="24"/>
                <w:lang w:eastAsia="lv-LV"/>
              </w:rPr>
              <w:t xml:space="preserve">Izdevumi </w:t>
            </w:r>
            <w:r>
              <w:rPr>
                <w:rFonts w:eastAsia="Times New Roman" w:cs="Times New Roman"/>
                <w:color w:val="000000"/>
                <w:szCs w:val="24"/>
                <w:shd w:val="clear" w:color="auto" w:fill="FFFFFF"/>
                <w:lang w:eastAsia="lv-LV" w:bidi="lv-LV"/>
              </w:rPr>
              <w:t>99 793</w:t>
            </w:r>
            <w:r w:rsidRPr="0099389F">
              <w:rPr>
                <w:rFonts w:eastAsia="Times New Roman" w:cs="Times New Roman"/>
                <w:color w:val="000000"/>
                <w:szCs w:val="24"/>
                <w:shd w:val="clear" w:color="auto" w:fill="FFFFFF"/>
                <w:lang w:eastAsia="lv-LV" w:bidi="lv-LV"/>
              </w:rPr>
              <w:t xml:space="preserve"> 392 </w:t>
            </w:r>
            <w:r w:rsidRPr="0099389F">
              <w:rPr>
                <w:rFonts w:eastAsia="Times New Roman" w:cs="Times New Roman"/>
                <w:i/>
                <w:noProof/>
                <w:szCs w:val="24"/>
                <w:lang w:eastAsia="lv-LV"/>
              </w:rPr>
              <w:t>euro</w:t>
            </w:r>
            <w:r w:rsidRPr="0099389F">
              <w:rPr>
                <w:rFonts w:eastAsia="Times New Roman" w:cs="Times New Roman"/>
                <w:noProof/>
                <w:szCs w:val="24"/>
                <w:lang w:eastAsia="lv-LV"/>
              </w:rPr>
              <w:t>, tai skaitā:</w:t>
            </w:r>
          </w:p>
          <w:p w:rsidR="00FB7F75" w:rsidRPr="0099389F" w:rsidRDefault="00FB7F75" w:rsidP="00FB7F75">
            <w:pPr>
              <w:ind w:right="142" w:firstLine="259"/>
              <w:rPr>
                <w:rFonts w:eastAsia="Times New Roman" w:cs="Times New Roman"/>
                <w:i/>
                <w:noProof/>
                <w:szCs w:val="24"/>
                <w:lang w:eastAsia="lv-LV"/>
              </w:rPr>
            </w:pPr>
            <w:r w:rsidRPr="0099389F">
              <w:rPr>
                <w:rFonts w:eastAsia="Times New Roman" w:cs="Times New Roman"/>
                <w:noProof/>
                <w:szCs w:val="24"/>
                <w:lang w:eastAsia="lv-LV"/>
              </w:rPr>
              <w:t xml:space="preserve">subsīdijas un dotācijas </w:t>
            </w:r>
            <w:r>
              <w:rPr>
                <w:rFonts w:eastAsia="Times New Roman" w:cs="Times New Roman"/>
                <w:color w:val="000000"/>
                <w:szCs w:val="24"/>
                <w:shd w:val="clear" w:color="auto" w:fill="FFFFFF"/>
                <w:lang w:eastAsia="lv-LV" w:bidi="lv-LV"/>
              </w:rPr>
              <w:t>99 793</w:t>
            </w:r>
            <w:r w:rsidRPr="0099389F">
              <w:rPr>
                <w:rFonts w:eastAsia="Times New Roman" w:cs="Times New Roman"/>
                <w:color w:val="000000"/>
                <w:szCs w:val="24"/>
                <w:shd w:val="clear" w:color="auto" w:fill="FFFFFF"/>
                <w:lang w:eastAsia="lv-LV" w:bidi="lv-LV"/>
              </w:rPr>
              <w:t xml:space="preserve"> 392 </w:t>
            </w:r>
            <w:r w:rsidRPr="0099389F">
              <w:rPr>
                <w:rFonts w:eastAsia="Times New Roman" w:cs="Times New Roman"/>
                <w:i/>
                <w:noProof/>
                <w:szCs w:val="24"/>
                <w:lang w:eastAsia="lv-LV"/>
              </w:rPr>
              <w:t>euro</w:t>
            </w:r>
          </w:p>
          <w:p w:rsidR="00FB7F75" w:rsidRPr="0099389F" w:rsidRDefault="00FB7F75" w:rsidP="00FB7F75">
            <w:pPr>
              <w:ind w:right="142"/>
              <w:rPr>
                <w:rFonts w:eastAsia="Times New Roman" w:cs="Times New Roman"/>
                <w:noProof/>
                <w:szCs w:val="24"/>
                <w:lang w:bidi="gu-IN"/>
              </w:rPr>
            </w:pPr>
            <w:r w:rsidRPr="0099389F">
              <w:rPr>
                <w:rFonts w:eastAsia="Times New Roman" w:cs="Times New Roman"/>
                <w:noProof/>
                <w:szCs w:val="24"/>
                <w:lang w:bidi="gu-IN"/>
              </w:rPr>
              <w:t>33.18.00 “Plānveida stacionāro veselības aprūpes pakalpojumu nodrošināšana” (2018.-2019.gadam):</w:t>
            </w:r>
          </w:p>
          <w:p w:rsidR="00FB7F75" w:rsidRPr="0099389F" w:rsidRDefault="00FB7F75" w:rsidP="00FB7F75">
            <w:pPr>
              <w:ind w:right="142"/>
              <w:rPr>
                <w:rFonts w:eastAsia="Times New Roman" w:cs="Times New Roman"/>
                <w:noProof/>
                <w:szCs w:val="24"/>
                <w:lang w:eastAsia="lv-LV"/>
              </w:rPr>
            </w:pPr>
            <w:r w:rsidRPr="0099389F">
              <w:rPr>
                <w:rFonts w:eastAsia="Times New Roman" w:cs="Times New Roman"/>
                <w:noProof/>
                <w:szCs w:val="24"/>
                <w:lang w:eastAsia="lv-LV"/>
              </w:rPr>
              <w:t xml:space="preserve">Resursi izdevumu segšanai </w:t>
            </w:r>
            <w:r w:rsidRPr="0099389F">
              <w:rPr>
                <w:rFonts w:eastAsia="Times New Roman" w:cs="Times New Roman"/>
                <w:color w:val="000000"/>
                <w:szCs w:val="24"/>
                <w:shd w:val="clear" w:color="auto" w:fill="FFFFFF"/>
                <w:lang w:eastAsia="lv-LV" w:bidi="lv-LV"/>
              </w:rPr>
              <w:t xml:space="preserve">99 734 572 </w:t>
            </w:r>
            <w:r w:rsidRPr="0099389F">
              <w:rPr>
                <w:rFonts w:eastAsia="Times New Roman" w:cs="Times New Roman"/>
                <w:i/>
                <w:noProof/>
                <w:szCs w:val="24"/>
                <w:lang w:eastAsia="lv-LV"/>
              </w:rPr>
              <w:t>euro</w:t>
            </w:r>
          </w:p>
          <w:p w:rsidR="00FB7F75" w:rsidRPr="0099389F" w:rsidRDefault="00FB7F75" w:rsidP="00FB7F75">
            <w:pPr>
              <w:ind w:right="142" w:firstLine="259"/>
              <w:rPr>
                <w:rFonts w:eastAsia="Times New Roman" w:cs="Times New Roman"/>
                <w:noProof/>
                <w:szCs w:val="24"/>
                <w:lang w:eastAsia="lv-LV"/>
              </w:rPr>
            </w:pPr>
            <w:r w:rsidRPr="0099389F">
              <w:rPr>
                <w:rFonts w:eastAsia="Times New Roman" w:cs="Times New Roman"/>
                <w:noProof/>
                <w:szCs w:val="24"/>
                <w:lang w:eastAsia="lv-LV"/>
              </w:rPr>
              <w:t xml:space="preserve">dotācija no vispārējiem ieņēmumiem </w:t>
            </w:r>
            <w:r w:rsidRPr="0099389F">
              <w:rPr>
                <w:rFonts w:eastAsia="Times New Roman" w:cs="Times New Roman"/>
                <w:color w:val="000000"/>
                <w:szCs w:val="24"/>
                <w:shd w:val="clear" w:color="auto" w:fill="FFFFFF"/>
                <w:lang w:eastAsia="lv-LV" w:bidi="lv-LV"/>
              </w:rPr>
              <w:t xml:space="preserve">99 734 572 </w:t>
            </w:r>
            <w:r w:rsidRPr="0099389F">
              <w:rPr>
                <w:rFonts w:eastAsia="Times New Roman" w:cs="Times New Roman"/>
                <w:i/>
                <w:noProof/>
                <w:szCs w:val="24"/>
                <w:lang w:eastAsia="lv-LV"/>
              </w:rPr>
              <w:t>euro</w:t>
            </w:r>
            <w:r w:rsidRPr="0099389F">
              <w:rPr>
                <w:rFonts w:eastAsia="Times New Roman" w:cs="Times New Roman"/>
                <w:noProof/>
                <w:szCs w:val="24"/>
                <w:lang w:eastAsia="lv-LV"/>
              </w:rPr>
              <w:t xml:space="preserve"> </w:t>
            </w:r>
          </w:p>
          <w:p w:rsidR="00FB7F75" w:rsidRPr="0099389F" w:rsidRDefault="00FB7F75" w:rsidP="00FB7F75">
            <w:pPr>
              <w:ind w:right="142"/>
              <w:rPr>
                <w:rFonts w:eastAsia="Times New Roman" w:cs="Times New Roman"/>
                <w:noProof/>
                <w:szCs w:val="24"/>
                <w:lang w:eastAsia="lv-LV"/>
              </w:rPr>
            </w:pPr>
            <w:r w:rsidRPr="0099389F">
              <w:rPr>
                <w:rFonts w:eastAsia="Times New Roman" w:cs="Times New Roman"/>
                <w:noProof/>
                <w:szCs w:val="24"/>
                <w:lang w:eastAsia="lv-LV"/>
              </w:rPr>
              <w:t xml:space="preserve">Izdevumi </w:t>
            </w:r>
            <w:r w:rsidRPr="0099389F">
              <w:rPr>
                <w:rFonts w:eastAsia="Times New Roman" w:cs="Times New Roman"/>
                <w:color w:val="000000"/>
                <w:szCs w:val="24"/>
                <w:shd w:val="clear" w:color="auto" w:fill="FFFFFF"/>
                <w:lang w:eastAsia="lv-LV" w:bidi="lv-LV"/>
              </w:rPr>
              <w:t xml:space="preserve">99 734 572 </w:t>
            </w:r>
            <w:r w:rsidRPr="0099389F">
              <w:rPr>
                <w:rFonts w:eastAsia="Times New Roman" w:cs="Times New Roman"/>
                <w:i/>
                <w:noProof/>
                <w:szCs w:val="24"/>
                <w:lang w:eastAsia="lv-LV"/>
              </w:rPr>
              <w:t>euro</w:t>
            </w:r>
            <w:r w:rsidRPr="0099389F">
              <w:rPr>
                <w:rFonts w:eastAsia="Times New Roman" w:cs="Times New Roman"/>
                <w:noProof/>
                <w:szCs w:val="24"/>
                <w:lang w:eastAsia="lv-LV"/>
              </w:rPr>
              <w:t>, tai skaitā:</w:t>
            </w:r>
          </w:p>
          <w:p w:rsidR="00FB7F75" w:rsidRPr="0099389F" w:rsidRDefault="00FB7F75" w:rsidP="00FB7F75">
            <w:pPr>
              <w:ind w:right="142" w:firstLine="259"/>
              <w:rPr>
                <w:rFonts w:eastAsia="Times New Roman" w:cs="Times New Roman"/>
                <w:i/>
                <w:noProof/>
                <w:szCs w:val="24"/>
                <w:lang w:eastAsia="lv-LV"/>
              </w:rPr>
            </w:pPr>
            <w:r w:rsidRPr="0099389F">
              <w:rPr>
                <w:rFonts w:eastAsia="Times New Roman" w:cs="Times New Roman"/>
                <w:noProof/>
                <w:szCs w:val="24"/>
                <w:lang w:eastAsia="lv-LV"/>
              </w:rPr>
              <w:t xml:space="preserve">subsīdijas un dotācijas </w:t>
            </w:r>
            <w:r w:rsidRPr="0099389F">
              <w:rPr>
                <w:rFonts w:eastAsia="Times New Roman" w:cs="Times New Roman"/>
                <w:color w:val="000000"/>
                <w:szCs w:val="24"/>
                <w:shd w:val="clear" w:color="auto" w:fill="FFFFFF"/>
                <w:lang w:eastAsia="lv-LV" w:bidi="lv-LV"/>
              </w:rPr>
              <w:t xml:space="preserve">99 734 572 </w:t>
            </w:r>
            <w:r w:rsidRPr="0099389F">
              <w:rPr>
                <w:rFonts w:eastAsia="Times New Roman" w:cs="Times New Roman"/>
                <w:i/>
                <w:noProof/>
                <w:szCs w:val="24"/>
                <w:lang w:eastAsia="lv-LV"/>
              </w:rPr>
              <w:t>euro</w:t>
            </w:r>
          </w:p>
          <w:p w:rsidR="00FB7F75" w:rsidRPr="0099389F" w:rsidRDefault="00FB7F75" w:rsidP="00FB7F75">
            <w:pPr>
              <w:ind w:right="142"/>
              <w:rPr>
                <w:rFonts w:eastAsia="Times New Roman" w:cs="Times New Roman"/>
                <w:i/>
                <w:noProof/>
                <w:szCs w:val="24"/>
                <w:lang w:eastAsia="lv-LV"/>
              </w:rPr>
            </w:pPr>
          </w:p>
          <w:p w:rsidR="00FB7F75" w:rsidRPr="0099389F" w:rsidRDefault="00FB7F75" w:rsidP="00FB7F75">
            <w:pPr>
              <w:ind w:right="142"/>
              <w:jc w:val="both"/>
              <w:rPr>
                <w:rFonts w:cs="Times New Roman"/>
                <w:szCs w:val="24"/>
                <w:lang w:eastAsia="lv-LV"/>
              </w:rPr>
            </w:pPr>
            <w:r w:rsidRPr="0099389F">
              <w:rPr>
                <w:rFonts w:cs="Times New Roman"/>
                <w:szCs w:val="24"/>
                <w:lang w:eastAsia="lv-LV"/>
              </w:rPr>
              <w:t>Ietekme uz 2016.gada budžetu nav plānota, jo Noteikumu projekta spēkā stāšanās brīdis plānots no 2017.gada 1.janvāra.</w:t>
            </w:r>
          </w:p>
          <w:p w:rsidR="00FB7F75" w:rsidRPr="0099389F" w:rsidRDefault="00FB7F75" w:rsidP="00FB7F75">
            <w:pPr>
              <w:ind w:right="142"/>
              <w:rPr>
                <w:rFonts w:cs="Times New Roman"/>
                <w:szCs w:val="24"/>
                <w:lang w:eastAsia="lv-LV"/>
              </w:rPr>
            </w:pPr>
          </w:p>
          <w:p w:rsidR="00FB7F75" w:rsidRPr="0099389F" w:rsidRDefault="00FB7F75" w:rsidP="00FB7F75">
            <w:pPr>
              <w:ind w:right="142"/>
              <w:rPr>
                <w:rFonts w:eastAsia="Times New Roman" w:cs="Times New Roman"/>
                <w:noProof/>
                <w:szCs w:val="24"/>
                <w:lang w:eastAsia="lv-LV"/>
              </w:rPr>
            </w:pPr>
            <w:r w:rsidRPr="0099389F">
              <w:rPr>
                <w:rFonts w:cs="Times New Roman"/>
                <w:szCs w:val="24"/>
                <w:u w:val="single"/>
                <w:lang w:eastAsia="lv-LV"/>
              </w:rPr>
              <w:t xml:space="preserve">Ietekme uz 2017.gadu un turpmāko budžetu. </w:t>
            </w:r>
            <w:r w:rsidRPr="0099389F">
              <w:rPr>
                <w:rFonts w:cs="Times New Roman"/>
                <w:szCs w:val="24"/>
                <w:lang w:eastAsia="lv-LV"/>
              </w:rPr>
              <w:t xml:space="preserve"> </w:t>
            </w:r>
          </w:p>
          <w:p w:rsidR="00FB7F75" w:rsidRPr="0099389F" w:rsidRDefault="00FB7F75" w:rsidP="00FB7F75">
            <w:pPr>
              <w:ind w:left="159" w:right="140"/>
              <w:jc w:val="both"/>
              <w:rPr>
                <w:rFonts w:eastAsia="Times New Roman" w:cs="Times New Roman"/>
                <w:noProof/>
                <w:szCs w:val="24"/>
                <w:lang w:bidi="gu-IN"/>
              </w:rPr>
            </w:pPr>
            <w:r w:rsidRPr="0099389F">
              <w:rPr>
                <w:rFonts w:eastAsia="Times New Roman" w:cs="Times New Roman"/>
                <w:noProof/>
                <w:szCs w:val="24"/>
                <w:lang w:bidi="gu-IN"/>
              </w:rPr>
              <w:t xml:space="preserve">Veselības nozarei 2016.-2018.gadam tika piešķirts papildus finansējums neatliekamo pasākumu nodrošināšanai, tai skaitā ārstniecības personu un pārējo nozarē strādājošo darba samaksas pieauguma nodrošināšanai (algu skalas izlīdzināšanai) 10 000 000 </w:t>
            </w:r>
            <w:r w:rsidRPr="0099389F">
              <w:rPr>
                <w:rFonts w:eastAsia="Times New Roman" w:cs="Times New Roman"/>
                <w:i/>
                <w:noProof/>
                <w:szCs w:val="24"/>
                <w:lang w:bidi="gu-IN"/>
              </w:rPr>
              <w:t>euro</w:t>
            </w:r>
            <w:r w:rsidRPr="0099389F">
              <w:rPr>
                <w:rFonts w:eastAsia="Times New Roman" w:cs="Times New Roman"/>
                <w:noProof/>
                <w:szCs w:val="24"/>
                <w:lang w:bidi="gu-IN"/>
              </w:rPr>
              <w:t xml:space="preserve"> ik gadu, vienlaikus paredzot likumā „Par valsts budžetu 2016.gadam” 66.pantu, kas nosaka, ka finansējums 10 000 000 euro apmērā paredzēts valsts un pašvaldību ārstniecības iestāžu nodarbināto darba samaksas pieauguma nodrošināšanai atbilstoši noslēgtajiem līgumiem par valsts apmaksātajiem veselības aprūpes pakalpojumiem Ministru kabineta noteiktajā kārtībā un apmērā. Atbilstoši piešķīrumam Noteikumu projekta pievienotājā redakcijā izstrādāts pielikums Nr.37, kas minētā piešķīruma kontekstā ietekmi uz valsts budžetu nerada. </w:t>
            </w:r>
            <w:r w:rsidRPr="003D630A">
              <w:rPr>
                <w:rFonts w:eastAsia="Times New Roman" w:cs="Times New Roman"/>
                <w:noProof/>
                <w:szCs w:val="24"/>
                <w:lang w:bidi="gu-IN"/>
              </w:rPr>
              <w:t>Saskaņā ar 37.pielikumu veikta finansējuma pārdale atbilstoši izmaiņām ārstniecības iestāžu noslodzē.  Katrai valsts un pašvaldību ārstniecības iestādei papildus piešķiramā finansējuma apmērs</w:t>
            </w:r>
            <w:r w:rsidRPr="0099389F">
              <w:rPr>
                <w:rFonts w:eastAsia="Times New Roman" w:cs="Times New Roman"/>
                <w:noProof/>
                <w:szCs w:val="24"/>
                <w:lang w:bidi="gu-IN"/>
              </w:rPr>
              <w:t xml:space="preserve"> ārstniecības personu darba samaksai aprēķināts, ņemot vērā ārstniecības iestāžu sniegto informāciju par darba slodžu skaitu sadalījumā pa amata kvalifikācijas kategorijām katrā iestādē (slodžu skaits (strādājošo skaits normālā darba laika ietvaros) iegūts no iestāžu sniegtās informācijas par 2016.g. pusgadu.). Finanšu līdzekļu sadalījums darba samaksas pieauguma nodrošināšanai 2017.gadā katrai iestādei norādīts Noteikumu 37.pielikumā.</w:t>
            </w:r>
          </w:p>
          <w:p w:rsidR="00FB7F75" w:rsidRPr="0099389F" w:rsidRDefault="00FB7F75" w:rsidP="00FB7F75">
            <w:pPr>
              <w:ind w:left="159" w:right="140"/>
              <w:jc w:val="both"/>
              <w:rPr>
                <w:rFonts w:eastAsia="Times New Roman" w:cs="Times New Roman"/>
                <w:noProof/>
                <w:szCs w:val="24"/>
                <w:lang w:bidi="gu-IN"/>
              </w:rPr>
            </w:pPr>
            <w:r w:rsidRPr="0099389F">
              <w:rPr>
                <w:rFonts w:eastAsia="Times New Roman" w:cs="Times New Roman"/>
                <w:noProof/>
                <w:szCs w:val="24"/>
                <w:lang w:bidi="gu-IN"/>
              </w:rPr>
              <w:t xml:space="preserve">Atbilstoši </w:t>
            </w:r>
            <w:r w:rsidRPr="0099389F">
              <w:rPr>
                <w:rFonts w:cs="Times New Roman"/>
                <w:noProof/>
                <w:szCs w:val="24"/>
              </w:rPr>
              <w:t xml:space="preserve">Ministru kabineta 2016.gada 18.augusta protokola Nr.41, 5.§  22.punktam Veselības ministrijai veselības aprūpes pakalpojumu nodrošināšanai vidēja termiņa  budžeta ietvarā piešķirti </w:t>
            </w:r>
            <w:r w:rsidRPr="0099389F">
              <w:rPr>
                <w:rFonts w:cs="Times New Roman"/>
                <w:b/>
                <w:noProof/>
                <w:szCs w:val="24"/>
              </w:rPr>
              <w:t>5 074 341</w:t>
            </w:r>
            <w:r w:rsidRPr="0099389F">
              <w:rPr>
                <w:rFonts w:cs="Times New Roman"/>
                <w:noProof/>
                <w:szCs w:val="24"/>
              </w:rPr>
              <w:t xml:space="preserve"> euro  </w:t>
            </w:r>
            <w:r w:rsidRPr="0099389F">
              <w:rPr>
                <w:rFonts w:eastAsia="Times New Roman" w:cs="Times New Roman"/>
                <w:noProof/>
                <w:szCs w:val="24"/>
                <w:lang w:bidi="gu-IN"/>
              </w:rPr>
              <w:t xml:space="preserve"> m</w:t>
            </w:r>
            <w:r w:rsidRPr="0099389F">
              <w:rPr>
                <w:rFonts w:cs="Times New Roman"/>
                <w:noProof/>
                <w:szCs w:val="24"/>
              </w:rPr>
              <w:t>inimālās mēneša darba algas paaugstināšana līdz 380 euro ar 2017.gada 1.janvāri un zemāko mēneša darba algu izlīdzināšana ar 2017.gada 1.janvāri</w:t>
            </w:r>
            <w:r w:rsidRPr="0099389F">
              <w:rPr>
                <w:rFonts w:eastAsia="Times New Roman" w:cs="Times New Roman"/>
                <w:noProof/>
                <w:szCs w:val="24"/>
                <w:lang w:bidi="gu-IN"/>
              </w:rPr>
              <w:t>. Atbilstoši minētajam veiktas izmaiņas Noteikumu projekta 16.pielikumā,  Noteikumu 287.punktā un Noteikumu 3.pielikuma 1.un 3.punktā, kā arī 13.pielikuma 3.punktā.  Noteikumu projekta izmaiņas sagatavotas saskaņā izststrādātajām izmaiņām (grozījumiem) 2010.gada 29.jūnija Ministru kabineta noteikumos Nr.595 „Noteikumi par zemāko mēnešalgu un speciālo piemaksu ārstniecības personām”. Izmaiņu i</w:t>
            </w:r>
            <w:r>
              <w:rPr>
                <w:rFonts w:eastAsia="Times New Roman" w:cs="Times New Roman"/>
                <w:noProof/>
                <w:szCs w:val="24"/>
                <w:lang w:bidi="gu-IN"/>
              </w:rPr>
              <w:t>e</w:t>
            </w:r>
            <w:r w:rsidRPr="0099389F">
              <w:rPr>
                <w:rFonts w:eastAsia="Times New Roman" w:cs="Times New Roman"/>
                <w:noProof/>
                <w:szCs w:val="24"/>
                <w:lang w:bidi="gu-IN"/>
              </w:rPr>
              <w:t xml:space="preserve">tekme aprēķināta sekojoši: </w:t>
            </w:r>
          </w:p>
          <w:tbl>
            <w:tblPr>
              <w:tblW w:w="6960" w:type="dxa"/>
              <w:tblLook w:val="04A0"/>
            </w:tblPr>
            <w:tblGrid>
              <w:gridCol w:w="2380"/>
              <w:gridCol w:w="1540"/>
              <w:gridCol w:w="1540"/>
              <w:gridCol w:w="1500"/>
            </w:tblGrid>
            <w:tr w:rsidR="00FB7F75" w:rsidRPr="006C267C" w:rsidTr="00C56C0B">
              <w:trPr>
                <w:trHeight w:val="600"/>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F75" w:rsidRPr="006C267C" w:rsidRDefault="00FB7F75" w:rsidP="00C56C0B">
                  <w:pPr>
                    <w:jc w:val="center"/>
                    <w:rPr>
                      <w:rFonts w:eastAsia="Times New Roman" w:cs="Times New Roman"/>
                      <w:color w:val="000000"/>
                      <w:szCs w:val="24"/>
                      <w:lang w:eastAsia="lv-LV"/>
                    </w:rPr>
                  </w:pPr>
                  <w:r w:rsidRPr="006C267C">
                    <w:rPr>
                      <w:rFonts w:eastAsia="Times New Roman" w:cs="Times New Roman"/>
                      <w:color w:val="000000"/>
                      <w:szCs w:val="24"/>
                      <w:lang w:eastAsia="lv-LV"/>
                    </w:rPr>
                    <w:t>Periods</w:t>
                  </w:r>
                </w:p>
              </w:tc>
              <w:tc>
                <w:tcPr>
                  <w:tcW w:w="4580" w:type="dxa"/>
                  <w:gridSpan w:val="3"/>
                  <w:tcBorders>
                    <w:top w:val="single" w:sz="4" w:space="0" w:color="auto"/>
                    <w:left w:val="nil"/>
                    <w:bottom w:val="single" w:sz="4" w:space="0" w:color="auto"/>
                    <w:right w:val="single" w:sz="4" w:space="0" w:color="auto"/>
                  </w:tcBorders>
                  <w:shd w:val="clear" w:color="auto" w:fill="auto"/>
                  <w:vAlign w:val="center"/>
                  <w:hideMark/>
                </w:tcPr>
                <w:p w:rsidR="00FB7F75" w:rsidRPr="006C267C" w:rsidRDefault="00FB7F75" w:rsidP="00C56C0B">
                  <w:pPr>
                    <w:jc w:val="center"/>
                    <w:rPr>
                      <w:rFonts w:eastAsia="Times New Roman" w:cs="Times New Roman"/>
                      <w:szCs w:val="24"/>
                      <w:lang w:eastAsia="lv-LV"/>
                    </w:rPr>
                  </w:pPr>
                  <w:r w:rsidRPr="006C267C">
                    <w:rPr>
                      <w:rFonts w:eastAsia="Times New Roman" w:cs="Times New Roman"/>
                      <w:szCs w:val="24"/>
                      <w:lang w:eastAsia="lv-LV"/>
                    </w:rPr>
                    <w:t>VESELĪBAS APRŪPES PAKALPOJUMI (finansējums)</w:t>
                  </w:r>
                </w:p>
              </w:tc>
            </w:tr>
            <w:tr w:rsidR="00FB7F75" w:rsidRPr="006C267C" w:rsidTr="00C56C0B">
              <w:trPr>
                <w:trHeight w:val="315"/>
              </w:trPr>
              <w:tc>
                <w:tcPr>
                  <w:tcW w:w="2380" w:type="dxa"/>
                  <w:vMerge/>
                  <w:tcBorders>
                    <w:top w:val="single" w:sz="4" w:space="0" w:color="auto"/>
                    <w:left w:val="single" w:sz="4" w:space="0" w:color="auto"/>
                    <w:bottom w:val="single" w:sz="4" w:space="0" w:color="auto"/>
                    <w:right w:val="single" w:sz="4" w:space="0" w:color="auto"/>
                  </w:tcBorders>
                  <w:vAlign w:val="center"/>
                  <w:hideMark/>
                </w:tcPr>
                <w:p w:rsidR="00FB7F75" w:rsidRPr="006C267C" w:rsidRDefault="00FB7F75" w:rsidP="00C56C0B">
                  <w:pPr>
                    <w:rPr>
                      <w:rFonts w:eastAsia="Times New Roman" w:cs="Times New Roman"/>
                      <w:color w:val="000000"/>
                      <w:szCs w:val="24"/>
                      <w:lang w:eastAsia="lv-LV"/>
                    </w:rPr>
                  </w:pP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FB7F75" w:rsidRPr="006C267C" w:rsidRDefault="00FB7F75" w:rsidP="00C56C0B">
                  <w:pPr>
                    <w:jc w:val="center"/>
                    <w:rPr>
                      <w:rFonts w:eastAsia="Times New Roman" w:cs="Times New Roman"/>
                      <w:szCs w:val="24"/>
                      <w:lang w:eastAsia="lv-LV"/>
                    </w:rPr>
                  </w:pPr>
                  <w:r w:rsidRPr="006C267C">
                    <w:rPr>
                      <w:rFonts w:eastAsia="Times New Roman" w:cs="Times New Roman"/>
                      <w:szCs w:val="24"/>
                      <w:lang w:eastAsia="lv-LV"/>
                    </w:rPr>
                    <w:t>Summa kopā, EUR</w:t>
                  </w:r>
                </w:p>
              </w:tc>
              <w:tc>
                <w:tcPr>
                  <w:tcW w:w="3040" w:type="dxa"/>
                  <w:gridSpan w:val="2"/>
                  <w:tcBorders>
                    <w:top w:val="single" w:sz="4" w:space="0" w:color="auto"/>
                    <w:left w:val="nil"/>
                    <w:bottom w:val="single" w:sz="4" w:space="0" w:color="auto"/>
                    <w:right w:val="single" w:sz="4" w:space="0" w:color="auto"/>
                  </w:tcBorders>
                  <w:shd w:val="clear" w:color="auto" w:fill="auto"/>
                  <w:noWrap/>
                  <w:vAlign w:val="center"/>
                  <w:hideMark/>
                </w:tcPr>
                <w:p w:rsidR="00FB7F75" w:rsidRPr="006C267C" w:rsidRDefault="00FB7F75" w:rsidP="00C56C0B">
                  <w:pPr>
                    <w:jc w:val="center"/>
                    <w:rPr>
                      <w:rFonts w:eastAsia="Times New Roman" w:cs="Times New Roman"/>
                      <w:color w:val="000000"/>
                      <w:szCs w:val="24"/>
                      <w:lang w:eastAsia="lv-LV"/>
                    </w:rPr>
                  </w:pPr>
                  <w:r w:rsidRPr="006C267C">
                    <w:rPr>
                      <w:rFonts w:eastAsia="Times New Roman" w:cs="Times New Roman"/>
                      <w:color w:val="000000"/>
                      <w:szCs w:val="24"/>
                      <w:lang w:eastAsia="lv-LV"/>
                    </w:rPr>
                    <w:t>tajā skaita, EUR</w:t>
                  </w:r>
                </w:p>
              </w:tc>
            </w:tr>
            <w:tr w:rsidR="00FB7F75" w:rsidRPr="006C267C" w:rsidTr="00C56C0B">
              <w:trPr>
                <w:trHeight w:val="555"/>
              </w:trPr>
              <w:tc>
                <w:tcPr>
                  <w:tcW w:w="2380" w:type="dxa"/>
                  <w:vMerge/>
                  <w:tcBorders>
                    <w:top w:val="single" w:sz="4" w:space="0" w:color="auto"/>
                    <w:left w:val="single" w:sz="4" w:space="0" w:color="auto"/>
                    <w:bottom w:val="single" w:sz="4" w:space="0" w:color="auto"/>
                    <w:right w:val="single" w:sz="4" w:space="0" w:color="auto"/>
                  </w:tcBorders>
                  <w:vAlign w:val="center"/>
                  <w:hideMark/>
                </w:tcPr>
                <w:p w:rsidR="00FB7F75" w:rsidRPr="006C267C" w:rsidRDefault="00FB7F75" w:rsidP="00C56C0B">
                  <w:pPr>
                    <w:rPr>
                      <w:rFonts w:eastAsia="Times New Roman" w:cs="Times New Roman"/>
                      <w:color w:val="000000"/>
                      <w:szCs w:val="24"/>
                      <w:lang w:eastAsia="lv-LV"/>
                    </w:rPr>
                  </w:pPr>
                </w:p>
              </w:tc>
              <w:tc>
                <w:tcPr>
                  <w:tcW w:w="1540" w:type="dxa"/>
                  <w:vMerge/>
                  <w:tcBorders>
                    <w:top w:val="nil"/>
                    <w:left w:val="single" w:sz="4" w:space="0" w:color="auto"/>
                    <w:bottom w:val="single" w:sz="4" w:space="0" w:color="auto"/>
                    <w:right w:val="single" w:sz="4" w:space="0" w:color="auto"/>
                  </w:tcBorders>
                  <w:vAlign w:val="center"/>
                  <w:hideMark/>
                </w:tcPr>
                <w:p w:rsidR="00FB7F75" w:rsidRPr="006C267C" w:rsidRDefault="00FB7F75" w:rsidP="00C56C0B">
                  <w:pPr>
                    <w:rPr>
                      <w:rFonts w:eastAsia="Times New Roman" w:cs="Times New Roman"/>
                      <w:szCs w:val="24"/>
                      <w:lang w:eastAsia="lv-LV"/>
                    </w:rPr>
                  </w:pPr>
                </w:p>
              </w:tc>
              <w:tc>
                <w:tcPr>
                  <w:tcW w:w="1540" w:type="dxa"/>
                  <w:tcBorders>
                    <w:top w:val="nil"/>
                    <w:left w:val="nil"/>
                    <w:bottom w:val="single" w:sz="4" w:space="0" w:color="auto"/>
                    <w:right w:val="single" w:sz="4" w:space="0" w:color="auto"/>
                  </w:tcBorders>
                  <w:shd w:val="clear" w:color="auto" w:fill="auto"/>
                  <w:vAlign w:val="center"/>
                  <w:hideMark/>
                </w:tcPr>
                <w:p w:rsidR="00FB7F75" w:rsidRPr="006C267C" w:rsidRDefault="00FB7F75" w:rsidP="00C56C0B">
                  <w:pPr>
                    <w:jc w:val="center"/>
                    <w:rPr>
                      <w:rFonts w:eastAsia="Times New Roman" w:cs="Times New Roman"/>
                      <w:szCs w:val="24"/>
                      <w:lang w:eastAsia="lv-LV"/>
                    </w:rPr>
                  </w:pPr>
                  <w:r w:rsidRPr="006C267C">
                    <w:rPr>
                      <w:rFonts w:eastAsia="Times New Roman" w:cs="Times New Roman"/>
                      <w:szCs w:val="24"/>
                      <w:lang w:eastAsia="lv-LV"/>
                    </w:rPr>
                    <w:t>D+S daļa</w:t>
                  </w:r>
                </w:p>
              </w:tc>
              <w:tc>
                <w:tcPr>
                  <w:tcW w:w="1500" w:type="dxa"/>
                  <w:tcBorders>
                    <w:top w:val="nil"/>
                    <w:left w:val="nil"/>
                    <w:bottom w:val="single" w:sz="4" w:space="0" w:color="auto"/>
                    <w:right w:val="single" w:sz="4" w:space="0" w:color="auto"/>
                  </w:tcBorders>
                  <w:shd w:val="clear" w:color="auto" w:fill="auto"/>
                  <w:vAlign w:val="center"/>
                  <w:hideMark/>
                </w:tcPr>
                <w:p w:rsidR="00FB7F75" w:rsidRPr="006C267C" w:rsidRDefault="00FB7F75" w:rsidP="00C56C0B">
                  <w:pPr>
                    <w:jc w:val="center"/>
                    <w:rPr>
                      <w:rFonts w:eastAsia="Times New Roman" w:cs="Times New Roman"/>
                      <w:szCs w:val="24"/>
                      <w:lang w:eastAsia="lv-LV"/>
                    </w:rPr>
                  </w:pPr>
                  <w:r w:rsidRPr="006C267C">
                    <w:rPr>
                      <w:rFonts w:eastAsia="Times New Roman" w:cs="Times New Roman"/>
                      <w:szCs w:val="24"/>
                      <w:lang w:eastAsia="lv-LV"/>
                    </w:rPr>
                    <w:t>pārējo elementu daļa</w:t>
                  </w:r>
                </w:p>
              </w:tc>
            </w:tr>
            <w:tr w:rsidR="00FB7F75" w:rsidRPr="006C267C" w:rsidTr="00C56C0B">
              <w:trPr>
                <w:trHeight w:val="31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B7F75" w:rsidRPr="006C267C" w:rsidRDefault="00FB7F75" w:rsidP="00C56C0B">
                  <w:pPr>
                    <w:jc w:val="center"/>
                    <w:rPr>
                      <w:rFonts w:eastAsia="Times New Roman" w:cs="Times New Roman"/>
                      <w:szCs w:val="24"/>
                      <w:lang w:eastAsia="lv-LV"/>
                    </w:rPr>
                  </w:pPr>
                  <w:r w:rsidRPr="006C267C">
                    <w:rPr>
                      <w:rFonts w:eastAsia="Times New Roman" w:cs="Times New Roman"/>
                      <w:szCs w:val="24"/>
                      <w:lang w:eastAsia="lv-LV"/>
                    </w:rPr>
                    <w:t>2016.gads</w:t>
                  </w:r>
                </w:p>
              </w:tc>
              <w:tc>
                <w:tcPr>
                  <w:tcW w:w="1540" w:type="dxa"/>
                  <w:tcBorders>
                    <w:top w:val="nil"/>
                    <w:left w:val="nil"/>
                    <w:bottom w:val="single" w:sz="4" w:space="0" w:color="auto"/>
                    <w:right w:val="single" w:sz="4" w:space="0" w:color="auto"/>
                  </w:tcBorders>
                  <w:shd w:val="clear" w:color="auto" w:fill="auto"/>
                  <w:vAlign w:val="center"/>
                  <w:hideMark/>
                </w:tcPr>
                <w:p w:rsidR="00FB7F75" w:rsidRPr="006C267C" w:rsidRDefault="00FB7F75" w:rsidP="00C56C0B">
                  <w:pPr>
                    <w:jc w:val="center"/>
                    <w:rPr>
                      <w:rFonts w:eastAsia="Times New Roman" w:cs="Times New Roman"/>
                      <w:szCs w:val="24"/>
                      <w:lang w:eastAsia="lv-LV"/>
                    </w:rPr>
                  </w:pPr>
                  <w:r w:rsidRPr="006C267C">
                    <w:rPr>
                      <w:rFonts w:eastAsia="Times New Roman" w:cs="Times New Roman"/>
                      <w:szCs w:val="24"/>
                      <w:lang w:eastAsia="lv-LV"/>
                    </w:rPr>
                    <w:t>509</w:t>
                  </w:r>
                  <w:r w:rsidRPr="0099389F">
                    <w:rPr>
                      <w:rFonts w:eastAsia="Times New Roman" w:cs="Times New Roman"/>
                      <w:szCs w:val="24"/>
                      <w:lang w:eastAsia="lv-LV"/>
                    </w:rPr>
                    <w:t xml:space="preserve"> </w:t>
                  </w:r>
                  <w:r w:rsidRPr="006C267C">
                    <w:rPr>
                      <w:rFonts w:eastAsia="Times New Roman" w:cs="Times New Roman"/>
                      <w:szCs w:val="24"/>
                      <w:lang w:eastAsia="lv-LV"/>
                    </w:rPr>
                    <w:t>932</w:t>
                  </w:r>
                  <w:r w:rsidRPr="0099389F">
                    <w:rPr>
                      <w:rFonts w:eastAsia="Times New Roman" w:cs="Times New Roman"/>
                      <w:szCs w:val="24"/>
                      <w:lang w:eastAsia="lv-LV"/>
                    </w:rPr>
                    <w:t xml:space="preserve"> </w:t>
                  </w:r>
                  <w:r w:rsidRPr="006C267C">
                    <w:rPr>
                      <w:rFonts w:eastAsia="Times New Roman" w:cs="Times New Roman"/>
                      <w:szCs w:val="24"/>
                      <w:lang w:eastAsia="lv-LV"/>
                    </w:rPr>
                    <w:t>565</w:t>
                  </w:r>
                </w:p>
              </w:tc>
              <w:tc>
                <w:tcPr>
                  <w:tcW w:w="1540" w:type="dxa"/>
                  <w:tcBorders>
                    <w:top w:val="nil"/>
                    <w:left w:val="nil"/>
                    <w:bottom w:val="single" w:sz="4" w:space="0" w:color="auto"/>
                    <w:right w:val="single" w:sz="4" w:space="0" w:color="auto"/>
                  </w:tcBorders>
                  <w:shd w:val="clear" w:color="auto" w:fill="auto"/>
                  <w:vAlign w:val="center"/>
                  <w:hideMark/>
                </w:tcPr>
                <w:p w:rsidR="00FB7F75" w:rsidRPr="006C267C" w:rsidRDefault="00FB7F75" w:rsidP="00C56C0B">
                  <w:pPr>
                    <w:jc w:val="center"/>
                    <w:rPr>
                      <w:rFonts w:eastAsia="Times New Roman" w:cs="Times New Roman"/>
                      <w:szCs w:val="24"/>
                      <w:lang w:eastAsia="lv-LV"/>
                    </w:rPr>
                  </w:pPr>
                  <w:r w:rsidRPr="006C267C">
                    <w:rPr>
                      <w:rFonts w:eastAsia="Times New Roman" w:cs="Times New Roman"/>
                      <w:szCs w:val="24"/>
                      <w:lang w:eastAsia="lv-LV"/>
                    </w:rPr>
                    <w:t>184</w:t>
                  </w:r>
                  <w:r w:rsidRPr="0099389F">
                    <w:rPr>
                      <w:rFonts w:eastAsia="Times New Roman" w:cs="Times New Roman"/>
                      <w:szCs w:val="24"/>
                      <w:lang w:eastAsia="lv-LV"/>
                    </w:rPr>
                    <w:t xml:space="preserve"> </w:t>
                  </w:r>
                  <w:r w:rsidRPr="006C267C">
                    <w:rPr>
                      <w:rFonts w:eastAsia="Times New Roman" w:cs="Times New Roman"/>
                      <w:szCs w:val="24"/>
                      <w:lang w:eastAsia="lv-LV"/>
                    </w:rPr>
                    <w:t>503</w:t>
                  </w:r>
                  <w:r w:rsidRPr="0099389F">
                    <w:rPr>
                      <w:rFonts w:eastAsia="Times New Roman" w:cs="Times New Roman"/>
                      <w:szCs w:val="24"/>
                      <w:lang w:eastAsia="lv-LV"/>
                    </w:rPr>
                    <w:t xml:space="preserve"> </w:t>
                  </w:r>
                  <w:r w:rsidRPr="006C267C">
                    <w:rPr>
                      <w:rFonts w:eastAsia="Times New Roman" w:cs="Times New Roman"/>
                      <w:szCs w:val="24"/>
                      <w:lang w:eastAsia="lv-LV"/>
                    </w:rPr>
                    <w:t>139</w:t>
                  </w:r>
                </w:p>
              </w:tc>
              <w:tc>
                <w:tcPr>
                  <w:tcW w:w="1500" w:type="dxa"/>
                  <w:tcBorders>
                    <w:top w:val="nil"/>
                    <w:left w:val="nil"/>
                    <w:bottom w:val="single" w:sz="4" w:space="0" w:color="auto"/>
                    <w:right w:val="single" w:sz="4" w:space="0" w:color="auto"/>
                  </w:tcBorders>
                  <w:shd w:val="clear" w:color="auto" w:fill="auto"/>
                  <w:vAlign w:val="center"/>
                  <w:hideMark/>
                </w:tcPr>
                <w:p w:rsidR="00FB7F75" w:rsidRPr="006C267C" w:rsidRDefault="00FB7F75" w:rsidP="00C56C0B">
                  <w:pPr>
                    <w:jc w:val="center"/>
                    <w:rPr>
                      <w:rFonts w:eastAsia="Times New Roman" w:cs="Times New Roman"/>
                      <w:szCs w:val="24"/>
                      <w:lang w:eastAsia="lv-LV"/>
                    </w:rPr>
                  </w:pPr>
                  <w:r w:rsidRPr="006C267C">
                    <w:rPr>
                      <w:rFonts w:eastAsia="Times New Roman" w:cs="Times New Roman"/>
                      <w:szCs w:val="24"/>
                      <w:lang w:eastAsia="lv-LV"/>
                    </w:rPr>
                    <w:t>325</w:t>
                  </w:r>
                  <w:r w:rsidRPr="0099389F">
                    <w:rPr>
                      <w:rFonts w:eastAsia="Times New Roman" w:cs="Times New Roman"/>
                      <w:szCs w:val="24"/>
                      <w:lang w:eastAsia="lv-LV"/>
                    </w:rPr>
                    <w:t xml:space="preserve"> </w:t>
                  </w:r>
                  <w:r w:rsidRPr="006C267C">
                    <w:rPr>
                      <w:rFonts w:eastAsia="Times New Roman" w:cs="Times New Roman"/>
                      <w:szCs w:val="24"/>
                      <w:lang w:eastAsia="lv-LV"/>
                    </w:rPr>
                    <w:t>429</w:t>
                  </w:r>
                  <w:r w:rsidRPr="0099389F">
                    <w:rPr>
                      <w:rFonts w:eastAsia="Times New Roman" w:cs="Times New Roman"/>
                      <w:szCs w:val="24"/>
                      <w:lang w:eastAsia="lv-LV"/>
                    </w:rPr>
                    <w:t xml:space="preserve"> </w:t>
                  </w:r>
                  <w:r w:rsidRPr="006C267C">
                    <w:rPr>
                      <w:rFonts w:eastAsia="Times New Roman" w:cs="Times New Roman"/>
                      <w:szCs w:val="24"/>
                      <w:lang w:eastAsia="lv-LV"/>
                    </w:rPr>
                    <w:t>426</w:t>
                  </w:r>
                </w:p>
              </w:tc>
            </w:tr>
            <w:tr w:rsidR="00FB7F75" w:rsidRPr="006C267C" w:rsidTr="00C56C0B">
              <w:trPr>
                <w:trHeight w:val="31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B7F75" w:rsidRPr="006C267C" w:rsidRDefault="00FB7F75" w:rsidP="00C56C0B">
                  <w:pPr>
                    <w:jc w:val="center"/>
                    <w:rPr>
                      <w:rFonts w:eastAsia="Times New Roman" w:cs="Times New Roman"/>
                      <w:szCs w:val="24"/>
                      <w:lang w:eastAsia="lv-LV"/>
                    </w:rPr>
                  </w:pPr>
                  <w:r w:rsidRPr="006C267C">
                    <w:rPr>
                      <w:rFonts w:eastAsia="Times New Roman" w:cs="Times New Roman"/>
                      <w:szCs w:val="24"/>
                      <w:lang w:eastAsia="lv-LV"/>
                    </w:rPr>
                    <w:t xml:space="preserve">2017.gads </w:t>
                  </w:r>
                </w:p>
              </w:tc>
              <w:tc>
                <w:tcPr>
                  <w:tcW w:w="1540" w:type="dxa"/>
                  <w:tcBorders>
                    <w:top w:val="nil"/>
                    <w:left w:val="nil"/>
                    <w:bottom w:val="single" w:sz="4" w:space="0" w:color="auto"/>
                    <w:right w:val="single" w:sz="4" w:space="0" w:color="auto"/>
                  </w:tcBorders>
                  <w:shd w:val="clear" w:color="auto" w:fill="auto"/>
                  <w:vAlign w:val="center"/>
                  <w:hideMark/>
                </w:tcPr>
                <w:p w:rsidR="00FB7F75" w:rsidRPr="006C267C" w:rsidRDefault="00FB7F75" w:rsidP="00C56C0B">
                  <w:pPr>
                    <w:jc w:val="center"/>
                    <w:rPr>
                      <w:rFonts w:eastAsia="Times New Roman" w:cs="Times New Roman"/>
                      <w:szCs w:val="24"/>
                      <w:lang w:eastAsia="lv-LV"/>
                    </w:rPr>
                  </w:pPr>
                  <w:r w:rsidRPr="006C267C">
                    <w:rPr>
                      <w:rFonts w:eastAsia="Times New Roman" w:cs="Times New Roman"/>
                      <w:szCs w:val="24"/>
                      <w:lang w:eastAsia="lv-LV"/>
                    </w:rPr>
                    <w:t>515</w:t>
                  </w:r>
                  <w:r w:rsidRPr="0099389F">
                    <w:rPr>
                      <w:rFonts w:eastAsia="Times New Roman" w:cs="Times New Roman"/>
                      <w:szCs w:val="24"/>
                      <w:lang w:eastAsia="lv-LV"/>
                    </w:rPr>
                    <w:t xml:space="preserve"> </w:t>
                  </w:r>
                  <w:r w:rsidRPr="006C267C">
                    <w:rPr>
                      <w:rFonts w:eastAsia="Times New Roman" w:cs="Times New Roman"/>
                      <w:szCs w:val="24"/>
                      <w:lang w:eastAsia="lv-LV"/>
                    </w:rPr>
                    <w:t>006</w:t>
                  </w:r>
                  <w:r w:rsidRPr="0099389F">
                    <w:rPr>
                      <w:rFonts w:eastAsia="Times New Roman" w:cs="Times New Roman"/>
                      <w:szCs w:val="24"/>
                      <w:lang w:eastAsia="lv-LV"/>
                    </w:rPr>
                    <w:t xml:space="preserve"> </w:t>
                  </w:r>
                  <w:r w:rsidRPr="006C267C">
                    <w:rPr>
                      <w:rFonts w:eastAsia="Times New Roman" w:cs="Times New Roman"/>
                      <w:szCs w:val="24"/>
                      <w:lang w:eastAsia="lv-LV"/>
                    </w:rPr>
                    <w:t>906</w:t>
                  </w:r>
                </w:p>
              </w:tc>
              <w:tc>
                <w:tcPr>
                  <w:tcW w:w="1540" w:type="dxa"/>
                  <w:tcBorders>
                    <w:top w:val="nil"/>
                    <w:left w:val="nil"/>
                    <w:bottom w:val="single" w:sz="4" w:space="0" w:color="auto"/>
                    <w:right w:val="single" w:sz="4" w:space="0" w:color="auto"/>
                  </w:tcBorders>
                  <w:shd w:val="clear" w:color="auto" w:fill="auto"/>
                  <w:vAlign w:val="center"/>
                  <w:hideMark/>
                </w:tcPr>
                <w:p w:rsidR="00FB7F75" w:rsidRPr="006C267C" w:rsidRDefault="00FB7F75" w:rsidP="00C56C0B">
                  <w:pPr>
                    <w:jc w:val="right"/>
                    <w:rPr>
                      <w:rFonts w:eastAsia="Times New Roman" w:cs="Times New Roman"/>
                      <w:szCs w:val="24"/>
                      <w:lang w:eastAsia="lv-LV"/>
                    </w:rPr>
                  </w:pPr>
                  <w:r w:rsidRPr="006C267C">
                    <w:rPr>
                      <w:rFonts w:eastAsia="Times New Roman" w:cs="Times New Roman"/>
                      <w:szCs w:val="24"/>
                      <w:lang w:eastAsia="lv-LV"/>
                    </w:rPr>
                    <w:t>188</w:t>
                  </w:r>
                  <w:r w:rsidRPr="0099389F">
                    <w:rPr>
                      <w:rFonts w:eastAsia="Times New Roman" w:cs="Times New Roman"/>
                      <w:szCs w:val="24"/>
                      <w:lang w:eastAsia="lv-LV"/>
                    </w:rPr>
                    <w:t xml:space="preserve"> </w:t>
                  </w:r>
                  <w:r w:rsidRPr="006C267C">
                    <w:rPr>
                      <w:rFonts w:eastAsia="Times New Roman" w:cs="Times New Roman"/>
                      <w:szCs w:val="24"/>
                      <w:lang w:eastAsia="lv-LV"/>
                    </w:rPr>
                    <w:t>105</w:t>
                  </w:r>
                  <w:r w:rsidRPr="0099389F">
                    <w:rPr>
                      <w:rFonts w:eastAsia="Times New Roman" w:cs="Times New Roman"/>
                      <w:szCs w:val="24"/>
                      <w:lang w:eastAsia="lv-LV"/>
                    </w:rPr>
                    <w:t xml:space="preserve"> </w:t>
                  </w:r>
                  <w:r w:rsidRPr="006C267C">
                    <w:rPr>
                      <w:rFonts w:eastAsia="Times New Roman" w:cs="Times New Roman"/>
                      <w:szCs w:val="24"/>
                      <w:lang w:eastAsia="lv-LV"/>
                    </w:rPr>
                    <w:t>318</w:t>
                  </w:r>
                </w:p>
              </w:tc>
              <w:tc>
                <w:tcPr>
                  <w:tcW w:w="1500" w:type="dxa"/>
                  <w:tcBorders>
                    <w:top w:val="nil"/>
                    <w:left w:val="nil"/>
                    <w:bottom w:val="single" w:sz="4" w:space="0" w:color="auto"/>
                    <w:right w:val="single" w:sz="4" w:space="0" w:color="auto"/>
                  </w:tcBorders>
                  <w:shd w:val="clear" w:color="auto" w:fill="auto"/>
                  <w:vAlign w:val="center"/>
                  <w:hideMark/>
                </w:tcPr>
                <w:p w:rsidR="00FB7F75" w:rsidRPr="006C267C" w:rsidRDefault="00FB7F75" w:rsidP="00C56C0B">
                  <w:pPr>
                    <w:jc w:val="right"/>
                    <w:rPr>
                      <w:rFonts w:eastAsia="Times New Roman" w:cs="Times New Roman"/>
                      <w:szCs w:val="24"/>
                      <w:lang w:eastAsia="lv-LV"/>
                    </w:rPr>
                  </w:pPr>
                  <w:r w:rsidRPr="006C267C">
                    <w:rPr>
                      <w:rFonts w:eastAsia="Times New Roman" w:cs="Times New Roman"/>
                      <w:szCs w:val="24"/>
                      <w:lang w:eastAsia="lv-LV"/>
                    </w:rPr>
                    <w:t>326</w:t>
                  </w:r>
                  <w:r w:rsidRPr="0099389F">
                    <w:rPr>
                      <w:rFonts w:eastAsia="Times New Roman" w:cs="Times New Roman"/>
                      <w:szCs w:val="24"/>
                      <w:lang w:eastAsia="lv-LV"/>
                    </w:rPr>
                    <w:t xml:space="preserve"> </w:t>
                  </w:r>
                  <w:r w:rsidRPr="006C267C">
                    <w:rPr>
                      <w:rFonts w:eastAsia="Times New Roman" w:cs="Times New Roman"/>
                      <w:szCs w:val="24"/>
                      <w:lang w:eastAsia="lv-LV"/>
                    </w:rPr>
                    <w:t>901</w:t>
                  </w:r>
                  <w:r w:rsidRPr="0099389F">
                    <w:rPr>
                      <w:rFonts w:eastAsia="Times New Roman" w:cs="Times New Roman"/>
                      <w:szCs w:val="24"/>
                      <w:lang w:eastAsia="lv-LV"/>
                    </w:rPr>
                    <w:t xml:space="preserve"> </w:t>
                  </w:r>
                  <w:r w:rsidRPr="006C267C">
                    <w:rPr>
                      <w:rFonts w:eastAsia="Times New Roman" w:cs="Times New Roman"/>
                      <w:szCs w:val="24"/>
                      <w:lang w:eastAsia="lv-LV"/>
                    </w:rPr>
                    <w:t>588</w:t>
                  </w:r>
                </w:p>
              </w:tc>
            </w:tr>
            <w:tr w:rsidR="00FB7F75" w:rsidRPr="006C267C" w:rsidTr="00C56C0B">
              <w:trPr>
                <w:trHeight w:val="31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B7F75" w:rsidRPr="006C267C" w:rsidRDefault="00FB7F75" w:rsidP="00C56C0B">
                  <w:pPr>
                    <w:jc w:val="center"/>
                    <w:rPr>
                      <w:rFonts w:eastAsia="Times New Roman" w:cs="Times New Roman"/>
                      <w:bCs/>
                      <w:szCs w:val="24"/>
                      <w:lang w:eastAsia="lv-LV"/>
                    </w:rPr>
                  </w:pPr>
                  <w:r w:rsidRPr="006C267C">
                    <w:rPr>
                      <w:rFonts w:eastAsia="Times New Roman" w:cs="Times New Roman"/>
                      <w:bCs/>
                      <w:szCs w:val="24"/>
                      <w:lang w:eastAsia="lv-LV"/>
                    </w:rPr>
                    <w:t>Pieaugums</w:t>
                  </w:r>
                </w:p>
              </w:tc>
              <w:tc>
                <w:tcPr>
                  <w:tcW w:w="1540" w:type="dxa"/>
                  <w:tcBorders>
                    <w:top w:val="nil"/>
                    <w:left w:val="nil"/>
                    <w:bottom w:val="single" w:sz="4" w:space="0" w:color="auto"/>
                    <w:right w:val="single" w:sz="4" w:space="0" w:color="auto"/>
                  </w:tcBorders>
                  <w:shd w:val="clear" w:color="auto" w:fill="auto"/>
                  <w:vAlign w:val="center"/>
                  <w:hideMark/>
                </w:tcPr>
                <w:p w:rsidR="00FB7F75" w:rsidRPr="006C267C" w:rsidRDefault="00FB7F75" w:rsidP="00C56C0B">
                  <w:pPr>
                    <w:jc w:val="center"/>
                    <w:rPr>
                      <w:rFonts w:eastAsia="Times New Roman" w:cs="Times New Roman"/>
                      <w:bCs/>
                      <w:szCs w:val="24"/>
                      <w:lang w:eastAsia="lv-LV"/>
                    </w:rPr>
                  </w:pPr>
                  <w:r w:rsidRPr="006C267C">
                    <w:rPr>
                      <w:rFonts w:eastAsia="Times New Roman" w:cs="Times New Roman"/>
                      <w:bCs/>
                      <w:szCs w:val="24"/>
                      <w:lang w:eastAsia="lv-LV"/>
                    </w:rPr>
                    <w:t>5</w:t>
                  </w:r>
                  <w:r w:rsidRPr="0099389F">
                    <w:rPr>
                      <w:rFonts w:eastAsia="Times New Roman" w:cs="Times New Roman"/>
                      <w:bCs/>
                      <w:szCs w:val="24"/>
                      <w:lang w:eastAsia="lv-LV"/>
                    </w:rPr>
                    <w:t> </w:t>
                  </w:r>
                  <w:r w:rsidRPr="006C267C">
                    <w:rPr>
                      <w:rFonts w:eastAsia="Times New Roman" w:cs="Times New Roman"/>
                      <w:bCs/>
                      <w:szCs w:val="24"/>
                      <w:lang w:eastAsia="lv-LV"/>
                    </w:rPr>
                    <w:t>074</w:t>
                  </w:r>
                  <w:r w:rsidRPr="0099389F">
                    <w:rPr>
                      <w:rFonts w:eastAsia="Times New Roman" w:cs="Times New Roman"/>
                      <w:bCs/>
                      <w:szCs w:val="24"/>
                      <w:lang w:eastAsia="lv-LV"/>
                    </w:rPr>
                    <w:t xml:space="preserve"> </w:t>
                  </w:r>
                  <w:r w:rsidRPr="006C267C">
                    <w:rPr>
                      <w:rFonts w:eastAsia="Times New Roman" w:cs="Times New Roman"/>
                      <w:bCs/>
                      <w:szCs w:val="24"/>
                      <w:lang w:eastAsia="lv-LV"/>
                    </w:rPr>
                    <w:t>341</w:t>
                  </w:r>
                </w:p>
              </w:tc>
              <w:tc>
                <w:tcPr>
                  <w:tcW w:w="1540" w:type="dxa"/>
                  <w:tcBorders>
                    <w:top w:val="nil"/>
                    <w:left w:val="nil"/>
                    <w:bottom w:val="single" w:sz="4" w:space="0" w:color="auto"/>
                    <w:right w:val="single" w:sz="4" w:space="0" w:color="auto"/>
                  </w:tcBorders>
                  <w:shd w:val="clear" w:color="auto" w:fill="auto"/>
                  <w:vAlign w:val="center"/>
                  <w:hideMark/>
                </w:tcPr>
                <w:p w:rsidR="00FB7F75" w:rsidRPr="006C267C" w:rsidRDefault="00FB7F75" w:rsidP="00C56C0B">
                  <w:pPr>
                    <w:jc w:val="right"/>
                    <w:rPr>
                      <w:rFonts w:eastAsia="Times New Roman" w:cs="Times New Roman"/>
                      <w:bCs/>
                      <w:szCs w:val="24"/>
                      <w:lang w:eastAsia="lv-LV"/>
                    </w:rPr>
                  </w:pPr>
                  <w:r w:rsidRPr="006C267C">
                    <w:rPr>
                      <w:rFonts w:eastAsia="Times New Roman" w:cs="Times New Roman"/>
                      <w:bCs/>
                      <w:szCs w:val="24"/>
                      <w:lang w:eastAsia="lv-LV"/>
                    </w:rPr>
                    <w:t>3</w:t>
                  </w:r>
                  <w:r w:rsidRPr="0099389F">
                    <w:rPr>
                      <w:rFonts w:eastAsia="Times New Roman" w:cs="Times New Roman"/>
                      <w:bCs/>
                      <w:szCs w:val="24"/>
                      <w:lang w:eastAsia="lv-LV"/>
                    </w:rPr>
                    <w:t> </w:t>
                  </w:r>
                  <w:r w:rsidRPr="006C267C">
                    <w:rPr>
                      <w:rFonts w:eastAsia="Times New Roman" w:cs="Times New Roman"/>
                      <w:bCs/>
                      <w:szCs w:val="24"/>
                      <w:lang w:eastAsia="lv-LV"/>
                    </w:rPr>
                    <w:t>602</w:t>
                  </w:r>
                  <w:r w:rsidRPr="0099389F">
                    <w:rPr>
                      <w:rFonts w:eastAsia="Times New Roman" w:cs="Times New Roman"/>
                      <w:bCs/>
                      <w:szCs w:val="24"/>
                      <w:lang w:eastAsia="lv-LV"/>
                    </w:rPr>
                    <w:t xml:space="preserve"> </w:t>
                  </w:r>
                  <w:r w:rsidRPr="006C267C">
                    <w:rPr>
                      <w:rFonts w:eastAsia="Times New Roman" w:cs="Times New Roman"/>
                      <w:bCs/>
                      <w:szCs w:val="24"/>
                      <w:lang w:eastAsia="lv-LV"/>
                    </w:rPr>
                    <w:t>179</w:t>
                  </w:r>
                </w:p>
              </w:tc>
              <w:tc>
                <w:tcPr>
                  <w:tcW w:w="1500" w:type="dxa"/>
                  <w:tcBorders>
                    <w:top w:val="nil"/>
                    <w:left w:val="nil"/>
                    <w:bottom w:val="single" w:sz="4" w:space="0" w:color="auto"/>
                    <w:right w:val="single" w:sz="4" w:space="0" w:color="auto"/>
                  </w:tcBorders>
                  <w:shd w:val="clear" w:color="auto" w:fill="auto"/>
                  <w:vAlign w:val="center"/>
                  <w:hideMark/>
                </w:tcPr>
                <w:p w:rsidR="00FB7F75" w:rsidRPr="006C267C" w:rsidRDefault="00FB7F75" w:rsidP="00C56C0B">
                  <w:pPr>
                    <w:jc w:val="right"/>
                    <w:rPr>
                      <w:rFonts w:eastAsia="Times New Roman" w:cs="Times New Roman"/>
                      <w:bCs/>
                      <w:szCs w:val="24"/>
                      <w:lang w:eastAsia="lv-LV"/>
                    </w:rPr>
                  </w:pPr>
                  <w:r w:rsidRPr="006C267C">
                    <w:rPr>
                      <w:rFonts w:eastAsia="Times New Roman" w:cs="Times New Roman"/>
                      <w:bCs/>
                      <w:szCs w:val="24"/>
                      <w:lang w:eastAsia="lv-LV"/>
                    </w:rPr>
                    <w:t>1</w:t>
                  </w:r>
                  <w:r w:rsidRPr="0099389F">
                    <w:rPr>
                      <w:rFonts w:eastAsia="Times New Roman" w:cs="Times New Roman"/>
                      <w:bCs/>
                      <w:szCs w:val="24"/>
                      <w:lang w:eastAsia="lv-LV"/>
                    </w:rPr>
                    <w:t> </w:t>
                  </w:r>
                  <w:r w:rsidRPr="006C267C">
                    <w:rPr>
                      <w:rFonts w:eastAsia="Times New Roman" w:cs="Times New Roman"/>
                      <w:bCs/>
                      <w:szCs w:val="24"/>
                      <w:lang w:eastAsia="lv-LV"/>
                    </w:rPr>
                    <w:t>472</w:t>
                  </w:r>
                  <w:r w:rsidRPr="0099389F">
                    <w:rPr>
                      <w:rFonts w:eastAsia="Times New Roman" w:cs="Times New Roman"/>
                      <w:bCs/>
                      <w:szCs w:val="24"/>
                      <w:lang w:eastAsia="lv-LV"/>
                    </w:rPr>
                    <w:t xml:space="preserve"> </w:t>
                  </w:r>
                  <w:r w:rsidRPr="006C267C">
                    <w:rPr>
                      <w:rFonts w:eastAsia="Times New Roman" w:cs="Times New Roman"/>
                      <w:bCs/>
                      <w:szCs w:val="24"/>
                      <w:lang w:eastAsia="lv-LV"/>
                    </w:rPr>
                    <w:t>162</w:t>
                  </w:r>
                </w:p>
              </w:tc>
            </w:tr>
          </w:tbl>
          <w:p w:rsidR="00FB7F75" w:rsidRPr="0099389F" w:rsidRDefault="00FB7F75" w:rsidP="00FB7F75">
            <w:pPr>
              <w:ind w:right="140"/>
              <w:jc w:val="both"/>
              <w:rPr>
                <w:rFonts w:eastAsia="Times New Roman" w:cs="Times New Roman"/>
                <w:noProof/>
                <w:szCs w:val="24"/>
                <w:lang w:bidi="gu-IN"/>
              </w:rPr>
            </w:pPr>
          </w:p>
          <w:p w:rsidR="00FB7F75" w:rsidRPr="0099389F" w:rsidRDefault="00FB7F75" w:rsidP="00FB7F75">
            <w:pPr>
              <w:ind w:left="159" w:right="140"/>
              <w:jc w:val="both"/>
              <w:rPr>
                <w:rFonts w:eastAsia="Times New Roman" w:cs="Times New Roman"/>
                <w:noProof/>
                <w:szCs w:val="24"/>
                <w:lang w:bidi="gu-IN"/>
              </w:rPr>
            </w:pPr>
            <w:r w:rsidRPr="0099389F">
              <w:rPr>
                <w:rFonts w:eastAsia="Times New Roman" w:cs="Times New Roman"/>
                <w:noProof/>
                <w:szCs w:val="24"/>
                <w:lang w:bidi="gu-IN"/>
              </w:rPr>
              <w:t>Minimālo mēnešalgu paaugstināšana un zemāko mēnešalgu izlīdzināšana ietver ģimenes ārstu kapitācijas naudas izmaiņas, proti, izmaiņas kapitācijas 63. un 64.pozīcijā, radot kapitācijas naudas pieaugumu par 0,01</w:t>
            </w:r>
            <w:r>
              <w:rPr>
                <w:rFonts w:eastAsia="Times New Roman" w:cs="Times New Roman"/>
                <w:noProof/>
                <w:szCs w:val="24"/>
                <w:lang w:bidi="gu-IN"/>
              </w:rPr>
              <w:t>7526</w:t>
            </w:r>
            <w:r w:rsidRPr="0099389F">
              <w:rPr>
                <w:rFonts w:eastAsia="Times New Roman" w:cs="Times New Roman"/>
                <w:noProof/>
                <w:szCs w:val="24"/>
                <w:lang w:bidi="gu-IN"/>
              </w:rPr>
              <w:t xml:space="preserve"> (1.</w:t>
            </w:r>
            <w:r>
              <w:rPr>
                <w:rFonts w:eastAsia="Times New Roman" w:cs="Times New Roman"/>
                <w:noProof/>
                <w:szCs w:val="24"/>
                <w:lang w:bidi="gu-IN"/>
              </w:rPr>
              <w:t>251254</w:t>
            </w:r>
            <w:r w:rsidRPr="0099389F">
              <w:rPr>
                <w:rFonts w:eastAsia="Times New Roman" w:cs="Times New Roman"/>
                <w:noProof/>
                <w:szCs w:val="24"/>
                <w:lang w:bidi="gu-IN"/>
              </w:rPr>
              <w:t xml:space="preserve"> – 1.233728) euro mēnesī, nosakot jauno kapitāciju 1.</w:t>
            </w:r>
            <w:r>
              <w:rPr>
                <w:rFonts w:eastAsia="Times New Roman" w:cs="Times New Roman"/>
                <w:noProof/>
                <w:szCs w:val="24"/>
                <w:lang w:bidi="gu-IN"/>
              </w:rPr>
              <w:t>251254</w:t>
            </w:r>
            <w:r w:rsidRPr="0099389F">
              <w:rPr>
                <w:rFonts w:eastAsia="Times New Roman" w:cs="Times New Roman"/>
                <w:noProof/>
                <w:szCs w:val="24"/>
                <w:lang w:bidi="gu-IN"/>
              </w:rPr>
              <w:t xml:space="preserve"> euro mēnesī. </w:t>
            </w:r>
          </w:p>
          <w:tbl>
            <w:tblPr>
              <w:tblW w:w="7840" w:type="dxa"/>
              <w:tblLook w:val="04A0"/>
            </w:tblPr>
            <w:tblGrid>
              <w:gridCol w:w="1100"/>
              <w:gridCol w:w="3900"/>
              <w:gridCol w:w="1300"/>
              <w:gridCol w:w="1540"/>
            </w:tblGrid>
            <w:tr w:rsidR="00FB7F75" w:rsidRPr="00A01ED5" w:rsidTr="00C56C0B">
              <w:trPr>
                <w:trHeight w:val="390"/>
              </w:trPr>
              <w:tc>
                <w:tcPr>
                  <w:tcW w:w="7840" w:type="dxa"/>
                  <w:gridSpan w:val="4"/>
                  <w:tcBorders>
                    <w:top w:val="nil"/>
                    <w:left w:val="nil"/>
                    <w:bottom w:val="nil"/>
                    <w:right w:val="nil"/>
                  </w:tcBorders>
                  <w:shd w:val="clear" w:color="auto" w:fill="auto"/>
                  <w:vAlign w:val="center"/>
                  <w:hideMark/>
                </w:tcPr>
                <w:p w:rsidR="00FB7F75" w:rsidRPr="00231F53" w:rsidRDefault="00FB7F75" w:rsidP="00C56C0B">
                  <w:pPr>
                    <w:jc w:val="center"/>
                    <w:rPr>
                      <w:color w:val="000000"/>
                    </w:rPr>
                  </w:pPr>
                  <w:r w:rsidRPr="00231F53">
                    <w:rPr>
                      <w:color w:val="000000"/>
                    </w:rPr>
                    <w:t xml:space="preserve">Ģimenes ārstu </w:t>
                  </w:r>
                  <w:proofErr w:type="spellStart"/>
                  <w:r w:rsidRPr="00231F53">
                    <w:rPr>
                      <w:color w:val="000000"/>
                    </w:rPr>
                    <w:t>kapitācijas</w:t>
                  </w:r>
                  <w:proofErr w:type="spellEnd"/>
                  <w:r w:rsidRPr="00231F53">
                    <w:rPr>
                      <w:color w:val="000000"/>
                    </w:rPr>
                    <w:t xml:space="preserve"> naudas aprēķins</w:t>
                  </w:r>
                </w:p>
              </w:tc>
            </w:tr>
            <w:tr w:rsidR="00FB7F75" w:rsidRPr="00A01ED5" w:rsidTr="00C56C0B">
              <w:trPr>
                <w:trHeight w:val="525"/>
              </w:trPr>
              <w:tc>
                <w:tcPr>
                  <w:tcW w:w="1100"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FB7F75" w:rsidRPr="00231F53" w:rsidRDefault="00FB7F75" w:rsidP="00C56C0B">
                  <w:pPr>
                    <w:jc w:val="center"/>
                    <w:rPr>
                      <w:color w:val="000000"/>
                    </w:rPr>
                  </w:pPr>
                  <w:proofErr w:type="spellStart"/>
                  <w:r w:rsidRPr="00231F53">
                    <w:rPr>
                      <w:color w:val="000000"/>
                    </w:rPr>
                    <w:t>Nr.p.k</w:t>
                  </w:r>
                  <w:proofErr w:type="spellEnd"/>
                  <w:r w:rsidRPr="00231F53">
                    <w:rPr>
                      <w:color w:val="000000"/>
                    </w:rPr>
                    <w:t>.</w:t>
                  </w:r>
                </w:p>
              </w:tc>
              <w:tc>
                <w:tcPr>
                  <w:tcW w:w="3900" w:type="dxa"/>
                  <w:tcBorders>
                    <w:top w:val="single" w:sz="8" w:space="0" w:color="auto"/>
                    <w:left w:val="nil"/>
                    <w:bottom w:val="single" w:sz="8" w:space="0" w:color="auto"/>
                    <w:right w:val="single" w:sz="8" w:space="0" w:color="auto"/>
                  </w:tcBorders>
                  <w:shd w:val="clear" w:color="000000" w:fill="92D050"/>
                  <w:vAlign w:val="center"/>
                  <w:hideMark/>
                </w:tcPr>
                <w:p w:rsidR="00FB7F75" w:rsidRPr="00231F53" w:rsidRDefault="00FB7F75" w:rsidP="00C56C0B">
                  <w:pPr>
                    <w:jc w:val="center"/>
                    <w:rPr>
                      <w:color w:val="000000"/>
                    </w:rPr>
                  </w:pPr>
                  <w:r w:rsidRPr="00231F53">
                    <w:rPr>
                      <w:color w:val="000000"/>
                    </w:rPr>
                    <w:t>Medicīnas instrumenti un iekārtas</w:t>
                  </w:r>
                </w:p>
              </w:tc>
              <w:tc>
                <w:tcPr>
                  <w:tcW w:w="1300" w:type="dxa"/>
                  <w:tcBorders>
                    <w:top w:val="single" w:sz="8" w:space="0" w:color="auto"/>
                    <w:left w:val="nil"/>
                    <w:bottom w:val="single" w:sz="8" w:space="0" w:color="auto"/>
                    <w:right w:val="single" w:sz="8" w:space="0" w:color="auto"/>
                  </w:tcBorders>
                  <w:shd w:val="clear" w:color="000000" w:fill="92D050"/>
                  <w:vAlign w:val="center"/>
                  <w:hideMark/>
                </w:tcPr>
                <w:p w:rsidR="00FB7F75" w:rsidRPr="00231F53" w:rsidRDefault="00FB7F75" w:rsidP="00C56C0B">
                  <w:pPr>
                    <w:jc w:val="center"/>
                    <w:rPr>
                      <w:color w:val="000000"/>
                    </w:rPr>
                  </w:pPr>
                  <w:r w:rsidRPr="00231F53">
                    <w:rPr>
                      <w:color w:val="000000"/>
                    </w:rPr>
                    <w:t>Vērtība, EUR</w:t>
                  </w:r>
                </w:p>
              </w:tc>
              <w:tc>
                <w:tcPr>
                  <w:tcW w:w="1540" w:type="dxa"/>
                  <w:tcBorders>
                    <w:top w:val="single" w:sz="8" w:space="0" w:color="auto"/>
                    <w:left w:val="nil"/>
                    <w:bottom w:val="single" w:sz="8" w:space="0" w:color="auto"/>
                    <w:right w:val="single" w:sz="8" w:space="0" w:color="auto"/>
                  </w:tcBorders>
                  <w:shd w:val="clear" w:color="000000" w:fill="92D050"/>
                  <w:vAlign w:val="center"/>
                  <w:hideMark/>
                </w:tcPr>
                <w:p w:rsidR="00FB7F75" w:rsidRPr="00231F53" w:rsidRDefault="00FB7F75" w:rsidP="00C56C0B">
                  <w:pPr>
                    <w:jc w:val="center"/>
                    <w:rPr>
                      <w:color w:val="000000"/>
                    </w:rPr>
                  </w:pPr>
                  <w:r w:rsidRPr="00231F53">
                    <w:rPr>
                      <w:color w:val="000000"/>
                    </w:rPr>
                    <w:t>Izmaksas 1 mēnesī</w:t>
                  </w:r>
                </w:p>
              </w:tc>
            </w:tr>
            <w:tr w:rsidR="00FB7F75" w:rsidRPr="00A01ED5" w:rsidTr="00C56C0B">
              <w:trPr>
                <w:trHeight w:val="315"/>
              </w:trPr>
              <w:tc>
                <w:tcPr>
                  <w:tcW w:w="1100" w:type="dxa"/>
                  <w:tcBorders>
                    <w:top w:val="nil"/>
                    <w:left w:val="single" w:sz="8" w:space="0" w:color="auto"/>
                    <w:bottom w:val="single" w:sz="8" w:space="0" w:color="auto"/>
                    <w:right w:val="single" w:sz="8" w:space="0" w:color="auto"/>
                  </w:tcBorders>
                  <w:shd w:val="clear" w:color="auto" w:fill="auto"/>
                  <w:vAlign w:val="center"/>
                  <w:hideMark/>
                </w:tcPr>
                <w:p w:rsidR="00FB7F75" w:rsidRPr="00231F53" w:rsidRDefault="00FB7F75" w:rsidP="00C56C0B">
                  <w:pPr>
                    <w:jc w:val="center"/>
                    <w:rPr>
                      <w:color w:val="000000"/>
                    </w:rPr>
                  </w:pPr>
                  <w:r w:rsidRPr="00231F53">
                    <w:rPr>
                      <w:color w:val="000000"/>
                    </w:rPr>
                    <w:t>1</w:t>
                  </w:r>
                </w:p>
              </w:tc>
              <w:tc>
                <w:tcPr>
                  <w:tcW w:w="3900" w:type="dxa"/>
                  <w:tcBorders>
                    <w:top w:val="nil"/>
                    <w:left w:val="nil"/>
                    <w:bottom w:val="single" w:sz="8" w:space="0" w:color="auto"/>
                    <w:right w:val="single" w:sz="8" w:space="0" w:color="auto"/>
                  </w:tcBorders>
                  <w:shd w:val="clear" w:color="auto" w:fill="auto"/>
                  <w:vAlign w:val="center"/>
                  <w:hideMark/>
                </w:tcPr>
                <w:p w:rsidR="00FB7F75" w:rsidRPr="00231F53" w:rsidRDefault="00FB7F75" w:rsidP="00C56C0B">
                  <w:pPr>
                    <w:jc w:val="center"/>
                    <w:rPr>
                      <w:color w:val="000000"/>
                    </w:rPr>
                  </w:pPr>
                  <w:r w:rsidRPr="00231F53">
                    <w:rPr>
                      <w:color w:val="000000"/>
                    </w:rPr>
                    <w:t>2</w:t>
                  </w:r>
                </w:p>
              </w:tc>
              <w:tc>
                <w:tcPr>
                  <w:tcW w:w="1300" w:type="dxa"/>
                  <w:tcBorders>
                    <w:top w:val="nil"/>
                    <w:left w:val="nil"/>
                    <w:bottom w:val="single" w:sz="8" w:space="0" w:color="auto"/>
                    <w:right w:val="single" w:sz="8" w:space="0" w:color="auto"/>
                  </w:tcBorders>
                  <w:shd w:val="clear" w:color="auto" w:fill="auto"/>
                  <w:noWrap/>
                  <w:vAlign w:val="center"/>
                  <w:hideMark/>
                </w:tcPr>
                <w:p w:rsidR="00FB7F75" w:rsidRPr="00231F53" w:rsidRDefault="00FB7F75" w:rsidP="00C56C0B">
                  <w:pPr>
                    <w:jc w:val="center"/>
                    <w:rPr>
                      <w:color w:val="000000"/>
                    </w:rPr>
                  </w:pPr>
                  <w:r w:rsidRPr="00231F53">
                    <w:rPr>
                      <w:color w:val="000000"/>
                    </w:rPr>
                    <w:t>3</w:t>
                  </w:r>
                </w:p>
              </w:tc>
              <w:tc>
                <w:tcPr>
                  <w:tcW w:w="1540" w:type="dxa"/>
                  <w:tcBorders>
                    <w:top w:val="nil"/>
                    <w:left w:val="nil"/>
                    <w:bottom w:val="single" w:sz="8" w:space="0" w:color="auto"/>
                    <w:right w:val="single" w:sz="8" w:space="0" w:color="auto"/>
                  </w:tcBorders>
                  <w:shd w:val="clear" w:color="auto" w:fill="auto"/>
                  <w:noWrap/>
                  <w:vAlign w:val="center"/>
                  <w:hideMark/>
                </w:tcPr>
                <w:p w:rsidR="00FB7F75" w:rsidRPr="00231F53" w:rsidRDefault="00FB7F75" w:rsidP="00C56C0B">
                  <w:pPr>
                    <w:jc w:val="center"/>
                    <w:rPr>
                      <w:color w:val="000000"/>
                    </w:rPr>
                  </w:pPr>
                  <w:r w:rsidRPr="00231F53">
                    <w:rPr>
                      <w:color w:val="000000"/>
                    </w:rPr>
                    <w:t>4</w:t>
                  </w:r>
                </w:p>
              </w:tc>
            </w:tr>
            <w:tr w:rsidR="00FB7F75" w:rsidRPr="00A01ED5" w:rsidTr="00C56C0B">
              <w:trPr>
                <w:trHeight w:val="315"/>
              </w:trPr>
              <w:tc>
                <w:tcPr>
                  <w:tcW w:w="110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B7F75" w:rsidRPr="00231F53" w:rsidRDefault="00FB7F75" w:rsidP="00C56C0B">
                  <w:pPr>
                    <w:jc w:val="right"/>
                    <w:rPr>
                      <w:color w:val="000000"/>
                    </w:rPr>
                  </w:pPr>
                  <w:r w:rsidRPr="00231F53">
                    <w:rPr>
                      <w:color w:val="000000"/>
                    </w:rPr>
                    <w:t> </w:t>
                  </w:r>
                </w:p>
              </w:tc>
              <w:tc>
                <w:tcPr>
                  <w:tcW w:w="3900" w:type="dxa"/>
                  <w:tcBorders>
                    <w:top w:val="nil"/>
                    <w:left w:val="nil"/>
                    <w:bottom w:val="single" w:sz="8" w:space="0" w:color="auto"/>
                    <w:right w:val="single" w:sz="4" w:space="0" w:color="auto"/>
                  </w:tcBorders>
                  <w:shd w:val="clear" w:color="000000" w:fill="D9D9D9"/>
                  <w:vAlign w:val="center"/>
                  <w:hideMark/>
                </w:tcPr>
                <w:p w:rsidR="00FB7F75" w:rsidRPr="00231F53" w:rsidRDefault="00FB7F75" w:rsidP="00C56C0B">
                  <w:pPr>
                    <w:jc w:val="right"/>
                    <w:rPr>
                      <w:color w:val="000000"/>
                    </w:rPr>
                  </w:pPr>
                  <w:r w:rsidRPr="00231F53">
                    <w:rPr>
                      <w:color w:val="000000"/>
                    </w:rPr>
                    <w:t>Kopā Medicīnas instrumenti un iekārtas</w:t>
                  </w:r>
                </w:p>
              </w:tc>
              <w:tc>
                <w:tcPr>
                  <w:tcW w:w="1300" w:type="dxa"/>
                  <w:tcBorders>
                    <w:top w:val="nil"/>
                    <w:left w:val="nil"/>
                    <w:bottom w:val="single" w:sz="8" w:space="0" w:color="auto"/>
                    <w:right w:val="single" w:sz="4" w:space="0" w:color="auto"/>
                  </w:tcBorders>
                  <w:shd w:val="clear" w:color="000000" w:fill="D9D9D9"/>
                  <w:noWrap/>
                  <w:vAlign w:val="center"/>
                  <w:hideMark/>
                </w:tcPr>
                <w:p w:rsidR="00FB7F75" w:rsidRPr="00231F53" w:rsidRDefault="00FB7F75" w:rsidP="00C56C0B">
                  <w:pPr>
                    <w:jc w:val="right"/>
                    <w:rPr>
                      <w:color w:val="000000"/>
                    </w:rPr>
                  </w:pPr>
                  <w:r w:rsidRPr="00231F53">
                    <w:rPr>
                      <w:color w:val="000000"/>
                    </w:rPr>
                    <w:t>4 588.66</w:t>
                  </w:r>
                </w:p>
              </w:tc>
              <w:tc>
                <w:tcPr>
                  <w:tcW w:w="1540" w:type="dxa"/>
                  <w:tcBorders>
                    <w:top w:val="nil"/>
                    <w:left w:val="nil"/>
                    <w:bottom w:val="single" w:sz="8" w:space="0" w:color="auto"/>
                    <w:right w:val="single" w:sz="8" w:space="0" w:color="auto"/>
                  </w:tcBorders>
                  <w:shd w:val="clear" w:color="000000" w:fill="D9D9D9"/>
                  <w:noWrap/>
                  <w:vAlign w:val="center"/>
                  <w:hideMark/>
                </w:tcPr>
                <w:p w:rsidR="00FB7F75" w:rsidRPr="00231F53" w:rsidRDefault="00FB7F75" w:rsidP="00C56C0B">
                  <w:pPr>
                    <w:jc w:val="right"/>
                    <w:rPr>
                      <w:color w:val="000000"/>
                    </w:rPr>
                  </w:pPr>
                  <w:r w:rsidRPr="00231F53">
                    <w:rPr>
                      <w:color w:val="000000"/>
                    </w:rPr>
                    <w:t>40.59</w:t>
                  </w:r>
                </w:p>
              </w:tc>
            </w:tr>
            <w:tr w:rsidR="00FB7F75" w:rsidRPr="00A01ED5" w:rsidTr="00C56C0B">
              <w:trPr>
                <w:trHeight w:val="315"/>
              </w:trPr>
              <w:tc>
                <w:tcPr>
                  <w:tcW w:w="1100" w:type="dxa"/>
                  <w:tcBorders>
                    <w:top w:val="nil"/>
                    <w:left w:val="single" w:sz="8" w:space="0" w:color="auto"/>
                    <w:bottom w:val="single" w:sz="8" w:space="0" w:color="auto"/>
                    <w:right w:val="single" w:sz="4" w:space="0" w:color="auto"/>
                  </w:tcBorders>
                  <w:shd w:val="clear" w:color="000000" w:fill="92D050"/>
                  <w:vAlign w:val="center"/>
                  <w:hideMark/>
                </w:tcPr>
                <w:p w:rsidR="00FB7F75" w:rsidRPr="00231F53" w:rsidRDefault="00FB7F75" w:rsidP="00C56C0B">
                  <w:pPr>
                    <w:jc w:val="center"/>
                    <w:rPr>
                      <w:color w:val="000000"/>
                    </w:rPr>
                  </w:pPr>
                  <w:r w:rsidRPr="00231F53">
                    <w:rPr>
                      <w:color w:val="000000"/>
                    </w:rPr>
                    <w:t> </w:t>
                  </w:r>
                </w:p>
              </w:tc>
              <w:tc>
                <w:tcPr>
                  <w:tcW w:w="3900" w:type="dxa"/>
                  <w:tcBorders>
                    <w:top w:val="nil"/>
                    <w:left w:val="nil"/>
                    <w:bottom w:val="single" w:sz="8" w:space="0" w:color="auto"/>
                    <w:right w:val="single" w:sz="4" w:space="0" w:color="auto"/>
                  </w:tcBorders>
                  <w:shd w:val="clear" w:color="000000" w:fill="92D050"/>
                  <w:vAlign w:val="center"/>
                  <w:hideMark/>
                </w:tcPr>
                <w:p w:rsidR="00FB7F75" w:rsidRPr="00231F53" w:rsidRDefault="00FB7F75" w:rsidP="00C56C0B">
                  <w:pPr>
                    <w:jc w:val="center"/>
                    <w:rPr>
                      <w:color w:val="000000"/>
                    </w:rPr>
                  </w:pPr>
                  <w:r w:rsidRPr="00231F53">
                    <w:rPr>
                      <w:color w:val="000000"/>
                    </w:rPr>
                    <w:t>Medikamenti un materiāli</w:t>
                  </w:r>
                </w:p>
              </w:tc>
              <w:tc>
                <w:tcPr>
                  <w:tcW w:w="1300" w:type="dxa"/>
                  <w:tcBorders>
                    <w:top w:val="nil"/>
                    <w:left w:val="nil"/>
                    <w:bottom w:val="single" w:sz="8" w:space="0" w:color="auto"/>
                    <w:right w:val="single" w:sz="4" w:space="0" w:color="auto"/>
                  </w:tcBorders>
                  <w:shd w:val="clear" w:color="000000" w:fill="92D050"/>
                  <w:noWrap/>
                  <w:vAlign w:val="center"/>
                  <w:hideMark/>
                </w:tcPr>
                <w:p w:rsidR="00FB7F75" w:rsidRPr="00231F53" w:rsidRDefault="00FB7F75" w:rsidP="00C56C0B">
                  <w:pPr>
                    <w:rPr>
                      <w:color w:val="000000"/>
                    </w:rPr>
                  </w:pPr>
                  <w:r w:rsidRPr="00231F53">
                    <w:rPr>
                      <w:color w:val="000000"/>
                    </w:rPr>
                    <w:t> </w:t>
                  </w:r>
                </w:p>
              </w:tc>
              <w:tc>
                <w:tcPr>
                  <w:tcW w:w="1540" w:type="dxa"/>
                  <w:tcBorders>
                    <w:top w:val="nil"/>
                    <w:left w:val="nil"/>
                    <w:bottom w:val="single" w:sz="8" w:space="0" w:color="auto"/>
                    <w:right w:val="single" w:sz="8" w:space="0" w:color="auto"/>
                  </w:tcBorders>
                  <w:shd w:val="clear" w:color="000000" w:fill="92D050"/>
                  <w:noWrap/>
                  <w:vAlign w:val="center"/>
                  <w:hideMark/>
                </w:tcPr>
                <w:p w:rsidR="00FB7F75" w:rsidRPr="00231F53" w:rsidRDefault="00FB7F75" w:rsidP="00C56C0B">
                  <w:pPr>
                    <w:rPr>
                      <w:color w:val="000000"/>
                    </w:rPr>
                  </w:pPr>
                  <w:r w:rsidRPr="00231F53">
                    <w:rPr>
                      <w:color w:val="000000"/>
                    </w:rPr>
                    <w:t> </w:t>
                  </w:r>
                </w:p>
              </w:tc>
            </w:tr>
            <w:tr w:rsidR="00FB7F75" w:rsidRPr="00A01ED5" w:rsidTr="00C56C0B">
              <w:trPr>
                <w:trHeight w:val="315"/>
              </w:trPr>
              <w:tc>
                <w:tcPr>
                  <w:tcW w:w="110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B7F75" w:rsidRPr="00231F53" w:rsidRDefault="00FB7F75" w:rsidP="00C56C0B">
                  <w:pPr>
                    <w:jc w:val="right"/>
                    <w:rPr>
                      <w:color w:val="000000"/>
                    </w:rPr>
                  </w:pPr>
                  <w:r w:rsidRPr="00231F53">
                    <w:rPr>
                      <w:color w:val="000000"/>
                    </w:rPr>
                    <w:t> </w:t>
                  </w:r>
                </w:p>
              </w:tc>
              <w:tc>
                <w:tcPr>
                  <w:tcW w:w="3900" w:type="dxa"/>
                  <w:tcBorders>
                    <w:top w:val="nil"/>
                    <w:left w:val="nil"/>
                    <w:bottom w:val="single" w:sz="8" w:space="0" w:color="auto"/>
                    <w:right w:val="single" w:sz="4" w:space="0" w:color="auto"/>
                  </w:tcBorders>
                  <w:shd w:val="clear" w:color="000000" w:fill="D9D9D9"/>
                  <w:vAlign w:val="center"/>
                  <w:hideMark/>
                </w:tcPr>
                <w:p w:rsidR="00FB7F75" w:rsidRPr="00231F53" w:rsidRDefault="00FB7F75" w:rsidP="00C56C0B">
                  <w:pPr>
                    <w:jc w:val="right"/>
                    <w:rPr>
                      <w:color w:val="000000"/>
                    </w:rPr>
                  </w:pPr>
                  <w:r w:rsidRPr="00231F53">
                    <w:rPr>
                      <w:color w:val="000000"/>
                    </w:rPr>
                    <w:t>Kopā Medikamenti un materiāli</w:t>
                  </w:r>
                </w:p>
              </w:tc>
              <w:tc>
                <w:tcPr>
                  <w:tcW w:w="1300" w:type="dxa"/>
                  <w:tcBorders>
                    <w:top w:val="nil"/>
                    <w:left w:val="nil"/>
                    <w:bottom w:val="single" w:sz="8" w:space="0" w:color="auto"/>
                    <w:right w:val="single" w:sz="4" w:space="0" w:color="auto"/>
                  </w:tcBorders>
                  <w:shd w:val="clear" w:color="000000" w:fill="D9D9D9"/>
                  <w:noWrap/>
                  <w:vAlign w:val="center"/>
                  <w:hideMark/>
                </w:tcPr>
                <w:p w:rsidR="00FB7F75" w:rsidRPr="00231F53" w:rsidRDefault="00FB7F75" w:rsidP="00C56C0B">
                  <w:pPr>
                    <w:jc w:val="right"/>
                    <w:rPr>
                      <w:color w:val="000000"/>
                    </w:rPr>
                  </w:pPr>
                  <w:r w:rsidRPr="00231F53">
                    <w:rPr>
                      <w:color w:val="000000"/>
                    </w:rPr>
                    <w:t>976.58</w:t>
                  </w:r>
                </w:p>
              </w:tc>
              <w:tc>
                <w:tcPr>
                  <w:tcW w:w="1540" w:type="dxa"/>
                  <w:tcBorders>
                    <w:top w:val="nil"/>
                    <w:left w:val="nil"/>
                    <w:bottom w:val="single" w:sz="8" w:space="0" w:color="auto"/>
                    <w:right w:val="single" w:sz="8" w:space="0" w:color="auto"/>
                  </w:tcBorders>
                  <w:shd w:val="clear" w:color="000000" w:fill="D9D9D9"/>
                  <w:noWrap/>
                  <w:vAlign w:val="center"/>
                  <w:hideMark/>
                </w:tcPr>
                <w:p w:rsidR="00FB7F75" w:rsidRPr="00231F53" w:rsidRDefault="00FB7F75" w:rsidP="00C56C0B">
                  <w:pPr>
                    <w:jc w:val="right"/>
                    <w:rPr>
                      <w:color w:val="000000"/>
                    </w:rPr>
                  </w:pPr>
                  <w:r w:rsidRPr="00231F53">
                    <w:rPr>
                      <w:color w:val="000000"/>
                    </w:rPr>
                    <w:t>81.36</w:t>
                  </w:r>
                </w:p>
              </w:tc>
            </w:tr>
            <w:tr w:rsidR="00FB7F75" w:rsidRPr="00A01ED5" w:rsidTr="00C56C0B">
              <w:trPr>
                <w:trHeight w:val="315"/>
              </w:trPr>
              <w:tc>
                <w:tcPr>
                  <w:tcW w:w="1100" w:type="dxa"/>
                  <w:tcBorders>
                    <w:top w:val="nil"/>
                    <w:left w:val="single" w:sz="8" w:space="0" w:color="auto"/>
                    <w:bottom w:val="single" w:sz="8" w:space="0" w:color="auto"/>
                    <w:right w:val="single" w:sz="4" w:space="0" w:color="auto"/>
                  </w:tcBorders>
                  <w:shd w:val="clear" w:color="000000" w:fill="92D050"/>
                  <w:vAlign w:val="center"/>
                  <w:hideMark/>
                </w:tcPr>
                <w:p w:rsidR="00FB7F75" w:rsidRPr="00231F53" w:rsidRDefault="00FB7F75" w:rsidP="00C56C0B">
                  <w:pPr>
                    <w:jc w:val="right"/>
                    <w:rPr>
                      <w:color w:val="000000"/>
                    </w:rPr>
                  </w:pPr>
                  <w:r w:rsidRPr="00231F53">
                    <w:rPr>
                      <w:color w:val="000000"/>
                    </w:rPr>
                    <w:t> </w:t>
                  </w:r>
                </w:p>
              </w:tc>
              <w:tc>
                <w:tcPr>
                  <w:tcW w:w="3900" w:type="dxa"/>
                  <w:tcBorders>
                    <w:top w:val="nil"/>
                    <w:left w:val="nil"/>
                    <w:bottom w:val="single" w:sz="8" w:space="0" w:color="auto"/>
                    <w:right w:val="single" w:sz="4" w:space="0" w:color="auto"/>
                  </w:tcBorders>
                  <w:shd w:val="clear" w:color="000000" w:fill="92D050"/>
                  <w:vAlign w:val="center"/>
                  <w:hideMark/>
                </w:tcPr>
                <w:p w:rsidR="00FB7F75" w:rsidRPr="00231F53" w:rsidRDefault="00FB7F75" w:rsidP="00C56C0B">
                  <w:pPr>
                    <w:jc w:val="center"/>
                    <w:rPr>
                      <w:color w:val="000000"/>
                    </w:rPr>
                  </w:pPr>
                  <w:r w:rsidRPr="00231F53">
                    <w:rPr>
                      <w:color w:val="000000"/>
                    </w:rPr>
                    <w:t xml:space="preserve">Medicīniskā dokumentācija </w:t>
                  </w:r>
                </w:p>
              </w:tc>
              <w:tc>
                <w:tcPr>
                  <w:tcW w:w="1300" w:type="dxa"/>
                  <w:tcBorders>
                    <w:top w:val="nil"/>
                    <w:left w:val="nil"/>
                    <w:bottom w:val="single" w:sz="8" w:space="0" w:color="auto"/>
                    <w:right w:val="single" w:sz="4" w:space="0" w:color="auto"/>
                  </w:tcBorders>
                  <w:shd w:val="clear" w:color="000000" w:fill="92D050"/>
                  <w:noWrap/>
                  <w:vAlign w:val="center"/>
                  <w:hideMark/>
                </w:tcPr>
                <w:p w:rsidR="00FB7F75" w:rsidRPr="00231F53" w:rsidRDefault="00FB7F75" w:rsidP="00C56C0B">
                  <w:pPr>
                    <w:rPr>
                      <w:color w:val="000000"/>
                    </w:rPr>
                  </w:pPr>
                  <w:r w:rsidRPr="00231F53">
                    <w:rPr>
                      <w:color w:val="000000"/>
                    </w:rPr>
                    <w:t> </w:t>
                  </w:r>
                </w:p>
              </w:tc>
              <w:tc>
                <w:tcPr>
                  <w:tcW w:w="1540" w:type="dxa"/>
                  <w:tcBorders>
                    <w:top w:val="nil"/>
                    <w:left w:val="nil"/>
                    <w:bottom w:val="single" w:sz="8" w:space="0" w:color="auto"/>
                    <w:right w:val="single" w:sz="8" w:space="0" w:color="auto"/>
                  </w:tcBorders>
                  <w:shd w:val="clear" w:color="000000" w:fill="92D050"/>
                  <w:noWrap/>
                  <w:vAlign w:val="center"/>
                  <w:hideMark/>
                </w:tcPr>
                <w:p w:rsidR="00FB7F75" w:rsidRPr="00231F53" w:rsidRDefault="00FB7F75" w:rsidP="00C56C0B">
                  <w:pPr>
                    <w:rPr>
                      <w:color w:val="000000"/>
                    </w:rPr>
                  </w:pPr>
                  <w:r w:rsidRPr="00231F53">
                    <w:rPr>
                      <w:color w:val="000000"/>
                    </w:rPr>
                    <w:t> </w:t>
                  </w:r>
                </w:p>
              </w:tc>
            </w:tr>
            <w:tr w:rsidR="00FB7F75" w:rsidRPr="00A01ED5" w:rsidTr="00C56C0B">
              <w:trPr>
                <w:trHeight w:val="315"/>
              </w:trPr>
              <w:tc>
                <w:tcPr>
                  <w:tcW w:w="110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B7F75" w:rsidRPr="00231F53" w:rsidRDefault="00FB7F75" w:rsidP="00C56C0B">
                  <w:pPr>
                    <w:jc w:val="right"/>
                    <w:rPr>
                      <w:color w:val="000000"/>
                    </w:rPr>
                  </w:pPr>
                  <w:r w:rsidRPr="00231F53">
                    <w:rPr>
                      <w:color w:val="000000"/>
                    </w:rPr>
                    <w:t> </w:t>
                  </w:r>
                </w:p>
              </w:tc>
              <w:tc>
                <w:tcPr>
                  <w:tcW w:w="3900" w:type="dxa"/>
                  <w:tcBorders>
                    <w:top w:val="single" w:sz="8" w:space="0" w:color="auto"/>
                    <w:left w:val="nil"/>
                    <w:bottom w:val="single" w:sz="8" w:space="0" w:color="auto"/>
                    <w:right w:val="single" w:sz="4" w:space="0" w:color="auto"/>
                  </w:tcBorders>
                  <w:shd w:val="clear" w:color="000000" w:fill="D9D9D9"/>
                  <w:vAlign w:val="center"/>
                  <w:hideMark/>
                </w:tcPr>
                <w:p w:rsidR="00FB7F75" w:rsidRPr="00231F53" w:rsidRDefault="00FB7F75" w:rsidP="00C56C0B">
                  <w:pPr>
                    <w:jc w:val="right"/>
                    <w:rPr>
                      <w:color w:val="000000"/>
                    </w:rPr>
                  </w:pPr>
                  <w:r w:rsidRPr="00231F53">
                    <w:rPr>
                      <w:color w:val="000000"/>
                    </w:rPr>
                    <w:t>Kopā medicīniskā dokumentācija</w:t>
                  </w:r>
                </w:p>
              </w:tc>
              <w:tc>
                <w:tcPr>
                  <w:tcW w:w="1300" w:type="dxa"/>
                  <w:tcBorders>
                    <w:top w:val="single" w:sz="8" w:space="0" w:color="auto"/>
                    <w:left w:val="nil"/>
                    <w:bottom w:val="single" w:sz="8" w:space="0" w:color="auto"/>
                    <w:right w:val="single" w:sz="4" w:space="0" w:color="auto"/>
                  </w:tcBorders>
                  <w:shd w:val="clear" w:color="000000" w:fill="D9D9D9"/>
                  <w:noWrap/>
                  <w:vAlign w:val="center"/>
                  <w:hideMark/>
                </w:tcPr>
                <w:p w:rsidR="00FB7F75" w:rsidRPr="00231F53" w:rsidRDefault="00FB7F75" w:rsidP="00C56C0B">
                  <w:pPr>
                    <w:jc w:val="right"/>
                    <w:rPr>
                      <w:color w:val="000000"/>
                    </w:rPr>
                  </w:pPr>
                  <w:r w:rsidRPr="00231F53">
                    <w:rPr>
                      <w:color w:val="000000"/>
                    </w:rPr>
                    <w:t>514.80</w:t>
                  </w:r>
                </w:p>
              </w:tc>
              <w:tc>
                <w:tcPr>
                  <w:tcW w:w="1540" w:type="dxa"/>
                  <w:tcBorders>
                    <w:top w:val="single" w:sz="8" w:space="0" w:color="auto"/>
                    <w:left w:val="nil"/>
                    <w:bottom w:val="single" w:sz="8" w:space="0" w:color="auto"/>
                    <w:right w:val="single" w:sz="8" w:space="0" w:color="auto"/>
                  </w:tcBorders>
                  <w:shd w:val="clear" w:color="000000" w:fill="D9D9D9"/>
                  <w:noWrap/>
                  <w:vAlign w:val="center"/>
                  <w:hideMark/>
                </w:tcPr>
                <w:p w:rsidR="00FB7F75" w:rsidRPr="00231F53" w:rsidRDefault="00FB7F75" w:rsidP="00C56C0B">
                  <w:pPr>
                    <w:jc w:val="right"/>
                    <w:rPr>
                      <w:color w:val="000000"/>
                    </w:rPr>
                  </w:pPr>
                  <w:r w:rsidRPr="00231F53">
                    <w:rPr>
                      <w:color w:val="000000"/>
                    </w:rPr>
                    <w:t>42.90</w:t>
                  </w:r>
                </w:p>
              </w:tc>
            </w:tr>
            <w:tr w:rsidR="00FB7F75" w:rsidRPr="00A01ED5" w:rsidTr="00C56C0B">
              <w:trPr>
                <w:trHeight w:val="315"/>
              </w:trPr>
              <w:tc>
                <w:tcPr>
                  <w:tcW w:w="1100" w:type="dxa"/>
                  <w:tcBorders>
                    <w:top w:val="nil"/>
                    <w:left w:val="single" w:sz="8" w:space="0" w:color="auto"/>
                    <w:bottom w:val="single" w:sz="8" w:space="0" w:color="auto"/>
                    <w:right w:val="single" w:sz="4" w:space="0" w:color="auto"/>
                  </w:tcBorders>
                  <w:shd w:val="clear" w:color="000000" w:fill="92D050"/>
                  <w:vAlign w:val="center"/>
                  <w:hideMark/>
                </w:tcPr>
                <w:p w:rsidR="00FB7F75" w:rsidRPr="00231F53" w:rsidRDefault="00FB7F75" w:rsidP="00C56C0B">
                  <w:pPr>
                    <w:jc w:val="center"/>
                    <w:rPr>
                      <w:color w:val="000000"/>
                    </w:rPr>
                  </w:pPr>
                  <w:r w:rsidRPr="00231F53">
                    <w:rPr>
                      <w:color w:val="000000"/>
                    </w:rPr>
                    <w:t> </w:t>
                  </w:r>
                </w:p>
              </w:tc>
              <w:tc>
                <w:tcPr>
                  <w:tcW w:w="3900" w:type="dxa"/>
                  <w:tcBorders>
                    <w:top w:val="nil"/>
                    <w:left w:val="nil"/>
                    <w:bottom w:val="single" w:sz="8" w:space="0" w:color="auto"/>
                    <w:right w:val="single" w:sz="4" w:space="0" w:color="auto"/>
                  </w:tcBorders>
                  <w:shd w:val="clear" w:color="000000" w:fill="92D050"/>
                  <w:vAlign w:val="center"/>
                  <w:hideMark/>
                </w:tcPr>
                <w:p w:rsidR="00FB7F75" w:rsidRPr="00231F53" w:rsidRDefault="00FB7F75" w:rsidP="00C56C0B">
                  <w:pPr>
                    <w:jc w:val="center"/>
                    <w:rPr>
                      <w:color w:val="000000"/>
                    </w:rPr>
                  </w:pPr>
                  <w:r w:rsidRPr="00231F53">
                    <w:rPr>
                      <w:color w:val="000000"/>
                    </w:rPr>
                    <w:t>Atalgojums</w:t>
                  </w:r>
                </w:p>
              </w:tc>
              <w:tc>
                <w:tcPr>
                  <w:tcW w:w="1300" w:type="dxa"/>
                  <w:tcBorders>
                    <w:top w:val="nil"/>
                    <w:left w:val="nil"/>
                    <w:bottom w:val="single" w:sz="8" w:space="0" w:color="auto"/>
                    <w:right w:val="single" w:sz="4" w:space="0" w:color="auto"/>
                  </w:tcBorders>
                  <w:shd w:val="clear" w:color="000000" w:fill="92D050"/>
                  <w:noWrap/>
                  <w:vAlign w:val="center"/>
                  <w:hideMark/>
                </w:tcPr>
                <w:p w:rsidR="00FB7F75" w:rsidRPr="00231F53" w:rsidRDefault="00FB7F75" w:rsidP="00C56C0B">
                  <w:pPr>
                    <w:rPr>
                      <w:color w:val="000000"/>
                    </w:rPr>
                  </w:pPr>
                  <w:r w:rsidRPr="00231F53">
                    <w:rPr>
                      <w:color w:val="000000"/>
                    </w:rPr>
                    <w:t> </w:t>
                  </w:r>
                </w:p>
              </w:tc>
              <w:tc>
                <w:tcPr>
                  <w:tcW w:w="1540" w:type="dxa"/>
                  <w:tcBorders>
                    <w:top w:val="nil"/>
                    <w:left w:val="nil"/>
                    <w:bottom w:val="single" w:sz="8" w:space="0" w:color="auto"/>
                    <w:right w:val="single" w:sz="8" w:space="0" w:color="auto"/>
                  </w:tcBorders>
                  <w:shd w:val="clear" w:color="000000" w:fill="92D050"/>
                  <w:noWrap/>
                  <w:vAlign w:val="center"/>
                  <w:hideMark/>
                </w:tcPr>
                <w:p w:rsidR="00FB7F75" w:rsidRPr="00231F53" w:rsidRDefault="00FB7F75" w:rsidP="00C56C0B">
                  <w:pPr>
                    <w:rPr>
                      <w:color w:val="000000"/>
                    </w:rPr>
                  </w:pPr>
                  <w:r w:rsidRPr="00231F53">
                    <w:rPr>
                      <w:color w:val="000000"/>
                    </w:rPr>
                    <w:t> </w:t>
                  </w:r>
                </w:p>
              </w:tc>
            </w:tr>
            <w:tr w:rsidR="00FB7F75" w:rsidRPr="00A01ED5" w:rsidTr="00C56C0B">
              <w:trPr>
                <w:trHeight w:val="300"/>
              </w:trPr>
              <w:tc>
                <w:tcPr>
                  <w:tcW w:w="1100" w:type="dxa"/>
                  <w:tcBorders>
                    <w:top w:val="nil"/>
                    <w:left w:val="single" w:sz="8" w:space="0" w:color="auto"/>
                    <w:bottom w:val="single" w:sz="4" w:space="0" w:color="auto"/>
                    <w:right w:val="single" w:sz="4" w:space="0" w:color="auto"/>
                  </w:tcBorders>
                  <w:shd w:val="clear" w:color="000000" w:fill="FFFFFF"/>
                  <w:vAlign w:val="center"/>
                  <w:hideMark/>
                </w:tcPr>
                <w:p w:rsidR="00FB7F75" w:rsidRPr="00231F53" w:rsidRDefault="00FB7F75" w:rsidP="00C56C0B">
                  <w:pPr>
                    <w:jc w:val="center"/>
                    <w:rPr>
                      <w:color w:val="000000"/>
                      <w:sz w:val="20"/>
                    </w:rPr>
                  </w:pPr>
                  <w:r w:rsidRPr="00231F53">
                    <w:rPr>
                      <w:color w:val="000000"/>
                      <w:sz w:val="20"/>
                    </w:rPr>
                    <w:t>63</w:t>
                  </w:r>
                </w:p>
              </w:tc>
              <w:tc>
                <w:tcPr>
                  <w:tcW w:w="3900" w:type="dxa"/>
                  <w:tcBorders>
                    <w:top w:val="nil"/>
                    <w:left w:val="nil"/>
                    <w:bottom w:val="single" w:sz="4" w:space="0" w:color="auto"/>
                    <w:right w:val="single" w:sz="4" w:space="0" w:color="auto"/>
                  </w:tcBorders>
                  <w:shd w:val="clear" w:color="000000" w:fill="FFFFFF"/>
                  <w:vAlign w:val="center"/>
                  <w:hideMark/>
                </w:tcPr>
                <w:p w:rsidR="00FB7F75" w:rsidRPr="00231F53" w:rsidRDefault="00FB7F75" w:rsidP="00C56C0B">
                  <w:pPr>
                    <w:jc w:val="both"/>
                    <w:rPr>
                      <w:color w:val="000000"/>
                      <w:sz w:val="20"/>
                    </w:rPr>
                  </w:pPr>
                  <w:r w:rsidRPr="00231F53">
                    <w:rPr>
                      <w:color w:val="000000"/>
                      <w:sz w:val="20"/>
                    </w:rPr>
                    <w:t>Ārsts</w:t>
                  </w:r>
                </w:p>
              </w:tc>
              <w:tc>
                <w:tcPr>
                  <w:tcW w:w="1300" w:type="dxa"/>
                  <w:tcBorders>
                    <w:top w:val="nil"/>
                    <w:left w:val="nil"/>
                    <w:bottom w:val="single" w:sz="4" w:space="0" w:color="auto"/>
                    <w:right w:val="single" w:sz="4" w:space="0" w:color="auto"/>
                  </w:tcBorders>
                  <w:shd w:val="clear" w:color="000000" w:fill="FFFFFF"/>
                  <w:noWrap/>
                  <w:vAlign w:val="center"/>
                  <w:hideMark/>
                </w:tcPr>
                <w:p w:rsidR="00FB7F75" w:rsidRPr="00231F53" w:rsidRDefault="00FB7F75" w:rsidP="00C56C0B">
                  <w:pPr>
                    <w:jc w:val="right"/>
                    <w:rPr>
                      <w:sz w:val="20"/>
                    </w:rPr>
                  </w:pPr>
                  <w:r w:rsidRPr="00231F53">
                    <w:rPr>
                      <w:sz w:val="20"/>
                    </w:rPr>
                    <w:t xml:space="preserve">13 </w:t>
                  </w:r>
                  <w:r w:rsidRPr="0004383B">
                    <w:rPr>
                      <w:rFonts w:eastAsia="Times New Roman" w:cs="Times New Roman"/>
                      <w:sz w:val="20"/>
                      <w:szCs w:val="20"/>
                      <w:lang w:eastAsia="lv-LV"/>
                    </w:rPr>
                    <w:t>342.32</w:t>
                  </w:r>
                </w:p>
              </w:tc>
              <w:tc>
                <w:tcPr>
                  <w:tcW w:w="1540" w:type="dxa"/>
                  <w:tcBorders>
                    <w:top w:val="nil"/>
                    <w:left w:val="nil"/>
                    <w:bottom w:val="nil"/>
                    <w:right w:val="nil"/>
                  </w:tcBorders>
                  <w:shd w:val="clear" w:color="auto" w:fill="auto"/>
                  <w:noWrap/>
                  <w:vAlign w:val="bottom"/>
                  <w:hideMark/>
                </w:tcPr>
                <w:p w:rsidR="00FB7F75" w:rsidRPr="00A01ED5" w:rsidRDefault="00FB7F75" w:rsidP="00C56C0B">
                  <w:pPr>
                    <w:jc w:val="right"/>
                    <w:rPr>
                      <w:rFonts w:eastAsia="Times New Roman" w:cs="Times New Roman"/>
                      <w:szCs w:val="24"/>
                      <w:lang w:eastAsia="lv-LV"/>
                    </w:rPr>
                  </w:pPr>
                  <w:r w:rsidRPr="0004383B">
                    <w:rPr>
                      <w:rFonts w:eastAsia="Times New Roman" w:cs="Times New Roman"/>
                      <w:sz w:val="22"/>
                      <w:lang w:eastAsia="lv-LV"/>
                    </w:rPr>
                    <w:t>1111.86</w:t>
                  </w:r>
                </w:p>
              </w:tc>
            </w:tr>
            <w:tr w:rsidR="00FB7F75" w:rsidRPr="00A01ED5" w:rsidTr="00C56C0B">
              <w:trPr>
                <w:trHeight w:val="315"/>
              </w:trPr>
              <w:tc>
                <w:tcPr>
                  <w:tcW w:w="1100" w:type="dxa"/>
                  <w:tcBorders>
                    <w:top w:val="nil"/>
                    <w:left w:val="single" w:sz="8" w:space="0" w:color="auto"/>
                    <w:bottom w:val="nil"/>
                    <w:right w:val="single" w:sz="4" w:space="0" w:color="auto"/>
                  </w:tcBorders>
                  <w:shd w:val="clear" w:color="000000" w:fill="FFFFFF"/>
                  <w:vAlign w:val="center"/>
                  <w:hideMark/>
                </w:tcPr>
                <w:p w:rsidR="00FB7F75" w:rsidRPr="00231F53" w:rsidRDefault="00FB7F75" w:rsidP="00C56C0B">
                  <w:pPr>
                    <w:jc w:val="center"/>
                    <w:rPr>
                      <w:color w:val="000000"/>
                      <w:sz w:val="20"/>
                    </w:rPr>
                  </w:pPr>
                  <w:r w:rsidRPr="00231F53">
                    <w:rPr>
                      <w:color w:val="000000"/>
                      <w:sz w:val="20"/>
                    </w:rPr>
                    <w:t>64</w:t>
                  </w:r>
                </w:p>
              </w:tc>
              <w:tc>
                <w:tcPr>
                  <w:tcW w:w="3900" w:type="dxa"/>
                  <w:tcBorders>
                    <w:top w:val="nil"/>
                    <w:left w:val="nil"/>
                    <w:bottom w:val="nil"/>
                    <w:right w:val="single" w:sz="4" w:space="0" w:color="auto"/>
                  </w:tcBorders>
                  <w:shd w:val="clear" w:color="000000" w:fill="FFFFFF"/>
                  <w:vAlign w:val="center"/>
                  <w:hideMark/>
                </w:tcPr>
                <w:p w:rsidR="00FB7F75" w:rsidRPr="00231F53" w:rsidRDefault="00FB7F75" w:rsidP="00C56C0B">
                  <w:pPr>
                    <w:jc w:val="both"/>
                    <w:rPr>
                      <w:color w:val="000000"/>
                      <w:sz w:val="20"/>
                    </w:rPr>
                  </w:pPr>
                  <w:r w:rsidRPr="00231F53">
                    <w:rPr>
                      <w:color w:val="000000"/>
                      <w:sz w:val="20"/>
                    </w:rPr>
                    <w:t>Reģistratora funkcijām</w:t>
                  </w:r>
                </w:p>
              </w:tc>
              <w:tc>
                <w:tcPr>
                  <w:tcW w:w="1300" w:type="dxa"/>
                  <w:tcBorders>
                    <w:top w:val="nil"/>
                    <w:left w:val="nil"/>
                    <w:bottom w:val="nil"/>
                    <w:right w:val="single" w:sz="4" w:space="0" w:color="auto"/>
                  </w:tcBorders>
                  <w:shd w:val="clear" w:color="000000" w:fill="FFFFFF"/>
                  <w:noWrap/>
                  <w:vAlign w:val="center"/>
                  <w:hideMark/>
                </w:tcPr>
                <w:p w:rsidR="00FB7F75" w:rsidRPr="00231F53" w:rsidRDefault="00FB7F75" w:rsidP="00C56C0B">
                  <w:pPr>
                    <w:jc w:val="right"/>
                    <w:rPr>
                      <w:sz w:val="20"/>
                    </w:rPr>
                  </w:pPr>
                  <w:r w:rsidRPr="00231F53">
                    <w:rPr>
                      <w:sz w:val="20"/>
                    </w:rPr>
                    <w:t>5 635.68</w:t>
                  </w:r>
                </w:p>
              </w:tc>
              <w:tc>
                <w:tcPr>
                  <w:tcW w:w="1540" w:type="dxa"/>
                  <w:tcBorders>
                    <w:top w:val="single" w:sz="4" w:space="0" w:color="auto"/>
                    <w:left w:val="nil"/>
                    <w:bottom w:val="nil"/>
                    <w:right w:val="single" w:sz="8" w:space="0" w:color="auto"/>
                  </w:tcBorders>
                  <w:shd w:val="clear" w:color="000000" w:fill="FFFFFF"/>
                  <w:noWrap/>
                  <w:vAlign w:val="center"/>
                  <w:hideMark/>
                </w:tcPr>
                <w:p w:rsidR="00FB7F75" w:rsidRPr="00231F53" w:rsidRDefault="00FB7F75" w:rsidP="00C56C0B">
                  <w:pPr>
                    <w:jc w:val="right"/>
                    <w:rPr>
                      <w:sz w:val="20"/>
                    </w:rPr>
                  </w:pPr>
                  <w:r w:rsidRPr="00231F53">
                    <w:rPr>
                      <w:sz w:val="20"/>
                    </w:rPr>
                    <w:t>469.64</w:t>
                  </w:r>
                </w:p>
              </w:tc>
            </w:tr>
            <w:tr w:rsidR="00FB7F75" w:rsidRPr="00A01ED5" w:rsidTr="00C56C0B">
              <w:trPr>
                <w:trHeight w:val="315"/>
              </w:trPr>
              <w:tc>
                <w:tcPr>
                  <w:tcW w:w="1100" w:type="dxa"/>
                  <w:tcBorders>
                    <w:top w:val="single" w:sz="8" w:space="0" w:color="auto"/>
                    <w:left w:val="single" w:sz="8" w:space="0" w:color="auto"/>
                    <w:bottom w:val="single" w:sz="8" w:space="0" w:color="auto"/>
                    <w:right w:val="single" w:sz="4" w:space="0" w:color="auto"/>
                  </w:tcBorders>
                  <w:shd w:val="clear" w:color="000000" w:fill="BFBFBF"/>
                  <w:vAlign w:val="center"/>
                  <w:hideMark/>
                </w:tcPr>
                <w:p w:rsidR="00FB7F75" w:rsidRPr="00231F53" w:rsidRDefault="00FB7F75" w:rsidP="00C56C0B">
                  <w:pPr>
                    <w:jc w:val="center"/>
                    <w:rPr>
                      <w:sz w:val="20"/>
                    </w:rPr>
                  </w:pPr>
                  <w:r w:rsidRPr="00231F53">
                    <w:rPr>
                      <w:sz w:val="20"/>
                    </w:rPr>
                    <w:t> </w:t>
                  </w:r>
                </w:p>
              </w:tc>
              <w:tc>
                <w:tcPr>
                  <w:tcW w:w="3900" w:type="dxa"/>
                  <w:tcBorders>
                    <w:top w:val="single" w:sz="8" w:space="0" w:color="auto"/>
                    <w:left w:val="nil"/>
                    <w:bottom w:val="single" w:sz="8" w:space="0" w:color="auto"/>
                    <w:right w:val="single" w:sz="4" w:space="0" w:color="auto"/>
                  </w:tcBorders>
                  <w:shd w:val="clear" w:color="000000" w:fill="BFBFBF"/>
                  <w:vAlign w:val="center"/>
                  <w:hideMark/>
                </w:tcPr>
                <w:p w:rsidR="00FB7F75" w:rsidRPr="00231F53" w:rsidRDefault="00FB7F75" w:rsidP="00C56C0B">
                  <w:pPr>
                    <w:jc w:val="right"/>
                    <w:rPr>
                      <w:b/>
                      <w:sz w:val="20"/>
                    </w:rPr>
                  </w:pPr>
                  <w:r w:rsidRPr="00231F53">
                    <w:rPr>
                      <w:b/>
                      <w:sz w:val="20"/>
                    </w:rPr>
                    <w:t>Kopā Atalgojums</w:t>
                  </w:r>
                </w:p>
              </w:tc>
              <w:tc>
                <w:tcPr>
                  <w:tcW w:w="1300" w:type="dxa"/>
                  <w:tcBorders>
                    <w:top w:val="single" w:sz="8" w:space="0" w:color="auto"/>
                    <w:left w:val="nil"/>
                    <w:bottom w:val="single" w:sz="8" w:space="0" w:color="auto"/>
                    <w:right w:val="single" w:sz="4" w:space="0" w:color="auto"/>
                  </w:tcBorders>
                  <w:shd w:val="clear" w:color="000000" w:fill="BFBFBF"/>
                  <w:noWrap/>
                  <w:vAlign w:val="center"/>
                  <w:hideMark/>
                </w:tcPr>
                <w:p w:rsidR="00FB7F75" w:rsidRPr="00231F53" w:rsidRDefault="00FB7F75" w:rsidP="00C56C0B">
                  <w:pPr>
                    <w:jc w:val="right"/>
                    <w:rPr>
                      <w:b/>
                      <w:sz w:val="20"/>
                    </w:rPr>
                  </w:pPr>
                  <w:r w:rsidRPr="00231F53">
                    <w:rPr>
                      <w:b/>
                      <w:sz w:val="20"/>
                    </w:rPr>
                    <w:t xml:space="preserve">18 </w:t>
                  </w:r>
                  <w:r w:rsidRPr="0004383B">
                    <w:rPr>
                      <w:rFonts w:eastAsia="Times New Roman" w:cs="Times New Roman"/>
                      <w:b/>
                      <w:bCs/>
                      <w:sz w:val="20"/>
                      <w:szCs w:val="20"/>
                      <w:lang w:eastAsia="lv-LV"/>
                    </w:rPr>
                    <w:t>978.00</w:t>
                  </w:r>
                </w:p>
              </w:tc>
              <w:tc>
                <w:tcPr>
                  <w:tcW w:w="1540" w:type="dxa"/>
                  <w:tcBorders>
                    <w:top w:val="single" w:sz="8" w:space="0" w:color="auto"/>
                    <w:left w:val="nil"/>
                    <w:bottom w:val="single" w:sz="8" w:space="0" w:color="auto"/>
                    <w:right w:val="single" w:sz="8" w:space="0" w:color="auto"/>
                  </w:tcBorders>
                  <w:shd w:val="clear" w:color="000000" w:fill="BFBFBF"/>
                  <w:noWrap/>
                  <w:vAlign w:val="center"/>
                  <w:hideMark/>
                </w:tcPr>
                <w:p w:rsidR="00FB7F75" w:rsidRPr="00231F53" w:rsidRDefault="00FB7F75" w:rsidP="00C56C0B">
                  <w:pPr>
                    <w:jc w:val="right"/>
                    <w:rPr>
                      <w:b/>
                      <w:sz w:val="20"/>
                    </w:rPr>
                  </w:pPr>
                  <w:r w:rsidRPr="00231F53">
                    <w:rPr>
                      <w:b/>
                      <w:sz w:val="20"/>
                    </w:rPr>
                    <w:t xml:space="preserve">1 </w:t>
                  </w:r>
                  <w:r w:rsidRPr="0004383B">
                    <w:rPr>
                      <w:rFonts w:eastAsia="Times New Roman" w:cs="Times New Roman"/>
                      <w:b/>
                      <w:bCs/>
                      <w:sz w:val="20"/>
                      <w:szCs w:val="20"/>
                      <w:lang w:eastAsia="lv-LV"/>
                    </w:rPr>
                    <w:t>581.50</w:t>
                  </w:r>
                </w:p>
              </w:tc>
            </w:tr>
            <w:tr w:rsidR="00FB7F75" w:rsidRPr="00A01ED5" w:rsidTr="00C56C0B">
              <w:trPr>
                <w:trHeight w:val="315"/>
              </w:trPr>
              <w:tc>
                <w:tcPr>
                  <w:tcW w:w="1100" w:type="dxa"/>
                  <w:tcBorders>
                    <w:top w:val="nil"/>
                    <w:left w:val="single" w:sz="8" w:space="0" w:color="auto"/>
                    <w:bottom w:val="single" w:sz="8" w:space="0" w:color="auto"/>
                    <w:right w:val="single" w:sz="4" w:space="0" w:color="auto"/>
                  </w:tcBorders>
                  <w:shd w:val="clear" w:color="000000" w:fill="92D050"/>
                  <w:vAlign w:val="center"/>
                  <w:hideMark/>
                </w:tcPr>
                <w:p w:rsidR="00FB7F75" w:rsidRPr="00231F53" w:rsidRDefault="00FB7F75" w:rsidP="00C56C0B">
                  <w:pPr>
                    <w:jc w:val="center"/>
                    <w:rPr>
                      <w:b/>
                      <w:color w:val="000000"/>
                      <w:sz w:val="20"/>
                    </w:rPr>
                  </w:pPr>
                  <w:r w:rsidRPr="00231F53">
                    <w:rPr>
                      <w:b/>
                      <w:color w:val="000000"/>
                      <w:sz w:val="20"/>
                    </w:rPr>
                    <w:t> </w:t>
                  </w:r>
                </w:p>
              </w:tc>
              <w:tc>
                <w:tcPr>
                  <w:tcW w:w="3900" w:type="dxa"/>
                  <w:tcBorders>
                    <w:top w:val="nil"/>
                    <w:left w:val="nil"/>
                    <w:bottom w:val="single" w:sz="8" w:space="0" w:color="auto"/>
                    <w:right w:val="single" w:sz="4" w:space="0" w:color="auto"/>
                  </w:tcBorders>
                  <w:shd w:val="clear" w:color="000000" w:fill="92D050"/>
                  <w:vAlign w:val="center"/>
                  <w:hideMark/>
                </w:tcPr>
                <w:p w:rsidR="00FB7F75" w:rsidRPr="00231F53" w:rsidRDefault="00FB7F75" w:rsidP="00C56C0B">
                  <w:pPr>
                    <w:jc w:val="center"/>
                    <w:rPr>
                      <w:b/>
                      <w:color w:val="000000"/>
                      <w:sz w:val="20"/>
                    </w:rPr>
                  </w:pPr>
                  <w:r w:rsidRPr="00231F53">
                    <w:rPr>
                      <w:b/>
                      <w:color w:val="000000"/>
                      <w:sz w:val="20"/>
                    </w:rPr>
                    <w:t>Datortehnika un apkalpošana</w:t>
                  </w:r>
                </w:p>
              </w:tc>
              <w:tc>
                <w:tcPr>
                  <w:tcW w:w="1300" w:type="dxa"/>
                  <w:tcBorders>
                    <w:top w:val="nil"/>
                    <w:left w:val="nil"/>
                    <w:bottom w:val="single" w:sz="8" w:space="0" w:color="auto"/>
                    <w:right w:val="single" w:sz="4" w:space="0" w:color="auto"/>
                  </w:tcBorders>
                  <w:shd w:val="clear" w:color="000000" w:fill="92D050"/>
                  <w:noWrap/>
                  <w:vAlign w:val="center"/>
                  <w:hideMark/>
                </w:tcPr>
                <w:p w:rsidR="00FB7F75" w:rsidRPr="00231F53" w:rsidRDefault="00FB7F75" w:rsidP="00C56C0B">
                  <w:pPr>
                    <w:rPr>
                      <w:color w:val="000000"/>
                      <w:sz w:val="20"/>
                    </w:rPr>
                  </w:pPr>
                  <w:r w:rsidRPr="00231F53">
                    <w:rPr>
                      <w:color w:val="000000"/>
                      <w:sz w:val="20"/>
                    </w:rPr>
                    <w:t> </w:t>
                  </w:r>
                </w:p>
              </w:tc>
              <w:tc>
                <w:tcPr>
                  <w:tcW w:w="1540" w:type="dxa"/>
                  <w:tcBorders>
                    <w:top w:val="nil"/>
                    <w:left w:val="nil"/>
                    <w:bottom w:val="single" w:sz="8" w:space="0" w:color="auto"/>
                    <w:right w:val="single" w:sz="8" w:space="0" w:color="auto"/>
                  </w:tcBorders>
                  <w:shd w:val="clear" w:color="000000" w:fill="92D050"/>
                  <w:noWrap/>
                  <w:vAlign w:val="center"/>
                  <w:hideMark/>
                </w:tcPr>
                <w:p w:rsidR="00FB7F75" w:rsidRPr="00231F53" w:rsidRDefault="00FB7F75" w:rsidP="00C56C0B">
                  <w:pPr>
                    <w:rPr>
                      <w:color w:val="000000"/>
                      <w:sz w:val="20"/>
                    </w:rPr>
                  </w:pPr>
                  <w:r w:rsidRPr="00231F53">
                    <w:rPr>
                      <w:color w:val="000000"/>
                      <w:sz w:val="20"/>
                    </w:rPr>
                    <w:t> </w:t>
                  </w:r>
                </w:p>
              </w:tc>
            </w:tr>
            <w:tr w:rsidR="00FB7F75" w:rsidRPr="00A01ED5" w:rsidTr="00C56C0B">
              <w:trPr>
                <w:trHeight w:val="330"/>
              </w:trPr>
              <w:tc>
                <w:tcPr>
                  <w:tcW w:w="1100"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FB7F75" w:rsidRPr="00231F53" w:rsidRDefault="00FB7F75" w:rsidP="00C56C0B">
                  <w:pPr>
                    <w:jc w:val="right"/>
                    <w:rPr>
                      <w:b/>
                      <w:color w:val="000000"/>
                      <w:sz w:val="20"/>
                    </w:rPr>
                  </w:pPr>
                  <w:r w:rsidRPr="00231F53">
                    <w:rPr>
                      <w:b/>
                      <w:color w:val="000000"/>
                      <w:sz w:val="20"/>
                    </w:rPr>
                    <w:t> </w:t>
                  </w:r>
                </w:p>
              </w:tc>
              <w:tc>
                <w:tcPr>
                  <w:tcW w:w="3900" w:type="dxa"/>
                  <w:tcBorders>
                    <w:top w:val="single" w:sz="8" w:space="0" w:color="auto"/>
                    <w:left w:val="nil"/>
                    <w:bottom w:val="single" w:sz="8" w:space="0" w:color="auto"/>
                    <w:right w:val="single" w:sz="4" w:space="0" w:color="auto"/>
                  </w:tcBorders>
                  <w:shd w:val="clear" w:color="000000" w:fill="D9D9D9"/>
                  <w:vAlign w:val="center"/>
                  <w:hideMark/>
                </w:tcPr>
                <w:p w:rsidR="00FB7F75" w:rsidRPr="00231F53" w:rsidRDefault="00FB7F75" w:rsidP="00C56C0B">
                  <w:pPr>
                    <w:jc w:val="right"/>
                    <w:rPr>
                      <w:b/>
                      <w:color w:val="000000"/>
                      <w:sz w:val="20"/>
                    </w:rPr>
                  </w:pPr>
                  <w:r w:rsidRPr="00231F53">
                    <w:rPr>
                      <w:b/>
                      <w:color w:val="000000"/>
                      <w:sz w:val="20"/>
                    </w:rPr>
                    <w:t>Kopā Datortehnika un apkalpošana</w:t>
                  </w:r>
                </w:p>
              </w:tc>
              <w:tc>
                <w:tcPr>
                  <w:tcW w:w="1300" w:type="dxa"/>
                  <w:tcBorders>
                    <w:top w:val="single" w:sz="8" w:space="0" w:color="auto"/>
                    <w:left w:val="nil"/>
                    <w:bottom w:val="single" w:sz="8" w:space="0" w:color="auto"/>
                    <w:right w:val="single" w:sz="4" w:space="0" w:color="auto"/>
                  </w:tcBorders>
                  <w:shd w:val="clear" w:color="000000" w:fill="D9D9D9"/>
                  <w:noWrap/>
                  <w:vAlign w:val="center"/>
                  <w:hideMark/>
                </w:tcPr>
                <w:p w:rsidR="00FB7F75" w:rsidRPr="00231F53" w:rsidRDefault="00FB7F75" w:rsidP="00C56C0B">
                  <w:pPr>
                    <w:jc w:val="right"/>
                    <w:rPr>
                      <w:b/>
                      <w:color w:val="000000"/>
                      <w:sz w:val="20"/>
                    </w:rPr>
                  </w:pPr>
                  <w:r w:rsidRPr="00231F53">
                    <w:rPr>
                      <w:b/>
                      <w:color w:val="000000"/>
                      <w:sz w:val="20"/>
                    </w:rPr>
                    <w:t>4 106.94</w:t>
                  </w:r>
                </w:p>
              </w:tc>
              <w:tc>
                <w:tcPr>
                  <w:tcW w:w="1540" w:type="dxa"/>
                  <w:tcBorders>
                    <w:top w:val="single" w:sz="8" w:space="0" w:color="auto"/>
                    <w:left w:val="nil"/>
                    <w:bottom w:val="single" w:sz="8" w:space="0" w:color="auto"/>
                    <w:right w:val="single" w:sz="8" w:space="0" w:color="auto"/>
                  </w:tcBorders>
                  <w:shd w:val="clear" w:color="000000" w:fill="D9D9D9"/>
                  <w:noWrap/>
                  <w:vAlign w:val="center"/>
                  <w:hideMark/>
                </w:tcPr>
                <w:p w:rsidR="00FB7F75" w:rsidRPr="00231F53" w:rsidRDefault="00FB7F75" w:rsidP="00C56C0B">
                  <w:pPr>
                    <w:jc w:val="right"/>
                    <w:rPr>
                      <w:b/>
                      <w:color w:val="000000"/>
                      <w:sz w:val="20"/>
                    </w:rPr>
                  </w:pPr>
                  <w:r w:rsidRPr="00231F53">
                    <w:rPr>
                      <w:b/>
                      <w:color w:val="000000"/>
                      <w:sz w:val="20"/>
                    </w:rPr>
                    <w:t>229.38</w:t>
                  </w:r>
                </w:p>
              </w:tc>
            </w:tr>
            <w:tr w:rsidR="00FB7F75" w:rsidRPr="00A01ED5" w:rsidTr="00C56C0B">
              <w:trPr>
                <w:trHeight w:val="315"/>
              </w:trPr>
              <w:tc>
                <w:tcPr>
                  <w:tcW w:w="1100" w:type="dxa"/>
                  <w:tcBorders>
                    <w:top w:val="nil"/>
                    <w:left w:val="single" w:sz="8" w:space="0" w:color="auto"/>
                    <w:bottom w:val="single" w:sz="8" w:space="0" w:color="auto"/>
                    <w:right w:val="single" w:sz="4" w:space="0" w:color="auto"/>
                  </w:tcBorders>
                  <w:shd w:val="clear" w:color="000000" w:fill="B8CCE4"/>
                  <w:vAlign w:val="center"/>
                  <w:hideMark/>
                </w:tcPr>
                <w:p w:rsidR="00FB7F75" w:rsidRPr="00231F53" w:rsidRDefault="00FB7F75" w:rsidP="00C56C0B">
                  <w:pPr>
                    <w:jc w:val="right"/>
                    <w:rPr>
                      <w:b/>
                      <w:color w:val="000000"/>
                      <w:sz w:val="20"/>
                    </w:rPr>
                  </w:pPr>
                  <w:r w:rsidRPr="00231F53">
                    <w:rPr>
                      <w:b/>
                      <w:color w:val="000000"/>
                      <w:sz w:val="20"/>
                    </w:rPr>
                    <w:t> </w:t>
                  </w:r>
                </w:p>
              </w:tc>
              <w:tc>
                <w:tcPr>
                  <w:tcW w:w="3900" w:type="dxa"/>
                  <w:tcBorders>
                    <w:top w:val="nil"/>
                    <w:left w:val="nil"/>
                    <w:bottom w:val="single" w:sz="8" w:space="0" w:color="auto"/>
                    <w:right w:val="single" w:sz="4" w:space="0" w:color="auto"/>
                  </w:tcBorders>
                  <w:shd w:val="clear" w:color="000000" w:fill="B8CCE4"/>
                  <w:vAlign w:val="center"/>
                  <w:hideMark/>
                </w:tcPr>
                <w:p w:rsidR="00FB7F75" w:rsidRPr="00231F53" w:rsidRDefault="00FB7F75" w:rsidP="00C56C0B">
                  <w:pPr>
                    <w:jc w:val="right"/>
                    <w:rPr>
                      <w:b/>
                      <w:color w:val="000000"/>
                      <w:sz w:val="20"/>
                    </w:rPr>
                  </w:pPr>
                  <w:r w:rsidRPr="00231F53">
                    <w:rPr>
                      <w:b/>
                      <w:color w:val="000000"/>
                      <w:sz w:val="20"/>
                    </w:rPr>
                    <w:t>Kopā prakses izmaksas</w:t>
                  </w:r>
                </w:p>
              </w:tc>
              <w:tc>
                <w:tcPr>
                  <w:tcW w:w="1300" w:type="dxa"/>
                  <w:tcBorders>
                    <w:top w:val="nil"/>
                    <w:left w:val="nil"/>
                    <w:bottom w:val="single" w:sz="8" w:space="0" w:color="auto"/>
                    <w:right w:val="single" w:sz="4" w:space="0" w:color="auto"/>
                  </w:tcBorders>
                  <w:shd w:val="clear" w:color="000000" w:fill="B8CCE4"/>
                  <w:noWrap/>
                  <w:vAlign w:val="center"/>
                  <w:hideMark/>
                </w:tcPr>
                <w:p w:rsidR="00FB7F75" w:rsidRPr="00231F53" w:rsidRDefault="00FB7F75" w:rsidP="00C56C0B">
                  <w:pPr>
                    <w:jc w:val="right"/>
                    <w:rPr>
                      <w:b/>
                      <w:color w:val="000000"/>
                      <w:sz w:val="20"/>
                    </w:rPr>
                  </w:pPr>
                  <w:r w:rsidRPr="00231F53">
                    <w:rPr>
                      <w:b/>
                      <w:color w:val="000000"/>
                      <w:sz w:val="20"/>
                    </w:rPr>
                    <w:t xml:space="preserve">29 </w:t>
                  </w:r>
                  <w:r w:rsidRPr="0004383B">
                    <w:rPr>
                      <w:rFonts w:eastAsia="Times New Roman" w:cs="Times New Roman"/>
                      <w:b/>
                      <w:bCs/>
                      <w:color w:val="000000"/>
                      <w:sz w:val="20"/>
                      <w:szCs w:val="20"/>
                      <w:lang w:eastAsia="lv-LV"/>
                    </w:rPr>
                    <w:t>164.98</w:t>
                  </w:r>
                </w:p>
              </w:tc>
              <w:tc>
                <w:tcPr>
                  <w:tcW w:w="1540" w:type="dxa"/>
                  <w:tcBorders>
                    <w:top w:val="nil"/>
                    <w:left w:val="nil"/>
                    <w:bottom w:val="single" w:sz="8" w:space="0" w:color="auto"/>
                    <w:right w:val="single" w:sz="8" w:space="0" w:color="auto"/>
                  </w:tcBorders>
                  <w:shd w:val="clear" w:color="000000" w:fill="B8CCE4"/>
                  <w:noWrap/>
                  <w:vAlign w:val="center"/>
                  <w:hideMark/>
                </w:tcPr>
                <w:p w:rsidR="00FB7F75" w:rsidRPr="00231F53" w:rsidRDefault="00FB7F75" w:rsidP="00C56C0B">
                  <w:pPr>
                    <w:jc w:val="right"/>
                    <w:rPr>
                      <w:b/>
                      <w:color w:val="000000"/>
                      <w:sz w:val="20"/>
                    </w:rPr>
                  </w:pPr>
                  <w:r w:rsidRPr="00231F53">
                    <w:rPr>
                      <w:b/>
                      <w:color w:val="000000"/>
                      <w:sz w:val="20"/>
                    </w:rPr>
                    <w:t xml:space="preserve">1 </w:t>
                  </w:r>
                  <w:r w:rsidRPr="0004383B">
                    <w:rPr>
                      <w:rFonts w:eastAsia="Times New Roman" w:cs="Times New Roman"/>
                      <w:b/>
                      <w:bCs/>
                      <w:color w:val="000000"/>
                      <w:sz w:val="20"/>
                      <w:szCs w:val="20"/>
                      <w:lang w:eastAsia="lv-LV"/>
                    </w:rPr>
                    <w:t>975.73</w:t>
                  </w:r>
                </w:p>
              </w:tc>
            </w:tr>
            <w:tr w:rsidR="00FB7F75" w:rsidRPr="00A01ED5" w:rsidTr="00C56C0B">
              <w:trPr>
                <w:trHeight w:val="300"/>
              </w:trPr>
              <w:tc>
                <w:tcPr>
                  <w:tcW w:w="1100" w:type="dxa"/>
                  <w:tcBorders>
                    <w:top w:val="nil"/>
                    <w:left w:val="nil"/>
                    <w:bottom w:val="nil"/>
                    <w:right w:val="nil"/>
                  </w:tcBorders>
                  <w:shd w:val="clear" w:color="auto" w:fill="auto"/>
                  <w:noWrap/>
                  <w:vAlign w:val="bottom"/>
                  <w:hideMark/>
                </w:tcPr>
                <w:p w:rsidR="00FB7F75" w:rsidRPr="00231F53" w:rsidRDefault="00FB7F75" w:rsidP="00C56C0B">
                  <w:pPr>
                    <w:jc w:val="right"/>
                    <w:rPr>
                      <w:b/>
                      <w:color w:val="000000"/>
                      <w:sz w:val="20"/>
                    </w:rPr>
                  </w:pPr>
                </w:p>
              </w:tc>
              <w:tc>
                <w:tcPr>
                  <w:tcW w:w="5200" w:type="dxa"/>
                  <w:gridSpan w:val="2"/>
                  <w:tcBorders>
                    <w:top w:val="nil"/>
                    <w:left w:val="nil"/>
                    <w:bottom w:val="nil"/>
                    <w:right w:val="nil"/>
                  </w:tcBorders>
                  <w:shd w:val="clear" w:color="auto" w:fill="auto"/>
                  <w:vAlign w:val="bottom"/>
                  <w:hideMark/>
                </w:tcPr>
                <w:p w:rsidR="00FB7F75" w:rsidRPr="00231F53" w:rsidRDefault="00FB7F75" w:rsidP="00C56C0B">
                  <w:pPr>
                    <w:jc w:val="right"/>
                    <w:rPr>
                      <w:color w:val="000000"/>
                      <w:sz w:val="20"/>
                    </w:rPr>
                  </w:pPr>
                  <w:proofErr w:type="spellStart"/>
                  <w:r w:rsidRPr="00231F53">
                    <w:rPr>
                      <w:color w:val="000000"/>
                      <w:sz w:val="20"/>
                    </w:rPr>
                    <w:t>Kapitācijas</w:t>
                  </w:r>
                  <w:proofErr w:type="spellEnd"/>
                  <w:r w:rsidRPr="00231F53">
                    <w:rPr>
                      <w:color w:val="000000"/>
                      <w:sz w:val="20"/>
                    </w:rPr>
                    <w:t xml:space="preserve"> nauda mēnesī uz 1 pacientu</w:t>
                  </w:r>
                </w:p>
              </w:tc>
              <w:tc>
                <w:tcPr>
                  <w:tcW w:w="154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FB7F75" w:rsidRPr="00231F53" w:rsidRDefault="00FB7F75" w:rsidP="00C56C0B">
                  <w:pPr>
                    <w:jc w:val="right"/>
                    <w:rPr>
                      <w:b/>
                      <w:color w:val="000000"/>
                      <w:sz w:val="20"/>
                    </w:rPr>
                  </w:pPr>
                  <w:r w:rsidRPr="00231F53">
                    <w:rPr>
                      <w:b/>
                      <w:color w:val="000000"/>
                      <w:sz w:val="20"/>
                    </w:rPr>
                    <w:t>1.</w:t>
                  </w:r>
                  <w:r w:rsidRPr="0004383B">
                    <w:rPr>
                      <w:rFonts w:eastAsia="Times New Roman" w:cs="Times New Roman"/>
                      <w:b/>
                      <w:bCs/>
                      <w:color w:val="000000"/>
                      <w:sz w:val="20"/>
                      <w:szCs w:val="20"/>
                      <w:lang w:eastAsia="lv-LV"/>
                    </w:rPr>
                    <w:t>251254</w:t>
                  </w:r>
                </w:p>
              </w:tc>
            </w:tr>
          </w:tbl>
          <w:p w:rsidR="00FB7F75" w:rsidRPr="0099389F" w:rsidRDefault="00FB7F75" w:rsidP="00FB7F75">
            <w:pPr>
              <w:ind w:left="159" w:right="140"/>
              <w:jc w:val="both"/>
              <w:rPr>
                <w:rFonts w:eastAsia="Times New Roman" w:cs="Times New Roman"/>
                <w:noProof/>
                <w:szCs w:val="24"/>
                <w:lang w:bidi="gu-IN"/>
              </w:rPr>
            </w:pPr>
          </w:p>
          <w:p w:rsidR="00FB7F75" w:rsidRPr="0099389F" w:rsidRDefault="00FB7F75" w:rsidP="00FB7F75">
            <w:pPr>
              <w:ind w:left="159" w:right="140"/>
              <w:jc w:val="both"/>
              <w:rPr>
                <w:rFonts w:eastAsia="Times New Roman" w:cs="Times New Roman"/>
                <w:noProof/>
                <w:szCs w:val="24"/>
                <w:lang w:bidi="gu-IN"/>
              </w:rPr>
            </w:pPr>
            <w:r w:rsidRPr="0099389F">
              <w:rPr>
                <w:rFonts w:eastAsia="Times New Roman" w:cs="Times New Roman"/>
                <w:noProof/>
                <w:szCs w:val="24"/>
                <w:lang w:bidi="gu-IN"/>
              </w:rPr>
              <w:t>Atbilstoši kapitācijas pieaugumam aprēķināta kapitācijas naudas palielinājuma ietekme uz valsts budžetu ņemot par pamatu kopējo reģistrēto pacientu skaitu uz 30.09.2016. – 2 030 576 pacienti. Attiecīgi kapitācijas pieaugums mēnesī uz 1 pacientu 0,</w:t>
            </w:r>
            <w:r>
              <w:rPr>
                <w:rFonts w:eastAsia="Times New Roman" w:cs="Times New Roman"/>
                <w:noProof/>
                <w:szCs w:val="24"/>
                <w:lang w:bidi="gu-IN"/>
              </w:rPr>
              <w:t>017526</w:t>
            </w:r>
            <w:r w:rsidRPr="0099389F">
              <w:rPr>
                <w:rFonts w:eastAsia="Times New Roman" w:cs="Times New Roman"/>
                <w:noProof/>
                <w:szCs w:val="24"/>
                <w:lang w:bidi="gu-IN"/>
              </w:rPr>
              <w:t xml:space="preserve"> x kopējo reģistrēto pacientu skaitu 2 030 576 x 12 mēnešiem= </w:t>
            </w:r>
            <w:r>
              <w:rPr>
                <w:rFonts w:eastAsia="Times New Roman" w:cs="Times New Roman"/>
                <w:noProof/>
                <w:szCs w:val="24"/>
                <w:lang w:bidi="gu-IN"/>
              </w:rPr>
              <w:t>427 055</w:t>
            </w:r>
            <w:r w:rsidRPr="0099389F">
              <w:rPr>
                <w:rFonts w:eastAsia="Times New Roman" w:cs="Times New Roman"/>
                <w:noProof/>
                <w:szCs w:val="24"/>
                <w:lang w:bidi="gu-IN"/>
              </w:rPr>
              <w:t xml:space="preserve"> euro. </w:t>
            </w:r>
          </w:p>
          <w:p w:rsidR="00FB7F75" w:rsidRPr="0099389F" w:rsidRDefault="00FB7F75" w:rsidP="00FB7F75">
            <w:pPr>
              <w:ind w:left="159" w:right="140"/>
              <w:jc w:val="both"/>
              <w:rPr>
                <w:rFonts w:eastAsia="Times New Roman" w:cs="Times New Roman"/>
                <w:noProof/>
                <w:szCs w:val="24"/>
                <w:lang w:bidi="gu-IN"/>
              </w:rPr>
            </w:pPr>
            <w:r w:rsidRPr="0099389F">
              <w:rPr>
                <w:rFonts w:eastAsia="Times New Roman" w:cs="Times New Roman"/>
                <w:noProof/>
                <w:szCs w:val="24"/>
                <w:lang w:bidi="gu-IN"/>
              </w:rPr>
              <w:t xml:space="preserve">Vienlaikus saskaņā ar izmaiņām Noteikumu 287.punktā, ģimenes ārstu praksēm pieaug maksājums par māsu darbu 14,28 euro mēnesī (537 euro – 522,72 euro) ar darba devēja sociālo nodokli 14.28x 1.2359= 17.65 euro mēnesī, kā ietekme uz budžetu aprēķināta sekojoši: </w:t>
            </w:r>
          </w:p>
          <w:p w:rsidR="00FB7F75" w:rsidRPr="0099389F" w:rsidRDefault="00FB7F75" w:rsidP="00FB7F75">
            <w:pPr>
              <w:pStyle w:val="ListParagraph"/>
              <w:numPr>
                <w:ilvl w:val="0"/>
                <w:numId w:val="7"/>
              </w:numPr>
              <w:ind w:right="140"/>
              <w:jc w:val="both"/>
              <w:rPr>
                <w:rFonts w:eastAsia="Times New Roman" w:cs="Times New Roman"/>
                <w:noProof/>
                <w:szCs w:val="24"/>
                <w:lang w:bidi="gu-IN"/>
              </w:rPr>
            </w:pPr>
            <w:r w:rsidRPr="0099389F">
              <w:rPr>
                <w:rFonts w:eastAsia="Times New Roman" w:cs="Times New Roman"/>
                <w:noProof/>
                <w:szCs w:val="24"/>
                <w:lang w:bidi="gu-IN"/>
              </w:rPr>
              <w:t xml:space="preserve">Atbilstoši Noteikumu 12.pielikuma 6.1.apakšpunktam: Reģistrēto pieaugušo pacientu skaits uz 30.09.2016. 1 673 139 pacienti/ 1800 x  pieaugums 17.65 euro x 12 mēnešiem = 196 873 euro. </w:t>
            </w:r>
          </w:p>
          <w:p w:rsidR="00FB7F75" w:rsidRPr="0099389F" w:rsidRDefault="00FB7F75" w:rsidP="00FB7F75">
            <w:pPr>
              <w:pStyle w:val="ListParagraph"/>
              <w:numPr>
                <w:ilvl w:val="0"/>
                <w:numId w:val="7"/>
              </w:numPr>
              <w:ind w:right="140"/>
              <w:jc w:val="both"/>
              <w:rPr>
                <w:rFonts w:eastAsia="Times New Roman" w:cs="Times New Roman"/>
                <w:noProof/>
                <w:szCs w:val="24"/>
                <w:lang w:bidi="gu-IN"/>
              </w:rPr>
            </w:pPr>
            <w:r w:rsidRPr="0099389F">
              <w:rPr>
                <w:rFonts w:eastAsia="Times New Roman" w:cs="Times New Roman"/>
                <w:noProof/>
                <w:szCs w:val="24"/>
                <w:lang w:bidi="gu-IN"/>
              </w:rPr>
              <w:t>Atbilstoši Noteikumu 12.pielikuma 6.2.apakšpunktam: Reģistrēto bērnu pacientu skaits uz 30.09.2016. 357 437 pacienti/ 800 x  pieaugums 17.65 euro x 12 mēnešiem = 94 631 euro.</w:t>
            </w:r>
          </w:p>
          <w:p w:rsidR="00FB7F75" w:rsidRPr="0099389F" w:rsidRDefault="00FB7F75" w:rsidP="00FB7F75">
            <w:pPr>
              <w:pStyle w:val="ListParagraph"/>
              <w:numPr>
                <w:ilvl w:val="0"/>
                <w:numId w:val="7"/>
              </w:numPr>
              <w:ind w:right="140"/>
              <w:jc w:val="both"/>
              <w:rPr>
                <w:rFonts w:eastAsia="Times New Roman" w:cs="Times New Roman"/>
                <w:noProof/>
                <w:szCs w:val="24"/>
                <w:lang w:bidi="gu-IN"/>
              </w:rPr>
            </w:pPr>
            <w:r w:rsidRPr="0099389F">
              <w:rPr>
                <w:rFonts w:eastAsia="Times New Roman" w:cs="Times New Roman"/>
                <w:noProof/>
                <w:szCs w:val="24"/>
                <w:lang w:bidi="gu-IN"/>
              </w:rPr>
              <w:lastRenderedPageBreak/>
              <w:t>Atbilstoši Noteikumu 12.pielikuma 14.punktam un 6.1.apakšpunktam: Reģistrēto pieaugušo pacientu skaits uz 30.09.2016. ārstu praksēm kurām piemērojams Noteikumu 14.punkts 1 000 151 pacienti/ 1800 x  pieaugums 17.65 euro x 12 mēnešiem = 117 684 euro.</w:t>
            </w:r>
          </w:p>
          <w:p w:rsidR="00FB7F75" w:rsidRPr="0099389F" w:rsidRDefault="00FB7F75" w:rsidP="00FB7F75">
            <w:pPr>
              <w:pStyle w:val="ListParagraph"/>
              <w:numPr>
                <w:ilvl w:val="0"/>
                <w:numId w:val="7"/>
              </w:numPr>
              <w:ind w:right="140"/>
              <w:jc w:val="both"/>
              <w:rPr>
                <w:rFonts w:eastAsia="Times New Roman" w:cs="Times New Roman"/>
                <w:noProof/>
                <w:szCs w:val="24"/>
                <w:lang w:bidi="gu-IN"/>
              </w:rPr>
            </w:pPr>
            <w:r w:rsidRPr="0099389F">
              <w:rPr>
                <w:rFonts w:eastAsia="Times New Roman" w:cs="Times New Roman"/>
                <w:noProof/>
                <w:szCs w:val="24"/>
                <w:lang w:bidi="gu-IN"/>
              </w:rPr>
              <w:t>Atbilstoši Noteikumu 12.pielikuma 14.punktam un 6.2.apakšpunktam: Reģistrēto bērnu pacientu skaits uz 30.09.2016. ārstu praksēm kurām piemērojams Noteikumu 14.punkts 232 742 pacienti/ 800 x  pieaugums 17.65 euro x 12 mēnešiem = 61 618 euro.</w:t>
            </w:r>
          </w:p>
          <w:p w:rsidR="00FB7F75" w:rsidRPr="0099389F" w:rsidRDefault="00FB7F75" w:rsidP="00FB7F75">
            <w:pPr>
              <w:ind w:right="140"/>
              <w:jc w:val="both"/>
              <w:rPr>
                <w:rFonts w:eastAsia="Times New Roman" w:cs="Times New Roman"/>
                <w:noProof/>
                <w:szCs w:val="24"/>
                <w:lang w:bidi="gu-IN"/>
              </w:rPr>
            </w:pPr>
            <w:r w:rsidRPr="0099389F">
              <w:rPr>
                <w:rFonts w:eastAsia="Times New Roman" w:cs="Times New Roman"/>
                <w:noProof/>
                <w:szCs w:val="24"/>
                <w:lang w:bidi="gu-IN"/>
              </w:rPr>
              <w:t xml:space="preserve">Līdz ar minēto saistībā ar minimālo mēnešalgu paaugstināšanu un zemāko izlīdzināšanu ģimenes ārstu praksēm kopumā prognozējams finansējuma pieaugums </w:t>
            </w:r>
            <w:r>
              <w:rPr>
                <w:rFonts w:eastAsia="Times New Roman" w:cs="Times New Roman"/>
                <w:noProof/>
                <w:szCs w:val="24"/>
                <w:lang w:bidi="gu-IN"/>
              </w:rPr>
              <w:t>897 861</w:t>
            </w:r>
            <w:r w:rsidRPr="0099389F">
              <w:rPr>
                <w:rFonts w:eastAsia="Times New Roman" w:cs="Times New Roman"/>
                <w:noProof/>
                <w:szCs w:val="24"/>
                <w:lang w:bidi="gu-IN"/>
              </w:rPr>
              <w:t xml:space="preserve"> euro apmērā. </w:t>
            </w:r>
          </w:p>
          <w:p w:rsidR="00FB7F75" w:rsidRPr="0099389F" w:rsidRDefault="00FB7F75" w:rsidP="00FB7F75">
            <w:pPr>
              <w:ind w:right="140"/>
              <w:jc w:val="both"/>
              <w:rPr>
                <w:rFonts w:eastAsia="Times New Roman" w:cs="Times New Roman"/>
                <w:noProof/>
                <w:szCs w:val="24"/>
                <w:lang w:bidi="gu-IN"/>
              </w:rPr>
            </w:pPr>
            <w:r w:rsidRPr="0099389F">
              <w:rPr>
                <w:rFonts w:eastAsia="Times New Roman" w:cs="Times New Roman"/>
                <w:noProof/>
                <w:szCs w:val="24"/>
                <w:lang w:bidi="gu-IN"/>
              </w:rPr>
              <w:t>Papildus tam Noteikumu projekts papildināts ar iespēju ieslodzījuma vietas ārstam nozīmēt un virzīt ļaundabīgo audzēju primāro diagnostiku, tādejādi nodrošinot savlaicīgu onkoloģisko slimību ārstēšanu ieslodzītajām personām. Ar šādu grozījumu izdarīšanu 2016.gada 27.septembra MK noteikumu Nr.642 “</w:t>
            </w:r>
            <w:r w:rsidRPr="0099389F">
              <w:rPr>
                <w:rFonts w:cs="Times New Roman"/>
                <w:szCs w:val="24"/>
              </w:rPr>
              <w:t>Grozījumi Ministru kabineta 2013. gada 17. decembra noteikumos Nr. 1529 "Veselības aprūpes organizēšanas un finansēšanas kārtība</w:t>
            </w:r>
            <w:r w:rsidRPr="0099389F">
              <w:rPr>
                <w:rFonts w:eastAsia="Times New Roman" w:cs="Times New Roman"/>
                <w:noProof/>
                <w:szCs w:val="24"/>
                <w:lang w:bidi="gu-IN"/>
              </w:rPr>
              <w:t>” Anotācijā norādītajā ietekmē (pacientu skaitā) tiek ietvertas arī ieslodzītās personas, gadījumos, kad ieslodzījuma vietas ārsti ieslodzītās personas nosūta uz valsts apmaksāto veselības aprūpi, ko finansē no Veselības ministrijas budžeta.  Vienlaicīgi šajos gadījumos ieslodzītās personas ietvertas šī Noteikumu projekta Noteikumu 131.</w:t>
            </w:r>
            <w:r w:rsidRPr="0099389F">
              <w:rPr>
                <w:rFonts w:eastAsia="Times New Roman" w:cs="Times New Roman"/>
                <w:noProof/>
                <w:szCs w:val="24"/>
                <w:vertAlign w:val="superscript"/>
                <w:lang w:bidi="gu-IN"/>
              </w:rPr>
              <w:t xml:space="preserve">3 </w:t>
            </w:r>
            <w:r w:rsidRPr="0099389F">
              <w:rPr>
                <w:rFonts w:eastAsia="Times New Roman" w:cs="Times New Roman"/>
                <w:noProof/>
                <w:szCs w:val="24"/>
                <w:lang w:bidi="gu-IN"/>
              </w:rPr>
              <w:t xml:space="preserve">apakšpunkta plānotajās izmaiņās, ar ko onkoloģiskajiem pacientiem papildus plānoti sekundārās diagnostikas izmeklējumi specializētās ārstniecības iestādēs ar pieņēmumu, ka slimību diagnostikas izmeklējumiem nepieciešami 70 % no kopīgām diagnostikas izmaksām. Specializētās ārstniecības iestādēs onkoloģisko slimību izmeklējumiem atbilstoši algoritmiem plānots kopējais pacientu skaita pieaugums 14 659 pacienti, kopumā radot ietekmi uz valsts budžetu </w:t>
            </w:r>
            <w:r w:rsidRPr="0099389F">
              <w:rPr>
                <w:rFonts w:eastAsia="Times New Roman" w:cs="Times New Roman"/>
                <w:b/>
                <w:noProof/>
                <w:szCs w:val="24"/>
                <w:lang w:bidi="gu-IN"/>
              </w:rPr>
              <w:t>2 332 565</w:t>
            </w:r>
            <w:r w:rsidRPr="0099389F">
              <w:rPr>
                <w:rFonts w:eastAsia="Times New Roman" w:cs="Times New Roman"/>
                <w:noProof/>
                <w:szCs w:val="24"/>
                <w:lang w:bidi="gu-IN"/>
              </w:rPr>
              <w:t xml:space="preserve"> euro apmērā:</w:t>
            </w:r>
          </w:p>
          <w:p w:rsidR="00FB7F75" w:rsidRPr="00231F53" w:rsidRDefault="00FB7F75" w:rsidP="00FB7F75">
            <w:pPr>
              <w:pStyle w:val="NoSpacing"/>
              <w:numPr>
                <w:ilvl w:val="0"/>
                <w:numId w:val="6"/>
              </w:numPr>
              <w:spacing w:after="120"/>
              <w:jc w:val="both"/>
              <w:rPr>
                <w:lang w:eastAsia="lv-LV"/>
              </w:rPr>
            </w:pPr>
            <w:r w:rsidRPr="00231F53">
              <w:rPr>
                <w:lang w:eastAsia="lv-LV"/>
              </w:rPr>
              <w:t xml:space="preserve">aizkuņģa dziedzera vēzis 241 pacients, saskaņā ar Galvenā onkoloģijas speciālista ieteiktajiem izmeklējumiem diagnostikai vidēji vienam pacientam 523.55 </w:t>
            </w:r>
            <w:proofErr w:type="spellStart"/>
            <w:r w:rsidRPr="00231F53">
              <w:rPr>
                <w:lang w:eastAsia="lv-LV"/>
              </w:rPr>
              <w:t>euro</w:t>
            </w:r>
            <w:proofErr w:type="spellEnd"/>
            <w:r w:rsidRPr="00231F53">
              <w:rPr>
                <w:lang w:eastAsia="lv-LV"/>
              </w:rPr>
              <w:t xml:space="preserve">, Ietekme uz 2017.gadu 241 pacients x 523.55 </w:t>
            </w:r>
            <w:proofErr w:type="spellStart"/>
            <w:r w:rsidRPr="00231F53">
              <w:rPr>
                <w:lang w:eastAsia="lv-LV"/>
              </w:rPr>
              <w:t>euro</w:t>
            </w:r>
            <w:proofErr w:type="spellEnd"/>
            <w:r w:rsidRPr="00231F53">
              <w:rPr>
                <w:lang w:eastAsia="lv-LV"/>
              </w:rPr>
              <w:t xml:space="preserve"> x 70% = 88 323 </w:t>
            </w:r>
            <w:proofErr w:type="spellStart"/>
            <w:r w:rsidRPr="00231F53">
              <w:rPr>
                <w:lang w:eastAsia="lv-LV"/>
              </w:rPr>
              <w:t>euro</w:t>
            </w:r>
            <w:proofErr w:type="spellEnd"/>
          </w:p>
          <w:p w:rsidR="00FB7F75" w:rsidRPr="00231F53" w:rsidRDefault="00FB7F75" w:rsidP="00FB7F75">
            <w:pPr>
              <w:pStyle w:val="NoSpacing"/>
              <w:numPr>
                <w:ilvl w:val="0"/>
                <w:numId w:val="6"/>
              </w:numPr>
              <w:spacing w:after="120"/>
              <w:jc w:val="both"/>
              <w:rPr>
                <w:lang w:eastAsia="lv-LV"/>
              </w:rPr>
            </w:pPr>
            <w:r w:rsidRPr="00231F53">
              <w:rPr>
                <w:lang w:eastAsia="lv-LV"/>
              </w:rPr>
              <w:t xml:space="preserve">bronhu un plaušu vēzis 943 pacienti, saskaņā ar Galvenā onkoloģijas speciālista ieteiktajiem izmeklējumiem diagnostikai vidēji vienam pacientam 211,55 </w:t>
            </w:r>
            <w:proofErr w:type="spellStart"/>
            <w:r w:rsidRPr="00231F53">
              <w:rPr>
                <w:lang w:eastAsia="lv-LV"/>
              </w:rPr>
              <w:t>euro</w:t>
            </w:r>
            <w:proofErr w:type="spellEnd"/>
            <w:r w:rsidRPr="00231F53">
              <w:rPr>
                <w:lang w:eastAsia="lv-LV"/>
              </w:rPr>
              <w:t xml:space="preserve">. Ietekme uz 2017.gadu 943 pacienti x 211.55 </w:t>
            </w:r>
            <w:proofErr w:type="spellStart"/>
            <w:r w:rsidRPr="00231F53">
              <w:rPr>
                <w:lang w:eastAsia="lv-LV"/>
              </w:rPr>
              <w:t>euro</w:t>
            </w:r>
            <w:proofErr w:type="spellEnd"/>
            <w:r w:rsidRPr="00231F53">
              <w:rPr>
                <w:lang w:eastAsia="lv-LV"/>
              </w:rPr>
              <w:t xml:space="preserve"> x 70% = 139 644 </w:t>
            </w:r>
            <w:proofErr w:type="spellStart"/>
            <w:r w:rsidRPr="00231F53">
              <w:rPr>
                <w:lang w:eastAsia="lv-LV"/>
              </w:rPr>
              <w:t>euro</w:t>
            </w:r>
            <w:proofErr w:type="spellEnd"/>
          </w:p>
          <w:p w:rsidR="00FB7F75" w:rsidRPr="00231F53" w:rsidRDefault="00FB7F75" w:rsidP="00FB7F75">
            <w:pPr>
              <w:pStyle w:val="NoSpacing"/>
              <w:numPr>
                <w:ilvl w:val="0"/>
                <w:numId w:val="6"/>
              </w:numPr>
              <w:spacing w:after="120"/>
              <w:jc w:val="both"/>
              <w:rPr>
                <w:lang w:eastAsia="lv-LV"/>
              </w:rPr>
            </w:pPr>
            <w:r w:rsidRPr="00231F53">
              <w:rPr>
                <w:lang w:eastAsia="lv-LV"/>
              </w:rPr>
              <w:t xml:space="preserve">Citi ļaundabīgie ādas audzēji 2044 pacienti, saskaņā ar Galvenā onkoloģijas speciālista ieteiktajiem izmeklējumiem diagnostikai vidēji vienam pacientam 72.67 </w:t>
            </w:r>
            <w:proofErr w:type="spellStart"/>
            <w:r w:rsidRPr="00231F53">
              <w:rPr>
                <w:lang w:eastAsia="lv-LV"/>
              </w:rPr>
              <w:t>euro</w:t>
            </w:r>
            <w:proofErr w:type="spellEnd"/>
            <w:r w:rsidRPr="00231F53">
              <w:rPr>
                <w:lang w:eastAsia="lv-LV"/>
              </w:rPr>
              <w:t xml:space="preserve">, Ietekme uz 2017.gadu 2044 pacienti x 72.67  </w:t>
            </w:r>
            <w:proofErr w:type="spellStart"/>
            <w:r w:rsidRPr="00231F53">
              <w:rPr>
                <w:lang w:eastAsia="lv-LV"/>
              </w:rPr>
              <w:t>euro</w:t>
            </w:r>
            <w:proofErr w:type="spellEnd"/>
            <w:r w:rsidRPr="00231F53">
              <w:rPr>
                <w:lang w:eastAsia="lv-LV"/>
              </w:rPr>
              <w:t xml:space="preserve"> x 70% = 103 976 </w:t>
            </w:r>
            <w:proofErr w:type="spellStart"/>
            <w:r w:rsidRPr="00231F53">
              <w:rPr>
                <w:lang w:eastAsia="lv-LV"/>
              </w:rPr>
              <w:t>euro</w:t>
            </w:r>
            <w:proofErr w:type="spellEnd"/>
          </w:p>
          <w:p w:rsidR="00FB7F75" w:rsidRPr="00231F53" w:rsidRDefault="00FB7F75" w:rsidP="00FB7F75">
            <w:pPr>
              <w:pStyle w:val="NoSpacing"/>
              <w:numPr>
                <w:ilvl w:val="0"/>
                <w:numId w:val="6"/>
              </w:numPr>
              <w:spacing w:after="120"/>
              <w:jc w:val="both"/>
              <w:rPr>
                <w:lang w:eastAsia="lv-LV"/>
              </w:rPr>
            </w:pPr>
            <w:r w:rsidRPr="00231F53">
              <w:rPr>
                <w:lang w:eastAsia="lv-LV"/>
              </w:rPr>
              <w:t xml:space="preserve">Dzemdes ķermeņa un dzemdes kakla vēzis 987 pacienti, saskaņā ar Galvenā onkoloģijas speciālista ieteiktajiem izmeklējumiem diagnostikai vidēji vienam pacientam 219.21 </w:t>
            </w:r>
            <w:proofErr w:type="spellStart"/>
            <w:r w:rsidRPr="00231F53">
              <w:rPr>
                <w:lang w:eastAsia="lv-LV"/>
              </w:rPr>
              <w:t>euro</w:t>
            </w:r>
            <w:proofErr w:type="spellEnd"/>
            <w:r w:rsidRPr="00231F53">
              <w:rPr>
                <w:lang w:eastAsia="lv-LV"/>
              </w:rPr>
              <w:t xml:space="preserve">, Ietekme uz 2017.gadu 987 pacienti x 219.21 </w:t>
            </w:r>
            <w:proofErr w:type="spellStart"/>
            <w:r w:rsidRPr="00231F53">
              <w:rPr>
                <w:lang w:eastAsia="lv-LV"/>
              </w:rPr>
              <w:t>euro</w:t>
            </w:r>
            <w:proofErr w:type="spellEnd"/>
            <w:r w:rsidRPr="00231F53">
              <w:rPr>
                <w:lang w:eastAsia="lv-LV"/>
              </w:rPr>
              <w:t xml:space="preserve"> x 70% = 151 452 </w:t>
            </w:r>
            <w:proofErr w:type="spellStart"/>
            <w:r w:rsidRPr="00231F53">
              <w:rPr>
                <w:lang w:eastAsia="lv-LV"/>
              </w:rPr>
              <w:t>euro</w:t>
            </w:r>
            <w:proofErr w:type="spellEnd"/>
          </w:p>
          <w:p w:rsidR="00FB7F75" w:rsidRPr="00231F53" w:rsidRDefault="00FB7F75" w:rsidP="00FB7F75">
            <w:pPr>
              <w:pStyle w:val="NoSpacing"/>
              <w:numPr>
                <w:ilvl w:val="0"/>
                <w:numId w:val="6"/>
              </w:numPr>
              <w:spacing w:after="120"/>
              <w:jc w:val="both"/>
              <w:rPr>
                <w:lang w:eastAsia="lv-LV"/>
              </w:rPr>
            </w:pPr>
            <w:r w:rsidRPr="00231F53">
              <w:rPr>
                <w:lang w:eastAsia="lv-LV"/>
              </w:rPr>
              <w:t xml:space="preserve">Krūts vēzis 1856 pacienti, saskaņā ar Galvenā onkoloģijas speciālista ieteiktajiem izmeklējumiem diagnostikai vidēji vienam pacientam 178.89 </w:t>
            </w:r>
            <w:proofErr w:type="spellStart"/>
            <w:r w:rsidRPr="00231F53">
              <w:rPr>
                <w:lang w:eastAsia="lv-LV"/>
              </w:rPr>
              <w:t>euro</w:t>
            </w:r>
            <w:proofErr w:type="spellEnd"/>
            <w:r w:rsidRPr="00231F53">
              <w:rPr>
                <w:lang w:eastAsia="lv-LV"/>
              </w:rPr>
              <w:t xml:space="preserve">, Ietekme uz 2017.gadu 1856 pacienti x 178.89 </w:t>
            </w:r>
            <w:proofErr w:type="spellStart"/>
            <w:r w:rsidRPr="00231F53">
              <w:rPr>
                <w:lang w:eastAsia="lv-LV"/>
              </w:rPr>
              <w:t>euro</w:t>
            </w:r>
            <w:proofErr w:type="spellEnd"/>
            <w:r w:rsidRPr="00231F53">
              <w:rPr>
                <w:lang w:eastAsia="lv-LV"/>
              </w:rPr>
              <w:t xml:space="preserve"> x 70% = 232 414 </w:t>
            </w:r>
            <w:proofErr w:type="spellStart"/>
            <w:r w:rsidRPr="00231F53">
              <w:rPr>
                <w:lang w:eastAsia="lv-LV"/>
              </w:rPr>
              <w:t>euro</w:t>
            </w:r>
            <w:proofErr w:type="spellEnd"/>
          </w:p>
          <w:p w:rsidR="00FB7F75" w:rsidRPr="00231F53" w:rsidRDefault="00FB7F75" w:rsidP="00FB7F75">
            <w:pPr>
              <w:pStyle w:val="NoSpacing"/>
              <w:numPr>
                <w:ilvl w:val="0"/>
                <w:numId w:val="6"/>
              </w:numPr>
              <w:spacing w:after="120"/>
              <w:jc w:val="both"/>
              <w:rPr>
                <w:lang w:eastAsia="lv-LV"/>
              </w:rPr>
            </w:pPr>
            <w:proofErr w:type="spellStart"/>
            <w:r w:rsidRPr="00231F53">
              <w:rPr>
                <w:lang w:eastAsia="lv-LV"/>
              </w:rPr>
              <w:lastRenderedPageBreak/>
              <w:t>Kunģis</w:t>
            </w:r>
            <w:proofErr w:type="spellEnd"/>
            <w:r w:rsidRPr="00231F53">
              <w:rPr>
                <w:lang w:eastAsia="lv-LV"/>
              </w:rPr>
              <w:t xml:space="preserve"> 526 pacienti, saskaņā ar Galvenā onkoloģijas speciālista ieteiktajiem izmeklējumiem diagnostikai vidēji vienam pacientam 225.82 </w:t>
            </w:r>
            <w:proofErr w:type="spellStart"/>
            <w:r w:rsidRPr="00231F53">
              <w:rPr>
                <w:lang w:eastAsia="lv-LV"/>
              </w:rPr>
              <w:t>euro</w:t>
            </w:r>
            <w:proofErr w:type="spellEnd"/>
            <w:r w:rsidRPr="00231F53">
              <w:rPr>
                <w:lang w:eastAsia="lv-LV"/>
              </w:rPr>
              <w:t xml:space="preserve">, Ietekme uz 2017.gadu 526 pacienti x 225.82 </w:t>
            </w:r>
            <w:proofErr w:type="spellStart"/>
            <w:r w:rsidRPr="00231F53">
              <w:rPr>
                <w:lang w:eastAsia="lv-LV"/>
              </w:rPr>
              <w:t>euro</w:t>
            </w:r>
            <w:proofErr w:type="spellEnd"/>
            <w:r w:rsidRPr="00231F53">
              <w:rPr>
                <w:lang w:eastAsia="lv-LV"/>
              </w:rPr>
              <w:t xml:space="preserve"> x 70% = 83 147 </w:t>
            </w:r>
            <w:proofErr w:type="spellStart"/>
            <w:r w:rsidRPr="00231F53">
              <w:rPr>
                <w:lang w:eastAsia="lv-LV"/>
              </w:rPr>
              <w:t>euro</w:t>
            </w:r>
            <w:proofErr w:type="spellEnd"/>
          </w:p>
          <w:p w:rsidR="00FB7F75" w:rsidRPr="00231F53" w:rsidRDefault="00FB7F75" w:rsidP="00FB7F75">
            <w:pPr>
              <w:pStyle w:val="NoSpacing"/>
              <w:numPr>
                <w:ilvl w:val="0"/>
                <w:numId w:val="6"/>
              </w:numPr>
              <w:spacing w:after="120"/>
              <w:jc w:val="both"/>
              <w:rPr>
                <w:lang w:eastAsia="lv-LV"/>
              </w:rPr>
            </w:pPr>
            <w:r w:rsidRPr="00231F53">
              <w:rPr>
                <w:lang w:eastAsia="lv-LV"/>
              </w:rPr>
              <w:t xml:space="preserve">Nieru vēzis 614 pacienti, saskaņā ar Galvenā onkoloģijas speciālista ieteiktajiem izmeklējumiem diagnostikai vidēji vienam pacientam 518.54 </w:t>
            </w:r>
            <w:proofErr w:type="spellStart"/>
            <w:r w:rsidRPr="00231F53">
              <w:rPr>
                <w:lang w:eastAsia="lv-LV"/>
              </w:rPr>
              <w:t>euro</w:t>
            </w:r>
            <w:proofErr w:type="spellEnd"/>
            <w:r w:rsidRPr="00231F53">
              <w:rPr>
                <w:lang w:eastAsia="lv-LV"/>
              </w:rPr>
              <w:t xml:space="preserve">. Ietekme uz 2017.gadu 614 pacienti x 518.54 </w:t>
            </w:r>
            <w:proofErr w:type="spellStart"/>
            <w:r w:rsidRPr="00231F53">
              <w:rPr>
                <w:lang w:eastAsia="lv-LV"/>
              </w:rPr>
              <w:t>euro</w:t>
            </w:r>
            <w:proofErr w:type="spellEnd"/>
            <w:r w:rsidRPr="00231F53">
              <w:rPr>
                <w:lang w:eastAsia="lv-LV"/>
              </w:rPr>
              <w:t xml:space="preserve"> x 70% = 222 868 </w:t>
            </w:r>
            <w:proofErr w:type="spellStart"/>
            <w:r w:rsidRPr="00231F53">
              <w:rPr>
                <w:lang w:eastAsia="lv-LV"/>
              </w:rPr>
              <w:t>euro</w:t>
            </w:r>
            <w:proofErr w:type="spellEnd"/>
          </w:p>
          <w:p w:rsidR="00FB7F75" w:rsidRPr="00231F53" w:rsidRDefault="00FB7F75" w:rsidP="00FB7F75">
            <w:pPr>
              <w:pStyle w:val="NoSpacing"/>
              <w:numPr>
                <w:ilvl w:val="0"/>
                <w:numId w:val="6"/>
              </w:numPr>
              <w:spacing w:after="120"/>
              <w:jc w:val="both"/>
              <w:rPr>
                <w:lang w:eastAsia="lv-LV"/>
              </w:rPr>
            </w:pPr>
            <w:r w:rsidRPr="00231F53">
              <w:rPr>
                <w:lang w:eastAsia="lv-LV"/>
              </w:rPr>
              <w:t xml:space="preserve">Olnīcu vēzis 393 pacienti, saskaņā ar Galvenā onkoloģijas speciālista ieteiktajiem izmeklējumiem diagnostikai vidēji vienam pacientam 338.08 </w:t>
            </w:r>
            <w:proofErr w:type="spellStart"/>
            <w:r w:rsidRPr="00231F53">
              <w:rPr>
                <w:lang w:eastAsia="lv-LV"/>
              </w:rPr>
              <w:t>euro</w:t>
            </w:r>
            <w:proofErr w:type="spellEnd"/>
            <w:r w:rsidRPr="00231F53">
              <w:rPr>
                <w:lang w:eastAsia="lv-LV"/>
              </w:rPr>
              <w:t xml:space="preserve">. Ietekme uz 2017.gadu 393 pacienti x 338.08 </w:t>
            </w:r>
            <w:proofErr w:type="spellStart"/>
            <w:r w:rsidRPr="00231F53">
              <w:rPr>
                <w:lang w:eastAsia="lv-LV"/>
              </w:rPr>
              <w:t>euro</w:t>
            </w:r>
            <w:proofErr w:type="spellEnd"/>
            <w:r w:rsidRPr="00231F53">
              <w:rPr>
                <w:lang w:eastAsia="lv-LV"/>
              </w:rPr>
              <w:t xml:space="preserve"> x 70% = 93 006 </w:t>
            </w:r>
            <w:proofErr w:type="spellStart"/>
            <w:r w:rsidRPr="00231F53">
              <w:rPr>
                <w:lang w:eastAsia="lv-LV"/>
              </w:rPr>
              <w:t>euro</w:t>
            </w:r>
            <w:proofErr w:type="spellEnd"/>
          </w:p>
          <w:p w:rsidR="00FB7F75" w:rsidRPr="00231F53" w:rsidRDefault="00FB7F75" w:rsidP="00FB7F75">
            <w:pPr>
              <w:pStyle w:val="NoSpacing"/>
              <w:numPr>
                <w:ilvl w:val="0"/>
                <w:numId w:val="6"/>
              </w:numPr>
              <w:spacing w:after="120"/>
              <w:jc w:val="both"/>
              <w:rPr>
                <w:lang w:eastAsia="lv-LV"/>
              </w:rPr>
            </w:pPr>
            <w:r w:rsidRPr="00231F53">
              <w:rPr>
                <w:lang w:eastAsia="lv-LV"/>
              </w:rPr>
              <w:t xml:space="preserve"> </w:t>
            </w:r>
            <w:proofErr w:type="spellStart"/>
            <w:r w:rsidRPr="00231F53">
              <w:rPr>
                <w:lang w:eastAsia="lv-LV"/>
              </w:rPr>
              <w:t>Prostatas</w:t>
            </w:r>
            <w:proofErr w:type="spellEnd"/>
            <w:r w:rsidRPr="00231F53">
              <w:rPr>
                <w:lang w:eastAsia="lv-LV"/>
              </w:rPr>
              <w:t xml:space="preserve"> vēzis  1730 pacients, saskaņā ar Galvenā onkoloģijas speciālista ieteiktajiem izmeklējumiem diagnostikai vidēji vienam pacientam 233.90 </w:t>
            </w:r>
            <w:proofErr w:type="spellStart"/>
            <w:r w:rsidRPr="00231F53">
              <w:rPr>
                <w:lang w:eastAsia="lv-LV"/>
              </w:rPr>
              <w:t>euro</w:t>
            </w:r>
            <w:proofErr w:type="spellEnd"/>
            <w:r w:rsidRPr="00231F53">
              <w:rPr>
                <w:lang w:eastAsia="lv-LV"/>
              </w:rPr>
              <w:t xml:space="preserve">. Ietekme uz 2017.gadu 1730 pacienti x 233.90 </w:t>
            </w:r>
            <w:proofErr w:type="spellStart"/>
            <w:r w:rsidRPr="00231F53">
              <w:rPr>
                <w:lang w:eastAsia="lv-LV"/>
              </w:rPr>
              <w:t>euro</w:t>
            </w:r>
            <w:proofErr w:type="spellEnd"/>
            <w:r w:rsidRPr="00231F53">
              <w:rPr>
                <w:lang w:eastAsia="lv-LV"/>
              </w:rPr>
              <w:t xml:space="preserve"> x 70% = 283 253 </w:t>
            </w:r>
            <w:proofErr w:type="spellStart"/>
            <w:r w:rsidRPr="00231F53">
              <w:rPr>
                <w:lang w:eastAsia="lv-LV"/>
              </w:rPr>
              <w:t>euro</w:t>
            </w:r>
            <w:proofErr w:type="spellEnd"/>
            <w:r w:rsidRPr="00231F53">
              <w:rPr>
                <w:lang w:eastAsia="lv-LV"/>
              </w:rPr>
              <w:t>;</w:t>
            </w:r>
          </w:p>
          <w:p w:rsidR="00FB7F75" w:rsidRPr="00231F53" w:rsidRDefault="00FB7F75" w:rsidP="00FB7F75">
            <w:pPr>
              <w:pStyle w:val="NoSpacing"/>
              <w:numPr>
                <w:ilvl w:val="0"/>
                <w:numId w:val="6"/>
              </w:numPr>
              <w:spacing w:after="120"/>
              <w:jc w:val="both"/>
              <w:rPr>
                <w:lang w:eastAsia="lv-LV"/>
              </w:rPr>
            </w:pPr>
            <w:r w:rsidRPr="00231F53">
              <w:rPr>
                <w:lang w:eastAsia="lv-LV"/>
              </w:rPr>
              <w:t xml:space="preserve">Resnās zarnas vēzis  799 pacienti, saskaņā ar Galvenā onkoloģijas speciālista ieteiktajiem izmeklējumiem diagnostikai vidēji vienam pacientam 328.91 </w:t>
            </w:r>
            <w:proofErr w:type="spellStart"/>
            <w:r w:rsidRPr="00231F53">
              <w:rPr>
                <w:lang w:eastAsia="lv-LV"/>
              </w:rPr>
              <w:t>euro</w:t>
            </w:r>
            <w:proofErr w:type="spellEnd"/>
            <w:r w:rsidRPr="00231F53">
              <w:rPr>
                <w:lang w:eastAsia="lv-LV"/>
              </w:rPr>
              <w:t xml:space="preserve">. Ietekme uz 2017.gadu 799 pacienti x 328.91 </w:t>
            </w:r>
            <w:proofErr w:type="spellStart"/>
            <w:r w:rsidRPr="00231F53">
              <w:rPr>
                <w:lang w:eastAsia="lv-LV"/>
              </w:rPr>
              <w:t>euro</w:t>
            </w:r>
            <w:proofErr w:type="spellEnd"/>
            <w:r w:rsidRPr="00231F53">
              <w:rPr>
                <w:lang w:eastAsia="lv-LV"/>
              </w:rPr>
              <w:t xml:space="preserve"> x 70% = 183 959 </w:t>
            </w:r>
            <w:proofErr w:type="spellStart"/>
            <w:r w:rsidRPr="00231F53">
              <w:rPr>
                <w:lang w:eastAsia="lv-LV"/>
              </w:rPr>
              <w:t>euro</w:t>
            </w:r>
            <w:proofErr w:type="spellEnd"/>
            <w:r w:rsidRPr="00231F53">
              <w:rPr>
                <w:lang w:eastAsia="lv-LV"/>
              </w:rPr>
              <w:t>;</w:t>
            </w:r>
          </w:p>
          <w:p w:rsidR="00FB7F75" w:rsidRPr="00231F53" w:rsidRDefault="00FB7F75" w:rsidP="00FB7F75">
            <w:pPr>
              <w:pStyle w:val="NoSpacing"/>
              <w:numPr>
                <w:ilvl w:val="0"/>
                <w:numId w:val="6"/>
              </w:numPr>
              <w:spacing w:after="120"/>
              <w:jc w:val="both"/>
              <w:rPr>
                <w:lang w:eastAsia="lv-LV"/>
              </w:rPr>
            </w:pPr>
            <w:proofErr w:type="spellStart"/>
            <w:r w:rsidRPr="00231F53">
              <w:rPr>
                <w:lang w:eastAsia="lv-LV"/>
              </w:rPr>
              <w:t>Sigmveida</w:t>
            </w:r>
            <w:proofErr w:type="spellEnd"/>
            <w:r w:rsidRPr="00231F53">
              <w:rPr>
                <w:lang w:eastAsia="lv-LV"/>
              </w:rPr>
              <w:t xml:space="preserve"> un taisnās zarnas vēzis 681 pacients, saskaņā ar Galvenā onkoloģijas speciālista ieteiktajiem izmeklējumiem diagnostikai vidēji vienam pacientam 328.91 </w:t>
            </w:r>
            <w:proofErr w:type="spellStart"/>
            <w:r w:rsidRPr="00231F53">
              <w:rPr>
                <w:lang w:eastAsia="lv-LV"/>
              </w:rPr>
              <w:t>euro</w:t>
            </w:r>
            <w:proofErr w:type="spellEnd"/>
            <w:r w:rsidRPr="00231F53">
              <w:rPr>
                <w:lang w:eastAsia="lv-LV"/>
              </w:rPr>
              <w:t xml:space="preserve">. Ietekme uz 2017.gadu 681 pacients x 328.91 </w:t>
            </w:r>
            <w:proofErr w:type="spellStart"/>
            <w:r w:rsidRPr="00231F53">
              <w:rPr>
                <w:lang w:eastAsia="lv-LV"/>
              </w:rPr>
              <w:t>euro</w:t>
            </w:r>
            <w:proofErr w:type="spellEnd"/>
            <w:r w:rsidRPr="00231F53">
              <w:rPr>
                <w:lang w:eastAsia="lv-LV"/>
              </w:rPr>
              <w:t xml:space="preserve"> x 70% =  156 791 </w:t>
            </w:r>
            <w:proofErr w:type="spellStart"/>
            <w:r w:rsidRPr="00231F53">
              <w:rPr>
                <w:lang w:eastAsia="lv-LV"/>
              </w:rPr>
              <w:t>euro</w:t>
            </w:r>
            <w:proofErr w:type="spellEnd"/>
            <w:r w:rsidRPr="00231F53">
              <w:rPr>
                <w:lang w:eastAsia="lv-LV"/>
              </w:rPr>
              <w:t>;</w:t>
            </w:r>
          </w:p>
          <w:p w:rsidR="00FB7F75" w:rsidRPr="00231F53" w:rsidRDefault="00FB7F75" w:rsidP="00FB7F75">
            <w:pPr>
              <w:pStyle w:val="NoSpacing"/>
              <w:numPr>
                <w:ilvl w:val="0"/>
                <w:numId w:val="6"/>
              </w:numPr>
              <w:spacing w:after="120"/>
              <w:jc w:val="both"/>
              <w:rPr>
                <w:lang w:eastAsia="lv-LV"/>
              </w:rPr>
            </w:pPr>
            <w:r w:rsidRPr="00231F53">
              <w:rPr>
                <w:lang w:eastAsia="lv-LV"/>
              </w:rPr>
              <w:t xml:space="preserve">Tūpļa vēzis 21 pacienti, saskaņā ar Galvenā onkoloģijas speciālista ieteiktajiem izmeklējumiem diagnostikai vidēji vienam pacientam 256.84 </w:t>
            </w:r>
            <w:proofErr w:type="spellStart"/>
            <w:r w:rsidRPr="00231F53">
              <w:rPr>
                <w:lang w:eastAsia="lv-LV"/>
              </w:rPr>
              <w:t>euro</w:t>
            </w:r>
            <w:proofErr w:type="spellEnd"/>
            <w:r w:rsidRPr="00231F53">
              <w:rPr>
                <w:lang w:eastAsia="lv-LV"/>
              </w:rPr>
              <w:t xml:space="preserve">. Ietekme uz 2017.gadu 21 pacients x 256.84 </w:t>
            </w:r>
            <w:proofErr w:type="spellStart"/>
            <w:r w:rsidRPr="00231F53">
              <w:rPr>
                <w:lang w:eastAsia="lv-LV"/>
              </w:rPr>
              <w:t>euro</w:t>
            </w:r>
            <w:proofErr w:type="spellEnd"/>
            <w:r w:rsidRPr="00231F53">
              <w:rPr>
                <w:lang w:eastAsia="lv-LV"/>
              </w:rPr>
              <w:t xml:space="preserve"> x 70% =  3 776 </w:t>
            </w:r>
            <w:proofErr w:type="spellStart"/>
            <w:r w:rsidRPr="00231F53">
              <w:rPr>
                <w:lang w:eastAsia="lv-LV"/>
              </w:rPr>
              <w:t>euro</w:t>
            </w:r>
            <w:proofErr w:type="spellEnd"/>
            <w:r w:rsidRPr="00231F53">
              <w:rPr>
                <w:lang w:eastAsia="lv-LV"/>
              </w:rPr>
              <w:t>;</w:t>
            </w:r>
          </w:p>
          <w:p w:rsidR="00FB7F75" w:rsidRPr="00231F53" w:rsidRDefault="00FB7F75" w:rsidP="00FB7F75">
            <w:pPr>
              <w:pStyle w:val="NoSpacing"/>
              <w:numPr>
                <w:ilvl w:val="0"/>
                <w:numId w:val="6"/>
              </w:numPr>
              <w:spacing w:after="120"/>
              <w:jc w:val="both"/>
              <w:rPr>
                <w:lang w:eastAsia="lv-LV"/>
              </w:rPr>
            </w:pPr>
            <w:proofErr w:type="spellStart"/>
            <w:r w:rsidRPr="00231F53">
              <w:rPr>
                <w:lang w:eastAsia="lv-LV"/>
              </w:rPr>
              <w:t>Urīnpušļa</w:t>
            </w:r>
            <w:proofErr w:type="spellEnd"/>
            <w:r w:rsidRPr="00231F53">
              <w:rPr>
                <w:lang w:eastAsia="lv-LV"/>
              </w:rPr>
              <w:t xml:space="preserve"> vēzis 666 pacienti, saskaņā ar Galvenā onkoloģijas speciālista ieteiktajiem izmeklējumiem diagnostikai vidēji vienam pacientam 532.81 </w:t>
            </w:r>
            <w:proofErr w:type="spellStart"/>
            <w:r w:rsidRPr="00231F53">
              <w:rPr>
                <w:lang w:eastAsia="lv-LV"/>
              </w:rPr>
              <w:t>euro</w:t>
            </w:r>
            <w:proofErr w:type="spellEnd"/>
            <w:r w:rsidRPr="00231F53">
              <w:rPr>
                <w:lang w:eastAsia="lv-LV"/>
              </w:rPr>
              <w:t xml:space="preserve">. Ietekme uz 2017.gadu 666 pacienti x 532.81 </w:t>
            </w:r>
            <w:proofErr w:type="spellStart"/>
            <w:r w:rsidRPr="00231F53">
              <w:rPr>
                <w:lang w:eastAsia="lv-LV"/>
              </w:rPr>
              <w:t>euro</w:t>
            </w:r>
            <w:proofErr w:type="spellEnd"/>
            <w:r w:rsidRPr="00231F53">
              <w:rPr>
                <w:lang w:eastAsia="lv-LV"/>
              </w:rPr>
              <w:t xml:space="preserve"> x 70% =  248 396 </w:t>
            </w:r>
            <w:proofErr w:type="spellStart"/>
            <w:r w:rsidRPr="00231F53">
              <w:rPr>
                <w:lang w:eastAsia="lv-LV"/>
              </w:rPr>
              <w:t>euro</w:t>
            </w:r>
            <w:proofErr w:type="spellEnd"/>
            <w:r w:rsidRPr="00231F53">
              <w:rPr>
                <w:lang w:eastAsia="lv-LV"/>
              </w:rPr>
              <w:t>;</w:t>
            </w:r>
          </w:p>
          <w:p w:rsidR="00FB7F75" w:rsidRPr="00231F53" w:rsidRDefault="00FB7F75" w:rsidP="00FB7F75">
            <w:pPr>
              <w:pStyle w:val="NoSpacing"/>
              <w:numPr>
                <w:ilvl w:val="0"/>
                <w:numId w:val="6"/>
              </w:numPr>
              <w:spacing w:after="120"/>
              <w:jc w:val="both"/>
              <w:rPr>
                <w:lang w:eastAsia="lv-LV"/>
              </w:rPr>
            </w:pPr>
            <w:r w:rsidRPr="00231F53">
              <w:rPr>
                <w:lang w:eastAsia="lv-LV"/>
              </w:rPr>
              <w:t xml:space="preserve">Pārējie, tajā skaitā vairogdziedzera vēzis, ādas </w:t>
            </w:r>
            <w:proofErr w:type="spellStart"/>
            <w:r w:rsidRPr="00231F53">
              <w:rPr>
                <w:lang w:eastAsia="lv-LV"/>
              </w:rPr>
              <w:t>melanoma</w:t>
            </w:r>
            <w:proofErr w:type="spellEnd"/>
            <w:r w:rsidRPr="00231F53">
              <w:rPr>
                <w:lang w:eastAsia="lv-LV"/>
              </w:rPr>
              <w:t xml:space="preserve">, u.c. 3 158 pacienti saskaņā ar vidējiem Galvenā onkoloģijas speciālista ieteiktajiem izmeklējumiem diagnostikai vidēji vienam pacientam 154,51 </w:t>
            </w:r>
            <w:proofErr w:type="spellStart"/>
            <w:r w:rsidRPr="00231F53">
              <w:rPr>
                <w:lang w:eastAsia="lv-LV"/>
              </w:rPr>
              <w:t>euro</w:t>
            </w:r>
            <w:proofErr w:type="spellEnd"/>
            <w:r w:rsidRPr="00231F53">
              <w:rPr>
                <w:lang w:eastAsia="lv-LV"/>
              </w:rPr>
              <w:t xml:space="preserve">. Ietekme uz 2017.gadu  3 158 pacienti x 154.51 </w:t>
            </w:r>
            <w:proofErr w:type="spellStart"/>
            <w:r w:rsidRPr="00231F53">
              <w:rPr>
                <w:lang w:eastAsia="lv-LV"/>
              </w:rPr>
              <w:t>euro</w:t>
            </w:r>
            <w:proofErr w:type="spellEnd"/>
            <w:r w:rsidRPr="00231F53">
              <w:rPr>
                <w:lang w:eastAsia="lv-LV"/>
              </w:rPr>
              <w:t xml:space="preserve"> x 70% =   341 560 </w:t>
            </w:r>
            <w:proofErr w:type="spellStart"/>
            <w:r w:rsidRPr="00231F53">
              <w:rPr>
                <w:lang w:eastAsia="lv-LV"/>
              </w:rPr>
              <w:t>euro</w:t>
            </w:r>
            <w:proofErr w:type="spellEnd"/>
            <w:r w:rsidRPr="00231F53">
              <w:rPr>
                <w:lang w:eastAsia="lv-LV"/>
              </w:rPr>
              <w:t>;</w:t>
            </w:r>
          </w:p>
          <w:p w:rsidR="00FB7F75" w:rsidRPr="0099389F" w:rsidRDefault="00FB7F75" w:rsidP="00FB7F75">
            <w:pPr>
              <w:ind w:left="159" w:right="140"/>
              <w:jc w:val="both"/>
              <w:rPr>
                <w:rFonts w:eastAsia="Times New Roman" w:cs="Times New Roman"/>
                <w:noProof/>
                <w:szCs w:val="24"/>
                <w:lang w:bidi="gu-IN"/>
              </w:rPr>
            </w:pPr>
          </w:p>
          <w:p w:rsidR="00FB7F75" w:rsidRPr="0099389F" w:rsidRDefault="00FB7F75" w:rsidP="00FB7F75">
            <w:pPr>
              <w:ind w:left="159" w:right="140"/>
              <w:jc w:val="both"/>
              <w:rPr>
                <w:rFonts w:cs="Times New Roman"/>
                <w:noProof/>
                <w:szCs w:val="24"/>
              </w:rPr>
            </w:pPr>
            <w:r w:rsidRPr="0099389F">
              <w:rPr>
                <w:rFonts w:eastAsia="Times New Roman" w:cs="Times New Roman"/>
                <w:noProof/>
                <w:szCs w:val="24"/>
                <w:lang w:bidi="gu-IN"/>
              </w:rPr>
              <w:t>Papildus m</w:t>
            </w:r>
            <w:r w:rsidRPr="0099389F">
              <w:rPr>
                <w:rFonts w:cs="Times New Roman"/>
                <w:noProof/>
                <w:szCs w:val="24"/>
              </w:rPr>
              <w:t xml:space="preserve">inimālās mēneša darba algas paaugstināšanas līdz 380 euro un zemāko mēšalgu izlīdzināšanas radītai ietekmei uz Noteikumu 3. pielikuma 3.punktu, 2017.gadā plānots pieaugums 50 euro uz 1 dzemdību gadījumu, ārstu un pacientu aprūpes personu tarifa D+S daļas palielināšanai radot ietekmi uz valsts budžetu </w:t>
            </w:r>
            <w:r w:rsidRPr="0099389F">
              <w:rPr>
                <w:rFonts w:cs="Times New Roman"/>
                <w:b/>
                <w:noProof/>
                <w:szCs w:val="24"/>
              </w:rPr>
              <w:t>1 099 860</w:t>
            </w:r>
            <w:r w:rsidRPr="0099389F">
              <w:rPr>
                <w:rFonts w:cs="Times New Roman"/>
                <w:noProof/>
                <w:szCs w:val="24"/>
              </w:rPr>
              <w:t xml:space="preserve"> euro apmērā (uz vidējo gada dzemdību gadījumu prognozi 21 997,2). Atbilstoši minētajām veikti grozījumi 16.pielikuma manipilāciju Nr. 16106, 16107, 16108 un 16115 noteiktajos tarifos</w:t>
            </w:r>
            <w:r>
              <w:rPr>
                <w:rFonts w:cs="Times New Roman"/>
                <w:noProof/>
                <w:szCs w:val="24"/>
              </w:rPr>
              <w:t>.</w:t>
            </w:r>
            <w:r w:rsidRPr="0099389F">
              <w:rPr>
                <w:rFonts w:cs="Times New Roman"/>
                <w:noProof/>
                <w:szCs w:val="24"/>
              </w:rPr>
              <w:t xml:space="preserve"> </w:t>
            </w:r>
          </w:p>
          <w:p w:rsidR="00FB7F75" w:rsidRDefault="00FB7F75" w:rsidP="00FB7F75">
            <w:pPr>
              <w:ind w:left="159" w:right="140"/>
              <w:jc w:val="both"/>
              <w:rPr>
                <w:rFonts w:cs="Times New Roman"/>
                <w:noProof/>
                <w:szCs w:val="24"/>
              </w:rPr>
            </w:pPr>
            <w:r w:rsidRPr="0099389F">
              <w:rPr>
                <w:rFonts w:eastAsia="Times New Roman" w:cs="Times New Roman"/>
                <w:noProof/>
                <w:szCs w:val="24"/>
                <w:lang w:bidi="gu-IN"/>
              </w:rPr>
              <w:t>Papildus m</w:t>
            </w:r>
            <w:r w:rsidRPr="0099389F">
              <w:rPr>
                <w:rFonts w:cs="Times New Roman"/>
                <w:noProof/>
                <w:szCs w:val="24"/>
              </w:rPr>
              <w:t xml:space="preserve">inimālās mēneša darba algas paaugstināšanas līdz 380 euro un zemāko mēšalgu izlīdzināšanas radītai ietekmei uz Noteikumu 13. pielikuma </w:t>
            </w:r>
            <w:r w:rsidRPr="0099389F">
              <w:rPr>
                <w:rFonts w:cs="Times New Roman"/>
                <w:noProof/>
                <w:szCs w:val="24"/>
              </w:rPr>
              <w:lastRenderedPageBreak/>
              <w:t xml:space="preserve">3.punktu, 2017.gadā plānots pieaugums speciālistu aprūpes epizožu tarifiem 3 euro apmērā reimatologs, bērnu kardiologs,  bērnu reimatologs, bērnu endokrinologs, bērnu nefrologam, bērnu gastroenterologam, bērnu hematoonkologam, bērnu psihiatram,  psihiatram,  infektologam,  arodslimību ārstam, arodveselības un arodslimību ārstam,  hepatologam, imunologam, endokrinologam, gastroenterologam, narkologam, torakālajam ķirurgam, bērnu neirologam, hematologam, asinsvadu ķirurgam, bērnu infektologam,  kardiologam,  onkoloģijas ginekologam, pediatram, neiroķirurgam, neirologam veicot aprēķinu pēc vidējo epizošu skaita 2016.gada pusgadā (286 841 epizode), prognozēts finansējuma pieaugums </w:t>
            </w:r>
            <w:r w:rsidRPr="0099389F">
              <w:rPr>
                <w:rFonts w:cs="Times New Roman"/>
                <w:b/>
                <w:noProof/>
                <w:szCs w:val="24"/>
              </w:rPr>
              <w:t>1 721 046 euro</w:t>
            </w:r>
            <w:r w:rsidRPr="0099389F">
              <w:rPr>
                <w:rFonts w:cs="Times New Roman"/>
                <w:noProof/>
                <w:szCs w:val="24"/>
              </w:rPr>
              <w:t xml:space="preserve"> (3 euro x 286 841 epizode x 2 (2 pusgads).  </w:t>
            </w:r>
            <w:r>
              <w:rPr>
                <w:rFonts w:cs="Times New Roman"/>
                <w:noProof/>
                <w:szCs w:val="24"/>
              </w:rPr>
              <w:t xml:space="preserve">Papildus tam Noteikumu projekts paredz izmaiņas psihiatru, bērnu psihiatru, narkologu tāmes kabinetu apmaksas nosacījumos, attiecīgi tāmes kabinetos sniegtās speciālistu aprūpes epizodes finansējot atbilstoši aprūpes epizožu tarifiem. Līdz ar minēto tāmes kabinetos ietvertās pakalpojuma sniegšanas apjoma uzturēšanas izmaksas novirzītas plānotajam apjoma pieaugumam uz </w:t>
            </w:r>
            <w:r w:rsidRPr="0099389F">
              <w:rPr>
                <w:rFonts w:cs="Times New Roman"/>
                <w:noProof/>
                <w:szCs w:val="24"/>
              </w:rPr>
              <w:t>speciālistu aprūpes epizožu tarifiem</w:t>
            </w:r>
            <w:r>
              <w:rPr>
                <w:rFonts w:cs="Times New Roman"/>
                <w:noProof/>
                <w:szCs w:val="24"/>
              </w:rPr>
              <w:t xml:space="preserve">. Plānotais apjoms tāmes kabinetiem ietver psihiatriem 13 apmeklējumus dienā, bērnu psihiatriem 8 apmeklējumus dienā, narkologiem 10 apmeklējumus dienā. Ietekme uz valsts budžetu plānota atbilstoši plānotajam </w:t>
            </w:r>
            <w:r w:rsidRPr="0099389F">
              <w:rPr>
                <w:rFonts w:cs="Times New Roman"/>
                <w:noProof/>
                <w:szCs w:val="24"/>
              </w:rPr>
              <w:t>pieaugums spec</w:t>
            </w:r>
            <w:r>
              <w:rPr>
                <w:rFonts w:cs="Times New Roman"/>
                <w:noProof/>
                <w:szCs w:val="24"/>
              </w:rPr>
              <w:t>iālistu aprūpes epizožu tarifos</w:t>
            </w:r>
            <w:r w:rsidRPr="0099389F">
              <w:rPr>
                <w:rFonts w:cs="Times New Roman"/>
                <w:noProof/>
                <w:szCs w:val="24"/>
              </w:rPr>
              <w:t xml:space="preserve"> 3 euro apmērā</w:t>
            </w:r>
            <w:r>
              <w:rPr>
                <w:rFonts w:cs="Times New Roman"/>
                <w:noProof/>
                <w:szCs w:val="24"/>
              </w:rPr>
              <w:t xml:space="preserve">, attiecīgi kopumā </w:t>
            </w:r>
            <w:r w:rsidRPr="007F39C6">
              <w:rPr>
                <w:rFonts w:cs="Times New Roman"/>
                <w:b/>
                <w:noProof/>
                <w:szCs w:val="24"/>
              </w:rPr>
              <w:t xml:space="preserve">778 193 euro </w:t>
            </w:r>
            <w:r>
              <w:rPr>
                <w:rFonts w:cs="Times New Roman"/>
                <w:noProof/>
                <w:szCs w:val="24"/>
              </w:rPr>
              <w:t xml:space="preserve">gadā: </w:t>
            </w:r>
          </w:p>
          <w:p w:rsidR="00FB7F75" w:rsidRDefault="00FB7F75" w:rsidP="00FB7F75">
            <w:pPr>
              <w:ind w:left="159" w:right="140"/>
              <w:jc w:val="both"/>
              <w:rPr>
                <w:rFonts w:cs="Times New Roman"/>
                <w:noProof/>
                <w:szCs w:val="24"/>
              </w:rPr>
            </w:pPr>
            <w:r>
              <w:rPr>
                <w:rFonts w:eastAsia="Times New Roman" w:cs="Times New Roman"/>
                <w:noProof/>
                <w:szCs w:val="24"/>
                <w:lang w:bidi="gu-IN"/>
              </w:rPr>
              <w:t>Tāmes kabineta psihiatram:</w:t>
            </w:r>
            <w:r>
              <w:rPr>
                <w:rFonts w:cs="Times New Roman"/>
                <w:noProof/>
                <w:szCs w:val="24"/>
              </w:rPr>
              <w:t xml:space="preserve"> 13 apmeklējumi x 2016.gada slodžu skaits 50.25 x 3 euro x vidējais darba dienu skaits 254 = 497 777 euro. </w:t>
            </w:r>
          </w:p>
          <w:p w:rsidR="00FB7F75" w:rsidRDefault="00FB7F75" w:rsidP="00FB7F75">
            <w:pPr>
              <w:ind w:left="159" w:right="140"/>
              <w:jc w:val="both"/>
              <w:rPr>
                <w:rFonts w:cs="Times New Roman"/>
                <w:noProof/>
                <w:szCs w:val="24"/>
              </w:rPr>
            </w:pPr>
            <w:r>
              <w:rPr>
                <w:rFonts w:eastAsia="Times New Roman" w:cs="Times New Roman"/>
                <w:noProof/>
                <w:szCs w:val="24"/>
                <w:lang w:bidi="gu-IN"/>
              </w:rPr>
              <w:t xml:space="preserve">Tāmes kabineta bērnu psihiatram : 8 apmeklējumi x </w:t>
            </w:r>
            <w:r>
              <w:rPr>
                <w:rFonts w:cs="Times New Roman"/>
                <w:noProof/>
                <w:szCs w:val="24"/>
              </w:rPr>
              <w:t>2016.gada slodžu skaits 28.5 x 3 euro x vidējais darba dienu skaits 254 = 173 736 euro</w:t>
            </w:r>
          </w:p>
          <w:p w:rsidR="00FB7F75" w:rsidRDefault="00FB7F75" w:rsidP="00FB7F75">
            <w:pPr>
              <w:ind w:left="159" w:right="140"/>
              <w:jc w:val="both"/>
              <w:rPr>
                <w:rFonts w:cs="Times New Roman"/>
                <w:noProof/>
                <w:szCs w:val="24"/>
              </w:rPr>
            </w:pPr>
            <w:r>
              <w:rPr>
                <w:rFonts w:eastAsia="Times New Roman" w:cs="Times New Roman"/>
                <w:noProof/>
                <w:szCs w:val="24"/>
                <w:lang w:bidi="gu-IN"/>
              </w:rPr>
              <w:t xml:space="preserve">Tāmes kabineta narkologam: 10 apmeklējumi x </w:t>
            </w:r>
            <w:r>
              <w:rPr>
                <w:rFonts w:cs="Times New Roman"/>
                <w:noProof/>
                <w:szCs w:val="24"/>
              </w:rPr>
              <w:t>2016.gada slodžu skaits 14 x 3 euro x vidējais darba dienu skaits 254 = 106 680 euro.</w:t>
            </w:r>
          </w:p>
          <w:p w:rsidR="00FB7F75" w:rsidRDefault="00FB7F75" w:rsidP="00FB7F75">
            <w:pPr>
              <w:ind w:left="159" w:right="140"/>
              <w:jc w:val="both"/>
              <w:rPr>
                <w:rFonts w:cs="Times New Roman"/>
                <w:noProof/>
                <w:szCs w:val="24"/>
              </w:rPr>
            </w:pPr>
            <w:r>
              <w:rPr>
                <w:rFonts w:cs="Times New Roman"/>
                <w:noProof/>
                <w:szCs w:val="24"/>
              </w:rPr>
              <w:t xml:space="preserve">Minēto speciālistu </w:t>
            </w:r>
            <w:r w:rsidRPr="00EE5607">
              <w:rPr>
                <w:rFonts w:cs="Times New Roman"/>
                <w:noProof/>
                <w:szCs w:val="24"/>
              </w:rPr>
              <w:t xml:space="preserve">pieejamības nodrošināšanai nepieciešams veikt pasākumus </w:t>
            </w:r>
            <w:r>
              <w:rPr>
                <w:rFonts w:cs="Times New Roman"/>
                <w:noProof/>
                <w:szCs w:val="24"/>
              </w:rPr>
              <w:t>to</w:t>
            </w:r>
            <w:r w:rsidRPr="00EE5607">
              <w:rPr>
                <w:rFonts w:cs="Times New Roman"/>
                <w:noProof/>
                <w:szCs w:val="24"/>
              </w:rPr>
              <w:t xml:space="preserve"> darba samaks</w:t>
            </w:r>
            <w:r>
              <w:rPr>
                <w:rFonts w:cs="Times New Roman"/>
                <w:noProof/>
                <w:szCs w:val="24"/>
              </w:rPr>
              <w:t>as aprēķinā</w:t>
            </w:r>
            <w:r w:rsidRPr="00EE5607">
              <w:rPr>
                <w:rFonts w:cs="Times New Roman"/>
                <w:noProof/>
                <w:szCs w:val="24"/>
              </w:rPr>
              <w:t xml:space="preserve">, </w:t>
            </w:r>
            <w:r>
              <w:rPr>
                <w:rFonts w:cs="Times New Roman"/>
                <w:noProof/>
                <w:szCs w:val="24"/>
              </w:rPr>
              <w:t>jo</w:t>
            </w:r>
            <w:r w:rsidRPr="00EE5607">
              <w:rPr>
                <w:rFonts w:cs="Times New Roman"/>
                <w:noProof/>
                <w:szCs w:val="24"/>
              </w:rPr>
              <w:t xml:space="preserve"> novērojams būtisks speciālistu trūkums valsts finansētās veselības aprūpes pakalpojumu nodrošināšanā, kas saistīts ar šo speciālistu sniegto pakalpojumu apmaksas nosacījumiem</w:t>
            </w:r>
            <w:r>
              <w:rPr>
                <w:rFonts w:cs="Times New Roman"/>
                <w:noProof/>
                <w:szCs w:val="24"/>
              </w:rPr>
              <w:t xml:space="preserve">. </w:t>
            </w:r>
            <w:r w:rsidRPr="000055DD">
              <w:rPr>
                <w:rFonts w:cs="Times New Roman"/>
                <w:noProof/>
                <w:szCs w:val="24"/>
              </w:rPr>
              <w:t>Speciālistu aprūpes epizožu tarifi ir aprēķināti pēc vienotiem principiem un to pamatā ir pacienta pieņemšanai (konsultācijām) patērētais laiks. Tomēr dažādu speciālistu darbība kardināli atšķiras ar  dažādu manipulāciju un procedūru veikšanas iespējām, kā rezultātā vienas speciālistu daļas samaksa par veikto darbu veidojas no aprūpes epizožu un manipulāciju tarifu summas, otras daļas – tikai no aprūpes epizožu tarifu summas</w:t>
            </w:r>
            <w:r>
              <w:rPr>
                <w:rFonts w:cs="Times New Roman"/>
                <w:noProof/>
                <w:szCs w:val="24"/>
              </w:rPr>
              <w:t>.</w:t>
            </w:r>
          </w:p>
          <w:p w:rsidR="00FB7F75" w:rsidRPr="00972F99" w:rsidRDefault="00FB7F75" w:rsidP="00FB7F75">
            <w:pPr>
              <w:ind w:left="159" w:right="140"/>
              <w:jc w:val="both"/>
            </w:pPr>
            <w:r w:rsidRPr="00972F99">
              <w:t xml:space="preserve">Papildus tam plānots pacientiem ar smagu olbaltumvielu nepanesību un izteiktu </w:t>
            </w:r>
            <w:proofErr w:type="spellStart"/>
            <w:r w:rsidRPr="00972F99">
              <w:t>malabsorbcijas</w:t>
            </w:r>
            <w:proofErr w:type="spellEnd"/>
            <w:r w:rsidRPr="00972F99">
              <w:t xml:space="preserve"> sindromu ārstnieciskā uztura preparātus </w:t>
            </w:r>
            <w:proofErr w:type="spellStart"/>
            <w:r w:rsidRPr="00972F99">
              <w:rPr>
                <w:i/>
                <w:iCs/>
              </w:rPr>
              <w:t>Neocate</w:t>
            </w:r>
            <w:proofErr w:type="spellEnd"/>
            <w:r w:rsidRPr="00972F99">
              <w:rPr>
                <w:i/>
                <w:iCs/>
              </w:rPr>
              <w:t xml:space="preserve"> un </w:t>
            </w:r>
            <w:proofErr w:type="spellStart"/>
            <w:r w:rsidRPr="00972F99">
              <w:rPr>
                <w:i/>
                <w:iCs/>
              </w:rPr>
              <w:t>Neocate</w:t>
            </w:r>
            <w:proofErr w:type="spellEnd"/>
            <w:r w:rsidRPr="00972F99">
              <w:rPr>
                <w:i/>
                <w:iCs/>
              </w:rPr>
              <w:t xml:space="preserve"> </w:t>
            </w:r>
            <w:proofErr w:type="spellStart"/>
            <w:r w:rsidRPr="00972F99">
              <w:rPr>
                <w:i/>
                <w:iCs/>
              </w:rPr>
              <w:t>advanced</w:t>
            </w:r>
            <w:proofErr w:type="spellEnd"/>
            <w:r w:rsidRPr="00972F99">
              <w:rPr>
                <w:i/>
                <w:iCs/>
              </w:rPr>
              <w:t xml:space="preserve">  </w:t>
            </w:r>
            <w:r w:rsidRPr="00972F99">
              <w:t xml:space="preserve">nodrošināt no apakšprogrammas  33.12.00 “Reto slimību medikamentozā ārstēšana bērniem” līdzekļu ekonomijas. Aprēķins: 45 </w:t>
            </w:r>
            <w:proofErr w:type="spellStart"/>
            <w:r w:rsidRPr="00972F99">
              <w:t>eur</w:t>
            </w:r>
            <w:proofErr w:type="spellEnd"/>
            <w:r w:rsidRPr="00972F99">
              <w:t xml:space="preserve">/iepakojums x 5 </w:t>
            </w:r>
            <w:proofErr w:type="spellStart"/>
            <w:r w:rsidRPr="00972F99">
              <w:t>iepak</w:t>
            </w:r>
            <w:proofErr w:type="spellEnd"/>
            <w:r w:rsidRPr="00972F99">
              <w:t>/</w:t>
            </w:r>
            <w:proofErr w:type="spellStart"/>
            <w:r w:rsidRPr="00972F99">
              <w:t>mēn</w:t>
            </w:r>
            <w:proofErr w:type="spellEnd"/>
            <w:r w:rsidRPr="00972F99">
              <w:t xml:space="preserve">. x 12 </w:t>
            </w:r>
            <w:proofErr w:type="spellStart"/>
            <w:r w:rsidRPr="00972F99">
              <w:t>mēn</w:t>
            </w:r>
            <w:proofErr w:type="spellEnd"/>
            <w:r w:rsidRPr="00972F99">
              <w:t xml:space="preserve"> x 1,12% (PVN) x 36 pacienti = 108 864 </w:t>
            </w:r>
            <w:proofErr w:type="spellStart"/>
            <w:r w:rsidRPr="00972F99">
              <w:t>euro</w:t>
            </w:r>
            <w:proofErr w:type="spellEnd"/>
            <w:r w:rsidRPr="00972F99">
              <w:t>, ko plānots finansēt esošās programmas līdzekļu ietvaros.</w:t>
            </w:r>
          </w:p>
          <w:p w:rsidR="00FB7F75" w:rsidRPr="00296954" w:rsidRDefault="00FB7F75" w:rsidP="00FB7F75">
            <w:pPr>
              <w:ind w:left="159" w:right="140"/>
              <w:jc w:val="both"/>
              <w:rPr>
                <w:rFonts w:cs="Times New Roman"/>
                <w:noProof/>
                <w:szCs w:val="24"/>
              </w:rPr>
            </w:pPr>
            <w:r w:rsidRPr="00972F99">
              <w:t>Papildus tam no līdzekļu ekonomijas </w:t>
            </w:r>
            <w:r w:rsidRPr="00231F53">
              <w:t xml:space="preserve">plānots </w:t>
            </w:r>
            <w:r w:rsidRPr="00A91B58">
              <w:rPr>
                <w:color w:val="000000"/>
                <w:shd w:val="clear" w:color="auto" w:fill="FFFFFF"/>
              </w:rPr>
              <w:t xml:space="preserve">nodrošināt mākslīgā piena maisījumus un mākslīgā papildu ēdināšanas piena maisījumus, jaundzimušajiem, kas dzimuši HIV pozitīvām mātēm. Prognozētais jaundzimušo skaits gadā 70 jaundzimušie. </w:t>
            </w:r>
            <w:r w:rsidRPr="00296954">
              <w:rPr>
                <w:rFonts w:cs="Times New Roman"/>
                <w:color w:val="000000"/>
                <w:szCs w:val="24"/>
                <w:shd w:val="clear" w:color="auto" w:fill="FFFFFF"/>
              </w:rPr>
              <w:t xml:space="preserve"> </w:t>
            </w:r>
            <w:r w:rsidRPr="00A91B58">
              <w:rPr>
                <w:color w:val="000000"/>
                <w:shd w:val="clear" w:color="auto" w:fill="FFFFFF"/>
              </w:rPr>
              <w:t xml:space="preserve">Aprēķins: 1 jaundzimušajam nepieciešami ~94 iepakojumi gadā x 4.54 </w:t>
            </w:r>
            <w:proofErr w:type="spellStart"/>
            <w:r w:rsidRPr="00A91B58">
              <w:rPr>
                <w:color w:val="000000"/>
                <w:shd w:val="clear" w:color="auto" w:fill="FFFFFF"/>
              </w:rPr>
              <w:t>euro</w:t>
            </w:r>
            <w:proofErr w:type="spellEnd"/>
            <w:r w:rsidRPr="00A91B58">
              <w:rPr>
                <w:color w:val="000000"/>
                <w:shd w:val="clear" w:color="auto" w:fill="FFFFFF"/>
              </w:rPr>
              <w:t xml:space="preserve"> par iepakojumu (t.sk. PVN) x 70 jaundzimušie = </w:t>
            </w:r>
            <w:r w:rsidRPr="00231F53">
              <w:rPr>
                <w:color w:val="000000"/>
                <w:shd w:val="clear" w:color="auto" w:fill="FFFFFF"/>
              </w:rPr>
              <w:t xml:space="preserve">29 </w:t>
            </w:r>
            <w:r>
              <w:rPr>
                <w:rFonts w:cs="Times New Roman"/>
                <w:color w:val="000000"/>
                <w:szCs w:val="24"/>
                <w:shd w:val="clear" w:color="auto" w:fill="FFFFFF"/>
              </w:rPr>
              <w:t xml:space="preserve"> </w:t>
            </w:r>
            <w:r w:rsidRPr="00231F53">
              <w:rPr>
                <w:color w:val="000000"/>
                <w:shd w:val="clear" w:color="auto" w:fill="FFFFFF"/>
              </w:rPr>
              <w:t xml:space="preserve">873 </w:t>
            </w:r>
            <w:proofErr w:type="spellStart"/>
            <w:r w:rsidRPr="00231F53">
              <w:rPr>
                <w:color w:val="000000"/>
                <w:shd w:val="clear" w:color="auto" w:fill="FFFFFF"/>
              </w:rPr>
              <w:t>euro</w:t>
            </w:r>
            <w:proofErr w:type="spellEnd"/>
            <w:r w:rsidRPr="00231F53">
              <w:rPr>
                <w:color w:val="000000"/>
                <w:shd w:val="clear" w:color="auto" w:fill="FFFFFF"/>
              </w:rPr>
              <w:t>/gadā.</w:t>
            </w:r>
            <w:r>
              <w:rPr>
                <w:rFonts w:cs="Times New Roman"/>
                <w:color w:val="000000"/>
                <w:szCs w:val="24"/>
                <w:shd w:val="clear" w:color="auto" w:fill="FFFFFF"/>
              </w:rPr>
              <w:t xml:space="preserve"> </w:t>
            </w:r>
          </w:p>
          <w:p w:rsidR="00FB7F75" w:rsidRPr="00A91B58" w:rsidRDefault="00FB7F75" w:rsidP="00FB7F75">
            <w:pPr>
              <w:ind w:left="159" w:right="140"/>
              <w:jc w:val="both"/>
              <w:rPr>
                <w:color w:val="FF0000"/>
              </w:rPr>
            </w:pPr>
          </w:p>
          <w:p w:rsidR="00FB7F75" w:rsidRPr="0099389F" w:rsidRDefault="00FB7F75" w:rsidP="00FB7F75">
            <w:pPr>
              <w:ind w:left="159" w:right="140"/>
              <w:jc w:val="both"/>
              <w:rPr>
                <w:rFonts w:eastAsia="Times New Roman" w:cs="Times New Roman"/>
                <w:noProof/>
                <w:szCs w:val="24"/>
                <w:lang w:bidi="gu-IN"/>
              </w:rPr>
            </w:pPr>
            <w:r w:rsidRPr="0099389F">
              <w:rPr>
                <w:rFonts w:eastAsia="Times New Roman" w:cs="Times New Roman"/>
                <w:noProof/>
                <w:szCs w:val="24"/>
                <w:lang w:bidi="gu-IN"/>
              </w:rPr>
              <w:t xml:space="preserve">Pārējām Noteikuma projektā minētām izmaiņām kopskatā nav ietekmes uz </w:t>
            </w:r>
            <w:r w:rsidRPr="0099389F">
              <w:rPr>
                <w:rFonts w:eastAsia="Times New Roman" w:cs="Times New Roman"/>
                <w:noProof/>
                <w:szCs w:val="24"/>
                <w:lang w:bidi="gu-IN"/>
              </w:rPr>
              <w:lastRenderedPageBreak/>
              <w:t xml:space="preserve">valsts budžeta finansējumu, jo Noteikumu projektā veikti redakcionāli un papildus skaidrojoši pasākumi, lai sniegtu skaidrāku priekšstatu gan pacientiem gan ārstniecības iestādēm par veselības aprūpes organizēšanas kārtību, kas vērsti uz kvalitatīvāku veselības aprūpes paklpojumu sniegšanu. Tāpat izdarīti grozījumi Noteikumu 246.un 251.punktā, lai nodrošinātu efektīvu un mērķtiecīgu finansējuma sadalījumu. </w:t>
            </w:r>
          </w:p>
          <w:p w:rsidR="00FB7F75" w:rsidRPr="0099389F" w:rsidRDefault="00FB7F75" w:rsidP="00FB7F75">
            <w:pPr>
              <w:ind w:left="159" w:right="140"/>
              <w:jc w:val="both"/>
              <w:rPr>
                <w:rFonts w:eastAsia="Times New Roman" w:cs="Times New Roman"/>
                <w:noProof/>
                <w:szCs w:val="24"/>
                <w:lang w:bidi="gu-IN"/>
              </w:rPr>
            </w:pPr>
          </w:p>
          <w:p w:rsidR="00FB7F75" w:rsidRDefault="00FB7F75" w:rsidP="00FB7F75">
            <w:pPr>
              <w:ind w:right="142"/>
              <w:jc w:val="both"/>
              <w:rPr>
                <w:rFonts w:cs="Times New Roman"/>
                <w:szCs w:val="24"/>
                <w:lang w:eastAsia="lv-LV"/>
              </w:rPr>
            </w:pPr>
            <w:r w:rsidRPr="0099389F">
              <w:rPr>
                <w:rFonts w:cs="Times New Roman"/>
                <w:szCs w:val="24"/>
                <w:lang w:eastAsia="lv-LV"/>
              </w:rPr>
              <w:t xml:space="preserve">Kopumā 2017.gada budžeta un turpmāk ietekme ir </w:t>
            </w:r>
            <w:r>
              <w:rPr>
                <w:rFonts w:cs="Times New Roman"/>
                <w:b/>
                <w:szCs w:val="24"/>
                <w:lang w:eastAsia="lv-LV"/>
              </w:rPr>
              <w:t>9 906 145</w:t>
            </w:r>
            <w:r w:rsidRPr="0099389F">
              <w:rPr>
                <w:rFonts w:cs="Times New Roman"/>
                <w:szCs w:val="24"/>
                <w:lang w:eastAsia="lv-LV"/>
              </w:rPr>
              <w:t xml:space="preserve"> </w:t>
            </w:r>
            <w:proofErr w:type="spellStart"/>
            <w:r w:rsidRPr="0099389F">
              <w:rPr>
                <w:rFonts w:cs="Times New Roman"/>
                <w:szCs w:val="24"/>
                <w:lang w:eastAsia="lv-LV"/>
              </w:rPr>
              <w:t>euro</w:t>
            </w:r>
            <w:proofErr w:type="spellEnd"/>
            <w:r w:rsidRPr="0099389F">
              <w:rPr>
                <w:rFonts w:cs="Times New Roman"/>
                <w:szCs w:val="24"/>
                <w:lang w:eastAsia="lv-LV"/>
              </w:rPr>
              <w:t xml:space="preserve"> apmērā</w:t>
            </w:r>
            <w:r>
              <w:rPr>
                <w:rFonts w:cs="Times New Roman"/>
                <w:szCs w:val="24"/>
                <w:lang w:eastAsia="lv-LV"/>
              </w:rPr>
              <w:t>, kas tiks finansēta:</w:t>
            </w:r>
          </w:p>
          <w:p w:rsidR="00FB7F75" w:rsidRDefault="00FB7F75" w:rsidP="00FB7F75">
            <w:pPr>
              <w:ind w:right="142"/>
              <w:jc w:val="both"/>
              <w:rPr>
                <w:rFonts w:eastAsia="Times New Roman" w:cs="Times New Roman"/>
                <w:noProof/>
                <w:szCs w:val="24"/>
                <w:lang w:bidi="gu-IN"/>
              </w:rPr>
            </w:pPr>
            <w:r w:rsidRPr="0099389F">
              <w:rPr>
                <w:rFonts w:cs="Times New Roman"/>
                <w:b/>
                <w:noProof/>
                <w:szCs w:val="24"/>
              </w:rPr>
              <w:t>5 074 341</w:t>
            </w:r>
            <w:r w:rsidRPr="0099389F">
              <w:rPr>
                <w:rFonts w:cs="Times New Roman"/>
                <w:noProof/>
                <w:szCs w:val="24"/>
              </w:rPr>
              <w:t xml:space="preserve"> euro</w:t>
            </w:r>
            <w:r>
              <w:rPr>
                <w:rFonts w:cs="Times New Roman"/>
                <w:noProof/>
                <w:szCs w:val="24"/>
              </w:rPr>
              <w:t xml:space="preserve"> apmērā darba samaksas pieaugumam veselības aprūpes pakalpojumu tarifos</w:t>
            </w:r>
            <w:r w:rsidRPr="0099389F">
              <w:rPr>
                <w:rFonts w:cs="Times New Roman"/>
                <w:noProof/>
                <w:szCs w:val="24"/>
              </w:rPr>
              <w:t xml:space="preserve"> </w:t>
            </w:r>
            <w:r>
              <w:rPr>
                <w:rFonts w:cs="Times New Roman"/>
                <w:noProof/>
                <w:szCs w:val="24"/>
              </w:rPr>
              <w:t>saistībā ar minimālās algas izmaiņām</w:t>
            </w:r>
            <w:r w:rsidRPr="0099389F">
              <w:rPr>
                <w:rFonts w:cs="Times New Roman"/>
                <w:noProof/>
                <w:szCs w:val="24"/>
              </w:rPr>
              <w:t>Ministru kabineta 2016.gada 18.augusta protokola</w:t>
            </w:r>
            <w:r>
              <w:rPr>
                <w:rFonts w:cs="Times New Roman"/>
                <w:noProof/>
                <w:szCs w:val="24"/>
              </w:rPr>
              <w:t xml:space="preserve"> Nr.41, 5.§ </w:t>
            </w:r>
            <w:r w:rsidRPr="0099389F">
              <w:rPr>
                <w:rFonts w:cs="Times New Roman"/>
                <w:noProof/>
                <w:szCs w:val="24"/>
              </w:rPr>
              <w:t>22.punkta ietvaros (</w:t>
            </w:r>
            <w:r w:rsidRPr="0099389F">
              <w:rPr>
                <w:rFonts w:eastAsia="Times New Roman" w:cs="Times New Roman"/>
                <w:noProof/>
                <w:szCs w:val="24"/>
                <w:lang w:bidi="gu-IN"/>
              </w:rPr>
              <w:t>m</w:t>
            </w:r>
            <w:r w:rsidRPr="0099389F">
              <w:rPr>
                <w:rFonts w:cs="Times New Roman"/>
                <w:noProof/>
                <w:szCs w:val="24"/>
              </w:rPr>
              <w:t>inimālās mēneša darba algas paaugstināšanai līdz 380 euro ar 2017.gada 1.janvāri un zemāko mēneša darba algu izlīdzināšanai</w:t>
            </w:r>
            <w:r w:rsidRPr="0099389F">
              <w:rPr>
                <w:rFonts w:eastAsia="Times New Roman" w:cs="Times New Roman"/>
                <w:noProof/>
                <w:szCs w:val="24"/>
                <w:lang w:bidi="gu-IN"/>
              </w:rPr>
              <w:t xml:space="preserve"> veselības aprūpes paklpojumiem</w:t>
            </w:r>
            <w:r>
              <w:rPr>
                <w:rFonts w:eastAsia="Times New Roman" w:cs="Times New Roman"/>
                <w:noProof/>
                <w:szCs w:val="24"/>
                <w:lang w:bidi="gu-IN"/>
              </w:rPr>
              <w:t>);</w:t>
            </w:r>
          </w:p>
          <w:p w:rsidR="00FB7F75" w:rsidRPr="003D630A" w:rsidRDefault="00FB7F75" w:rsidP="00FB7F75">
            <w:pPr>
              <w:ind w:right="142"/>
              <w:jc w:val="both"/>
              <w:rPr>
                <w:rFonts w:cs="Times New Roman"/>
                <w:noProof/>
                <w:szCs w:val="24"/>
              </w:rPr>
            </w:pPr>
            <w:r>
              <w:rPr>
                <w:rFonts w:eastAsia="Times New Roman" w:cs="Times New Roman"/>
                <w:b/>
                <w:noProof/>
                <w:szCs w:val="24"/>
                <w:lang w:bidi="gu-IN"/>
              </w:rPr>
              <w:t>2 332 565</w:t>
            </w:r>
            <w:r w:rsidRPr="0099389F">
              <w:rPr>
                <w:rFonts w:eastAsia="Times New Roman" w:cs="Times New Roman"/>
                <w:b/>
                <w:noProof/>
                <w:szCs w:val="24"/>
                <w:lang w:bidi="gu-IN"/>
              </w:rPr>
              <w:t xml:space="preserve"> euro</w:t>
            </w:r>
            <w:r w:rsidRPr="0099389F">
              <w:rPr>
                <w:rFonts w:eastAsia="Times New Roman" w:cs="Times New Roman"/>
                <w:noProof/>
                <w:szCs w:val="24"/>
                <w:lang w:bidi="gu-IN"/>
              </w:rPr>
              <w:t xml:space="preserve"> </w:t>
            </w:r>
            <w:r>
              <w:rPr>
                <w:rFonts w:eastAsia="Times New Roman" w:cs="Times New Roman"/>
                <w:noProof/>
                <w:szCs w:val="24"/>
                <w:lang w:bidi="gu-IN"/>
              </w:rPr>
              <w:t>apmērā s</w:t>
            </w:r>
            <w:r w:rsidRPr="00F51BB8">
              <w:rPr>
                <w:rFonts w:eastAsia="Times New Roman" w:cs="Times New Roman"/>
                <w:noProof/>
                <w:szCs w:val="24"/>
                <w:lang w:bidi="gu-IN"/>
              </w:rPr>
              <w:t xml:space="preserve">pecializētās ārstniecības iestādēs onkoloģisko slimību izmeklējumiem atbilstoši algoritmiem </w:t>
            </w:r>
            <w:r w:rsidRPr="0099389F">
              <w:rPr>
                <w:rFonts w:eastAsia="Times New Roman" w:cs="Times New Roman"/>
                <w:noProof/>
                <w:szCs w:val="24"/>
                <w:lang w:bidi="gu-IN"/>
              </w:rPr>
              <w:t xml:space="preserve">no </w:t>
            </w:r>
            <w:r w:rsidRPr="0099389F">
              <w:rPr>
                <w:rFonts w:cs="Times New Roman"/>
                <w:color w:val="000000" w:themeColor="text1"/>
                <w:szCs w:val="24"/>
              </w:rPr>
              <w:t xml:space="preserve">74.resora "Gadskārtējā valsts budžeta izpildes procesā pārdalāmais finansējums" 2017.gadam rezervētā finansējuma 34 </w:t>
            </w:r>
            <w:r w:rsidRPr="003D630A">
              <w:rPr>
                <w:rFonts w:cs="Times New Roman"/>
                <w:color w:val="000000" w:themeColor="text1"/>
                <w:szCs w:val="24"/>
              </w:rPr>
              <w:t xml:space="preserve">324 450 </w:t>
            </w:r>
            <w:proofErr w:type="spellStart"/>
            <w:r w:rsidRPr="003D630A">
              <w:rPr>
                <w:rFonts w:cs="Times New Roman"/>
                <w:color w:val="000000" w:themeColor="text1"/>
                <w:szCs w:val="24"/>
              </w:rPr>
              <w:t>euro</w:t>
            </w:r>
            <w:proofErr w:type="spellEnd"/>
            <w:r w:rsidRPr="003D630A">
              <w:rPr>
                <w:rFonts w:cs="Times New Roman"/>
                <w:color w:val="000000" w:themeColor="text1"/>
                <w:szCs w:val="24"/>
              </w:rPr>
              <w:t xml:space="preserve"> apmērā  veselības nozares reformu īstenošanai saskaņā ar  </w:t>
            </w:r>
            <w:r w:rsidRPr="003D630A">
              <w:rPr>
                <w:rFonts w:cs="Times New Roman"/>
                <w:noProof/>
                <w:szCs w:val="24"/>
              </w:rPr>
              <w:t>Ministru kabineta 2016.gada 11.oktobra protokola Nr.52, 50.§  2.2.punktu;</w:t>
            </w:r>
          </w:p>
          <w:p w:rsidR="00FB7F75" w:rsidRPr="003D630A" w:rsidRDefault="00FB7F75" w:rsidP="00FB7F75">
            <w:pPr>
              <w:ind w:right="142"/>
              <w:jc w:val="both"/>
              <w:rPr>
                <w:rFonts w:cs="Times New Roman"/>
                <w:noProof/>
                <w:szCs w:val="24"/>
                <w:lang w:eastAsia="lv-LV"/>
              </w:rPr>
            </w:pPr>
            <w:r w:rsidRPr="003D630A">
              <w:rPr>
                <w:rFonts w:cs="Times New Roman"/>
                <w:b/>
                <w:noProof/>
                <w:szCs w:val="24"/>
              </w:rPr>
              <w:t xml:space="preserve">2 499 239 </w:t>
            </w:r>
            <w:r w:rsidRPr="003D630A">
              <w:rPr>
                <w:rFonts w:cs="Times New Roman"/>
                <w:noProof/>
                <w:szCs w:val="24"/>
              </w:rPr>
              <w:t xml:space="preserve">euro apmērā speciālistu aprūpes epizožu tarifu pieaugumam par 3 euro no </w:t>
            </w:r>
            <w:r w:rsidRPr="003D630A">
              <w:rPr>
                <w:lang w:eastAsia="lv-LV"/>
              </w:rPr>
              <w:t xml:space="preserve">atbalstītās JPI </w:t>
            </w:r>
            <w:r w:rsidRPr="003D630A">
              <w:rPr>
                <w:szCs w:val="24"/>
                <w:lang w:eastAsia="lv-LV"/>
              </w:rPr>
              <w:t>“</w:t>
            </w:r>
            <w:r w:rsidRPr="003D630A">
              <w:rPr>
                <w:rFonts w:eastAsia="Calibri"/>
                <w:noProof/>
                <w:szCs w:val="24"/>
              </w:rPr>
              <w:t>Rindu mazināšana uz speciālistu pakalpojumiem ambulatorajā veselības aprūpē</w:t>
            </w:r>
            <w:r w:rsidRPr="003D630A">
              <w:rPr>
                <w:szCs w:val="24"/>
                <w:lang w:eastAsia="lv-LV"/>
              </w:rPr>
              <w:t>” un “Gaidīšanas rindu mazināšana plānveida stacionārajā veselības aprūpē” (</w:t>
            </w:r>
            <w:r w:rsidRPr="003D630A">
              <w:rPr>
                <w:rFonts w:cs="Times New Roman"/>
                <w:noProof/>
                <w:szCs w:val="24"/>
                <w:lang w:eastAsia="lv-LV"/>
              </w:rPr>
              <w:t xml:space="preserve">Ministru kabineta 2016.gada 16.augusta Informatīvais ziņojums </w:t>
            </w:r>
            <w:r w:rsidRPr="003D630A">
              <w:rPr>
                <w:rFonts w:cs="Times New Roman"/>
                <w:szCs w:val="24"/>
                <w:lang w:eastAsia="lv-LV"/>
              </w:rPr>
              <w:t xml:space="preserve">"Par priekšlikumiem valsts budžeta ieņēmumiem un izdevumiem 2017.gadam un ietvaram 2017.–2019.gadam" </w:t>
            </w:r>
            <w:r w:rsidRPr="003D630A">
              <w:rPr>
                <w:rFonts w:cs="Times New Roman"/>
                <w:noProof/>
                <w:szCs w:val="24"/>
                <w:lang w:eastAsia="lv-LV"/>
              </w:rPr>
              <w:t xml:space="preserve">(protokols Nr.40, 59.§ 2.punkts – piešķīrums 3. milj. euro apmērā), ņemot vērā, ka speciālistu konsultāciju pieejamību ierobežo arī speciālistu trūkums. Līdz ar to tarifa palielinājums nodrošinās </w:t>
            </w:r>
            <w:r>
              <w:rPr>
                <w:rFonts w:cs="Times New Roman"/>
                <w:noProof/>
                <w:szCs w:val="24"/>
                <w:lang w:eastAsia="lv-LV"/>
              </w:rPr>
              <w:t>konkurētspējīgāku atalgojumu šobrīd valsts finansētajā ambulatorajā veselības aprūpē atsevišķās specialitātēs strādājošajiem speciālistiem un attiecīgi speciālistu pieejamība veicinās rindu mazināšanu un pakalpojumu saņemšanas iespēju pacientiem</w:t>
            </w:r>
            <w:r w:rsidRPr="003D630A">
              <w:rPr>
                <w:rFonts w:cs="Times New Roman"/>
                <w:noProof/>
                <w:szCs w:val="24"/>
                <w:lang w:eastAsia="lv-LV"/>
              </w:rPr>
              <w:t>.</w:t>
            </w:r>
          </w:p>
          <w:p w:rsidR="00FB7F75" w:rsidRDefault="00FB7F75" w:rsidP="00FB7F75">
            <w:pPr>
              <w:ind w:right="142"/>
              <w:jc w:val="both"/>
              <w:rPr>
                <w:rFonts w:cs="Times New Roman"/>
                <w:noProof/>
                <w:szCs w:val="24"/>
                <w:lang w:eastAsia="lv-LV"/>
              </w:rPr>
            </w:pPr>
            <w:r w:rsidRPr="003D630A">
              <w:rPr>
                <w:lang w:eastAsia="lv-LV"/>
              </w:rPr>
              <w:t xml:space="preserve">JPI </w:t>
            </w:r>
            <w:r w:rsidRPr="003D630A">
              <w:rPr>
                <w:szCs w:val="24"/>
                <w:lang w:eastAsia="lv-LV"/>
              </w:rPr>
              <w:t>“</w:t>
            </w:r>
            <w:r w:rsidRPr="003D630A">
              <w:rPr>
                <w:rFonts w:eastAsia="Calibri"/>
                <w:noProof/>
                <w:szCs w:val="24"/>
              </w:rPr>
              <w:t>Rindu mazināšana uz speciālistu pakalpojumiem ambulatorajā veselības aprūpē</w:t>
            </w:r>
            <w:r w:rsidRPr="003D630A">
              <w:rPr>
                <w:szCs w:val="24"/>
                <w:lang w:eastAsia="lv-LV"/>
              </w:rPr>
              <w:t xml:space="preserve">” un “Gaidīšanas rindu mazināšana plānveida stacionārajā veselības </w:t>
            </w:r>
            <w:r w:rsidRPr="00D4358B">
              <w:rPr>
                <w:szCs w:val="24"/>
                <w:lang w:eastAsia="lv-LV"/>
              </w:rPr>
              <w:t xml:space="preserve">aprūpē” 500 761 </w:t>
            </w:r>
            <w:proofErr w:type="spellStart"/>
            <w:r w:rsidRPr="00D4358B">
              <w:rPr>
                <w:szCs w:val="24"/>
                <w:lang w:eastAsia="lv-LV"/>
              </w:rPr>
              <w:t>euro</w:t>
            </w:r>
            <w:proofErr w:type="spellEnd"/>
            <w:r w:rsidRPr="00D4358B">
              <w:rPr>
                <w:szCs w:val="24"/>
                <w:lang w:eastAsia="lv-LV"/>
              </w:rPr>
              <w:t xml:space="preserve"> apmērā plānots finansēt </w:t>
            </w:r>
            <w:r>
              <w:rPr>
                <w:szCs w:val="24"/>
                <w:lang w:eastAsia="lv-LV"/>
              </w:rPr>
              <w:t xml:space="preserve">arī </w:t>
            </w:r>
            <w:bookmarkStart w:id="4" w:name="_GoBack"/>
            <w:bookmarkEnd w:id="4"/>
            <w:r w:rsidRPr="00D4358B">
              <w:rPr>
                <w:szCs w:val="24"/>
                <w:lang w:eastAsia="lv-LV"/>
              </w:rPr>
              <w:t>citas turpmākās aktivitātes atbilstoši JPI paredzētajam mērķim.</w:t>
            </w:r>
          </w:p>
          <w:p w:rsidR="00FB7F75" w:rsidRDefault="00FB7F75" w:rsidP="00FB7F75">
            <w:pPr>
              <w:ind w:right="142"/>
              <w:jc w:val="both"/>
              <w:rPr>
                <w:rFonts w:cs="Times New Roman"/>
                <w:noProof/>
                <w:szCs w:val="24"/>
              </w:rPr>
            </w:pPr>
            <w:r w:rsidRPr="00277AD0">
              <w:rPr>
                <w:rFonts w:cs="Times New Roman"/>
                <w:noProof/>
                <w:szCs w:val="24"/>
              </w:rPr>
              <w:t xml:space="preserve">Savukārt </w:t>
            </w:r>
            <w:r>
              <w:rPr>
                <w:rFonts w:cs="Times New Roman"/>
                <w:noProof/>
                <w:szCs w:val="24"/>
              </w:rPr>
              <w:t xml:space="preserve">dzemdību tarifa pieaugums par 50 euro uz vienu dzemdību gadījumu kopsummā </w:t>
            </w:r>
            <w:r w:rsidRPr="0099389F">
              <w:rPr>
                <w:rFonts w:cs="Times New Roman"/>
                <w:b/>
                <w:noProof/>
                <w:szCs w:val="24"/>
              </w:rPr>
              <w:t>1 099 860</w:t>
            </w:r>
            <w:r w:rsidRPr="0099389F">
              <w:rPr>
                <w:rFonts w:cs="Times New Roman"/>
                <w:noProof/>
                <w:szCs w:val="24"/>
              </w:rPr>
              <w:t xml:space="preserve"> euro apmērā</w:t>
            </w:r>
            <w:r>
              <w:rPr>
                <w:rFonts w:cs="Times New Roman"/>
                <w:noProof/>
                <w:szCs w:val="24"/>
              </w:rPr>
              <w:t xml:space="preserve"> tiks finansēts </w:t>
            </w:r>
            <w:r w:rsidRPr="00277AD0">
              <w:rPr>
                <w:rFonts w:cs="Times New Roman"/>
                <w:noProof/>
                <w:szCs w:val="24"/>
              </w:rPr>
              <w:t xml:space="preserve">rodot ietaupījumu no laboratorisko izmeklējumu finansēšanai paredzētajiem līdzekļiem </w:t>
            </w:r>
            <w:r>
              <w:rPr>
                <w:rFonts w:cs="Times New Roman"/>
                <w:noProof/>
                <w:szCs w:val="24"/>
              </w:rPr>
              <w:t>4,25</w:t>
            </w:r>
            <w:r w:rsidRPr="00277AD0">
              <w:rPr>
                <w:rFonts w:cs="Times New Roman"/>
                <w:noProof/>
                <w:szCs w:val="24"/>
              </w:rPr>
              <w:t xml:space="preserve"> milj.apmērā</w:t>
            </w:r>
            <w:r>
              <w:rPr>
                <w:rFonts w:cs="Times New Roman"/>
                <w:noProof/>
                <w:szCs w:val="24"/>
              </w:rPr>
              <w:t>.</w:t>
            </w:r>
          </w:p>
          <w:p w:rsidR="00FB7F75" w:rsidRPr="003D630A" w:rsidRDefault="00FB7F75" w:rsidP="00FB7F75">
            <w:pPr>
              <w:ind w:right="142"/>
              <w:jc w:val="both"/>
              <w:rPr>
                <w:rFonts w:eastAsia="Times New Roman" w:cs="DokChampa"/>
                <w:lang w:eastAsia="lv-LV"/>
              </w:rPr>
            </w:pPr>
            <w:r w:rsidRPr="003D630A">
              <w:rPr>
                <w:rFonts w:cs="Times New Roman"/>
                <w:noProof/>
                <w:szCs w:val="24"/>
              </w:rPr>
              <w:t xml:space="preserve">Saskaņā ar 2016. gada 27. septembra Ministru kabineta noteikumu Nr. 642 “Grozījumi Ministru kabineta 2013. gada 17. decembra noteikumos Nr. 1529 "Veselības aprūpes organizēšanas un finansēšanas kārtība"”grozījumiem 2017.gada un turpmāko budžetu ietekme plānota </w:t>
            </w:r>
            <w:r w:rsidRPr="003D630A">
              <w:rPr>
                <w:rFonts w:eastAsia="Times New Roman" w:cs="DokChampa"/>
                <w:lang w:eastAsia="lv-LV"/>
              </w:rPr>
              <w:t xml:space="preserve">4 295 660 </w:t>
            </w:r>
            <w:proofErr w:type="spellStart"/>
            <w:r w:rsidRPr="003D630A">
              <w:rPr>
                <w:rFonts w:eastAsia="Times New Roman" w:cs="DokChampa"/>
                <w:lang w:eastAsia="lv-LV"/>
              </w:rPr>
              <w:t>euro</w:t>
            </w:r>
            <w:proofErr w:type="spellEnd"/>
            <w:r w:rsidRPr="003D630A">
              <w:rPr>
                <w:rFonts w:eastAsia="Times New Roman" w:cs="DokChampa"/>
                <w:lang w:eastAsia="lv-LV"/>
              </w:rPr>
              <w:t xml:space="preserve"> apmērā. </w:t>
            </w:r>
            <w:r w:rsidRPr="003D630A">
              <w:rPr>
                <w:rFonts w:eastAsia="Times New Roman" w:cs="DokChampa"/>
                <w:szCs w:val="24"/>
                <w:lang w:eastAsia="lv-LV"/>
              </w:rPr>
              <w:t xml:space="preserve">Minētās noteikumu projekta izmaiņas </w:t>
            </w:r>
            <w:r w:rsidRPr="003D630A">
              <w:rPr>
                <w:rFonts w:eastAsia="Times New Roman" w:cs="DokChampa"/>
                <w:lang w:eastAsia="lv-LV"/>
              </w:rPr>
              <w:t>tika plānots finansēt esošo valsts budžeta līdzekļu ietvaros, rodot ietaupījumu no laboratorisko izmeklējumu finansēšanai paredzētajiem līdzekļiem 3 milj. apmērā, atlikušo summu finansējot atbalstītās JPI “</w:t>
            </w:r>
            <w:r w:rsidRPr="003D630A">
              <w:rPr>
                <w:rFonts w:eastAsia="Calibri"/>
                <w:noProof/>
                <w:szCs w:val="24"/>
              </w:rPr>
              <w:t>Rindu mazināšana uz ambulatorajiem un stacionārajiem veselības aprūpes pakalpojumiem</w:t>
            </w:r>
            <w:r w:rsidRPr="003D630A">
              <w:rPr>
                <w:rFonts w:eastAsia="Times New Roman" w:cs="DokChampa"/>
                <w:lang w:eastAsia="lv-LV"/>
              </w:rPr>
              <w:t>” ietvaros (</w:t>
            </w:r>
            <w:r w:rsidRPr="003D630A">
              <w:rPr>
                <w:rFonts w:eastAsia="Times New Roman" w:cs="Times New Roman"/>
                <w:noProof/>
                <w:szCs w:val="24"/>
                <w:lang w:eastAsia="lv-LV"/>
              </w:rPr>
              <w:t xml:space="preserve">Ministru kabineta 2016.gada 16.augusta Informatīvais ziņojums </w:t>
            </w:r>
            <w:r w:rsidRPr="003D630A">
              <w:rPr>
                <w:rFonts w:eastAsia="Times New Roman" w:cs="Times New Roman"/>
                <w:szCs w:val="24"/>
                <w:lang w:eastAsia="lv-LV"/>
              </w:rPr>
              <w:t xml:space="preserve">"Par priekšlikumiem valsts budžeta ieņēmumiem un izdevumiem 2017.gadam un ietvaram 2017.–2019.gadam" </w:t>
            </w:r>
            <w:r w:rsidRPr="003D630A">
              <w:rPr>
                <w:rFonts w:eastAsia="Times New Roman" w:cs="Times New Roman"/>
                <w:noProof/>
                <w:szCs w:val="24"/>
                <w:lang w:eastAsia="lv-LV"/>
              </w:rPr>
              <w:t>(protokols Nr.40, 59.§ 2.punkts)</w:t>
            </w:r>
            <w:r w:rsidRPr="003D630A">
              <w:rPr>
                <w:rFonts w:eastAsia="Times New Roman" w:cs="DokChampa"/>
                <w:lang w:eastAsia="lv-LV"/>
              </w:rPr>
              <w:t xml:space="preserve">.  </w:t>
            </w:r>
          </w:p>
          <w:p w:rsidR="00FB7F75" w:rsidRPr="003D630A" w:rsidRDefault="00FB7F75" w:rsidP="00FB7F75">
            <w:pPr>
              <w:ind w:right="142"/>
              <w:jc w:val="both"/>
              <w:rPr>
                <w:rFonts w:cs="Times New Roman"/>
                <w:noProof/>
                <w:szCs w:val="24"/>
              </w:rPr>
            </w:pPr>
            <w:r w:rsidRPr="003D630A">
              <w:rPr>
                <w:rFonts w:cs="Times New Roman"/>
                <w:noProof/>
                <w:szCs w:val="24"/>
              </w:rPr>
              <w:lastRenderedPageBreak/>
              <w:t>Atzīmējam, ka, ievērojot 2016.gada 30.augusta Ministru kabineta noteikumos Nr.574 “Grozījumi Ministru kabineta 2013. gada 17. decembra noteikumos Nr. 1529 "Veselības aprūpes organizēšanas un finansēšanas kārtība"”  izdarītos grozījumus, ar kuriem 2017.gadā un turpmāk no laboratorisko izmeklējumu ietaupījuma plānots segt 715 159 euro par N</w:t>
            </w:r>
            <w:proofErr w:type="spellStart"/>
            <w:r w:rsidRPr="003D630A">
              <w:rPr>
                <w:lang w:eastAsia="lv-LV"/>
              </w:rPr>
              <w:t>oteikumu</w:t>
            </w:r>
            <w:proofErr w:type="spellEnd"/>
            <w:r w:rsidRPr="003D630A">
              <w:rPr>
                <w:lang w:eastAsia="lv-LV"/>
              </w:rPr>
              <w:t xml:space="preserve"> projekta 1.17.-1.22.,1.24.-1.28., 1.30., 1.37., 1.49. apakšpunktu</w:t>
            </w:r>
            <w:r w:rsidRPr="003D630A">
              <w:rPr>
                <w:rFonts w:cs="Times New Roman"/>
                <w:noProof/>
                <w:szCs w:val="24"/>
              </w:rPr>
              <w:t xml:space="preserve">, plānotais pieejamais (vēl izmantojamais) ietaupījums no laboratoriskajiem izmeklējumiem  bija 2 284 841 euro. Līdz ar to no JPI </w:t>
            </w:r>
            <w:r w:rsidRPr="003D630A">
              <w:rPr>
                <w:szCs w:val="24"/>
                <w:lang w:eastAsia="lv-LV"/>
              </w:rPr>
              <w:t>“</w:t>
            </w:r>
            <w:r w:rsidRPr="003D630A">
              <w:rPr>
                <w:rFonts w:eastAsia="Calibri"/>
                <w:noProof/>
                <w:szCs w:val="24"/>
              </w:rPr>
              <w:t>Rindu mazināšana uz speciālistu pakalpojumiem ambulatorajā veselības aprūpē</w:t>
            </w:r>
            <w:r w:rsidRPr="003D630A">
              <w:rPr>
                <w:szCs w:val="24"/>
                <w:lang w:eastAsia="lv-LV"/>
              </w:rPr>
              <w:t xml:space="preserve">” un “Gaidīšanas rindu mazināšana plānveida stacionārajā veselības aprūpē” plānots novirzīt 2 010 819 </w:t>
            </w:r>
            <w:proofErr w:type="spellStart"/>
            <w:r w:rsidRPr="003D630A">
              <w:rPr>
                <w:szCs w:val="24"/>
                <w:lang w:eastAsia="lv-LV"/>
              </w:rPr>
              <w:t>euro</w:t>
            </w:r>
            <w:proofErr w:type="spellEnd"/>
            <w:r w:rsidRPr="003D630A">
              <w:rPr>
                <w:szCs w:val="24"/>
                <w:lang w:eastAsia="lv-LV"/>
              </w:rPr>
              <w:t>.</w:t>
            </w:r>
          </w:p>
          <w:p w:rsidR="00FB7F75" w:rsidRPr="003D630A" w:rsidRDefault="00FB7F75" w:rsidP="00FB7F75">
            <w:pPr>
              <w:ind w:right="142"/>
              <w:jc w:val="both"/>
              <w:rPr>
                <w:rFonts w:cs="Times New Roman"/>
                <w:noProof/>
                <w:szCs w:val="24"/>
              </w:rPr>
            </w:pPr>
            <w:r w:rsidRPr="003D630A">
              <w:rPr>
                <w:rFonts w:cs="Times New Roman"/>
                <w:noProof/>
                <w:szCs w:val="24"/>
              </w:rPr>
              <w:t>Lai īstenotu augstākminēto plānota finansējuma pārvirze:</w:t>
            </w:r>
          </w:p>
          <w:p w:rsidR="00FB7F75" w:rsidRPr="003D630A" w:rsidRDefault="00FB7F75" w:rsidP="00FB7F75">
            <w:pPr>
              <w:pStyle w:val="ListParagraph"/>
              <w:numPr>
                <w:ilvl w:val="0"/>
                <w:numId w:val="8"/>
              </w:numPr>
              <w:ind w:right="142"/>
              <w:jc w:val="both"/>
              <w:rPr>
                <w:rFonts w:cs="Times New Roman"/>
                <w:noProof/>
                <w:szCs w:val="24"/>
              </w:rPr>
            </w:pPr>
            <w:r w:rsidRPr="003D630A">
              <w:rPr>
                <w:rFonts w:cs="Times New Roman"/>
                <w:noProof/>
                <w:szCs w:val="24"/>
              </w:rPr>
              <w:t xml:space="preserve">Onkoloģijas jomā plānoto primāro algoritmu un speciālistu konsultāciju pieauguma 2 010 816 euro apmērā finansēšanu </w:t>
            </w:r>
            <w:r w:rsidRPr="003D630A">
              <w:rPr>
                <w:rFonts w:cs="Times New Roman"/>
                <w:noProof/>
                <w:szCs w:val="24"/>
                <w:lang w:eastAsia="lv-LV"/>
              </w:rPr>
              <w:t>plānots pārvirzīt</w:t>
            </w:r>
            <w:r w:rsidRPr="003D630A">
              <w:rPr>
                <w:rFonts w:cs="Times New Roman"/>
                <w:noProof/>
                <w:szCs w:val="24"/>
              </w:rPr>
              <w:t xml:space="preserve"> no atbalstītās JPI </w:t>
            </w:r>
            <w:r w:rsidRPr="003D630A">
              <w:rPr>
                <w:szCs w:val="24"/>
                <w:lang w:eastAsia="lv-LV"/>
              </w:rPr>
              <w:t>“</w:t>
            </w:r>
            <w:r w:rsidRPr="003D630A">
              <w:rPr>
                <w:rFonts w:eastAsia="Calibri"/>
                <w:noProof/>
                <w:szCs w:val="24"/>
              </w:rPr>
              <w:t>Rindu mazināšana uz speciālistu pakalpojumiem ambulatorajā veselības aprūpē</w:t>
            </w:r>
            <w:r w:rsidRPr="003D630A">
              <w:rPr>
                <w:szCs w:val="24"/>
                <w:lang w:eastAsia="lv-LV"/>
              </w:rPr>
              <w:t>” un “Gaidīšanas rindu mazināšana plānveida stacionārajā veselības aprūpē”</w:t>
            </w:r>
            <w:r w:rsidRPr="003D630A">
              <w:rPr>
                <w:rFonts w:cs="Times New Roman"/>
                <w:noProof/>
                <w:szCs w:val="24"/>
              </w:rPr>
              <w:t xml:space="preserve"> (</w:t>
            </w:r>
            <w:r w:rsidRPr="003D630A">
              <w:rPr>
                <w:rFonts w:cs="Times New Roman"/>
                <w:noProof/>
                <w:szCs w:val="24"/>
                <w:lang w:eastAsia="lv-LV"/>
              </w:rPr>
              <w:t xml:space="preserve">Ministru kabineta 2016.gada 16.augusta Informatīvā ziņojuma </w:t>
            </w:r>
            <w:r w:rsidRPr="003D630A">
              <w:rPr>
                <w:rFonts w:cs="Times New Roman"/>
                <w:szCs w:val="24"/>
                <w:lang w:eastAsia="lv-LV"/>
              </w:rPr>
              <w:t xml:space="preserve">"Par priekšlikumiem valsts budžeta ieņēmumiem un izdevumiem 2017.gadam un ietvaram 2017.–2019.gadam" </w:t>
            </w:r>
            <w:r w:rsidRPr="003D630A">
              <w:rPr>
                <w:rFonts w:cs="Times New Roman"/>
                <w:noProof/>
                <w:szCs w:val="24"/>
                <w:lang w:eastAsia="lv-LV"/>
              </w:rPr>
              <w:t xml:space="preserve">(protokols Nr.40, 59.§ 2.punkts),  to finansējot no </w:t>
            </w:r>
            <w:r w:rsidRPr="003D630A">
              <w:rPr>
                <w:rFonts w:cs="Times New Roman"/>
                <w:color w:val="000000" w:themeColor="text1"/>
                <w:szCs w:val="24"/>
              </w:rPr>
              <w:t xml:space="preserve">74.resora "Gadskārtējā valsts budžeta izpildes procesā pārdalāmais finansējums" 2017.gadam rezervētā finansējuma 34 324 450 </w:t>
            </w:r>
            <w:proofErr w:type="spellStart"/>
            <w:r w:rsidRPr="003D630A">
              <w:rPr>
                <w:rFonts w:cs="Times New Roman"/>
                <w:color w:val="000000" w:themeColor="text1"/>
                <w:szCs w:val="24"/>
              </w:rPr>
              <w:t>euro</w:t>
            </w:r>
            <w:proofErr w:type="spellEnd"/>
            <w:r w:rsidRPr="003D630A">
              <w:rPr>
                <w:rFonts w:cs="Times New Roman"/>
                <w:color w:val="000000" w:themeColor="text1"/>
                <w:szCs w:val="24"/>
              </w:rPr>
              <w:t xml:space="preserve"> apmērā  veselības nozares reformu īstenošanai saskaņā ar  </w:t>
            </w:r>
            <w:r w:rsidRPr="003D630A">
              <w:rPr>
                <w:rFonts w:cs="Times New Roman"/>
                <w:noProof/>
                <w:szCs w:val="24"/>
              </w:rPr>
              <w:t>Ministru kabineta 2016.gada 11.oktobra protokola Nr.52, 50.§  2.2.punktu. Radot iespēju 2016.gada 16.augusta papildus piešķīrumu novirzīt citu veselības aprūpes pakalpojumu pieejamības uzlabošanai.</w:t>
            </w:r>
          </w:p>
          <w:p w:rsidR="00FB7F75" w:rsidRPr="003D630A" w:rsidRDefault="00FB7F75" w:rsidP="00FB7F75">
            <w:pPr>
              <w:pStyle w:val="ListParagraph"/>
              <w:numPr>
                <w:ilvl w:val="0"/>
                <w:numId w:val="8"/>
              </w:numPr>
              <w:ind w:right="142"/>
              <w:jc w:val="both"/>
              <w:rPr>
                <w:rFonts w:cs="Times New Roman"/>
                <w:noProof/>
                <w:szCs w:val="24"/>
              </w:rPr>
            </w:pPr>
            <w:r w:rsidRPr="003D630A">
              <w:rPr>
                <w:rFonts w:cs="Times New Roman"/>
                <w:noProof/>
                <w:szCs w:val="24"/>
              </w:rPr>
              <w:t xml:space="preserve">Onkoloģijas jomā plānoto primāro algoritmu pieauguma 138 968 euro apmērā finansēšanu plānots pārvirzīt no kopējā laboratorisko izmeklējumu ietaupījuma, to </w:t>
            </w:r>
            <w:r w:rsidRPr="003D630A">
              <w:rPr>
                <w:rFonts w:cs="Times New Roman"/>
                <w:noProof/>
                <w:szCs w:val="24"/>
                <w:lang w:eastAsia="lv-LV"/>
              </w:rPr>
              <w:t xml:space="preserve">finansējot no </w:t>
            </w:r>
            <w:r w:rsidRPr="003D630A">
              <w:rPr>
                <w:rFonts w:cs="Times New Roman"/>
                <w:color w:val="000000" w:themeColor="text1"/>
                <w:szCs w:val="24"/>
              </w:rPr>
              <w:t xml:space="preserve">74.resora "Gadskārtējā valsts budžeta izpildes procesā pārdalāmais finansējums" 2017.gadam rezervētā finansējuma 34 324 450 </w:t>
            </w:r>
            <w:proofErr w:type="spellStart"/>
            <w:r w:rsidRPr="003D630A">
              <w:rPr>
                <w:rFonts w:cs="Times New Roman"/>
                <w:color w:val="000000" w:themeColor="text1"/>
                <w:szCs w:val="24"/>
              </w:rPr>
              <w:t>euro</w:t>
            </w:r>
            <w:proofErr w:type="spellEnd"/>
            <w:r w:rsidRPr="003D630A">
              <w:rPr>
                <w:rFonts w:cs="Times New Roman"/>
                <w:color w:val="000000" w:themeColor="text1"/>
                <w:szCs w:val="24"/>
              </w:rPr>
              <w:t xml:space="preserve"> apmērā  veselības nozares reformu īstenošanai saskaņā ar  </w:t>
            </w:r>
            <w:r w:rsidRPr="003D630A">
              <w:rPr>
                <w:rFonts w:cs="Times New Roman"/>
                <w:noProof/>
                <w:szCs w:val="24"/>
              </w:rPr>
              <w:t>Ministru kabineta 2016.gada 11.oktobra protokola Nr.52, 50.§  2.2.punktu. Radot iespēju ietaupījumu no laboratoriskajiem izmeklējumiem novirzīt citu veselības aprūpes pakalpojumu pieejamības uzlabošanai.</w:t>
            </w:r>
          </w:p>
          <w:p w:rsidR="00FB7F75" w:rsidRPr="00F47544" w:rsidRDefault="00FB7F75" w:rsidP="00FB7F75">
            <w:pPr>
              <w:ind w:right="142"/>
              <w:jc w:val="both"/>
              <w:rPr>
                <w:rFonts w:cs="Times New Roman"/>
                <w:noProof/>
                <w:szCs w:val="24"/>
              </w:rPr>
            </w:pPr>
          </w:p>
          <w:p w:rsidR="00E810D3" w:rsidRPr="00E810D3" w:rsidRDefault="00FB7F75" w:rsidP="00FB7F75">
            <w:pPr>
              <w:ind w:right="142"/>
              <w:jc w:val="both"/>
              <w:rPr>
                <w:rFonts w:cs="Times New Roman"/>
                <w:szCs w:val="24"/>
                <w:lang w:eastAsia="lv-LV"/>
              </w:rPr>
            </w:pPr>
            <w:r w:rsidRPr="003D630A">
              <w:rPr>
                <w:rFonts w:cs="Times New Roman"/>
                <w:noProof/>
                <w:szCs w:val="24"/>
              </w:rPr>
              <w:t>Kopējais laboratorisko izmekējumu ietaupījums 2016.gadā pēc Nacionālā veselības dienesta aktualizētās informācijas uz 8.decembri ir 4 252 869 euro, plānojot, ka ietaupījums 2017.gadā saglabāsies esošajā apmērā, 2017.gadā plānoti 88 582 euro Bērnu klīniskās universitātes slimnīcas interešu izglītības nodrošināšanai, 715 159 euro palielinātam speciālistu skaitam, kuri ir tiesīgi izsniegt nosūtījumu, tajā skaitā ģimenes ārsti, manipulācija 40016 iekļauta asins ainā, palielināts tarifs pilnai asins ainai, papildināts izmeklējumu skaits ar bioloģisko medikamentu terapiju + ģimenes ārstu aiziešanas pensijā gadījumā pabalstu izmaksa praksē nodarbinātajām personām, 2 145 873 primārai veselības aprūpei (ģimenes ārstiem), 203 395 plānojot izmantot citām aktivitātēm (šobrīd netiek virzītas izmaiņas noteikumos). Līdz ar minēto plānots no laboratorisko izmeklējumu ietaupījuma finansēt dzemdību tarifu pieaugumu 1 099 860 euro apmērā.</w:t>
            </w:r>
          </w:p>
        </w:tc>
      </w:tr>
      <w:tr w:rsidR="00E810D3"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eastAsia="Times New Roman" w:cs="Times New Roman"/>
                <w:szCs w:val="24"/>
                <w:lang w:eastAsia="lv-LV"/>
              </w:rPr>
            </w:pPr>
            <w:r w:rsidRPr="006D1F1C">
              <w:rPr>
                <w:rFonts w:eastAsia="Times New Roman" w:cs="Times New Roman"/>
                <w:szCs w:val="24"/>
                <w:lang w:eastAsia="lv-LV"/>
              </w:rPr>
              <w:t>6.1. detalizēts ieņēmumu aprēķins</w:t>
            </w:r>
          </w:p>
        </w:tc>
        <w:tc>
          <w:tcPr>
            <w:tcW w:w="4166" w:type="pct"/>
            <w:gridSpan w:val="5"/>
            <w:vMerge/>
            <w:tcBorders>
              <w:top w:val="outset" w:sz="6" w:space="0" w:color="auto"/>
              <w:left w:val="outset" w:sz="6" w:space="0" w:color="auto"/>
              <w:bottom w:val="outset" w:sz="6" w:space="0" w:color="auto"/>
              <w:right w:val="outset" w:sz="6" w:space="0" w:color="auto"/>
            </w:tcBorders>
            <w:vAlign w:val="center"/>
            <w:hideMark/>
          </w:tcPr>
          <w:p w:rsidR="00E810D3" w:rsidRPr="002929D5" w:rsidRDefault="00E810D3" w:rsidP="004325FC">
            <w:pPr>
              <w:rPr>
                <w:rFonts w:eastAsia="Times New Roman" w:cs="Times New Roman"/>
                <w:strike/>
                <w:szCs w:val="24"/>
                <w:lang w:eastAsia="lv-LV"/>
              </w:rPr>
            </w:pPr>
          </w:p>
        </w:tc>
      </w:tr>
      <w:tr w:rsidR="00E810D3" w:rsidRPr="006D1F1C" w:rsidTr="00E105A2">
        <w:trPr>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eastAsia="Times New Roman" w:cs="Times New Roman"/>
                <w:szCs w:val="24"/>
                <w:lang w:eastAsia="lv-LV"/>
              </w:rPr>
            </w:pPr>
            <w:r w:rsidRPr="006D1F1C">
              <w:rPr>
                <w:rFonts w:eastAsia="Times New Roman" w:cs="Times New Roman"/>
                <w:szCs w:val="24"/>
                <w:lang w:eastAsia="lv-LV"/>
              </w:rPr>
              <w:t>6.2. detalizēts izdevumu aprēķins</w:t>
            </w:r>
          </w:p>
        </w:tc>
        <w:tc>
          <w:tcPr>
            <w:tcW w:w="4166" w:type="pct"/>
            <w:gridSpan w:val="5"/>
            <w:vMerge/>
            <w:tcBorders>
              <w:top w:val="outset" w:sz="6" w:space="0" w:color="auto"/>
              <w:left w:val="outset" w:sz="6" w:space="0" w:color="auto"/>
              <w:bottom w:val="outset" w:sz="6" w:space="0" w:color="auto"/>
              <w:right w:val="outset" w:sz="6" w:space="0" w:color="auto"/>
            </w:tcBorders>
            <w:vAlign w:val="center"/>
            <w:hideMark/>
          </w:tcPr>
          <w:p w:rsidR="00E810D3" w:rsidRPr="002929D5" w:rsidRDefault="00E810D3" w:rsidP="004325FC">
            <w:pPr>
              <w:rPr>
                <w:rFonts w:eastAsia="Times New Roman" w:cs="Times New Roman"/>
                <w:strike/>
                <w:szCs w:val="24"/>
                <w:lang w:eastAsia="lv-LV"/>
              </w:rPr>
            </w:pPr>
          </w:p>
        </w:tc>
      </w:tr>
      <w:tr w:rsidR="00E810D3" w:rsidRPr="006D1F1C" w:rsidTr="00E105A2">
        <w:trPr>
          <w:trHeight w:val="555"/>
          <w:jc w:val="center"/>
        </w:trPr>
        <w:tc>
          <w:tcPr>
            <w:tcW w:w="834" w:type="pct"/>
            <w:tcBorders>
              <w:top w:val="outset" w:sz="6" w:space="0" w:color="auto"/>
              <w:left w:val="outset" w:sz="6" w:space="0" w:color="auto"/>
              <w:bottom w:val="outset" w:sz="6" w:space="0" w:color="auto"/>
              <w:right w:val="outset" w:sz="6" w:space="0" w:color="auto"/>
            </w:tcBorders>
            <w:hideMark/>
          </w:tcPr>
          <w:p w:rsidR="00E810D3" w:rsidRPr="006D1F1C" w:rsidRDefault="00E810D3" w:rsidP="004325FC">
            <w:pPr>
              <w:rPr>
                <w:rFonts w:eastAsia="Times New Roman" w:cs="Times New Roman"/>
                <w:szCs w:val="24"/>
                <w:lang w:eastAsia="lv-LV"/>
              </w:rPr>
            </w:pPr>
            <w:r w:rsidRPr="006D1F1C">
              <w:rPr>
                <w:rFonts w:eastAsia="Times New Roman" w:cs="Times New Roman"/>
                <w:szCs w:val="24"/>
                <w:lang w:eastAsia="lv-LV"/>
              </w:rPr>
              <w:lastRenderedPageBreak/>
              <w:t>7. Cita informācija</w:t>
            </w:r>
          </w:p>
        </w:tc>
        <w:tc>
          <w:tcPr>
            <w:tcW w:w="4166" w:type="pct"/>
            <w:gridSpan w:val="5"/>
            <w:tcBorders>
              <w:top w:val="outset" w:sz="6" w:space="0" w:color="auto"/>
              <w:left w:val="outset" w:sz="6" w:space="0" w:color="auto"/>
              <w:bottom w:val="outset" w:sz="6" w:space="0" w:color="auto"/>
              <w:right w:val="outset" w:sz="6" w:space="0" w:color="auto"/>
            </w:tcBorders>
            <w:hideMark/>
          </w:tcPr>
          <w:p w:rsidR="00E810D3" w:rsidRPr="002929D5" w:rsidRDefault="00E810D3" w:rsidP="00872765">
            <w:pPr>
              <w:ind w:right="142"/>
              <w:jc w:val="both"/>
              <w:rPr>
                <w:rFonts w:eastAsia="Times New Roman" w:cs="Times New Roman"/>
                <w:strike/>
                <w:szCs w:val="24"/>
                <w:lang w:eastAsia="lv-LV"/>
              </w:rPr>
            </w:pPr>
            <w:r w:rsidRPr="0099389F">
              <w:t>Pārējās izmaiņas tiks finansētas esošo valsts budžeta līdzekļu ietvaros</w:t>
            </w:r>
          </w:p>
        </w:tc>
      </w:tr>
    </w:tbl>
    <w:p w:rsidR="004325FC" w:rsidRDefault="004325FC"/>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049"/>
        <w:gridCol w:w="6789"/>
      </w:tblGrid>
      <w:tr w:rsidR="00DC27EA" w:rsidRPr="00857BA9" w:rsidTr="00C421D8">
        <w:tc>
          <w:tcPr>
            <w:tcW w:w="5000" w:type="pct"/>
            <w:gridSpan w:val="3"/>
          </w:tcPr>
          <w:p w:rsidR="00DC27EA" w:rsidRPr="00857BA9" w:rsidRDefault="00DC27EA" w:rsidP="004213D9">
            <w:pPr>
              <w:jc w:val="center"/>
            </w:pPr>
            <w:r w:rsidRPr="00857BA9">
              <w:rPr>
                <w:b/>
                <w:bCs/>
              </w:rPr>
              <w:t>VI. Sabiedrības līdzdalība un komunikācijas aktivitātes</w:t>
            </w:r>
          </w:p>
        </w:tc>
      </w:tr>
      <w:tr w:rsidR="00DC27EA" w:rsidRPr="00A90D50" w:rsidTr="00C421D8">
        <w:tc>
          <w:tcPr>
            <w:tcW w:w="397" w:type="pct"/>
          </w:tcPr>
          <w:p w:rsidR="00DC27EA" w:rsidRPr="00857BA9" w:rsidRDefault="00DC27EA" w:rsidP="004213D9">
            <w:r w:rsidRPr="00857BA9">
              <w:t>1.</w:t>
            </w:r>
          </w:p>
        </w:tc>
        <w:tc>
          <w:tcPr>
            <w:tcW w:w="1067" w:type="pct"/>
          </w:tcPr>
          <w:p w:rsidR="00DC27EA" w:rsidRPr="00857BA9" w:rsidRDefault="00DC27EA" w:rsidP="004213D9">
            <w:r w:rsidRPr="00857BA9">
              <w:t>Plānotās sabiedrības līdzdalības un komunikācijas aktivitātes saistībā ar projektu</w:t>
            </w:r>
          </w:p>
        </w:tc>
        <w:tc>
          <w:tcPr>
            <w:tcW w:w="3535" w:type="pct"/>
          </w:tcPr>
          <w:p w:rsidR="00DC27EA" w:rsidRPr="004D5766" w:rsidRDefault="00C10DBC" w:rsidP="004213D9">
            <w:pPr>
              <w:rPr>
                <w:highlight w:val="yellow"/>
              </w:rPr>
            </w:pPr>
            <w:r w:rsidRPr="00C10DBC">
              <w:t>Nav.</w:t>
            </w:r>
          </w:p>
        </w:tc>
      </w:tr>
      <w:tr w:rsidR="00DC27EA" w:rsidRPr="00A90D50" w:rsidTr="00C421D8">
        <w:tc>
          <w:tcPr>
            <w:tcW w:w="397" w:type="pct"/>
          </w:tcPr>
          <w:p w:rsidR="00DC27EA" w:rsidRPr="00857BA9" w:rsidRDefault="00DC27EA" w:rsidP="004213D9">
            <w:r w:rsidRPr="00857BA9">
              <w:t>2.</w:t>
            </w:r>
          </w:p>
        </w:tc>
        <w:tc>
          <w:tcPr>
            <w:tcW w:w="1067" w:type="pct"/>
          </w:tcPr>
          <w:p w:rsidR="00DC27EA" w:rsidRPr="00857BA9" w:rsidRDefault="00DC27EA" w:rsidP="004213D9">
            <w:r w:rsidRPr="00857BA9">
              <w:t>Sabiedrības līdzdalība projekta izstrādē</w:t>
            </w:r>
          </w:p>
        </w:tc>
        <w:tc>
          <w:tcPr>
            <w:tcW w:w="3535" w:type="pct"/>
          </w:tcPr>
          <w:p w:rsidR="00DC27EA" w:rsidRPr="004D5766" w:rsidRDefault="00F918FB" w:rsidP="00AA1916">
            <w:pPr>
              <w:jc w:val="both"/>
            </w:pPr>
            <w:r>
              <w:rPr>
                <w:bCs/>
                <w:szCs w:val="24"/>
              </w:rPr>
              <w:t>Nacionālais veselības dienests 2016. gada 9. novembrī rīkoja diskusiju par onkoloģisko slimību diagnostiku specializētās ārstniecības iestādēs, kurā piedalījās dienesta pārstāvji un nozares speciālisti.</w:t>
            </w:r>
          </w:p>
        </w:tc>
      </w:tr>
      <w:tr w:rsidR="00DC27EA" w:rsidRPr="00A90D50" w:rsidTr="00C421D8">
        <w:tc>
          <w:tcPr>
            <w:tcW w:w="397" w:type="pct"/>
          </w:tcPr>
          <w:p w:rsidR="00DC27EA" w:rsidRPr="00857BA9" w:rsidRDefault="00DC27EA" w:rsidP="004213D9">
            <w:r w:rsidRPr="00857BA9">
              <w:t>3.</w:t>
            </w:r>
          </w:p>
        </w:tc>
        <w:tc>
          <w:tcPr>
            <w:tcW w:w="1067" w:type="pct"/>
          </w:tcPr>
          <w:p w:rsidR="00DC27EA" w:rsidRPr="00857BA9" w:rsidRDefault="00DC27EA" w:rsidP="004213D9">
            <w:r w:rsidRPr="00857BA9">
              <w:t>Sabiedrības līdzdalības rezultāti</w:t>
            </w:r>
          </w:p>
        </w:tc>
        <w:tc>
          <w:tcPr>
            <w:tcW w:w="3535" w:type="pct"/>
          </w:tcPr>
          <w:p w:rsidR="00DC27EA" w:rsidRPr="00A90D50" w:rsidRDefault="00460217" w:rsidP="004213D9">
            <w:r>
              <w:t xml:space="preserve">Priekšlikumus </w:t>
            </w:r>
            <w:r>
              <w:rPr>
                <w:rFonts w:cs="Times New Roman"/>
                <w:color w:val="000000" w:themeColor="text1"/>
                <w:szCs w:val="24"/>
              </w:rPr>
              <w:t xml:space="preserve">ļaundabīgo audzēju sekundārai diagnostikai sagatavoja nozares speciālisti prof. </w:t>
            </w:r>
            <w:proofErr w:type="spellStart"/>
            <w:r>
              <w:rPr>
                <w:rFonts w:cs="Times New Roman"/>
                <w:color w:val="000000" w:themeColor="text1"/>
                <w:szCs w:val="24"/>
              </w:rPr>
              <w:t>D.Baltiņas</w:t>
            </w:r>
            <w:proofErr w:type="spellEnd"/>
            <w:r>
              <w:rPr>
                <w:rFonts w:cs="Times New Roman"/>
                <w:color w:val="000000" w:themeColor="text1"/>
                <w:szCs w:val="24"/>
              </w:rPr>
              <w:t xml:space="preserve"> vadībā.</w:t>
            </w:r>
          </w:p>
        </w:tc>
      </w:tr>
      <w:tr w:rsidR="00DC27EA" w:rsidRPr="00857BA9" w:rsidTr="00C421D8">
        <w:tc>
          <w:tcPr>
            <w:tcW w:w="397" w:type="pct"/>
          </w:tcPr>
          <w:p w:rsidR="00DC27EA" w:rsidRPr="00857BA9" w:rsidRDefault="00DC27EA" w:rsidP="004213D9">
            <w:r w:rsidRPr="00857BA9">
              <w:t>4.</w:t>
            </w:r>
          </w:p>
        </w:tc>
        <w:tc>
          <w:tcPr>
            <w:tcW w:w="1067" w:type="pct"/>
          </w:tcPr>
          <w:p w:rsidR="00DC27EA" w:rsidRPr="00857BA9" w:rsidRDefault="00DC27EA" w:rsidP="004213D9">
            <w:r w:rsidRPr="00857BA9">
              <w:t>Cita informācija</w:t>
            </w:r>
          </w:p>
        </w:tc>
        <w:tc>
          <w:tcPr>
            <w:tcW w:w="3535" w:type="pct"/>
          </w:tcPr>
          <w:p w:rsidR="00DC27EA" w:rsidRPr="00857BA9" w:rsidRDefault="00AF5893" w:rsidP="004213D9">
            <w:r>
              <w:t>Nav.</w:t>
            </w:r>
          </w:p>
        </w:tc>
      </w:tr>
    </w:tbl>
    <w:p w:rsidR="00DC27EA" w:rsidRDefault="00DC27EA"/>
    <w:tbl>
      <w:tblPr>
        <w:tblW w:w="4980" w:type="pct"/>
        <w:jc w:val="center"/>
        <w:tblInd w:w="-3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95"/>
        <w:gridCol w:w="3520"/>
        <w:gridCol w:w="5044"/>
      </w:tblGrid>
      <w:tr w:rsidR="00DC27EA" w:rsidRPr="006D1F1C" w:rsidTr="00790486">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DC27EA" w:rsidRPr="006D1F1C" w:rsidRDefault="00DC27EA" w:rsidP="004213D9">
            <w:pPr>
              <w:spacing w:before="75" w:after="75"/>
              <w:rPr>
                <w:rFonts w:eastAsia="Times New Roman" w:cs="Times New Roman"/>
                <w:szCs w:val="24"/>
                <w:lang w:eastAsia="lv-LV"/>
              </w:rPr>
            </w:pPr>
            <w:r w:rsidRPr="00DD3994">
              <w:rPr>
                <w:rFonts w:eastAsia="Times New Roman" w:cs="Times New Roman"/>
                <w:b/>
                <w:bCs/>
                <w:szCs w:val="24"/>
                <w:lang w:eastAsia="lv-LV"/>
              </w:rPr>
              <w:t>VII. Tiesību akta projekta izpildes nodrošināšana un tās ietekme uz institūcijām</w:t>
            </w:r>
          </w:p>
        </w:tc>
      </w:tr>
      <w:tr w:rsidR="00DC27EA" w:rsidRPr="006D1F1C" w:rsidTr="00790486">
        <w:trPr>
          <w:trHeight w:val="420"/>
          <w:jc w:val="center"/>
        </w:trPr>
        <w:tc>
          <w:tcPr>
            <w:tcW w:w="567"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1.</w:t>
            </w:r>
          </w:p>
        </w:tc>
        <w:tc>
          <w:tcPr>
            <w:tcW w:w="1822"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Projekta izpildē iesaistītās institūcijas</w:t>
            </w:r>
          </w:p>
        </w:tc>
        <w:tc>
          <w:tcPr>
            <w:tcW w:w="2612" w:type="pct"/>
            <w:tcBorders>
              <w:top w:val="outset" w:sz="6" w:space="0" w:color="auto"/>
              <w:left w:val="outset" w:sz="6" w:space="0" w:color="auto"/>
              <w:bottom w:val="outset" w:sz="6" w:space="0" w:color="auto"/>
              <w:right w:val="outset" w:sz="6" w:space="0" w:color="auto"/>
            </w:tcBorders>
            <w:hideMark/>
          </w:tcPr>
          <w:p w:rsidR="00DC27EA" w:rsidRPr="006D1F1C" w:rsidRDefault="009D270E" w:rsidP="009D270E">
            <w:pPr>
              <w:rPr>
                <w:rFonts w:eastAsia="Times New Roman" w:cs="Times New Roman"/>
                <w:szCs w:val="24"/>
                <w:lang w:eastAsia="lv-LV"/>
              </w:rPr>
            </w:pPr>
            <w:r>
              <w:rPr>
                <w:rFonts w:eastAsia="Times New Roman" w:cs="Times New Roman"/>
                <w:szCs w:val="24"/>
                <w:lang w:eastAsia="lv-LV"/>
              </w:rPr>
              <w:t xml:space="preserve">Nacionālais veselības dienests </w:t>
            </w:r>
            <w:r w:rsidR="003F0EC0" w:rsidRPr="00806B85">
              <w:rPr>
                <w:rFonts w:eastAsia="Times New Roman" w:cs="Times New Roman"/>
                <w:szCs w:val="24"/>
                <w:lang w:eastAsia="lv-LV"/>
              </w:rPr>
              <w:t>VISA „Bērnu klīniskā universitātes slimnīca” un Latvijas Zobārstu asociācija.</w:t>
            </w:r>
          </w:p>
        </w:tc>
      </w:tr>
      <w:tr w:rsidR="00DC27EA" w:rsidRPr="006D1F1C" w:rsidTr="00790486">
        <w:trPr>
          <w:trHeight w:val="450"/>
          <w:jc w:val="center"/>
        </w:trPr>
        <w:tc>
          <w:tcPr>
            <w:tcW w:w="567"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2.</w:t>
            </w:r>
          </w:p>
        </w:tc>
        <w:tc>
          <w:tcPr>
            <w:tcW w:w="1822"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 xml:space="preserve">Projekta izpildes ietekme uz pārvaldes funkcijām un institucionālo struktūru. </w:t>
            </w:r>
          </w:p>
          <w:p w:rsidR="00DC27EA" w:rsidRPr="006D1F1C" w:rsidRDefault="00DC27EA" w:rsidP="004213D9">
            <w:pPr>
              <w:spacing w:before="75" w:after="75"/>
              <w:rPr>
                <w:rFonts w:eastAsia="Times New Roman" w:cs="Times New Roman"/>
                <w:szCs w:val="24"/>
                <w:lang w:eastAsia="lv-LV"/>
              </w:rPr>
            </w:pPr>
            <w:r w:rsidRPr="006D1F1C">
              <w:rPr>
                <w:rFonts w:eastAsia="Times New Roman" w:cs="Times New Roman"/>
                <w:szCs w:val="24"/>
                <w:lang w:eastAsia="lv-LV"/>
              </w:rPr>
              <w:t>Jaunu institūciju izveide, esošu institūciju likvidācija vai reorganizācija, to ietekme uz institūcijas cilvēkresursiem</w:t>
            </w:r>
          </w:p>
        </w:tc>
        <w:tc>
          <w:tcPr>
            <w:tcW w:w="2612"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spacing w:before="75" w:after="75"/>
              <w:rPr>
                <w:rFonts w:eastAsia="Times New Roman" w:cs="Times New Roman"/>
                <w:szCs w:val="24"/>
                <w:lang w:eastAsia="lv-LV"/>
              </w:rPr>
            </w:pPr>
            <w:r>
              <w:rPr>
                <w:rFonts w:eastAsia="Times New Roman" w:cs="Times New Roman"/>
                <w:szCs w:val="24"/>
                <w:lang w:eastAsia="lv-LV"/>
              </w:rPr>
              <w:t>Nav.</w:t>
            </w:r>
          </w:p>
        </w:tc>
      </w:tr>
      <w:tr w:rsidR="00DC27EA" w:rsidRPr="006D1F1C" w:rsidTr="00790486">
        <w:trPr>
          <w:trHeight w:val="390"/>
          <w:jc w:val="center"/>
        </w:trPr>
        <w:tc>
          <w:tcPr>
            <w:tcW w:w="567"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3.</w:t>
            </w:r>
          </w:p>
        </w:tc>
        <w:tc>
          <w:tcPr>
            <w:tcW w:w="1822"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Cita informācija</w:t>
            </w:r>
          </w:p>
        </w:tc>
        <w:tc>
          <w:tcPr>
            <w:tcW w:w="2612" w:type="pct"/>
            <w:tcBorders>
              <w:top w:val="outset" w:sz="6" w:space="0" w:color="auto"/>
              <w:left w:val="outset" w:sz="6" w:space="0" w:color="auto"/>
              <w:bottom w:val="outset" w:sz="6" w:space="0" w:color="auto"/>
              <w:right w:val="outset" w:sz="6" w:space="0" w:color="auto"/>
            </w:tcBorders>
            <w:hideMark/>
          </w:tcPr>
          <w:p w:rsidR="00DC27EA" w:rsidRPr="006D1F1C" w:rsidRDefault="00DC27EA" w:rsidP="004213D9">
            <w:pPr>
              <w:spacing w:before="75" w:after="75"/>
              <w:rPr>
                <w:rFonts w:eastAsia="Times New Roman" w:cs="Times New Roman"/>
                <w:szCs w:val="24"/>
                <w:lang w:eastAsia="lv-LV"/>
              </w:rPr>
            </w:pPr>
            <w:r w:rsidRPr="006D1F1C">
              <w:rPr>
                <w:rFonts w:eastAsia="Times New Roman" w:cs="Times New Roman"/>
                <w:szCs w:val="24"/>
                <w:lang w:eastAsia="lv-LV"/>
              </w:rPr>
              <w:t>Nav.</w:t>
            </w:r>
          </w:p>
        </w:tc>
      </w:tr>
    </w:tbl>
    <w:p w:rsidR="00DC27EA" w:rsidRDefault="00DC27EA" w:rsidP="00DC27EA">
      <w:pPr>
        <w:spacing w:after="480"/>
        <w:contextualSpacing/>
        <w:rPr>
          <w:rFonts w:cs="Times New Roman"/>
        </w:rPr>
      </w:pPr>
      <w:r w:rsidRPr="00DD3994">
        <w:rPr>
          <w:rFonts w:cs="Times New Roman"/>
          <w:szCs w:val="24"/>
        </w:rPr>
        <w:t>Anotācijas</w:t>
      </w:r>
      <w:r>
        <w:rPr>
          <w:rFonts w:cs="Times New Roman"/>
          <w:szCs w:val="24"/>
        </w:rPr>
        <w:t xml:space="preserve">, IV un V sadaļa </w:t>
      </w:r>
      <w:r w:rsidRPr="00DD3994">
        <w:rPr>
          <w:rFonts w:cs="Times New Roman"/>
          <w:szCs w:val="24"/>
        </w:rPr>
        <w:t xml:space="preserve">– </w:t>
      </w:r>
      <w:r w:rsidRPr="00DD3994">
        <w:rPr>
          <w:rFonts w:cs="Times New Roman"/>
        </w:rPr>
        <w:t>Projekts šīs jomas neskar.</w:t>
      </w:r>
    </w:p>
    <w:p w:rsidR="00DC27EA" w:rsidRDefault="00DC27EA" w:rsidP="00DC27EA">
      <w:pPr>
        <w:spacing w:after="480"/>
        <w:contextualSpacing/>
        <w:rPr>
          <w:rFonts w:cs="Times New Roman"/>
        </w:rPr>
      </w:pPr>
    </w:p>
    <w:p w:rsidR="00DC27EA" w:rsidRPr="00DD3994" w:rsidRDefault="00DC27EA" w:rsidP="00DC27EA">
      <w:pPr>
        <w:spacing w:after="480"/>
        <w:contextualSpacing/>
        <w:rPr>
          <w:rFonts w:cs="Times New Roman"/>
        </w:rPr>
      </w:pPr>
    </w:p>
    <w:p w:rsidR="00DC27EA" w:rsidRDefault="00DC27EA" w:rsidP="004D5766">
      <w:pPr>
        <w:tabs>
          <w:tab w:val="right" w:pos="9638"/>
        </w:tabs>
        <w:spacing w:after="720"/>
        <w:ind w:right="-766"/>
        <w:contextualSpacing/>
        <w:rPr>
          <w:rFonts w:eastAsia="Calibri" w:cs="Times New Roman"/>
          <w:sz w:val="28"/>
          <w:szCs w:val="28"/>
        </w:rPr>
      </w:pPr>
      <w:r w:rsidRPr="00D21DB0">
        <w:rPr>
          <w:rFonts w:eastAsia="Calibri" w:cs="Times New Roman"/>
          <w:sz w:val="28"/>
          <w:szCs w:val="28"/>
        </w:rPr>
        <w:t>Veselības ministr</w:t>
      </w:r>
      <w:r w:rsidR="004D5766">
        <w:rPr>
          <w:rFonts w:eastAsia="Calibri" w:cs="Times New Roman"/>
          <w:sz w:val="28"/>
          <w:szCs w:val="28"/>
        </w:rPr>
        <w:t>e</w:t>
      </w:r>
      <w:r w:rsidR="004D5766">
        <w:rPr>
          <w:rFonts w:eastAsia="Calibri" w:cs="Times New Roman"/>
          <w:sz w:val="28"/>
          <w:szCs w:val="28"/>
        </w:rPr>
        <w:tab/>
        <w:t>Anda Čakša</w:t>
      </w:r>
      <w:r>
        <w:rPr>
          <w:rFonts w:eastAsia="Calibri" w:cs="Times New Roman"/>
          <w:sz w:val="28"/>
          <w:szCs w:val="28"/>
        </w:rPr>
        <w:tab/>
      </w:r>
    </w:p>
    <w:p w:rsidR="00DC27EA" w:rsidRPr="00CF0941" w:rsidRDefault="00DC27EA" w:rsidP="00DC27EA">
      <w:pPr>
        <w:tabs>
          <w:tab w:val="left" w:pos="7230"/>
          <w:tab w:val="right" w:pos="9072"/>
        </w:tabs>
        <w:spacing w:after="720"/>
        <w:ind w:right="-766"/>
        <w:contextualSpacing/>
        <w:rPr>
          <w:rFonts w:eastAsia="Calibri" w:cs="Times New Roman"/>
          <w:sz w:val="48"/>
          <w:szCs w:val="28"/>
        </w:rPr>
      </w:pPr>
    </w:p>
    <w:p w:rsidR="009D270E" w:rsidRPr="00E810D3" w:rsidRDefault="00DC27EA" w:rsidP="00E810D3">
      <w:pPr>
        <w:tabs>
          <w:tab w:val="right" w:pos="9639"/>
        </w:tabs>
        <w:ind w:right="-1"/>
        <w:contextualSpacing/>
        <w:rPr>
          <w:rFonts w:eastAsia="Calibri" w:cs="Times New Roman"/>
          <w:sz w:val="28"/>
          <w:szCs w:val="28"/>
        </w:rPr>
      </w:pPr>
      <w:r w:rsidRPr="00B174DE">
        <w:rPr>
          <w:rFonts w:eastAsia="Calibri" w:cs="Times New Roman"/>
          <w:sz w:val="28"/>
          <w:szCs w:val="28"/>
        </w:rPr>
        <w:t>Vīza: Valsts sekretār</w:t>
      </w:r>
      <w:r w:rsidR="00A35FFF">
        <w:rPr>
          <w:rFonts w:eastAsia="Calibri" w:cs="Times New Roman"/>
          <w:sz w:val="28"/>
          <w:szCs w:val="28"/>
        </w:rPr>
        <w:t>s</w:t>
      </w:r>
      <w:r>
        <w:rPr>
          <w:rFonts w:eastAsia="Calibri" w:cs="Times New Roman"/>
          <w:sz w:val="28"/>
          <w:szCs w:val="28"/>
        </w:rPr>
        <w:tab/>
      </w:r>
      <w:r w:rsidR="00A35FFF">
        <w:rPr>
          <w:rFonts w:eastAsia="Calibri" w:cs="Times New Roman"/>
          <w:sz w:val="28"/>
          <w:szCs w:val="28"/>
        </w:rPr>
        <w:t>Kārlis</w:t>
      </w:r>
      <w:r>
        <w:rPr>
          <w:rFonts w:eastAsia="Calibri" w:cs="Times New Roman"/>
          <w:sz w:val="28"/>
          <w:szCs w:val="28"/>
        </w:rPr>
        <w:t xml:space="preserve"> </w:t>
      </w:r>
      <w:proofErr w:type="spellStart"/>
      <w:r w:rsidR="00A35FFF">
        <w:rPr>
          <w:rFonts w:eastAsia="Calibri" w:cs="Times New Roman"/>
          <w:sz w:val="28"/>
          <w:szCs w:val="28"/>
        </w:rPr>
        <w:t>Ketners</w:t>
      </w:r>
      <w:proofErr w:type="spellEnd"/>
    </w:p>
    <w:p w:rsidR="009D270E" w:rsidRDefault="009D270E" w:rsidP="00A62706">
      <w:pPr>
        <w:spacing w:after="200" w:line="276" w:lineRule="auto"/>
        <w:contextualSpacing/>
        <w:rPr>
          <w:rFonts w:eastAsia="Times New Roman" w:cs="Times New Roman"/>
          <w:sz w:val="20"/>
          <w:szCs w:val="20"/>
          <w:lang w:eastAsia="lv-LV"/>
        </w:rPr>
      </w:pPr>
    </w:p>
    <w:p w:rsidR="00946525" w:rsidRDefault="00946525" w:rsidP="00DC27EA">
      <w:pPr>
        <w:ind w:right="-3228"/>
        <w:contextualSpacing/>
        <w:rPr>
          <w:rFonts w:eastAsia="Calibri" w:cs="Times New Roman"/>
          <w:sz w:val="20"/>
          <w:szCs w:val="20"/>
        </w:rPr>
      </w:pPr>
    </w:p>
    <w:p w:rsidR="00F77F77" w:rsidRDefault="00F77F77" w:rsidP="00DC27EA">
      <w:pPr>
        <w:ind w:right="-3228"/>
        <w:contextualSpacing/>
        <w:rPr>
          <w:rFonts w:eastAsia="Calibri" w:cs="Times New Roman"/>
          <w:sz w:val="20"/>
          <w:szCs w:val="20"/>
        </w:rPr>
      </w:pPr>
    </w:p>
    <w:p w:rsidR="00F77F77" w:rsidRDefault="00F77F77" w:rsidP="00DC27EA">
      <w:pPr>
        <w:ind w:right="-3228"/>
        <w:contextualSpacing/>
        <w:rPr>
          <w:rFonts w:eastAsia="Calibri" w:cs="Times New Roman"/>
          <w:sz w:val="20"/>
          <w:szCs w:val="20"/>
        </w:rPr>
      </w:pPr>
    </w:p>
    <w:p w:rsidR="00F77F77" w:rsidRDefault="00F77F77" w:rsidP="00DC27EA">
      <w:pPr>
        <w:ind w:right="-3228"/>
        <w:contextualSpacing/>
        <w:rPr>
          <w:rFonts w:eastAsia="Calibri" w:cs="Times New Roman"/>
          <w:sz w:val="20"/>
          <w:szCs w:val="20"/>
        </w:rPr>
      </w:pPr>
    </w:p>
    <w:p w:rsidR="00F77F77" w:rsidRDefault="00F77F77" w:rsidP="00DC27EA">
      <w:pPr>
        <w:ind w:right="-3228"/>
        <w:contextualSpacing/>
        <w:rPr>
          <w:rFonts w:eastAsia="Calibri" w:cs="Times New Roman"/>
          <w:sz w:val="20"/>
          <w:szCs w:val="20"/>
        </w:rPr>
      </w:pPr>
    </w:p>
    <w:p w:rsidR="00DC27EA" w:rsidRPr="00FA23FD" w:rsidRDefault="00DC27EA" w:rsidP="00DC27EA">
      <w:pPr>
        <w:ind w:right="-3228"/>
        <w:contextualSpacing/>
        <w:rPr>
          <w:rFonts w:eastAsia="Times New Roman" w:cs="Times New Roman"/>
          <w:sz w:val="20"/>
          <w:lang w:eastAsia="lv-LV"/>
        </w:rPr>
      </w:pPr>
      <w:proofErr w:type="spellStart"/>
      <w:r w:rsidRPr="00FA23FD">
        <w:rPr>
          <w:rFonts w:eastAsia="Calibri" w:cs="Times New Roman"/>
          <w:sz w:val="20"/>
          <w:szCs w:val="20"/>
        </w:rPr>
        <w:t>Bless</w:t>
      </w:r>
      <w:proofErr w:type="spellEnd"/>
      <w:r w:rsidR="00A35FFF">
        <w:rPr>
          <w:rFonts w:eastAsia="Calibri" w:cs="Times New Roman"/>
          <w:sz w:val="20"/>
          <w:szCs w:val="20"/>
        </w:rPr>
        <w:t>,</w:t>
      </w:r>
      <w:r w:rsidRPr="00FA23FD">
        <w:rPr>
          <w:rFonts w:eastAsia="Calibri" w:cs="Times New Roman"/>
          <w:sz w:val="20"/>
          <w:szCs w:val="20"/>
        </w:rPr>
        <w:t xml:space="preserve"> </w:t>
      </w:r>
      <w:bookmarkStart w:id="5" w:name="OLE_LINK5"/>
      <w:r w:rsidRPr="00FA23FD">
        <w:rPr>
          <w:rFonts w:eastAsia="Times New Roman" w:cs="Times New Roman"/>
          <w:sz w:val="20"/>
          <w:lang w:eastAsia="lv-LV"/>
        </w:rPr>
        <w:t>67876122</w:t>
      </w:r>
    </w:p>
    <w:p w:rsidR="00A35FFF" w:rsidRDefault="00A471F0" w:rsidP="00DC27EA">
      <w:pPr>
        <w:ind w:right="-3228"/>
        <w:contextualSpacing/>
      </w:pPr>
      <w:hyperlink r:id="rId8" w:history="1">
        <w:r w:rsidR="00A35FFF" w:rsidRPr="00DB49B2">
          <w:rPr>
            <w:rStyle w:val="Hyperlink"/>
            <w:rFonts w:eastAsia="Times New Roman" w:cs="Times New Roman"/>
            <w:sz w:val="20"/>
            <w:lang w:eastAsia="lv-LV"/>
          </w:rPr>
          <w:t>alvis.bless@vm.gov.lv</w:t>
        </w:r>
      </w:hyperlink>
    </w:p>
    <w:bookmarkEnd w:id="5"/>
    <w:p w:rsidR="00E810D3" w:rsidRDefault="00E810D3" w:rsidP="00E810D3">
      <w:pPr>
        <w:spacing w:after="200" w:line="276" w:lineRule="auto"/>
        <w:contextualSpacing/>
        <w:rPr>
          <w:rFonts w:eastAsia="Times New Roman" w:cs="Times New Roman"/>
          <w:sz w:val="20"/>
          <w:szCs w:val="20"/>
          <w:lang w:eastAsia="lv-LV"/>
        </w:rPr>
      </w:pPr>
      <w:r>
        <w:rPr>
          <w:rFonts w:eastAsia="Times New Roman" w:cs="Times New Roman"/>
          <w:sz w:val="20"/>
          <w:szCs w:val="20"/>
          <w:lang w:eastAsia="lv-LV"/>
        </w:rPr>
        <w:t>Strazdiņa</w:t>
      </w:r>
      <w:r w:rsidR="00A35FFF">
        <w:rPr>
          <w:rFonts w:eastAsia="Times New Roman" w:cs="Times New Roman"/>
          <w:sz w:val="20"/>
          <w:szCs w:val="20"/>
          <w:lang w:eastAsia="lv-LV"/>
        </w:rPr>
        <w:t>,</w:t>
      </w:r>
      <w:r>
        <w:rPr>
          <w:rFonts w:eastAsia="Times New Roman" w:cs="Times New Roman"/>
          <w:sz w:val="20"/>
          <w:szCs w:val="20"/>
          <w:lang w:eastAsia="lv-LV"/>
        </w:rPr>
        <w:t xml:space="preserve"> 67876042</w:t>
      </w:r>
    </w:p>
    <w:p w:rsidR="00A35FFF" w:rsidRPr="00A35FFF" w:rsidRDefault="00A471F0" w:rsidP="00E810D3">
      <w:pPr>
        <w:spacing w:after="200" w:line="276" w:lineRule="auto"/>
        <w:contextualSpacing/>
      </w:pPr>
      <w:hyperlink r:id="rId9" w:history="1">
        <w:r w:rsidR="00A35FFF" w:rsidRPr="00DB49B2">
          <w:rPr>
            <w:rStyle w:val="Hyperlink"/>
            <w:rFonts w:eastAsia="Times New Roman" w:cs="Times New Roman"/>
            <w:sz w:val="20"/>
            <w:szCs w:val="20"/>
            <w:lang w:eastAsia="lv-LV"/>
          </w:rPr>
          <w:t>anda.strazdina@vm.gov.lv</w:t>
        </w:r>
      </w:hyperlink>
    </w:p>
    <w:p w:rsidR="00DC27EA" w:rsidRPr="00FA23FD" w:rsidRDefault="00DC27EA" w:rsidP="00DC27EA">
      <w:pPr>
        <w:ind w:right="-3228"/>
        <w:contextualSpacing/>
        <w:rPr>
          <w:rFonts w:eastAsia="Times New Roman" w:cs="Times New Roman"/>
          <w:sz w:val="20"/>
          <w:lang w:eastAsia="lv-LV"/>
        </w:rPr>
      </w:pPr>
      <w:r w:rsidRPr="00FA23FD">
        <w:rPr>
          <w:rFonts w:eastAsia="Times New Roman" w:cs="Times New Roman"/>
          <w:sz w:val="20"/>
          <w:lang w:eastAsia="lv-LV"/>
        </w:rPr>
        <w:t>Reinika</w:t>
      </w:r>
      <w:r w:rsidR="00A35FFF">
        <w:rPr>
          <w:rFonts w:eastAsia="Times New Roman" w:cs="Times New Roman"/>
          <w:sz w:val="20"/>
          <w:lang w:eastAsia="lv-LV"/>
        </w:rPr>
        <w:t>,</w:t>
      </w:r>
      <w:r w:rsidRPr="00FA23FD">
        <w:rPr>
          <w:rFonts w:eastAsia="Times New Roman" w:cs="Times New Roman"/>
          <w:sz w:val="20"/>
          <w:lang w:eastAsia="lv-LV"/>
        </w:rPr>
        <w:t xml:space="preserve"> 67043780</w:t>
      </w:r>
    </w:p>
    <w:p w:rsidR="00DC27EA" w:rsidRDefault="00A471F0" w:rsidP="00DC27EA">
      <w:pPr>
        <w:ind w:right="-3228"/>
        <w:contextualSpacing/>
        <w:rPr>
          <w:rFonts w:eastAsia="Times New Roman" w:cs="Times New Roman"/>
          <w:sz w:val="20"/>
          <w:lang w:eastAsia="lv-LV"/>
        </w:rPr>
      </w:pPr>
      <w:hyperlink r:id="rId10" w:history="1">
        <w:r w:rsidR="00A35FFF" w:rsidRPr="00DB49B2">
          <w:rPr>
            <w:rStyle w:val="Hyperlink"/>
            <w:rFonts w:eastAsia="Times New Roman" w:cs="Times New Roman"/>
            <w:sz w:val="20"/>
            <w:lang w:eastAsia="lv-LV"/>
          </w:rPr>
          <w:t>alda.reinika@vmnvd.gov.lv</w:t>
        </w:r>
      </w:hyperlink>
    </w:p>
    <w:sectPr w:rsidR="00DC27EA" w:rsidSect="00C422DE">
      <w:headerReference w:type="default" r:id="rId11"/>
      <w:footerReference w:type="default" r:id="rId12"/>
      <w:footerReference w:type="first" r:id="rId13"/>
      <w:pgSz w:w="11906" w:h="16838"/>
      <w:pgMar w:top="1418" w:right="1134" w:bottom="1134" w:left="1134"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BC2" w:rsidRDefault="00554BC2" w:rsidP="00993C26">
      <w:r>
        <w:separator/>
      </w:r>
    </w:p>
  </w:endnote>
  <w:endnote w:type="continuationSeparator" w:id="0">
    <w:p w:rsidR="00554BC2" w:rsidRDefault="00554BC2" w:rsidP="00993C26">
      <w:r>
        <w:continuationSeparator/>
      </w:r>
    </w:p>
  </w:endnote>
  <w:endnote w:type="continuationNotice" w:id="1">
    <w:p w:rsidR="00554BC2" w:rsidRDefault="00554BC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DokChampa">
    <w:altName w:val="Arial Unicode MS"/>
    <w:charset w:val="00"/>
    <w:family w:val="swiss"/>
    <w:pitch w:val="variable"/>
    <w:sig w:usb0="0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C2" w:rsidRPr="007B4882" w:rsidRDefault="00554BC2" w:rsidP="007B4882">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F77F77">
      <w:rPr>
        <w:rFonts w:ascii="Times New Roman" w:hAnsi="Times New Roman" w:cs="Times New Roman"/>
        <w:sz w:val="20"/>
        <w:szCs w:val="24"/>
      </w:rPr>
      <w:t>13</w:t>
    </w:r>
    <w:r>
      <w:rPr>
        <w:rFonts w:ascii="Times New Roman" w:hAnsi="Times New Roman" w:cs="Times New Roman"/>
        <w:sz w:val="20"/>
        <w:szCs w:val="24"/>
      </w:rPr>
      <w:t>12</w:t>
    </w:r>
    <w:r w:rsidRPr="00126B31">
      <w:rPr>
        <w:rFonts w:ascii="Times New Roman" w:hAnsi="Times New Roman" w:cs="Times New Roman"/>
        <w:sz w:val="20"/>
        <w:szCs w:val="24"/>
      </w:rPr>
      <w:t>16</w:t>
    </w:r>
    <w:r w:rsidRPr="00993C26">
      <w:rPr>
        <w:rFonts w:ascii="Times New Roman" w:hAnsi="Times New Roman" w:cs="Times New Roman"/>
        <w:sz w:val="20"/>
        <w:szCs w:val="24"/>
      </w:rPr>
      <w:t>_not1529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C2" w:rsidRPr="005D1666" w:rsidRDefault="00554BC2" w:rsidP="005D1666">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BA28A8">
      <w:rPr>
        <w:rFonts w:ascii="Times New Roman" w:hAnsi="Times New Roman" w:cs="Times New Roman"/>
        <w:sz w:val="20"/>
        <w:szCs w:val="24"/>
      </w:rPr>
      <w:t>1</w:t>
    </w:r>
    <w:r w:rsidR="00F77F77">
      <w:rPr>
        <w:rFonts w:ascii="Times New Roman" w:hAnsi="Times New Roman" w:cs="Times New Roman"/>
        <w:sz w:val="20"/>
        <w:szCs w:val="24"/>
      </w:rPr>
      <w:t>3</w:t>
    </w:r>
    <w:r>
      <w:rPr>
        <w:rFonts w:ascii="Times New Roman" w:hAnsi="Times New Roman" w:cs="Times New Roman"/>
        <w:sz w:val="20"/>
        <w:szCs w:val="24"/>
      </w:rPr>
      <w:t>12</w:t>
    </w:r>
    <w:r w:rsidRPr="00126B31">
      <w:rPr>
        <w:rFonts w:ascii="Times New Roman" w:hAnsi="Times New Roman" w:cs="Times New Roman"/>
        <w:sz w:val="20"/>
        <w:szCs w:val="24"/>
      </w:rPr>
      <w:t>16</w:t>
    </w:r>
    <w:r w:rsidRPr="00993C26">
      <w:rPr>
        <w:rFonts w:ascii="Times New Roman" w:hAnsi="Times New Roman" w:cs="Times New Roman"/>
        <w:sz w:val="20"/>
        <w:szCs w:val="24"/>
      </w:rPr>
      <w:t>_not1529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BC2" w:rsidRDefault="00554BC2" w:rsidP="00993C26">
      <w:r>
        <w:separator/>
      </w:r>
    </w:p>
  </w:footnote>
  <w:footnote w:type="continuationSeparator" w:id="0">
    <w:p w:rsidR="00554BC2" w:rsidRDefault="00554BC2" w:rsidP="00993C26">
      <w:r>
        <w:continuationSeparator/>
      </w:r>
    </w:p>
  </w:footnote>
  <w:footnote w:type="continuationNotice" w:id="1">
    <w:p w:rsidR="00554BC2" w:rsidRDefault="00554BC2"/>
  </w:footnote>
  <w:footnote w:id="2">
    <w:p w:rsidR="00554BC2" w:rsidRPr="00DE6791" w:rsidRDefault="00554BC2" w:rsidP="00DE6791">
      <w:pPr>
        <w:pStyle w:val="FootnoteText"/>
        <w:jc w:val="both"/>
        <w:rPr>
          <w:rFonts w:ascii="Times New Roman" w:hAnsi="Times New Roman" w:cs="Times New Roman"/>
        </w:rPr>
      </w:pPr>
      <w:r w:rsidRPr="00DE6791">
        <w:rPr>
          <w:rStyle w:val="FootnoteReference"/>
          <w:rFonts w:ascii="Times New Roman" w:hAnsi="Times New Roman" w:cs="Times New Roman"/>
        </w:rPr>
        <w:footnoteRef/>
      </w:r>
      <w:r w:rsidRPr="00DE6791">
        <w:rPr>
          <w:rFonts w:ascii="Times New Roman" w:hAnsi="Times New Roman" w:cs="Times New Roman"/>
        </w:rPr>
        <w:t xml:space="preserve"> </w:t>
      </w:r>
      <w:proofErr w:type="spellStart"/>
      <w:r w:rsidRPr="00DE6791">
        <w:rPr>
          <w:rFonts w:ascii="Times New Roman" w:hAnsi="Times New Roman" w:cs="Times New Roman"/>
          <w:color w:val="000000"/>
          <w:shd w:val="clear" w:color="auto" w:fill="FFFFFF"/>
        </w:rPr>
        <w:t>Report</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on</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the</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practices</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of</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newborn</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screening</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for</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rare</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disorders</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implemented</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in</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Member</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States</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of</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the</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European</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Union</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Candidate</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Potential</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Candidate</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and</w:t>
      </w:r>
      <w:proofErr w:type="spellEnd"/>
      <w:r w:rsidRPr="00DE6791">
        <w:rPr>
          <w:rFonts w:ascii="Times New Roman" w:hAnsi="Times New Roman" w:cs="Times New Roman"/>
          <w:color w:val="000000"/>
          <w:shd w:val="clear" w:color="auto" w:fill="FFFFFF"/>
        </w:rPr>
        <w:t xml:space="preserve"> EFTA </w:t>
      </w:r>
      <w:proofErr w:type="spellStart"/>
      <w:r w:rsidRPr="00DE6791">
        <w:rPr>
          <w:rFonts w:ascii="Times New Roman" w:hAnsi="Times New Roman" w:cs="Times New Roman"/>
          <w:color w:val="000000"/>
          <w:shd w:val="clear" w:color="auto" w:fill="FFFFFF"/>
        </w:rPr>
        <w:t>countries</w:t>
      </w:r>
      <w:proofErr w:type="spellEnd"/>
      <w:r w:rsidRPr="00DE6791">
        <w:rPr>
          <w:rFonts w:ascii="Times New Roman" w:hAnsi="Times New Roman" w:cs="Times New Roman"/>
          <w:color w:val="000000"/>
          <w:shd w:val="clear" w:color="auto" w:fill="FFFFFF"/>
        </w:rPr>
        <w:t>;</w:t>
      </w:r>
      <w:r w:rsidRPr="00DE6791">
        <w:rPr>
          <w:rStyle w:val="apple-converted-space"/>
          <w:rFonts w:ascii="Times New Roman" w:hAnsi="Times New Roman" w:cs="Times New Roman"/>
          <w:color w:val="000000"/>
          <w:shd w:val="clear" w:color="auto" w:fill="FFFFFF"/>
        </w:rPr>
        <w:t> </w:t>
      </w:r>
      <w:proofErr w:type="spellStart"/>
      <w:r w:rsidRPr="00DE6791">
        <w:rPr>
          <w:rFonts w:ascii="Times New Roman" w:hAnsi="Times New Roman" w:cs="Times New Roman"/>
          <w:color w:val="000000"/>
          <w:shd w:val="clear" w:color="auto" w:fill="FFFFFF"/>
        </w:rPr>
        <w:t>Newborn</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screening</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in</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Europe</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Expert</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Opinion</w:t>
      </w:r>
      <w:proofErr w:type="spellEnd"/>
      <w:r w:rsidRPr="00DE6791">
        <w:rPr>
          <w:rFonts w:ascii="Times New Roman" w:hAnsi="Times New Roman" w:cs="Times New Roman"/>
          <w:color w:val="000000"/>
          <w:shd w:val="clear" w:color="auto" w:fill="FFFFFF"/>
        </w:rPr>
        <w:t xml:space="preserve"> </w:t>
      </w:r>
      <w:proofErr w:type="spellStart"/>
      <w:r w:rsidRPr="00DE6791">
        <w:rPr>
          <w:rFonts w:ascii="Times New Roman" w:hAnsi="Times New Roman" w:cs="Times New Roman"/>
          <w:color w:val="000000"/>
          <w:shd w:val="clear" w:color="auto" w:fill="FFFFFF"/>
        </w:rPr>
        <w:t>document</w:t>
      </w:r>
      <w:proofErr w:type="spellEnd"/>
      <w:r w:rsidRPr="00DE6791">
        <w:rPr>
          <w:rFonts w:ascii="Times New Roman" w:hAnsi="Times New Roman" w:cs="Times New Roman"/>
          <w:color w:val="000000"/>
          <w:shd w:val="clear" w:color="auto" w:fill="FFFFFF"/>
        </w:rPr>
        <w:t>, 2012.</w:t>
      </w:r>
    </w:p>
  </w:footnote>
  <w:footnote w:id="3">
    <w:p w:rsidR="00554BC2" w:rsidRPr="00DE6791" w:rsidRDefault="00554BC2" w:rsidP="007428A1">
      <w:pPr>
        <w:pStyle w:val="FootnoteText"/>
        <w:jc w:val="both"/>
        <w:rPr>
          <w:rFonts w:ascii="Times New Roman" w:hAnsi="Times New Roman" w:cs="Times New Roman"/>
        </w:rPr>
      </w:pPr>
      <w:r w:rsidRPr="00DE6791">
        <w:rPr>
          <w:rStyle w:val="FootnoteReference"/>
          <w:rFonts w:ascii="Times New Roman" w:hAnsi="Times New Roman" w:cs="Times New Roman"/>
        </w:rPr>
        <w:footnoteRef/>
      </w:r>
      <w:r w:rsidRPr="00DE6791">
        <w:rPr>
          <w:rFonts w:ascii="Times New Roman" w:hAnsi="Times New Roman" w:cs="Times New Roman"/>
        </w:rPr>
        <w:t xml:space="preserve"> </w:t>
      </w:r>
      <w:r w:rsidRPr="00DE6791">
        <w:rPr>
          <w:rFonts w:ascii="Times New Roman" w:hAnsi="Times New Roman" w:cs="Times New Roman"/>
          <w:bCs/>
        </w:rPr>
        <w:t>Mātes mirstība ir</w:t>
      </w:r>
      <w:r w:rsidRPr="00DE6791">
        <w:rPr>
          <w:rFonts w:ascii="Times New Roman" w:hAnsi="Times New Roman" w:cs="Times New Roman"/>
          <w:b/>
          <w:bCs/>
        </w:rPr>
        <w:t xml:space="preserve"> </w:t>
      </w:r>
      <w:r w:rsidRPr="00DE6791">
        <w:rPr>
          <w:rFonts w:ascii="Times New Roman" w:hAnsi="Times New Roman" w:cs="Times New Roman"/>
        </w:rPr>
        <w:t>mirušo sieviešu skaits grūtniecības laikā vai 42 dienās pēc grūtniecības izbeigšanās, neatkarīgi no grūtniecības ilguma un lokalizācijas tādu cēloņu dēļ, kas saistīti ar grūtniecību vai ko grūtniecība vai tās vadīšana pasliktinājusi, bet ne no nelaimes gadījuma vai nejaušības.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BC2" w:rsidRDefault="00A471F0">
    <w:pPr>
      <w:pStyle w:val="Header"/>
      <w:jc w:val="center"/>
    </w:pPr>
    <w:sdt>
      <w:sdtPr>
        <w:id w:val="1743541876"/>
        <w:docPartObj>
          <w:docPartGallery w:val="Page Numbers (Top of Page)"/>
          <w:docPartUnique/>
        </w:docPartObj>
      </w:sdtPr>
      <w:sdtContent>
        <w:r w:rsidRPr="00495F5A">
          <w:rPr>
            <w:rFonts w:ascii="Times New Roman" w:hAnsi="Times New Roman" w:cs="Times New Roman"/>
            <w:sz w:val="24"/>
          </w:rPr>
          <w:fldChar w:fldCharType="begin"/>
        </w:r>
        <w:r w:rsidR="00554BC2" w:rsidRPr="00495F5A">
          <w:rPr>
            <w:rFonts w:ascii="Times New Roman" w:hAnsi="Times New Roman" w:cs="Times New Roman"/>
            <w:sz w:val="24"/>
          </w:rPr>
          <w:instrText xml:space="preserve"> PAGE   \* MERGEFORMAT </w:instrText>
        </w:r>
        <w:r w:rsidRPr="00495F5A">
          <w:rPr>
            <w:rFonts w:ascii="Times New Roman" w:hAnsi="Times New Roman" w:cs="Times New Roman"/>
            <w:sz w:val="24"/>
          </w:rPr>
          <w:fldChar w:fldCharType="separate"/>
        </w:r>
        <w:r w:rsidR="00FB7F75">
          <w:rPr>
            <w:rFonts w:ascii="Times New Roman" w:hAnsi="Times New Roman" w:cs="Times New Roman"/>
            <w:noProof/>
            <w:sz w:val="24"/>
          </w:rPr>
          <w:t>21</w:t>
        </w:r>
        <w:r w:rsidRPr="00495F5A">
          <w:rPr>
            <w:rFonts w:ascii="Times New Roman" w:hAnsi="Times New Roman" w:cs="Times New Roman"/>
            <w:sz w:val="24"/>
          </w:rPr>
          <w:fldChar w:fldCharType="end"/>
        </w:r>
      </w:sdtContent>
    </w:sdt>
  </w:p>
  <w:p w:rsidR="00554BC2" w:rsidRDefault="00554B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D4F4C"/>
    <w:multiLevelType w:val="hybridMultilevel"/>
    <w:tmpl w:val="501CC134"/>
    <w:lvl w:ilvl="0" w:tplc="0778C54A">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1">
    <w:nsid w:val="3B9F0BC6"/>
    <w:multiLevelType w:val="hybridMultilevel"/>
    <w:tmpl w:val="F04EA7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DEE48E1"/>
    <w:multiLevelType w:val="hybridMultilevel"/>
    <w:tmpl w:val="23A275BE"/>
    <w:lvl w:ilvl="0" w:tplc="A8FC7B42">
      <w:start w:val="1"/>
      <w:numFmt w:val="decimal"/>
      <w:lvlText w:val="%1."/>
      <w:lvlJc w:val="left"/>
      <w:pPr>
        <w:ind w:left="786" w:hanging="360"/>
      </w:pPr>
      <w:rPr>
        <w:rFonts w:hint="default"/>
      </w:rPr>
    </w:lvl>
    <w:lvl w:ilvl="1" w:tplc="04260019" w:tentative="1">
      <w:start w:val="1"/>
      <w:numFmt w:val="lowerLetter"/>
      <w:lvlText w:val="%2."/>
      <w:lvlJc w:val="left"/>
      <w:pPr>
        <w:ind w:left="1416" w:hanging="360"/>
      </w:pPr>
    </w:lvl>
    <w:lvl w:ilvl="2" w:tplc="0426001B" w:tentative="1">
      <w:start w:val="1"/>
      <w:numFmt w:val="lowerRoman"/>
      <w:lvlText w:val="%3."/>
      <w:lvlJc w:val="right"/>
      <w:pPr>
        <w:ind w:left="2136" w:hanging="180"/>
      </w:pPr>
    </w:lvl>
    <w:lvl w:ilvl="3" w:tplc="0426000F" w:tentative="1">
      <w:start w:val="1"/>
      <w:numFmt w:val="decimal"/>
      <w:lvlText w:val="%4."/>
      <w:lvlJc w:val="left"/>
      <w:pPr>
        <w:ind w:left="2856" w:hanging="360"/>
      </w:pPr>
    </w:lvl>
    <w:lvl w:ilvl="4" w:tplc="04260019" w:tentative="1">
      <w:start w:val="1"/>
      <w:numFmt w:val="lowerLetter"/>
      <w:lvlText w:val="%5."/>
      <w:lvlJc w:val="left"/>
      <w:pPr>
        <w:ind w:left="3576" w:hanging="360"/>
      </w:pPr>
    </w:lvl>
    <w:lvl w:ilvl="5" w:tplc="0426001B" w:tentative="1">
      <w:start w:val="1"/>
      <w:numFmt w:val="lowerRoman"/>
      <w:lvlText w:val="%6."/>
      <w:lvlJc w:val="right"/>
      <w:pPr>
        <w:ind w:left="4296" w:hanging="180"/>
      </w:pPr>
    </w:lvl>
    <w:lvl w:ilvl="6" w:tplc="0426000F" w:tentative="1">
      <w:start w:val="1"/>
      <w:numFmt w:val="decimal"/>
      <w:lvlText w:val="%7."/>
      <w:lvlJc w:val="left"/>
      <w:pPr>
        <w:ind w:left="5016" w:hanging="360"/>
      </w:pPr>
    </w:lvl>
    <w:lvl w:ilvl="7" w:tplc="04260019" w:tentative="1">
      <w:start w:val="1"/>
      <w:numFmt w:val="lowerLetter"/>
      <w:lvlText w:val="%8."/>
      <w:lvlJc w:val="left"/>
      <w:pPr>
        <w:ind w:left="5736" w:hanging="360"/>
      </w:pPr>
    </w:lvl>
    <w:lvl w:ilvl="8" w:tplc="0426001B" w:tentative="1">
      <w:start w:val="1"/>
      <w:numFmt w:val="lowerRoman"/>
      <w:lvlText w:val="%9."/>
      <w:lvlJc w:val="right"/>
      <w:pPr>
        <w:ind w:left="6456" w:hanging="180"/>
      </w:pPr>
    </w:lvl>
  </w:abstractNum>
  <w:abstractNum w:abstractNumId="3">
    <w:nsid w:val="61302800"/>
    <w:multiLevelType w:val="hybridMultilevel"/>
    <w:tmpl w:val="1130E1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A9221AB"/>
    <w:multiLevelType w:val="hybridMultilevel"/>
    <w:tmpl w:val="7108B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C913AF1"/>
    <w:multiLevelType w:val="hybridMultilevel"/>
    <w:tmpl w:val="94F04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6AB4539"/>
    <w:multiLevelType w:val="hybridMultilevel"/>
    <w:tmpl w:val="44FA8D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a Strazdiņa">
    <w15:presenceInfo w15:providerId="AD" w15:userId="S-1-5-21-845712077-409477922-3010365362-1643"/>
  </w15:person>
  <w15:person w15:author="Dace Siņkovska">
    <w15:presenceInfo w15:providerId="None" w15:userId="Dace Siņkov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rsids>
    <w:rsidRoot w:val="00993C26"/>
    <w:rsid w:val="00004067"/>
    <w:rsid w:val="00010760"/>
    <w:rsid w:val="0001186B"/>
    <w:rsid w:val="0002177F"/>
    <w:rsid w:val="00021B37"/>
    <w:rsid w:val="00027A3F"/>
    <w:rsid w:val="00032F0E"/>
    <w:rsid w:val="00032FB5"/>
    <w:rsid w:val="00033399"/>
    <w:rsid w:val="00035E5E"/>
    <w:rsid w:val="0004383B"/>
    <w:rsid w:val="00045FBA"/>
    <w:rsid w:val="00056971"/>
    <w:rsid w:val="00060225"/>
    <w:rsid w:val="00061402"/>
    <w:rsid w:val="00065083"/>
    <w:rsid w:val="00085D40"/>
    <w:rsid w:val="000926F2"/>
    <w:rsid w:val="000C0C85"/>
    <w:rsid w:val="000D3AA9"/>
    <w:rsid w:val="000D7FF2"/>
    <w:rsid w:val="000E0041"/>
    <w:rsid w:val="000F48A7"/>
    <w:rsid w:val="00111C6B"/>
    <w:rsid w:val="0011210D"/>
    <w:rsid w:val="0011252C"/>
    <w:rsid w:val="00126B31"/>
    <w:rsid w:val="00132AE4"/>
    <w:rsid w:val="00132BBB"/>
    <w:rsid w:val="0013591D"/>
    <w:rsid w:val="00151CD2"/>
    <w:rsid w:val="0016558D"/>
    <w:rsid w:val="00177942"/>
    <w:rsid w:val="00184E62"/>
    <w:rsid w:val="001909AE"/>
    <w:rsid w:val="00194F57"/>
    <w:rsid w:val="001A00E1"/>
    <w:rsid w:val="001A0484"/>
    <w:rsid w:val="001A653C"/>
    <w:rsid w:val="001B0E85"/>
    <w:rsid w:val="001B7A9C"/>
    <w:rsid w:val="001C0B36"/>
    <w:rsid w:val="001C2309"/>
    <w:rsid w:val="001C6AD8"/>
    <w:rsid w:val="001C7C46"/>
    <w:rsid w:val="001C7DC4"/>
    <w:rsid w:val="001D1B24"/>
    <w:rsid w:val="001D4E37"/>
    <w:rsid w:val="001E4456"/>
    <w:rsid w:val="001E4EE1"/>
    <w:rsid w:val="001E6272"/>
    <w:rsid w:val="001F17AA"/>
    <w:rsid w:val="001F274A"/>
    <w:rsid w:val="002108D0"/>
    <w:rsid w:val="002202BB"/>
    <w:rsid w:val="00222AE2"/>
    <w:rsid w:val="00224304"/>
    <w:rsid w:val="002304A5"/>
    <w:rsid w:val="00231F53"/>
    <w:rsid w:val="00241A8F"/>
    <w:rsid w:val="00251A65"/>
    <w:rsid w:val="00256E5A"/>
    <w:rsid w:val="002620A5"/>
    <w:rsid w:val="0026289A"/>
    <w:rsid w:val="00271872"/>
    <w:rsid w:val="00275CEA"/>
    <w:rsid w:val="00280254"/>
    <w:rsid w:val="00281D7A"/>
    <w:rsid w:val="00291B4A"/>
    <w:rsid w:val="002929D5"/>
    <w:rsid w:val="00296954"/>
    <w:rsid w:val="002A6C6D"/>
    <w:rsid w:val="002B4B53"/>
    <w:rsid w:val="002D218F"/>
    <w:rsid w:val="002D28E5"/>
    <w:rsid w:val="002D2A34"/>
    <w:rsid w:val="002D3DCA"/>
    <w:rsid w:val="002D59FB"/>
    <w:rsid w:val="002D636D"/>
    <w:rsid w:val="002D6D78"/>
    <w:rsid w:val="002E46B6"/>
    <w:rsid w:val="002E4935"/>
    <w:rsid w:val="002F29E7"/>
    <w:rsid w:val="002F3C5A"/>
    <w:rsid w:val="002F5F24"/>
    <w:rsid w:val="002F77E8"/>
    <w:rsid w:val="003122E2"/>
    <w:rsid w:val="00313C8C"/>
    <w:rsid w:val="00313DB6"/>
    <w:rsid w:val="00316B7B"/>
    <w:rsid w:val="003179E5"/>
    <w:rsid w:val="00320BF1"/>
    <w:rsid w:val="00325DDE"/>
    <w:rsid w:val="00331ECF"/>
    <w:rsid w:val="00332C8F"/>
    <w:rsid w:val="00334EF6"/>
    <w:rsid w:val="00361982"/>
    <w:rsid w:val="00366897"/>
    <w:rsid w:val="00375AB9"/>
    <w:rsid w:val="00375B4C"/>
    <w:rsid w:val="003817ED"/>
    <w:rsid w:val="00382602"/>
    <w:rsid w:val="00386200"/>
    <w:rsid w:val="003917CC"/>
    <w:rsid w:val="0039282E"/>
    <w:rsid w:val="003B3566"/>
    <w:rsid w:val="003C0EF9"/>
    <w:rsid w:val="003C6024"/>
    <w:rsid w:val="003D488F"/>
    <w:rsid w:val="003D4A84"/>
    <w:rsid w:val="003D5646"/>
    <w:rsid w:val="003D669F"/>
    <w:rsid w:val="003E17B1"/>
    <w:rsid w:val="003E2110"/>
    <w:rsid w:val="003F0EC0"/>
    <w:rsid w:val="003F165E"/>
    <w:rsid w:val="003F653C"/>
    <w:rsid w:val="0040154A"/>
    <w:rsid w:val="004020B4"/>
    <w:rsid w:val="0040246D"/>
    <w:rsid w:val="004076A7"/>
    <w:rsid w:val="004163B0"/>
    <w:rsid w:val="0041665B"/>
    <w:rsid w:val="00416A21"/>
    <w:rsid w:val="004213D9"/>
    <w:rsid w:val="004230E5"/>
    <w:rsid w:val="0043106A"/>
    <w:rsid w:val="004325FC"/>
    <w:rsid w:val="00434313"/>
    <w:rsid w:val="00435BE4"/>
    <w:rsid w:val="004408AB"/>
    <w:rsid w:val="00444C31"/>
    <w:rsid w:val="00450993"/>
    <w:rsid w:val="00452B8F"/>
    <w:rsid w:val="004548B6"/>
    <w:rsid w:val="004559A4"/>
    <w:rsid w:val="004564E2"/>
    <w:rsid w:val="00460217"/>
    <w:rsid w:val="004603E9"/>
    <w:rsid w:val="00460646"/>
    <w:rsid w:val="004674EA"/>
    <w:rsid w:val="00472C61"/>
    <w:rsid w:val="004914E9"/>
    <w:rsid w:val="00495F5A"/>
    <w:rsid w:val="004A1E63"/>
    <w:rsid w:val="004B020B"/>
    <w:rsid w:val="004B6AE5"/>
    <w:rsid w:val="004D5766"/>
    <w:rsid w:val="004D67D7"/>
    <w:rsid w:val="004E1A58"/>
    <w:rsid w:val="004E5D74"/>
    <w:rsid w:val="004E6DA4"/>
    <w:rsid w:val="004F3A3F"/>
    <w:rsid w:val="004F6220"/>
    <w:rsid w:val="00507ADB"/>
    <w:rsid w:val="0051536D"/>
    <w:rsid w:val="00517361"/>
    <w:rsid w:val="00522FBC"/>
    <w:rsid w:val="005245D5"/>
    <w:rsid w:val="005417B4"/>
    <w:rsid w:val="005507EA"/>
    <w:rsid w:val="00554BC2"/>
    <w:rsid w:val="00555C01"/>
    <w:rsid w:val="005617A7"/>
    <w:rsid w:val="00566D5F"/>
    <w:rsid w:val="005671FA"/>
    <w:rsid w:val="005732E2"/>
    <w:rsid w:val="005771E8"/>
    <w:rsid w:val="00586312"/>
    <w:rsid w:val="00586780"/>
    <w:rsid w:val="00587AA9"/>
    <w:rsid w:val="00595EAC"/>
    <w:rsid w:val="005A17EA"/>
    <w:rsid w:val="005A1B76"/>
    <w:rsid w:val="005A3079"/>
    <w:rsid w:val="005B0E73"/>
    <w:rsid w:val="005B4DD6"/>
    <w:rsid w:val="005C2E3B"/>
    <w:rsid w:val="005D15B6"/>
    <w:rsid w:val="005D1666"/>
    <w:rsid w:val="005D43EB"/>
    <w:rsid w:val="005E2C4F"/>
    <w:rsid w:val="005E2FF0"/>
    <w:rsid w:val="005E5CF1"/>
    <w:rsid w:val="005E73C9"/>
    <w:rsid w:val="005F0B73"/>
    <w:rsid w:val="005F3A53"/>
    <w:rsid w:val="005F5C10"/>
    <w:rsid w:val="0060043F"/>
    <w:rsid w:val="00606D25"/>
    <w:rsid w:val="006138C1"/>
    <w:rsid w:val="00615C55"/>
    <w:rsid w:val="00633E0E"/>
    <w:rsid w:val="00646493"/>
    <w:rsid w:val="006466D0"/>
    <w:rsid w:val="006733A2"/>
    <w:rsid w:val="00674FE9"/>
    <w:rsid w:val="00675384"/>
    <w:rsid w:val="0067643C"/>
    <w:rsid w:val="00683C00"/>
    <w:rsid w:val="00685C6C"/>
    <w:rsid w:val="00692ECA"/>
    <w:rsid w:val="006A20B9"/>
    <w:rsid w:val="006A4BFE"/>
    <w:rsid w:val="006B1F74"/>
    <w:rsid w:val="006B2A1E"/>
    <w:rsid w:val="006B2E7C"/>
    <w:rsid w:val="006C20BA"/>
    <w:rsid w:val="006D0AB2"/>
    <w:rsid w:val="006D20DC"/>
    <w:rsid w:val="006E1D60"/>
    <w:rsid w:val="006E51C7"/>
    <w:rsid w:val="006E54E7"/>
    <w:rsid w:val="006F01C2"/>
    <w:rsid w:val="006F79D3"/>
    <w:rsid w:val="00706476"/>
    <w:rsid w:val="007146E8"/>
    <w:rsid w:val="007160A6"/>
    <w:rsid w:val="00721628"/>
    <w:rsid w:val="00732DE4"/>
    <w:rsid w:val="007428A1"/>
    <w:rsid w:val="0074440E"/>
    <w:rsid w:val="00746B90"/>
    <w:rsid w:val="00760854"/>
    <w:rsid w:val="00761299"/>
    <w:rsid w:val="0076139C"/>
    <w:rsid w:val="00765375"/>
    <w:rsid w:val="0076772B"/>
    <w:rsid w:val="007710CA"/>
    <w:rsid w:val="00772580"/>
    <w:rsid w:val="007741C4"/>
    <w:rsid w:val="00780305"/>
    <w:rsid w:val="0078094C"/>
    <w:rsid w:val="00784F81"/>
    <w:rsid w:val="0078679A"/>
    <w:rsid w:val="00790486"/>
    <w:rsid w:val="007A563F"/>
    <w:rsid w:val="007B0B30"/>
    <w:rsid w:val="007B4243"/>
    <w:rsid w:val="007B4882"/>
    <w:rsid w:val="007C35F1"/>
    <w:rsid w:val="007C48A0"/>
    <w:rsid w:val="007C4E9F"/>
    <w:rsid w:val="007C5ECA"/>
    <w:rsid w:val="007D3105"/>
    <w:rsid w:val="007D6C6A"/>
    <w:rsid w:val="007E4BB4"/>
    <w:rsid w:val="007F39C6"/>
    <w:rsid w:val="007F3D60"/>
    <w:rsid w:val="00802CE1"/>
    <w:rsid w:val="008036EE"/>
    <w:rsid w:val="00804EE2"/>
    <w:rsid w:val="00806536"/>
    <w:rsid w:val="00806B85"/>
    <w:rsid w:val="00807FCA"/>
    <w:rsid w:val="00810765"/>
    <w:rsid w:val="00821AD4"/>
    <w:rsid w:val="00822928"/>
    <w:rsid w:val="00822C57"/>
    <w:rsid w:val="00826033"/>
    <w:rsid w:val="0082633A"/>
    <w:rsid w:val="00827657"/>
    <w:rsid w:val="00837138"/>
    <w:rsid w:val="00842CE5"/>
    <w:rsid w:val="008470E4"/>
    <w:rsid w:val="00847DC9"/>
    <w:rsid w:val="00853190"/>
    <w:rsid w:val="00855E1A"/>
    <w:rsid w:val="00856128"/>
    <w:rsid w:val="00861D1B"/>
    <w:rsid w:val="00865819"/>
    <w:rsid w:val="008704D2"/>
    <w:rsid w:val="008724EE"/>
    <w:rsid w:val="00872597"/>
    <w:rsid w:val="00872765"/>
    <w:rsid w:val="00875CCB"/>
    <w:rsid w:val="008813E8"/>
    <w:rsid w:val="00882F4C"/>
    <w:rsid w:val="00883B8B"/>
    <w:rsid w:val="00893862"/>
    <w:rsid w:val="008A07AB"/>
    <w:rsid w:val="008A1124"/>
    <w:rsid w:val="008A137B"/>
    <w:rsid w:val="008A48AA"/>
    <w:rsid w:val="008A72C8"/>
    <w:rsid w:val="008A7CDE"/>
    <w:rsid w:val="008C0BC6"/>
    <w:rsid w:val="008D1B24"/>
    <w:rsid w:val="008D51CE"/>
    <w:rsid w:val="008D6B85"/>
    <w:rsid w:val="008D6DC2"/>
    <w:rsid w:val="008E198F"/>
    <w:rsid w:val="008E2D60"/>
    <w:rsid w:val="008E6BC8"/>
    <w:rsid w:val="008F0212"/>
    <w:rsid w:val="008F0C01"/>
    <w:rsid w:val="008F5971"/>
    <w:rsid w:val="009019FE"/>
    <w:rsid w:val="00901B31"/>
    <w:rsid w:val="0090626A"/>
    <w:rsid w:val="009108ED"/>
    <w:rsid w:val="00910C07"/>
    <w:rsid w:val="00937FA8"/>
    <w:rsid w:val="00946525"/>
    <w:rsid w:val="00964760"/>
    <w:rsid w:val="00965FB3"/>
    <w:rsid w:val="009703E4"/>
    <w:rsid w:val="00972F99"/>
    <w:rsid w:val="009814AF"/>
    <w:rsid w:val="009850B5"/>
    <w:rsid w:val="00985675"/>
    <w:rsid w:val="0099070D"/>
    <w:rsid w:val="0099074A"/>
    <w:rsid w:val="00993C26"/>
    <w:rsid w:val="009A0904"/>
    <w:rsid w:val="009A2683"/>
    <w:rsid w:val="009A65F0"/>
    <w:rsid w:val="009B47D3"/>
    <w:rsid w:val="009B7F80"/>
    <w:rsid w:val="009C05B8"/>
    <w:rsid w:val="009C2194"/>
    <w:rsid w:val="009C2E20"/>
    <w:rsid w:val="009D270E"/>
    <w:rsid w:val="00A037CF"/>
    <w:rsid w:val="00A25FB3"/>
    <w:rsid w:val="00A316D6"/>
    <w:rsid w:val="00A33E33"/>
    <w:rsid w:val="00A35FFF"/>
    <w:rsid w:val="00A361B4"/>
    <w:rsid w:val="00A471F0"/>
    <w:rsid w:val="00A47A07"/>
    <w:rsid w:val="00A55A76"/>
    <w:rsid w:val="00A62706"/>
    <w:rsid w:val="00A66412"/>
    <w:rsid w:val="00A72678"/>
    <w:rsid w:val="00A771F8"/>
    <w:rsid w:val="00A80F35"/>
    <w:rsid w:val="00A91B58"/>
    <w:rsid w:val="00A92B32"/>
    <w:rsid w:val="00A93F37"/>
    <w:rsid w:val="00A95DC8"/>
    <w:rsid w:val="00A97A10"/>
    <w:rsid w:val="00AA1916"/>
    <w:rsid w:val="00AA3786"/>
    <w:rsid w:val="00AC36F8"/>
    <w:rsid w:val="00AC58D6"/>
    <w:rsid w:val="00AD0451"/>
    <w:rsid w:val="00AF5893"/>
    <w:rsid w:val="00B0397F"/>
    <w:rsid w:val="00B04F9A"/>
    <w:rsid w:val="00B05411"/>
    <w:rsid w:val="00B15477"/>
    <w:rsid w:val="00B23827"/>
    <w:rsid w:val="00B2452F"/>
    <w:rsid w:val="00B40352"/>
    <w:rsid w:val="00B43B52"/>
    <w:rsid w:val="00B44E0F"/>
    <w:rsid w:val="00B7519F"/>
    <w:rsid w:val="00B767EF"/>
    <w:rsid w:val="00B76827"/>
    <w:rsid w:val="00B803C0"/>
    <w:rsid w:val="00B839B8"/>
    <w:rsid w:val="00B86A97"/>
    <w:rsid w:val="00BA0EED"/>
    <w:rsid w:val="00BA28A8"/>
    <w:rsid w:val="00BC326A"/>
    <w:rsid w:val="00BC61A8"/>
    <w:rsid w:val="00BC6FF2"/>
    <w:rsid w:val="00BD3F00"/>
    <w:rsid w:val="00BD5ED4"/>
    <w:rsid w:val="00BE5197"/>
    <w:rsid w:val="00BF1DFF"/>
    <w:rsid w:val="00BF371F"/>
    <w:rsid w:val="00BF6D61"/>
    <w:rsid w:val="00BF7AEB"/>
    <w:rsid w:val="00C0130A"/>
    <w:rsid w:val="00C01B32"/>
    <w:rsid w:val="00C05B13"/>
    <w:rsid w:val="00C06178"/>
    <w:rsid w:val="00C075BF"/>
    <w:rsid w:val="00C10DBC"/>
    <w:rsid w:val="00C11FF1"/>
    <w:rsid w:val="00C211A0"/>
    <w:rsid w:val="00C2785F"/>
    <w:rsid w:val="00C31AD5"/>
    <w:rsid w:val="00C36B9F"/>
    <w:rsid w:val="00C41AD5"/>
    <w:rsid w:val="00C421D8"/>
    <w:rsid w:val="00C422DE"/>
    <w:rsid w:val="00C4623D"/>
    <w:rsid w:val="00C54D86"/>
    <w:rsid w:val="00C550D1"/>
    <w:rsid w:val="00C641E1"/>
    <w:rsid w:val="00C75170"/>
    <w:rsid w:val="00C823EB"/>
    <w:rsid w:val="00C8423C"/>
    <w:rsid w:val="00C874D8"/>
    <w:rsid w:val="00C9671F"/>
    <w:rsid w:val="00CA1D0C"/>
    <w:rsid w:val="00CA473B"/>
    <w:rsid w:val="00CD66E4"/>
    <w:rsid w:val="00CE6C88"/>
    <w:rsid w:val="00CF14BA"/>
    <w:rsid w:val="00D04864"/>
    <w:rsid w:val="00D06D7A"/>
    <w:rsid w:val="00D07721"/>
    <w:rsid w:val="00D1009A"/>
    <w:rsid w:val="00D21DB0"/>
    <w:rsid w:val="00D23EA3"/>
    <w:rsid w:val="00D250E7"/>
    <w:rsid w:val="00D2639D"/>
    <w:rsid w:val="00D31B48"/>
    <w:rsid w:val="00D362FB"/>
    <w:rsid w:val="00D47BF2"/>
    <w:rsid w:val="00D50C8E"/>
    <w:rsid w:val="00D53CB2"/>
    <w:rsid w:val="00D54E03"/>
    <w:rsid w:val="00D616F4"/>
    <w:rsid w:val="00D663B9"/>
    <w:rsid w:val="00D75565"/>
    <w:rsid w:val="00D831FA"/>
    <w:rsid w:val="00D8358C"/>
    <w:rsid w:val="00DA35B6"/>
    <w:rsid w:val="00DB06F2"/>
    <w:rsid w:val="00DB6BB5"/>
    <w:rsid w:val="00DC27EA"/>
    <w:rsid w:val="00DE47F3"/>
    <w:rsid w:val="00DE6791"/>
    <w:rsid w:val="00DE70FE"/>
    <w:rsid w:val="00DF23C0"/>
    <w:rsid w:val="00DF5B41"/>
    <w:rsid w:val="00E0206B"/>
    <w:rsid w:val="00E047BB"/>
    <w:rsid w:val="00E105A2"/>
    <w:rsid w:val="00E10A84"/>
    <w:rsid w:val="00E11D30"/>
    <w:rsid w:val="00E1330C"/>
    <w:rsid w:val="00E14DC3"/>
    <w:rsid w:val="00E218D2"/>
    <w:rsid w:val="00E2257C"/>
    <w:rsid w:val="00E255CC"/>
    <w:rsid w:val="00E30B7C"/>
    <w:rsid w:val="00E30B8A"/>
    <w:rsid w:val="00E30FEB"/>
    <w:rsid w:val="00E33D17"/>
    <w:rsid w:val="00E365A7"/>
    <w:rsid w:val="00E374E9"/>
    <w:rsid w:val="00E41A7F"/>
    <w:rsid w:val="00E4783D"/>
    <w:rsid w:val="00E53B74"/>
    <w:rsid w:val="00E665CA"/>
    <w:rsid w:val="00E70A7D"/>
    <w:rsid w:val="00E72059"/>
    <w:rsid w:val="00E72085"/>
    <w:rsid w:val="00E72F14"/>
    <w:rsid w:val="00E7556E"/>
    <w:rsid w:val="00E810D3"/>
    <w:rsid w:val="00E83C50"/>
    <w:rsid w:val="00E9782A"/>
    <w:rsid w:val="00EA24B4"/>
    <w:rsid w:val="00EA5061"/>
    <w:rsid w:val="00EB0B2F"/>
    <w:rsid w:val="00EB57AB"/>
    <w:rsid w:val="00EC02E7"/>
    <w:rsid w:val="00EC400B"/>
    <w:rsid w:val="00EC4EAC"/>
    <w:rsid w:val="00EF65FD"/>
    <w:rsid w:val="00EF704F"/>
    <w:rsid w:val="00F034AC"/>
    <w:rsid w:val="00F16E0B"/>
    <w:rsid w:val="00F27160"/>
    <w:rsid w:val="00F277B9"/>
    <w:rsid w:val="00F30154"/>
    <w:rsid w:val="00F315B1"/>
    <w:rsid w:val="00F31BAB"/>
    <w:rsid w:val="00F32F6A"/>
    <w:rsid w:val="00F41466"/>
    <w:rsid w:val="00F43521"/>
    <w:rsid w:val="00F53FBE"/>
    <w:rsid w:val="00F54DE7"/>
    <w:rsid w:val="00F56CA8"/>
    <w:rsid w:val="00F6487B"/>
    <w:rsid w:val="00F74533"/>
    <w:rsid w:val="00F77F77"/>
    <w:rsid w:val="00F918FB"/>
    <w:rsid w:val="00FA131E"/>
    <w:rsid w:val="00FA18C8"/>
    <w:rsid w:val="00FA23FD"/>
    <w:rsid w:val="00FA451B"/>
    <w:rsid w:val="00FB3044"/>
    <w:rsid w:val="00FB7F75"/>
    <w:rsid w:val="00FC064B"/>
    <w:rsid w:val="00FC23EA"/>
    <w:rsid w:val="00FC41B1"/>
    <w:rsid w:val="00FD7A5B"/>
    <w:rsid w:val="00FE2147"/>
    <w:rsid w:val="00FE7F80"/>
    <w:rsid w:val="00FF087E"/>
    <w:rsid w:val="00FF0C06"/>
    <w:rsid w:val="00FF71F1"/>
    <w:rsid w:val="00FF7DE0"/>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26"/>
    <w:pPr>
      <w:spacing w:after="0" w:line="240" w:lineRule="auto"/>
    </w:pPr>
    <w:rPr>
      <w:rFonts w:ascii="Times New Roman" w:hAnsi="Times New Roman"/>
      <w:sz w:val="24"/>
    </w:rPr>
  </w:style>
  <w:style w:type="paragraph" w:styleId="Heading3">
    <w:name w:val="heading 3"/>
    <w:basedOn w:val="Normal"/>
    <w:next w:val="Normal"/>
    <w:link w:val="Heading3Char"/>
    <w:uiPriority w:val="9"/>
    <w:semiHidden/>
    <w:unhideWhenUsed/>
    <w:qFormat/>
    <w:rsid w:val="001909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26"/>
    <w:pPr>
      <w:tabs>
        <w:tab w:val="center" w:pos="4153"/>
        <w:tab w:val="right" w:pos="8306"/>
      </w:tabs>
    </w:pPr>
    <w:rPr>
      <w:rFonts w:asciiTheme="minorHAnsi" w:hAnsiTheme="minorHAnsi"/>
      <w:sz w:val="22"/>
    </w:rPr>
  </w:style>
  <w:style w:type="character" w:customStyle="1" w:styleId="HeaderChar">
    <w:name w:val="Header Char"/>
    <w:basedOn w:val="DefaultParagraphFont"/>
    <w:link w:val="Header"/>
    <w:uiPriority w:val="99"/>
    <w:rsid w:val="00993C26"/>
  </w:style>
  <w:style w:type="paragraph" w:styleId="Footer">
    <w:name w:val="footer"/>
    <w:basedOn w:val="Normal"/>
    <w:link w:val="FooterChar"/>
    <w:uiPriority w:val="99"/>
    <w:unhideWhenUsed/>
    <w:rsid w:val="00993C26"/>
    <w:pPr>
      <w:tabs>
        <w:tab w:val="center" w:pos="4153"/>
        <w:tab w:val="right" w:pos="8306"/>
      </w:tabs>
    </w:pPr>
    <w:rPr>
      <w:rFonts w:asciiTheme="minorHAnsi" w:hAnsiTheme="minorHAnsi"/>
      <w:sz w:val="22"/>
    </w:rPr>
  </w:style>
  <w:style w:type="character" w:customStyle="1" w:styleId="FooterChar">
    <w:name w:val="Footer Char"/>
    <w:basedOn w:val="DefaultParagraphFont"/>
    <w:link w:val="Footer"/>
    <w:uiPriority w:val="99"/>
    <w:rsid w:val="00993C26"/>
  </w:style>
  <w:style w:type="paragraph" w:styleId="NormalWeb">
    <w:name w:val="Normal (Web)"/>
    <w:basedOn w:val="Normal"/>
    <w:uiPriority w:val="99"/>
    <w:unhideWhenUsed/>
    <w:rsid w:val="00993C26"/>
    <w:pPr>
      <w:spacing w:before="75" w:after="75"/>
    </w:pPr>
    <w:rPr>
      <w:rFonts w:eastAsia="Times New Roman" w:cs="Times New Roman"/>
      <w:szCs w:val="24"/>
      <w:lang w:eastAsia="lv-LV"/>
    </w:rPr>
  </w:style>
  <w:style w:type="paragraph" w:styleId="NoSpacing">
    <w:name w:val="No Spacing"/>
    <w:link w:val="NoSpacingChar"/>
    <w:uiPriority w:val="1"/>
    <w:qFormat/>
    <w:rsid w:val="00DC27E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7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7EA"/>
    <w:rPr>
      <w:color w:val="0000FF" w:themeColor="hyperlink"/>
      <w:u w:val="single"/>
    </w:rPr>
  </w:style>
  <w:style w:type="paragraph" w:customStyle="1" w:styleId="naisf">
    <w:name w:val="naisf"/>
    <w:basedOn w:val="Normal"/>
    <w:rsid w:val="004325FC"/>
    <w:pPr>
      <w:spacing w:before="75" w:after="75"/>
      <w:ind w:firstLine="375"/>
      <w:jc w:val="both"/>
    </w:pPr>
    <w:rPr>
      <w:rFonts w:eastAsia="Times New Roman" w:cs="Times New Roman"/>
      <w:szCs w:val="24"/>
      <w:lang w:eastAsia="lv-LV"/>
    </w:rPr>
  </w:style>
  <w:style w:type="character" w:styleId="CommentReference">
    <w:name w:val="annotation reference"/>
    <w:basedOn w:val="DefaultParagraphFont"/>
    <w:uiPriority w:val="99"/>
    <w:semiHidden/>
    <w:unhideWhenUsed/>
    <w:rsid w:val="002D28E5"/>
    <w:rPr>
      <w:sz w:val="16"/>
      <w:szCs w:val="16"/>
    </w:rPr>
  </w:style>
  <w:style w:type="paragraph" w:styleId="CommentText">
    <w:name w:val="annotation text"/>
    <w:basedOn w:val="Normal"/>
    <w:link w:val="CommentTextChar"/>
    <w:uiPriority w:val="99"/>
    <w:semiHidden/>
    <w:unhideWhenUsed/>
    <w:rsid w:val="002D28E5"/>
    <w:rPr>
      <w:sz w:val="20"/>
      <w:szCs w:val="20"/>
    </w:rPr>
  </w:style>
  <w:style w:type="character" w:customStyle="1" w:styleId="CommentTextChar">
    <w:name w:val="Comment Text Char"/>
    <w:basedOn w:val="DefaultParagraphFont"/>
    <w:link w:val="CommentText"/>
    <w:uiPriority w:val="99"/>
    <w:semiHidden/>
    <w:rsid w:val="002D2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8E5"/>
    <w:rPr>
      <w:b/>
      <w:bCs/>
    </w:rPr>
  </w:style>
  <w:style w:type="character" w:customStyle="1" w:styleId="CommentSubjectChar">
    <w:name w:val="Comment Subject Char"/>
    <w:basedOn w:val="CommentTextChar"/>
    <w:link w:val="CommentSubject"/>
    <w:uiPriority w:val="99"/>
    <w:semiHidden/>
    <w:rsid w:val="002D28E5"/>
    <w:rPr>
      <w:rFonts w:ascii="Times New Roman" w:hAnsi="Times New Roman"/>
      <w:b/>
      <w:bCs/>
      <w:sz w:val="20"/>
      <w:szCs w:val="20"/>
    </w:rPr>
  </w:style>
  <w:style w:type="paragraph" w:styleId="BalloonText">
    <w:name w:val="Balloon Text"/>
    <w:basedOn w:val="Normal"/>
    <w:link w:val="BalloonTextChar"/>
    <w:uiPriority w:val="99"/>
    <w:semiHidden/>
    <w:unhideWhenUsed/>
    <w:rsid w:val="002D28E5"/>
    <w:rPr>
      <w:rFonts w:ascii="Tahoma" w:hAnsi="Tahoma" w:cs="Tahoma"/>
      <w:sz w:val="16"/>
      <w:szCs w:val="16"/>
    </w:rPr>
  </w:style>
  <w:style w:type="character" w:customStyle="1" w:styleId="BalloonTextChar">
    <w:name w:val="Balloon Text Char"/>
    <w:basedOn w:val="DefaultParagraphFont"/>
    <w:link w:val="BalloonText"/>
    <w:uiPriority w:val="99"/>
    <w:semiHidden/>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style>
  <w:style w:type="character" w:customStyle="1" w:styleId="Heading3Char">
    <w:name w:val="Heading 3 Char"/>
    <w:basedOn w:val="DefaultParagraphFont"/>
    <w:link w:val="Heading3"/>
    <w:uiPriority w:val="9"/>
    <w:semiHidden/>
    <w:rsid w:val="001909AE"/>
    <w:rPr>
      <w:rFonts w:asciiTheme="majorHAnsi" w:eastAsiaTheme="majorEastAsia" w:hAnsiTheme="majorHAnsi" w:cstheme="majorBidi"/>
      <w:b/>
      <w:bCs/>
      <w:color w:val="4F81BD" w:themeColor="accent1"/>
      <w:sz w:val="24"/>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7F39C6"/>
    <w:rPr>
      <w:rFonts w:asciiTheme="minorHAnsi" w:hAnsiTheme="minorHAnsi"/>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7F39C6"/>
    <w:rPr>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qFormat/>
    <w:rsid w:val="007F39C6"/>
    <w:rPr>
      <w:vertAlign w:val="superscript"/>
    </w:rPr>
  </w:style>
  <w:style w:type="paragraph" w:styleId="Revision">
    <w:name w:val="Revision"/>
    <w:hidden/>
    <w:uiPriority w:val="99"/>
    <w:semiHidden/>
    <w:rsid w:val="007F39C6"/>
    <w:pPr>
      <w:spacing w:after="0" w:line="240" w:lineRule="auto"/>
    </w:pPr>
    <w:rPr>
      <w:rFonts w:ascii="Times New Roman" w:hAnsi="Times New Roman"/>
      <w:sz w:val="24"/>
    </w:rPr>
  </w:style>
  <w:style w:type="character" w:customStyle="1" w:styleId="apple-converted-space">
    <w:name w:val="apple-converted-space"/>
    <w:basedOn w:val="DefaultParagraphFont"/>
    <w:rsid w:val="00DE6791"/>
  </w:style>
</w:styles>
</file>

<file path=word/webSettings.xml><?xml version="1.0" encoding="utf-8"?>
<w:webSettings xmlns:r="http://schemas.openxmlformats.org/officeDocument/2006/relationships" xmlns:w="http://schemas.openxmlformats.org/wordprocessingml/2006/main">
  <w:divs>
    <w:div w:id="147597636">
      <w:bodyDiv w:val="1"/>
      <w:marLeft w:val="0"/>
      <w:marRight w:val="0"/>
      <w:marTop w:val="0"/>
      <w:marBottom w:val="0"/>
      <w:divBdr>
        <w:top w:val="none" w:sz="0" w:space="0" w:color="auto"/>
        <w:left w:val="none" w:sz="0" w:space="0" w:color="auto"/>
        <w:bottom w:val="none" w:sz="0" w:space="0" w:color="auto"/>
        <w:right w:val="none" w:sz="0" w:space="0" w:color="auto"/>
      </w:divBdr>
    </w:div>
    <w:div w:id="193269127">
      <w:bodyDiv w:val="1"/>
      <w:marLeft w:val="0"/>
      <w:marRight w:val="0"/>
      <w:marTop w:val="0"/>
      <w:marBottom w:val="0"/>
      <w:divBdr>
        <w:top w:val="none" w:sz="0" w:space="0" w:color="auto"/>
        <w:left w:val="none" w:sz="0" w:space="0" w:color="auto"/>
        <w:bottom w:val="none" w:sz="0" w:space="0" w:color="auto"/>
        <w:right w:val="none" w:sz="0" w:space="0" w:color="auto"/>
      </w:divBdr>
    </w:div>
    <w:div w:id="779225950">
      <w:bodyDiv w:val="1"/>
      <w:marLeft w:val="0"/>
      <w:marRight w:val="0"/>
      <w:marTop w:val="0"/>
      <w:marBottom w:val="0"/>
      <w:divBdr>
        <w:top w:val="none" w:sz="0" w:space="0" w:color="auto"/>
        <w:left w:val="none" w:sz="0" w:space="0" w:color="auto"/>
        <w:bottom w:val="none" w:sz="0" w:space="0" w:color="auto"/>
        <w:right w:val="none" w:sz="0" w:space="0" w:color="auto"/>
      </w:divBdr>
    </w:div>
    <w:div w:id="1596012455">
      <w:bodyDiv w:val="1"/>
      <w:marLeft w:val="0"/>
      <w:marRight w:val="0"/>
      <w:marTop w:val="0"/>
      <w:marBottom w:val="0"/>
      <w:divBdr>
        <w:top w:val="none" w:sz="0" w:space="0" w:color="auto"/>
        <w:left w:val="none" w:sz="0" w:space="0" w:color="auto"/>
        <w:bottom w:val="none" w:sz="0" w:space="0" w:color="auto"/>
        <w:right w:val="none" w:sz="0" w:space="0" w:color="auto"/>
      </w:divBdr>
    </w:div>
    <w:div w:id="20455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vis.bless@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da.reinika@vmnvd.gov.lv" TargetMode="External"/><Relationship Id="rId4" Type="http://schemas.openxmlformats.org/officeDocument/2006/relationships/settings" Target="settings.xml"/><Relationship Id="rId9" Type="http://schemas.openxmlformats.org/officeDocument/2006/relationships/hyperlink" Target="mailto:anda.strazdina@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D0156-08E6-496D-BB3A-FD523E92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37452</Words>
  <Characters>21349</Characters>
  <Application>Microsoft Office Word</Application>
  <DocSecurity>0</DocSecurity>
  <Lines>177</Lines>
  <Paragraphs>117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 sākotnējās ietekmes novērtējuma ziņojums (anotācija)</vt:lpstr>
    </vt:vector>
  </TitlesOfParts>
  <Company>Veselības ministrija</Company>
  <LinksUpToDate>false</LinksUpToDate>
  <CharactersWithSpaces>58684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 sākotnējās ietekmes novērtējuma ziņojums (anotācija)</dc:title>
  <dc:subject>Anotācija</dc:subject>
  <dc:creator>Alvis Bless</dc:creator>
  <dc:description>67876122, alvis.bless@vm.gov.lv</dc:description>
  <cp:lastModifiedBy>abless</cp:lastModifiedBy>
  <cp:revision>7</cp:revision>
  <cp:lastPrinted>2016-11-30T08:58:00Z</cp:lastPrinted>
  <dcterms:created xsi:type="dcterms:W3CDTF">2016-12-12T15:18:00Z</dcterms:created>
  <dcterms:modified xsi:type="dcterms:W3CDTF">2016-12-13T07:46:00Z</dcterms:modified>
</cp:coreProperties>
</file>