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3C" w:rsidRPr="0043346E" w:rsidRDefault="0043346E" w:rsidP="00575B7F">
      <w:pPr>
        <w:pStyle w:val="naisc"/>
        <w:spacing w:before="0" w:after="0"/>
        <w:rPr>
          <w:b/>
          <w:sz w:val="28"/>
          <w:szCs w:val="28"/>
        </w:rPr>
      </w:pPr>
      <w:bookmarkStart w:id="0" w:name="OLE_LINK4"/>
      <w:bookmarkStart w:id="1" w:name="OLE_LINK5"/>
      <w:bookmarkStart w:id="2" w:name="OLE_LINK1"/>
      <w:bookmarkStart w:id="3" w:name="OLE_LINK2"/>
      <w:bookmarkStart w:id="4" w:name="OLE_LINK3"/>
      <w:r w:rsidRPr="0043346E">
        <w:rPr>
          <w:b/>
          <w:sz w:val="28"/>
          <w:szCs w:val="28"/>
        </w:rPr>
        <w:t xml:space="preserve">Ministru kabineta noteikumu projekta </w:t>
      </w:r>
      <w:r w:rsidR="00EF3C1A" w:rsidRPr="00EF3C1A">
        <w:rPr>
          <w:rStyle w:val="Emphasis"/>
          <w:b/>
          <w:i w:val="0"/>
          <w:sz w:val="28"/>
          <w:szCs w:val="28"/>
        </w:rPr>
        <w:t>"</w:t>
      </w:r>
      <w:r w:rsidR="00C35DA3" w:rsidRPr="00C35DA3">
        <w:rPr>
          <w:b/>
          <w:sz w:val="28"/>
          <w:szCs w:val="28"/>
        </w:rPr>
        <w:t>Grozījum</w:t>
      </w:r>
      <w:r w:rsidR="00A05F38">
        <w:rPr>
          <w:b/>
          <w:sz w:val="28"/>
          <w:szCs w:val="28"/>
        </w:rPr>
        <w:t>s</w:t>
      </w:r>
      <w:r w:rsidR="00C35DA3" w:rsidRPr="00C35DA3">
        <w:rPr>
          <w:b/>
          <w:sz w:val="28"/>
          <w:szCs w:val="28"/>
        </w:rPr>
        <w:t xml:space="preserve"> Ministru kabineta </w:t>
      </w:r>
      <w:r w:rsidR="0025530D">
        <w:rPr>
          <w:b/>
          <w:sz w:val="28"/>
          <w:szCs w:val="28"/>
        </w:rPr>
        <w:t>2000. </w:t>
      </w:r>
      <w:r w:rsidR="009A75D6" w:rsidRPr="00C35DA3">
        <w:rPr>
          <w:b/>
          <w:sz w:val="28"/>
          <w:szCs w:val="28"/>
        </w:rPr>
        <w:t>gada</w:t>
      </w:r>
      <w:r w:rsidR="00C35DA3" w:rsidRPr="00C35DA3">
        <w:rPr>
          <w:b/>
          <w:sz w:val="28"/>
          <w:szCs w:val="28"/>
        </w:rPr>
        <w:t xml:space="preserve"> </w:t>
      </w:r>
      <w:r w:rsidR="00E05B0D">
        <w:rPr>
          <w:b/>
          <w:sz w:val="28"/>
          <w:szCs w:val="28"/>
        </w:rPr>
        <w:t>26. </w:t>
      </w:r>
      <w:r w:rsidR="009A75D6" w:rsidRPr="00C35DA3">
        <w:rPr>
          <w:b/>
          <w:sz w:val="28"/>
          <w:szCs w:val="28"/>
        </w:rPr>
        <w:t>septembra</w:t>
      </w:r>
      <w:r w:rsidR="00C35DA3" w:rsidRPr="00C35DA3">
        <w:rPr>
          <w:b/>
          <w:sz w:val="28"/>
          <w:szCs w:val="28"/>
        </w:rPr>
        <w:t xml:space="preserve"> noteikumos</w:t>
      </w:r>
      <w:r w:rsidR="00C35DA3">
        <w:rPr>
          <w:b/>
          <w:sz w:val="28"/>
          <w:szCs w:val="28"/>
        </w:rPr>
        <w:t xml:space="preserve"> Nr.</w:t>
      </w:r>
      <w:r w:rsidR="00E05B0D">
        <w:rPr>
          <w:b/>
          <w:sz w:val="28"/>
          <w:szCs w:val="28"/>
        </w:rPr>
        <w:t> </w:t>
      </w:r>
      <w:r w:rsidR="00C35DA3">
        <w:rPr>
          <w:b/>
          <w:sz w:val="28"/>
          <w:szCs w:val="28"/>
        </w:rPr>
        <w:t xml:space="preserve">330 </w:t>
      </w:r>
      <w:r w:rsidR="00EF3C1A" w:rsidRPr="00EF3C1A">
        <w:rPr>
          <w:b/>
          <w:sz w:val="28"/>
          <w:szCs w:val="28"/>
        </w:rPr>
        <w:t>"</w:t>
      </w:r>
      <w:r w:rsidR="00C35DA3">
        <w:rPr>
          <w:b/>
          <w:sz w:val="28"/>
          <w:szCs w:val="28"/>
        </w:rPr>
        <w:t>Vakcinācijas noteikumi</w:t>
      </w:r>
      <w:r w:rsidR="00EF3C1A" w:rsidRPr="00EF3C1A">
        <w:rPr>
          <w:b/>
          <w:sz w:val="28"/>
          <w:szCs w:val="28"/>
        </w:rPr>
        <w:t>""</w:t>
      </w:r>
      <w:r w:rsidRPr="0043346E">
        <w:rPr>
          <w:b/>
          <w:sz w:val="28"/>
          <w:szCs w:val="28"/>
        </w:rPr>
        <w:t xml:space="preserve"> sākotnējās ietekmes novērtējuma ziņojums (anotācija</w:t>
      </w:r>
      <w:r w:rsidR="00864308">
        <w:rPr>
          <w:b/>
          <w:sz w:val="28"/>
          <w:szCs w:val="28"/>
        </w:rPr>
        <w:t>)</w:t>
      </w:r>
      <w:bookmarkEnd w:id="0"/>
      <w:bookmarkEnd w:id="1"/>
    </w:p>
    <w:bookmarkEnd w:id="2"/>
    <w:bookmarkEnd w:id="3"/>
    <w:bookmarkEnd w:id="4"/>
    <w:p w:rsidR="0043346E" w:rsidRPr="0043346E" w:rsidRDefault="0043346E" w:rsidP="00575B7F">
      <w:pPr>
        <w:pStyle w:val="naisc"/>
        <w:spacing w:before="0" w:after="0"/>
        <w:rPr>
          <w:b/>
          <w:bCs/>
          <w:sz w:val="28"/>
          <w:szCs w:val="28"/>
        </w:rPr>
      </w:pPr>
    </w:p>
    <w:tbl>
      <w:tblPr>
        <w:tblStyle w:val="TableGrid"/>
        <w:tblW w:w="0" w:type="auto"/>
        <w:tblLook w:val="0000"/>
      </w:tblPr>
      <w:tblGrid>
        <w:gridCol w:w="424"/>
        <w:gridCol w:w="1567"/>
        <w:gridCol w:w="7296"/>
      </w:tblGrid>
      <w:tr w:rsidR="00771C3C" w:rsidRPr="007848A3" w:rsidTr="003812D2">
        <w:tc>
          <w:tcPr>
            <w:tcW w:w="9101" w:type="dxa"/>
            <w:gridSpan w:val="3"/>
          </w:tcPr>
          <w:p w:rsidR="00771C3C" w:rsidRPr="007848A3" w:rsidRDefault="00771C3C" w:rsidP="0073447B">
            <w:pPr>
              <w:pStyle w:val="naisc"/>
              <w:spacing w:before="20" w:after="20"/>
            </w:pPr>
            <w:r w:rsidRPr="007848A3">
              <w:rPr>
                <w:b/>
                <w:bCs/>
              </w:rPr>
              <w:t>I. Tiesību akta projekta izstrādes nepieciešamība</w:t>
            </w:r>
          </w:p>
        </w:tc>
      </w:tr>
      <w:tr w:rsidR="00771C3C" w:rsidRPr="007848A3" w:rsidTr="003812D2">
        <w:trPr>
          <w:trHeight w:val="464"/>
        </w:trPr>
        <w:tc>
          <w:tcPr>
            <w:tcW w:w="528" w:type="dxa"/>
          </w:tcPr>
          <w:p w:rsidR="00771C3C" w:rsidRPr="007848A3" w:rsidRDefault="00771C3C" w:rsidP="0073447B">
            <w:pPr>
              <w:pStyle w:val="naiskr"/>
              <w:spacing w:before="20" w:after="20"/>
              <w:jc w:val="center"/>
            </w:pPr>
            <w:r w:rsidRPr="007848A3">
              <w:t>1.</w:t>
            </w:r>
          </w:p>
        </w:tc>
        <w:tc>
          <w:tcPr>
            <w:tcW w:w="2181" w:type="dxa"/>
          </w:tcPr>
          <w:p w:rsidR="00771C3C" w:rsidRPr="007848A3" w:rsidRDefault="00771C3C" w:rsidP="0073447B">
            <w:pPr>
              <w:pStyle w:val="naislab"/>
              <w:spacing w:before="20" w:after="20"/>
              <w:jc w:val="left"/>
            </w:pPr>
            <w:r w:rsidRPr="007848A3">
              <w:t>Pamatojums</w:t>
            </w:r>
          </w:p>
        </w:tc>
        <w:tc>
          <w:tcPr>
            <w:tcW w:w="6392" w:type="dxa"/>
          </w:tcPr>
          <w:p w:rsidR="00A42919" w:rsidRPr="007848A3" w:rsidRDefault="00E045AB" w:rsidP="00415C04">
            <w:pPr>
              <w:pStyle w:val="naiskr"/>
              <w:spacing w:before="20" w:after="20"/>
              <w:jc w:val="both"/>
            </w:pPr>
            <w:r w:rsidRPr="00E233BD">
              <w:t>Ministru kabine</w:t>
            </w:r>
            <w:r w:rsidR="00A05F38" w:rsidRPr="00E233BD">
              <w:t>ta noteikumu projekts "Grozījums</w:t>
            </w:r>
            <w:r w:rsidR="00E05B0D">
              <w:t xml:space="preserve"> Ministru kabineta 2000. gada 26. septembra noteikumos Nr. </w:t>
            </w:r>
            <w:r w:rsidRPr="00E233BD">
              <w:t xml:space="preserve">330 "Vakcinācijas noteikumi"" </w:t>
            </w:r>
            <w:r w:rsidR="00A469CE" w:rsidRPr="00E233BD">
              <w:rPr>
                <w:rStyle w:val="Emphasis"/>
                <w:i w:val="0"/>
              </w:rPr>
              <w:t>(turpmāk –</w:t>
            </w:r>
            <w:r w:rsidR="00A91A5A" w:rsidRPr="00E233BD">
              <w:rPr>
                <w:rStyle w:val="Emphasis"/>
                <w:i w:val="0"/>
              </w:rPr>
              <w:t xml:space="preserve"> noteikumu projekts</w:t>
            </w:r>
            <w:r w:rsidR="00A469CE" w:rsidRPr="00E233BD">
              <w:rPr>
                <w:rStyle w:val="Emphasis"/>
                <w:i w:val="0"/>
              </w:rPr>
              <w:t xml:space="preserve">) </w:t>
            </w:r>
            <w:r w:rsidRPr="00E233BD">
              <w:t>ir izstrādāts pēc Veselības ministrijas iniciatīvas</w:t>
            </w:r>
            <w:r w:rsidR="00E233BD" w:rsidRPr="00E233BD">
              <w:t xml:space="preserve"> saskaņā ar 2016.</w:t>
            </w:r>
            <w:r w:rsidR="0025530D">
              <w:t> </w:t>
            </w:r>
            <w:r w:rsidR="00E233BD" w:rsidRPr="00E233BD">
              <w:t>gada 16.</w:t>
            </w:r>
            <w:r w:rsidR="0025530D">
              <w:t> </w:t>
            </w:r>
            <w:r w:rsidR="00E233BD" w:rsidRPr="00E233BD">
              <w:t xml:space="preserve">augusta </w:t>
            </w:r>
            <w:r w:rsidR="00E233BD">
              <w:t xml:space="preserve">Ministru kabineta </w:t>
            </w:r>
            <w:r w:rsidR="00E233BD" w:rsidRPr="00E233BD">
              <w:t xml:space="preserve">sēdē </w:t>
            </w:r>
            <w:r w:rsidR="0025530D" w:rsidRPr="00A52580">
              <w:t>"</w:t>
            </w:r>
            <w:r w:rsidR="00A52580" w:rsidRPr="00A52580">
              <w:t>Informatīvais ziņojums "Par priekšlikumiem valsts budžeta ieņēmumiem un izdevumiem 2017.</w:t>
            </w:r>
            <w:r w:rsidR="00E05B0D">
              <w:t> </w:t>
            </w:r>
            <w:r w:rsidR="005C1D85">
              <w:t>gadam un ietvaram 2017.-</w:t>
            </w:r>
            <w:r w:rsidR="00A52580" w:rsidRPr="00A52580">
              <w:t>2019.</w:t>
            </w:r>
            <w:r w:rsidR="00B209F5">
              <w:t> </w:t>
            </w:r>
            <w:r w:rsidR="00A52580" w:rsidRPr="00A52580">
              <w:t>gadam"</w:t>
            </w:r>
            <w:r w:rsidR="0025530D" w:rsidRPr="00A52580">
              <w:t>"</w:t>
            </w:r>
            <w:r w:rsidR="00E233BD">
              <w:t xml:space="preserve"> noteikto</w:t>
            </w:r>
            <w:r w:rsidR="00415C04">
              <w:t xml:space="preserve"> </w:t>
            </w:r>
            <w:r w:rsidR="00415C04" w:rsidRPr="00A52580">
              <w:t>(</w:t>
            </w:r>
            <w:r w:rsidR="00415C04">
              <w:t>protokols Nr.</w:t>
            </w:r>
            <w:r w:rsidR="00E05B0D">
              <w:t> </w:t>
            </w:r>
            <w:r w:rsidR="00415C04">
              <w:t xml:space="preserve">40, </w:t>
            </w:r>
            <w:r w:rsidR="00415C04" w:rsidRPr="00A52580">
              <w:t>59.</w:t>
            </w:r>
            <w:r w:rsidR="00E05B0D">
              <w:t> </w:t>
            </w:r>
            <w:r w:rsidR="00415C04" w:rsidRPr="00A52580">
              <w:t>§, TA-1722-IP)</w:t>
            </w:r>
            <w:r w:rsidR="00E233BD">
              <w:t>.</w:t>
            </w:r>
          </w:p>
        </w:tc>
      </w:tr>
      <w:tr w:rsidR="00771C3C" w:rsidRPr="007848A3" w:rsidTr="00481B82">
        <w:trPr>
          <w:trHeight w:val="557"/>
        </w:trPr>
        <w:tc>
          <w:tcPr>
            <w:tcW w:w="528" w:type="dxa"/>
          </w:tcPr>
          <w:p w:rsidR="00771C3C" w:rsidRPr="007848A3" w:rsidRDefault="00771C3C" w:rsidP="0073447B">
            <w:pPr>
              <w:pStyle w:val="naiskr"/>
              <w:spacing w:before="20" w:after="20"/>
              <w:jc w:val="center"/>
            </w:pPr>
            <w:r w:rsidRPr="007848A3">
              <w:t>2.</w:t>
            </w:r>
          </w:p>
        </w:tc>
        <w:tc>
          <w:tcPr>
            <w:tcW w:w="2181" w:type="dxa"/>
          </w:tcPr>
          <w:p w:rsidR="00771C3C" w:rsidRPr="007848A3" w:rsidRDefault="008F13D6" w:rsidP="0073447B">
            <w:pPr>
              <w:pStyle w:val="naiskr"/>
              <w:spacing w:before="20" w:after="20"/>
            </w:pPr>
            <w:r w:rsidRPr="007848A3">
              <w:t>Pašreizējā situācija un problēmas, kuru risināšanai tiesību akta projekts izstrādāts, tiesiskā regulējuma mērķis un būtība</w:t>
            </w:r>
          </w:p>
        </w:tc>
        <w:tc>
          <w:tcPr>
            <w:tcW w:w="6392" w:type="dxa"/>
          </w:tcPr>
          <w:p w:rsidR="00930EC2" w:rsidRDefault="00EE0EB0" w:rsidP="006F3B61">
            <w:pPr>
              <w:jc w:val="both"/>
            </w:pPr>
            <w:r>
              <w:t>Ministru kabineta 2000. gada 26. </w:t>
            </w:r>
            <w:r w:rsidR="00A907FA" w:rsidRPr="00A907FA">
              <w:t>septembra noteikum</w:t>
            </w:r>
            <w:r w:rsidR="00A907FA">
              <w:t>u</w:t>
            </w:r>
            <w:r>
              <w:t xml:space="preserve"> Nr. </w:t>
            </w:r>
            <w:r w:rsidR="00A907FA" w:rsidRPr="00A907FA">
              <w:t>330 "Vakcinācijas noteikumi"</w:t>
            </w:r>
            <w:r w:rsidR="00E233BD">
              <w:t xml:space="preserve"> </w:t>
            </w:r>
            <w:r w:rsidR="00E233BD" w:rsidRPr="008C4082">
              <w:t>(turpmāk – Noteikumi)</w:t>
            </w:r>
            <w:r w:rsidR="00A907FA">
              <w:t xml:space="preserve"> 60. punkts nosaka, ka vakcinācija pret vējbakām septiņus gadus veciem bērniem</w:t>
            </w:r>
            <w:r>
              <w:t xml:space="preserve"> (2. deva) ir jāuzsāk ar 2017. gada 1. </w:t>
            </w:r>
            <w:r w:rsidR="00A54933">
              <w:t>j</w:t>
            </w:r>
            <w:r w:rsidR="00A907FA">
              <w:t>anvāri</w:t>
            </w:r>
            <w:r w:rsidR="00A54933">
              <w:t>.</w:t>
            </w:r>
            <w:r w:rsidR="00A907FA">
              <w:t xml:space="preserve"> </w:t>
            </w:r>
            <w:r w:rsidR="00E233BD">
              <w:t xml:space="preserve">Vakcinācijas </w:t>
            </w:r>
            <w:r w:rsidR="009F5658">
              <w:t xml:space="preserve">pret vējbakām </w:t>
            </w:r>
            <w:r w:rsidR="00E233BD">
              <w:t>2.</w:t>
            </w:r>
            <w:r>
              <w:t> </w:t>
            </w:r>
            <w:r w:rsidR="00E233BD">
              <w:t>deva Noteikumos paredzēta saskaņā ar 2013.</w:t>
            </w:r>
            <w:r>
              <w:t> </w:t>
            </w:r>
            <w:r w:rsidR="00E233BD">
              <w:t>gada 10.</w:t>
            </w:r>
            <w:r>
              <w:t> </w:t>
            </w:r>
            <w:r w:rsidR="00E233BD">
              <w:t>decembra Ministru kabineta noteikumiem Nr.</w:t>
            </w:r>
            <w:r>
              <w:t> </w:t>
            </w:r>
            <w:r w:rsidR="00E233BD">
              <w:t xml:space="preserve">1453 </w:t>
            </w:r>
            <w:r w:rsidR="009F5658" w:rsidRPr="00A907FA">
              <w:t>"</w:t>
            </w:r>
            <w:r w:rsidR="00E233BD">
              <w:t>Grozījumi Ministru kabineta 2000.</w:t>
            </w:r>
            <w:r>
              <w:t> </w:t>
            </w:r>
            <w:r w:rsidR="00E233BD">
              <w:t>gada 26.</w:t>
            </w:r>
            <w:r>
              <w:t> </w:t>
            </w:r>
            <w:r w:rsidR="00E233BD">
              <w:t>septembra</w:t>
            </w:r>
            <w:r w:rsidR="00E16149">
              <w:t xml:space="preserve"> </w:t>
            </w:r>
            <w:r w:rsidR="00E233BD">
              <w:t>noteikumos Nr.</w:t>
            </w:r>
            <w:r>
              <w:t> </w:t>
            </w:r>
            <w:r w:rsidR="00E233BD">
              <w:t xml:space="preserve">330 </w:t>
            </w:r>
            <w:r w:rsidR="009F5658" w:rsidRPr="00A907FA">
              <w:t>"</w:t>
            </w:r>
            <w:r w:rsidR="00E233BD">
              <w:t>Vakcinācijas noteikumi</w:t>
            </w:r>
            <w:r w:rsidR="009F5658" w:rsidRPr="00A907FA">
              <w:t>""</w:t>
            </w:r>
            <w:r w:rsidR="00E233BD">
              <w:t xml:space="preserve">, kuros vakcinācijas </w:t>
            </w:r>
            <w:r w:rsidR="004A446A">
              <w:t xml:space="preserve">pret vējbakām </w:t>
            </w:r>
            <w:r w:rsidR="00E233BD">
              <w:t>2.</w:t>
            </w:r>
            <w:r>
              <w:t> </w:t>
            </w:r>
            <w:r w:rsidR="00E233BD">
              <w:t>deva plānota</w:t>
            </w:r>
            <w:r w:rsidR="0074437A">
              <w:t>,</w:t>
            </w:r>
            <w:r w:rsidR="00E233BD">
              <w:t xml:space="preserve"> balstoties uz papildu valsts budžeta līdzek</w:t>
            </w:r>
            <w:r w:rsidR="008D7BC8">
              <w:t>ļu piešķiršanu 2017.</w:t>
            </w:r>
            <w:r w:rsidR="00350BB1">
              <w:t> </w:t>
            </w:r>
            <w:r w:rsidR="008D7BC8">
              <w:t>gadam</w:t>
            </w:r>
            <w:r w:rsidR="00E233BD">
              <w:t xml:space="preserve"> </w:t>
            </w:r>
            <w:r w:rsidR="008D7BC8">
              <w:t>un turpmākajiem gadiem</w:t>
            </w:r>
            <w:r w:rsidR="00E233BD">
              <w:t xml:space="preserve"> bērnu vakcinācijai </w:t>
            </w:r>
            <w:r w:rsidR="008D7BC8">
              <w:t>pret vējbakām. Pamatojoties uz 2016.</w:t>
            </w:r>
            <w:r w:rsidR="00350BB1">
              <w:t> </w:t>
            </w:r>
            <w:r w:rsidR="008D7BC8">
              <w:t>gada 16.</w:t>
            </w:r>
            <w:r w:rsidR="00350BB1">
              <w:t> </w:t>
            </w:r>
            <w:r w:rsidR="008D7BC8">
              <w:t xml:space="preserve">augusta Ministru kabineta sēdē </w:t>
            </w:r>
            <w:r w:rsidR="004A446A" w:rsidRPr="00A907FA">
              <w:t>"</w:t>
            </w:r>
            <w:r w:rsidR="00D74B6C" w:rsidRPr="00E233BD">
              <w:t>Informatīvais ziņojums "Par priekšlikumiem valsts budžeta ieņēmumiem un izdevumiem 2017.</w:t>
            </w:r>
            <w:r w:rsidR="00A47F19">
              <w:t> </w:t>
            </w:r>
            <w:r w:rsidR="00137967">
              <w:t>gadam un ietvaram 2017.-</w:t>
            </w:r>
            <w:r w:rsidR="00D74B6C" w:rsidRPr="00E233BD">
              <w:t>2019.</w:t>
            </w:r>
            <w:r w:rsidR="00A47F19">
              <w:t> </w:t>
            </w:r>
            <w:r w:rsidR="00D74B6C" w:rsidRPr="00E233BD">
              <w:t>gadam"</w:t>
            </w:r>
            <w:r w:rsidR="004A446A" w:rsidRPr="00A907FA">
              <w:t>"</w:t>
            </w:r>
            <w:r w:rsidR="00D74B6C">
              <w:t xml:space="preserve"> </w:t>
            </w:r>
            <w:r w:rsidR="008D7BC8">
              <w:t>nolemto</w:t>
            </w:r>
            <w:r w:rsidR="00D74B6C">
              <w:t xml:space="preserve"> (</w:t>
            </w:r>
            <w:r w:rsidR="00275197">
              <w:t>protokols Nr.</w:t>
            </w:r>
            <w:r w:rsidR="00A47F19">
              <w:t> </w:t>
            </w:r>
            <w:r w:rsidR="00275197">
              <w:t xml:space="preserve">40, </w:t>
            </w:r>
            <w:r w:rsidR="00D74B6C" w:rsidRPr="00E233BD">
              <w:t>59.</w:t>
            </w:r>
            <w:r w:rsidR="00A47F19">
              <w:t> </w:t>
            </w:r>
            <w:r w:rsidR="00D74B6C" w:rsidRPr="00E233BD">
              <w:t>§</w:t>
            </w:r>
            <w:r w:rsidR="00D74B6C">
              <w:t xml:space="preserve">, </w:t>
            </w:r>
            <w:r w:rsidR="00D74B6C" w:rsidRPr="00E233BD">
              <w:t>TA-1722-IP</w:t>
            </w:r>
            <w:r w:rsidR="00D74B6C">
              <w:t>), Veselības ministrijas papildus līdzekļu piešķīruma jaunajai politikas iniciatīvai Nr.</w:t>
            </w:r>
            <w:r w:rsidR="00A47F19">
              <w:t> </w:t>
            </w:r>
            <w:r w:rsidR="00D74B6C">
              <w:t xml:space="preserve">29_04_P </w:t>
            </w:r>
            <w:r w:rsidR="00DE39A0">
              <w:t xml:space="preserve">noraidījumu atbilstoši valsts budžeta finansiālajām iespējām visu ministriju un centrālo valsts iestāžu priekšlikumiem jaunajām politikas iniciatīvām, </w:t>
            </w:r>
            <w:r w:rsidR="00A54933">
              <w:t xml:space="preserve">vējbaku </w:t>
            </w:r>
            <w:r w:rsidR="00E05B0D">
              <w:t>2. </w:t>
            </w:r>
            <w:r w:rsidR="0067765B">
              <w:t>devas</w:t>
            </w:r>
            <w:r w:rsidR="00A54933">
              <w:t xml:space="preserve"> ievadīšana ir jāatliek uz </w:t>
            </w:r>
            <w:r w:rsidR="006C3EC9" w:rsidRPr="0085394C">
              <w:t>201</w:t>
            </w:r>
            <w:r w:rsidR="0064140F">
              <w:t>9</w:t>
            </w:r>
            <w:r w:rsidR="006C3EC9" w:rsidRPr="0085394C">
              <w:t>.</w:t>
            </w:r>
            <w:r w:rsidR="00A47F19">
              <w:t> </w:t>
            </w:r>
            <w:r w:rsidR="006C3EC9" w:rsidRPr="0085394C">
              <w:t>gada 1.</w:t>
            </w:r>
            <w:r w:rsidR="00A47F19">
              <w:t> </w:t>
            </w:r>
            <w:r w:rsidR="005653B5">
              <w:t>j</w:t>
            </w:r>
            <w:r w:rsidR="00A54933">
              <w:t>anvāri</w:t>
            </w:r>
            <w:r w:rsidR="00930EC2">
              <w:t>.</w:t>
            </w:r>
          </w:p>
          <w:p w:rsidR="000006FC" w:rsidRPr="00237834" w:rsidRDefault="000006FC" w:rsidP="006F3B61">
            <w:pPr>
              <w:jc w:val="both"/>
              <w:rPr>
                <w:sz w:val="20"/>
                <w:szCs w:val="20"/>
              </w:rPr>
            </w:pPr>
          </w:p>
          <w:p w:rsidR="000006FC" w:rsidRPr="00B374CB" w:rsidRDefault="000006FC" w:rsidP="000006FC">
            <w:pPr>
              <w:jc w:val="center"/>
              <w:rPr>
                <w:b/>
              </w:rPr>
            </w:pPr>
            <w:r w:rsidRPr="00B374CB">
              <w:rPr>
                <w:b/>
              </w:rPr>
              <w:t>Vējbakas Latvijā 1991.-2015.</w:t>
            </w:r>
            <w:r w:rsidR="00A47F19">
              <w:rPr>
                <w:b/>
              </w:rPr>
              <w:t> </w:t>
            </w:r>
            <w:r w:rsidRPr="00B374CB">
              <w:rPr>
                <w:b/>
              </w:rPr>
              <w:t>gadā</w:t>
            </w:r>
          </w:p>
          <w:p w:rsidR="000006FC" w:rsidRDefault="000006FC" w:rsidP="000006FC">
            <w:pPr>
              <w:jc w:val="center"/>
            </w:pPr>
            <w:r w:rsidRPr="00B374CB">
              <w:rPr>
                <w:noProof/>
              </w:rPr>
              <w:drawing>
                <wp:inline distT="0" distB="0" distL="0" distR="0">
                  <wp:extent cx="4464000" cy="2437061"/>
                  <wp:effectExtent l="19050" t="19050" r="12750" b="20389"/>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00" cy="2437061"/>
                          </a:xfrm>
                          <a:prstGeom prst="rect">
                            <a:avLst/>
                          </a:prstGeom>
                          <a:noFill/>
                          <a:ln w="3175">
                            <a:solidFill>
                              <a:schemeClr val="tx1"/>
                            </a:solidFill>
                          </a:ln>
                          <a:effectLst/>
                        </pic:spPr>
                      </pic:pic>
                    </a:graphicData>
                  </a:graphic>
                </wp:inline>
              </w:drawing>
            </w:r>
          </w:p>
          <w:p w:rsidR="006502E5" w:rsidRDefault="000006FC" w:rsidP="002B6BE4">
            <w:pPr>
              <w:jc w:val="both"/>
            </w:pPr>
            <w:r>
              <w:t>Vakcināciju pret vējbakām (2.</w:t>
            </w:r>
            <w:r w:rsidR="005440F6">
              <w:t> </w:t>
            </w:r>
            <w:r w:rsidR="002C3DBC">
              <w:t>deva</w:t>
            </w:r>
            <w:r>
              <w:t xml:space="preserve">) ir iespējams atlikt uz </w:t>
            </w:r>
            <w:r w:rsidR="0064140F">
              <w:t>diviem gadiem</w:t>
            </w:r>
            <w:r>
              <w:t xml:space="preserve">, jo bērnu vakcinācija </w:t>
            </w:r>
            <w:r w:rsidR="009E4C30">
              <w:t xml:space="preserve">pret vējbakām </w:t>
            </w:r>
            <w:r>
              <w:t xml:space="preserve">jau ar vienu </w:t>
            </w:r>
            <w:r w:rsidR="002502CD">
              <w:t>devu</w:t>
            </w:r>
            <w:r>
              <w:t xml:space="preserve"> ir sasniegusi</w:t>
            </w:r>
            <w:r w:rsidR="009E4C30">
              <w:t xml:space="preserve"> pietiekami labus rezultātus</w:t>
            </w:r>
            <w:r w:rsidR="00235263">
              <w:t xml:space="preserve">. </w:t>
            </w:r>
            <w:r w:rsidR="0006510A">
              <w:t>Kopumā 2008.-</w:t>
            </w:r>
            <w:r w:rsidR="0006510A" w:rsidRPr="0006510A">
              <w:t>2015.</w:t>
            </w:r>
            <w:r w:rsidR="005440F6">
              <w:t> </w:t>
            </w:r>
            <w:r w:rsidR="0006510A" w:rsidRPr="0006510A">
              <w:t>gadā vakcināciju pret vējbakām</w:t>
            </w:r>
            <w:r w:rsidR="0006510A">
              <w:t xml:space="preserve"> (1.</w:t>
            </w:r>
            <w:r w:rsidR="005440F6">
              <w:t> </w:t>
            </w:r>
            <w:r w:rsidR="0006510A">
              <w:t>deva) saņēmuši 127</w:t>
            </w:r>
            <w:r w:rsidR="005440F6">
              <w:t> </w:t>
            </w:r>
            <w:r w:rsidR="0006510A" w:rsidRPr="0006510A">
              <w:t>168</w:t>
            </w:r>
            <w:r w:rsidR="005440F6">
              <w:t> </w:t>
            </w:r>
            <w:r w:rsidR="0006510A" w:rsidRPr="0006510A">
              <w:t>bērni</w:t>
            </w:r>
            <w:r w:rsidR="0006510A">
              <w:t>.</w:t>
            </w:r>
            <w:r w:rsidR="0006510A" w:rsidRPr="0006510A">
              <w:t xml:space="preserve"> </w:t>
            </w:r>
            <w:r w:rsidR="00235263">
              <w:t>Ja laik</w:t>
            </w:r>
            <w:r w:rsidR="000D6A14">
              <w:t>a</w:t>
            </w:r>
            <w:r w:rsidR="00235263">
              <w:t xml:space="preserve"> </w:t>
            </w:r>
            <w:r w:rsidR="00235263">
              <w:lastRenderedPageBreak/>
              <w:t>posm</w:t>
            </w:r>
            <w:r w:rsidR="00D1217B">
              <w:t>ā</w:t>
            </w:r>
            <w:r w:rsidR="00235263">
              <w:t xml:space="preserve"> no 1991.-</w:t>
            </w:r>
            <w:r w:rsidR="00946C86">
              <w:t>2007.</w:t>
            </w:r>
            <w:r w:rsidR="00886968">
              <w:t> </w:t>
            </w:r>
            <w:r w:rsidR="00946C86">
              <w:t>gadam Latvijā tika reģistrēts vidēji 6</w:t>
            </w:r>
            <w:r w:rsidR="00886968">
              <w:t> </w:t>
            </w:r>
            <w:r w:rsidR="00946C86">
              <w:t>391</w:t>
            </w:r>
            <w:r w:rsidR="00886968">
              <w:t> </w:t>
            </w:r>
            <w:r w:rsidR="00946C86">
              <w:t>vējbaku gadījums gadā, tad saslimušo skaits 2015.</w:t>
            </w:r>
            <w:r w:rsidR="00886968">
              <w:t> </w:t>
            </w:r>
            <w:r w:rsidR="00946C86">
              <w:t>gadā ir bijis vismazākais visā novērošanas periodā – 2058</w:t>
            </w:r>
            <w:r w:rsidR="00886968">
              <w:t> </w:t>
            </w:r>
            <w:r w:rsidR="00946C86">
              <w:t>gadījumi, norādot uz kopējas saslimstības ar vējbakām samazināšanos par 68</w:t>
            </w:r>
            <w:r w:rsidR="00886968">
              <w:t> </w:t>
            </w:r>
            <w:r w:rsidR="00946C86">
              <w:t>% salī</w:t>
            </w:r>
            <w:r w:rsidR="00C865E9">
              <w:t>dzinājumā ar periodu pirms tika</w:t>
            </w:r>
            <w:r w:rsidR="009E4C30">
              <w:t xml:space="preserve"> uzsākta </w:t>
            </w:r>
            <w:r w:rsidR="00946C86">
              <w:t xml:space="preserve">valsts apmaksāta </w:t>
            </w:r>
            <w:r w:rsidR="009E4C30">
              <w:t>vakcinācija.</w:t>
            </w:r>
            <w:r w:rsidR="00AA3BD3">
              <w:t xml:space="preserve"> </w:t>
            </w:r>
            <w:r w:rsidR="00AA3BD3" w:rsidRPr="00AA3BD3">
              <w:t>Ja 2007.</w:t>
            </w:r>
            <w:r w:rsidR="00886968">
              <w:t> </w:t>
            </w:r>
            <w:r w:rsidR="00AA3BD3" w:rsidRPr="00AA3BD3">
              <w:t>gadā tika ziņots par 163 stacionēšanas gadījumiem, tad 2015.</w:t>
            </w:r>
            <w:r w:rsidR="00886968">
              <w:t> </w:t>
            </w:r>
            <w:r w:rsidR="00AA3BD3" w:rsidRPr="00AA3BD3">
              <w:t>gadā tikai par 50</w:t>
            </w:r>
            <w:r w:rsidR="00886968">
              <w:t> </w:t>
            </w:r>
            <w:r w:rsidR="00AA3BD3" w:rsidRPr="00AA3BD3">
              <w:t>gadījumiem. Visintensīvāk stacionēšanas biežums samazinājies ar vakcināciju aptvertajās vecuma grupās.</w:t>
            </w:r>
            <w:r w:rsidR="00D911B1">
              <w:t xml:space="preserve"> </w:t>
            </w:r>
            <w:r w:rsidR="00700F7D" w:rsidRPr="00700F7D">
              <w:t>Reģistrēto vējbaku gadījumu analīze liecina, ka vakcinā</w:t>
            </w:r>
            <w:r w:rsidR="004D66A3">
              <w:t>cijas rezultātā ievērojami (5,4 </w:t>
            </w:r>
            <w:r w:rsidR="00700F7D" w:rsidRPr="00700F7D">
              <w:t>reizes) samazinājies hospitalizēto bērnu skaits vecumgrupā „0-2gadi” (54</w:t>
            </w:r>
            <w:r w:rsidR="00886968">
              <w:t> </w:t>
            </w:r>
            <w:r w:rsidR="00700F7D" w:rsidRPr="00700F7D">
              <w:t>hospitalizācijas 2007.</w:t>
            </w:r>
            <w:r w:rsidR="00886968">
              <w:t> </w:t>
            </w:r>
            <w:r w:rsidR="00700F7D" w:rsidRPr="00700F7D">
              <w:t>gadā un 1</w:t>
            </w:r>
            <w:r w:rsidR="00700F7D">
              <w:t>0</w:t>
            </w:r>
            <w:r w:rsidR="00886968">
              <w:t> </w:t>
            </w:r>
            <w:r w:rsidR="00700F7D">
              <w:t>hospitalizācijas 2015.</w:t>
            </w:r>
            <w:r w:rsidR="00886968">
              <w:t> </w:t>
            </w:r>
            <w:r w:rsidR="00700F7D">
              <w:t>gadā).</w:t>
            </w:r>
          </w:p>
          <w:p w:rsidR="00B612DD" w:rsidRPr="00237834" w:rsidRDefault="00B612DD" w:rsidP="002B6BE4">
            <w:pPr>
              <w:jc w:val="both"/>
              <w:rPr>
                <w:sz w:val="20"/>
                <w:szCs w:val="20"/>
              </w:rPr>
            </w:pPr>
          </w:p>
          <w:p w:rsidR="000703C6" w:rsidRDefault="00535C5E" w:rsidP="002B6BE4">
            <w:pPr>
              <w:jc w:val="both"/>
            </w:pPr>
            <w:r w:rsidRPr="00DB0AD3">
              <w:rPr>
                <w:u w:val="single"/>
              </w:rPr>
              <w:t>Eiropas Slimību profilakses un kontroles centrs</w:t>
            </w:r>
            <w:r>
              <w:t xml:space="preserve"> (</w:t>
            </w:r>
            <w:r w:rsidRPr="00535C5E">
              <w:rPr>
                <w:i/>
              </w:rPr>
              <w:t xml:space="preserve">ECDC GUIDANCE Varicella </w:t>
            </w:r>
            <w:proofErr w:type="spellStart"/>
            <w:r w:rsidRPr="00535C5E">
              <w:rPr>
                <w:i/>
              </w:rPr>
              <w:t>vaccination</w:t>
            </w:r>
            <w:proofErr w:type="spellEnd"/>
            <w:r w:rsidRPr="00535C5E">
              <w:rPr>
                <w:i/>
              </w:rPr>
              <w:t xml:space="preserve"> </w:t>
            </w:r>
            <w:proofErr w:type="spellStart"/>
            <w:r w:rsidRPr="00535C5E">
              <w:rPr>
                <w:i/>
              </w:rPr>
              <w:t>in</w:t>
            </w:r>
            <w:proofErr w:type="spellEnd"/>
            <w:r w:rsidRPr="00535C5E">
              <w:rPr>
                <w:i/>
              </w:rPr>
              <w:t xml:space="preserve"> </w:t>
            </w:r>
            <w:proofErr w:type="spellStart"/>
            <w:r w:rsidRPr="00535C5E">
              <w:rPr>
                <w:i/>
              </w:rPr>
              <w:t>the</w:t>
            </w:r>
            <w:proofErr w:type="spellEnd"/>
            <w:r w:rsidRPr="00535C5E">
              <w:rPr>
                <w:i/>
              </w:rPr>
              <w:t xml:space="preserve"> </w:t>
            </w:r>
            <w:proofErr w:type="spellStart"/>
            <w:r w:rsidRPr="00535C5E">
              <w:rPr>
                <w:i/>
              </w:rPr>
              <w:t>European</w:t>
            </w:r>
            <w:proofErr w:type="spellEnd"/>
            <w:r w:rsidRPr="00535C5E">
              <w:rPr>
                <w:i/>
              </w:rPr>
              <w:t xml:space="preserve"> </w:t>
            </w:r>
            <w:proofErr w:type="spellStart"/>
            <w:r w:rsidRPr="00535C5E">
              <w:rPr>
                <w:i/>
              </w:rPr>
              <w:t>Union</w:t>
            </w:r>
            <w:proofErr w:type="spellEnd"/>
            <w:r>
              <w:t xml:space="preserve">; 2015) secina, ka tajās </w:t>
            </w:r>
            <w:r w:rsidRPr="002571D9">
              <w:t>valstī</w:t>
            </w:r>
            <w:r>
              <w:t>s</w:t>
            </w:r>
            <w:r w:rsidRPr="002571D9">
              <w:t>, kas ir ieviesušas vispārēju vakcināciju</w:t>
            </w:r>
            <w:r w:rsidR="00946C86">
              <w:t xml:space="preserve"> pret vējbakām</w:t>
            </w:r>
            <w:r w:rsidRPr="002571D9">
              <w:t xml:space="preserve"> bērniem</w:t>
            </w:r>
            <w:r>
              <w:t>, ir</w:t>
            </w:r>
            <w:r w:rsidRPr="007E1BFE">
              <w:t xml:space="preserve"> </w:t>
            </w:r>
            <w:r w:rsidRPr="002571D9">
              <w:t>strauj</w:t>
            </w:r>
            <w:r>
              <w:t>i</w:t>
            </w:r>
            <w:r w:rsidRPr="002571D9">
              <w:t xml:space="preserve"> samazinā</w:t>
            </w:r>
            <w:r>
              <w:t xml:space="preserve">jusies saslimstība ar </w:t>
            </w:r>
            <w:r w:rsidR="00946C86">
              <w:t>šo infekciju un</w:t>
            </w:r>
            <w:r>
              <w:t xml:space="preserve"> </w:t>
            </w:r>
            <w:r w:rsidRPr="002571D9">
              <w:t>vējbaku komplikācij</w:t>
            </w:r>
            <w:r>
              <w:t xml:space="preserve">ām, </w:t>
            </w:r>
            <w:r w:rsidR="007C2E60" w:rsidRPr="002571D9">
              <w:t>samazinā</w:t>
            </w:r>
            <w:r w:rsidR="007C2E60">
              <w:t>jusies</w:t>
            </w:r>
            <w:r w:rsidR="007C2E60" w:rsidRPr="002571D9">
              <w:t xml:space="preserve"> </w:t>
            </w:r>
            <w:r w:rsidRPr="002571D9">
              <w:t>hospitalizācija</w:t>
            </w:r>
            <w:r w:rsidRPr="007E1BFE">
              <w:t xml:space="preserve"> </w:t>
            </w:r>
            <w:r w:rsidRPr="002571D9">
              <w:t>un nāves</w:t>
            </w:r>
            <w:r>
              <w:t xml:space="preserve"> gadījumi</w:t>
            </w:r>
            <w:r w:rsidRPr="007E1BFE">
              <w:t xml:space="preserve"> </w:t>
            </w:r>
            <w:r w:rsidRPr="002571D9">
              <w:t>visās vecuma grupās</w:t>
            </w:r>
            <w:r w:rsidRPr="007E1BFE">
              <w:t xml:space="preserve"> </w:t>
            </w:r>
            <w:r w:rsidRPr="002571D9">
              <w:t>gan vakcinēti</w:t>
            </w:r>
            <w:r>
              <w:t>em,</w:t>
            </w:r>
            <w:r w:rsidRPr="002571D9">
              <w:t xml:space="preserve"> </w:t>
            </w:r>
            <w:r>
              <w:t>gan nevakcinētiem indivīdiem</w:t>
            </w:r>
            <w:r w:rsidRPr="002571D9">
              <w:t>.</w:t>
            </w:r>
            <w:r w:rsidR="002B6BE4">
              <w:t xml:space="preserve"> </w:t>
            </w:r>
          </w:p>
          <w:p w:rsidR="00C847BF" w:rsidRDefault="006177F5" w:rsidP="00E930EF">
            <w:pPr>
              <w:jc w:val="both"/>
            </w:pPr>
            <w:r>
              <w:t>Tomēr k</w:t>
            </w:r>
            <w:r w:rsidR="002B6BE4">
              <w:t xml:space="preserve">līnisko pētījumu efektivitātes un </w:t>
            </w:r>
            <w:r w:rsidR="002B6BE4" w:rsidRPr="002B6BE4">
              <w:t xml:space="preserve">imunoģenētikas </w:t>
            </w:r>
            <w:r w:rsidR="002B6BE4">
              <w:t xml:space="preserve">rezultāti apstiprina, ka </w:t>
            </w:r>
            <w:r w:rsidR="002B6BE4" w:rsidRPr="00384CC2">
              <w:rPr>
                <w:u w:val="single"/>
              </w:rPr>
              <w:t xml:space="preserve">divu devu vakcinācijas shēma dod augstākus rezultātus </w:t>
            </w:r>
            <w:r w:rsidR="006F63DA" w:rsidRPr="00384CC2">
              <w:rPr>
                <w:u w:val="single"/>
              </w:rPr>
              <w:t>(</w:t>
            </w:r>
            <w:r w:rsidR="002B6BE4" w:rsidRPr="00384CC2">
              <w:rPr>
                <w:u w:val="single"/>
              </w:rPr>
              <w:t>augstāks</w:t>
            </w:r>
            <w:r w:rsidR="006F63DA" w:rsidRPr="00384CC2">
              <w:rPr>
                <w:u w:val="single"/>
              </w:rPr>
              <w:t xml:space="preserve"> serokonversijas rādītājs) </w:t>
            </w:r>
            <w:r w:rsidR="002B6BE4" w:rsidRPr="00384CC2">
              <w:rPr>
                <w:u w:val="single"/>
              </w:rPr>
              <w:t>un vakcīnas efektivitāt</w:t>
            </w:r>
            <w:r w:rsidR="006F63DA" w:rsidRPr="00384CC2">
              <w:rPr>
                <w:u w:val="single"/>
              </w:rPr>
              <w:t>i</w:t>
            </w:r>
            <w:r w:rsidR="002B6BE4" w:rsidRPr="00384CC2">
              <w:rPr>
                <w:u w:val="single"/>
              </w:rPr>
              <w:t xml:space="preserve"> nekā vienas devas</w:t>
            </w:r>
            <w:r w:rsidR="006F63DA" w:rsidRPr="00384CC2">
              <w:rPr>
                <w:u w:val="single"/>
              </w:rPr>
              <w:t xml:space="preserve"> vakcinācija</w:t>
            </w:r>
            <w:r w:rsidR="002B6BE4">
              <w:t>.</w:t>
            </w:r>
            <w:r w:rsidR="00D57F76">
              <w:t xml:space="preserve"> </w:t>
            </w:r>
          </w:p>
          <w:p w:rsidR="0067377F" w:rsidRPr="00237834" w:rsidRDefault="0067377F" w:rsidP="00E930EF">
            <w:pPr>
              <w:jc w:val="both"/>
              <w:rPr>
                <w:sz w:val="20"/>
                <w:szCs w:val="20"/>
              </w:rPr>
            </w:pPr>
          </w:p>
          <w:p w:rsidR="00C847BF" w:rsidRDefault="0067377F" w:rsidP="00E930EF">
            <w:pPr>
              <w:jc w:val="both"/>
            </w:pPr>
            <w:r>
              <w:t>Pasaules Veselības organizācija</w:t>
            </w:r>
            <w:r w:rsidR="00590A73">
              <w:t xml:space="preserve"> uzskata, ka tajās valstī</w:t>
            </w:r>
            <w:r w:rsidR="00590A73" w:rsidRPr="00590A73">
              <w:t>s, kur</w:t>
            </w:r>
            <w:r w:rsidR="00590A73">
              <w:t>ās</w:t>
            </w:r>
            <w:r w:rsidR="00590A73" w:rsidRPr="00590A73">
              <w:t xml:space="preserve"> vējbak</w:t>
            </w:r>
            <w:r w:rsidR="00590A73">
              <w:t>as</w:t>
            </w:r>
            <w:r w:rsidR="00590A73" w:rsidRPr="00590A73">
              <w:t xml:space="preserve"> ir </w:t>
            </w:r>
            <w:r w:rsidR="00590A73">
              <w:t>būtisks</w:t>
            </w:r>
            <w:r w:rsidR="00590A73" w:rsidRPr="00590A73">
              <w:t xml:space="preserve"> sabiedrības veselības slogs</w:t>
            </w:r>
            <w:r w:rsidR="0004028B">
              <w:t>,</w:t>
            </w:r>
            <w:r w:rsidR="00590A73" w:rsidRPr="00590A73">
              <w:t xml:space="preserve"> </w:t>
            </w:r>
            <w:r w:rsidR="0004028B">
              <w:t>vējbaku vakcinācija ir jāietver</w:t>
            </w:r>
            <w:r w:rsidR="00590A73" w:rsidRPr="00590A73">
              <w:t xml:space="preserve"> bērn</w:t>
            </w:r>
            <w:r w:rsidR="0004028B">
              <w:t>u</w:t>
            </w:r>
            <w:r w:rsidR="00590A73" w:rsidRPr="00590A73">
              <w:t xml:space="preserve"> imunizācijas programmā.</w:t>
            </w:r>
            <w:r w:rsidR="004A0207">
              <w:t xml:space="preserve"> Vakcīnas aptverei ir jābūt</w:t>
            </w:r>
            <w:r w:rsidR="004A0207" w:rsidRPr="004A0207">
              <w:t xml:space="preserve"> ≥80</w:t>
            </w:r>
            <w:r w:rsidR="00EF7A31">
              <w:t xml:space="preserve"> </w:t>
            </w:r>
            <w:r w:rsidR="004A0207" w:rsidRPr="004A0207">
              <w:t>%</w:t>
            </w:r>
            <w:r w:rsidR="004A0207">
              <w:t xml:space="preserve"> (Latvijā </w:t>
            </w:r>
            <w:r w:rsidR="00E754A5" w:rsidRPr="00E754A5">
              <w:t>2015.</w:t>
            </w:r>
            <w:r w:rsidR="006906AB">
              <w:t> </w:t>
            </w:r>
            <w:r w:rsidR="00E754A5" w:rsidRPr="00E754A5">
              <w:t xml:space="preserve">gadā </w:t>
            </w:r>
            <w:r w:rsidR="00E754A5">
              <w:t>v</w:t>
            </w:r>
            <w:r w:rsidR="00E754A5" w:rsidRPr="00E754A5">
              <w:t>akcinācijas aptvere bija visaugstākā kopš imunizācijas uzsākšanas – 85,6</w:t>
            </w:r>
            <w:r w:rsidR="00EF7A31">
              <w:t xml:space="preserve"> </w:t>
            </w:r>
            <w:r w:rsidR="00E754A5" w:rsidRPr="00E754A5">
              <w:t>%</w:t>
            </w:r>
            <w:r w:rsidR="004A0207">
              <w:t>)</w:t>
            </w:r>
            <w:r w:rsidR="004A0207" w:rsidRPr="004A0207">
              <w:t>.</w:t>
            </w:r>
          </w:p>
          <w:p w:rsidR="00CD4D3A" w:rsidRDefault="00387FAF" w:rsidP="00387FAF">
            <w:pPr>
              <w:jc w:val="both"/>
            </w:pPr>
            <w:r w:rsidRPr="00781134">
              <w:rPr>
                <w:u w:val="single"/>
              </w:rPr>
              <w:t>Pasaules Veselības organizācija</w:t>
            </w:r>
            <w:r>
              <w:t xml:space="preserve"> norāda, ka ieteicamais </w:t>
            </w:r>
            <w:r w:rsidR="00084498">
              <w:t>vējbaku vakcinācijas d</w:t>
            </w:r>
            <w:r>
              <w:t xml:space="preserve">evu skaits ir atkarīgs </w:t>
            </w:r>
            <w:r w:rsidR="00084498">
              <w:t>no vakcinācijas programmas mērķa.</w:t>
            </w:r>
            <w:r w:rsidR="00F8217A">
              <w:t xml:space="preserve"> </w:t>
            </w:r>
            <w:r>
              <w:t xml:space="preserve">Viena </w:t>
            </w:r>
            <w:r w:rsidR="00711F9A">
              <w:t xml:space="preserve">vakcinācijas </w:t>
            </w:r>
            <w:r>
              <w:t xml:space="preserve">deva ir pietiekama, lai samazinātu mirstību un </w:t>
            </w:r>
            <w:r w:rsidR="00EC0511">
              <w:t xml:space="preserve">smagu </w:t>
            </w:r>
            <w:r>
              <w:t xml:space="preserve">saslimstību </w:t>
            </w:r>
            <w:r w:rsidR="00EC0511">
              <w:t>ar</w:t>
            </w:r>
            <w:r>
              <w:t xml:space="preserve"> vējbakām, bet ne </w:t>
            </w:r>
            <w:r w:rsidR="00194ACB">
              <w:t xml:space="preserve">lai </w:t>
            </w:r>
            <w:r>
              <w:t>ierobežot</w:t>
            </w:r>
            <w:r w:rsidR="00194ACB">
              <w:t>u</w:t>
            </w:r>
            <w:r>
              <w:t xml:space="preserve"> vīrusa cirkulāciju un </w:t>
            </w:r>
            <w:r w:rsidR="00C04C45">
              <w:t xml:space="preserve">saslimstības </w:t>
            </w:r>
            <w:r>
              <w:t>uzliesmojumus.</w:t>
            </w:r>
            <w:r w:rsidR="00781134">
              <w:t xml:space="preserve"> </w:t>
            </w:r>
            <w:r w:rsidR="0033273E" w:rsidRPr="0033273E">
              <w:rPr>
                <w:u w:val="single"/>
              </w:rPr>
              <w:t>Divas vakcinācijas devas dod augstāku efektivitāti un tāpēc ir ieteicamas valstīs, kuru imunizācijas programmu mērķis ir ne tikai samazināt mirstību un novērst smagus saslimšanas gadījumus, bet samazināt arī kopējo saslimstību un novērst uzliesmojumus</w:t>
            </w:r>
            <w:r w:rsidR="00D746F0" w:rsidRPr="00711F9A">
              <w:t>.</w:t>
            </w:r>
          </w:p>
          <w:p w:rsidR="00B612DD" w:rsidRPr="00237834" w:rsidRDefault="00B612DD" w:rsidP="00E930EF">
            <w:pPr>
              <w:jc w:val="both"/>
              <w:rPr>
                <w:sz w:val="20"/>
                <w:szCs w:val="20"/>
              </w:rPr>
            </w:pPr>
          </w:p>
          <w:p w:rsidR="00E930EF" w:rsidRDefault="00B04B2C" w:rsidP="00E930EF">
            <w:pPr>
              <w:jc w:val="both"/>
            </w:pPr>
            <w:r>
              <w:t>Saskaņā ar Eiropas Slimību profilakses un kontroles centra datiem s</w:t>
            </w:r>
            <w:r w:rsidR="00E930EF">
              <w:t>ešās Eiropas valstīs vējbaku vakcinācija bērniem ir ietverta vakcinācijas kalendāros valsts līmenī (</w:t>
            </w:r>
            <w:r w:rsidR="00420341">
              <w:t xml:space="preserve">Austrija, </w:t>
            </w:r>
            <w:r w:rsidR="00E930EF">
              <w:t>Grieķija, Kipra, Latvija, Luksemburga, Vācija), savukārt divās valstīs (Itālija, Spānija) vējbaku vakcinācija bērniem ir ietverta vakcinācijas kalendāros reģionālā līmenī. Septiņpadsmit valstis</w:t>
            </w:r>
            <w:r w:rsidR="00420341">
              <w:t xml:space="preserve">, piemēram, </w:t>
            </w:r>
            <w:r w:rsidR="00D310EA">
              <w:t xml:space="preserve">Apvienotā Karaliste, </w:t>
            </w:r>
            <w:r w:rsidR="009F50EE">
              <w:t xml:space="preserve">Beļģija, </w:t>
            </w:r>
            <w:r w:rsidR="00420341">
              <w:t>Polija,</w:t>
            </w:r>
            <w:r w:rsidR="00E930EF">
              <w:t xml:space="preserve"> iesaka valsts mēroga vakcināciju tikai riska grupām (pret slimību uzņēmīgi pusaudži, medicīnas vai noteiktu profesiju darbinieki).</w:t>
            </w:r>
          </w:p>
          <w:p w:rsidR="00664F2A" w:rsidRPr="00237834" w:rsidRDefault="00664F2A" w:rsidP="00E930EF">
            <w:pPr>
              <w:jc w:val="both"/>
              <w:rPr>
                <w:sz w:val="20"/>
                <w:szCs w:val="20"/>
              </w:rPr>
            </w:pPr>
          </w:p>
          <w:p w:rsidR="00F74DFB" w:rsidRPr="002D0DD7" w:rsidRDefault="00664F2A" w:rsidP="00F74DFB">
            <w:pPr>
              <w:jc w:val="both"/>
              <w:rPr>
                <w:color w:val="000000"/>
              </w:rPr>
            </w:pPr>
            <w:r w:rsidRPr="002D0DD7">
              <w:t xml:space="preserve">Noteikumu projekta sekas un ietekme uz bērniem, kuri </w:t>
            </w:r>
            <w:proofErr w:type="gramStart"/>
            <w:r w:rsidRPr="002D0DD7">
              <w:t xml:space="preserve">sākot ar </w:t>
            </w:r>
            <w:r w:rsidR="00D93C02" w:rsidRPr="002D0DD7">
              <w:t>2017. gada 1. </w:t>
            </w:r>
            <w:r w:rsidRPr="002D0DD7">
              <w:t>janvāri</w:t>
            </w:r>
            <w:proofErr w:type="gramEnd"/>
            <w:r w:rsidRPr="002D0DD7">
              <w:t xml:space="preserve"> nesaņems vakcīnas pret vējbakām 2.</w:t>
            </w:r>
            <w:r w:rsidR="00D1171A" w:rsidRPr="002D0DD7">
              <w:t> d</w:t>
            </w:r>
            <w:r w:rsidRPr="002D0DD7">
              <w:t>evu</w:t>
            </w:r>
            <w:r w:rsidR="00D1171A" w:rsidRPr="002D0DD7">
              <w:t>,</w:t>
            </w:r>
            <w:r w:rsidRPr="002D0DD7">
              <w:t xml:space="preserve"> </w:t>
            </w:r>
            <w:r w:rsidR="00D1171A" w:rsidRPr="002D0DD7">
              <w:t xml:space="preserve">un populāciju kopumā </w:t>
            </w:r>
            <w:r w:rsidRPr="002D0DD7">
              <w:t>ir sekojoša –</w:t>
            </w:r>
            <w:r w:rsidR="00CA2EBA" w:rsidRPr="002D0DD7">
              <w:t xml:space="preserve"> kopējā saslimstība ar vējbakām </w:t>
            </w:r>
            <w:r w:rsidR="000B56BD" w:rsidRPr="002D0DD7">
              <w:t xml:space="preserve">populācijā </w:t>
            </w:r>
            <w:r w:rsidR="00CA2EBA" w:rsidRPr="002D0DD7">
              <w:t xml:space="preserve">samazināsies </w:t>
            </w:r>
            <w:r w:rsidR="000B56BD" w:rsidRPr="002D0DD7">
              <w:t xml:space="preserve">lēnāk, </w:t>
            </w:r>
            <w:r w:rsidR="006F762D" w:rsidRPr="002D0DD7">
              <w:rPr>
                <w:color w:val="000000"/>
              </w:rPr>
              <w:t>jo vakcīnas efektivitāte, vakcinējot ar vienu devu</w:t>
            </w:r>
            <w:r w:rsidR="002739D9" w:rsidRPr="002D0DD7">
              <w:rPr>
                <w:color w:val="000000"/>
              </w:rPr>
              <w:t>,</w:t>
            </w:r>
            <w:r w:rsidR="006F762D" w:rsidRPr="002D0DD7">
              <w:rPr>
                <w:color w:val="000000"/>
              </w:rPr>
              <w:t xml:space="preserve"> vidēji ir 85</w:t>
            </w:r>
            <w:r w:rsidR="00CE4E1A" w:rsidRPr="002D0DD7">
              <w:rPr>
                <w:color w:val="000000"/>
              </w:rPr>
              <w:t> </w:t>
            </w:r>
            <w:r w:rsidR="006F762D" w:rsidRPr="002D0DD7">
              <w:rPr>
                <w:color w:val="000000"/>
              </w:rPr>
              <w:t>%.</w:t>
            </w:r>
            <w:r w:rsidR="00CE4E1A" w:rsidRPr="002D0DD7">
              <w:rPr>
                <w:color w:val="000000"/>
              </w:rPr>
              <w:t xml:space="preserve"> Attiecīgi aptuveni 25</w:t>
            </w:r>
            <w:r w:rsidR="007F394A" w:rsidRPr="002D0DD7">
              <w:rPr>
                <w:color w:val="000000"/>
              </w:rPr>
              <w:t> </w:t>
            </w:r>
            <w:r w:rsidR="00CE4E1A" w:rsidRPr="002D0DD7">
              <w:rPr>
                <w:color w:val="000000"/>
              </w:rPr>
              <w:t xml:space="preserve">% bērnu </w:t>
            </w:r>
            <w:r w:rsidR="00005E00" w:rsidRPr="002D0DD7">
              <w:rPr>
                <w:color w:val="000000"/>
              </w:rPr>
              <w:t xml:space="preserve">joprojām </w:t>
            </w:r>
            <w:r w:rsidR="00005E00" w:rsidRPr="002D0DD7">
              <w:rPr>
                <w:color w:val="000000"/>
              </w:rPr>
              <w:lastRenderedPageBreak/>
              <w:t xml:space="preserve">saslims ar vējbakām un </w:t>
            </w:r>
            <w:r w:rsidR="00690066" w:rsidRPr="002D0DD7">
              <w:rPr>
                <w:color w:val="000000"/>
              </w:rPr>
              <w:t xml:space="preserve">attiecīgi </w:t>
            </w:r>
            <w:r w:rsidR="00005E00" w:rsidRPr="002D0DD7">
              <w:rPr>
                <w:color w:val="000000"/>
              </w:rPr>
              <w:t>kolektīvā imunitāte pret vējbakām arī veidosies lēnāk</w:t>
            </w:r>
            <w:r w:rsidR="00755035" w:rsidRPr="002D0DD7">
              <w:rPr>
                <w:color w:val="000000"/>
              </w:rPr>
              <w:t xml:space="preserve"> (parasti </w:t>
            </w:r>
            <w:r w:rsidR="00B23112" w:rsidRPr="002D0DD7">
              <w:rPr>
                <w:color w:val="000000"/>
              </w:rPr>
              <w:t xml:space="preserve">citas </w:t>
            </w:r>
            <w:r w:rsidR="00755035" w:rsidRPr="002D0DD7">
              <w:rPr>
                <w:color w:val="000000"/>
              </w:rPr>
              <w:t>persona</w:t>
            </w:r>
            <w:r w:rsidR="00B23112" w:rsidRPr="002D0DD7">
              <w:rPr>
                <w:color w:val="000000"/>
              </w:rPr>
              <w:t>s</w:t>
            </w:r>
            <w:r w:rsidR="00755035" w:rsidRPr="002D0DD7">
              <w:rPr>
                <w:color w:val="000000"/>
              </w:rPr>
              <w:t xml:space="preserve"> inficējas no slima cilvēka</w:t>
            </w:r>
            <w:r w:rsidR="00B23112" w:rsidRPr="002D0DD7">
              <w:rPr>
                <w:color w:val="000000"/>
              </w:rPr>
              <w:t xml:space="preserve"> (t.sk. bērna)</w:t>
            </w:r>
            <w:r w:rsidR="00755035" w:rsidRPr="002D0DD7">
              <w:rPr>
                <w:color w:val="000000"/>
              </w:rPr>
              <w:t xml:space="preserve"> tieša kontakta veidā)</w:t>
            </w:r>
            <w:r w:rsidR="00005E00" w:rsidRPr="002D0DD7">
              <w:rPr>
                <w:color w:val="000000"/>
              </w:rPr>
              <w:t>.</w:t>
            </w:r>
            <w:r w:rsidR="00F74DFB" w:rsidRPr="002D0DD7">
              <w:t xml:space="preserve"> Saslimšana ar vējbakām ir </w:t>
            </w:r>
            <w:r w:rsidR="00AF20E4" w:rsidRPr="002D0DD7">
              <w:t xml:space="preserve">arī </w:t>
            </w:r>
            <w:r w:rsidR="00F74DFB" w:rsidRPr="002D0DD7">
              <w:t xml:space="preserve">viena no </w:t>
            </w:r>
            <w:r w:rsidR="00B52854" w:rsidRPr="002D0DD7">
              <w:t xml:space="preserve">tām </w:t>
            </w:r>
            <w:r w:rsidR="00F74DFB" w:rsidRPr="002D0DD7">
              <w:rPr>
                <w:color w:val="000000"/>
              </w:rPr>
              <w:t>infekcijas slimībām, kuras gadījumā ir jānosaka kontaktpersonas</w:t>
            </w:r>
            <w:r w:rsidR="000B0DEF" w:rsidRPr="002D0DD7">
              <w:rPr>
                <w:color w:val="000000"/>
              </w:rPr>
              <w:t>;</w:t>
            </w:r>
            <w:r w:rsidR="00F74DFB" w:rsidRPr="002D0DD7">
              <w:rPr>
                <w:color w:val="000000"/>
              </w:rPr>
              <w:t xml:space="preserve"> kontaktperson</w:t>
            </w:r>
            <w:r w:rsidR="00D441E2" w:rsidRPr="002D0DD7">
              <w:rPr>
                <w:color w:val="000000"/>
              </w:rPr>
              <w:t>ām (</w:t>
            </w:r>
            <w:r w:rsidR="00D441E2" w:rsidRPr="002D0DD7">
              <w:t>grūtniecēm</w:t>
            </w:r>
            <w:r w:rsidR="00D441E2" w:rsidRPr="002D0DD7">
              <w:rPr>
                <w:color w:val="000000"/>
              </w:rPr>
              <w:t>)</w:t>
            </w:r>
            <w:r w:rsidR="00F74DFB" w:rsidRPr="002D0DD7">
              <w:rPr>
                <w:color w:val="000000"/>
              </w:rPr>
              <w:t xml:space="preserve"> </w:t>
            </w:r>
            <w:r w:rsidR="00D441E2" w:rsidRPr="002D0DD7">
              <w:rPr>
                <w:color w:val="000000"/>
              </w:rPr>
              <w:t>jāveic primārās medicīniskās pārbaudes un</w:t>
            </w:r>
            <w:r w:rsidR="00F74DFB" w:rsidRPr="002D0DD7">
              <w:rPr>
                <w:color w:val="000000"/>
              </w:rPr>
              <w:t xml:space="preserve"> laboratoriskās pārbaudes</w:t>
            </w:r>
            <w:r w:rsidR="00D441E2" w:rsidRPr="002D0DD7">
              <w:rPr>
                <w:color w:val="000000"/>
              </w:rPr>
              <w:t xml:space="preserve"> (</w:t>
            </w:r>
            <w:r w:rsidR="00D441E2" w:rsidRPr="002D0DD7">
              <w:t>asins parauga seroloģiskā izmeklēšana dinamikā</w:t>
            </w:r>
            <w:r w:rsidR="00D441E2" w:rsidRPr="002D0DD7">
              <w:rPr>
                <w:color w:val="000000"/>
              </w:rPr>
              <w:t>)</w:t>
            </w:r>
            <w:r w:rsidR="00B0171D" w:rsidRPr="002D0DD7">
              <w:rPr>
                <w:color w:val="000000"/>
              </w:rPr>
              <w:t>;</w:t>
            </w:r>
            <w:r w:rsidR="00F74DFB" w:rsidRPr="002D0DD7">
              <w:rPr>
                <w:color w:val="000000"/>
              </w:rPr>
              <w:t xml:space="preserve"> </w:t>
            </w:r>
            <w:r w:rsidR="00B0171D" w:rsidRPr="002D0DD7">
              <w:rPr>
                <w:color w:val="000000"/>
              </w:rPr>
              <w:t>jāveic</w:t>
            </w:r>
            <w:r w:rsidR="00F74DFB" w:rsidRPr="002D0DD7">
              <w:rPr>
                <w:color w:val="000000"/>
              </w:rPr>
              <w:t xml:space="preserve"> medicīniskā novērošana</w:t>
            </w:r>
            <w:r w:rsidR="000B0DEF" w:rsidRPr="002D0DD7">
              <w:rPr>
                <w:color w:val="000000"/>
              </w:rPr>
              <w:t xml:space="preserve"> </w:t>
            </w:r>
            <w:r w:rsidR="000B0DEF" w:rsidRPr="002D0DD7">
              <w:t>21 dienu</w:t>
            </w:r>
            <w:r w:rsidR="00B52854" w:rsidRPr="002D0DD7">
              <w:rPr>
                <w:color w:val="000000"/>
              </w:rPr>
              <w:t>.</w:t>
            </w:r>
          </w:p>
          <w:p w:rsidR="004B1BFF" w:rsidRPr="00237834" w:rsidRDefault="004B1BFF" w:rsidP="00F74DFB">
            <w:pPr>
              <w:jc w:val="both"/>
              <w:rPr>
                <w:color w:val="000000"/>
                <w:sz w:val="20"/>
                <w:szCs w:val="20"/>
              </w:rPr>
            </w:pPr>
          </w:p>
          <w:p w:rsidR="004B1BFF" w:rsidRDefault="004B1BFF" w:rsidP="00F74DFB">
            <w:pPr>
              <w:jc w:val="both"/>
              <w:rPr>
                <w:color w:val="000000"/>
              </w:rPr>
            </w:pPr>
            <w:r w:rsidRPr="002D0DD7">
              <w:rPr>
                <w:spacing w:val="2"/>
              </w:rPr>
              <w:t xml:space="preserve">Alternatīvā iespēja </w:t>
            </w:r>
            <w:r w:rsidR="0081427F" w:rsidRPr="002D0DD7">
              <w:rPr>
                <w:spacing w:val="2"/>
              </w:rPr>
              <w:t xml:space="preserve">laika posmā no 2017. gada 1. janvāra līdz 2019. gada 1. janvārim </w:t>
            </w:r>
            <w:r w:rsidRPr="002D0DD7">
              <w:rPr>
                <w:spacing w:val="2"/>
              </w:rPr>
              <w:t>ir veikt vakcināciju (2. dev</w:t>
            </w:r>
            <w:r w:rsidR="004E6D20" w:rsidRPr="002D0DD7">
              <w:rPr>
                <w:spacing w:val="2"/>
              </w:rPr>
              <w:t>a</w:t>
            </w:r>
            <w:r w:rsidRPr="002D0DD7">
              <w:rPr>
                <w:spacing w:val="2"/>
              </w:rPr>
              <w:t xml:space="preserve">) </w:t>
            </w:r>
            <w:r w:rsidR="0081427F" w:rsidRPr="002D0DD7">
              <w:rPr>
                <w:spacing w:val="2"/>
              </w:rPr>
              <w:t xml:space="preserve">septiņgadīgajam </w:t>
            </w:r>
            <w:r w:rsidRPr="002D0DD7">
              <w:rPr>
                <w:spacing w:val="2"/>
              </w:rPr>
              <w:t>bērnam</w:t>
            </w:r>
            <w:r w:rsidR="0081427F" w:rsidRPr="002D0DD7">
              <w:rPr>
                <w:spacing w:val="2"/>
              </w:rPr>
              <w:t xml:space="preserve"> </w:t>
            </w:r>
            <w:r w:rsidR="00AB505E" w:rsidRPr="002D0DD7">
              <w:rPr>
                <w:spacing w:val="2"/>
              </w:rPr>
              <w:t xml:space="preserve">par </w:t>
            </w:r>
            <w:r w:rsidR="0081427F" w:rsidRPr="002D0DD7">
              <w:rPr>
                <w:spacing w:val="2"/>
              </w:rPr>
              <w:t xml:space="preserve">vecāku </w:t>
            </w:r>
            <w:r w:rsidR="00AB505E" w:rsidRPr="002D0DD7">
              <w:rPr>
                <w:spacing w:val="2"/>
              </w:rPr>
              <w:t>personiskajiem finanšu līdzekļiem</w:t>
            </w:r>
            <w:r w:rsidRPr="002D0DD7">
              <w:rPr>
                <w:spacing w:val="2"/>
              </w:rPr>
              <w:t>.</w:t>
            </w:r>
          </w:p>
          <w:p w:rsidR="00535C5E" w:rsidRPr="00237834" w:rsidRDefault="00535C5E" w:rsidP="006F3B61">
            <w:pPr>
              <w:jc w:val="both"/>
              <w:rPr>
                <w:sz w:val="20"/>
                <w:szCs w:val="20"/>
              </w:rPr>
            </w:pPr>
          </w:p>
          <w:p w:rsidR="00EA4FE1" w:rsidRDefault="00930EC2" w:rsidP="00EA4FE1">
            <w:pPr>
              <w:jc w:val="both"/>
            </w:pPr>
            <w:r>
              <w:t>N</w:t>
            </w:r>
            <w:r w:rsidR="005653B5" w:rsidRPr="001E6972">
              <w:rPr>
                <w:rStyle w:val="Emphasis"/>
                <w:i w:val="0"/>
              </w:rPr>
              <w:t>oteikumu proje</w:t>
            </w:r>
            <w:r w:rsidR="005653B5">
              <w:rPr>
                <w:rStyle w:val="Emphasis"/>
                <w:i w:val="0"/>
              </w:rPr>
              <w:t xml:space="preserve">kta </w:t>
            </w:r>
            <w:r w:rsidR="005653B5" w:rsidRPr="007848A3">
              <w:t>mērķis</w:t>
            </w:r>
            <w:r>
              <w:t xml:space="preserve"> ir </w:t>
            </w:r>
            <w:r w:rsidRPr="00930EC2">
              <w:t>nodrošin</w:t>
            </w:r>
            <w:r>
              <w:t>ā</w:t>
            </w:r>
            <w:r w:rsidRPr="00930EC2">
              <w:t>t pilnu vakcinācijas kursu</w:t>
            </w:r>
            <w:r w:rsidR="00261D9E">
              <w:t xml:space="preserve"> (p</w:t>
            </w:r>
            <w:r w:rsidR="00870A71">
              <w:t>ilnvērtīgas imunitātes veidošanās</w:t>
            </w:r>
            <w:r w:rsidR="00261D9E">
              <w:t>)</w:t>
            </w:r>
            <w:r w:rsidRPr="00930EC2">
              <w:t xml:space="preserve"> pret minēt</w:t>
            </w:r>
            <w:r>
              <w:t>o</w:t>
            </w:r>
            <w:r w:rsidRPr="00930EC2">
              <w:t xml:space="preserve"> infekcijas slimīb</w:t>
            </w:r>
            <w:r>
              <w:t>u</w:t>
            </w:r>
            <w:r w:rsidR="003E1830">
              <w:t xml:space="preserve"> </w:t>
            </w:r>
            <w:r w:rsidR="00B04B2C">
              <w:t xml:space="preserve">(divas </w:t>
            </w:r>
            <w:r w:rsidR="00D87BE5">
              <w:t>devas</w:t>
            </w:r>
            <w:r w:rsidR="00B04B2C">
              <w:t xml:space="preserve">), </w:t>
            </w:r>
            <w:r w:rsidR="00F67DC1">
              <w:t>saskaņā ar</w:t>
            </w:r>
            <w:r w:rsidR="003E1830" w:rsidRPr="003E1830">
              <w:t xml:space="preserve"> vakcīnas pret vējbakām lietošanas </w:t>
            </w:r>
            <w:r w:rsidR="003E1830" w:rsidRPr="00C023D3">
              <w:t>instrukciju</w:t>
            </w:r>
            <w:r w:rsidRPr="00C023D3">
              <w:t>.</w:t>
            </w:r>
            <w:r w:rsidR="00EA4FE1" w:rsidRPr="00C023D3">
              <w:t xml:space="preserve"> Tādēļ, pieaugot vakcinēto bērnu skaitam un samazinoties kopējam vējbaku saslimšanas gadījumu skaitam, tiek panākt</w:t>
            </w:r>
            <w:r w:rsidR="00C023D3" w:rsidRPr="00C023D3">
              <w:t>a</w:t>
            </w:r>
            <w:r w:rsidR="00FA791F">
              <w:t xml:space="preserve"> arī kolektīvā imunitāte, jo vējbakas ir ļoti lipīga slimība. Ja bērnu kolektīvā kāds bērns saslimst ar vējbakām</w:t>
            </w:r>
            <w:r w:rsidR="00501076">
              <w:t>, tiek noteikt</w:t>
            </w:r>
            <w:r w:rsidR="00DF61A0">
              <w:t>i</w:t>
            </w:r>
            <w:r w:rsidR="00501076">
              <w:t xml:space="preserve"> </w:t>
            </w:r>
            <w:r w:rsidR="00DF61A0">
              <w:t>ierobežojošie pasākumi</w:t>
            </w:r>
            <w:r w:rsidR="00501076">
              <w:t xml:space="preserve"> un </w:t>
            </w:r>
            <w:r w:rsidR="00DF61A0">
              <w:t>nevakcinētiem</w:t>
            </w:r>
            <w:r w:rsidR="00501076">
              <w:t xml:space="preserve"> bērni</w:t>
            </w:r>
            <w:r w:rsidR="00DF61A0">
              <w:t>em</w:t>
            </w:r>
            <w:r w:rsidR="00501076">
              <w:t xml:space="preserve"> </w:t>
            </w:r>
            <w:r w:rsidR="00DF61A0">
              <w:t>nav ieteicams</w:t>
            </w:r>
            <w:r w:rsidR="00D72128">
              <w:t xml:space="preserve"> apmeklēt </w:t>
            </w:r>
            <w:r w:rsidR="00DF61A0">
              <w:t>infekcijas skarto</w:t>
            </w:r>
            <w:r w:rsidR="00D72128">
              <w:t xml:space="preserve"> iestādi.</w:t>
            </w:r>
          </w:p>
          <w:p w:rsidR="00930EC2" w:rsidRPr="00237834" w:rsidRDefault="00930EC2" w:rsidP="006F3B61">
            <w:pPr>
              <w:jc w:val="both"/>
              <w:rPr>
                <w:sz w:val="20"/>
                <w:szCs w:val="20"/>
              </w:rPr>
            </w:pPr>
          </w:p>
          <w:p w:rsidR="00E56FB1" w:rsidRDefault="00EA5244" w:rsidP="006F3B61">
            <w:pPr>
              <w:jc w:val="both"/>
            </w:pPr>
            <w:r>
              <w:t>J</w:t>
            </w:r>
            <w:r w:rsidRPr="00EA5244">
              <w:t>autājum</w:t>
            </w:r>
            <w:r>
              <w:t>u</w:t>
            </w:r>
            <w:r w:rsidRPr="00EA5244">
              <w:t xml:space="preserve"> par papildu valsts budžeta līdzekļu piešķiršanu Veselības ministrijai </w:t>
            </w:r>
            <w:r>
              <w:t xml:space="preserve">vējbaku </w:t>
            </w:r>
            <w:r w:rsidR="002C0F24">
              <w:t>2. devas</w:t>
            </w:r>
            <w:r>
              <w:t xml:space="preserve"> </w:t>
            </w:r>
            <w:r w:rsidRPr="00EA5244">
              <w:t xml:space="preserve">nodrošināšanai </w:t>
            </w:r>
            <w:r>
              <w:t xml:space="preserve">par valsts budžeta līdzekļiem ir nepieciešams </w:t>
            </w:r>
            <w:r w:rsidRPr="00EA5244">
              <w:t xml:space="preserve">izskatīt Ministru kabinetā likumprojekta </w:t>
            </w:r>
            <w:r w:rsidRPr="00A907FA">
              <w:t>"</w:t>
            </w:r>
            <w:r w:rsidRPr="00EA5244">
              <w:t>Par valsts budžetu 201</w:t>
            </w:r>
            <w:r>
              <w:t>9</w:t>
            </w:r>
            <w:r w:rsidRPr="00EA5244">
              <w:t>.</w:t>
            </w:r>
            <w:r>
              <w:t xml:space="preserve"> </w:t>
            </w:r>
            <w:r w:rsidR="00B04B2C">
              <w:t>g</w:t>
            </w:r>
            <w:r w:rsidRPr="00EA5244">
              <w:t>adam</w:t>
            </w:r>
            <w:r w:rsidRPr="00A907FA">
              <w:t>"</w:t>
            </w:r>
            <w:r w:rsidRPr="00EA5244">
              <w:t xml:space="preserve"> </w:t>
            </w:r>
            <w:r w:rsidR="00E56FB1">
              <w:t xml:space="preserve">ietvaros </w:t>
            </w:r>
            <w:r w:rsidR="00E56FB1" w:rsidRPr="00EA5244">
              <w:t>kopā ar visu ministriju un centrālo valsts iestāžu priekšlikumiem jaunajām politikas iniciatīvām un iesniegtajiem papildu finansējuma pieprasījumiem atbilstoši valsts budžeta finansiālajām iespējām</w:t>
            </w:r>
            <w:r w:rsidR="00E56FB1">
              <w:t>.</w:t>
            </w:r>
          </w:p>
          <w:p w:rsidR="00D9599A" w:rsidRPr="00237834" w:rsidRDefault="00D9599A" w:rsidP="00D9599A">
            <w:pPr>
              <w:pStyle w:val="naiskr"/>
              <w:spacing w:before="20" w:after="20"/>
              <w:jc w:val="both"/>
              <w:rPr>
                <w:sz w:val="20"/>
                <w:szCs w:val="20"/>
              </w:rPr>
            </w:pPr>
          </w:p>
          <w:p w:rsidR="007050D7" w:rsidRPr="007848A3" w:rsidRDefault="00D9599A" w:rsidP="004505C7">
            <w:pPr>
              <w:pStyle w:val="naiskr"/>
              <w:spacing w:before="20" w:after="20"/>
              <w:jc w:val="both"/>
            </w:pPr>
            <w:r w:rsidRPr="007848A3">
              <w:t>Noteikumu projekts atrisinās identificēt</w:t>
            </w:r>
            <w:r w:rsidR="00C60AF2">
              <w:t>o</w:t>
            </w:r>
            <w:r w:rsidRPr="007848A3">
              <w:t xml:space="preserve"> </w:t>
            </w:r>
            <w:r w:rsidRPr="002D0DD7">
              <w:t>problēm</w:t>
            </w:r>
            <w:r w:rsidR="00C60AF2" w:rsidRPr="002D0DD7">
              <w:t>u</w:t>
            </w:r>
            <w:r w:rsidR="006703D4" w:rsidRPr="002D0DD7">
              <w:t xml:space="preserve"> (vakcinācijas pret vējbakām 2. deva tika plānota, balstoties uz papildu valsts budžeta līdzekļu piešķiršanu 2017. gadam un turpmākajiem gadiem)</w:t>
            </w:r>
            <w:r w:rsidR="002974F7" w:rsidRPr="002D0DD7">
              <w:t>,</w:t>
            </w:r>
            <w:r w:rsidRPr="002D0DD7">
              <w:t xml:space="preserve"> </w:t>
            </w:r>
            <w:r w:rsidR="002974F7" w:rsidRPr="002D0DD7">
              <w:t xml:space="preserve">jo vakcinācijas uzsākšana ar 2017. gadu nav iespējama </w:t>
            </w:r>
            <w:r w:rsidR="00D66BEA" w:rsidRPr="002D0DD7">
              <w:t>finanšu līdzekļu trūkuma dēļ</w:t>
            </w:r>
            <w:r w:rsidR="00084AA7" w:rsidRPr="002D0DD7">
              <w:t>, tādēļ vakcinācijas uzsākšana ir jāatliek uz 2019. gada 1. janvāri</w:t>
            </w:r>
            <w:r w:rsidRPr="002D0DD7">
              <w:t>.</w:t>
            </w:r>
          </w:p>
        </w:tc>
      </w:tr>
      <w:tr w:rsidR="00771C3C" w:rsidRPr="007848A3" w:rsidTr="00021155">
        <w:trPr>
          <w:trHeight w:val="274"/>
        </w:trPr>
        <w:tc>
          <w:tcPr>
            <w:tcW w:w="528" w:type="dxa"/>
          </w:tcPr>
          <w:p w:rsidR="00771C3C" w:rsidRPr="007848A3" w:rsidRDefault="00771C3C" w:rsidP="0073447B">
            <w:pPr>
              <w:pStyle w:val="naiskr"/>
              <w:spacing w:before="20" w:after="20"/>
              <w:jc w:val="center"/>
            </w:pPr>
            <w:r w:rsidRPr="007848A3">
              <w:lastRenderedPageBreak/>
              <w:t>3.</w:t>
            </w:r>
          </w:p>
        </w:tc>
        <w:tc>
          <w:tcPr>
            <w:tcW w:w="2181" w:type="dxa"/>
          </w:tcPr>
          <w:p w:rsidR="00771C3C" w:rsidRPr="007848A3" w:rsidRDefault="00EE53E8" w:rsidP="0073447B">
            <w:pPr>
              <w:pStyle w:val="naiskr"/>
              <w:spacing w:before="20" w:after="20"/>
            </w:pPr>
            <w:r w:rsidRPr="007848A3">
              <w:t>Projekta izstrādē iesaistītās institūcijas</w:t>
            </w:r>
          </w:p>
        </w:tc>
        <w:tc>
          <w:tcPr>
            <w:tcW w:w="6392" w:type="dxa"/>
          </w:tcPr>
          <w:p w:rsidR="009B53EF" w:rsidRPr="007848A3" w:rsidRDefault="00AC672B" w:rsidP="0016429B">
            <w:pPr>
              <w:pStyle w:val="naiskr"/>
              <w:spacing w:before="20" w:after="20"/>
              <w:jc w:val="both"/>
            </w:pPr>
            <w:r w:rsidRPr="00AC672B">
              <w:t xml:space="preserve">Noteikumu projektu izstrādāja </w:t>
            </w:r>
            <w:r>
              <w:t>Veselības</w:t>
            </w:r>
            <w:r w:rsidRPr="00AC672B">
              <w:t xml:space="preserve"> ministrija, </w:t>
            </w:r>
            <w:r w:rsidR="004E6C9F" w:rsidRPr="00AC672B">
              <w:t>savukārt</w:t>
            </w:r>
            <w:r w:rsidRPr="00AC672B">
              <w:t xml:space="preserve"> </w:t>
            </w:r>
            <w:r>
              <w:t xml:space="preserve">noteikumu </w:t>
            </w:r>
            <w:r w:rsidRPr="00AC672B">
              <w:t xml:space="preserve">projekta izstrādē tika iesaistītas šādas institūcijas: </w:t>
            </w:r>
            <w:r w:rsidR="0016429B" w:rsidRPr="007848A3">
              <w:t>Slimību profilakses un kontroles centrs</w:t>
            </w:r>
            <w:r w:rsidR="0016429B">
              <w:t xml:space="preserve"> un </w:t>
            </w:r>
            <w:r w:rsidR="00E12995">
              <w:t>Nacionālais veselības dienests</w:t>
            </w:r>
            <w:r w:rsidR="007153E5" w:rsidRPr="007848A3">
              <w:t>.</w:t>
            </w:r>
          </w:p>
        </w:tc>
      </w:tr>
      <w:tr w:rsidR="00771C3C" w:rsidRPr="007848A3" w:rsidTr="003812D2">
        <w:tc>
          <w:tcPr>
            <w:tcW w:w="528" w:type="dxa"/>
          </w:tcPr>
          <w:p w:rsidR="00771C3C" w:rsidRPr="007848A3" w:rsidRDefault="00331B42" w:rsidP="0073447B">
            <w:pPr>
              <w:pStyle w:val="naiskr"/>
              <w:spacing w:before="20" w:after="20"/>
              <w:jc w:val="center"/>
            </w:pPr>
            <w:r w:rsidRPr="007848A3">
              <w:t>4</w:t>
            </w:r>
            <w:r w:rsidR="00771C3C" w:rsidRPr="007848A3">
              <w:t>.</w:t>
            </w:r>
          </w:p>
        </w:tc>
        <w:tc>
          <w:tcPr>
            <w:tcW w:w="2181" w:type="dxa"/>
          </w:tcPr>
          <w:p w:rsidR="00771C3C" w:rsidRPr="007848A3" w:rsidRDefault="00771C3C" w:rsidP="0073447B">
            <w:pPr>
              <w:pStyle w:val="naiskr"/>
              <w:spacing w:before="20" w:after="20"/>
            </w:pPr>
            <w:r w:rsidRPr="007848A3">
              <w:t> Cita informācija</w:t>
            </w:r>
          </w:p>
        </w:tc>
        <w:tc>
          <w:tcPr>
            <w:tcW w:w="6392" w:type="dxa"/>
          </w:tcPr>
          <w:p w:rsidR="00771C3C" w:rsidRPr="007848A3" w:rsidRDefault="00B941C3" w:rsidP="00B129D9">
            <w:pPr>
              <w:pStyle w:val="naiskr"/>
              <w:spacing w:before="20" w:after="20"/>
            </w:pPr>
            <w:r w:rsidRPr="007848A3">
              <w:t>Nav</w:t>
            </w:r>
          </w:p>
        </w:tc>
      </w:tr>
    </w:tbl>
    <w:p w:rsidR="009A2357" w:rsidRPr="00237834" w:rsidRDefault="009A2357" w:rsidP="00A57857">
      <w:pPr>
        <w:pStyle w:val="naisf"/>
        <w:spacing w:before="0" w:after="0"/>
        <w:ind w:firstLine="289"/>
        <w:jc w:val="center"/>
        <w:rPr>
          <w:sz w:val="20"/>
          <w:szCs w:val="20"/>
        </w:rPr>
      </w:pPr>
    </w:p>
    <w:tbl>
      <w:tblPr>
        <w:tblStyle w:val="TableGrid"/>
        <w:tblW w:w="4942" w:type="pct"/>
        <w:tblLook w:val="04A0"/>
      </w:tblPr>
      <w:tblGrid>
        <w:gridCol w:w="463"/>
        <w:gridCol w:w="2860"/>
        <w:gridCol w:w="5856"/>
      </w:tblGrid>
      <w:tr w:rsidR="00803E0A" w:rsidRPr="009A75D6" w:rsidTr="00A57857">
        <w:trPr>
          <w:trHeight w:val="555"/>
        </w:trPr>
        <w:tc>
          <w:tcPr>
            <w:tcW w:w="5000" w:type="pct"/>
            <w:gridSpan w:val="3"/>
            <w:hideMark/>
          </w:tcPr>
          <w:p w:rsidR="00803E0A" w:rsidRPr="009A75D6" w:rsidRDefault="00803E0A" w:rsidP="005D64CB">
            <w:pPr>
              <w:spacing w:before="100" w:beforeAutospacing="1" w:after="100" w:afterAutospacing="1"/>
              <w:ind w:firstLine="272"/>
              <w:jc w:val="center"/>
              <w:rPr>
                <w:b/>
                <w:bCs/>
              </w:rPr>
            </w:pPr>
            <w:r w:rsidRPr="009A75D6">
              <w:rPr>
                <w:b/>
                <w:bCs/>
              </w:rPr>
              <w:t>II. Tiesību akta projekta ietekme uz sabiedrību, tautsaimniecības attīstību un administratīvo slogu</w:t>
            </w:r>
          </w:p>
        </w:tc>
      </w:tr>
      <w:tr w:rsidR="00803E0A" w:rsidRPr="009A75D6" w:rsidTr="00A57857">
        <w:trPr>
          <w:trHeight w:val="465"/>
        </w:trPr>
        <w:tc>
          <w:tcPr>
            <w:tcW w:w="252" w:type="pct"/>
            <w:hideMark/>
          </w:tcPr>
          <w:p w:rsidR="00803E0A" w:rsidRPr="009A75D6" w:rsidRDefault="00803E0A" w:rsidP="00803E0A">
            <w:r w:rsidRPr="009A75D6">
              <w:t>1.</w:t>
            </w:r>
          </w:p>
        </w:tc>
        <w:tc>
          <w:tcPr>
            <w:tcW w:w="1558" w:type="pct"/>
            <w:hideMark/>
          </w:tcPr>
          <w:p w:rsidR="00803E0A" w:rsidRPr="009A75D6" w:rsidRDefault="00803E0A" w:rsidP="00803E0A">
            <w:r w:rsidRPr="009A75D6">
              <w:t>Sabiedrības mērķgrupas, kuras tiesiskais regulējums ietekmē vai varētu ietekmēt</w:t>
            </w:r>
          </w:p>
        </w:tc>
        <w:tc>
          <w:tcPr>
            <w:tcW w:w="3191" w:type="pct"/>
            <w:hideMark/>
          </w:tcPr>
          <w:p w:rsidR="006B2754" w:rsidRPr="001D1889" w:rsidRDefault="006B2754" w:rsidP="00C8222D">
            <w:pPr>
              <w:jc w:val="both"/>
            </w:pPr>
            <w:r w:rsidRPr="009A75D6">
              <w:t xml:space="preserve">Noteikumu </w:t>
            </w:r>
            <w:r w:rsidRPr="001D1889">
              <w:t>projektam ir ietekme uz sabiedrības veselību</w:t>
            </w:r>
            <w:r w:rsidR="0053163E">
              <w:t xml:space="preserve"> </w:t>
            </w:r>
            <w:r w:rsidR="0053163E" w:rsidRPr="0053163E">
              <w:t>–</w:t>
            </w:r>
            <w:r w:rsidR="0053163E">
              <w:t xml:space="preserve"> </w:t>
            </w:r>
            <w:r w:rsidR="0053163E" w:rsidRPr="0053163E">
              <w:t>pakāpeniski samazināsies</w:t>
            </w:r>
            <w:r w:rsidR="0053163E">
              <w:t xml:space="preserve"> </w:t>
            </w:r>
            <w:r w:rsidR="00E33FAA">
              <w:t>saslimstība</w:t>
            </w:r>
            <w:r w:rsidR="0053163E" w:rsidRPr="0053163E">
              <w:t xml:space="preserve"> ar</w:t>
            </w:r>
            <w:r w:rsidR="0053163E">
              <w:t xml:space="preserve"> vējbakām</w:t>
            </w:r>
            <w:r w:rsidRPr="001D1889">
              <w:t>.</w:t>
            </w:r>
          </w:p>
          <w:p w:rsidR="008521AB" w:rsidRDefault="008521AB" w:rsidP="00C8222D">
            <w:pPr>
              <w:jc w:val="both"/>
            </w:pPr>
            <w:r w:rsidRPr="001D1889">
              <w:t xml:space="preserve">Noteikumu projekts attiecināms uz </w:t>
            </w:r>
            <w:r w:rsidR="005E1FFA">
              <w:t>septiņus gadus veciem bērniem</w:t>
            </w:r>
            <w:r w:rsidRPr="001D1889">
              <w:t>, kur</w:t>
            </w:r>
            <w:r w:rsidR="005E1FFA">
              <w:t>ie</w:t>
            </w:r>
            <w:r w:rsidRPr="001D1889">
              <w:t xml:space="preserve">m </w:t>
            </w:r>
            <w:r w:rsidR="00072418">
              <w:t>no 2019.</w:t>
            </w:r>
            <w:r w:rsidR="00B625E2">
              <w:t xml:space="preserve"> </w:t>
            </w:r>
            <w:r w:rsidR="00072418">
              <w:t xml:space="preserve">gada </w:t>
            </w:r>
            <w:r w:rsidRPr="001D1889">
              <w:t xml:space="preserve">saskaņā ar vakcinācijas kalendāru ir jāveic </w:t>
            </w:r>
            <w:r w:rsidR="005E1FFA">
              <w:t xml:space="preserve">otrā </w:t>
            </w:r>
            <w:r w:rsidRPr="001D1889">
              <w:t>vakcinācija</w:t>
            </w:r>
            <w:r w:rsidR="00F270D5">
              <w:t>s deva</w:t>
            </w:r>
            <w:r w:rsidRPr="001D1889">
              <w:t xml:space="preserve"> pret </w:t>
            </w:r>
            <w:r w:rsidR="005E1FFA">
              <w:t>vējbakām</w:t>
            </w:r>
            <w:r w:rsidRPr="001D1889">
              <w:t>.</w:t>
            </w:r>
          </w:p>
          <w:p w:rsidR="00056CC7" w:rsidRDefault="00B04B2C" w:rsidP="00C8222D">
            <w:pPr>
              <w:jc w:val="both"/>
            </w:pPr>
            <w:r>
              <w:t xml:space="preserve">Prognozējamais bērnu skaits, kuriem </w:t>
            </w:r>
            <w:r w:rsidRPr="00812580">
              <w:rPr>
                <w:b/>
              </w:rPr>
              <w:t>2019. gad</w:t>
            </w:r>
            <w:r w:rsidR="00C068CD" w:rsidRPr="00812580">
              <w:rPr>
                <w:b/>
              </w:rPr>
              <w:t>ā</w:t>
            </w:r>
            <w:r>
              <w:t xml:space="preserve"> būs nepie</w:t>
            </w:r>
            <w:r w:rsidR="00856CFF">
              <w:t xml:space="preserve">ciešama </w:t>
            </w:r>
            <w:r w:rsidR="0052431F">
              <w:t>2. deva</w:t>
            </w:r>
            <w:r w:rsidR="00856CFF">
              <w:t xml:space="preserve"> pret vējbakām, sasniedzot 7 gadu </w:t>
            </w:r>
            <w:r w:rsidR="00856CFF">
              <w:lastRenderedPageBreak/>
              <w:t>vecumu</w:t>
            </w:r>
            <w:r w:rsidR="00E126D8">
              <w:t>,</w:t>
            </w:r>
            <w:r w:rsidR="00856CFF">
              <w:t xml:space="preserve"> ir </w:t>
            </w:r>
            <w:r w:rsidR="00856CFF" w:rsidRPr="00812580">
              <w:rPr>
                <w:b/>
              </w:rPr>
              <w:t>12 612 bērni</w:t>
            </w:r>
            <w:r w:rsidR="00F67DC1">
              <w:t xml:space="preserve">, </w:t>
            </w:r>
            <w:r w:rsidR="0083553E">
              <w:t>kuri 2013.</w:t>
            </w:r>
            <w:r w:rsidR="00056CC7">
              <w:t xml:space="preserve"> </w:t>
            </w:r>
            <w:r w:rsidR="0083553E">
              <w:t xml:space="preserve">gadā </w:t>
            </w:r>
            <w:r w:rsidR="00275197">
              <w:t>vakcinēti ar vējbak</w:t>
            </w:r>
            <w:r w:rsidR="00056CC7">
              <w:t>u</w:t>
            </w:r>
            <w:r w:rsidR="00275197">
              <w:t xml:space="preserve"> 1.</w:t>
            </w:r>
            <w:r w:rsidR="00056CC7">
              <w:t xml:space="preserve"> </w:t>
            </w:r>
            <w:r w:rsidR="009C5130">
              <w:t>d</w:t>
            </w:r>
            <w:r w:rsidR="00736ACB">
              <w:t>evu</w:t>
            </w:r>
            <w:r w:rsidR="00275197">
              <w:t xml:space="preserve">. </w:t>
            </w:r>
          </w:p>
          <w:p w:rsidR="00056CC7" w:rsidRDefault="00E33FAA" w:rsidP="00056CC7">
            <w:pPr>
              <w:jc w:val="both"/>
            </w:pPr>
            <w:r w:rsidRPr="00E33FAA">
              <w:t>Sakarā ar to</w:t>
            </w:r>
            <w:r w:rsidR="00E20880">
              <w:t>,</w:t>
            </w:r>
            <w:r w:rsidRPr="00E33FAA">
              <w:t xml:space="preserve"> ka vakcinācija pret vējbakām </w:t>
            </w:r>
            <w:r w:rsidR="00554661">
              <w:t>tika</w:t>
            </w:r>
            <w:r w:rsidRPr="00E33FAA">
              <w:t xml:space="preserve"> uzsākta 2008. </w:t>
            </w:r>
            <w:r>
              <w:t>g</w:t>
            </w:r>
            <w:r w:rsidRPr="00E33FAA">
              <w:t>adā</w:t>
            </w:r>
            <w:r>
              <w:t xml:space="preserve"> (1.</w:t>
            </w:r>
            <w:r w:rsidR="00056CC7">
              <w:t xml:space="preserve"> </w:t>
            </w:r>
            <w:r w:rsidR="00823124">
              <w:t>deva</w:t>
            </w:r>
            <w:r>
              <w:t>)</w:t>
            </w:r>
            <w:r w:rsidR="00780A41" w:rsidRPr="00E33FAA">
              <w:t xml:space="preserve">, </w:t>
            </w:r>
            <w:r w:rsidR="00780A41" w:rsidRPr="00E33FAA">
              <w:rPr>
                <w:u w:val="single"/>
              </w:rPr>
              <w:t xml:space="preserve">ieviešot </w:t>
            </w:r>
            <w:r w:rsidR="00780A41">
              <w:rPr>
                <w:u w:val="single"/>
              </w:rPr>
              <w:t>2.</w:t>
            </w:r>
            <w:r w:rsidR="00780A41" w:rsidRPr="00E33FAA">
              <w:rPr>
                <w:u w:val="single"/>
              </w:rPr>
              <w:t xml:space="preserve"> </w:t>
            </w:r>
            <w:r w:rsidR="00823124">
              <w:rPr>
                <w:u w:val="single"/>
              </w:rPr>
              <w:t>devu</w:t>
            </w:r>
            <w:r w:rsidR="00780A41" w:rsidRPr="00E33FAA">
              <w:rPr>
                <w:u w:val="single"/>
              </w:rPr>
              <w:t>, tā būs nepieciešama arī bērniem vecumā no 8 līdz 12 gadiem</w:t>
            </w:r>
            <w:r w:rsidR="00780A41" w:rsidRPr="002A4AC4">
              <w:t xml:space="preserve">, </w:t>
            </w:r>
            <w:r w:rsidR="00780A41" w:rsidRPr="00656DB8">
              <w:t>kuri</w:t>
            </w:r>
            <w:r w:rsidR="00780A41" w:rsidRPr="00E33FAA">
              <w:t xml:space="preserve"> vakcinēti 2008.-2012. gadā – </w:t>
            </w:r>
            <w:r w:rsidR="00780A41" w:rsidRPr="00E33FAA">
              <w:rPr>
                <w:b/>
              </w:rPr>
              <w:t>65 40</w:t>
            </w:r>
            <w:r w:rsidR="00780A41">
              <w:rPr>
                <w:b/>
              </w:rPr>
              <w:t>7</w:t>
            </w:r>
            <w:r w:rsidR="00780A41" w:rsidRPr="00E33FAA">
              <w:rPr>
                <w:b/>
              </w:rPr>
              <w:t xml:space="preserve"> bērni</w:t>
            </w:r>
            <w:r w:rsidR="00780A41">
              <w:t xml:space="preserve"> (</w:t>
            </w:r>
            <w:r w:rsidR="00056CC7" w:rsidRPr="00AE161F">
              <w:rPr>
                <w:i/>
              </w:rPr>
              <w:t>saskaņā ar 2013. gada 30. jūlija Ministru kabineta noteikumiem Nr. 446 "Grozījumi Ministru kabineta 2000. gada 26. septembra noteikumos Nr. 330 "Vakcinācijas noteikumi"</w:t>
            </w:r>
            <w:r w:rsidR="00D13203" w:rsidRPr="00AE161F">
              <w:rPr>
                <w:i/>
              </w:rPr>
              <w:t>"</w:t>
            </w:r>
            <w:r w:rsidR="00056CC7" w:rsidRPr="00AE161F">
              <w:rPr>
                <w:i/>
              </w:rPr>
              <w:t xml:space="preserve"> </w:t>
            </w:r>
            <w:r w:rsidR="00D13203" w:rsidRPr="00AE161F">
              <w:rPr>
                <w:i/>
              </w:rPr>
              <w:t xml:space="preserve">vakcinācija pret vējbakām ar </w:t>
            </w:r>
            <w:r w:rsidR="00560BC0" w:rsidRPr="00AE161F">
              <w:rPr>
                <w:i/>
              </w:rPr>
              <w:t>2.</w:t>
            </w:r>
            <w:r w:rsidR="00D13203" w:rsidRPr="00AE161F">
              <w:rPr>
                <w:i/>
              </w:rPr>
              <w:t xml:space="preserve"> </w:t>
            </w:r>
            <w:r w:rsidR="0073266D">
              <w:rPr>
                <w:i/>
              </w:rPr>
              <w:t>devu</w:t>
            </w:r>
            <w:r w:rsidR="00D13203" w:rsidRPr="00AE161F">
              <w:rPr>
                <w:i/>
              </w:rPr>
              <w:t xml:space="preserve"> </w:t>
            </w:r>
            <w:r w:rsidR="003430B1" w:rsidRPr="00AE161F">
              <w:rPr>
                <w:i/>
              </w:rPr>
              <w:t xml:space="preserve">septiņus gadus veciem bērniem </w:t>
            </w:r>
            <w:r w:rsidR="00C77A6F" w:rsidRPr="00AE161F">
              <w:rPr>
                <w:i/>
              </w:rPr>
              <w:t>tika plānota</w:t>
            </w:r>
            <w:r w:rsidR="00056CC7" w:rsidRPr="00AE161F">
              <w:rPr>
                <w:i/>
              </w:rPr>
              <w:t xml:space="preserve"> </w:t>
            </w:r>
            <w:r w:rsidR="003430B1" w:rsidRPr="00AE161F">
              <w:rPr>
                <w:i/>
              </w:rPr>
              <w:t>no</w:t>
            </w:r>
            <w:r w:rsidR="00056CC7" w:rsidRPr="00AE161F">
              <w:rPr>
                <w:i/>
              </w:rPr>
              <w:t xml:space="preserve"> 2014.</w:t>
            </w:r>
            <w:r w:rsidR="00C77A6F" w:rsidRPr="00AE161F">
              <w:rPr>
                <w:i/>
              </w:rPr>
              <w:t xml:space="preserve"> </w:t>
            </w:r>
            <w:r w:rsidR="00117242" w:rsidRPr="00AE161F">
              <w:rPr>
                <w:i/>
              </w:rPr>
              <w:t>gad</w:t>
            </w:r>
            <w:r w:rsidR="003430B1" w:rsidRPr="00AE161F">
              <w:rPr>
                <w:i/>
              </w:rPr>
              <w:t>a</w:t>
            </w:r>
            <w:r w:rsidR="00117242" w:rsidRPr="00AE161F">
              <w:rPr>
                <w:i/>
              </w:rPr>
              <w:t xml:space="preserve">, jo bērni, kas </w:t>
            </w:r>
            <w:r w:rsidR="003430B1" w:rsidRPr="00AE161F">
              <w:rPr>
                <w:i/>
              </w:rPr>
              <w:t xml:space="preserve">2008. gadā </w:t>
            </w:r>
            <w:r w:rsidR="00117242" w:rsidRPr="00AE161F">
              <w:rPr>
                <w:i/>
              </w:rPr>
              <w:t>saņēm</w:t>
            </w:r>
            <w:r w:rsidR="003430B1" w:rsidRPr="00AE161F">
              <w:rPr>
                <w:i/>
              </w:rPr>
              <w:t>a</w:t>
            </w:r>
            <w:r w:rsidR="00117242" w:rsidRPr="00AE161F">
              <w:rPr>
                <w:i/>
              </w:rPr>
              <w:t xml:space="preserve"> </w:t>
            </w:r>
            <w:r w:rsidR="00560BC0" w:rsidRPr="00AE161F">
              <w:rPr>
                <w:i/>
              </w:rPr>
              <w:t>1.</w:t>
            </w:r>
            <w:r w:rsidR="00117242" w:rsidRPr="00AE161F">
              <w:rPr>
                <w:i/>
              </w:rPr>
              <w:t xml:space="preserve"> vējbaku </w:t>
            </w:r>
            <w:r w:rsidR="004703D5">
              <w:rPr>
                <w:i/>
              </w:rPr>
              <w:t>devu</w:t>
            </w:r>
            <w:r w:rsidR="00117242" w:rsidRPr="00AE161F">
              <w:rPr>
                <w:i/>
              </w:rPr>
              <w:t>, kad tika ieviesta vakcinācija pret vējbakām, 2014.</w:t>
            </w:r>
            <w:r w:rsidR="00AA521D" w:rsidRPr="00AE161F">
              <w:rPr>
                <w:i/>
              </w:rPr>
              <w:t xml:space="preserve"> </w:t>
            </w:r>
            <w:r w:rsidR="00117242" w:rsidRPr="00AE161F">
              <w:rPr>
                <w:i/>
              </w:rPr>
              <w:t>gadā b</w:t>
            </w:r>
            <w:r w:rsidR="003430B1" w:rsidRPr="00AE161F">
              <w:rPr>
                <w:i/>
              </w:rPr>
              <w:t>ija</w:t>
            </w:r>
            <w:r w:rsidR="00117242" w:rsidRPr="00AE161F">
              <w:rPr>
                <w:i/>
              </w:rPr>
              <w:t xml:space="preserve"> septiņus gadus veci</w:t>
            </w:r>
            <w:r w:rsidR="00780A41">
              <w:t>).</w:t>
            </w:r>
          </w:p>
          <w:p w:rsidR="00EA5E5C" w:rsidRPr="009A75D6" w:rsidRDefault="00286025" w:rsidP="00C8222D">
            <w:pPr>
              <w:jc w:val="both"/>
            </w:pPr>
            <w:r w:rsidRPr="009A75D6">
              <w:t>Noteikumu projekts ietekmē</w:t>
            </w:r>
            <w:r w:rsidR="00EA5E5C" w:rsidRPr="009A75D6">
              <w:t>:</w:t>
            </w:r>
            <w:r w:rsidRPr="009A75D6">
              <w:t xml:space="preserve"> </w:t>
            </w:r>
          </w:p>
          <w:p w:rsidR="004962D1" w:rsidRPr="00014D4E" w:rsidRDefault="004962D1" w:rsidP="00EA5E5C">
            <w:pPr>
              <w:pStyle w:val="ListParagraph"/>
              <w:numPr>
                <w:ilvl w:val="0"/>
                <w:numId w:val="17"/>
              </w:numPr>
              <w:ind w:left="364"/>
              <w:jc w:val="both"/>
            </w:pPr>
            <w:r w:rsidRPr="00014D4E">
              <w:t>Bērnus (skaitu skatīt iepriekš), kuriem no 2019. gada ir jāveic otrā vakcinācijas deva pret vējbakām.</w:t>
            </w:r>
          </w:p>
          <w:p w:rsidR="004962D1" w:rsidRPr="00014D4E" w:rsidRDefault="00024052" w:rsidP="00EA5E5C">
            <w:pPr>
              <w:pStyle w:val="ListParagraph"/>
              <w:numPr>
                <w:ilvl w:val="0"/>
                <w:numId w:val="17"/>
              </w:numPr>
              <w:ind w:left="364"/>
              <w:jc w:val="both"/>
            </w:pPr>
            <w:r w:rsidRPr="00014D4E">
              <w:t>Septiņgadīgo b</w:t>
            </w:r>
            <w:r w:rsidR="004962D1" w:rsidRPr="00014D4E">
              <w:t>ērnu (skaitu skatīt iepriekš) vecākus, kuri no 201</w:t>
            </w:r>
            <w:r w:rsidRPr="00014D4E">
              <w:t>7</w:t>
            </w:r>
            <w:r w:rsidR="004962D1" w:rsidRPr="00014D4E">
              <w:t xml:space="preserve">. gada </w:t>
            </w:r>
            <w:r w:rsidRPr="00014D4E">
              <w:t>nesaņems</w:t>
            </w:r>
            <w:r w:rsidR="004962D1" w:rsidRPr="00014D4E">
              <w:t xml:space="preserve"> otr</w:t>
            </w:r>
            <w:r w:rsidRPr="00014D4E">
              <w:t>o</w:t>
            </w:r>
            <w:r w:rsidR="004962D1" w:rsidRPr="00014D4E">
              <w:t xml:space="preserve"> vakcinācijas dev</w:t>
            </w:r>
            <w:r w:rsidRPr="00014D4E">
              <w:t>u</w:t>
            </w:r>
            <w:r w:rsidR="004962D1" w:rsidRPr="00014D4E">
              <w:t xml:space="preserve"> pret vējbakām</w:t>
            </w:r>
            <w:r w:rsidRPr="00014D4E">
              <w:t xml:space="preserve"> un, piemēram, </w:t>
            </w:r>
            <w:r w:rsidR="004B1BFF" w:rsidRPr="00014D4E">
              <w:t xml:space="preserve">izvēlēsies vakcinēt bērnu </w:t>
            </w:r>
            <w:r w:rsidRPr="00014D4E">
              <w:t xml:space="preserve">par saviem personiskajiem finanšu </w:t>
            </w:r>
            <w:r w:rsidR="004B1BFF" w:rsidRPr="00014D4E">
              <w:t>līdzekļiem</w:t>
            </w:r>
            <w:r w:rsidR="004962D1" w:rsidRPr="00014D4E">
              <w:t>.</w:t>
            </w:r>
          </w:p>
          <w:p w:rsidR="00EA5E5C" w:rsidRPr="006708DB" w:rsidRDefault="00286025" w:rsidP="00EA5E5C">
            <w:pPr>
              <w:pStyle w:val="ListParagraph"/>
              <w:numPr>
                <w:ilvl w:val="0"/>
                <w:numId w:val="17"/>
              </w:numPr>
              <w:ind w:left="364"/>
              <w:jc w:val="both"/>
            </w:pPr>
            <w:r w:rsidRPr="009A75D6">
              <w:t xml:space="preserve">Slimību profilakses un kontroles centra </w:t>
            </w:r>
            <w:r w:rsidR="00C04F17">
              <w:t>darbiniekus</w:t>
            </w:r>
            <w:r w:rsidR="003750DD" w:rsidRPr="009A75D6">
              <w:t xml:space="preserve"> (</w:t>
            </w:r>
            <w:r w:rsidR="00106466" w:rsidRPr="006708DB">
              <w:t>22</w:t>
            </w:r>
            <w:r w:rsidR="000578B3">
              <w:t> </w:t>
            </w:r>
            <w:r w:rsidR="00106466" w:rsidRPr="006708DB">
              <w:t>darbinieki, ieskaitot reģionālo nodaļu epidemiologus</w:t>
            </w:r>
            <w:r w:rsidR="003750DD" w:rsidRPr="006708DB">
              <w:t>)</w:t>
            </w:r>
            <w:r w:rsidR="00EA5E5C" w:rsidRPr="006708DB">
              <w:t>, k</w:t>
            </w:r>
            <w:r w:rsidR="00661F13" w:rsidRPr="006708DB">
              <w:t>uri</w:t>
            </w:r>
            <w:r w:rsidR="00EA5E5C" w:rsidRPr="006708DB">
              <w:t xml:space="preserve"> </w:t>
            </w:r>
            <w:r w:rsidR="00106466" w:rsidRPr="006708DB">
              <w:t>apkopo vakcinācijas iestāžu vakcīnu pasūtījumus, atskaites par vakcināciju un vakcīnu izlietojumu</w:t>
            </w:r>
            <w:r w:rsidR="00712E6B" w:rsidRPr="006708DB">
              <w:t>.</w:t>
            </w:r>
          </w:p>
          <w:p w:rsidR="00C8222D" w:rsidRDefault="00F539A7" w:rsidP="004F4BAD">
            <w:pPr>
              <w:pStyle w:val="ListParagraph"/>
              <w:numPr>
                <w:ilvl w:val="0"/>
                <w:numId w:val="17"/>
              </w:numPr>
              <w:ind w:left="364"/>
              <w:jc w:val="both"/>
            </w:pPr>
            <w:r w:rsidRPr="009A75D6">
              <w:t>Nacionā</w:t>
            </w:r>
            <w:r w:rsidR="00C04F17">
              <w:t xml:space="preserve">lā veselības dienesta </w:t>
            </w:r>
            <w:r w:rsidR="00C04F17" w:rsidRPr="00BA281A">
              <w:t>darbiniekus</w:t>
            </w:r>
            <w:r w:rsidR="005513A1" w:rsidRPr="00BA281A">
              <w:t xml:space="preserve"> (</w:t>
            </w:r>
            <w:r w:rsidR="00CF3E7F" w:rsidRPr="00BA281A">
              <w:t>4</w:t>
            </w:r>
            <w:r w:rsidR="005513A1" w:rsidRPr="00BA281A">
              <w:t>)</w:t>
            </w:r>
            <w:r w:rsidRPr="00BA281A">
              <w:t>, kuri</w:t>
            </w:r>
            <w:r w:rsidRPr="009A75D6">
              <w:t xml:space="preserve"> </w:t>
            </w:r>
            <w:r w:rsidR="00394289" w:rsidRPr="0046173F">
              <w:t xml:space="preserve">nodarbojas ar </w:t>
            </w:r>
            <w:r w:rsidR="00C946FD" w:rsidRPr="0046173F">
              <w:t>vakcīn</w:t>
            </w:r>
            <w:r w:rsidR="00C946FD">
              <w:t xml:space="preserve">u </w:t>
            </w:r>
            <w:r w:rsidR="00394289" w:rsidRPr="0046173F">
              <w:t>iepirkumu veikšanu.</w:t>
            </w:r>
          </w:p>
          <w:p w:rsidR="00E16149" w:rsidRDefault="00920D3E" w:rsidP="00DF61A0">
            <w:pPr>
              <w:pStyle w:val="ListParagraph"/>
              <w:numPr>
                <w:ilvl w:val="0"/>
                <w:numId w:val="17"/>
              </w:numPr>
              <w:ind w:left="364"/>
              <w:jc w:val="both"/>
            </w:pPr>
            <w:r>
              <w:t>Ģimenes ārst</w:t>
            </w:r>
            <w:r w:rsidR="00B30414">
              <w:t>us</w:t>
            </w:r>
            <w:r>
              <w:t xml:space="preserve"> </w:t>
            </w:r>
            <w:r w:rsidRPr="009A75D6">
              <w:t>–</w:t>
            </w:r>
            <w:r w:rsidR="00DF61A0">
              <w:t xml:space="preserve"> </w:t>
            </w:r>
            <w:r w:rsidR="00641780" w:rsidRPr="00641780">
              <w:t>13</w:t>
            </w:r>
            <w:r w:rsidR="00275197">
              <w:t>12</w:t>
            </w:r>
            <w:r w:rsidR="00641780" w:rsidRPr="00641780">
              <w:t xml:space="preserve"> personas, kuras </w:t>
            </w:r>
            <w:r w:rsidR="00275197">
              <w:t>ir iesaistītas vakcinācijas procesā</w:t>
            </w:r>
            <w:r w:rsidR="00756ED8">
              <w:t>.</w:t>
            </w:r>
          </w:p>
        </w:tc>
      </w:tr>
      <w:tr w:rsidR="00803E0A" w:rsidRPr="009A75D6" w:rsidTr="00A57857">
        <w:trPr>
          <w:trHeight w:val="510"/>
        </w:trPr>
        <w:tc>
          <w:tcPr>
            <w:tcW w:w="252" w:type="pct"/>
            <w:hideMark/>
          </w:tcPr>
          <w:p w:rsidR="00803E0A" w:rsidRPr="009A75D6" w:rsidRDefault="00803E0A" w:rsidP="00803E0A">
            <w:r w:rsidRPr="009A75D6">
              <w:lastRenderedPageBreak/>
              <w:t>2.</w:t>
            </w:r>
          </w:p>
        </w:tc>
        <w:tc>
          <w:tcPr>
            <w:tcW w:w="1558" w:type="pct"/>
            <w:hideMark/>
          </w:tcPr>
          <w:p w:rsidR="00803E0A" w:rsidRPr="009A75D6" w:rsidRDefault="00803E0A" w:rsidP="00803E0A">
            <w:r w:rsidRPr="009A75D6">
              <w:t>Tiesiskā regulējuma ietekme uz tautsaimniecību un administratīvo slogu</w:t>
            </w:r>
          </w:p>
        </w:tc>
        <w:tc>
          <w:tcPr>
            <w:tcW w:w="3191" w:type="pct"/>
            <w:hideMark/>
          </w:tcPr>
          <w:p w:rsidR="00FF5834" w:rsidRPr="007255E3" w:rsidRDefault="00084FA0" w:rsidP="00136F9C">
            <w:pPr>
              <w:jc w:val="both"/>
            </w:pPr>
            <w:r w:rsidRPr="009A75D6">
              <w:t>Ir paredzams, ka n</w:t>
            </w:r>
            <w:r w:rsidR="007F7829" w:rsidRPr="009A75D6">
              <w:t xml:space="preserve">oteikumu </w:t>
            </w:r>
            <w:r w:rsidR="007F7829" w:rsidRPr="006062CE">
              <w:t xml:space="preserve">projekts </w:t>
            </w:r>
            <w:r w:rsidR="0070666E" w:rsidRPr="009A75D6">
              <w:t>nemainīs</w:t>
            </w:r>
            <w:r w:rsidR="009271C7" w:rsidRPr="006062CE">
              <w:t xml:space="preserve"> administratīvo slogu </w:t>
            </w:r>
            <w:r w:rsidR="00136F9C" w:rsidRPr="006062CE">
              <w:t>vakcinācijas iestādēm</w:t>
            </w:r>
            <w:r w:rsidR="00136F9C" w:rsidRPr="0046173F">
              <w:t xml:space="preserve">, </w:t>
            </w:r>
            <w:r w:rsidR="000E1D84" w:rsidRPr="0046173F">
              <w:t>Slimību profilakses un kontroles centram</w:t>
            </w:r>
            <w:r w:rsidR="00625102" w:rsidRPr="0046173F">
              <w:t xml:space="preserve"> </w:t>
            </w:r>
            <w:r w:rsidR="000E1D84" w:rsidRPr="0046173F">
              <w:t xml:space="preserve">un </w:t>
            </w:r>
            <w:r w:rsidR="00FF5834">
              <w:t xml:space="preserve">Nacionālajam veselības </w:t>
            </w:r>
            <w:r w:rsidR="00FF5834" w:rsidRPr="007255E3">
              <w:t>dienestam.</w:t>
            </w:r>
          </w:p>
          <w:p w:rsidR="001F2B65" w:rsidRDefault="007255E3" w:rsidP="0030695B">
            <w:pPr>
              <w:jc w:val="both"/>
            </w:pPr>
            <w:r w:rsidRPr="007255E3">
              <w:t>Noteikumu projektam nav ietekmes uz tautsaimniecību.</w:t>
            </w:r>
          </w:p>
          <w:p w:rsidR="007A320C" w:rsidRPr="00830910" w:rsidRDefault="007A320C" w:rsidP="000E578B">
            <w:pPr>
              <w:jc w:val="both"/>
              <w:rPr>
                <w:highlight w:val="magenta"/>
              </w:rPr>
            </w:pPr>
            <w:r w:rsidRPr="007A320C">
              <w:t>Projektā paredzēt</w:t>
            </w:r>
            <w:r>
              <w:t>ā</w:t>
            </w:r>
            <w:r w:rsidRPr="007A320C">
              <w:t xml:space="preserve"> pasākum</w:t>
            </w:r>
            <w:r>
              <w:t>a</w:t>
            </w:r>
            <w:r w:rsidRPr="007A320C">
              <w:t xml:space="preserve"> (</w:t>
            </w:r>
            <w:r w:rsidR="000E578B">
              <w:t>2.</w:t>
            </w:r>
            <w:r w:rsidRPr="007A320C">
              <w:t xml:space="preserve"> devas pret vējbakām ieviešanai) īstenošanai būs nepieciešami papildu finanšu līdzekļi.</w:t>
            </w:r>
          </w:p>
        </w:tc>
      </w:tr>
      <w:tr w:rsidR="00803E0A" w:rsidRPr="009A75D6" w:rsidTr="00A57857">
        <w:trPr>
          <w:trHeight w:val="510"/>
        </w:trPr>
        <w:tc>
          <w:tcPr>
            <w:tcW w:w="252" w:type="pct"/>
            <w:hideMark/>
          </w:tcPr>
          <w:p w:rsidR="00803E0A" w:rsidRPr="009A75D6" w:rsidRDefault="00803E0A" w:rsidP="00803E0A">
            <w:r w:rsidRPr="009A75D6">
              <w:t>3.</w:t>
            </w:r>
          </w:p>
        </w:tc>
        <w:tc>
          <w:tcPr>
            <w:tcW w:w="1558" w:type="pct"/>
            <w:hideMark/>
          </w:tcPr>
          <w:p w:rsidR="00803E0A" w:rsidRPr="009A75D6" w:rsidRDefault="00803E0A" w:rsidP="00803E0A">
            <w:r w:rsidRPr="009A75D6">
              <w:t>Administratīvo izmaksu monetārs novērtējums</w:t>
            </w:r>
          </w:p>
        </w:tc>
        <w:tc>
          <w:tcPr>
            <w:tcW w:w="3191" w:type="pct"/>
            <w:hideMark/>
          </w:tcPr>
          <w:p w:rsidR="00D91249" w:rsidRPr="009A75D6" w:rsidRDefault="00D84D86" w:rsidP="002C072B">
            <w:pPr>
              <w:jc w:val="both"/>
            </w:pPr>
            <w:r w:rsidRPr="00D84D86">
              <w:t>Projekts šo jomu neskar</w:t>
            </w:r>
          </w:p>
        </w:tc>
      </w:tr>
      <w:tr w:rsidR="00803E0A" w:rsidRPr="009A75D6" w:rsidTr="00F47742">
        <w:trPr>
          <w:trHeight w:val="259"/>
        </w:trPr>
        <w:tc>
          <w:tcPr>
            <w:tcW w:w="252" w:type="pct"/>
            <w:hideMark/>
          </w:tcPr>
          <w:p w:rsidR="00803E0A" w:rsidRPr="009A75D6" w:rsidRDefault="00803E0A" w:rsidP="00803E0A">
            <w:r w:rsidRPr="009A75D6">
              <w:t>4.</w:t>
            </w:r>
          </w:p>
        </w:tc>
        <w:tc>
          <w:tcPr>
            <w:tcW w:w="1558" w:type="pct"/>
            <w:hideMark/>
          </w:tcPr>
          <w:p w:rsidR="00803E0A" w:rsidRPr="009A75D6" w:rsidRDefault="00803E0A" w:rsidP="00803E0A">
            <w:r w:rsidRPr="009A75D6">
              <w:t>Cita informācija</w:t>
            </w:r>
          </w:p>
        </w:tc>
        <w:tc>
          <w:tcPr>
            <w:tcW w:w="3191" w:type="pct"/>
            <w:hideMark/>
          </w:tcPr>
          <w:p w:rsidR="00803E0A" w:rsidRPr="009A75D6" w:rsidRDefault="00D84D86" w:rsidP="007513D1">
            <w:pPr>
              <w:spacing w:before="100" w:beforeAutospacing="1" w:after="100" w:afterAutospacing="1"/>
              <w:jc w:val="both"/>
            </w:pPr>
            <w:r w:rsidRPr="00D84D86">
              <w:t>Nav</w:t>
            </w:r>
          </w:p>
        </w:tc>
      </w:tr>
    </w:tbl>
    <w:p w:rsidR="00B3671E" w:rsidRPr="00237834" w:rsidRDefault="00B3671E" w:rsidP="00F47742">
      <w:pPr>
        <w:jc w:val="center"/>
        <w:rPr>
          <w:sz w:val="20"/>
          <w:szCs w:val="20"/>
        </w:rPr>
      </w:pPr>
    </w:p>
    <w:tbl>
      <w:tblPr>
        <w:tblStyle w:val="TableGrid"/>
        <w:tblW w:w="0" w:type="auto"/>
        <w:tblInd w:w="-34" w:type="dxa"/>
        <w:tblLayout w:type="fixed"/>
        <w:tblLook w:val="04A0"/>
      </w:tblPr>
      <w:tblGrid>
        <w:gridCol w:w="2269"/>
        <w:gridCol w:w="1535"/>
        <w:gridCol w:w="1302"/>
        <w:gridCol w:w="1273"/>
        <w:gridCol w:w="1418"/>
        <w:gridCol w:w="1417"/>
      </w:tblGrid>
      <w:tr w:rsidR="006C793F" w:rsidRPr="009A75D6" w:rsidTr="006C793F">
        <w:trPr>
          <w:trHeight w:val="360"/>
        </w:trPr>
        <w:tc>
          <w:tcPr>
            <w:tcW w:w="9214" w:type="dxa"/>
            <w:gridSpan w:val="6"/>
            <w:hideMark/>
          </w:tcPr>
          <w:p w:rsidR="006C793F" w:rsidRPr="009A75D6" w:rsidRDefault="006C793F" w:rsidP="00F65F2C">
            <w:pPr>
              <w:pStyle w:val="tvhtml"/>
              <w:spacing w:line="293" w:lineRule="atLeast"/>
              <w:jc w:val="center"/>
              <w:rPr>
                <w:b/>
                <w:bCs/>
                <w:lang w:val="lv-LV"/>
              </w:rPr>
            </w:pPr>
            <w:r w:rsidRPr="009A75D6">
              <w:rPr>
                <w:b/>
                <w:bCs/>
                <w:lang w:val="lv-LV"/>
              </w:rPr>
              <w:t>III. Tiesību akta projekta ietekme uz valsts budžetu un pašvaldību budžetiem</w:t>
            </w:r>
          </w:p>
        </w:tc>
      </w:tr>
      <w:tr w:rsidR="006C793F" w:rsidRPr="009A75D6" w:rsidTr="006C793F">
        <w:tc>
          <w:tcPr>
            <w:tcW w:w="2269" w:type="dxa"/>
            <w:vMerge w:val="restart"/>
            <w:hideMark/>
          </w:tcPr>
          <w:p w:rsidR="006C793F" w:rsidRPr="009A75D6" w:rsidRDefault="006C793F" w:rsidP="00F65F2C">
            <w:pPr>
              <w:pStyle w:val="tvhtml"/>
              <w:spacing w:line="293" w:lineRule="atLeast"/>
              <w:jc w:val="center"/>
              <w:rPr>
                <w:b/>
                <w:bCs/>
                <w:lang w:val="lv-LV"/>
              </w:rPr>
            </w:pPr>
            <w:r w:rsidRPr="009A75D6">
              <w:rPr>
                <w:b/>
                <w:bCs/>
                <w:lang w:val="lv-LV"/>
              </w:rPr>
              <w:t>Rādītāji</w:t>
            </w:r>
          </w:p>
        </w:tc>
        <w:tc>
          <w:tcPr>
            <w:tcW w:w="2837" w:type="dxa"/>
            <w:gridSpan w:val="2"/>
            <w:vMerge w:val="restart"/>
            <w:hideMark/>
          </w:tcPr>
          <w:p w:rsidR="006C793F" w:rsidRPr="009A75D6" w:rsidRDefault="0049243D" w:rsidP="00385455">
            <w:pPr>
              <w:pStyle w:val="tvhtml"/>
              <w:spacing w:line="293" w:lineRule="atLeast"/>
              <w:jc w:val="center"/>
              <w:rPr>
                <w:b/>
                <w:bCs/>
                <w:lang w:val="lv-LV"/>
              </w:rPr>
            </w:pPr>
            <w:r w:rsidRPr="009A75D6">
              <w:rPr>
                <w:b/>
                <w:bCs/>
                <w:lang w:val="lv-LV"/>
              </w:rPr>
              <w:t>201</w:t>
            </w:r>
            <w:r w:rsidR="00385455">
              <w:rPr>
                <w:b/>
                <w:bCs/>
                <w:lang w:val="lv-LV"/>
              </w:rPr>
              <w:t>6</w:t>
            </w:r>
            <w:r w:rsidRPr="009A75D6">
              <w:rPr>
                <w:b/>
                <w:bCs/>
                <w:lang w:val="lv-LV"/>
              </w:rPr>
              <w:t>. gads</w:t>
            </w:r>
          </w:p>
        </w:tc>
        <w:tc>
          <w:tcPr>
            <w:tcW w:w="4108" w:type="dxa"/>
            <w:gridSpan w:val="3"/>
            <w:hideMark/>
          </w:tcPr>
          <w:p w:rsidR="006C793F" w:rsidRPr="009A75D6" w:rsidRDefault="006C793F" w:rsidP="00F65F2C">
            <w:pPr>
              <w:pStyle w:val="tvhtml"/>
              <w:spacing w:line="293" w:lineRule="atLeast"/>
              <w:jc w:val="center"/>
              <w:rPr>
                <w:lang w:val="lv-LV"/>
              </w:rPr>
            </w:pPr>
            <w:r w:rsidRPr="009A75D6">
              <w:rPr>
                <w:lang w:val="lv-LV"/>
              </w:rPr>
              <w:t>Turpmākie trīs gadi (</w:t>
            </w:r>
            <w:r w:rsidRPr="009A75D6">
              <w:rPr>
                <w:i/>
                <w:iCs/>
                <w:lang w:val="lv-LV"/>
              </w:rPr>
              <w:t>euro</w:t>
            </w:r>
            <w:r w:rsidRPr="009A75D6">
              <w:rPr>
                <w:lang w:val="lv-LV"/>
              </w:rPr>
              <w:t>)</w:t>
            </w:r>
          </w:p>
        </w:tc>
      </w:tr>
      <w:tr w:rsidR="006C793F" w:rsidRPr="009A75D6" w:rsidTr="006C793F">
        <w:tc>
          <w:tcPr>
            <w:tcW w:w="2269" w:type="dxa"/>
            <w:vMerge/>
            <w:hideMark/>
          </w:tcPr>
          <w:p w:rsidR="006C793F" w:rsidRPr="009A75D6" w:rsidRDefault="006C793F" w:rsidP="00F65F2C">
            <w:pPr>
              <w:rPr>
                <w:b/>
                <w:bCs/>
              </w:rPr>
            </w:pPr>
          </w:p>
        </w:tc>
        <w:tc>
          <w:tcPr>
            <w:tcW w:w="2837" w:type="dxa"/>
            <w:gridSpan w:val="2"/>
            <w:vMerge/>
            <w:hideMark/>
          </w:tcPr>
          <w:p w:rsidR="006C793F" w:rsidRPr="009A75D6" w:rsidRDefault="006C793F" w:rsidP="00F65F2C">
            <w:pPr>
              <w:rPr>
                <w:b/>
                <w:bCs/>
              </w:rPr>
            </w:pPr>
          </w:p>
        </w:tc>
        <w:tc>
          <w:tcPr>
            <w:tcW w:w="1273" w:type="dxa"/>
            <w:hideMark/>
          </w:tcPr>
          <w:p w:rsidR="006C793F" w:rsidRPr="009A75D6" w:rsidRDefault="003F4E0F" w:rsidP="00F65F2C">
            <w:pPr>
              <w:pStyle w:val="tvhtml"/>
              <w:spacing w:line="293" w:lineRule="atLeast"/>
              <w:jc w:val="center"/>
              <w:rPr>
                <w:b/>
                <w:bCs/>
                <w:lang w:val="lv-LV"/>
              </w:rPr>
            </w:pPr>
            <w:proofErr w:type="gramStart"/>
            <w:r>
              <w:rPr>
                <w:b/>
                <w:bCs/>
                <w:lang w:val="lv-LV"/>
              </w:rPr>
              <w:t>2017.gads</w:t>
            </w:r>
            <w:proofErr w:type="gramEnd"/>
          </w:p>
        </w:tc>
        <w:tc>
          <w:tcPr>
            <w:tcW w:w="1418" w:type="dxa"/>
            <w:hideMark/>
          </w:tcPr>
          <w:p w:rsidR="006C793F" w:rsidRPr="009A75D6" w:rsidRDefault="003F4E0F" w:rsidP="00F65F2C">
            <w:pPr>
              <w:pStyle w:val="tvhtml"/>
              <w:spacing w:line="293" w:lineRule="atLeast"/>
              <w:jc w:val="center"/>
              <w:rPr>
                <w:b/>
                <w:bCs/>
                <w:lang w:val="lv-LV"/>
              </w:rPr>
            </w:pPr>
            <w:proofErr w:type="gramStart"/>
            <w:r>
              <w:rPr>
                <w:b/>
                <w:bCs/>
                <w:lang w:val="lv-LV"/>
              </w:rPr>
              <w:t>2018.gads</w:t>
            </w:r>
            <w:proofErr w:type="gramEnd"/>
          </w:p>
        </w:tc>
        <w:tc>
          <w:tcPr>
            <w:tcW w:w="1417" w:type="dxa"/>
            <w:hideMark/>
          </w:tcPr>
          <w:p w:rsidR="006C793F" w:rsidRPr="009A75D6" w:rsidRDefault="003F4E0F" w:rsidP="00F65F2C">
            <w:pPr>
              <w:pStyle w:val="tvhtml"/>
              <w:spacing w:line="293" w:lineRule="atLeast"/>
              <w:jc w:val="center"/>
              <w:rPr>
                <w:b/>
                <w:bCs/>
                <w:lang w:val="lv-LV"/>
              </w:rPr>
            </w:pPr>
            <w:proofErr w:type="gramStart"/>
            <w:r>
              <w:rPr>
                <w:b/>
                <w:bCs/>
                <w:lang w:val="lv-LV"/>
              </w:rPr>
              <w:t>2019.gads</w:t>
            </w:r>
            <w:proofErr w:type="gramEnd"/>
          </w:p>
        </w:tc>
      </w:tr>
      <w:tr w:rsidR="006C793F" w:rsidRPr="009A75D6" w:rsidTr="006C793F">
        <w:tc>
          <w:tcPr>
            <w:tcW w:w="2269" w:type="dxa"/>
            <w:vMerge/>
            <w:hideMark/>
          </w:tcPr>
          <w:p w:rsidR="006C793F" w:rsidRPr="009A75D6" w:rsidRDefault="006C793F" w:rsidP="00F65F2C">
            <w:pPr>
              <w:rPr>
                <w:b/>
                <w:bCs/>
              </w:rPr>
            </w:pPr>
          </w:p>
        </w:tc>
        <w:tc>
          <w:tcPr>
            <w:tcW w:w="1535" w:type="dxa"/>
            <w:hideMark/>
          </w:tcPr>
          <w:p w:rsidR="006C793F" w:rsidRPr="009A75D6" w:rsidRDefault="006C793F" w:rsidP="00F65F2C">
            <w:pPr>
              <w:pStyle w:val="tvhtml"/>
              <w:spacing w:line="293" w:lineRule="atLeast"/>
              <w:jc w:val="center"/>
              <w:rPr>
                <w:lang w:val="lv-LV"/>
              </w:rPr>
            </w:pPr>
            <w:r w:rsidRPr="009A75D6">
              <w:rPr>
                <w:lang w:val="lv-LV"/>
              </w:rPr>
              <w:t>saskaņā ar valsts budžetu kārtējam gadam</w:t>
            </w:r>
            <w:r w:rsidR="00C95D16">
              <w:rPr>
                <w:lang w:val="lv-LV"/>
              </w:rPr>
              <w:t>*</w:t>
            </w:r>
          </w:p>
        </w:tc>
        <w:tc>
          <w:tcPr>
            <w:tcW w:w="1302" w:type="dxa"/>
            <w:hideMark/>
          </w:tcPr>
          <w:p w:rsidR="006C793F" w:rsidRPr="009A75D6" w:rsidRDefault="006C793F" w:rsidP="00F65F2C">
            <w:pPr>
              <w:pStyle w:val="tvhtml"/>
              <w:spacing w:line="293" w:lineRule="atLeast"/>
              <w:jc w:val="center"/>
              <w:rPr>
                <w:lang w:val="lv-LV"/>
              </w:rPr>
            </w:pPr>
            <w:r w:rsidRPr="009A75D6">
              <w:rPr>
                <w:lang w:val="lv-LV"/>
              </w:rPr>
              <w:t xml:space="preserve">izmaiņas kārtējā gadā, salīdzinot ar valsts </w:t>
            </w:r>
            <w:r w:rsidRPr="009A75D6">
              <w:rPr>
                <w:lang w:val="lv-LV"/>
              </w:rPr>
              <w:lastRenderedPageBreak/>
              <w:t>budžetu kārtējam gadam</w:t>
            </w:r>
          </w:p>
        </w:tc>
        <w:tc>
          <w:tcPr>
            <w:tcW w:w="1273" w:type="dxa"/>
            <w:hideMark/>
          </w:tcPr>
          <w:p w:rsidR="006C793F" w:rsidRPr="009A75D6" w:rsidRDefault="006C793F" w:rsidP="00F65F2C">
            <w:pPr>
              <w:pStyle w:val="tvhtml"/>
              <w:spacing w:line="293" w:lineRule="atLeast"/>
              <w:jc w:val="center"/>
              <w:rPr>
                <w:lang w:val="lv-LV"/>
              </w:rPr>
            </w:pPr>
            <w:r w:rsidRPr="009A75D6">
              <w:rPr>
                <w:lang w:val="lv-LV"/>
              </w:rPr>
              <w:lastRenderedPageBreak/>
              <w:t>izmaiņa, salīdzinot ar kārtējo (n) gadu</w:t>
            </w:r>
          </w:p>
        </w:tc>
        <w:tc>
          <w:tcPr>
            <w:tcW w:w="1418" w:type="dxa"/>
            <w:hideMark/>
          </w:tcPr>
          <w:p w:rsidR="006C793F" w:rsidRPr="009A75D6" w:rsidRDefault="006C793F" w:rsidP="00F65F2C">
            <w:pPr>
              <w:pStyle w:val="tvhtml"/>
              <w:spacing w:line="293" w:lineRule="atLeast"/>
              <w:jc w:val="center"/>
              <w:rPr>
                <w:lang w:val="lv-LV"/>
              </w:rPr>
            </w:pPr>
            <w:r w:rsidRPr="009A75D6">
              <w:rPr>
                <w:lang w:val="lv-LV"/>
              </w:rPr>
              <w:t>izmaiņas, salīdzinot ar kārtējo (n) gadu</w:t>
            </w:r>
          </w:p>
        </w:tc>
        <w:tc>
          <w:tcPr>
            <w:tcW w:w="1417" w:type="dxa"/>
            <w:hideMark/>
          </w:tcPr>
          <w:p w:rsidR="006C793F" w:rsidRPr="009A75D6" w:rsidRDefault="006C793F" w:rsidP="00F65F2C">
            <w:pPr>
              <w:pStyle w:val="tvhtml"/>
              <w:spacing w:line="293" w:lineRule="atLeast"/>
              <w:jc w:val="center"/>
              <w:rPr>
                <w:lang w:val="lv-LV"/>
              </w:rPr>
            </w:pPr>
            <w:r w:rsidRPr="009A75D6">
              <w:rPr>
                <w:lang w:val="lv-LV"/>
              </w:rPr>
              <w:t>izmaiņas, salīdzinot ar kārtējo (n) gadu</w:t>
            </w:r>
          </w:p>
        </w:tc>
      </w:tr>
      <w:tr w:rsidR="006C793F" w:rsidRPr="009A75D6" w:rsidTr="006C793F">
        <w:tc>
          <w:tcPr>
            <w:tcW w:w="2269" w:type="dxa"/>
            <w:hideMark/>
          </w:tcPr>
          <w:p w:rsidR="006C793F" w:rsidRPr="009A75D6" w:rsidRDefault="006C793F" w:rsidP="00F65F2C">
            <w:pPr>
              <w:pStyle w:val="tvhtml"/>
              <w:spacing w:line="293" w:lineRule="atLeast"/>
              <w:jc w:val="center"/>
              <w:rPr>
                <w:lang w:val="lv-LV"/>
              </w:rPr>
            </w:pPr>
            <w:r w:rsidRPr="009A75D6">
              <w:rPr>
                <w:lang w:val="lv-LV"/>
              </w:rPr>
              <w:lastRenderedPageBreak/>
              <w:t>1</w:t>
            </w:r>
          </w:p>
        </w:tc>
        <w:tc>
          <w:tcPr>
            <w:tcW w:w="1535" w:type="dxa"/>
            <w:hideMark/>
          </w:tcPr>
          <w:p w:rsidR="006C793F" w:rsidRPr="009A75D6" w:rsidRDefault="006C793F" w:rsidP="00F65F2C">
            <w:pPr>
              <w:pStyle w:val="tvhtml"/>
              <w:spacing w:line="293" w:lineRule="atLeast"/>
              <w:jc w:val="center"/>
              <w:rPr>
                <w:lang w:val="lv-LV"/>
              </w:rPr>
            </w:pPr>
            <w:r w:rsidRPr="009A75D6">
              <w:rPr>
                <w:lang w:val="lv-LV"/>
              </w:rPr>
              <w:t>2</w:t>
            </w:r>
          </w:p>
        </w:tc>
        <w:tc>
          <w:tcPr>
            <w:tcW w:w="1302" w:type="dxa"/>
            <w:hideMark/>
          </w:tcPr>
          <w:p w:rsidR="006C793F" w:rsidRPr="009A75D6" w:rsidRDefault="006C793F" w:rsidP="00F65F2C">
            <w:pPr>
              <w:pStyle w:val="tvhtml"/>
              <w:spacing w:line="293" w:lineRule="atLeast"/>
              <w:jc w:val="center"/>
              <w:rPr>
                <w:lang w:val="lv-LV"/>
              </w:rPr>
            </w:pPr>
            <w:r w:rsidRPr="009A75D6">
              <w:rPr>
                <w:lang w:val="lv-LV"/>
              </w:rPr>
              <w:t>3</w:t>
            </w:r>
          </w:p>
        </w:tc>
        <w:tc>
          <w:tcPr>
            <w:tcW w:w="1273" w:type="dxa"/>
            <w:hideMark/>
          </w:tcPr>
          <w:p w:rsidR="006C793F" w:rsidRPr="009A75D6" w:rsidRDefault="006C793F" w:rsidP="00F65F2C">
            <w:pPr>
              <w:pStyle w:val="tvhtml"/>
              <w:spacing w:line="293" w:lineRule="atLeast"/>
              <w:jc w:val="center"/>
              <w:rPr>
                <w:lang w:val="lv-LV"/>
              </w:rPr>
            </w:pPr>
            <w:r w:rsidRPr="009A75D6">
              <w:rPr>
                <w:lang w:val="lv-LV"/>
              </w:rPr>
              <w:t>4</w:t>
            </w:r>
          </w:p>
        </w:tc>
        <w:tc>
          <w:tcPr>
            <w:tcW w:w="1418" w:type="dxa"/>
            <w:hideMark/>
          </w:tcPr>
          <w:p w:rsidR="006C793F" w:rsidRPr="009A75D6" w:rsidRDefault="006C793F" w:rsidP="00F65F2C">
            <w:pPr>
              <w:pStyle w:val="tvhtml"/>
              <w:spacing w:line="293" w:lineRule="atLeast"/>
              <w:jc w:val="center"/>
              <w:rPr>
                <w:lang w:val="lv-LV"/>
              </w:rPr>
            </w:pPr>
            <w:r w:rsidRPr="009A75D6">
              <w:rPr>
                <w:lang w:val="lv-LV"/>
              </w:rPr>
              <w:t>5</w:t>
            </w:r>
          </w:p>
        </w:tc>
        <w:tc>
          <w:tcPr>
            <w:tcW w:w="1417" w:type="dxa"/>
            <w:hideMark/>
          </w:tcPr>
          <w:p w:rsidR="006C793F" w:rsidRPr="009A75D6" w:rsidRDefault="006C793F" w:rsidP="00F65F2C">
            <w:pPr>
              <w:pStyle w:val="tvhtml"/>
              <w:spacing w:line="293" w:lineRule="atLeast"/>
              <w:jc w:val="center"/>
              <w:rPr>
                <w:lang w:val="lv-LV"/>
              </w:rPr>
            </w:pPr>
            <w:r w:rsidRPr="009A75D6">
              <w:rPr>
                <w:lang w:val="lv-LV"/>
              </w:rPr>
              <w:t>6</w:t>
            </w:r>
          </w:p>
        </w:tc>
      </w:tr>
      <w:tr w:rsidR="006C793F" w:rsidRPr="009A75D6" w:rsidTr="006C793F">
        <w:tc>
          <w:tcPr>
            <w:tcW w:w="2269" w:type="dxa"/>
            <w:hideMark/>
          </w:tcPr>
          <w:p w:rsidR="006C793F" w:rsidRPr="000C328D" w:rsidRDefault="006C793F" w:rsidP="00F65F2C">
            <w:pPr>
              <w:rPr>
                <w:b/>
              </w:rPr>
            </w:pPr>
            <w:r w:rsidRPr="000C328D">
              <w:rPr>
                <w:b/>
              </w:rPr>
              <w:t>1. Budžeta ieņēmumi:</w:t>
            </w:r>
          </w:p>
        </w:tc>
        <w:tc>
          <w:tcPr>
            <w:tcW w:w="1535" w:type="dxa"/>
            <w:vAlign w:val="center"/>
            <w:hideMark/>
          </w:tcPr>
          <w:p w:rsidR="006C793F" w:rsidRPr="000C328D" w:rsidRDefault="00AC2F9F" w:rsidP="00AC2F9F">
            <w:pPr>
              <w:pStyle w:val="naisf"/>
              <w:spacing w:before="0" w:after="0"/>
              <w:ind w:left="-16" w:firstLine="0"/>
              <w:jc w:val="center"/>
              <w:rPr>
                <w:b/>
              </w:rPr>
            </w:pPr>
            <w:r w:rsidRPr="000C328D">
              <w:rPr>
                <w:b/>
                <w:noProof/>
              </w:rPr>
              <w:t>11</w:t>
            </w:r>
            <w:r w:rsidRPr="000C328D">
              <w:rPr>
                <w:b/>
                <w:color w:val="000000"/>
                <w:shd w:val="clear" w:color="auto" w:fill="FFFFFF"/>
                <w:lang w:bidi="lv-LV"/>
              </w:rPr>
              <w:t xml:space="preserve"> 435 988 </w:t>
            </w:r>
          </w:p>
        </w:tc>
        <w:tc>
          <w:tcPr>
            <w:tcW w:w="1302" w:type="dxa"/>
            <w:vAlign w:val="center"/>
            <w:hideMark/>
          </w:tcPr>
          <w:p w:rsidR="006C793F" w:rsidRPr="009A75D6" w:rsidRDefault="006C793F" w:rsidP="00F65F2C">
            <w:pPr>
              <w:pStyle w:val="naisf"/>
              <w:spacing w:before="0" w:after="0"/>
              <w:ind w:firstLine="0"/>
              <w:jc w:val="center"/>
              <w:rPr>
                <w:b/>
              </w:rPr>
            </w:pPr>
            <w:r w:rsidRPr="009A75D6">
              <w:rPr>
                <w:b/>
              </w:rPr>
              <w:t>0</w:t>
            </w:r>
          </w:p>
        </w:tc>
        <w:tc>
          <w:tcPr>
            <w:tcW w:w="1273" w:type="dxa"/>
            <w:vAlign w:val="center"/>
            <w:hideMark/>
          </w:tcPr>
          <w:p w:rsidR="006C793F" w:rsidRPr="009A75D6" w:rsidRDefault="006C793F" w:rsidP="00F65F2C">
            <w:pPr>
              <w:pStyle w:val="naisf"/>
              <w:spacing w:before="0" w:after="0"/>
              <w:ind w:firstLine="0"/>
              <w:jc w:val="center"/>
              <w:rPr>
                <w:b/>
              </w:rPr>
            </w:pPr>
            <w:r w:rsidRPr="009A75D6">
              <w:rPr>
                <w:b/>
              </w:rPr>
              <w:t>0</w:t>
            </w:r>
          </w:p>
        </w:tc>
        <w:tc>
          <w:tcPr>
            <w:tcW w:w="1418" w:type="dxa"/>
            <w:vAlign w:val="center"/>
            <w:hideMark/>
          </w:tcPr>
          <w:p w:rsidR="006C793F" w:rsidRPr="009A75D6" w:rsidRDefault="006C793F" w:rsidP="00F65F2C">
            <w:pPr>
              <w:pStyle w:val="naisf"/>
              <w:spacing w:before="0" w:after="0"/>
              <w:ind w:firstLine="0"/>
              <w:jc w:val="center"/>
              <w:rPr>
                <w:b/>
              </w:rPr>
            </w:pPr>
            <w:r w:rsidRPr="009A75D6">
              <w:rPr>
                <w:b/>
              </w:rPr>
              <w:t>0</w:t>
            </w:r>
          </w:p>
        </w:tc>
        <w:tc>
          <w:tcPr>
            <w:tcW w:w="1417" w:type="dxa"/>
            <w:vAlign w:val="center"/>
            <w:hideMark/>
          </w:tcPr>
          <w:p w:rsidR="006C793F" w:rsidRPr="009A75D6" w:rsidRDefault="006C793F" w:rsidP="00F65F2C">
            <w:pPr>
              <w:pStyle w:val="naisf"/>
              <w:spacing w:before="0" w:after="0"/>
              <w:ind w:firstLine="0"/>
              <w:jc w:val="center"/>
              <w:rPr>
                <w:b/>
              </w:rPr>
            </w:pPr>
            <w:r w:rsidRPr="009A75D6">
              <w:rPr>
                <w:b/>
              </w:rPr>
              <w:t>0</w:t>
            </w:r>
          </w:p>
        </w:tc>
      </w:tr>
      <w:tr w:rsidR="006C793F" w:rsidRPr="009A75D6" w:rsidTr="006C793F">
        <w:tc>
          <w:tcPr>
            <w:tcW w:w="2269" w:type="dxa"/>
            <w:hideMark/>
          </w:tcPr>
          <w:p w:rsidR="006C793F" w:rsidRPr="009A75D6" w:rsidRDefault="006C793F" w:rsidP="00F65F2C">
            <w:r w:rsidRPr="009A75D6">
              <w:t>1.1. valsts pamatbudžets, tai skaitā ieņēmumi no maksas pakalpojumiem un citi pašu ieņēmumi</w:t>
            </w:r>
          </w:p>
        </w:tc>
        <w:tc>
          <w:tcPr>
            <w:tcW w:w="1535" w:type="dxa"/>
            <w:vAlign w:val="center"/>
            <w:hideMark/>
          </w:tcPr>
          <w:p w:rsidR="006C793F" w:rsidRPr="009A75D6" w:rsidRDefault="000C328D" w:rsidP="00F65F2C">
            <w:pPr>
              <w:pStyle w:val="naisf"/>
              <w:spacing w:before="0" w:after="0"/>
              <w:ind w:firstLine="0"/>
              <w:jc w:val="center"/>
            </w:pPr>
            <w:r>
              <w:rPr>
                <w:noProof/>
              </w:rPr>
              <w:t>11</w:t>
            </w:r>
            <w:r w:rsidRPr="00106EDD">
              <w:rPr>
                <w:color w:val="000000"/>
                <w:shd w:val="clear" w:color="auto" w:fill="FFFFFF"/>
                <w:lang w:bidi="lv-LV"/>
              </w:rPr>
              <w:t> </w:t>
            </w:r>
            <w:r>
              <w:rPr>
                <w:color w:val="000000"/>
                <w:shd w:val="clear" w:color="auto" w:fill="FFFFFF"/>
                <w:lang w:bidi="lv-LV"/>
              </w:rPr>
              <w:t>435 988</w:t>
            </w:r>
          </w:p>
          <w:p w:rsidR="006C793F" w:rsidRPr="009A75D6" w:rsidRDefault="006C793F" w:rsidP="00F65F2C">
            <w:pPr>
              <w:pStyle w:val="naisf"/>
              <w:spacing w:before="0" w:after="0"/>
              <w:ind w:firstLine="0"/>
              <w:jc w:val="center"/>
            </w:pPr>
          </w:p>
          <w:p w:rsidR="006C793F" w:rsidRPr="009A75D6" w:rsidRDefault="000C328D" w:rsidP="00F65F2C">
            <w:pPr>
              <w:pStyle w:val="naisf"/>
              <w:spacing w:before="0" w:after="0"/>
              <w:ind w:firstLine="0"/>
              <w:jc w:val="center"/>
            </w:pPr>
            <w:r>
              <w:rPr>
                <w:color w:val="000000"/>
                <w:shd w:val="clear" w:color="auto" w:fill="FFFFFF"/>
                <w:lang w:bidi="lv-LV"/>
              </w:rPr>
              <w:t>7</w:t>
            </w:r>
            <w:r w:rsidRPr="00106EDD">
              <w:rPr>
                <w:color w:val="000000"/>
                <w:shd w:val="clear" w:color="auto" w:fill="FFFFFF"/>
                <w:lang w:bidi="lv-LV"/>
              </w:rPr>
              <w:t> </w:t>
            </w:r>
            <w:r>
              <w:rPr>
                <w:color w:val="000000"/>
                <w:shd w:val="clear" w:color="auto" w:fill="FFFFFF"/>
                <w:lang w:bidi="lv-LV"/>
              </w:rPr>
              <w:t>115</w:t>
            </w:r>
          </w:p>
          <w:p w:rsidR="006C793F" w:rsidRPr="009A75D6" w:rsidRDefault="006C793F" w:rsidP="00F65F2C">
            <w:pPr>
              <w:pStyle w:val="naisf"/>
              <w:spacing w:before="0" w:after="0"/>
              <w:ind w:firstLine="0"/>
              <w:jc w:val="center"/>
            </w:pPr>
          </w:p>
        </w:tc>
        <w:tc>
          <w:tcPr>
            <w:tcW w:w="1302" w:type="dxa"/>
            <w:vAlign w:val="center"/>
            <w:hideMark/>
          </w:tcPr>
          <w:p w:rsidR="006C793F" w:rsidRPr="009A75D6" w:rsidRDefault="006C793F" w:rsidP="00F65F2C">
            <w:pPr>
              <w:pStyle w:val="naisf"/>
              <w:spacing w:before="0" w:after="0"/>
              <w:ind w:firstLine="0"/>
              <w:jc w:val="center"/>
            </w:pPr>
            <w:r w:rsidRPr="009A75D6">
              <w:t>0</w:t>
            </w:r>
          </w:p>
        </w:tc>
        <w:tc>
          <w:tcPr>
            <w:tcW w:w="1273" w:type="dxa"/>
            <w:vAlign w:val="center"/>
            <w:hideMark/>
          </w:tcPr>
          <w:p w:rsidR="006C793F" w:rsidRPr="009A75D6" w:rsidRDefault="006C793F" w:rsidP="00F65F2C">
            <w:pPr>
              <w:pStyle w:val="naisf"/>
              <w:spacing w:before="0" w:after="0"/>
              <w:ind w:firstLine="0"/>
              <w:jc w:val="center"/>
            </w:pPr>
            <w:r w:rsidRPr="009A75D6">
              <w:t>0</w:t>
            </w:r>
          </w:p>
        </w:tc>
        <w:tc>
          <w:tcPr>
            <w:tcW w:w="1418" w:type="dxa"/>
            <w:vAlign w:val="center"/>
            <w:hideMark/>
          </w:tcPr>
          <w:p w:rsidR="006C793F" w:rsidRPr="009A75D6" w:rsidRDefault="006C793F" w:rsidP="00F65F2C">
            <w:pPr>
              <w:pStyle w:val="naisf"/>
              <w:spacing w:before="0" w:after="0"/>
              <w:ind w:firstLine="0"/>
              <w:jc w:val="center"/>
            </w:pPr>
            <w:r w:rsidRPr="009A75D6">
              <w:t>0</w:t>
            </w:r>
          </w:p>
        </w:tc>
        <w:tc>
          <w:tcPr>
            <w:tcW w:w="1417" w:type="dxa"/>
            <w:vAlign w:val="center"/>
            <w:hideMark/>
          </w:tcPr>
          <w:p w:rsidR="006C793F" w:rsidRPr="009A75D6" w:rsidRDefault="006C793F" w:rsidP="00F65F2C">
            <w:pPr>
              <w:pStyle w:val="naisf"/>
              <w:spacing w:before="0" w:after="0"/>
              <w:ind w:firstLine="0"/>
              <w:jc w:val="center"/>
            </w:pPr>
            <w:r w:rsidRPr="009A75D6">
              <w:t>0</w:t>
            </w:r>
          </w:p>
        </w:tc>
      </w:tr>
      <w:tr w:rsidR="006C793F" w:rsidRPr="009A75D6" w:rsidTr="006C793F">
        <w:trPr>
          <w:trHeight w:val="680"/>
        </w:trPr>
        <w:tc>
          <w:tcPr>
            <w:tcW w:w="2269" w:type="dxa"/>
            <w:hideMark/>
          </w:tcPr>
          <w:p w:rsidR="006C793F" w:rsidRPr="009A75D6" w:rsidRDefault="006C793F" w:rsidP="00F65F2C">
            <w:r w:rsidRPr="009A75D6">
              <w:t>1.2. valsts speciālais budžets</w:t>
            </w:r>
          </w:p>
        </w:tc>
        <w:tc>
          <w:tcPr>
            <w:tcW w:w="1535" w:type="dxa"/>
            <w:vAlign w:val="center"/>
            <w:hideMark/>
          </w:tcPr>
          <w:p w:rsidR="006C793F" w:rsidRPr="009A75D6" w:rsidRDefault="006C793F" w:rsidP="00F65F2C">
            <w:pPr>
              <w:pStyle w:val="naisf"/>
              <w:spacing w:before="0" w:after="0"/>
              <w:ind w:firstLine="0"/>
              <w:jc w:val="center"/>
            </w:pPr>
            <w:r w:rsidRPr="009A75D6">
              <w:t>0</w:t>
            </w:r>
          </w:p>
        </w:tc>
        <w:tc>
          <w:tcPr>
            <w:tcW w:w="1302" w:type="dxa"/>
            <w:vAlign w:val="center"/>
            <w:hideMark/>
          </w:tcPr>
          <w:p w:rsidR="006C793F" w:rsidRPr="009A75D6" w:rsidRDefault="006C793F" w:rsidP="00F65F2C">
            <w:pPr>
              <w:pStyle w:val="naisf"/>
              <w:spacing w:before="0" w:after="0"/>
              <w:ind w:firstLine="0"/>
              <w:jc w:val="center"/>
            </w:pPr>
            <w:r w:rsidRPr="009A75D6">
              <w:t>0</w:t>
            </w:r>
          </w:p>
        </w:tc>
        <w:tc>
          <w:tcPr>
            <w:tcW w:w="1273" w:type="dxa"/>
            <w:vAlign w:val="center"/>
            <w:hideMark/>
          </w:tcPr>
          <w:p w:rsidR="006C793F" w:rsidRPr="009A75D6" w:rsidRDefault="006C793F" w:rsidP="00F65F2C">
            <w:pPr>
              <w:pStyle w:val="naisf"/>
              <w:spacing w:before="0" w:after="0"/>
              <w:ind w:firstLine="0"/>
              <w:jc w:val="center"/>
            </w:pPr>
            <w:r w:rsidRPr="009A75D6">
              <w:t>0</w:t>
            </w:r>
          </w:p>
        </w:tc>
        <w:tc>
          <w:tcPr>
            <w:tcW w:w="1418" w:type="dxa"/>
            <w:vAlign w:val="center"/>
            <w:hideMark/>
          </w:tcPr>
          <w:p w:rsidR="006C793F" w:rsidRPr="009A75D6" w:rsidRDefault="006C793F" w:rsidP="00F65F2C">
            <w:pPr>
              <w:pStyle w:val="naisf"/>
              <w:spacing w:before="0" w:after="0"/>
              <w:ind w:firstLine="0"/>
              <w:jc w:val="center"/>
            </w:pPr>
            <w:r w:rsidRPr="009A75D6">
              <w:t>0</w:t>
            </w:r>
          </w:p>
        </w:tc>
        <w:tc>
          <w:tcPr>
            <w:tcW w:w="1417" w:type="dxa"/>
            <w:vAlign w:val="center"/>
            <w:hideMark/>
          </w:tcPr>
          <w:p w:rsidR="006C793F" w:rsidRPr="009A75D6" w:rsidRDefault="006C793F" w:rsidP="00F65F2C">
            <w:pPr>
              <w:pStyle w:val="naisf"/>
              <w:spacing w:before="0" w:after="0"/>
              <w:ind w:firstLine="0"/>
              <w:jc w:val="center"/>
            </w:pPr>
            <w:r w:rsidRPr="009A75D6">
              <w:t>0</w:t>
            </w:r>
          </w:p>
        </w:tc>
      </w:tr>
      <w:tr w:rsidR="006C793F" w:rsidRPr="009A75D6" w:rsidTr="006C793F">
        <w:tc>
          <w:tcPr>
            <w:tcW w:w="2269" w:type="dxa"/>
            <w:hideMark/>
          </w:tcPr>
          <w:p w:rsidR="006C793F" w:rsidRPr="009A75D6" w:rsidRDefault="006C793F" w:rsidP="00F65F2C">
            <w:r w:rsidRPr="009A75D6">
              <w:t>1.3. pašvaldību budžets</w:t>
            </w:r>
          </w:p>
        </w:tc>
        <w:tc>
          <w:tcPr>
            <w:tcW w:w="1535" w:type="dxa"/>
            <w:vAlign w:val="center"/>
            <w:hideMark/>
          </w:tcPr>
          <w:p w:rsidR="006C793F" w:rsidRPr="009A75D6" w:rsidRDefault="006C793F" w:rsidP="00F65F2C">
            <w:pPr>
              <w:pStyle w:val="naisf"/>
              <w:spacing w:before="0" w:after="0"/>
              <w:ind w:firstLine="0"/>
              <w:jc w:val="center"/>
            </w:pPr>
            <w:r w:rsidRPr="009A75D6">
              <w:t>0</w:t>
            </w:r>
          </w:p>
        </w:tc>
        <w:tc>
          <w:tcPr>
            <w:tcW w:w="1302" w:type="dxa"/>
            <w:vAlign w:val="center"/>
            <w:hideMark/>
          </w:tcPr>
          <w:p w:rsidR="006C793F" w:rsidRPr="009A75D6" w:rsidRDefault="006C793F" w:rsidP="00F65F2C">
            <w:pPr>
              <w:pStyle w:val="naisf"/>
              <w:spacing w:before="0" w:after="0"/>
              <w:ind w:firstLine="0"/>
              <w:jc w:val="center"/>
            </w:pPr>
            <w:r w:rsidRPr="009A75D6">
              <w:t>0</w:t>
            </w:r>
          </w:p>
        </w:tc>
        <w:tc>
          <w:tcPr>
            <w:tcW w:w="1273" w:type="dxa"/>
            <w:vAlign w:val="center"/>
            <w:hideMark/>
          </w:tcPr>
          <w:p w:rsidR="006C793F" w:rsidRPr="009A75D6" w:rsidRDefault="006C793F" w:rsidP="00F65F2C">
            <w:pPr>
              <w:pStyle w:val="naisf"/>
              <w:spacing w:before="0" w:after="0"/>
              <w:ind w:firstLine="0"/>
              <w:jc w:val="center"/>
            </w:pPr>
            <w:r w:rsidRPr="009A75D6">
              <w:t>0</w:t>
            </w:r>
          </w:p>
        </w:tc>
        <w:tc>
          <w:tcPr>
            <w:tcW w:w="1418" w:type="dxa"/>
            <w:vAlign w:val="center"/>
            <w:hideMark/>
          </w:tcPr>
          <w:p w:rsidR="006C793F" w:rsidRPr="009A75D6" w:rsidRDefault="006C793F" w:rsidP="00F65F2C">
            <w:pPr>
              <w:pStyle w:val="naisf"/>
              <w:spacing w:before="0" w:after="0"/>
              <w:ind w:firstLine="0"/>
              <w:jc w:val="center"/>
            </w:pPr>
            <w:r w:rsidRPr="009A75D6">
              <w:t>0</w:t>
            </w:r>
          </w:p>
        </w:tc>
        <w:tc>
          <w:tcPr>
            <w:tcW w:w="1417" w:type="dxa"/>
            <w:vAlign w:val="center"/>
            <w:hideMark/>
          </w:tcPr>
          <w:p w:rsidR="006C793F" w:rsidRPr="009A75D6" w:rsidRDefault="006C793F" w:rsidP="00F65F2C">
            <w:pPr>
              <w:pStyle w:val="naisf"/>
              <w:spacing w:before="0" w:after="0"/>
              <w:ind w:firstLine="0"/>
              <w:jc w:val="center"/>
            </w:pPr>
            <w:r w:rsidRPr="009A75D6">
              <w:t>0</w:t>
            </w:r>
          </w:p>
        </w:tc>
      </w:tr>
      <w:tr w:rsidR="006C793F" w:rsidRPr="009A75D6" w:rsidTr="006C793F">
        <w:tc>
          <w:tcPr>
            <w:tcW w:w="2269" w:type="dxa"/>
            <w:hideMark/>
          </w:tcPr>
          <w:p w:rsidR="006C793F" w:rsidRPr="000C328D" w:rsidRDefault="006C793F" w:rsidP="00F65F2C">
            <w:pPr>
              <w:rPr>
                <w:b/>
              </w:rPr>
            </w:pPr>
            <w:r w:rsidRPr="000C328D">
              <w:rPr>
                <w:b/>
              </w:rPr>
              <w:t>2. Budžeta izdevumi:</w:t>
            </w:r>
          </w:p>
        </w:tc>
        <w:tc>
          <w:tcPr>
            <w:tcW w:w="1535" w:type="dxa"/>
            <w:vAlign w:val="center"/>
            <w:hideMark/>
          </w:tcPr>
          <w:p w:rsidR="000C328D" w:rsidRPr="000C328D" w:rsidRDefault="000C328D" w:rsidP="000C328D">
            <w:pPr>
              <w:pStyle w:val="naisf"/>
              <w:spacing w:before="0" w:after="0"/>
              <w:ind w:firstLine="0"/>
              <w:jc w:val="center"/>
              <w:rPr>
                <w:b/>
              </w:rPr>
            </w:pPr>
            <w:r w:rsidRPr="000C328D">
              <w:rPr>
                <w:b/>
                <w:noProof/>
              </w:rPr>
              <w:t>11</w:t>
            </w:r>
            <w:r w:rsidRPr="000C328D">
              <w:rPr>
                <w:b/>
                <w:color w:val="000000"/>
                <w:shd w:val="clear" w:color="auto" w:fill="FFFFFF"/>
                <w:lang w:bidi="lv-LV"/>
              </w:rPr>
              <w:t> 435 988</w:t>
            </w:r>
          </w:p>
          <w:p w:rsidR="006C793F" w:rsidRPr="000C328D" w:rsidRDefault="006C793F" w:rsidP="00F65F2C">
            <w:pPr>
              <w:pStyle w:val="naisf"/>
              <w:spacing w:before="0" w:after="0"/>
              <w:ind w:firstLine="0"/>
              <w:jc w:val="center"/>
              <w:rPr>
                <w:b/>
              </w:rPr>
            </w:pPr>
          </w:p>
        </w:tc>
        <w:tc>
          <w:tcPr>
            <w:tcW w:w="1302" w:type="dxa"/>
            <w:vAlign w:val="center"/>
            <w:hideMark/>
          </w:tcPr>
          <w:p w:rsidR="006C793F" w:rsidRPr="009A75D6" w:rsidRDefault="006C793F" w:rsidP="00F65F2C">
            <w:pPr>
              <w:pStyle w:val="naisf"/>
              <w:spacing w:before="0" w:after="0"/>
              <w:ind w:firstLine="0"/>
              <w:jc w:val="center"/>
              <w:rPr>
                <w:b/>
              </w:rPr>
            </w:pPr>
            <w:r w:rsidRPr="009A75D6">
              <w:rPr>
                <w:b/>
              </w:rPr>
              <w:t>0</w:t>
            </w:r>
          </w:p>
        </w:tc>
        <w:tc>
          <w:tcPr>
            <w:tcW w:w="1273" w:type="dxa"/>
            <w:vAlign w:val="center"/>
            <w:hideMark/>
          </w:tcPr>
          <w:p w:rsidR="006C793F" w:rsidRPr="009A75D6" w:rsidRDefault="006C793F" w:rsidP="00F65F2C">
            <w:pPr>
              <w:pStyle w:val="naisf"/>
              <w:spacing w:before="0" w:after="0"/>
              <w:ind w:firstLine="0"/>
              <w:jc w:val="center"/>
              <w:rPr>
                <w:b/>
              </w:rPr>
            </w:pPr>
            <w:r w:rsidRPr="009A75D6">
              <w:rPr>
                <w:b/>
              </w:rPr>
              <w:t>0</w:t>
            </w:r>
          </w:p>
        </w:tc>
        <w:tc>
          <w:tcPr>
            <w:tcW w:w="1418" w:type="dxa"/>
            <w:vAlign w:val="center"/>
            <w:hideMark/>
          </w:tcPr>
          <w:p w:rsidR="006C793F" w:rsidRPr="009A75D6" w:rsidRDefault="006C793F" w:rsidP="00F65F2C">
            <w:pPr>
              <w:pStyle w:val="naisf"/>
              <w:spacing w:before="0" w:after="0"/>
              <w:ind w:firstLine="0"/>
              <w:jc w:val="center"/>
              <w:rPr>
                <w:b/>
              </w:rPr>
            </w:pPr>
            <w:r w:rsidRPr="009A75D6">
              <w:rPr>
                <w:b/>
              </w:rPr>
              <w:t>0</w:t>
            </w:r>
          </w:p>
        </w:tc>
        <w:tc>
          <w:tcPr>
            <w:tcW w:w="1417" w:type="dxa"/>
            <w:vAlign w:val="center"/>
            <w:hideMark/>
          </w:tcPr>
          <w:p w:rsidR="006C793F" w:rsidRPr="00C67C86" w:rsidRDefault="00C67C86" w:rsidP="00F65F2C">
            <w:pPr>
              <w:pStyle w:val="naisf"/>
              <w:spacing w:before="0" w:after="0"/>
              <w:ind w:firstLine="0"/>
              <w:jc w:val="center"/>
              <w:rPr>
                <w:b/>
              </w:rPr>
            </w:pPr>
            <w:r w:rsidRPr="00C67C86">
              <w:rPr>
                <w:b/>
              </w:rPr>
              <w:t>1 602 510</w:t>
            </w:r>
          </w:p>
        </w:tc>
      </w:tr>
      <w:tr w:rsidR="006C793F" w:rsidRPr="00C67C86" w:rsidTr="006C793F">
        <w:trPr>
          <w:trHeight w:val="510"/>
        </w:trPr>
        <w:tc>
          <w:tcPr>
            <w:tcW w:w="2269" w:type="dxa"/>
            <w:hideMark/>
          </w:tcPr>
          <w:p w:rsidR="006C793F" w:rsidRPr="009A75D6" w:rsidRDefault="006C793F" w:rsidP="00F65F2C">
            <w:r w:rsidRPr="009A75D6">
              <w:t>2.1. valsts pamatbudžets</w:t>
            </w:r>
          </w:p>
        </w:tc>
        <w:tc>
          <w:tcPr>
            <w:tcW w:w="1535" w:type="dxa"/>
            <w:vAlign w:val="center"/>
            <w:hideMark/>
          </w:tcPr>
          <w:p w:rsidR="006C793F" w:rsidRPr="009A75D6" w:rsidRDefault="00772E12" w:rsidP="00F65F2C">
            <w:pPr>
              <w:pStyle w:val="naisf"/>
              <w:spacing w:before="0" w:after="0" w:line="360" w:lineRule="auto"/>
              <w:ind w:firstLine="0"/>
              <w:jc w:val="center"/>
            </w:pPr>
            <w:r>
              <w:rPr>
                <w:color w:val="000000"/>
                <w:shd w:val="clear" w:color="auto" w:fill="FFFFFF"/>
                <w:lang w:bidi="lv-LV"/>
              </w:rPr>
              <w:t>11</w:t>
            </w:r>
            <w:r w:rsidRPr="00106EDD">
              <w:rPr>
                <w:color w:val="000000"/>
                <w:shd w:val="clear" w:color="auto" w:fill="FFFFFF"/>
                <w:lang w:bidi="lv-LV"/>
              </w:rPr>
              <w:t> </w:t>
            </w:r>
            <w:r>
              <w:rPr>
                <w:color w:val="000000"/>
                <w:shd w:val="clear" w:color="auto" w:fill="FFFFFF"/>
                <w:lang w:bidi="lv-LV"/>
              </w:rPr>
              <w:t>435</w:t>
            </w:r>
            <w:r w:rsidRPr="00106EDD">
              <w:rPr>
                <w:color w:val="000000"/>
                <w:shd w:val="clear" w:color="auto" w:fill="FFFFFF"/>
                <w:lang w:bidi="lv-LV"/>
              </w:rPr>
              <w:t> </w:t>
            </w:r>
            <w:r>
              <w:rPr>
                <w:color w:val="000000"/>
                <w:shd w:val="clear" w:color="auto" w:fill="FFFFFF"/>
                <w:lang w:bidi="lv-LV"/>
              </w:rPr>
              <w:t>988</w:t>
            </w:r>
          </w:p>
        </w:tc>
        <w:tc>
          <w:tcPr>
            <w:tcW w:w="1302" w:type="dxa"/>
            <w:vAlign w:val="center"/>
            <w:hideMark/>
          </w:tcPr>
          <w:p w:rsidR="006C793F" w:rsidRPr="009A75D6" w:rsidRDefault="006C793F" w:rsidP="00F65F2C">
            <w:pPr>
              <w:pStyle w:val="naisf"/>
              <w:spacing w:before="0" w:after="0"/>
              <w:ind w:firstLine="0"/>
              <w:jc w:val="center"/>
            </w:pPr>
            <w:r w:rsidRPr="009A75D6">
              <w:t>0</w:t>
            </w:r>
          </w:p>
        </w:tc>
        <w:tc>
          <w:tcPr>
            <w:tcW w:w="1273" w:type="dxa"/>
            <w:vAlign w:val="center"/>
            <w:hideMark/>
          </w:tcPr>
          <w:p w:rsidR="006C793F" w:rsidRPr="009A75D6" w:rsidRDefault="006C793F" w:rsidP="00F65F2C">
            <w:pPr>
              <w:pStyle w:val="naisf"/>
              <w:spacing w:before="0" w:after="0"/>
              <w:ind w:firstLine="0"/>
              <w:jc w:val="center"/>
            </w:pPr>
            <w:r w:rsidRPr="009A75D6">
              <w:t>0</w:t>
            </w:r>
          </w:p>
        </w:tc>
        <w:tc>
          <w:tcPr>
            <w:tcW w:w="1418" w:type="dxa"/>
            <w:vAlign w:val="center"/>
            <w:hideMark/>
          </w:tcPr>
          <w:p w:rsidR="006C793F" w:rsidRPr="009A75D6" w:rsidRDefault="006C793F" w:rsidP="00F65F2C">
            <w:pPr>
              <w:pStyle w:val="naisf"/>
              <w:spacing w:before="0" w:after="0"/>
              <w:ind w:firstLine="0"/>
              <w:jc w:val="center"/>
            </w:pPr>
            <w:r w:rsidRPr="009A75D6">
              <w:t>0</w:t>
            </w:r>
          </w:p>
        </w:tc>
        <w:tc>
          <w:tcPr>
            <w:tcW w:w="1417" w:type="dxa"/>
            <w:vAlign w:val="center"/>
            <w:hideMark/>
          </w:tcPr>
          <w:p w:rsidR="006C793F" w:rsidRPr="00C67C86" w:rsidRDefault="00C67C86" w:rsidP="00F65F2C">
            <w:pPr>
              <w:pStyle w:val="naisf"/>
              <w:spacing w:before="0" w:after="0"/>
              <w:ind w:firstLine="0"/>
              <w:jc w:val="center"/>
            </w:pPr>
            <w:r w:rsidRPr="00C67C86">
              <w:t>1 602 510</w:t>
            </w:r>
          </w:p>
        </w:tc>
      </w:tr>
      <w:tr w:rsidR="000C328D" w:rsidRPr="009A75D6" w:rsidTr="006C793F">
        <w:trPr>
          <w:trHeight w:val="510"/>
        </w:trPr>
        <w:tc>
          <w:tcPr>
            <w:tcW w:w="2269" w:type="dxa"/>
            <w:hideMark/>
          </w:tcPr>
          <w:p w:rsidR="000C328D" w:rsidRDefault="000C328D" w:rsidP="000C328D">
            <w:r>
              <w:t xml:space="preserve">apakšprogramma 33.04.00 </w:t>
            </w:r>
          </w:p>
          <w:p w:rsidR="000C328D" w:rsidRPr="009A75D6" w:rsidRDefault="000C328D" w:rsidP="000C328D">
            <w:r>
              <w:t>„</w:t>
            </w:r>
            <w:r w:rsidRPr="009F5D00">
              <w:rPr>
                <w:color w:val="000000"/>
                <w:shd w:val="clear" w:color="auto" w:fill="FFFFFF"/>
                <w:lang w:bidi="lv-LV"/>
              </w:rPr>
              <w:t>Centralizēta medikamentu un materiālu iegāde</w:t>
            </w:r>
            <w:r>
              <w:t>”</w:t>
            </w:r>
          </w:p>
        </w:tc>
        <w:tc>
          <w:tcPr>
            <w:tcW w:w="1535" w:type="dxa"/>
            <w:vAlign w:val="center"/>
            <w:hideMark/>
          </w:tcPr>
          <w:p w:rsidR="000C328D" w:rsidRPr="009A75D6" w:rsidRDefault="000C328D" w:rsidP="00F65F2C">
            <w:pPr>
              <w:pStyle w:val="naisf"/>
              <w:spacing w:before="0" w:after="0" w:line="360" w:lineRule="auto"/>
              <w:ind w:firstLine="0"/>
              <w:jc w:val="center"/>
            </w:pPr>
            <w:r>
              <w:rPr>
                <w:color w:val="000000"/>
                <w:shd w:val="clear" w:color="auto" w:fill="FFFFFF"/>
                <w:lang w:bidi="lv-LV"/>
              </w:rPr>
              <w:t>11</w:t>
            </w:r>
            <w:r w:rsidRPr="00106EDD">
              <w:rPr>
                <w:color w:val="000000"/>
                <w:shd w:val="clear" w:color="auto" w:fill="FFFFFF"/>
                <w:lang w:bidi="lv-LV"/>
              </w:rPr>
              <w:t> </w:t>
            </w:r>
            <w:r>
              <w:rPr>
                <w:color w:val="000000"/>
                <w:shd w:val="clear" w:color="auto" w:fill="FFFFFF"/>
                <w:lang w:bidi="lv-LV"/>
              </w:rPr>
              <w:t>435</w:t>
            </w:r>
            <w:r w:rsidRPr="00106EDD">
              <w:rPr>
                <w:color w:val="000000"/>
                <w:shd w:val="clear" w:color="auto" w:fill="FFFFFF"/>
                <w:lang w:bidi="lv-LV"/>
              </w:rPr>
              <w:t> </w:t>
            </w:r>
            <w:r>
              <w:rPr>
                <w:color w:val="000000"/>
                <w:shd w:val="clear" w:color="auto" w:fill="FFFFFF"/>
                <w:lang w:bidi="lv-LV"/>
              </w:rPr>
              <w:t>988</w:t>
            </w:r>
          </w:p>
        </w:tc>
        <w:tc>
          <w:tcPr>
            <w:tcW w:w="1302" w:type="dxa"/>
            <w:vAlign w:val="center"/>
            <w:hideMark/>
          </w:tcPr>
          <w:p w:rsidR="000C328D" w:rsidRPr="009A75D6" w:rsidRDefault="000C328D" w:rsidP="00F65F2C">
            <w:pPr>
              <w:pStyle w:val="naisf"/>
              <w:spacing w:before="0" w:after="0"/>
              <w:ind w:firstLine="0"/>
              <w:jc w:val="center"/>
            </w:pPr>
          </w:p>
        </w:tc>
        <w:tc>
          <w:tcPr>
            <w:tcW w:w="1273" w:type="dxa"/>
            <w:vAlign w:val="center"/>
            <w:hideMark/>
          </w:tcPr>
          <w:p w:rsidR="000C328D" w:rsidRPr="009A75D6" w:rsidRDefault="000C328D" w:rsidP="00F65F2C">
            <w:pPr>
              <w:pStyle w:val="naisf"/>
              <w:spacing w:before="0" w:after="0"/>
              <w:ind w:firstLine="0"/>
              <w:jc w:val="center"/>
            </w:pPr>
          </w:p>
        </w:tc>
        <w:tc>
          <w:tcPr>
            <w:tcW w:w="1418" w:type="dxa"/>
            <w:vAlign w:val="center"/>
            <w:hideMark/>
          </w:tcPr>
          <w:p w:rsidR="000C328D" w:rsidRPr="009A75D6" w:rsidRDefault="000C328D" w:rsidP="00F65F2C">
            <w:pPr>
              <w:pStyle w:val="naisf"/>
              <w:spacing w:before="0" w:after="0"/>
              <w:ind w:firstLine="0"/>
              <w:jc w:val="center"/>
            </w:pPr>
          </w:p>
        </w:tc>
        <w:tc>
          <w:tcPr>
            <w:tcW w:w="1417" w:type="dxa"/>
            <w:vAlign w:val="center"/>
            <w:hideMark/>
          </w:tcPr>
          <w:p w:rsidR="000C328D" w:rsidRPr="00C67C86" w:rsidRDefault="00C67C86" w:rsidP="00F65F2C">
            <w:pPr>
              <w:pStyle w:val="naisf"/>
              <w:spacing w:before="0" w:after="0"/>
              <w:ind w:firstLine="0"/>
              <w:jc w:val="center"/>
            </w:pPr>
            <w:r w:rsidRPr="00C67C86">
              <w:t>1 602 510</w:t>
            </w:r>
          </w:p>
        </w:tc>
      </w:tr>
      <w:tr w:rsidR="006C793F" w:rsidRPr="009A75D6" w:rsidTr="006C793F">
        <w:trPr>
          <w:trHeight w:val="510"/>
        </w:trPr>
        <w:tc>
          <w:tcPr>
            <w:tcW w:w="2269" w:type="dxa"/>
            <w:hideMark/>
          </w:tcPr>
          <w:p w:rsidR="006C793F" w:rsidRPr="009A75D6" w:rsidRDefault="006C793F" w:rsidP="00F65F2C">
            <w:r w:rsidRPr="009A75D6">
              <w:t>2.2. valsts speciālais budžets</w:t>
            </w:r>
          </w:p>
        </w:tc>
        <w:tc>
          <w:tcPr>
            <w:tcW w:w="1535" w:type="dxa"/>
            <w:vAlign w:val="center"/>
            <w:hideMark/>
          </w:tcPr>
          <w:p w:rsidR="006C793F" w:rsidRPr="009A75D6" w:rsidRDefault="006C793F" w:rsidP="00F65F2C">
            <w:pPr>
              <w:pStyle w:val="naisf"/>
              <w:spacing w:before="0" w:after="0"/>
              <w:ind w:firstLine="0"/>
              <w:jc w:val="center"/>
            </w:pPr>
            <w:r w:rsidRPr="009A75D6">
              <w:t>0</w:t>
            </w:r>
          </w:p>
        </w:tc>
        <w:tc>
          <w:tcPr>
            <w:tcW w:w="1302" w:type="dxa"/>
            <w:vAlign w:val="center"/>
            <w:hideMark/>
          </w:tcPr>
          <w:p w:rsidR="006C793F" w:rsidRPr="009A75D6" w:rsidRDefault="006C793F" w:rsidP="00F65F2C">
            <w:pPr>
              <w:pStyle w:val="naisf"/>
              <w:spacing w:before="0" w:after="0"/>
              <w:ind w:firstLine="0"/>
              <w:jc w:val="center"/>
            </w:pPr>
            <w:r w:rsidRPr="009A75D6">
              <w:t>0</w:t>
            </w:r>
          </w:p>
        </w:tc>
        <w:tc>
          <w:tcPr>
            <w:tcW w:w="1273" w:type="dxa"/>
            <w:vAlign w:val="center"/>
            <w:hideMark/>
          </w:tcPr>
          <w:p w:rsidR="006C793F" w:rsidRPr="009A75D6" w:rsidRDefault="006C793F" w:rsidP="00F65F2C">
            <w:pPr>
              <w:pStyle w:val="naisf"/>
              <w:spacing w:before="0" w:after="0"/>
              <w:ind w:firstLine="0"/>
              <w:jc w:val="center"/>
            </w:pPr>
            <w:r w:rsidRPr="009A75D6">
              <w:t>0</w:t>
            </w:r>
          </w:p>
        </w:tc>
        <w:tc>
          <w:tcPr>
            <w:tcW w:w="1418" w:type="dxa"/>
            <w:vAlign w:val="center"/>
            <w:hideMark/>
          </w:tcPr>
          <w:p w:rsidR="006C793F" w:rsidRPr="009A75D6" w:rsidRDefault="006C793F" w:rsidP="00F65F2C">
            <w:pPr>
              <w:pStyle w:val="naisf"/>
              <w:spacing w:before="0" w:after="0"/>
              <w:ind w:firstLine="0"/>
              <w:jc w:val="center"/>
            </w:pPr>
            <w:r w:rsidRPr="009A75D6">
              <w:t>0</w:t>
            </w:r>
          </w:p>
        </w:tc>
        <w:tc>
          <w:tcPr>
            <w:tcW w:w="1417" w:type="dxa"/>
            <w:vAlign w:val="center"/>
            <w:hideMark/>
          </w:tcPr>
          <w:p w:rsidR="006C793F" w:rsidRPr="009A75D6" w:rsidRDefault="006C793F" w:rsidP="00F65F2C">
            <w:pPr>
              <w:pStyle w:val="naisf"/>
              <w:spacing w:before="0" w:after="0"/>
              <w:ind w:firstLine="0"/>
              <w:jc w:val="center"/>
            </w:pPr>
            <w:r w:rsidRPr="009A75D6">
              <w:t>0</w:t>
            </w:r>
          </w:p>
        </w:tc>
      </w:tr>
      <w:tr w:rsidR="006C793F" w:rsidRPr="009A75D6" w:rsidTr="006C793F">
        <w:tc>
          <w:tcPr>
            <w:tcW w:w="2269" w:type="dxa"/>
            <w:hideMark/>
          </w:tcPr>
          <w:p w:rsidR="006C793F" w:rsidRPr="009A75D6" w:rsidRDefault="006C793F" w:rsidP="00F65F2C">
            <w:r w:rsidRPr="009A75D6">
              <w:t>2.3. pašvaldību budžets</w:t>
            </w:r>
          </w:p>
        </w:tc>
        <w:tc>
          <w:tcPr>
            <w:tcW w:w="1535" w:type="dxa"/>
            <w:vAlign w:val="center"/>
            <w:hideMark/>
          </w:tcPr>
          <w:p w:rsidR="006C793F" w:rsidRPr="009A75D6" w:rsidRDefault="006C793F" w:rsidP="00F65F2C">
            <w:pPr>
              <w:pStyle w:val="naisf"/>
              <w:spacing w:before="0" w:after="0"/>
              <w:ind w:firstLine="0"/>
              <w:jc w:val="center"/>
            </w:pPr>
            <w:r w:rsidRPr="009A75D6">
              <w:t>0</w:t>
            </w:r>
          </w:p>
        </w:tc>
        <w:tc>
          <w:tcPr>
            <w:tcW w:w="1302" w:type="dxa"/>
            <w:vAlign w:val="center"/>
            <w:hideMark/>
          </w:tcPr>
          <w:p w:rsidR="006C793F" w:rsidRPr="009A75D6" w:rsidRDefault="006C793F" w:rsidP="00F65F2C">
            <w:pPr>
              <w:pStyle w:val="naisf"/>
              <w:spacing w:before="0" w:after="0"/>
              <w:ind w:firstLine="0"/>
              <w:jc w:val="center"/>
            </w:pPr>
            <w:r w:rsidRPr="009A75D6">
              <w:t>0</w:t>
            </w:r>
          </w:p>
        </w:tc>
        <w:tc>
          <w:tcPr>
            <w:tcW w:w="1273" w:type="dxa"/>
            <w:vAlign w:val="center"/>
            <w:hideMark/>
          </w:tcPr>
          <w:p w:rsidR="006C793F" w:rsidRPr="009A75D6" w:rsidRDefault="006C793F" w:rsidP="00F65F2C">
            <w:pPr>
              <w:pStyle w:val="naisf"/>
              <w:spacing w:before="0" w:after="0"/>
              <w:ind w:firstLine="0"/>
              <w:jc w:val="center"/>
            </w:pPr>
            <w:r w:rsidRPr="009A75D6">
              <w:t>0</w:t>
            </w:r>
          </w:p>
        </w:tc>
        <w:tc>
          <w:tcPr>
            <w:tcW w:w="1418" w:type="dxa"/>
            <w:vAlign w:val="center"/>
            <w:hideMark/>
          </w:tcPr>
          <w:p w:rsidR="006C793F" w:rsidRPr="009A75D6" w:rsidRDefault="006C793F" w:rsidP="00F65F2C">
            <w:pPr>
              <w:pStyle w:val="naisf"/>
              <w:spacing w:before="0" w:after="0"/>
              <w:ind w:firstLine="0"/>
              <w:jc w:val="center"/>
            </w:pPr>
            <w:r w:rsidRPr="009A75D6">
              <w:t>0</w:t>
            </w:r>
          </w:p>
        </w:tc>
        <w:tc>
          <w:tcPr>
            <w:tcW w:w="1417" w:type="dxa"/>
            <w:vAlign w:val="center"/>
            <w:hideMark/>
          </w:tcPr>
          <w:p w:rsidR="006C793F" w:rsidRPr="009A75D6" w:rsidRDefault="006C793F" w:rsidP="00F65F2C">
            <w:pPr>
              <w:pStyle w:val="naisf"/>
              <w:spacing w:before="0" w:after="0"/>
              <w:ind w:firstLine="0"/>
              <w:jc w:val="center"/>
            </w:pPr>
            <w:r w:rsidRPr="009A75D6">
              <w:t>0</w:t>
            </w:r>
          </w:p>
        </w:tc>
      </w:tr>
      <w:tr w:rsidR="006C793F" w:rsidRPr="009A75D6" w:rsidTr="006C793F">
        <w:tc>
          <w:tcPr>
            <w:tcW w:w="2269" w:type="dxa"/>
            <w:hideMark/>
          </w:tcPr>
          <w:p w:rsidR="006C793F" w:rsidRPr="009A75D6" w:rsidRDefault="006C793F" w:rsidP="00F65F2C">
            <w:r w:rsidRPr="009A75D6">
              <w:t>3. Finansiālā ietekme:</w:t>
            </w:r>
          </w:p>
        </w:tc>
        <w:tc>
          <w:tcPr>
            <w:tcW w:w="1535" w:type="dxa"/>
            <w:vAlign w:val="center"/>
            <w:hideMark/>
          </w:tcPr>
          <w:p w:rsidR="006C793F" w:rsidRPr="009A75D6" w:rsidRDefault="006C793F" w:rsidP="00F65F2C">
            <w:pPr>
              <w:pStyle w:val="naisf"/>
              <w:spacing w:before="0" w:after="0"/>
              <w:ind w:firstLine="0"/>
              <w:jc w:val="center"/>
              <w:rPr>
                <w:b/>
              </w:rPr>
            </w:pPr>
            <w:r w:rsidRPr="009A75D6">
              <w:rPr>
                <w:b/>
              </w:rPr>
              <w:t>0</w:t>
            </w:r>
          </w:p>
        </w:tc>
        <w:tc>
          <w:tcPr>
            <w:tcW w:w="1302" w:type="dxa"/>
            <w:vAlign w:val="center"/>
            <w:hideMark/>
          </w:tcPr>
          <w:p w:rsidR="006C793F" w:rsidRPr="009A75D6" w:rsidRDefault="006C793F" w:rsidP="00F65F2C">
            <w:pPr>
              <w:pStyle w:val="naisf"/>
              <w:spacing w:before="0" w:after="0"/>
              <w:ind w:firstLine="0"/>
              <w:jc w:val="center"/>
              <w:rPr>
                <w:b/>
              </w:rPr>
            </w:pPr>
            <w:r w:rsidRPr="009A75D6">
              <w:rPr>
                <w:b/>
              </w:rPr>
              <w:t>0</w:t>
            </w:r>
          </w:p>
        </w:tc>
        <w:tc>
          <w:tcPr>
            <w:tcW w:w="1273" w:type="dxa"/>
            <w:vAlign w:val="center"/>
            <w:hideMark/>
          </w:tcPr>
          <w:p w:rsidR="006C793F" w:rsidRPr="009A75D6" w:rsidRDefault="006C793F" w:rsidP="00F65F2C">
            <w:pPr>
              <w:pStyle w:val="naisf"/>
              <w:spacing w:before="0" w:after="0"/>
              <w:ind w:firstLine="0"/>
              <w:jc w:val="center"/>
              <w:rPr>
                <w:b/>
              </w:rPr>
            </w:pPr>
            <w:r w:rsidRPr="009A75D6">
              <w:rPr>
                <w:b/>
              </w:rPr>
              <w:t>0</w:t>
            </w:r>
          </w:p>
        </w:tc>
        <w:tc>
          <w:tcPr>
            <w:tcW w:w="1418" w:type="dxa"/>
            <w:vAlign w:val="center"/>
            <w:hideMark/>
          </w:tcPr>
          <w:p w:rsidR="006C793F" w:rsidRPr="009A75D6" w:rsidRDefault="006C793F" w:rsidP="00F65F2C">
            <w:pPr>
              <w:pStyle w:val="naisf"/>
              <w:spacing w:before="0" w:after="0"/>
              <w:ind w:firstLine="0"/>
              <w:jc w:val="center"/>
              <w:rPr>
                <w:b/>
              </w:rPr>
            </w:pPr>
            <w:r w:rsidRPr="009A75D6">
              <w:rPr>
                <w:b/>
              </w:rPr>
              <w:t>0</w:t>
            </w:r>
          </w:p>
        </w:tc>
        <w:tc>
          <w:tcPr>
            <w:tcW w:w="1417" w:type="dxa"/>
            <w:vAlign w:val="center"/>
            <w:hideMark/>
          </w:tcPr>
          <w:p w:rsidR="006C793F" w:rsidRPr="009A75D6" w:rsidRDefault="00C67C86" w:rsidP="00F65F2C">
            <w:pPr>
              <w:pStyle w:val="naisf"/>
              <w:spacing w:before="0" w:after="0"/>
              <w:ind w:firstLine="0"/>
              <w:jc w:val="center"/>
              <w:rPr>
                <w:b/>
              </w:rPr>
            </w:pPr>
            <w:r>
              <w:rPr>
                <w:b/>
              </w:rPr>
              <w:t>-</w:t>
            </w:r>
            <w:r w:rsidRPr="00C67C86">
              <w:rPr>
                <w:b/>
              </w:rPr>
              <w:t>1 602 510</w:t>
            </w:r>
          </w:p>
        </w:tc>
      </w:tr>
      <w:tr w:rsidR="006C793F" w:rsidRPr="009A75D6" w:rsidTr="006C793F">
        <w:tc>
          <w:tcPr>
            <w:tcW w:w="2269" w:type="dxa"/>
            <w:hideMark/>
          </w:tcPr>
          <w:p w:rsidR="006C793F" w:rsidRPr="009A75D6" w:rsidRDefault="006C793F" w:rsidP="00F65F2C">
            <w:r w:rsidRPr="009A75D6">
              <w:t>3.1. valsts pamatbudžets</w:t>
            </w:r>
          </w:p>
        </w:tc>
        <w:tc>
          <w:tcPr>
            <w:tcW w:w="1535" w:type="dxa"/>
            <w:vAlign w:val="center"/>
            <w:hideMark/>
          </w:tcPr>
          <w:p w:rsidR="006C793F" w:rsidRPr="009A75D6" w:rsidRDefault="006C793F" w:rsidP="00F65F2C">
            <w:pPr>
              <w:pStyle w:val="naisf"/>
              <w:spacing w:before="0" w:after="0"/>
              <w:ind w:firstLine="0"/>
              <w:jc w:val="center"/>
            </w:pPr>
            <w:r w:rsidRPr="009A75D6">
              <w:t>0</w:t>
            </w:r>
          </w:p>
        </w:tc>
        <w:tc>
          <w:tcPr>
            <w:tcW w:w="1302" w:type="dxa"/>
            <w:vAlign w:val="center"/>
            <w:hideMark/>
          </w:tcPr>
          <w:p w:rsidR="006C793F" w:rsidRPr="009A75D6" w:rsidRDefault="006C793F" w:rsidP="00F65F2C">
            <w:pPr>
              <w:pStyle w:val="naisf"/>
              <w:spacing w:before="0" w:after="0"/>
              <w:ind w:firstLine="0"/>
              <w:jc w:val="center"/>
            </w:pPr>
            <w:r w:rsidRPr="009A75D6">
              <w:t>0</w:t>
            </w:r>
          </w:p>
        </w:tc>
        <w:tc>
          <w:tcPr>
            <w:tcW w:w="1273" w:type="dxa"/>
            <w:vAlign w:val="center"/>
            <w:hideMark/>
          </w:tcPr>
          <w:p w:rsidR="006C793F" w:rsidRPr="009A75D6" w:rsidRDefault="006C793F" w:rsidP="00F65F2C">
            <w:pPr>
              <w:pStyle w:val="naisf"/>
              <w:spacing w:before="0" w:after="0"/>
              <w:ind w:firstLine="0"/>
              <w:jc w:val="center"/>
            </w:pPr>
            <w:r w:rsidRPr="009A75D6">
              <w:t>0</w:t>
            </w:r>
          </w:p>
        </w:tc>
        <w:tc>
          <w:tcPr>
            <w:tcW w:w="1418" w:type="dxa"/>
            <w:vAlign w:val="center"/>
            <w:hideMark/>
          </w:tcPr>
          <w:p w:rsidR="006C793F" w:rsidRPr="009A75D6" w:rsidRDefault="006C793F" w:rsidP="00F65F2C">
            <w:pPr>
              <w:pStyle w:val="naisf"/>
              <w:spacing w:before="0" w:after="0"/>
              <w:ind w:firstLine="0"/>
              <w:jc w:val="center"/>
            </w:pPr>
            <w:r w:rsidRPr="009A75D6">
              <w:t>0</w:t>
            </w:r>
          </w:p>
        </w:tc>
        <w:tc>
          <w:tcPr>
            <w:tcW w:w="1417" w:type="dxa"/>
            <w:vAlign w:val="center"/>
            <w:hideMark/>
          </w:tcPr>
          <w:p w:rsidR="006C793F" w:rsidRPr="00C67C86" w:rsidRDefault="00C67C86" w:rsidP="00F65F2C">
            <w:pPr>
              <w:pStyle w:val="naisf"/>
              <w:spacing w:before="0" w:after="0"/>
              <w:ind w:firstLine="0"/>
              <w:jc w:val="center"/>
            </w:pPr>
            <w:r w:rsidRPr="00C67C86">
              <w:t>-1 602 510</w:t>
            </w:r>
          </w:p>
        </w:tc>
      </w:tr>
      <w:tr w:rsidR="006C793F" w:rsidRPr="009A75D6" w:rsidTr="006C793F">
        <w:tc>
          <w:tcPr>
            <w:tcW w:w="2269" w:type="dxa"/>
            <w:hideMark/>
          </w:tcPr>
          <w:p w:rsidR="006C793F" w:rsidRPr="009A75D6" w:rsidRDefault="006C793F" w:rsidP="00F65F2C">
            <w:r w:rsidRPr="009A75D6">
              <w:t>3.2. speciālais budžets</w:t>
            </w:r>
          </w:p>
        </w:tc>
        <w:tc>
          <w:tcPr>
            <w:tcW w:w="1535" w:type="dxa"/>
            <w:vAlign w:val="center"/>
            <w:hideMark/>
          </w:tcPr>
          <w:p w:rsidR="006C793F" w:rsidRPr="009A75D6" w:rsidRDefault="006C793F" w:rsidP="00F65F2C">
            <w:pPr>
              <w:pStyle w:val="naisf"/>
              <w:spacing w:before="0" w:after="0"/>
              <w:ind w:firstLine="0"/>
              <w:jc w:val="center"/>
            </w:pPr>
            <w:r w:rsidRPr="009A75D6">
              <w:t>0</w:t>
            </w:r>
          </w:p>
        </w:tc>
        <w:tc>
          <w:tcPr>
            <w:tcW w:w="1302" w:type="dxa"/>
            <w:vAlign w:val="center"/>
            <w:hideMark/>
          </w:tcPr>
          <w:p w:rsidR="006C793F" w:rsidRPr="009A75D6" w:rsidRDefault="006C793F" w:rsidP="00F65F2C">
            <w:pPr>
              <w:pStyle w:val="naisf"/>
              <w:spacing w:before="0" w:after="0"/>
              <w:ind w:firstLine="0"/>
              <w:jc w:val="center"/>
            </w:pPr>
            <w:r w:rsidRPr="009A75D6">
              <w:t>0</w:t>
            </w:r>
          </w:p>
        </w:tc>
        <w:tc>
          <w:tcPr>
            <w:tcW w:w="1273" w:type="dxa"/>
            <w:vAlign w:val="center"/>
            <w:hideMark/>
          </w:tcPr>
          <w:p w:rsidR="006C793F" w:rsidRPr="009A75D6" w:rsidRDefault="006C793F" w:rsidP="00F65F2C">
            <w:pPr>
              <w:pStyle w:val="naisf"/>
              <w:spacing w:before="0" w:after="0"/>
              <w:ind w:firstLine="0"/>
              <w:jc w:val="center"/>
            </w:pPr>
            <w:r w:rsidRPr="009A75D6">
              <w:t>0</w:t>
            </w:r>
          </w:p>
        </w:tc>
        <w:tc>
          <w:tcPr>
            <w:tcW w:w="1418" w:type="dxa"/>
            <w:vAlign w:val="center"/>
            <w:hideMark/>
          </w:tcPr>
          <w:p w:rsidR="006C793F" w:rsidRPr="009A75D6" w:rsidRDefault="006C793F" w:rsidP="00F65F2C">
            <w:pPr>
              <w:pStyle w:val="naisf"/>
              <w:spacing w:before="0" w:after="0"/>
              <w:ind w:firstLine="0"/>
              <w:jc w:val="center"/>
            </w:pPr>
            <w:r w:rsidRPr="009A75D6">
              <w:t>0</w:t>
            </w:r>
          </w:p>
        </w:tc>
        <w:tc>
          <w:tcPr>
            <w:tcW w:w="1417" w:type="dxa"/>
            <w:vAlign w:val="center"/>
            <w:hideMark/>
          </w:tcPr>
          <w:p w:rsidR="006C793F" w:rsidRPr="009A75D6" w:rsidRDefault="006C793F" w:rsidP="00F65F2C">
            <w:pPr>
              <w:pStyle w:val="naisf"/>
              <w:spacing w:before="0" w:after="0"/>
              <w:ind w:firstLine="0"/>
              <w:jc w:val="center"/>
            </w:pPr>
            <w:r w:rsidRPr="009A75D6">
              <w:t>0</w:t>
            </w:r>
          </w:p>
        </w:tc>
      </w:tr>
      <w:tr w:rsidR="006C793F" w:rsidRPr="009A75D6" w:rsidTr="006C793F">
        <w:tc>
          <w:tcPr>
            <w:tcW w:w="2269" w:type="dxa"/>
            <w:hideMark/>
          </w:tcPr>
          <w:p w:rsidR="006C793F" w:rsidRPr="009A75D6" w:rsidRDefault="006C793F" w:rsidP="00F65F2C">
            <w:r w:rsidRPr="009A75D6">
              <w:t>3.3. pašvaldību budžets</w:t>
            </w:r>
          </w:p>
        </w:tc>
        <w:tc>
          <w:tcPr>
            <w:tcW w:w="1535" w:type="dxa"/>
            <w:vAlign w:val="center"/>
            <w:hideMark/>
          </w:tcPr>
          <w:p w:rsidR="006C793F" w:rsidRPr="009A75D6" w:rsidRDefault="006C793F" w:rsidP="00F65F2C">
            <w:pPr>
              <w:pStyle w:val="naisf"/>
              <w:spacing w:before="0" w:after="0"/>
              <w:ind w:firstLine="0"/>
              <w:jc w:val="center"/>
            </w:pPr>
            <w:r w:rsidRPr="009A75D6">
              <w:t>0</w:t>
            </w:r>
          </w:p>
        </w:tc>
        <w:tc>
          <w:tcPr>
            <w:tcW w:w="1302" w:type="dxa"/>
            <w:vAlign w:val="center"/>
            <w:hideMark/>
          </w:tcPr>
          <w:p w:rsidR="006C793F" w:rsidRPr="009A75D6" w:rsidRDefault="006C793F" w:rsidP="00F65F2C">
            <w:pPr>
              <w:pStyle w:val="naisf"/>
              <w:spacing w:before="0" w:after="0"/>
              <w:ind w:firstLine="0"/>
              <w:jc w:val="center"/>
            </w:pPr>
            <w:r w:rsidRPr="009A75D6">
              <w:t>0</w:t>
            </w:r>
          </w:p>
        </w:tc>
        <w:tc>
          <w:tcPr>
            <w:tcW w:w="1273" w:type="dxa"/>
            <w:vAlign w:val="center"/>
            <w:hideMark/>
          </w:tcPr>
          <w:p w:rsidR="006C793F" w:rsidRPr="009A75D6" w:rsidRDefault="006C793F" w:rsidP="00F65F2C">
            <w:pPr>
              <w:pStyle w:val="naisf"/>
              <w:spacing w:before="0" w:after="0"/>
              <w:ind w:firstLine="0"/>
              <w:jc w:val="center"/>
            </w:pPr>
            <w:r w:rsidRPr="009A75D6">
              <w:t>0</w:t>
            </w:r>
          </w:p>
        </w:tc>
        <w:tc>
          <w:tcPr>
            <w:tcW w:w="1418" w:type="dxa"/>
            <w:vAlign w:val="center"/>
            <w:hideMark/>
          </w:tcPr>
          <w:p w:rsidR="006C793F" w:rsidRPr="009A75D6" w:rsidRDefault="006C793F" w:rsidP="00F65F2C">
            <w:pPr>
              <w:pStyle w:val="naisf"/>
              <w:spacing w:before="0" w:after="0"/>
              <w:ind w:firstLine="0"/>
              <w:jc w:val="center"/>
            </w:pPr>
            <w:r w:rsidRPr="009A75D6">
              <w:t>0</w:t>
            </w:r>
          </w:p>
        </w:tc>
        <w:tc>
          <w:tcPr>
            <w:tcW w:w="1417" w:type="dxa"/>
            <w:vAlign w:val="center"/>
            <w:hideMark/>
          </w:tcPr>
          <w:p w:rsidR="006C793F" w:rsidRPr="009A75D6" w:rsidRDefault="006C793F" w:rsidP="00F65F2C">
            <w:pPr>
              <w:pStyle w:val="naisf"/>
              <w:spacing w:before="0" w:after="0"/>
              <w:ind w:firstLine="0"/>
              <w:jc w:val="center"/>
            </w:pPr>
            <w:r w:rsidRPr="009A75D6">
              <w:t>0</w:t>
            </w:r>
          </w:p>
        </w:tc>
      </w:tr>
      <w:tr w:rsidR="006C793F" w:rsidRPr="009A75D6" w:rsidTr="006C793F">
        <w:tc>
          <w:tcPr>
            <w:tcW w:w="2269" w:type="dxa"/>
            <w:vMerge w:val="restart"/>
            <w:hideMark/>
          </w:tcPr>
          <w:p w:rsidR="006C793F" w:rsidRPr="009A75D6" w:rsidRDefault="006C793F" w:rsidP="00F65F2C">
            <w:r w:rsidRPr="009A75D6">
              <w:t>4. Finanšu līdzekļi papildu izdevumu finansēšanai (kompensējošu izdevumu samazinājumu norāda ar "+" zīmi)</w:t>
            </w:r>
          </w:p>
        </w:tc>
        <w:tc>
          <w:tcPr>
            <w:tcW w:w="1535" w:type="dxa"/>
            <w:vMerge w:val="restart"/>
            <w:hideMark/>
          </w:tcPr>
          <w:p w:rsidR="006C793F" w:rsidRPr="009A75D6" w:rsidRDefault="006C793F" w:rsidP="00F65F2C">
            <w:pPr>
              <w:pStyle w:val="tvhtml"/>
              <w:spacing w:line="293" w:lineRule="atLeast"/>
              <w:jc w:val="center"/>
              <w:rPr>
                <w:lang w:val="lv-LV"/>
              </w:rPr>
            </w:pPr>
            <w:r w:rsidRPr="009A75D6">
              <w:rPr>
                <w:lang w:val="lv-LV"/>
              </w:rPr>
              <w:t>X</w:t>
            </w:r>
          </w:p>
        </w:tc>
        <w:tc>
          <w:tcPr>
            <w:tcW w:w="1302" w:type="dxa"/>
            <w:vAlign w:val="center"/>
            <w:hideMark/>
          </w:tcPr>
          <w:p w:rsidR="006C793F" w:rsidRPr="009A75D6" w:rsidRDefault="006C793F" w:rsidP="00F65F2C">
            <w:pPr>
              <w:pStyle w:val="naisf"/>
              <w:spacing w:before="0" w:after="0"/>
              <w:ind w:firstLine="0"/>
              <w:jc w:val="center"/>
              <w:rPr>
                <w:i/>
              </w:rPr>
            </w:pPr>
            <w:r w:rsidRPr="009A75D6">
              <w:t>0</w:t>
            </w:r>
          </w:p>
        </w:tc>
        <w:tc>
          <w:tcPr>
            <w:tcW w:w="1273" w:type="dxa"/>
            <w:vAlign w:val="center"/>
            <w:hideMark/>
          </w:tcPr>
          <w:p w:rsidR="006C793F" w:rsidRPr="009A75D6" w:rsidRDefault="006C793F" w:rsidP="00F65F2C">
            <w:pPr>
              <w:pStyle w:val="naisf"/>
              <w:spacing w:before="0" w:after="0"/>
              <w:ind w:firstLine="0"/>
              <w:jc w:val="center"/>
            </w:pPr>
            <w:r w:rsidRPr="009A75D6">
              <w:t>0</w:t>
            </w:r>
          </w:p>
        </w:tc>
        <w:tc>
          <w:tcPr>
            <w:tcW w:w="1418" w:type="dxa"/>
            <w:vAlign w:val="center"/>
            <w:hideMark/>
          </w:tcPr>
          <w:p w:rsidR="006C793F" w:rsidRPr="009A75D6" w:rsidRDefault="006C793F" w:rsidP="00F65F2C">
            <w:pPr>
              <w:pStyle w:val="naisf"/>
              <w:spacing w:before="0" w:after="0"/>
              <w:ind w:firstLine="0"/>
              <w:jc w:val="center"/>
            </w:pPr>
            <w:r w:rsidRPr="009A75D6">
              <w:t>0</w:t>
            </w:r>
          </w:p>
        </w:tc>
        <w:tc>
          <w:tcPr>
            <w:tcW w:w="1417" w:type="dxa"/>
            <w:vAlign w:val="center"/>
            <w:hideMark/>
          </w:tcPr>
          <w:p w:rsidR="006C793F" w:rsidRPr="009A75D6" w:rsidRDefault="006C793F" w:rsidP="00F65F2C">
            <w:pPr>
              <w:pStyle w:val="naisf"/>
              <w:spacing w:before="0" w:after="0"/>
              <w:ind w:firstLine="0"/>
              <w:jc w:val="center"/>
            </w:pPr>
            <w:r w:rsidRPr="009A75D6">
              <w:t>0</w:t>
            </w:r>
          </w:p>
        </w:tc>
      </w:tr>
      <w:tr w:rsidR="006C793F" w:rsidRPr="009A75D6" w:rsidTr="006C793F">
        <w:tc>
          <w:tcPr>
            <w:tcW w:w="2269" w:type="dxa"/>
            <w:vMerge/>
            <w:hideMark/>
          </w:tcPr>
          <w:p w:rsidR="006C793F" w:rsidRPr="009A75D6" w:rsidRDefault="006C793F" w:rsidP="00F65F2C"/>
        </w:tc>
        <w:tc>
          <w:tcPr>
            <w:tcW w:w="1535" w:type="dxa"/>
            <w:vMerge/>
            <w:hideMark/>
          </w:tcPr>
          <w:p w:rsidR="006C793F" w:rsidRPr="009A75D6" w:rsidRDefault="006C793F" w:rsidP="00F65F2C"/>
        </w:tc>
        <w:tc>
          <w:tcPr>
            <w:tcW w:w="1302" w:type="dxa"/>
            <w:vAlign w:val="center"/>
            <w:hideMark/>
          </w:tcPr>
          <w:p w:rsidR="006C793F" w:rsidRPr="009A75D6" w:rsidRDefault="006C793F" w:rsidP="00F65F2C">
            <w:pPr>
              <w:pStyle w:val="naisf"/>
              <w:spacing w:before="0" w:after="0"/>
              <w:ind w:firstLine="0"/>
              <w:jc w:val="center"/>
            </w:pPr>
            <w:r w:rsidRPr="009A75D6">
              <w:t>0</w:t>
            </w:r>
          </w:p>
        </w:tc>
        <w:tc>
          <w:tcPr>
            <w:tcW w:w="1273" w:type="dxa"/>
            <w:vAlign w:val="center"/>
            <w:hideMark/>
          </w:tcPr>
          <w:p w:rsidR="006C793F" w:rsidRPr="009A75D6" w:rsidRDefault="006C793F" w:rsidP="00F65F2C">
            <w:pPr>
              <w:pStyle w:val="naisf"/>
              <w:spacing w:before="0" w:after="0"/>
              <w:ind w:firstLine="0"/>
              <w:jc w:val="center"/>
            </w:pPr>
            <w:r w:rsidRPr="009A75D6">
              <w:t>0</w:t>
            </w:r>
          </w:p>
        </w:tc>
        <w:tc>
          <w:tcPr>
            <w:tcW w:w="1418" w:type="dxa"/>
            <w:vAlign w:val="center"/>
            <w:hideMark/>
          </w:tcPr>
          <w:p w:rsidR="006C793F" w:rsidRPr="009A75D6" w:rsidRDefault="006C793F" w:rsidP="00F65F2C">
            <w:pPr>
              <w:pStyle w:val="naisf"/>
              <w:spacing w:before="0" w:after="0"/>
              <w:ind w:firstLine="0"/>
              <w:jc w:val="center"/>
            </w:pPr>
            <w:r w:rsidRPr="009A75D6">
              <w:t>0</w:t>
            </w:r>
          </w:p>
        </w:tc>
        <w:tc>
          <w:tcPr>
            <w:tcW w:w="1417" w:type="dxa"/>
            <w:vAlign w:val="center"/>
            <w:hideMark/>
          </w:tcPr>
          <w:p w:rsidR="006C793F" w:rsidRPr="009A75D6" w:rsidRDefault="00C67C86" w:rsidP="00F65F2C">
            <w:pPr>
              <w:pStyle w:val="naisf"/>
              <w:spacing w:before="0" w:after="0"/>
              <w:ind w:firstLine="0"/>
              <w:jc w:val="center"/>
            </w:pPr>
            <w:r w:rsidRPr="00C67C86">
              <w:rPr>
                <w:b/>
              </w:rPr>
              <w:t>1 602 510</w:t>
            </w:r>
          </w:p>
        </w:tc>
      </w:tr>
      <w:tr w:rsidR="006C793F" w:rsidRPr="009A75D6" w:rsidTr="006C793F">
        <w:tc>
          <w:tcPr>
            <w:tcW w:w="2269" w:type="dxa"/>
            <w:vMerge/>
            <w:hideMark/>
          </w:tcPr>
          <w:p w:rsidR="006C793F" w:rsidRPr="009A75D6" w:rsidRDefault="006C793F" w:rsidP="00F65F2C"/>
        </w:tc>
        <w:tc>
          <w:tcPr>
            <w:tcW w:w="1535" w:type="dxa"/>
            <w:vMerge/>
            <w:hideMark/>
          </w:tcPr>
          <w:p w:rsidR="006C793F" w:rsidRPr="009A75D6" w:rsidRDefault="006C793F" w:rsidP="00F65F2C"/>
        </w:tc>
        <w:tc>
          <w:tcPr>
            <w:tcW w:w="1302" w:type="dxa"/>
            <w:vAlign w:val="center"/>
            <w:hideMark/>
          </w:tcPr>
          <w:p w:rsidR="006C793F" w:rsidRPr="009A75D6" w:rsidRDefault="006C793F" w:rsidP="00F65F2C">
            <w:pPr>
              <w:pStyle w:val="naisf"/>
              <w:spacing w:before="0" w:after="0"/>
              <w:ind w:firstLine="0"/>
              <w:jc w:val="center"/>
            </w:pPr>
            <w:r w:rsidRPr="009A75D6">
              <w:t>0</w:t>
            </w:r>
          </w:p>
        </w:tc>
        <w:tc>
          <w:tcPr>
            <w:tcW w:w="1273" w:type="dxa"/>
            <w:vAlign w:val="center"/>
            <w:hideMark/>
          </w:tcPr>
          <w:p w:rsidR="006C793F" w:rsidRPr="009A75D6" w:rsidRDefault="006C793F" w:rsidP="00F65F2C">
            <w:pPr>
              <w:pStyle w:val="naisf"/>
              <w:spacing w:before="0" w:after="0"/>
              <w:ind w:firstLine="0"/>
              <w:jc w:val="center"/>
            </w:pPr>
            <w:r w:rsidRPr="009A75D6">
              <w:t>0</w:t>
            </w:r>
          </w:p>
        </w:tc>
        <w:tc>
          <w:tcPr>
            <w:tcW w:w="1418" w:type="dxa"/>
            <w:vAlign w:val="center"/>
            <w:hideMark/>
          </w:tcPr>
          <w:p w:rsidR="006C793F" w:rsidRPr="009A75D6" w:rsidRDefault="006C793F" w:rsidP="00F65F2C">
            <w:pPr>
              <w:pStyle w:val="naisf"/>
              <w:spacing w:before="0" w:after="0"/>
              <w:ind w:firstLine="0"/>
              <w:jc w:val="center"/>
            </w:pPr>
            <w:r w:rsidRPr="009A75D6">
              <w:t>0</w:t>
            </w:r>
          </w:p>
        </w:tc>
        <w:tc>
          <w:tcPr>
            <w:tcW w:w="1417" w:type="dxa"/>
            <w:vAlign w:val="center"/>
            <w:hideMark/>
          </w:tcPr>
          <w:p w:rsidR="006C793F" w:rsidRPr="009A75D6" w:rsidRDefault="006C793F" w:rsidP="00F65F2C">
            <w:pPr>
              <w:pStyle w:val="naisf"/>
              <w:spacing w:before="0" w:after="0"/>
              <w:ind w:firstLine="0"/>
              <w:jc w:val="center"/>
            </w:pPr>
            <w:r w:rsidRPr="009A75D6">
              <w:t>0</w:t>
            </w:r>
          </w:p>
        </w:tc>
      </w:tr>
      <w:tr w:rsidR="006C793F" w:rsidRPr="009A75D6" w:rsidTr="006C793F">
        <w:tc>
          <w:tcPr>
            <w:tcW w:w="2269" w:type="dxa"/>
            <w:hideMark/>
          </w:tcPr>
          <w:p w:rsidR="006C793F" w:rsidRPr="009A75D6" w:rsidRDefault="006C793F" w:rsidP="00F65F2C">
            <w:r w:rsidRPr="009A75D6">
              <w:t>5. Precizēta finansiālā ietekme:</w:t>
            </w:r>
          </w:p>
        </w:tc>
        <w:tc>
          <w:tcPr>
            <w:tcW w:w="1535" w:type="dxa"/>
            <w:vMerge w:val="restart"/>
            <w:hideMark/>
          </w:tcPr>
          <w:p w:rsidR="006C793F" w:rsidRPr="009A75D6" w:rsidRDefault="006C793F" w:rsidP="00F65F2C">
            <w:pPr>
              <w:pStyle w:val="tvhtml"/>
              <w:spacing w:line="293" w:lineRule="atLeast"/>
              <w:jc w:val="center"/>
              <w:rPr>
                <w:lang w:val="lv-LV"/>
              </w:rPr>
            </w:pPr>
            <w:r w:rsidRPr="009A75D6">
              <w:rPr>
                <w:lang w:val="lv-LV"/>
              </w:rPr>
              <w:t>X</w:t>
            </w:r>
          </w:p>
        </w:tc>
        <w:tc>
          <w:tcPr>
            <w:tcW w:w="1302" w:type="dxa"/>
            <w:vAlign w:val="center"/>
            <w:hideMark/>
          </w:tcPr>
          <w:p w:rsidR="006C793F" w:rsidRPr="009A75D6" w:rsidRDefault="006C793F" w:rsidP="00F65F2C">
            <w:pPr>
              <w:pStyle w:val="naisf"/>
              <w:spacing w:before="0" w:after="0"/>
              <w:ind w:firstLine="0"/>
              <w:jc w:val="center"/>
              <w:rPr>
                <w:i/>
              </w:rPr>
            </w:pPr>
            <w:r w:rsidRPr="009A75D6">
              <w:t>0</w:t>
            </w:r>
          </w:p>
        </w:tc>
        <w:tc>
          <w:tcPr>
            <w:tcW w:w="1273" w:type="dxa"/>
            <w:vAlign w:val="center"/>
            <w:hideMark/>
          </w:tcPr>
          <w:p w:rsidR="006C793F" w:rsidRPr="009A75D6" w:rsidRDefault="006C793F" w:rsidP="00F65F2C">
            <w:pPr>
              <w:pStyle w:val="naisf"/>
              <w:spacing w:before="0" w:after="0"/>
              <w:ind w:firstLine="0"/>
              <w:jc w:val="center"/>
            </w:pPr>
            <w:r w:rsidRPr="009A75D6">
              <w:t>0</w:t>
            </w:r>
          </w:p>
        </w:tc>
        <w:tc>
          <w:tcPr>
            <w:tcW w:w="1418" w:type="dxa"/>
            <w:vAlign w:val="center"/>
            <w:hideMark/>
          </w:tcPr>
          <w:p w:rsidR="006C793F" w:rsidRPr="009A75D6" w:rsidRDefault="006C793F" w:rsidP="00F65F2C">
            <w:pPr>
              <w:pStyle w:val="naisf"/>
              <w:spacing w:before="0" w:after="0"/>
              <w:ind w:firstLine="0"/>
              <w:jc w:val="center"/>
            </w:pPr>
            <w:r w:rsidRPr="009A75D6">
              <w:t>0</w:t>
            </w:r>
          </w:p>
        </w:tc>
        <w:tc>
          <w:tcPr>
            <w:tcW w:w="1417" w:type="dxa"/>
            <w:vAlign w:val="center"/>
            <w:hideMark/>
          </w:tcPr>
          <w:p w:rsidR="006C793F" w:rsidRPr="009A75D6" w:rsidRDefault="006C793F" w:rsidP="00F65F2C">
            <w:pPr>
              <w:pStyle w:val="naisf"/>
              <w:spacing w:before="0" w:after="0"/>
              <w:ind w:firstLine="0"/>
              <w:jc w:val="center"/>
            </w:pPr>
            <w:r w:rsidRPr="009A75D6">
              <w:t>0</w:t>
            </w:r>
          </w:p>
        </w:tc>
      </w:tr>
      <w:tr w:rsidR="006C793F" w:rsidRPr="009A75D6" w:rsidTr="006C793F">
        <w:tc>
          <w:tcPr>
            <w:tcW w:w="2269" w:type="dxa"/>
            <w:hideMark/>
          </w:tcPr>
          <w:p w:rsidR="006C793F" w:rsidRPr="009A75D6" w:rsidRDefault="006C793F" w:rsidP="00F65F2C">
            <w:r w:rsidRPr="009A75D6">
              <w:t>5.1. valsts pamatbudžets</w:t>
            </w:r>
          </w:p>
        </w:tc>
        <w:tc>
          <w:tcPr>
            <w:tcW w:w="1535" w:type="dxa"/>
            <w:vMerge/>
            <w:hideMark/>
          </w:tcPr>
          <w:p w:rsidR="006C793F" w:rsidRPr="009A75D6" w:rsidRDefault="006C793F" w:rsidP="00F65F2C"/>
        </w:tc>
        <w:tc>
          <w:tcPr>
            <w:tcW w:w="1302" w:type="dxa"/>
            <w:vAlign w:val="center"/>
            <w:hideMark/>
          </w:tcPr>
          <w:p w:rsidR="006C793F" w:rsidRPr="009A75D6" w:rsidRDefault="006C793F" w:rsidP="00F65F2C">
            <w:pPr>
              <w:pStyle w:val="naisf"/>
              <w:spacing w:before="0" w:after="0"/>
              <w:ind w:firstLine="0"/>
              <w:jc w:val="center"/>
            </w:pPr>
            <w:r w:rsidRPr="009A75D6">
              <w:t>0</w:t>
            </w:r>
          </w:p>
        </w:tc>
        <w:tc>
          <w:tcPr>
            <w:tcW w:w="1273" w:type="dxa"/>
            <w:vAlign w:val="center"/>
            <w:hideMark/>
          </w:tcPr>
          <w:p w:rsidR="006C793F" w:rsidRPr="009A75D6" w:rsidRDefault="006C793F" w:rsidP="00F65F2C">
            <w:pPr>
              <w:pStyle w:val="naisf"/>
              <w:spacing w:before="0" w:after="0"/>
              <w:ind w:firstLine="0"/>
              <w:jc w:val="center"/>
            </w:pPr>
            <w:r w:rsidRPr="009A75D6">
              <w:t>0</w:t>
            </w:r>
          </w:p>
        </w:tc>
        <w:tc>
          <w:tcPr>
            <w:tcW w:w="1418" w:type="dxa"/>
            <w:vAlign w:val="center"/>
            <w:hideMark/>
          </w:tcPr>
          <w:p w:rsidR="006C793F" w:rsidRPr="009A75D6" w:rsidRDefault="006C793F" w:rsidP="00F65F2C">
            <w:pPr>
              <w:pStyle w:val="naisf"/>
              <w:spacing w:before="0" w:after="0"/>
              <w:ind w:firstLine="0"/>
              <w:jc w:val="center"/>
            </w:pPr>
            <w:r w:rsidRPr="009A75D6">
              <w:t>0</w:t>
            </w:r>
          </w:p>
        </w:tc>
        <w:tc>
          <w:tcPr>
            <w:tcW w:w="1417" w:type="dxa"/>
            <w:vAlign w:val="center"/>
            <w:hideMark/>
          </w:tcPr>
          <w:p w:rsidR="006C793F" w:rsidRPr="009A75D6" w:rsidRDefault="006C793F" w:rsidP="00F65F2C">
            <w:pPr>
              <w:pStyle w:val="naisf"/>
              <w:spacing w:before="0" w:after="0"/>
              <w:ind w:firstLine="0"/>
              <w:jc w:val="center"/>
            </w:pPr>
            <w:r w:rsidRPr="009A75D6">
              <w:t>0</w:t>
            </w:r>
          </w:p>
        </w:tc>
      </w:tr>
      <w:tr w:rsidR="006C793F" w:rsidRPr="009A75D6" w:rsidTr="006C793F">
        <w:tc>
          <w:tcPr>
            <w:tcW w:w="2269" w:type="dxa"/>
            <w:hideMark/>
          </w:tcPr>
          <w:p w:rsidR="006C793F" w:rsidRPr="009A75D6" w:rsidRDefault="006C793F" w:rsidP="00F65F2C">
            <w:r w:rsidRPr="009A75D6">
              <w:t>5.2. speciālais budžets</w:t>
            </w:r>
          </w:p>
        </w:tc>
        <w:tc>
          <w:tcPr>
            <w:tcW w:w="1535" w:type="dxa"/>
            <w:vMerge/>
            <w:hideMark/>
          </w:tcPr>
          <w:p w:rsidR="006C793F" w:rsidRPr="009A75D6" w:rsidRDefault="006C793F" w:rsidP="00F65F2C"/>
        </w:tc>
        <w:tc>
          <w:tcPr>
            <w:tcW w:w="1302" w:type="dxa"/>
            <w:vAlign w:val="center"/>
            <w:hideMark/>
          </w:tcPr>
          <w:p w:rsidR="006C793F" w:rsidRPr="009A75D6" w:rsidRDefault="006C793F" w:rsidP="00F65F2C">
            <w:pPr>
              <w:pStyle w:val="naisf"/>
              <w:spacing w:before="0" w:after="0"/>
              <w:ind w:firstLine="0"/>
              <w:jc w:val="center"/>
            </w:pPr>
            <w:r w:rsidRPr="009A75D6">
              <w:t>0</w:t>
            </w:r>
          </w:p>
        </w:tc>
        <w:tc>
          <w:tcPr>
            <w:tcW w:w="1273" w:type="dxa"/>
            <w:vAlign w:val="center"/>
            <w:hideMark/>
          </w:tcPr>
          <w:p w:rsidR="006C793F" w:rsidRPr="009A75D6" w:rsidRDefault="006C793F" w:rsidP="00F65F2C">
            <w:pPr>
              <w:pStyle w:val="naisf"/>
              <w:spacing w:before="0" w:after="0"/>
              <w:ind w:firstLine="0"/>
              <w:jc w:val="center"/>
            </w:pPr>
            <w:r w:rsidRPr="009A75D6">
              <w:t>0</w:t>
            </w:r>
          </w:p>
        </w:tc>
        <w:tc>
          <w:tcPr>
            <w:tcW w:w="1418" w:type="dxa"/>
            <w:vAlign w:val="center"/>
            <w:hideMark/>
          </w:tcPr>
          <w:p w:rsidR="006C793F" w:rsidRPr="009A75D6" w:rsidRDefault="006C793F" w:rsidP="00F65F2C">
            <w:pPr>
              <w:pStyle w:val="naisf"/>
              <w:spacing w:before="0" w:after="0"/>
              <w:ind w:firstLine="0"/>
              <w:jc w:val="center"/>
            </w:pPr>
            <w:r w:rsidRPr="009A75D6">
              <w:t>0</w:t>
            </w:r>
          </w:p>
        </w:tc>
        <w:tc>
          <w:tcPr>
            <w:tcW w:w="1417" w:type="dxa"/>
            <w:vAlign w:val="center"/>
            <w:hideMark/>
          </w:tcPr>
          <w:p w:rsidR="006C793F" w:rsidRPr="009A75D6" w:rsidRDefault="006C793F" w:rsidP="00F65F2C">
            <w:pPr>
              <w:pStyle w:val="naisf"/>
              <w:spacing w:before="0" w:after="0"/>
              <w:ind w:firstLine="0"/>
              <w:jc w:val="center"/>
            </w:pPr>
            <w:r w:rsidRPr="009A75D6">
              <w:t>0</w:t>
            </w:r>
          </w:p>
        </w:tc>
      </w:tr>
      <w:tr w:rsidR="006C793F" w:rsidRPr="009A75D6" w:rsidTr="006C793F">
        <w:tc>
          <w:tcPr>
            <w:tcW w:w="2269" w:type="dxa"/>
            <w:hideMark/>
          </w:tcPr>
          <w:p w:rsidR="006C793F" w:rsidRPr="009A75D6" w:rsidRDefault="006C793F" w:rsidP="00F65F2C">
            <w:r w:rsidRPr="009A75D6">
              <w:lastRenderedPageBreak/>
              <w:t>5.3. pašvaldību budžets</w:t>
            </w:r>
          </w:p>
        </w:tc>
        <w:tc>
          <w:tcPr>
            <w:tcW w:w="1535" w:type="dxa"/>
            <w:vMerge/>
            <w:hideMark/>
          </w:tcPr>
          <w:p w:rsidR="006C793F" w:rsidRPr="009A75D6" w:rsidRDefault="006C793F" w:rsidP="00F65F2C"/>
        </w:tc>
        <w:tc>
          <w:tcPr>
            <w:tcW w:w="1302" w:type="dxa"/>
            <w:vAlign w:val="center"/>
            <w:hideMark/>
          </w:tcPr>
          <w:p w:rsidR="006C793F" w:rsidRPr="009A75D6" w:rsidRDefault="006C793F" w:rsidP="00F65F2C">
            <w:pPr>
              <w:pStyle w:val="naisf"/>
              <w:spacing w:before="0" w:after="0"/>
              <w:ind w:firstLine="0"/>
              <w:jc w:val="center"/>
            </w:pPr>
            <w:r w:rsidRPr="009A75D6">
              <w:t>0</w:t>
            </w:r>
          </w:p>
        </w:tc>
        <w:tc>
          <w:tcPr>
            <w:tcW w:w="1273" w:type="dxa"/>
            <w:vAlign w:val="center"/>
            <w:hideMark/>
          </w:tcPr>
          <w:p w:rsidR="006C793F" w:rsidRPr="009A75D6" w:rsidRDefault="006C793F" w:rsidP="00F65F2C">
            <w:pPr>
              <w:pStyle w:val="naisf"/>
              <w:spacing w:before="0" w:after="0"/>
              <w:ind w:firstLine="0"/>
              <w:jc w:val="center"/>
            </w:pPr>
            <w:r w:rsidRPr="009A75D6">
              <w:t>0</w:t>
            </w:r>
          </w:p>
        </w:tc>
        <w:tc>
          <w:tcPr>
            <w:tcW w:w="1418" w:type="dxa"/>
            <w:vAlign w:val="center"/>
            <w:hideMark/>
          </w:tcPr>
          <w:p w:rsidR="006C793F" w:rsidRPr="009A75D6" w:rsidRDefault="006C793F" w:rsidP="00F65F2C">
            <w:pPr>
              <w:pStyle w:val="naisf"/>
              <w:spacing w:before="0" w:after="0"/>
              <w:ind w:firstLine="0"/>
              <w:jc w:val="center"/>
            </w:pPr>
            <w:r w:rsidRPr="009A75D6">
              <w:t>0</w:t>
            </w:r>
          </w:p>
        </w:tc>
        <w:tc>
          <w:tcPr>
            <w:tcW w:w="1417" w:type="dxa"/>
            <w:vAlign w:val="center"/>
            <w:hideMark/>
          </w:tcPr>
          <w:p w:rsidR="006C793F" w:rsidRPr="009A75D6" w:rsidRDefault="006C793F" w:rsidP="00F65F2C">
            <w:pPr>
              <w:pStyle w:val="naisf"/>
              <w:spacing w:before="0" w:after="0"/>
              <w:ind w:firstLine="0"/>
              <w:jc w:val="center"/>
            </w:pPr>
            <w:r w:rsidRPr="009A75D6">
              <w:t>0</w:t>
            </w:r>
          </w:p>
        </w:tc>
      </w:tr>
      <w:tr w:rsidR="006C793F" w:rsidRPr="009A75D6" w:rsidTr="006C793F">
        <w:tc>
          <w:tcPr>
            <w:tcW w:w="2269" w:type="dxa"/>
            <w:hideMark/>
          </w:tcPr>
          <w:p w:rsidR="006C793F" w:rsidRPr="009A75D6" w:rsidRDefault="006C793F" w:rsidP="00F65F2C">
            <w:r w:rsidRPr="009A75D6">
              <w:t>6. Detalizēts ieņēmumu un izdevumu aprēķins (ja nepieciešams, detalizētu ieņēmumu un izdevumu aprēķinu var pievienot anotācijas pielikumā):</w:t>
            </w:r>
          </w:p>
        </w:tc>
        <w:tc>
          <w:tcPr>
            <w:tcW w:w="6945" w:type="dxa"/>
            <w:gridSpan w:val="5"/>
            <w:vMerge w:val="restart"/>
            <w:hideMark/>
          </w:tcPr>
          <w:p w:rsidR="00DE141A" w:rsidRPr="004E51F7" w:rsidRDefault="002D6117" w:rsidP="00F65F2C">
            <w:pPr>
              <w:pStyle w:val="naiskr"/>
              <w:spacing w:before="20" w:after="20"/>
              <w:jc w:val="both"/>
              <w:rPr>
                <w:i/>
              </w:rPr>
            </w:pPr>
            <w:r w:rsidRPr="004E51F7">
              <w:rPr>
                <w:i/>
              </w:rPr>
              <w:t xml:space="preserve">* Atbilstoši likumam </w:t>
            </w:r>
            <w:r w:rsidR="006D3EDB" w:rsidRPr="006D3EDB">
              <w:rPr>
                <w:i/>
              </w:rPr>
              <w:t>"</w:t>
            </w:r>
            <w:r w:rsidRPr="004E51F7">
              <w:rPr>
                <w:i/>
              </w:rPr>
              <w:t>Par valsts budžetu 2016.</w:t>
            </w:r>
            <w:r w:rsidR="00FC2ACC">
              <w:rPr>
                <w:i/>
              </w:rPr>
              <w:t xml:space="preserve"> </w:t>
            </w:r>
            <w:r w:rsidRPr="004E51F7">
              <w:rPr>
                <w:i/>
              </w:rPr>
              <w:t>gadam</w:t>
            </w:r>
            <w:r w:rsidR="006D3EDB" w:rsidRPr="006D3EDB">
              <w:rPr>
                <w:i/>
              </w:rPr>
              <w:t>"</w:t>
            </w:r>
          </w:p>
          <w:p w:rsidR="002D6117" w:rsidRPr="00237834" w:rsidRDefault="002D6117" w:rsidP="00F65F2C">
            <w:pPr>
              <w:pStyle w:val="naiskr"/>
              <w:spacing w:before="20" w:after="20"/>
              <w:jc w:val="both"/>
              <w:rPr>
                <w:i/>
                <w:sz w:val="20"/>
                <w:szCs w:val="20"/>
              </w:rPr>
            </w:pPr>
          </w:p>
          <w:p w:rsidR="002D6117" w:rsidRPr="004E51F7" w:rsidRDefault="002D6117" w:rsidP="00F65F2C">
            <w:pPr>
              <w:pStyle w:val="naiskr"/>
              <w:spacing w:before="20" w:after="20"/>
              <w:jc w:val="both"/>
              <w:rPr>
                <w:highlight w:val="lightGray"/>
              </w:rPr>
            </w:pPr>
            <w:r w:rsidRPr="004E51F7">
              <w:rPr>
                <w:color w:val="000000"/>
                <w:shd w:val="clear" w:color="auto" w:fill="FFFFFF"/>
                <w:lang w:bidi="lv-LV"/>
              </w:rPr>
              <w:t>2016.</w:t>
            </w:r>
            <w:r w:rsidR="00ED2904">
              <w:rPr>
                <w:color w:val="000000"/>
                <w:shd w:val="clear" w:color="auto" w:fill="FFFFFF"/>
                <w:lang w:bidi="lv-LV"/>
              </w:rPr>
              <w:t xml:space="preserve"> </w:t>
            </w:r>
            <w:r w:rsidRPr="004E51F7">
              <w:rPr>
                <w:color w:val="000000"/>
                <w:shd w:val="clear" w:color="auto" w:fill="FFFFFF"/>
                <w:lang w:bidi="lv-LV"/>
              </w:rPr>
              <w:t>gadā Veselības ministrijas (Nacionāl</w:t>
            </w:r>
            <w:r w:rsidR="00ED2904">
              <w:rPr>
                <w:color w:val="000000"/>
                <w:shd w:val="clear" w:color="auto" w:fill="FFFFFF"/>
                <w:lang w:bidi="lv-LV"/>
              </w:rPr>
              <w:t>ais</w:t>
            </w:r>
            <w:r w:rsidRPr="004E51F7">
              <w:rPr>
                <w:color w:val="000000"/>
                <w:shd w:val="clear" w:color="auto" w:fill="FFFFFF"/>
                <w:lang w:bidi="lv-LV"/>
              </w:rPr>
              <w:t xml:space="preserve"> veselības dienests) budžeta programmas 33.00.00 </w:t>
            </w:r>
            <w:r w:rsidR="00ED2904">
              <w:t>"</w:t>
            </w:r>
            <w:r w:rsidRPr="004E51F7">
              <w:rPr>
                <w:color w:val="000000"/>
                <w:shd w:val="clear" w:color="auto" w:fill="FFFFFF"/>
                <w:lang w:bidi="lv-LV"/>
              </w:rPr>
              <w:t>Veselības aprūpes nodrošināšana</w:t>
            </w:r>
            <w:r w:rsidR="00ED2904">
              <w:t>"</w:t>
            </w:r>
            <w:r w:rsidRPr="004E51F7">
              <w:rPr>
                <w:color w:val="000000"/>
                <w:shd w:val="clear" w:color="auto" w:fill="FFFFFF"/>
                <w:lang w:bidi="lv-LV"/>
              </w:rPr>
              <w:t xml:space="preserve"> apakšprogrammā:</w:t>
            </w:r>
          </w:p>
          <w:p w:rsidR="002D6117" w:rsidRPr="004E51F7" w:rsidRDefault="002D6117" w:rsidP="002D6117">
            <w:pPr>
              <w:widowControl w:val="0"/>
              <w:rPr>
                <w:color w:val="000000"/>
                <w:shd w:val="clear" w:color="auto" w:fill="FFFFFF"/>
                <w:lang w:bidi="lv-LV"/>
              </w:rPr>
            </w:pPr>
            <w:r w:rsidRPr="004E51F7">
              <w:rPr>
                <w:color w:val="000000"/>
                <w:shd w:val="clear" w:color="auto" w:fill="FFFFFF"/>
                <w:lang w:bidi="lv-LV"/>
              </w:rPr>
              <w:t xml:space="preserve">33.04.00 </w:t>
            </w:r>
            <w:r w:rsidR="008640FC">
              <w:t>"</w:t>
            </w:r>
            <w:r w:rsidRPr="004E51F7">
              <w:rPr>
                <w:color w:val="000000"/>
                <w:shd w:val="clear" w:color="auto" w:fill="FFFFFF"/>
                <w:lang w:bidi="lv-LV"/>
              </w:rPr>
              <w:t>Centralizēta medikamentu un materiālu iegāde</w:t>
            </w:r>
            <w:r w:rsidR="008640FC">
              <w:t>"</w:t>
            </w:r>
          </w:p>
          <w:p w:rsidR="002D6117" w:rsidRPr="004E51F7" w:rsidRDefault="002D6117" w:rsidP="002D6117">
            <w:pPr>
              <w:ind w:right="142"/>
              <w:rPr>
                <w:noProof/>
              </w:rPr>
            </w:pPr>
            <w:r w:rsidRPr="004E51F7">
              <w:rPr>
                <w:noProof/>
              </w:rPr>
              <w:t>Resursi izdevumu segšanai 11</w:t>
            </w:r>
            <w:r w:rsidRPr="004E51F7">
              <w:rPr>
                <w:color w:val="000000"/>
                <w:shd w:val="clear" w:color="auto" w:fill="FFFFFF"/>
                <w:lang w:bidi="lv-LV"/>
              </w:rPr>
              <w:t xml:space="preserve"> 435 988 </w:t>
            </w:r>
            <w:r w:rsidRPr="004E51F7">
              <w:rPr>
                <w:i/>
                <w:noProof/>
              </w:rPr>
              <w:t>euro</w:t>
            </w:r>
          </w:p>
          <w:p w:rsidR="002D6117" w:rsidRPr="004E51F7" w:rsidRDefault="002D6117" w:rsidP="002D6117">
            <w:pPr>
              <w:tabs>
                <w:tab w:val="right" w:pos="259"/>
              </w:tabs>
              <w:ind w:left="259" w:right="142"/>
              <w:rPr>
                <w:noProof/>
              </w:rPr>
            </w:pPr>
            <w:r w:rsidRPr="004E51F7">
              <w:rPr>
                <w:noProof/>
              </w:rPr>
              <w:t xml:space="preserve">ieņēmumi no maksas pakalpojumiem </w:t>
            </w:r>
            <w:r w:rsidRPr="004E51F7">
              <w:rPr>
                <w:color w:val="000000"/>
                <w:shd w:val="clear" w:color="auto" w:fill="FFFFFF"/>
                <w:lang w:bidi="lv-LV"/>
              </w:rPr>
              <w:t xml:space="preserve">7 115 </w:t>
            </w:r>
            <w:r w:rsidRPr="004E51F7">
              <w:rPr>
                <w:i/>
                <w:noProof/>
              </w:rPr>
              <w:t>euro</w:t>
            </w:r>
          </w:p>
          <w:p w:rsidR="002D6117" w:rsidRPr="004E51F7" w:rsidRDefault="002D6117" w:rsidP="002D6117">
            <w:pPr>
              <w:ind w:right="142" w:firstLine="259"/>
              <w:rPr>
                <w:noProof/>
              </w:rPr>
            </w:pPr>
            <w:r w:rsidRPr="004E51F7">
              <w:rPr>
                <w:noProof/>
              </w:rPr>
              <w:t xml:space="preserve">dotācija no vispārējiem ieņēmumiem </w:t>
            </w:r>
            <w:r w:rsidRPr="004E51F7">
              <w:rPr>
                <w:color w:val="000000"/>
                <w:shd w:val="clear" w:color="auto" w:fill="FFFFFF"/>
                <w:lang w:bidi="lv-LV"/>
              </w:rPr>
              <w:t xml:space="preserve">11 428 873 </w:t>
            </w:r>
            <w:r w:rsidRPr="004E51F7">
              <w:rPr>
                <w:i/>
                <w:noProof/>
              </w:rPr>
              <w:t>euro</w:t>
            </w:r>
            <w:r w:rsidRPr="004E51F7">
              <w:rPr>
                <w:noProof/>
              </w:rPr>
              <w:t xml:space="preserve"> </w:t>
            </w:r>
          </w:p>
          <w:p w:rsidR="002D6117" w:rsidRPr="004E51F7" w:rsidRDefault="002D6117" w:rsidP="002D6117">
            <w:pPr>
              <w:ind w:right="142"/>
              <w:rPr>
                <w:noProof/>
              </w:rPr>
            </w:pPr>
            <w:r w:rsidRPr="004E51F7">
              <w:rPr>
                <w:noProof/>
              </w:rPr>
              <w:t xml:space="preserve">Izdevumi </w:t>
            </w:r>
            <w:r w:rsidRPr="004E51F7">
              <w:rPr>
                <w:color w:val="000000"/>
                <w:shd w:val="clear" w:color="auto" w:fill="FFFFFF"/>
                <w:lang w:bidi="lv-LV"/>
              </w:rPr>
              <w:t xml:space="preserve">11 435 988 </w:t>
            </w:r>
            <w:r w:rsidRPr="004E51F7">
              <w:rPr>
                <w:i/>
                <w:noProof/>
              </w:rPr>
              <w:t>euro</w:t>
            </w:r>
            <w:r w:rsidRPr="004E51F7">
              <w:rPr>
                <w:noProof/>
              </w:rPr>
              <w:t>, tai skaitā:</w:t>
            </w:r>
          </w:p>
          <w:p w:rsidR="002D6117" w:rsidRPr="004E51F7" w:rsidRDefault="002D6117" w:rsidP="002D6117">
            <w:pPr>
              <w:ind w:right="142" w:firstLine="259"/>
              <w:rPr>
                <w:noProof/>
              </w:rPr>
            </w:pPr>
            <w:r w:rsidRPr="004E51F7">
              <w:rPr>
                <w:noProof/>
              </w:rPr>
              <w:t>subsīdijas un dotācijas 11</w:t>
            </w:r>
            <w:r w:rsidRPr="004E51F7">
              <w:rPr>
                <w:color w:val="000000"/>
                <w:shd w:val="clear" w:color="auto" w:fill="FFFFFF"/>
                <w:lang w:bidi="lv-LV"/>
              </w:rPr>
              <w:t xml:space="preserve"> 435 988 </w:t>
            </w:r>
            <w:r w:rsidRPr="004E51F7">
              <w:rPr>
                <w:i/>
                <w:noProof/>
              </w:rPr>
              <w:t>euro</w:t>
            </w:r>
          </w:p>
          <w:p w:rsidR="002D6117" w:rsidRPr="004E51F7" w:rsidRDefault="002D6117" w:rsidP="00FE1134">
            <w:pPr>
              <w:ind w:firstLine="344"/>
              <w:jc w:val="both"/>
              <w:rPr>
                <w:noProof/>
              </w:rPr>
            </w:pPr>
            <w:r w:rsidRPr="004E51F7">
              <w:rPr>
                <w:noProof/>
              </w:rPr>
              <w:t>Atbilstoši Ministru kabinetā 2016.</w:t>
            </w:r>
            <w:r w:rsidR="007F7EB7">
              <w:rPr>
                <w:noProof/>
              </w:rPr>
              <w:t xml:space="preserve"> </w:t>
            </w:r>
            <w:r w:rsidRPr="004E51F7">
              <w:rPr>
                <w:noProof/>
              </w:rPr>
              <w:t>gada 1.</w:t>
            </w:r>
            <w:r w:rsidR="007F7EB7">
              <w:rPr>
                <w:noProof/>
              </w:rPr>
              <w:t xml:space="preserve"> </w:t>
            </w:r>
            <w:r w:rsidRPr="004E51F7">
              <w:rPr>
                <w:noProof/>
              </w:rPr>
              <w:t>martā apstiprinātajai valsts pamatbudžeta bāzei 2017., 2018. un 2019.</w:t>
            </w:r>
            <w:r w:rsidR="007F7EB7">
              <w:rPr>
                <w:noProof/>
              </w:rPr>
              <w:t xml:space="preserve"> </w:t>
            </w:r>
            <w:r w:rsidRPr="004E51F7">
              <w:rPr>
                <w:noProof/>
              </w:rPr>
              <w:t>gadam (protokols Nr.</w:t>
            </w:r>
            <w:r w:rsidR="007F7EB7">
              <w:rPr>
                <w:noProof/>
              </w:rPr>
              <w:t xml:space="preserve"> </w:t>
            </w:r>
            <w:r w:rsidRPr="004E51F7">
              <w:rPr>
                <w:noProof/>
              </w:rPr>
              <w:t>10, 51.</w:t>
            </w:r>
            <w:r w:rsidR="007F7EB7">
              <w:rPr>
                <w:noProof/>
              </w:rPr>
              <w:t xml:space="preserve"> </w:t>
            </w:r>
            <w:r w:rsidRPr="004E51F7">
              <w:rPr>
                <w:noProof/>
              </w:rPr>
              <w:t>§)</w:t>
            </w:r>
            <w:r w:rsidR="00275197" w:rsidRPr="004E51F7">
              <w:rPr>
                <w:noProof/>
              </w:rPr>
              <w:t>, Ministru kabineta 2016.</w:t>
            </w:r>
            <w:r w:rsidR="007F7EB7">
              <w:rPr>
                <w:noProof/>
              </w:rPr>
              <w:t xml:space="preserve"> </w:t>
            </w:r>
            <w:r w:rsidR="00275197" w:rsidRPr="004E51F7">
              <w:rPr>
                <w:noProof/>
              </w:rPr>
              <w:t>gada 16.</w:t>
            </w:r>
            <w:r w:rsidR="007F7EB7">
              <w:rPr>
                <w:noProof/>
              </w:rPr>
              <w:t xml:space="preserve"> </w:t>
            </w:r>
            <w:r w:rsidR="00275197" w:rsidRPr="004E51F7">
              <w:rPr>
                <w:noProof/>
              </w:rPr>
              <w:t xml:space="preserve">augusta apstiprinātajam Informatīvajam ziņojumam </w:t>
            </w:r>
            <w:r w:rsidR="00275197" w:rsidRPr="004E51F7">
              <w:t>"Par priekšlikumiem valsts budžeta ieņēmumiem un izdevumiem 2017.</w:t>
            </w:r>
            <w:r w:rsidR="006B0550">
              <w:t xml:space="preserve"> </w:t>
            </w:r>
            <w:r w:rsidR="00275197" w:rsidRPr="004E51F7">
              <w:t>gadam un ietvaram 2017.–2019.</w:t>
            </w:r>
            <w:r w:rsidR="006B0550">
              <w:t xml:space="preserve"> </w:t>
            </w:r>
            <w:r w:rsidR="00275197" w:rsidRPr="004E51F7">
              <w:t xml:space="preserve">gadam" </w:t>
            </w:r>
            <w:r w:rsidR="00275197" w:rsidRPr="004E51F7">
              <w:rPr>
                <w:noProof/>
              </w:rPr>
              <w:t>(protokols Nr.</w:t>
            </w:r>
            <w:r w:rsidR="006B0550">
              <w:rPr>
                <w:noProof/>
              </w:rPr>
              <w:t xml:space="preserve"> </w:t>
            </w:r>
            <w:r w:rsidR="00275197" w:rsidRPr="004E51F7">
              <w:rPr>
                <w:noProof/>
              </w:rPr>
              <w:t>40, 59.</w:t>
            </w:r>
            <w:r w:rsidR="006B0550">
              <w:rPr>
                <w:noProof/>
              </w:rPr>
              <w:t xml:space="preserve"> </w:t>
            </w:r>
            <w:r w:rsidR="00275197" w:rsidRPr="004E51F7">
              <w:rPr>
                <w:noProof/>
              </w:rPr>
              <w:t>§)</w:t>
            </w:r>
            <w:r w:rsidRPr="004E51F7">
              <w:rPr>
                <w:noProof/>
              </w:rPr>
              <w:t>:</w:t>
            </w:r>
          </w:p>
          <w:p w:rsidR="002D6117" w:rsidRPr="004E51F7" w:rsidRDefault="002D6117" w:rsidP="002D6117">
            <w:pPr>
              <w:spacing w:before="120"/>
              <w:ind w:right="142"/>
              <w:rPr>
                <w:b/>
                <w:noProof/>
                <w:u w:val="single"/>
              </w:rPr>
            </w:pPr>
            <w:r w:rsidRPr="004E51F7">
              <w:rPr>
                <w:b/>
                <w:noProof/>
                <w:u w:val="single"/>
              </w:rPr>
              <w:t>2017.</w:t>
            </w:r>
            <w:r w:rsidR="009108C1">
              <w:rPr>
                <w:b/>
                <w:noProof/>
                <w:u w:val="single"/>
              </w:rPr>
              <w:t xml:space="preserve"> </w:t>
            </w:r>
            <w:r w:rsidRPr="004E51F7">
              <w:rPr>
                <w:b/>
                <w:noProof/>
                <w:u w:val="single"/>
              </w:rPr>
              <w:t>gadā, 2018.</w:t>
            </w:r>
            <w:r w:rsidR="009108C1">
              <w:rPr>
                <w:b/>
                <w:noProof/>
                <w:u w:val="single"/>
              </w:rPr>
              <w:t xml:space="preserve"> </w:t>
            </w:r>
            <w:r w:rsidRPr="004E51F7">
              <w:rPr>
                <w:b/>
                <w:noProof/>
                <w:u w:val="single"/>
              </w:rPr>
              <w:t>gadā un 2019.</w:t>
            </w:r>
            <w:r w:rsidR="009108C1">
              <w:rPr>
                <w:b/>
                <w:noProof/>
                <w:u w:val="single"/>
              </w:rPr>
              <w:t xml:space="preserve"> </w:t>
            </w:r>
            <w:r w:rsidRPr="004E51F7">
              <w:rPr>
                <w:b/>
                <w:noProof/>
                <w:u w:val="single"/>
              </w:rPr>
              <w:t xml:space="preserve">gadā </w:t>
            </w:r>
          </w:p>
          <w:p w:rsidR="002D6117" w:rsidRPr="00237834" w:rsidRDefault="002D6117" w:rsidP="00311CDA">
            <w:pPr>
              <w:ind w:right="142"/>
              <w:jc w:val="both"/>
              <w:rPr>
                <w:noProof/>
                <w:sz w:val="20"/>
                <w:szCs w:val="20"/>
              </w:rPr>
            </w:pPr>
          </w:p>
          <w:p w:rsidR="002D6117" w:rsidRPr="004E51F7" w:rsidRDefault="002D6117" w:rsidP="00311CDA">
            <w:pPr>
              <w:widowControl w:val="0"/>
              <w:jc w:val="both"/>
              <w:rPr>
                <w:color w:val="000000"/>
                <w:shd w:val="clear" w:color="auto" w:fill="FFFFFF"/>
                <w:lang w:bidi="lv-LV"/>
              </w:rPr>
            </w:pPr>
            <w:r w:rsidRPr="004E51F7">
              <w:rPr>
                <w:color w:val="000000"/>
                <w:shd w:val="clear" w:color="auto" w:fill="FFFFFF"/>
                <w:lang w:bidi="lv-LV"/>
              </w:rPr>
              <w:t>Veselības ministrijas (Nacionāl</w:t>
            </w:r>
            <w:r w:rsidR="00150C73">
              <w:rPr>
                <w:color w:val="000000"/>
                <w:shd w:val="clear" w:color="auto" w:fill="FFFFFF"/>
                <w:lang w:bidi="lv-LV"/>
              </w:rPr>
              <w:t>ais</w:t>
            </w:r>
            <w:r w:rsidRPr="004E51F7">
              <w:rPr>
                <w:color w:val="000000"/>
                <w:shd w:val="clear" w:color="auto" w:fill="FFFFFF"/>
                <w:lang w:bidi="lv-LV"/>
              </w:rPr>
              <w:t xml:space="preserve"> veselības dienests) budžeta programmas 33.00.00 </w:t>
            </w:r>
            <w:r w:rsidR="00BD1382" w:rsidRPr="004E51F7">
              <w:t>"</w:t>
            </w:r>
            <w:r w:rsidRPr="004E51F7">
              <w:rPr>
                <w:color w:val="000000"/>
                <w:shd w:val="clear" w:color="auto" w:fill="FFFFFF"/>
                <w:lang w:bidi="lv-LV"/>
              </w:rPr>
              <w:t>Veselības aprūpes nodrošināšana</w:t>
            </w:r>
            <w:r w:rsidR="00BD1382" w:rsidRPr="004E51F7">
              <w:t>"</w:t>
            </w:r>
            <w:r w:rsidRPr="004E51F7">
              <w:rPr>
                <w:color w:val="000000"/>
                <w:shd w:val="clear" w:color="auto" w:fill="FFFFFF"/>
                <w:lang w:bidi="lv-LV"/>
              </w:rPr>
              <w:t xml:space="preserve"> apakšprogrammā: </w:t>
            </w:r>
          </w:p>
          <w:p w:rsidR="002D6117" w:rsidRPr="004E51F7" w:rsidRDefault="002D6117" w:rsidP="00311CDA">
            <w:pPr>
              <w:pStyle w:val="NoSpacing"/>
              <w:jc w:val="both"/>
              <w:rPr>
                <w:rFonts w:ascii="Times New Roman" w:hAnsi="Times New Roman" w:cs="Times New Roman"/>
                <w:sz w:val="24"/>
                <w:szCs w:val="24"/>
                <w:lang w:eastAsia="lv-LV"/>
              </w:rPr>
            </w:pPr>
            <w:r w:rsidRPr="004E51F7">
              <w:rPr>
                <w:rFonts w:ascii="Times New Roman" w:hAnsi="Times New Roman" w:cs="Times New Roman"/>
                <w:sz w:val="24"/>
                <w:szCs w:val="24"/>
                <w:lang w:eastAsia="lv-LV"/>
              </w:rPr>
              <w:t xml:space="preserve">33.04.00 </w:t>
            </w:r>
            <w:r w:rsidR="00BD1382" w:rsidRPr="00BD1382">
              <w:rPr>
                <w:rFonts w:ascii="Times New Roman" w:hAnsi="Times New Roman" w:cs="Times New Roman"/>
                <w:sz w:val="24"/>
                <w:szCs w:val="24"/>
                <w:lang w:eastAsia="lv-LV"/>
              </w:rPr>
              <w:t>"</w:t>
            </w:r>
            <w:r w:rsidRPr="00BD1382">
              <w:rPr>
                <w:rFonts w:ascii="Times New Roman" w:hAnsi="Times New Roman" w:cs="Times New Roman"/>
                <w:sz w:val="24"/>
                <w:szCs w:val="24"/>
                <w:lang w:val="lv-LV" w:eastAsia="lv-LV"/>
              </w:rPr>
              <w:t>Centralizēta medikamentu un materiālu iegāde</w:t>
            </w:r>
            <w:r w:rsidR="00BD1382" w:rsidRPr="00BD1382">
              <w:rPr>
                <w:rFonts w:ascii="Times New Roman" w:hAnsi="Times New Roman" w:cs="Times New Roman"/>
                <w:sz w:val="24"/>
                <w:szCs w:val="24"/>
                <w:lang w:eastAsia="lv-LV"/>
              </w:rPr>
              <w:t>"</w:t>
            </w:r>
            <w:r w:rsidRPr="004E51F7">
              <w:rPr>
                <w:rFonts w:ascii="Times New Roman" w:hAnsi="Times New Roman" w:cs="Times New Roman"/>
                <w:sz w:val="24"/>
                <w:szCs w:val="24"/>
                <w:lang w:eastAsia="lv-LV"/>
              </w:rPr>
              <w:t xml:space="preserve">: </w:t>
            </w:r>
          </w:p>
          <w:p w:rsidR="002D6117" w:rsidRPr="004E51F7" w:rsidRDefault="002D6117" w:rsidP="00311CDA">
            <w:pPr>
              <w:ind w:right="142"/>
              <w:rPr>
                <w:noProof/>
              </w:rPr>
            </w:pPr>
            <w:r w:rsidRPr="004E51F7">
              <w:rPr>
                <w:noProof/>
              </w:rPr>
              <w:t>Resursi izdevumu segšanai 11</w:t>
            </w:r>
            <w:r w:rsidRPr="004E51F7">
              <w:rPr>
                <w:color w:val="000000"/>
                <w:shd w:val="clear" w:color="auto" w:fill="FFFFFF"/>
                <w:lang w:bidi="lv-LV"/>
              </w:rPr>
              <w:t> </w:t>
            </w:r>
            <w:r w:rsidR="00F94C9D" w:rsidRPr="004E51F7">
              <w:rPr>
                <w:color w:val="000000"/>
                <w:shd w:val="clear" w:color="auto" w:fill="FFFFFF"/>
                <w:lang w:bidi="lv-LV"/>
              </w:rPr>
              <w:t>428</w:t>
            </w:r>
            <w:r w:rsidRPr="004E51F7">
              <w:rPr>
                <w:color w:val="000000"/>
                <w:shd w:val="clear" w:color="auto" w:fill="FFFFFF"/>
                <w:lang w:bidi="lv-LV"/>
              </w:rPr>
              <w:t> </w:t>
            </w:r>
            <w:r w:rsidR="00F94C9D" w:rsidRPr="004E51F7">
              <w:rPr>
                <w:color w:val="000000"/>
                <w:shd w:val="clear" w:color="auto" w:fill="FFFFFF"/>
                <w:lang w:bidi="lv-LV"/>
              </w:rPr>
              <w:t>873</w:t>
            </w:r>
            <w:r w:rsidRPr="004E51F7">
              <w:rPr>
                <w:color w:val="000000"/>
                <w:shd w:val="clear" w:color="auto" w:fill="FFFFFF"/>
                <w:lang w:bidi="lv-LV"/>
              </w:rPr>
              <w:t xml:space="preserve"> </w:t>
            </w:r>
            <w:r w:rsidRPr="004E51F7">
              <w:rPr>
                <w:i/>
                <w:noProof/>
              </w:rPr>
              <w:t>euro</w:t>
            </w:r>
          </w:p>
          <w:p w:rsidR="002D6117" w:rsidRPr="004E51F7" w:rsidRDefault="002D6117" w:rsidP="00311CDA">
            <w:pPr>
              <w:ind w:right="142" w:firstLine="259"/>
              <w:rPr>
                <w:noProof/>
              </w:rPr>
            </w:pPr>
            <w:r w:rsidRPr="004E51F7">
              <w:rPr>
                <w:noProof/>
              </w:rPr>
              <w:t xml:space="preserve">dotācija no vispārējiem ieņēmumiem </w:t>
            </w:r>
            <w:r w:rsidRPr="004E51F7">
              <w:rPr>
                <w:color w:val="000000"/>
                <w:shd w:val="clear" w:color="auto" w:fill="FFFFFF"/>
                <w:lang w:bidi="lv-LV"/>
              </w:rPr>
              <w:t xml:space="preserve">11 428 873 </w:t>
            </w:r>
            <w:r w:rsidRPr="004E51F7">
              <w:rPr>
                <w:i/>
                <w:noProof/>
              </w:rPr>
              <w:t>euro</w:t>
            </w:r>
            <w:r w:rsidRPr="004E51F7">
              <w:rPr>
                <w:noProof/>
              </w:rPr>
              <w:t xml:space="preserve"> </w:t>
            </w:r>
          </w:p>
          <w:p w:rsidR="002D6117" w:rsidRPr="004E51F7" w:rsidRDefault="002D6117" w:rsidP="00311CDA">
            <w:pPr>
              <w:ind w:right="142"/>
              <w:rPr>
                <w:noProof/>
              </w:rPr>
            </w:pPr>
            <w:r w:rsidRPr="004E51F7">
              <w:rPr>
                <w:noProof/>
              </w:rPr>
              <w:t xml:space="preserve">Izdevumi </w:t>
            </w:r>
            <w:r w:rsidRPr="004E51F7">
              <w:rPr>
                <w:color w:val="000000"/>
                <w:shd w:val="clear" w:color="auto" w:fill="FFFFFF"/>
                <w:lang w:bidi="lv-LV"/>
              </w:rPr>
              <w:t>11 </w:t>
            </w:r>
            <w:r w:rsidR="00311CDA" w:rsidRPr="004E51F7">
              <w:rPr>
                <w:color w:val="000000"/>
                <w:shd w:val="clear" w:color="auto" w:fill="FFFFFF"/>
                <w:lang w:bidi="lv-LV"/>
              </w:rPr>
              <w:t>428</w:t>
            </w:r>
            <w:r w:rsidRPr="004E51F7">
              <w:rPr>
                <w:color w:val="000000"/>
                <w:shd w:val="clear" w:color="auto" w:fill="FFFFFF"/>
                <w:lang w:bidi="lv-LV"/>
              </w:rPr>
              <w:t> </w:t>
            </w:r>
            <w:r w:rsidR="00311CDA" w:rsidRPr="004E51F7">
              <w:rPr>
                <w:color w:val="000000"/>
                <w:shd w:val="clear" w:color="auto" w:fill="FFFFFF"/>
                <w:lang w:bidi="lv-LV"/>
              </w:rPr>
              <w:t>873</w:t>
            </w:r>
            <w:r w:rsidRPr="004E51F7">
              <w:rPr>
                <w:color w:val="000000"/>
                <w:shd w:val="clear" w:color="auto" w:fill="FFFFFF"/>
                <w:lang w:bidi="lv-LV"/>
              </w:rPr>
              <w:t xml:space="preserve"> </w:t>
            </w:r>
            <w:r w:rsidRPr="004E51F7">
              <w:rPr>
                <w:i/>
                <w:noProof/>
              </w:rPr>
              <w:t>euro</w:t>
            </w:r>
            <w:r w:rsidRPr="004E51F7">
              <w:rPr>
                <w:noProof/>
              </w:rPr>
              <w:t>, tai skaitā:</w:t>
            </w:r>
          </w:p>
          <w:p w:rsidR="002D6117" w:rsidRPr="004E51F7" w:rsidRDefault="002D6117" w:rsidP="00311CDA">
            <w:pPr>
              <w:ind w:right="142" w:firstLine="259"/>
              <w:rPr>
                <w:i/>
                <w:noProof/>
              </w:rPr>
            </w:pPr>
            <w:r w:rsidRPr="004E51F7">
              <w:rPr>
                <w:noProof/>
              </w:rPr>
              <w:t>subsīdijas un dotācijas 11</w:t>
            </w:r>
            <w:r w:rsidRPr="004E51F7">
              <w:rPr>
                <w:color w:val="000000"/>
                <w:shd w:val="clear" w:color="auto" w:fill="FFFFFF"/>
                <w:lang w:bidi="lv-LV"/>
              </w:rPr>
              <w:t> </w:t>
            </w:r>
            <w:r w:rsidR="00311CDA" w:rsidRPr="004E51F7">
              <w:rPr>
                <w:color w:val="000000"/>
                <w:shd w:val="clear" w:color="auto" w:fill="FFFFFF"/>
                <w:lang w:bidi="lv-LV"/>
              </w:rPr>
              <w:t>428</w:t>
            </w:r>
            <w:r w:rsidRPr="004E51F7">
              <w:rPr>
                <w:color w:val="000000"/>
                <w:shd w:val="clear" w:color="auto" w:fill="FFFFFF"/>
                <w:lang w:bidi="lv-LV"/>
              </w:rPr>
              <w:t> </w:t>
            </w:r>
            <w:r w:rsidR="00311CDA" w:rsidRPr="004E51F7">
              <w:rPr>
                <w:color w:val="000000"/>
                <w:shd w:val="clear" w:color="auto" w:fill="FFFFFF"/>
                <w:lang w:bidi="lv-LV"/>
              </w:rPr>
              <w:t>873</w:t>
            </w:r>
            <w:r w:rsidRPr="004E51F7">
              <w:rPr>
                <w:color w:val="000000"/>
                <w:shd w:val="clear" w:color="auto" w:fill="FFFFFF"/>
                <w:lang w:bidi="lv-LV"/>
              </w:rPr>
              <w:t xml:space="preserve"> </w:t>
            </w:r>
            <w:r w:rsidRPr="004E51F7">
              <w:rPr>
                <w:i/>
                <w:noProof/>
              </w:rPr>
              <w:t>euro</w:t>
            </w:r>
          </w:p>
          <w:p w:rsidR="00311CDA" w:rsidRPr="00237834" w:rsidRDefault="00311CDA" w:rsidP="00311CDA">
            <w:pPr>
              <w:ind w:right="142" w:firstLine="259"/>
              <w:rPr>
                <w:noProof/>
                <w:sz w:val="20"/>
                <w:szCs w:val="20"/>
              </w:rPr>
            </w:pPr>
          </w:p>
          <w:p w:rsidR="009E61BA" w:rsidRPr="004E51F7" w:rsidRDefault="009C392C">
            <w:pPr>
              <w:ind w:right="142"/>
              <w:rPr>
                <w:noProof/>
                <w:u w:val="single"/>
              </w:rPr>
            </w:pPr>
            <w:r>
              <w:rPr>
                <w:noProof/>
                <w:u w:val="single"/>
              </w:rPr>
              <w:t>2017.-</w:t>
            </w:r>
            <w:r w:rsidR="00FC4285" w:rsidRPr="004E51F7">
              <w:rPr>
                <w:noProof/>
                <w:u w:val="single"/>
              </w:rPr>
              <w:t>2018.</w:t>
            </w:r>
            <w:r w:rsidR="008A1435">
              <w:rPr>
                <w:noProof/>
                <w:u w:val="single"/>
              </w:rPr>
              <w:t xml:space="preserve"> gadā papildus lī</w:t>
            </w:r>
            <w:r w:rsidR="00FC4285" w:rsidRPr="004E51F7">
              <w:rPr>
                <w:noProof/>
                <w:u w:val="single"/>
              </w:rPr>
              <w:t>dzekļi nav nepieciešami</w:t>
            </w:r>
            <w:r w:rsidR="004E51F7">
              <w:rPr>
                <w:noProof/>
                <w:u w:val="single"/>
              </w:rPr>
              <w:t>.</w:t>
            </w:r>
          </w:p>
          <w:p w:rsidR="009E61BA" w:rsidRPr="00237834" w:rsidRDefault="009E61BA">
            <w:pPr>
              <w:ind w:right="142"/>
              <w:rPr>
                <w:noProof/>
                <w:sz w:val="20"/>
                <w:szCs w:val="20"/>
              </w:rPr>
            </w:pPr>
          </w:p>
          <w:p w:rsidR="00311CDA" w:rsidRPr="004E51F7" w:rsidRDefault="002D6117" w:rsidP="00311CDA">
            <w:pPr>
              <w:pStyle w:val="naiskr"/>
              <w:spacing w:before="0" w:after="0"/>
              <w:jc w:val="both"/>
              <w:rPr>
                <w:u w:val="single"/>
              </w:rPr>
            </w:pPr>
            <w:r w:rsidRPr="004E51F7">
              <w:rPr>
                <w:u w:val="single"/>
              </w:rPr>
              <w:t>Ietekme uz 2019.</w:t>
            </w:r>
            <w:r w:rsidR="00BE3BF5">
              <w:rPr>
                <w:u w:val="single"/>
              </w:rPr>
              <w:t xml:space="preserve"> </w:t>
            </w:r>
            <w:r w:rsidRPr="004E51F7">
              <w:rPr>
                <w:u w:val="single"/>
              </w:rPr>
              <w:t>gadu</w:t>
            </w:r>
            <w:r w:rsidR="00311CDA" w:rsidRPr="004E51F7">
              <w:rPr>
                <w:u w:val="single"/>
              </w:rPr>
              <w:t xml:space="preserve">: </w:t>
            </w:r>
          </w:p>
          <w:p w:rsidR="00311CDA" w:rsidRPr="004E51F7" w:rsidRDefault="00311CDA" w:rsidP="00311CDA">
            <w:pPr>
              <w:pStyle w:val="naiskr"/>
              <w:spacing w:before="0" w:after="0"/>
              <w:jc w:val="both"/>
            </w:pPr>
            <w:r w:rsidRPr="004E51F7">
              <w:t>Ar 2019.</w:t>
            </w:r>
            <w:r w:rsidR="00BE3BF5">
              <w:t xml:space="preserve"> </w:t>
            </w:r>
            <w:r w:rsidRPr="004E51F7">
              <w:t>gada 1.</w:t>
            </w:r>
            <w:r w:rsidR="00BE3BF5">
              <w:t xml:space="preserve"> </w:t>
            </w:r>
            <w:r w:rsidRPr="004E51F7">
              <w:t>janvāri plānota vakcinācija pret vējbakām septiņus gadus veciem bērniem (2.</w:t>
            </w:r>
            <w:r w:rsidR="007C172A">
              <w:t xml:space="preserve"> </w:t>
            </w:r>
            <w:r w:rsidR="00BA4B9B">
              <w:t>deva</w:t>
            </w:r>
            <w:r w:rsidRPr="004E51F7">
              <w:t>), kuri 2013.</w:t>
            </w:r>
            <w:r w:rsidR="00817C66">
              <w:t xml:space="preserve"> </w:t>
            </w:r>
            <w:r w:rsidRPr="004E51F7">
              <w:t xml:space="preserve">gadā saskaņā ar vakcinācijas kalendāru saņēmuši </w:t>
            </w:r>
            <w:r w:rsidR="00817C66">
              <w:t xml:space="preserve">vakcinācijas pret </w:t>
            </w:r>
            <w:r w:rsidRPr="004E51F7">
              <w:t>v</w:t>
            </w:r>
            <w:r w:rsidR="00D91B40" w:rsidRPr="004E51F7">
              <w:t>ējbak</w:t>
            </w:r>
            <w:r w:rsidR="00817C66">
              <w:t>ām</w:t>
            </w:r>
            <w:r w:rsidRPr="004E51F7">
              <w:t xml:space="preserve"> </w:t>
            </w:r>
            <w:r w:rsidR="00817C66">
              <w:t>1.</w:t>
            </w:r>
            <w:r w:rsidRPr="004E51F7">
              <w:t xml:space="preserve"> </w:t>
            </w:r>
            <w:r w:rsidR="003A6E99">
              <w:t>devu</w:t>
            </w:r>
            <w:r w:rsidRPr="004E51F7">
              <w:t xml:space="preserve">. </w:t>
            </w:r>
          </w:p>
          <w:p w:rsidR="009E61BA" w:rsidRPr="004E51F7" w:rsidRDefault="00311CDA" w:rsidP="00311CDA">
            <w:pPr>
              <w:pStyle w:val="naiskr"/>
              <w:spacing w:before="0" w:after="0"/>
              <w:jc w:val="both"/>
              <w:rPr>
                <w:color w:val="000000"/>
              </w:rPr>
            </w:pPr>
            <w:r w:rsidRPr="004E51F7">
              <w:t>2013.</w:t>
            </w:r>
            <w:r w:rsidR="009665B6">
              <w:t xml:space="preserve"> </w:t>
            </w:r>
            <w:r w:rsidRPr="004E51F7">
              <w:t xml:space="preserve">gadā </w:t>
            </w:r>
            <w:r w:rsidR="00777C3C" w:rsidRPr="004E51F7">
              <w:t xml:space="preserve">saskaņā ar Slimību profilakses un kontroles centra datiem </w:t>
            </w:r>
            <w:r w:rsidR="009E61BA" w:rsidRPr="004E51F7">
              <w:t>vakcinēti</w:t>
            </w:r>
            <w:r w:rsidRPr="004E51F7">
              <w:t xml:space="preserve"> </w:t>
            </w:r>
            <w:r w:rsidR="009E61BA" w:rsidRPr="004E51F7">
              <w:t>14 838</w:t>
            </w:r>
            <w:r w:rsidR="00777C3C" w:rsidRPr="004E51F7">
              <w:t xml:space="preserve"> </w:t>
            </w:r>
            <w:r w:rsidRPr="004E51F7">
              <w:t>bērni</w:t>
            </w:r>
            <w:r w:rsidR="00777C3C" w:rsidRPr="004E51F7">
              <w:t xml:space="preserve">. </w:t>
            </w:r>
            <w:r w:rsidR="009E61BA" w:rsidRPr="004E51F7">
              <w:rPr>
                <w:color w:val="000000"/>
              </w:rPr>
              <w:t>Prognozēts, ka no tiem līdz 7 gadu vecuma sasniegšanai vējbakas pārslimos 2 226 bērni, jo vakcīnas efektivitāte, vakcinējot ar vienu devu</w:t>
            </w:r>
            <w:r w:rsidR="00C81E38">
              <w:rPr>
                <w:color w:val="000000"/>
              </w:rPr>
              <w:t>,</w:t>
            </w:r>
            <w:r w:rsidR="009E61BA" w:rsidRPr="004E51F7">
              <w:rPr>
                <w:color w:val="000000"/>
              </w:rPr>
              <w:t xml:space="preserve"> vidēji ir 85</w:t>
            </w:r>
            <w:r w:rsidR="00F96170">
              <w:rPr>
                <w:color w:val="000000"/>
              </w:rPr>
              <w:t> </w:t>
            </w:r>
            <w:r w:rsidR="009E61BA" w:rsidRPr="004E51F7">
              <w:rPr>
                <w:color w:val="000000"/>
              </w:rPr>
              <w:t xml:space="preserve">%. Attiecīgi </w:t>
            </w:r>
            <w:r w:rsidR="001A3169">
              <w:rPr>
                <w:color w:val="000000"/>
              </w:rPr>
              <w:t>vējbaku 2. devas vakcinācijai</w:t>
            </w:r>
            <w:r w:rsidR="009E61BA" w:rsidRPr="004E51F7">
              <w:rPr>
                <w:color w:val="000000"/>
              </w:rPr>
              <w:t xml:space="preserve"> būs pakļauti 12 612 bērni, kuri saņēmuši </w:t>
            </w:r>
            <w:r w:rsidR="003B4FC4">
              <w:t xml:space="preserve">vakcinācijas pret </w:t>
            </w:r>
            <w:r w:rsidR="003B4FC4" w:rsidRPr="004E51F7">
              <w:t>vējbak</w:t>
            </w:r>
            <w:r w:rsidR="003B4FC4">
              <w:t>ām</w:t>
            </w:r>
            <w:r w:rsidR="003B4FC4" w:rsidRPr="004E51F7">
              <w:t xml:space="preserve"> </w:t>
            </w:r>
            <w:r w:rsidR="003B4FC4">
              <w:t>1.</w:t>
            </w:r>
            <w:r w:rsidR="003B4FC4" w:rsidRPr="004E51F7">
              <w:t xml:space="preserve"> </w:t>
            </w:r>
            <w:r w:rsidR="00091CA4">
              <w:t>devu</w:t>
            </w:r>
            <w:r w:rsidR="009E61BA" w:rsidRPr="004E51F7">
              <w:rPr>
                <w:color w:val="000000"/>
              </w:rPr>
              <w:t xml:space="preserve">. </w:t>
            </w:r>
          </w:p>
          <w:p w:rsidR="00777C3C" w:rsidRPr="004E51F7" w:rsidRDefault="009E61BA" w:rsidP="00311CDA">
            <w:pPr>
              <w:pStyle w:val="naiskr"/>
              <w:spacing w:before="0" w:after="0"/>
              <w:jc w:val="both"/>
            </w:pPr>
            <w:r w:rsidRPr="004E51F7">
              <w:rPr>
                <w:color w:val="000000"/>
              </w:rPr>
              <w:t xml:space="preserve">Aprēķins: </w:t>
            </w:r>
            <w:r w:rsidR="00C86F5E" w:rsidRPr="004E51F7">
              <w:rPr>
                <w:color w:val="000000"/>
              </w:rPr>
              <w:t xml:space="preserve">14 838 x 85 % </w:t>
            </w:r>
            <w:r w:rsidRPr="004E51F7">
              <w:rPr>
                <w:color w:val="000000"/>
              </w:rPr>
              <w:t>=</w:t>
            </w:r>
            <w:r w:rsidR="00994A8D">
              <w:rPr>
                <w:color w:val="000000"/>
              </w:rPr>
              <w:t xml:space="preserve"> </w:t>
            </w:r>
            <w:r w:rsidRPr="004E51F7">
              <w:rPr>
                <w:color w:val="000000"/>
              </w:rPr>
              <w:t xml:space="preserve">12 612 bērni </w:t>
            </w:r>
          </w:p>
          <w:p w:rsidR="00C86F5E" w:rsidRPr="004E51F7" w:rsidRDefault="009E61BA" w:rsidP="00777C3C">
            <w:pPr>
              <w:pStyle w:val="naiskr"/>
              <w:spacing w:before="0" w:after="0"/>
              <w:jc w:val="both"/>
            </w:pPr>
            <w:r w:rsidRPr="004E51F7">
              <w:t>Turklāt i</w:t>
            </w:r>
            <w:r w:rsidR="00777C3C" w:rsidRPr="004E51F7">
              <w:t>evērojot</w:t>
            </w:r>
            <w:r w:rsidRPr="004E51F7">
              <w:t xml:space="preserve">, ka </w:t>
            </w:r>
            <w:r w:rsidR="00777C3C" w:rsidRPr="004E51F7">
              <w:t>vakcinācij</w:t>
            </w:r>
            <w:r w:rsidRPr="004E51F7">
              <w:t>a</w:t>
            </w:r>
            <w:r w:rsidR="00777C3C" w:rsidRPr="004E51F7">
              <w:t xml:space="preserve"> pret vējbakām </w:t>
            </w:r>
            <w:r w:rsidRPr="004E51F7">
              <w:t>tika uzsākta 2008.</w:t>
            </w:r>
            <w:r w:rsidR="005363EE">
              <w:t xml:space="preserve"> </w:t>
            </w:r>
            <w:r w:rsidRPr="004E51F7">
              <w:t xml:space="preserve">gadā, </w:t>
            </w:r>
            <w:r w:rsidR="00777C3C" w:rsidRPr="004E51F7">
              <w:t>2019.</w:t>
            </w:r>
            <w:r w:rsidR="005C5FD0">
              <w:t xml:space="preserve"> g</w:t>
            </w:r>
            <w:r w:rsidR="00777C3C" w:rsidRPr="004E51F7">
              <w:t>adā</w:t>
            </w:r>
            <w:r w:rsidR="005C5FD0">
              <w:t>,</w:t>
            </w:r>
            <w:r w:rsidR="00777C3C" w:rsidRPr="004E51F7">
              <w:t xml:space="preserve"> ieviešot </w:t>
            </w:r>
            <w:r w:rsidR="00381503">
              <w:t xml:space="preserve">vakcinācijas </w:t>
            </w:r>
            <w:r w:rsidR="00777C3C" w:rsidRPr="004E51F7">
              <w:t>2.</w:t>
            </w:r>
            <w:r w:rsidR="005C5FD0">
              <w:t xml:space="preserve"> </w:t>
            </w:r>
            <w:r w:rsidR="00381503">
              <w:t>devu</w:t>
            </w:r>
            <w:r w:rsidR="009D7248">
              <w:t>,</w:t>
            </w:r>
            <w:r w:rsidR="00777C3C" w:rsidRPr="004E51F7">
              <w:t xml:space="preserve"> </w:t>
            </w:r>
            <w:r w:rsidR="004F25FD">
              <w:t xml:space="preserve">tā </w:t>
            </w:r>
            <w:r w:rsidR="00777C3C" w:rsidRPr="004E51F7">
              <w:t xml:space="preserve">nepieciešama </w:t>
            </w:r>
            <w:r w:rsidR="0083775D" w:rsidRPr="004E51F7">
              <w:t xml:space="preserve">arī </w:t>
            </w:r>
            <w:r w:rsidR="00777C3C" w:rsidRPr="004E51F7">
              <w:t>bērn</w:t>
            </w:r>
            <w:r w:rsidR="004F25FD">
              <w:t>iem</w:t>
            </w:r>
            <w:r w:rsidR="00777C3C" w:rsidRPr="004E51F7">
              <w:t xml:space="preserve"> vecumā no 8 līdz 12 gadiem. Laika periodā no 2008. līdz 2012.</w:t>
            </w:r>
            <w:r w:rsidR="009D7248">
              <w:t xml:space="preserve"> </w:t>
            </w:r>
            <w:r w:rsidR="00777C3C" w:rsidRPr="004E51F7">
              <w:t xml:space="preserve">gadam saskaņā ar Slimību profilakses un kontroles centra datiem vakcinēti </w:t>
            </w:r>
            <w:r w:rsidR="0083775D" w:rsidRPr="004E51F7">
              <w:t>76 949 bērni</w:t>
            </w:r>
            <w:r w:rsidR="00C86F5E" w:rsidRPr="004E51F7">
              <w:t>.</w:t>
            </w:r>
            <w:r w:rsidR="00777C3C" w:rsidRPr="004E51F7">
              <w:t xml:space="preserve"> Ņemot vērā, ka daļa bērnu, kuri saņēmuši vakcīnas </w:t>
            </w:r>
            <w:r w:rsidR="00D92373">
              <w:t>1.</w:t>
            </w:r>
            <w:r w:rsidR="00777C3C" w:rsidRPr="004E51F7">
              <w:t xml:space="preserve"> devu, tomēr būs jau vējbakas izslimojuši, prognozējamā vakc</w:t>
            </w:r>
            <w:r w:rsidR="0083775D" w:rsidRPr="004E51F7">
              <w:t xml:space="preserve">īnas aptvere </w:t>
            </w:r>
            <w:r w:rsidR="002B68A7">
              <w:t>2.</w:t>
            </w:r>
            <w:r w:rsidR="0083775D" w:rsidRPr="004E51F7">
              <w:t xml:space="preserve"> devai ir 85</w:t>
            </w:r>
            <w:r w:rsidR="00777C3C" w:rsidRPr="004E51F7">
              <w:t xml:space="preserve"> % no </w:t>
            </w:r>
            <w:r w:rsidR="00C83109">
              <w:t>1.</w:t>
            </w:r>
            <w:r w:rsidR="00777C3C" w:rsidRPr="004E51F7">
              <w:t xml:space="preserve"> devu saņēmušo bērnu kopskaita. Līdz ar to vakcinējamo bērnu skaits </w:t>
            </w:r>
            <w:r w:rsidR="0083775D" w:rsidRPr="004E51F7">
              <w:t xml:space="preserve">ar </w:t>
            </w:r>
            <w:r w:rsidR="00C83109">
              <w:t>2.</w:t>
            </w:r>
            <w:r w:rsidR="0083775D" w:rsidRPr="004E51F7">
              <w:t xml:space="preserve"> devu</w:t>
            </w:r>
            <w:r w:rsidR="00777C3C" w:rsidRPr="004E51F7">
              <w:t xml:space="preserve"> 2019.</w:t>
            </w:r>
            <w:r w:rsidR="00C83109">
              <w:t xml:space="preserve"> </w:t>
            </w:r>
            <w:r w:rsidR="00777C3C" w:rsidRPr="004E51F7">
              <w:lastRenderedPageBreak/>
              <w:t>gadā</w:t>
            </w:r>
            <w:r w:rsidR="0083775D" w:rsidRPr="004E51F7">
              <w:t xml:space="preserve"> šajā bērnu grupā noteikts </w:t>
            </w:r>
            <w:r w:rsidR="00C86F5E" w:rsidRPr="004E51F7">
              <w:t xml:space="preserve">65 407 bērni. </w:t>
            </w:r>
          </w:p>
          <w:p w:rsidR="00777C3C" w:rsidRPr="004E51F7" w:rsidRDefault="00C86F5E" w:rsidP="00777C3C">
            <w:pPr>
              <w:pStyle w:val="naiskr"/>
              <w:spacing w:before="0" w:after="0"/>
              <w:jc w:val="both"/>
            </w:pPr>
            <w:r w:rsidRPr="004E51F7">
              <w:t>Aprēķins: 76 949 bērni x 85 % = 65</w:t>
            </w:r>
            <w:r w:rsidR="00C83109">
              <w:t xml:space="preserve"> </w:t>
            </w:r>
            <w:r w:rsidRPr="004E51F7">
              <w:t xml:space="preserve">407 bērni. </w:t>
            </w:r>
            <w:r w:rsidR="00777C3C" w:rsidRPr="004E51F7">
              <w:t xml:space="preserve"> </w:t>
            </w:r>
          </w:p>
          <w:p w:rsidR="00C86F5E" w:rsidRPr="004E51F7" w:rsidRDefault="00C86F5E" w:rsidP="00777C3C">
            <w:pPr>
              <w:pStyle w:val="naiskr"/>
              <w:spacing w:before="0" w:after="0"/>
              <w:jc w:val="both"/>
            </w:pPr>
            <w:r w:rsidRPr="004E51F7">
              <w:t xml:space="preserve">Attiecīgi kopējais </w:t>
            </w:r>
            <w:r w:rsidR="00BC102E" w:rsidRPr="00BC102E">
              <w:t>vējbaku 2. devas vakcinācijai</w:t>
            </w:r>
            <w:r w:rsidRPr="004E51F7">
              <w:t xml:space="preserve"> pakļauto bērnu skaits noteikts 78 019 bērni. </w:t>
            </w:r>
          </w:p>
          <w:p w:rsidR="00C86F5E" w:rsidRPr="004E51F7" w:rsidRDefault="00C86F5E" w:rsidP="00777C3C">
            <w:pPr>
              <w:pStyle w:val="naiskr"/>
              <w:spacing w:before="0" w:after="0"/>
              <w:jc w:val="both"/>
            </w:pPr>
            <w:r w:rsidRPr="004E51F7">
              <w:t>Aprēķins: 12 612 + 65</w:t>
            </w:r>
            <w:r w:rsidR="008A133E">
              <w:t> </w:t>
            </w:r>
            <w:r w:rsidRPr="004E51F7">
              <w:t>407</w:t>
            </w:r>
            <w:r w:rsidR="008A133E">
              <w:t xml:space="preserve"> </w:t>
            </w:r>
            <w:r w:rsidRPr="004E51F7">
              <w:t>= 78 019 bērni</w:t>
            </w:r>
          </w:p>
          <w:p w:rsidR="002616FC" w:rsidRPr="004E51F7" w:rsidRDefault="00777C3C" w:rsidP="00311CDA">
            <w:pPr>
              <w:pStyle w:val="naiskr"/>
              <w:spacing w:before="0" w:after="0"/>
              <w:jc w:val="both"/>
            </w:pPr>
            <w:r w:rsidRPr="004E51F7">
              <w:t xml:space="preserve">Saskaņā ar Nacionālā veselības dienesta </w:t>
            </w:r>
            <w:r w:rsidR="00E8648E" w:rsidRPr="004E51F7">
              <w:t>2015</w:t>
            </w:r>
            <w:r w:rsidRPr="004E51F7">
              <w:t>.</w:t>
            </w:r>
            <w:r w:rsidR="001E1FCE">
              <w:t xml:space="preserve"> </w:t>
            </w:r>
            <w:r w:rsidRPr="004E51F7">
              <w:t xml:space="preserve">gada vakcīnu iepirkuma rezultātiem </w:t>
            </w:r>
            <w:r w:rsidR="001E1FCE">
              <w:t>(2016.-</w:t>
            </w:r>
            <w:r w:rsidR="00E8648E" w:rsidRPr="004E51F7">
              <w:t>2017.</w:t>
            </w:r>
            <w:r w:rsidR="001E1FCE">
              <w:t xml:space="preserve"> </w:t>
            </w:r>
            <w:r w:rsidR="00E8648E" w:rsidRPr="004E51F7">
              <w:t>gads)</w:t>
            </w:r>
            <w:r w:rsidRPr="004E51F7">
              <w:t xml:space="preserve"> vējbak</w:t>
            </w:r>
            <w:r w:rsidR="0061003A">
              <w:t>u</w:t>
            </w:r>
            <w:r w:rsidRPr="004E51F7">
              <w:t xml:space="preserve"> 1.</w:t>
            </w:r>
            <w:r w:rsidR="003B2657">
              <w:t xml:space="preserve"> </w:t>
            </w:r>
            <w:r w:rsidRPr="004E51F7">
              <w:t xml:space="preserve">devas </w:t>
            </w:r>
            <w:r w:rsidR="009F630D">
              <w:t>vakcīnas</w:t>
            </w:r>
            <w:r w:rsidRPr="004E51F7">
              <w:t xml:space="preserve"> cena ir </w:t>
            </w:r>
            <w:r w:rsidR="0037454F" w:rsidRPr="004E51F7">
              <w:t>18,</w:t>
            </w:r>
            <w:r w:rsidR="00311CDA" w:rsidRPr="004E51F7">
              <w:t xml:space="preserve">34 </w:t>
            </w:r>
            <w:r w:rsidR="00311CDA" w:rsidRPr="003B2657">
              <w:rPr>
                <w:i/>
              </w:rPr>
              <w:t>euro</w:t>
            </w:r>
            <w:r w:rsidR="00311CDA" w:rsidRPr="004E51F7">
              <w:t xml:space="preserve"> bez PVN</w:t>
            </w:r>
            <w:r w:rsidRPr="004E51F7">
              <w:t>, pieņemot, ka vējbak</w:t>
            </w:r>
            <w:r w:rsidR="00485B77">
              <w:t>u</w:t>
            </w:r>
            <w:r w:rsidRPr="004E51F7">
              <w:t xml:space="preserve"> 2.</w:t>
            </w:r>
            <w:r w:rsidR="003B2657">
              <w:t xml:space="preserve"> </w:t>
            </w:r>
            <w:r w:rsidR="00485B77" w:rsidRPr="004E51F7">
              <w:t xml:space="preserve">devas </w:t>
            </w:r>
            <w:r w:rsidR="00485B77">
              <w:t>vakcīnas</w:t>
            </w:r>
            <w:r w:rsidRPr="004E51F7">
              <w:t xml:space="preserve"> c</w:t>
            </w:r>
            <w:r w:rsidR="002616FC" w:rsidRPr="004E51F7">
              <w:t>ena ir atbilstoša 1.</w:t>
            </w:r>
            <w:r w:rsidR="003B2657">
              <w:t xml:space="preserve"> </w:t>
            </w:r>
            <w:r w:rsidR="00485B77" w:rsidRPr="004E51F7">
              <w:t xml:space="preserve">devas </w:t>
            </w:r>
            <w:r w:rsidR="00485B77">
              <w:t>vakcīnas</w:t>
            </w:r>
            <w:r w:rsidR="002616FC" w:rsidRPr="004E51F7">
              <w:t xml:space="preserve"> cenai, vējbakas 2.</w:t>
            </w:r>
            <w:r w:rsidR="003B2657">
              <w:t xml:space="preserve"> </w:t>
            </w:r>
            <w:r w:rsidR="00AA0E51" w:rsidRPr="004E51F7">
              <w:t xml:space="preserve">devas </w:t>
            </w:r>
            <w:r w:rsidR="00AA0E51">
              <w:t>vakcīnas</w:t>
            </w:r>
            <w:r w:rsidR="002616FC" w:rsidRPr="004E51F7">
              <w:t xml:space="preserve"> cena</w:t>
            </w:r>
            <w:r w:rsidR="003B2657">
              <w:t>,</w:t>
            </w:r>
            <w:r w:rsidR="002616FC" w:rsidRPr="004E51F7">
              <w:t xml:space="preserve"> piemērojot šobrīd spēkā esošo PVN likmi 12 %</w:t>
            </w:r>
            <w:r w:rsidR="003B2657">
              <w:t>,</w:t>
            </w:r>
            <w:r w:rsidR="002616FC" w:rsidRPr="004E51F7">
              <w:t xml:space="preserve"> ir 20,54 </w:t>
            </w:r>
            <w:r w:rsidR="002616FC" w:rsidRPr="003B2657">
              <w:rPr>
                <w:i/>
              </w:rPr>
              <w:t>euro</w:t>
            </w:r>
            <w:r w:rsidR="002616FC" w:rsidRPr="004E51F7">
              <w:t xml:space="preserve">. </w:t>
            </w:r>
          </w:p>
          <w:p w:rsidR="003B2657" w:rsidRDefault="002616FC" w:rsidP="00311CDA">
            <w:pPr>
              <w:pStyle w:val="naiskr"/>
              <w:spacing w:before="0" w:after="0"/>
              <w:jc w:val="both"/>
            </w:pPr>
            <w:r w:rsidRPr="004E51F7">
              <w:t>Attiecīgi 2019.</w:t>
            </w:r>
            <w:r w:rsidR="003B2657">
              <w:t xml:space="preserve"> </w:t>
            </w:r>
            <w:r w:rsidRPr="004E51F7">
              <w:t>gad</w:t>
            </w:r>
            <w:r w:rsidR="00C86F5E" w:rsidRPr="004E51F7">
              <w:t xml:space="preserve">a ietekme ir </w:t>
            </w:r>
          </w:p>
          <w:p w:rsidR="002616FC" w:rsidRPr="004E51F7" w:rsidRDefault="00C86F5E" w:rsidP="00311CDA">
            <w:pPr>
              <w:pStyle w:val="naiskr"/>
              <w:spacing w:before="0" w:after="0"/>
              <w:jc w:val="both"/>
            </w:pPr>
            <w:r w:rsidRPr="004E51F7">
              <w:t xml:space="preserve">20,54 </w:t>
            </w:r>
            <w:r w:rsidRPr="003B2657">
              <w:rPr>
                <w:i/>
              </w:rPr>
              <w:t>euro</w:t>
            </w:r>
            <w:r w:rsidRPr="004E51F7">
              <w:t xml:space="preserve"> x 78 019</w:t>
            </w:r>
            <w:r w:rsidR="003B2657">
              <w:t xml:space="preserve"> bērni = </w:t>
            </w:r>
            <w:r w:rsidR="002616FC" w:rsidRPr="004E51F7">
              <w:t>1</w:t>
            </w:r>
            <w:r w:rsidRPr="004E51F7">
              <w:t> 602 510</w:t>
            </w:r>
            <w:r w:rsidR="002616FC" w:rsidRPr="004E51F7">
              <w:t xml:space="preserve"> </w:t>
            </w:r>
            <w:r w:rsidR="002616FC" w:rsidRPr="003B2657">
              <w:rPr>
                <w:i/>
              </w:rPr>
              <w:t>euro</w:t>
            </w:r>
            <w:r w:rsidR="002616FC" w:rsidRPr="004E51F7">
              <w:t xml:space="preserve">. </w:t>
            </w:r>
          </w:p>
          <w:p w:rsidR="002616FC" w:rsidRPr="00237834" w:rsidRDefault="002616FC" w:rsidP="00311CDA">
            <w:pPr>
              <w:pStyle w:val="naiskr"/>
              <w:spacing w:before="0" w:after="0"/>
              <w:jc w:val="both"/>
              <w:rPr>
                <w:sz w:val="20"/>
                <w:szCs w:val="20"/>
              </w:rPr>
            </w:pPr>
          </w:p>
          <w:p w:rsidR="002616FC" w:rsidRPr="004E51F7" w:rsidRDefault="002616FC" w:rsidP="00311CDA">
            <w:pPr>
              <w:pStyle w:val="naiskr"/>
              <w:spacing w:before="0" w:after="0"/>
              <w:jc w:val="both"/>
            </w:pPr>
            <w:r w:rsidRPr="004E51F7">
              <w:rPr>
                <w:u w:val="single"/>
              </w:rPr>
              <w:t>Ietekme uz 2020.</w:t>
            </w:r>
            <w:r w:rsidR="00AE0E5B">
              <w:rPr>
                <w:u w:val="single"/>
              </w:rPr>
              <w:t xml:space="preserve"> </w:t>
            </w:r>
            <w:r w:rsidRPr="004E51F7">
              <w:rPr>
                <w:u w:val="single"/>
              </w:rPr>
              <w:t>gadu:</w:t>
            </w:r>
          </w:p>
          <w:p w:rsidR="00E8648E" w:rsidRPr="004E51F7" w:rsidRDefault="00E8648E" w:rsidP="00E8648E">
            <w:pPr>
              <w:pStyle w:val="naiskr"/>
              <w:spacing w:before="0" w:after="0"/>
              <w:jc w:val="both"/>
            </w:pPr>
            <w:r w:rsidRPr="004E51F7">
              <w:t>2014.</w:t>
            </w:r>
            <w:r w:rsidR="00AE0E5B">
              <w:t xml:space="preserve"> </w:t>
            </w:r>
            <w:r w:rsidRPr="004E51F7">
              <w:t>gadā saskaņā ar Slimību profilakses un kontrole</w:t>
            </w:r>
            <w:r w:rsidR="00C86F5E" w:rsidRPr="004E51F7">
              <w:t>s centra datiem vakcinēti 17 198</w:t>
            </w:r>
            <w:r w:rsidRPr="004E51F7">
              <w:t xml:space="preserve"> bērni. </w:t>
            </w:r>
          </w:p>
          <w:p w:rsidR="00C86F5E" w:rsidRPr="004E51F7" w:rsidRDefault="00C86F5E" w:rsidP="00E8648E">
            <w:pPr>
              <w:pStyle w:val="naiskr"/>
              <w:spacing w:before="0" w:after="0"/>
              <w:jc w:val="both"/>
              <w:rPr>
                <w:color w:val="000000"/>
              </w:rPr>
            </w:pPr>
            <w:r w:rsidRPr="004E51F7">
              <w:rPr>
                <w:color w:val="000000"/>
              </w:rPr>
              <w:t>Prognozēts, ka no tiem līdz 7 gadu vecuma sasniegšanai vējbakas pārslimos 2 580 bērni, jo vakcīnas efektivitāte, vakcinējot ar vienu devu</w:t>
            </w:r>
            <w:r w:rsidR="00AE0E5B">
              <w:rPr>
                <w:color w:val="000000"/>
              </w:rPr>
              <w:t>,</w:t>
            </w:r>
            <w:r w:rsidRPr="004E51F7">
              <w:rPr>
                <w:color w:val="000000"/>
              </w:rPr>
              <w:t xml:space="preserve"> vidēji ir 85</w:t>
            </w:r>
            <w:r w:rsidR="00AE0E5B">
              <w:rPr>
                <w:color w:val="000000"/>
              </w:rPr>
              <w:t xml:space="preserve"> </w:t>
            </w:r>
            <w:r w:rsidRPr="004E51F7">
              <w:rPr>
                <w:color w:val="000000"/>
              </w:rPr>
              <w:t>%. Attiecīg</w:t>
            </w:r>
            <w:r w:rsidR="004E51F7" w:rsidRPr="004E51F7">
              <w:rPr>
                <w:color w:val="000000"/>
              </w:rPr>
              <w:t xml:space="preserve">i </w:t>
            </w:r>
            <w:r w:rsidR="007804D8" w:rsidRPr="004E51F7">
              <w:t>2.</w:t>
            </w:r>
            <w:r w:rsidR="007804D8">
              <w:t xml:space="preserve"> devas</w:t>
            </w:r>
            <w:r w:rsidR="007804D8" w:rsidRPr="004E51F7">
              <w:rPr>
                <w:color w:val="000000"/>
              </w:rPr>
              <w:t xml:space="preserve"> </w:t>
            </w:r>
            <w:r w:rsidR="007804D8">
              <w:t xml:space="preserve">vakcinācijai </w:t>
            </w:r>
            <w:r w:rsidR="004E51F7" w:rsidRPr="004E51F7">
              <w:rPr>
                <w:color w:val="000000"/>
              </w:rPr>
              <w:t>būs pakļauti 14 618</w:t>
            </w:r>
            <w:r w:rsidRPr="004E51F7">
              <w:rPr>
                <w:color w:val="000000"/>
              </w:rPr>
              <w:t xml:space="preserve"> bērni, kuri saņēmuši </w:t>
            </w:r>
            <w:r w:rsidR="00AE0E5B" w:rsidRPr="004E51F7">
              <w:rPr>
                <w:color w:val="000000"/>
              </w:rPr>
              <w:t>vējbak</w:t>
            </w:r>
            <w:r w:rsidR="00AE0E5B">
              <w:rPr>
                <w:color w:val="000000"/>
              </w:rPr>
              <w:t>u</w:t>
            </w:r>
            <w:r w:rsidR="00AE0E5B" w:rsidRPr="004E51F7">
              <w:rPr>
                <w:color w:val="000000"/>
              </w:rPr>
              <w:t xml:space="preserve"> </w:t>
            </w:r>
            <w:r w:rsidRPr="004E51F7">
              <w:rPr>
                <w:color w:val="000000"/>
              </w:rPr>
              <w:t>1.</w:t>
            </w:r>
            <w:r w:rsidR="00AE0E5B">
              <w:rPr>
                <w:color w:val="000000"/>
              </w:rPr>
              <w:t xml:space="preserve"> </w:t>
            </w:r>
            <w:r w:rsidR="007804D8">
              <w:rPr>
                <w:color w:val="000000"/>
              </w:rPr>
              <w:t>devu</w:t>
            </w:r>
            <w:r w:rsidRPr="004E51F7">
              <w:rPr>
                <w:color w:val="000000"/>
              </w:rPr>
              <w:t>.</w:t>
            </w:r>
          </w:p>
          <w:p w:rsidR="004E51F7" w:rsidRPr="004E51F7" w:rsidRDefault="004E51F7" w:rsidP="00E8648E">
            <w:pPr>
              <w:pStyle w:val="naiskr"/>
              <w:spacing w:before="0" w:after="0"/>
              <w:jc w:val="both"/>
            </w:pPr>
            <w:r w:rsidRPr="004E51F7">
              <w:rPr>
                <w:color w:val="000000"/>
              </w:rPr>
              <w:t>Aprēķins: 17 198 x 85 %</w:t>
            </w:r>
            <w:r w:rsidR="00A4548C">
              <w:rPr>
                <w:color w:val="000000"/>
              </w:rPr>
              <w:t xml:space="preserve"> </w:t>
            </w:r>
            <w:r w:rsidRPr="004E51F7">
              <w:rPr>
                <w:color w:val="000000"/>
              </w:rPr>
              <w:t>= 14 618 bērni</w:t>
            </w:r>
          </w:p>
          <w:p w:rsidR="005D4310" w:rsidRDefault="00E8648E" w:rsidP="00E8648E">
            <w:pPr>
              <w:pStyle w:val="naiskr"/>
              <w:spacing w:before="0" w:after="0"/>
              <w:jc w:val="both"/>
            </w:pPr>
            <w:r w:rsidRPr="004E51F7">
              <w:t>Attiecīgi</w:t>
            </w:r>
            <w:r w:rsidR="004E51F7" w:rsidRPr="004E51F7">
              <w:t xml:space="preserve"> 2020.</w:t>
            </w:r>
            <w:r w:rsidR="005D4310">
              <w:t xml:space="preserve"> </w:t>
            </w:r>
            <w:r w:rsidR="004E51F7" w:rsidRPr="004E51F7">
              <w:t xml:space="preserve">gada ietekme prognozējama </w:t>
            </w:r>
          </w:p>
          <w:p w:rsidR="00E8648E" w:rsidRPr="004E51F7" w:rsidRDefault="004E51F7" w:rsidP="00E8648E">
            <w:pPr>
              <w:pStyle w:val="naiskr"/>
              <w:spacing w:before="0" w:after="0"/>
              <w:jc w:val="both"/>
            </w:pPr>
            <w:r w:rsidRPr="004E51F7">
              <w:t xml:space="preserve">14 618 bērni x 20,54 </w:t>
            </w:r>
            <w:r w:rsidRPr="005D4310">
              <w:rPr>
                <w:i/>
              </w:rPr>
              <w:t>euro</w:t>
            </w:r>
            <w:r w:rsidRPr="004E51F7">
              <w:t xml:space="preserve"> = 300 254</w:t>
            </w:r>
            <w:r w:rsidR="00E8648E" w:rsidRPr="004E51F7">
              <w:t xml:space="preserve"> </w:t>
            </w:r>
            <w:r w:rsidR="00E8648E" w:rsidRPr="005D4310">
              <w:rPr>
                <w:i/>
              </w:rPr>
              <w:t>euro</w:t>
            </w:r>
          </w:p>
          <w:p w:rsidR="00E8648E" w:rsidRPr="00237834" w:rsidRDefault="00E8648E" w:rsidP="00E8648E">
            <w:pPr>
              <w:pStyle w:val="naiskr"/>
              <w:spacing w:before="0" w:after="0"/>
              <w:jc w:val="both"/>
              <w:rPr>
                <w:sz w:val="20"/>
                <w:szCs w:val="20"/>
              </w:rPr>
            </w:pPr>
          </w:p>
          <w:p w:rsidR="00E8648E" w:rsidRPr="004E51F7" w:rsidRDefault="00E8648E" w:rsidP="00E8648E">
            <w:pPr>
              <w:pStyle w:val="naiskr"/>
              <w:spacing w:before="0" w:after="0"/>
              <w:jc w:val="both"/>
            </w:pPr>
            <w:r w:rsidRPr="004E51F7">
              <w:rPr>
                <w:u w:val="single"/>
              </w:rPr>
              <w:t>Ietekme uz 2021.</w:t>
            </w:r>
            <w:r w:rsidR="007D43DE">
              <w:rPr>
                <w:u w:val="single"/>
              </w:rPr>
              <w:t xml:space="preserve"> </w:t>
            </w:r>
            <w:r w:rsidRPr="004E51F7">
              <w:rPr>
                <w:u w:val="single"/>
              </w:rPr>
              <w:t>gadu un turpmāk:</w:t>
            </w:r>
          </w:p>
          <w:p w:rsidR="00E8648E" w:rsidRPr="004E51F7" w:rsidRDefault="00E8648E" w:rsidP="00E8648E">
            <w:pPr>
              <w:pStyle w:val="naiskr"/>
              <w:spacing w:before="0" w:after="0"/>
              <w:jc w:val="both"/>
            </w:pPr>
            <w:r w:rsidRPr="004E51F7">
              <w:t>2015.</w:t>
            </w:r>
            <w:r w:rsidR="007D43DE">
              <w:t xml:space="preserve"> </w:t>
            </w:r>
            <w:r w:rsidRPr="004E51F7">
              <w:t>gadā saskaņā ar Slimību profilakses un kont</w:t>
            </w:r>
            <w:r w:rsidR="004E51F7" w:rsidRPr="004E51F7">
              <w:t>roles centra datiem vakcinēti 18 183</w:t>
            </w:r>
            <w:r w:rsidRPr="004E51F7">
              <w:t xml:space="preserve"> bērni. </w:t>
            </w:r>
          </w:p>
          <w:p w:rsidR="004E51F7" w:rsidRDefault="004E51F7" w:rsidP="00E8648E">
            <w:pPr>
              <w:pStyle w:val="naiskr"/>
              <w:spacing w:before="0" w:after="0"/>
              <w:jc w:val="both"/>
              <w:rPr>
                <w:color w:val="000000"/>
              </w:rPr>
            </w:pPr>
            <w:r w:rsidRPr="004E51F7">
              <w:rPr>
                <w:color w:val="000000"/>
              </w:rPr>
              <w:t>Prognozēts, ka no tiem līdz 7 gadu vecuma sasniegšanai vējbakas pārslimos 2 727 bērni, jo vakcīnas efektivitāte, vakcinējot ar vienu devu</w:t>
            </w:r>
            <w:r w:rsidR="00FE79DE">
              <w:rPr>
                <w:color w:val="000000"/>
              </w:rPr>
              <w:t>,</w:t>
            </w:r>
            <w:r w:rsidRPr="004E51F7">
              <w:rPr>
                <w:color w:val="000000"/>
              </w:rPr>
              <w:t xml:space="preserve"> vidēji ir 85%. Attiecīgi </w:t>
            </w:r>
            <w:r w:rsidR="00BF5EFE" w:rsidRPr="004E51F7">
              <w:t>2.</w:t>
            </w:r>
            <w:r w:rsidR="00BF5EFE">
              <w:t xml:space="preserve"> devas</w:t>
            </w:r>
            <w:r w:rsidR="00BF5EFE" w:rsidRPr="004E51F7">
              <w:rPr>
                <w:color w:val="000000"/>
              </w:rPr>
              <w:t xml:space="preserve"> </w:t>
            </w:r>
            <w:r w:rsidR="00BF5EFE">
              <w:t>vakcinācijai</w:t>
            </w:r>
            <w:r w:rsidRPr="004E51F7">
              <w:rPr>
                <w:color w:val="000000"/>
              </w:rPr>
              <w:t xml:space="preserve"> būs pakļauti 15 456 bērni, kuri saņēmuši </w:t>
            </w:r>
            <w:r w:rsidR="007D43DE" w:rsidRPr="004E51F7">
              <w:rPr>
                <w:color w:val="000000"/>
              </w:rPr>
              <w:t>vējbak</w:t>
            </w:r>
            <w:r w:rsidR="007D43DE">
              <w:rPr>
                <w:color w:val="000000"/>
              </w:rPr>
              <w:t>u</w:t>
            </w:r>
            <w:r w:rsidR="007D43DE" w:rsidRPr="004E51F7">
              <w:rPr>
                <w:color w:val="000000"/>
              </w:rPr>
              <w:t xml:space="preserve"> 1.</w:t>
            </w:r>
            <w:r w:rsidR="007D43DE">
              <w:rPr>
                <w:color w:val="000000"/>
              </w:rPr>
              <w:t xml:space="preserve"> </w:t>
            </w:r>
            <w:r w:rsidR="00BF5EFE">
              <w:rPr>
                <w:color w:val="000000"/>
              </w:rPr>
              <w:t>devu</w:t>
            </w:r>
            <w:r w:rsidRPr="004E51F7">
              <w:rPr>
                <w:color w:val="000000"/>
              </w:rPr>
              <w:t>.</w:t>
            </w:r>
          </w:p>
          <w:p w:rsidR="004E51F7" w:rsidRPr="004E51F7" w:rsidRDefault="004E51F7" w:rsidP="00E8648E">
            <w:pPr>
              <w:pStyle w:val="naiskr"/>
              <w:spacing w:before="0" w:after="0"/>
              <w:jc w:val="both"/>
            </w:pPr>
            <w:r>
              <w:rPr>
                <w:color w:val="000000"/>
              </w:rPr>
              <w:t>Aprēķins: 18 183 x 85 % = 15 456 bērni</w:t>
            </w:r>
          </w:p>
          <w:p w:rsidR="00587DAE" w:rsidRDefault="00E8648E" w:rsidP="00E8648E">
            <w:pPr>
              <w:pStyle w:val="naiskr"/>
              <w:spacing w:before="0" w:after="0"/>
              <w:jc w:val="both"/>
            </w:pPr>
            <w:r w:rsidRPr="004E51F7">
              <w:t>Attiecīgi 2021.</w:t>
            </w:r>
            <w:r w:rsidR="00587DAE">
              <w:t xml:space="preserve"> </w:t>
            </w:r>
            <w:r w:rsidRPr="004E51F7">
              <w:t>g</w:t>
            </w:r>
            <w:r w:rsidR="004E51F7" w:rsidRPr="004E51F7">
              <w:t xml:space="preserve">ada ietekme prognozējama </w:t>
            </w:r>
          </w:p>
          <w:p w:rsidR="00E8648E" w:rsidRPr="004E51F7" w:rsidRDefault="004E51F7" w:rsidP="00E8648E">
            <w:pPr>
              <w:pStyle w:val="naiskr"/>
              <w:spacing w:before="0" w:after="0"/>
              <w:jc w:val="both"/>
            </w:pPr>
            <w:r w:rsidRPr="004E51F7">
              <w:t xml:space="preserve">15 456 bērni x 20,54 </w:t>
            </w:r>
            <w:r w:rsidRPr="00587DAE">
              <w:rPr>
                <w:i/>
              </w:rPr>
              <w:t>euro</w:t>
            </w:r>
            <w:r w:rsidRPr="004E51F7">
              <w:t xml:space="preserve"> = 317 466</w:t>
            </w:r>
            <w:r w:rsidR="00E8648E" w:rsidRPr="004E51F7">
              <w:t xml:space="preserve"> </w:t>
            </w:r>
            <w:r w:rsidR="00E8648E" w:rsidRPr="00587DAE">
              <w:rPr>
                <w:i/>
              </w:rPr>
              <w:t>euro</w:t>
            </w:r>
          </w:p>
          <w:p w:rsidR="00D91B40" w:rsidRPr="004E51F7" w:rsidRDefault="00FC4285" w:rsidP="0037454F">
            <w:pPr>
              <w:pStyle w:val="naiskr"/>
              <w:spacing w:before="0" w:after="0"/>
              <w:jc w:val="both"/>
            </w:pPr>
            <w:r w:rsidRPr="004E51F7">
              <w:t>Papildus nepieciešamā finansējuma pieprasījums vakcinācijas pasākumu īstenošanai tiks iekļauts Veselības ministrijas jaunajās politikas iniciatīvās 2019.-2021.</w:t>
            </w:r>
            <w:r w:rsidR="000B66C2">
              <w:t xml:space="preserve"> </w:t>
            </w:r>
            <w:r w:rsidRPr="004E51F7">
              <w:t>gadam</w:t>
            </w:r>
            <w:r w:rsidR="00C67C86">
              <w:t>.</w:t>
            </w:r>
          </w:p>
        </w:tc>
      </w:tr>
      <w:tr w:rsidR="006C793F" w:rsidRPr="009A75D6" w:rsidTr="006C793F">
        <w:tc>
          <w:tcPr>
            <w:tcW w:w="2269" w:type="dxa"/>
            <w:hideMark/>
          </w:tcPr>
          <w:p w:rsidR="006C793F" w:rsidRPr="009A75D6" w:rsidRDefault="006C793F" w:rsidP="00F65F2C">
            <w:r w:rsidRPr="009A75D6">
              <w:t>6.1. detalizēts ieņēmumu aprēķins</w:t>
            </w:r>
          </w:p>
        </w:tc>
        <w:tc>
          <w:tcPr>
            <w:tcW w:w="6945" w:type="dxa"/>
            <w:gridSpan w:val="5"/>
            <w:vMerge/>
            <w:hideMark/>
          </w:tcPr>
          <w:p w:rsidR="006C793F" w:rsidRPr="004E51F7" w:rsidRDefault="006C793F" w:rsidP="00F65F2C"/>
        </w:tc>
      </w:tr>
      <w:tr w:rsidR="006C793F" w:rsidRPr="009A75D6" w:rsidTr="006C793F">
        <w:tc>
          <w:tcPr>
            <w:tcW w:w="2269" w:type="dxa"/>
            <w:hideMark/>
          </w:tcPr>
          <w:p w:rsidR="006C793F" w:rsidRPr="009A75D6" w:rsidRDefault="006C793F" w:rsidP="00F65F2C">
            <w:r w:rsidRPr="009A75D6">
              <w:t>6.2. detalizēts izdevumu aprēķins</w:t>
            </w:r>
          </w:p>
        </w:tc>
        <w:tc>
          <w:tcPr>
            <w:tcW w:w="6945" w:type="dxa"/>
            <w:gridSpan w:val="5"/>
            <w:vMerge/>
            <w:hideMark/>
          </w:tcPr>
          <w:p w:rsidR="006C793F" w:rsidRPr="004E51F7" w:rsidRDefault="006C793F" w:rsidP="00F65F2C"/>
        </w:tc>
      </w:tr>
      <w:tr w:rsidR="006C793F" w:rsidRPr="009A75D6" w:rsidTr="006C793F">
        <w:trPr>
          <w:trHeight w:val="555"/>
        </w:trPr>
        <w:tc>
          <w:tcPr>
            <w:tcW w:w="2269" w:type="dxa"/>
            <w:hideMark/>
          </w:tcPr>
          <w:p w:rsidR="006C793F" w:rsidRPr="009A75D6" w:rsidRDefault="006C793F" w:rsidP="00F65F2C">
            <w:r w:rsidRPr="009A75D6">
              <w:lastRenderedPageBreak/>
              <w:t>7. Cita informācija</w:t>
            </w:r>
          </w:p>
        </w:tc>
        <w:tc>
          <w:tcPr>
            <w:tcW w:w="6945" w:type="dxa"/>
            <w:gridSpan w:val="5"/>
            <w:hideMark/>
          </w:tcPr>
          <w:p w:rsidR="00EB0CA7" w:rsidRPr="004E51F7" w:rsidRDefault="00FC4285" w:rsidP="00873961">
            <w:pPr>
              <w:spacing w:before="40" w:after="40"/>
              <w:jc w:val="both"/>
            </w:pPr>
            <w:r w:rsidRPr="004E51F7">
              <w:t>Jautājums par papildu valsts budžeta līdzekļu piešķiršanu 2019.</w:t>
            </w:r>
            <w:r w:rsidR="009F1C61">
              <w:t xml:space="preserve"> </w:t>
            </w:r>
            <w:r w:rsidRPr="004E51F7">
              <w:t>gadā un turpmākajos gados bērnu vakcinācijai pret vējbakām (2.</w:t>
            </w:r>
            <w:r w:rsidR="009F1C61">
              <w:t xml:space="preserve"> </w:t>
            </w:r>
            <w:r w:rsidR="00186ADA">
              <w:t>deva</w:t>
            </w:r>
            <w:r w:rsidRPr="004E51F7">
              <w:t>) skatāms M</w:t>
            </w:r>
            <w:r w:rsidR="00873961">
              <w:t>inistru kabineta</w:t>
            </w:r>
            <w:r w:rsidRPr="004E51F7">
              <w:t xml:space="preserve"> kārtējā gada valsts budžeta likumprojekta un atbilstošā vidēja termiņa budžeta ietvara likumprojekta sagatavošanas un izskatīšanas procesā kopā ar visu ministriju un centrālo valsts iestāžu priekšlikumiem jaunajām politikas iniciatīvām un iesniegtajiem papildu finansējuma pieprasījumiem atbilstoši valsts budžeta finansiālajām iespējām</w:t>
            </w:r>
            <w:r w:rsidR="00B924D8">
              <w:t>.</w:t>
            </w:r>
          </w:p>
        </w:tc>
      </w:tr>
    </w:tbl>
    <w:p w:rsidR="00224822" w:rsidRPr="00237834" w:rsidRDefault="00224822" w:rsidP="004451EA">
      <w:pPr>
        <w:rPr>
          <w:sz w:val="20"/>
          <w:szCs w:val="20"/>
        </w:rPr>
      </w:pPr>
    </w:p>
    <w:tbl>
      <w:tblPr>
        <w:tblStyle w:val="TableGrid"/>
        <w:tblW w:w="5000" w:type="pct"/>
        <w:tblLook w:val="04A0"/>
      </w:tblPr>
      <w:tblGrid>
        <w:gridCol w:w="464"/>
        <w:gridCol w:w="2786"/>
        <w:gridCol w:w="6037"/>
      </w:tblGrid>
      <w:tr w:rsidR="006414CC" w:rsidRPr="009A75D6" w:rsidTr="00C8222D">
        <w:trPr>
          <w:trHeight w:val="246"/>
        </w:trPr>
        <w:tc>
          <w:tcPr>
            <w:tcW w:w="0" w:type="auto"/>
            <w:gridSpan w:val="3"/>
            <w:hideMark/>
          </w:tcPr>
          <w:p w:rsidR="006414CC" w:rsidRPr="009A75D6" w:rsidRDefault="006414CC" w:rsidP="006414CC">
            <w:pPr>
              <w:pStyle w:val="tvhtml"/>
              <w:spacing w:line="293" w:lineRule="atLeast"/>
              <w:jc w:val="center"/>
              <w:rPr>
                <w:b/>
                <w:bCs/>
                <w:lang w:val="lv-LV"/>
              </w:rPr>
            </w:pPr>
            <w:r w:rsidRPr="009A75D6">
              <w:rPr>
                <w:b/>
                <w:bCs/>
                <w:lang w:val="lv-LV"/>
              </w:rPr>
              <w:t>VI. Sabiedrības līdzdalība un komunikācijas aktivitātes</w:t>
            </w:r>
          </w:p>
        </w:tc>
      </w:tr>
      <w:tr w:rsidR="006414CC" w:rsidRPr="009A75D6" w:rsidTr="006414CC">
        <w:trPr>
          <w:trHeight w:val="540"/>
        </w:trPr>
        <w:tc>
          <w:tcPr>
            <w:tcW w:w="250" w:type="pct"/>
            <w:hideMark/>
          </w:tcPr>
          <w:p w:rsidR="006414CC" w:rsidRPr="009A75D6" w:rsidRDefault="006414CC" w:rsidP="006414CC">
            <w:r w:rsidRPr="009A75D6">
              <w:t>1.</w:t>
            </w:r>
          </w:p>
        </w:tc>
        <w:tc>
          <w:tcPr>
            <w:tcW w:w="1500" w:type="pct"/>
            <w:hideMark/>
          </w:tcPr>
          <w:p w:rsidR="006414CC" w:rsidRPr="009A75D6" w:rsidRDefault="006414CC" w:rsidP="006414CC">
            <w:r w:rsidRPr="009A75D6">
              <w:t>Plānotās sabiedrības līdzdalības un komunikācijas aktivitātes saistībā ar projektu</w:t>
            </w:r>
          </w:p>
        </w:tc>
        <w:tc>
          <w:tcPr>
            <w:tcW w:w="3250" w:type="pct"/>
            <w:hideMark/>
          </w:tcPr>
          <w:p w:rsidR="00C16BC9" w:rsidRDefault="00C16BC9" w:rsidP="00450B32">
            <w:pPr>
              <w:jc w:val="both"/>
            </w:pPr>
            <w:r w:rsidRPr="00450B32">
              <w:t xml:space="preserve">Informācija par publisko apspriešanu un lūgums sniegt viedokli par projektu </w:t>
            </w:r>
            <w:r w:rsidR="00267C80">
              <w:t xml:space="preserve">tika </w:t>
            </w:r>
            <w:r w:rsidRPr="00450B32">
              <w:t>nosūtīti</w:t>
            </w:r>
            <w:r>
              <w:t xml:space="preserve"> </w:t>
            </w:r>
            <w:r w:rsidR="00450B32">
              <w:t xml:space="preserve">Latvijas Ārstu biedrībai, Latvijas Bērnu infektologu biedrībai, Latvijas Ģimenes ārstu asociācijai, Latvijas Lauku ģimenes ārstu asociācijai, </w:t>
            </w:r>
            <w:r w:rsidR="00450B32">
              <w:lastRenderedPageBreak/>
              <w:t>Latvijas Pediatru asociācijai.</w:t>
            </w:r>
          </w:p>
          <w:p w:rsidR="00050C2E" w:rsidRDefault="00050C2E" w:rsidP="00050C2E">
            <w:pPr>
              <w:jc w:val="both"/>
            </w:pPr>
            <w:r w:rsidRPr="00050C2E">
              <w:t>Tiesību akta projekts pirms izsludināšanas Valsts sekretāru sanāksmē 201</w:t>
            </w:r>
            <w:r>
              <w:t>6</w:t>
            </w:r>
            <w:r w:rsidRPr="00050C2E">
              <w:t xml:space="preserve">. gada </w:t>
            </w:r>
            <w:r>
              <w:t>20</w:t>
            </w:r>
            <w:r w:rsidRPr="00050C2E">
              <w:t xml:space="preserve">. </w:t>
            </w:r>
            <w:r>
              <w:t>septembrī</w:t>
            </w:r>
            <w:r w:rsidRPr="00050C2E">
              <w:t xml:space="preserve"> tika publicēts Veselības ministrijas tīmekļa vietnē, sadaļā "Aktualitātes" → "Sabiedrības līdzdalība" → "Publiskā apspriešana", tādējādi informējot sabiedrību par projekta izstrādi.</w:t>
            </w:r>
          </w:p>
          <w:p w:rsidR="00BE297C" w:rsidRDefault="00BE297C" w:rsidP="00050C2E">
            <w:pPr>
              <w:jc w:val="both"/>
            </w:pPr>
            <w:r w:rsidRPr="00BE297C">
              <w:t xml:space="preserve">Komentāru iesniegšanas termiņš tika noteikts 2016. gada </w:t>
            </w:r>
            <w:r>
              <w:t>20</w:t>
            </w:r>
            <w:r w:rsidRPr="00BE297C">
              <w:t xml:space="preserve">. </w:t>
            </w:r>
            <w:r>
              <w:t>oktobris</w:t>
            </w:r>
            <w:r w:rsidRPr="00BE297C">
              <w:t>.</w:t>
            </w:r>
          </w:p>
          <w:p w:rsidR="00BE297C" w:rsidRDefault="00131E08" w:rsidP="00050C2E">
            <w:pPr>
              <w:jc w:val="both"/>
            </w:pPr>
            <w:r w:rsidRPr="00BE297C">
              <w:t>Veselības ministrijas tīmekļa vietnē</w:t>
            </w:r>
            <w:r>
              <w:t xml:space="preserve"> </w:t>
            </w:r>
            <w:r w:rsidRPr="00BE297C">
              <w:t xml:space="preserve">2016. gada </w:t>
            </w:r>
            <w:r>
              <w:t>27</w:t>
            </w:r>
            <w:r w:rsidRPr="00BE297C">
              <w:t xml:space="preserve">. </w:t>
            </w:r>
            <w:r>
              <w:t>oktobrī</w:t>
            </w:r>
            <w:r w:rsidRPr="00BE297C">
              <w:t xml:space="preserve"> </w:t>
            </w:r>
            <w:r>
              <w:t>t</w:t>
            </w:r>
            <w:r w:rsidR="00BE297C" w:rsidRPr="00BE297C">
              <w:t xml:space="preserve">ika </w:t>
            </w:r>
            <w:r>
              <w:t>publicēta preses relīze.</w:t>
            </w:r>
            <w:r w:rsidR="009C13AC">
              <w:t xml:space="preserve"> Informācija par plānoto grozījumu bija publicēta arī internetvietnēs.</w:t>
            </w:r>
            <w:r>
              <w:t xml:space="preserve"> </w:t>
            </w:r>
          </w:p>
          <w:p w:rsidR="008F4390" w:rsidRDefault="008F4390" w:rsidP="00050C2E">
            <w:pPr>
              <w:jc w:val="both"/>
            </w:pPr>
            <w:r w:rsidRPr="008F4390">
              <w:t>Slimību profilakses un kontroles centrs informēs visus savus epidemiologus par izmaiņām normatīvajā aktā.</w:t>
            </w:r>
          </w:p>
          <w:p w:rsidR="00050C2E" w:rsidRPr="00450B32" w:rsidRDefault="00050C2E" w:rsidP="00050C2E">
            <w:pPr>
              <w:jc w:val="both"/>
            </w:pPr>
            <w:r w:rsidRPr="00050C2E">
              <w:t>Pēc tiesību akta projekta pieņemšanas nav plānots organizēt citus sabiedrības informēšanas pasākumus.</w:t>
            </w:r>
          </w:p>
        </w:tc>
      </w:tr>
      <w:tr w:rsidR="001F342B" w:rsidRPr="009A75D6" w:rsidTr="006414CC">
        <w:trPr>
          <w:trHeight w:val="330"/>
        </w:trPr>
        <w:tc>
          <w:tcPr>
            <w:tcW w:w="250" w:type="pct"/>
            <w:hideMark/>
          </w:tcPr>
          <w:p w:rsidR="001F342B" w:rsidRPr="009A75D6" w:rsidRDefault="001F342B" w:rsidP="006414CC">
            <w:r w:rsidRPr="009A75D6">
              <w:lastRenderedPageBreak/>
              <w:t>2.</w:t>
            </w:r>
          </w:p>
        </w:tc>
        <w:tc>
          <w:tcPr>
            <w:tcW w:w="1500" w:type="pct"/>
            <w:hideMark/>
          </w:tcPr>
          <w:p w:rsidR="001F342B" w:rsidRPr="009A75D6" w:rsidRDefault="001F342B" w:rsidP="006414CC">
            <w:r w:rsidRPr="009A75D6">
              <w:t>Sabiedrības līdzdalība projekta izstrādē</w:t>
            </w:r>
          </w:p>
        </w:tc>
        <w:tc>
          <w:tcPr>
            <w:tcW w:w="3250" w:type="pct"/>
            <w:hideMark/>
          </w:tcPr>
          <w:p w:rsidR="001F342B" w:rsidRPr="009A75D6" w:rsidRDefault="00FF12AA" w:rsidP="0088687A">
            <w:pPr>
              <w:pStyle w:val="naiskr"/>
              <w:spacing w:before="20" w:after="20"/>
              <w:jc w:val="both"/>
            </w:pPr>
            <w:r w:rsidRPr="00FF12AA">
              <w:t>Konsultācijas ar sabiedrības pārstāvjiem nav notikušas.</w:t>
            </w:r>
          </w:p>
        </w:tc>
      </w:tr>
      <w:tr w:rsidR="006414CC" w:rsidRPr="009A75D6" w:rsidTr="006414CC">
        <w:trPr>
          <w:trHeight w:val="465"/>
        </w:trPr>
        <w:tc>
          <w:tcPr>
            <w:tcW w:w="250" w:type="pct"/>
            <w:hideMark/>
          </w:tcPr>
          <w:p w:rsidR="006414CC" w:rsidRPr="009A75D6" w:rsidRDefault="006414CC" w:rsidP="006414CC">
            <w:r w:rsidRPr="009A75D6">
              <w:t>3.</w:t>
            </w:r>
          </w:p>
        </w:tc>
        <w:tc>
          <w:tcPr>
            <w:tcW w:w="1500" w:type="pct"/>
            <w:hideMark/>
          </w:tcPr>
          <w:p w:rsidR="006414CC" w:rsidRPr="009A75D6" w:rsidRDefault="006414CC" w:rsidP="006414CC">
            <w:r w:rsidRPr="009A75D6">
              <w:t>Sabiedrības līdzdalības rezultāti</w:t>
            </w:r>
          </w:p>
        </w:tc>
        <w:tc>
          <w:tcPr>
            <w:tcW w:w="3250" w:type="pct"/>
            <w:hideMark/>
          </w:tcPr>
          <w:p w:rsidR="00E532F6" w:rsidRDefault="00E532F6" w:rsidP="000A47D9">
            <w:pPr>
              <w:pStyle w:val="naiskr"/>
              <w:spacing w:before="20" w:after="20"/>
              <w:jc w:val="both"/>
            </w:pPr>
            <w:r w:rsidRPr="00E532F6">
              <w:t xml:space="preserve">Latvijas Ģimenes ārstu asociācija </w:t>
            </w:r>
            <w:r>
              <w:t>20.10.2016. ir</w:t>
            </w:r>
            <w:proofErr w:type="gramStart"/>
            <w:r>
              <w:t xml:space="preserve"> informējusi Veselības ministriju</w:t>
            </w:r>
            <w:proofErr w:type="gramEnd"/>
            <w:r>
              <w:t xml:space="preserve">, ka tā </w:t>
            </w:r>
            <w:r w:rsidRPr="00050C2E">
              <w:t>"</w:t>
            </w:r>
            <w:r>
              <w:t>neiebilst</w:t>
            </w:r>
            <w:r w:rsidR="00080517">
              <w:t>,</w:t>
            </w:r>
            <w:r>
              <w:t xml:space="preserve"> </w:t>
            </w:r>
            <w:r w:rsidRPr="00E532F6">
              <w:t>ka vakcinācija pret vējbakām septiņus gadus veciem bērniem (2. deva) tiek atlikta par 2 gadiem</w:t>
            </w:r>
            <w:r w:rsidRPr="00050C2E">
              <w:t>"</w:t>
            </w:r>
            <w:r w:rsidRPr="00E532F6">
              <w:t xml:space="preserve">. </w:t>
            </w:r>
          </w:p>
          <w:p w:rsidR="006414CC" w:rsidRPr="009A75D6" w:rsidRDefault="00E532F6" w:rsidP="000A47D9">
            <w:pPr>
              <w:pStyle w:val="naiskr"/>
              <w:spacing w:before="20" w:after="20"/>
              <w:jc w:val="both"/>
            </w:pPr>
            <w:r>
              <w:t>Citi s</w:t>
            </w:r>
            <w:r w:rsidR="003152A7" w:rsidRPr="003152A7">
              <w:t xml:space="preserve">abiedrības </w:t>
            </w:r>
            <w:r w:rsidR="00323097">
              <w:t xml:space="preserve">un nevalstisko organizāciju </w:t>
            </w:r>
            <w:r w:rsidR="003152A7" w:rsidRPr="003152A7">
              <w:t>iebildumi, viedokļi vai priekšlikumi par minēto tiesību akta projektu nav saņemti.</w:t>
            </w:r>
          </w:p>
        </w:tc>
      </w:tr>
      <w:tr w:rsidR="006414CC" w:rsidRPr="009A75D6" w:rsidTr="00B924D8">
        <w:trPr>
          <w:trHeight w:val="305"/>
        </w:trPr>
        <w:tc>
          <w:tcPr>
            <w:tcW w:w="250" w:type="pct"/>
            <w:hideMark/>
          </w:tcPr>
          <w:p w:rsidR="006414CC" w:rsidRPr="009A75D6" w:rsidRDefault="006414CC" w:rsidP="006414CC">
            <w:r w:rsidRPr="009A75D6">
              <w:t>4.</w:t>
            </w:r>
          </w:p>
        </w:tc>
        <w:tc>
          <w:tcPr>
            <w:tcW w:w="1500" w:type="pct"/>
            <w:hideMark/>
          </w:tcPr>
          <w:p w:rsidR="006414CC" w:rsidRPr="009A75D6" w:rsidRDefault="006414CC" w:rsidP="006414CC">
            <w:r w:rsidRPr="009A75D6">
              <w:t>Cita informācija</w:t>
            </w:r>
          </w:p>
        </w:tc>
        <w:tc>
          <w:tcPr>
            <w:tcW w:w="3250" w:type="pct"/>
            <w:hideMark/>
          </w:tcPr>
          <w:p w:rsidR="00D164F6" w:rsidRPr="009A75D6" w:rsidRDefault="001108CA" w:rsidP="00D164F6">
            <w:pPr>
              <w:jc w:val="both"/>
            </w:pPr>
            <w:r w:rsidRPr="001108CA">
              <w:t>Nav</w:t>
            </w:r>
          </w:p>
        </w:tc>
      </w:tr>
    </w:tbl>
    <w:p w:rsidR="00C6758B" w:rsidRPr="00237834" w:rsidRDefault="00C6758B" w:rsidP="009A75D6">
      <w:pPr>
        <w:pStyle w:val="naisf"/>
        <w:spacing w:before="0" w:after="0"/>
        <w:ind w:firstLine="289"/>
        <w:jc w:val="center"/>
        <w:rPr>
          <w:sz w:val="20"/>
          <w:szCs w:val="20"/>
        </w:rPr>
      </w:pPr>
    </w:p>
    <w:tbl>
      <w:tblPr>
        <w:tblStyle w:val="TableGrid"/>
        <w:tblW w:w="5000" w:type="pct"/>
        <w:tblLook w:val="04A0"/>
      </w:tblPr>
      <w:tblGrid>
        <w:gridCol w:w="464"/>
        <w:gridCol w:w="3529"/>
        <w:gridCol w:w="5294"/>
      </w:tblGrid>
      <w:tr w:rsidR="00C6758B" w:rsidRPr="009A75D6" w:rsidTr="00610063">
        <w:trPr>
          <w:trHeight w:val="375"/>
        </w:trPr>
        <w:tc>
          <w:tcPr>
            <w:tcW w:w="0" w:type="auto"/>
            <w:gridSpan w:val="3"/>
            <w:hideMark/>
          </w:tcPr>
          <w:p w:rsidR="00C6758B" w:rsidRPr="009A75D6" w:rsidRDefault="00C6758B">
            <w:pPr>
              <w:pStyle w:val="tvhtml"/>
              <w:spacing w:line="293" w:lineRule="atLeast"/>
              <w:jc w:val="center"/>
              <w:rPr>
                <w:b/>
                <w:bCs/>
                <w:lang w:val="lv-LV"/>
              </w:rPr>
            </w:pPr>
            <w:r w:rsidRPr="009A75D6">
              <w:rPr>
                <w:b/>
                <w:bCs/>
                <w:lang w:val="lv-LV"/>
              </w:rPr>
              <w:t>VII. Tiesību akta projekta izpildes nodrošināšana un tās ietekme uz institūcijām</w:t>
            </w:r>
          </w:p>
        </w:tc>
      </w:tr>
      <w:tr w:rsidR="00C6758B" w:rsidRPr="009A75D6" w:rsidTr="00610063">
        <w:trPr>
          <w:trHeight w:val="420"/>
        </w:trPr>
        <w:tc>
          <w:tcPr>
            <w:tcW w:w="250" w:type="pct"/>
            <w:hideMark/>
          </w:tcPr>
          <w:p w:rsidR="00C6758B" w:rsidRPr="009A75D6" w:rsidRDefault="00C6758B">
            <w:r w:rsidRPr="009A75D6">
              <w:t>1.</w:t>
            </w:r>
          </w:p>
        </w:tc>
        <w:tc>
          <w:tcPr>
            <w:tcW w:w="1900" w:type="pct"/>
            <w:hideMark/>
          </w:tcPr>
          <w:p w:rsidR="00C6758B" w:rsidRPr="009A75D6" w:rsidRDefault="00C6758B">
            <w:r w:rsidRPr="009A75D6">
              <w:t>Projekta izpildē iesaistītās institūcijas</w:t>
            </w:r>
          </w:p>
        </w:tc>
        <w:tc>
          <w:tcPr>
            <w:tcW w:w="2850" w:type="pct"/>
            <w:hideMark/>
          </w:tcPr>
          <w:p w:rsidR="00B43610" w:rsidRDefault="00B43610" w:rsidP="00EB6139">
            <w:pPr>
              <w:jc w:val="both"/>
            </w:pPr>
            <w:r w:rsidRPr="009A75D6">
              <w:t xml:space="preserve">Slimību </w:t>
            </w:r>
            <w:r>
              <w:t>profilakses un kontroles centrs</w:t>
            </w:r>
            <w:r w:rsidRPr="009A75D6">
              <w:t xml:space="preserve"> </w:t>
            </w:r>
          </w:p>
          <w:p w:rsidR="00C6758B" w:rsidRPr="009A75D6" w:rsidRDefault="00EB6139" w:rsidP="00EB6139">
            <w:pPr>
              <w:jc w:val="both"/>
            </w:pPr>
            <w:r w:rsidRPr="009A75D6">
              <w:t xml:space="preserve">Nacionālais veselības dienests </w:t>
            </w:r>
          </w:p>
        </w:tc>
      </w:tr>
      <w:tr w:rsidR="00B07564" w:rsidRPr="009A75D6" w:rsidTr="00610063">
        <w:trPr>
          <w:trHeight w:val="450"/>
        </w:trPr>
        <w:tc>
          <w:tcPr>
            <w:tcW w:w="250" w:type="pct"/>
            <w:hideMark/>
          </w:tcPr>
          <w:p w:rsidR="00B07564" w:rsidRPr="009A75D6" w:rsidRDefault="00B07564">
            <w:r w:rsidRPr="009A75D6">
              <w:t>2.</w:t>
            </w:r>
          </w:p>
        </w:tc>
        <w:tc>
          <w:tcPr>
            <w:tcW w:w="1900" w:type="pct"/>
            <w:hideMark/>
          </w:tcPr>
          <w:p w:rsidR="00B07564" w:rsidRPr="009A75D6" w:rsidRDefault="00B07564" w:rsidP="00F47742">
            <w:r w:rsidRPr="009A75D6">
              <w:t>Projekta izpildes ietekme uz pārvaldes funkcijām un institucionālo struktūru.</w:t>
            </w:r>
          </w:p>
          <w:p w:rsidR="00B07564" w:rsidRPr="009A75D6" w:rsidRDefault="00B07564" w:rsidP="00F47742">
            <w:pPr>
              <w:pStyle w:val="tvhtml"/>
              <w:spacing w:before="0" w:beforeAutospacing="0" w:after="0" w:afterAutospacing="0"/>
              <w:rPr>
                <w:lang w:val="lv-LV"/>
              </w:rPr>
            </w:pPr>
            <w:r w:rsidRPr="009A75D6">
              <w:rPr>
                <w:lang w:val="lv-LV"/>
              </w:rPr>
              <w:t>Jaunu institūciju izveide, esošu institūciju likvidācija vai reorganizācija, to ietekme uz institūcijas cilvēkresursiem</w:t>
            </w:r>
          </w:p>
        </w:tc>
        <w:tc>
          <w:tcPr>
            <w:tcW w:w="2850" w:type="pct"/>
            <w:hideMark/>
          </w:tcPr>
          <w:p w:rsidR="00B07564" w:rsidRPr="009A75D6" w:rsidRDefault="002068A5" w:rsidP="00F65F2C">
            <w:pPr>
              <w:jc w:val="both"/>
            </w:pPr>
            <w:r w:rsidRPr="002068A5">
              <w:t>Projekts šo jomu neskar</w:t>
            </w:r>
          </w:p>
        </w:tc>
      </w:tr>
      <w:tr w:rsidR="00C6758B" w:rsidRPr="009A75D6" w:rsidTr="00610063">
        <w:trPr>
          <w:trHeight w:val="390"/>
        </w:trPr>
        <w:tc>
          <w:tcPr>
            <w:tcW w:w="250" w:type="pct"/>
            <w:hideMark/>
          </w:tcPr>
          <w:p w:rsidR="00C6758B" w:rsidRPr="009A75D6" w:rsidRDefault="00C6758B" w:rsidP="00F47742">
            <w:r w:rsidRPr="009A75D6">
              <w:t>3.</w:t>
            </w:r>
          </w:p>
        </w:tc>
        <w:tc>
          <w:tcPr>
            <w:tcW w:w="1900" w:type="pct"/>
            <w:hideMark/>
          </w:tcPr>
          <w:p w:rsidR="00C6758B" w:rsidRPr="009A75D6" w:rsidRDefault="00C6758B" w:rsidP="00F47742">
            <w:r w:rsidRPr="009A75D6">
              <w:t>Cita informācija</w:t>
            </w:r>
          </w:p>
        </w:tc>
        <w:tc>
          <w:tcPr>
            <w:tcW w:w="2850" w:type="pct"/>
            <w:hideMark/>
          </w:tcPr>
          <w:p w:rsidR="00C6758B" w:rsidRPr="009A75D6" w:rsidRDefault="008F588F" w:rsidP="00F47742">
            <w:pPr>
              <w:pStyle w:val="tvhtml"/>
              <w:spacing w:before="0" w:beforeAutospacing="0" w:after="0" w:afterAutospacing="0"/>
              <w:rPr>
                <w:lang w:val="lv-LV"/>
              </w:rPr>
            </w:pPr>
            <w:r w:rsidRPr="009A75D6">
              <w:rPr>
                <w:lang w:val="lv-LV"/>
              </w:rPr>
              <w:t>Nav</w:t>
            </w:r>
          </w:p>
        </w:tc>
      </w:tr>
    </w:tbl>
    <w:p w:rsidR="004451EA" w:rsidRPr="00237834" w:rsidRDefault="004451EA" w:rsidP="004451EA">
      <w:pPr>
        <w:jc w:val="both"/>
        <w:rPr>
          <w:b/>
          <w:sz w:val="20"/>
          <w:szCs w:val="20"/>
        </w:rPr>
      </w:pPr>
    </w:p>
    <w:p w:rsidR="004451EA" w:rsidRPr="004451EA" w:rsidRDefault="004451EA" w:rsidP="004451EA">
      <w:pPr>
        <w:jc w:val="both"/>
        <w:rPr>
          <w:sz w:val="28"/>
          <w:szCs w:val="28"/>
        </w:rPr>
      </w:pPr>
      <w:r>
        <w:rPr>
          <w:sz w:val="28"/>
          <w:szCs w:val="28"/>
        </w:rPr>
        <w:t>Anotācijas IV un</w:t>
      </w:r>
      <w:r w:rsidRPr="004451EA">
        <w:rPr>
          <w:sz w:val="28"/>
          <w:szCs w:val="28"/>
        </w:rPr>
        <w:t xml:space="preserve"> V sadaļa – projekts š</w:t>
      </w:r>
      <w:r>
        <w:rPr>
          <w:sz w:val="28"/>
          <w:szCs w:val="28"/>
        </w:rPr>
        <w:t>īs</w:t>
      </w:r>
      <w:r w:rsidRPr="004451EA">
        <w:rPr>
          <w:sz w:val="28"/>
          <w:szCs w:val="28"/>
        </w:rPr>
        <w:t xml:space="preserve"> jom</w:t>
      </w:r>
      <w:r>
        <w:rPr>
          <w:sz w:val="28"/>
          <w:szCs w:val="28"/>
        </w:rPr>
        <w:t>as</w:t>
      </w:r>
      <w:r w:rsidRPr="004451EA">
        <w:rPr>
          <w:sz w:val="28"/>
          <w:szCs w:val="28"/>
        </w:rPr>
        <w:t xml:space="preserve"> neskar.</w:t>
      </w:r>
    </w:p>
    <w:p w:rsidR="00103BAD" w:rsidRPr="00AA22A6" w:rsidRDefault="00103BAD" w:rsidP="00A57857">
      <w:pPr>
        <w:jc w:val="both"/>
        <w:rPr>
          <w:b/>
          <w:sz w:val="48"/>
          <w:szCs w:val="48"/>
        </w:rPr>
      </w:pPr>
    </w:p>
    <w:p w:rsidR="00696F26" w:rsidRDefault="00696F26" w:rsidP="00E43842">
      <w:pPr>
        <w:tabs>
          <w:tab w:val="left" w:pos="7230"/>
        </w:tabs>
        <w:ind w:right="-1"/>
        <w:rPr>
          <w:rFonts w:eastAsia="Calibri"/>
          <w:sz w:val="28"/>
          <w:szCs w:val="28"/>
          <w:lang w:eastAsia="en-US"/>
        </w:rPr>
      </w:pPr>
      <w:r w:rsidRPr="00696F26">
        <w:rPr>
          <w:rFonts w:eastAsia="Calibri"/>
          <w:sz w:val="28"/>
          <w:szCs w:val="28"/>
          <w:lang w:eastAsia="en-US"/>
        </w:rPr>
        <w:t>Veselības ministre</w:t>
      </w:r>
      <w:r w:rsidRPr="00696F26">
        <w:rPr>
          <w:rFonts w:eastAsia="Calibri"/>
          <w:sz w:val="28"/>
          <w:szCs w:val="28"/>
          <w:lang w:eastAsia="en-US"/>
        </w:rPr>
        <w:tab/>
      </w:r>
      <w:r w:rsidR="00E43842">
        <w:rPr>
          <w:rFonts w:eastAsia="Calibri"/>
          <w:sz w:val="28"/>
          <w:szCs w:val="28"/>
          <w:lang w:eastAsia="en-US"/>
        </w:rPr>
        <w:t xml:space="preserve">      Anda Čakša</w:t>
      </w:r>
    </w:p>
    <w:p w:rsidR="00E43842" w:rsidRDefault="00E43842" w:rsidP="00E43842">
      <w:pPr>
        <w:tabs>
          <w:tab w:val="left" w:pos="7230"/>
        </w:tabs>
        <w:ind w:right="-1"/>
        <w:rPr>
          <w:rFonts w:eastAsia="Calibri"/>
          <w:sz w:val="28"/>
          <w:szCs w:val="28"/>
          <w:lang w:eastAsia="en-US"/>
        </w:rPr>
      </w:pPr>
    </w:p>
    <w:p w:rsidR="00E43842" w:rsidRPr="00696F26" w:rsidRDefault="00E43842" w:rsidP="00E43842">
      <w:pPr>
        <w:tabs>
          <w:tab w:val="left" w:pos="7230"/>
        </w:tabs>
        <w:ind w:right="-1"/>
        <w:rPr>
          <w:rFonts w:eastAsia="Calibri"/>
          <w:sz w:val="28"/>
          <w:szCs w:val="28"/>
          <w:lang w:eastAsia="en-US"/>
        </w:rPr>
      </w:pPr>
    </w:p>
    <w:p w:rsidR="00696F26" w:rsidRPr="00696F26" w:rsidRDefault="00696F26" w:rsidP="00E43842">
      <w:pPr>
        <w:tabs>
          <w:tab w:val="right" w:pos="9072"/>
        </w:tabs>
        <w:ind w:right="-1"/>
        <w:rPr>
          <w:rFonts w:eastAsia="Calibri"/>
          <w:sz w:val="28"/>
          <w:szCs w:val="28"/>
          <w:lang w:eastAsia="en-US"/>
        </w:rPr>
      </w:pPr>
      <w:r w:rsidRPr="00696F26">
        <w:rPr>
          <w:rFonts w:eastAsia="Calibri"/>
          <w:sz w:val="28"/>
          <w:szCs w:val="28"/>
          <w:lang w:eastAsia="en-US"/>
        </w:rPr>
        <w:t>Vīza: Valsts</w:t>
      </w:r>
      <w:r w:rsidR="00E43842">
        <w:rPr>
          <w:rFonts w:eastAsia="Calibri"/>
          <w:sz w:val="28"/>
          <w:szCs w:val="28"/>
          <w:lang w:eastAsia="en-US"/>
        </w:rPr>
        <w:t xml:space="preserve"> sekretārs</w:t>
      </w:r>
      <w:r w:rsidR="00E43842">
        <w:rPr>
          <w:rFonts w:eastAsia="Calibri"/>
          <w:sz w:val="28"/>
          <w:szCs w:val="28"/>
          <w:lang w:eastAsia="en-US"/>
        </w:rPr>
        <w:tab/>
        <w:t>Kārlis Ketners</w:t>
      </w:r>
    </w:p>
    <w:p w:rsidR="00237834" w:rsidRDefault="00237834" w:rsidP="00397D48">
      <w:pPr>
        <w:jc w:val="both"/>
      </w:pPr>
    </w:p>
    <w:p w:rsidR="00237834" w:rsidRDefault="00237834" w:rsidP="00397D48">
      <w:pPr>
        <w:jc w:val="both"/>
      </w:pPr>
    </w:p>
    <w:p w:rsidR="00397D48" w:rsidRPr="00B65BA1" w:rsidRDefault="00397D48" w:rsidP="00397D48">
      <w:pPr>
        <w:jc w:val="both"/>
      </w:pPr>
      <w:r w:rsidRPr="00B65BA1">
        <w:t>Liepiņa</w:t>
      </w:r>
      <w:r w:rsidR="003A5681" w:rsidRPr="00B65BA1">
        <w:t xml:space="preserve">, </w:t>
      </w:r>
      <w:r w:rsidRPr="00B65BA1">
        <w:t>67876080</w:t>
      </w:r>
    </w:p>
    <w:p w:rsidR="00397D48" w:rsidRPr="00B65BA1" w:rsidRDefault="00397D48" w:rsidP="00760AD6">
      <w:r w:rsidRPr="00B65BA1">
        <w:t>Inga.Liepina@vm.gov.lv</w:t>
      </w:r>
    </w:p>
    <w:sectPr w:rsidR="00397D48" w:rsidRPr="00B65BA1" w:rsidSect="00696F26">
      <w:headerReference w:type="even" r:id="rId9"/>
      <w:headerReference w:type="default" r:id="rId10"/>
      <w:footerReference w:type="default" r:id="rId11"/>
      <w:footerReference w:type="first" r:id="rId12"/>
      <w:pgSz w:w="11906" w:h="16838"/>
      <w:pgMar w:top="1418" w:right="1134" w:bottom="1134" w:left="1701"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C53" w:rsidRDefault="005D7C53">
      <w:r>
        <w:separator/>
      </w:r>
    </w:p>
  </w:endnote>
  <w:endnote w:type="continuationSeparator" w:id="0">
    <w:p w:rsidR="005D7C53" w:rsidRDefault="005D7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53" w:rsidRPr="00696F26" w:rsidRDefault="0033273E" w:rsidP="00A5658D">
    <w:pPr>
      <w:pStyle w:val="Footer"/>
      <w:jc w:val="both"/>
      <w:rPr>
        <w:sz w:val="20"/>
        <w:szCs w:val="20"/>
      </w:rPr>
    </w:pPr>
    <w:r>
      <w:rPr>
        <w:sz w:val="20"/>
        <w:szCs w:val="20"/>
      </w:rPr>
      <w:t>VManot_</w:t>
    </w:r>
    <w:r w:rsidR="00A901BB">
      <w:rPr>
        <w:sz w:val="20"/>
        <w:szCs w:val="20"/>
      </w:rPr>
      <w:t>30</w:t>
    </w:r>
    <w:r w:rsidR="0078545A">
      <w:rPr>
        <w:sz w:val="20"/>
        <w:szCs w:val="20"/>
      </w:rPr>
      <w:t>11</w:t>
    </w:r>
    <w:r w:rsidR="005D7C53" w:rsidRPr="00696F26">
      <w:rPr>
        <w:sz w:val="20"/>
        <w:szCs w:val="20"/>
      </w:rPr>
      <w:t>16_vejbakas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53" w:rsidRPr="00696F26" w:rsidRDefault="0033273E" w:rsidP="003F3CED">
    <w:pPr>
      <w:jc w:val="both"/>
      <w:rPr>
        <w:b/>
        <w:bCs/>
        <w:sz w:val="20"/>
        <w:szCs w:val="20"/>
      </w:rPr>
    </w:pPr>
    <w:r>
      <w:rPr>
        <w:sz w:val="20"/>
        <w:szCs w:val="20"/>
      </w:rPr>
      <w:t>VManot_</w:t>
    </w:r>
    <w:r w:rsidR="00A901BB">
      <w:rPr>
        <w:sz w:val="20"/>
        <w:szCs w:val="20"/>
      </w:rPr>
      <w:t>30</w:t>
    </w:r>
    <w:r w:rsidR="0078545A">
      <w:rPr>
        <w:sz w:val="20"/>
        <w:szCs w:val="20"/>
      </w:rPr>
      <w:t>11</w:t>
    </w:r>
    <w:r w:rsidR="005D7C53" w:rsidRPr="00696F26">
      <w:rPr>
        <w:sz w:val="20"/>
        <w:szCs w:val="20"/>
      </w:rPr>
      <w:t>16_vejbakas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C53" w:rsidRDefault="005D7C53">
      <w:r>
        <w:separator/>
      </w:r>
    </w:p>
  </w:footnote>
  <w:footnote w:type="continuationSeparator" w:id="0">
    <w:p w:rsidR="005D7C53" w:rsidRDefault="005D7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53" w:rsidRDefault="007E2958" w:rsidP="007F59CB">
    <w:pPr>
      <w:pStyle w:val="Header"/>
      <w:framePr w:wrap="around" w:vAnchor="text" w:hAnchor="margin" w:xAlign="center" w:y="1"/>
      <w:rPr>
        <w:rStyle w:val="PageNumber"/>
      </w:rPr>
    </w:pPr>
    <w:r>
      <w:rPr>
        <w:rStyle w:val="PageNumber"/>
      </w:rPr>
      <w:fldChar w:fldCharType="begin"/>
    </w:r>
    <w:r w:rsidR="005D7C53">
      <w:rPr>
        <w:rStyle w:val="PageNumber"/>
      </w:rPr>
      <w:instrText xml:space="preserve">PAGE  </w:instrText>
    </w:r>
    <w:r>
      <w:rPr>
        <w:rStyle w:val="PageNumber"/>
      </w:rPr>
      <w:fldChar w:fldCharType="end"/>
    </w:r>
  </w:p>
  <w:p w:rsidR="005D7C53" w:rsidRDefault="005D7C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53" w:rsidRDefault="007E2958" w:rsidP="007F59CB">
    <w:pPr>
      <w:pStyle w:val="Header"/>
      <w:framePr w:wrap="around" w:vAnchor="text" w:hAnchor="margin" w:xAlign="center" w:y="1"/>
      <w:rPr>
        <w:rStyle w:val="PageNumber"/>
      </w:rPr>
    </w:pPr>
    <w:r>
      <w:rPr>
        <w:rStyle w:val="PageNumber"/>
      </w:rPr>
      <w:fldChar w:fldCharType="begin"/>
    </w:r>
    <w:r w:rsidR="005D7C53">
      <w:rPr>
        <w:rStyle w:val="PageNumber"/>
      </w:rPr>
      <w:instrText xml:space="preserve">PAGE  </w:instrText>
    </w:r>
    <w:r>
      <w:rPr>
        <w:rStyle w:val="PageNumber"/>
      </w:rPr>
      <w:fldChar w:fldCharType="separate"/>
    </w:r>
    <w:r w:rsidR="00A901BB">
      <w:rPr>
        <w:rStyle w:val="PageNumber"/>
        <w:noProof/>
      </w:rPr>
      <w:t>8</w:t>
    </w:r>
    <w:r>
      <w:rPr>
        <w:rStyle w:val="PageNumber"/>
      </w:rPr>
      <w:fldChar w:fldCharType="end"/>
    </w:r>
  </w:p>
  <w:p w:rsidR="005D7C53" w:rsidRDefault="005D7C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175647"/>
    <w:multiLevelType w:val="hybridMultilevel"/>
    <w:tmpl w:val="0CD826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3252E22"/>
    <w:multiLevelType w:val="hybridMultilevel"/>
    <w:tmpl w:val="3342BF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3E57356"/>
    <w:multiLevelType w:val="hybridMultilevel"/>
    <w:tmpl w:val="C24C5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7">
    <w:nsid w:val="1C4118B4"/>
    <w:multiLevelType w:val="hybridMultilevel"/>
    <w:tmpl w:val="47589044"/>
    <w:lvl w:ilvl="0" w:tplc="C3F4F78C">
      <w:start w:val="1"/>
      <w:numFmt w:val="decimal"/>
      <w:lvlText w:val="%1)"/>
      <w:lvlJc w:val="left"/>
      <w:pPr>
        <w:ind w:left="420" w:hanging="4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1F7868"/>
    <w:multiLevelType w:val="hybridMultilevel"/>
    <w:tmpl w:val="6CB27810"/>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nsid w:val="36615DBF"/>
    <w:multiLevelType w:val="hybridMultilevel"/>
    <w:tmpl w:val="49E67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42340D09"/>
    <w:multiLevelType w:val="hybridMultilevel"/>
    <w:tmpl w:val="966C1386"/>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15">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E396B81"/>
    <w:multiLevelType w:val="hybridMultilevel"/>
    <w:tmpl w:val="3D6CDD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3A45335"/>
    <w:multiLevelType w:val="hybridMultilevel"/>
    <w:tmpl w:val="CAA49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AC55BA8"/>
    <w:multiLevelType w:val="hybridMultilevel"/>
    <w:tmpl w:val="FAE6E1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75661E78"/>
    <w:multiLevelType w:val="hybridMultilevel"/>
    <w:tmpl w:val="1A1CEE2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6"/>
  </w:num>
  <w:num w:numId="2">
    <w:abstractNumId w:val="1"/>
  </w:num>
  <w:num w:numId="3">
    <w:abstractNumId w:val="10"/>
  </w:num>
  <w:num w:numId="4">
    <w:abstractNumId w:val="15"/>
  </w:num>
  <w:num w:numId="5">
    <w:abstractNumId w:val="12"/>
  </w:num>
  <w:num w:numId="6">
    <w:abstractNumId w:val="2"/>
  </w:num>
  <w:num w:numId="7">
    <w:abstractNumId w:val="0"/>
  </w:num>
  <w:num w:numId="8">
    <w:abstractNumId w:val="8"/>
  </w:num>
  <w:num w:numId="9">
    <w:abstractNumId w:val="16"/>
  </w:num>
  <w:num w:numId="10">
    <w:abstractNumId w:val="14"/>
  </w:num>
  <w:num w:numId="11">
    <w:abstractNumId w:val="18"/>
  </w:num>
  <w:num w:numId="12">
    <w:abstractNumId w:val="9"/>
  </w:num>
  <w:num w:numId="13">
    <w:abstractNumId w:val="13"/>
  </w:num>
  <w:num w:numId="14">
    <w:abstractNumId w:val="7"/>
  </w:num>
  <w:num w:numId="15">
    <w:abstractNumId w:val="4"/>
  </w:num>
  <w:num w:numId="16">
    <w:abstractNumId w:val="3"/>
  </w:num>
  <w:num w:numId="17">
    <w:abstractNumId w:val="11"/>
  </w:num>
  <w:num w:numId="18">
    <w:abstractNumId w:val="19"/>
  </w:num>
  <w:num w:numId="19">
    <w:abstractNumId w:val="17"/>
  </w:num>
  <w:num w:numId="20">
    <w:abstractNumId w:val="2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75B7F"/>
    <w:rsid w:val="000006FC"/>
    <w:rsid w:val="00000B90"/>
    <w:rsid w:val="000054A6"/>
    <w:rsid w:val="00005E00"/>
    <w:rsid w:val="000064E6"/>
    <w:rsid w:val="000077EC"/>
    <w:rsid w:val="00010AA2"/>
    <w:rsid w:val="00013BC0"/>
    <w:rsid w:val="00014D4E"/>
    <w:rsid w:val="00015225"/>
    <w:rsid w:val="00015E9A"/>
    <w:rsid w:val="00017128"/>
    <w:rsid w:val="000172AF"/>
    <w:rsid w:val="00017779"/>
    <w:rsid w:val="00017959"/>
    <w:rsid w:val="00017DE6"/>
    <w:rsid w:val="00021155"/>
    <w:rsid w:val="00021498"/>
    <w:rsid w:val="00022B5C"/>
    <w:rsid w:val="00023494"/>
    <w:rsid w:val="00024052"/>
    <w:rsid w:val="000245E5"/>
    <w:rsid w:val="0002488F"/>
    <w:rsid w:val="00025276"/>
    <w:rsid w:val="000254FA"/>
    <w:rsid w:val="0002566D"/>
    <w:rsid w:val="000257F5"/>
    <w:rsid w:val="0002692D"/>
    <w:rsid w:val="00026EED"/>
    <w:rsid w:val="00030077"/>
    <w:rsid w:val="00030ABB"/>
    <w:rsid w:val="00031C78"/>
    <w:rsid w:val="00034357"/>
    <w:rsid w:val="0003601F"/>
    <w:rsid w:val="000364E3"/>
    <w:rsid w:val="00036B5F"/>
    <w:rsid w:val="00037BA3"/>
    <w:rsid w:val="00040228"/>
    <w:rsid w:val="0004028B"/>
    <w:rsid w:val="00040615"/>
    <w:rsid w:val="00040CE9"/>
    <w:rsid w:val="00041927"/>
    <w:rsid w:val="000421DD"/>
    <w:rsid w:val="00042A82"/>
    <w:rsid w:val="00042B6F"/>
    <w:rsid w:val="00042F1E"/>
    <w:rsid w:val="00043575"/>
    <w:rsid w:val="00043E3D"/>
    <w:rsid w:val="00043E73"/>
    <w:rsid w:val="00044798"/>
    <w:rsid w:val="00044887"/>
    <w:rsid w:val="000454A3"/>
    <w:rsid w:val="0004569F"/>
    <w:rsid w:val="000465BB"/>
    <w:rsid w:val="00046A57"/>
    <w:rsid w:val="00047099"/>
    <w:rsid w:val="000471FC"/>
    <w:rsid w:val="00047A79"/>
    <w:rsid w:val="00047DFA"/>
    <w:rsid w:val="00050C2E"/>
    <w:rsid w:val="00051921"/>
    <w:rsid w:val="00051941"/>
    <w:rsid w:val="00052FDA"/>
    <w:rsid w:val="000531FA"/>
    <w:rsid w:val="0005376A"/>
    <w:rsid w:val="00054FE6"/>
    <w:rsid w:val="000561E6"/>
    <w:rsid w:val="00056CC7"/>
    <w:rsid w:val="00056DA0"/>
    <w:rsid w:val="00057022"/>
    <w:rsid w:val="000578B3"/>
    <w:rsid w:val="000579D6"/>
    <w:rsid w:val="0006191D"/>
    <w:rsid w:val="00062790"/>
    <w:rsid w:val="00062A71"/>
    <w:rsid w:val="0006510A"/>
    <w:rsid w:val="00066540"/>
    <w:rsid w:val="000669D1"/>
    <w:rsid w:val="00066F08"/>
    <w:rsid w:val="00066FF0"/>
    <w:rsid w:val="00067F4B"/>
    <w:rsid w:val="000703C6"/>
    <w:rsid w:val="000712CF"/>
    <w:rsid w:val="00071E53"/>
    <w:rsid w:val="000720EE"/>
    <w:rsid w:val="00072418"/>
    <w:rsid w:val="00072E71"/>
    <w:rsid w:val="00073583"/>
    <w:rsid w:val="00074CEC"/>
    <w:rsid w:val="00075D0A"/>
    <w:rsid w:val="00076197"/>
    <w:rsid w:val="0007701E"/>
    <w:rsid w:val="000772A4"/>
    <w:rsid w:val="00080517"/>
    <w:rsid w:val="00080AD4"/>
    <w:rsid w:val="00080D62"/>
    <w:rsid w:val="00084498"/>
    <w:rsid w:val="00084AA7"/>
    <w:rsid w:val="00084D87"/>
    <w:rsid w:val="00084FA0"/>
    <w:rsid w:val="00085EF8"/>
    <w:rsid w:val="00087590"/>
    <w:rsid w:val="0009188F"/>
    <w:rsid w:val="00091CA4"/>
    <w:rsid w:val="000931A6"/>
    <w:rsid w:val="0009377B"/>
    <w:rsid w:val="00093DD1"/>
    <w:rsid w:val="000949EE"/>
    <w:rsid w:val="00094C35"/>
    <w:rsid w:val="00095181"/>
    <w:rsid w:val="00096122"/>
    <w:rsid w:val="000964E2"/>
    <w:rsid w:val="00097DDA"/>
    <w:rsid w:val="000A0639"/>
    <w:rsid w:val="000A0B6C"/>
    <w:rsid w:val="000A2527"/>
    <w:rsid w:val="000A2896"/>
    <w:rsid w:val="000A3489"/>
    <w:rsid w:val="000A397C"/>
    <w:rsid w:val="000A47D9"/>
    <w:rsid w:val="000A5439"/>
    <w:rsid w:val="000A74F0"/>
    <w:rsid w:val="000B0DEF"/>
    <w:rsid w:val="000B251A"/>
    <w:rsid w:val="000B2728"/>
    <w:rsid w:val="000B276A"/>
    <w:rsid w:val="000B282B"/>
    <w:rsid w:val="000B406A"/>
    <w:rsid w:val="000B4158"/>
    <w:rsid w:val="000B448C"/>
    <w:rsid w:val="000B4933"/>
    <w:rsid w:val="000B4CB6"/>
    <w:rsid w:val="000B56BD"/>
    <w:rsid w:val="000B5E3F"/>
    <w:rsid w:val="000B6076"/>
    <w:rsid w:val="000B66C2"/>
    <w:rsid w:val="000B6B05"/>
    <w:rsid w:val="000B7202"/>
    <w:rsid w:val="000B7CAF"/>
    <w:rsid w:val="000C053E"/>
    <w:rsid w:val="000C11B5"/>
    <w:rsid w:val="000C1905"/>
    <w:rsid w:val="000C1E13"/>
    <w:rsid w:val="000C22B5"/>
    <w:rsid w:val="000C240E"/>
    <w:rsid w:val="000C310F"/>
    <w:rsid w:val="000C328D"/>
    <w:rsid w:val="000C3832"/>
    <w:rsid w:val="000C451A"/>
    <w:rsid w:val="000C585E"/>
    <w:rsid w:val="000C673A"/>
    <w:rsid w:val="000C68EE"/>
    <w:rsid w:val="000C75C7"/>
    <w:rsid w:val="000D1533"/>
    <w:rsid w:val="000D3C27"/>
    <w:rsid w:val="000D453D"/>
    <w:rsid w:val="000D571E"/>
    <w:rsid w:val="000D5A8D"/>
    <w:rsid w:val="000D6A14"/>
    <w:rsid w:val="000D7B0B"/>
    <w:rsid w:val="000E1211"/>
    <w:rsid w:val="000E1B51"/>
    <w:rsid w:val="000E1D84"/>
    <w:rsid w:val="000E2594"/>
    <w:rsid w:val="000E2B82"/>
    <w:rsid w:val="000E3509"/>
    <w:rsid w:val="000E35C5"/>
    <w:rsid w:val="000E4031"/>
    <w:rsid w:val="000E496B"/>
    <w:rsid w:val="000E54C9"/>
    <w:rsid w:val="000E56FB"/>
    <w:rsid w:val="000E5786"/>
    <w:rsid w:val="000E578B"/>
    <w:rsid w:val="000E5F1B"/>
    <w:rsid w:val="000E791A"/>
    <w:rsid w:val="000E7BA2"/>
    <w:rsid w:val="000E7C9C"/>
    <w:rsid w:val="000F10E4"/>
    <w:rsid w:val="000F1251"/>
    <w:rsid w:val="000F1597"/>
    <w:rsid w:val="000F1C29"/>
    <w:rsid w:val="000F36B7"/>
    <w:rsid w:val="000F485F"/>
    <w:rsid w:val="000F4B70"/>
    <w:rsid w:val="000F5A27"/>
    <w:rsid w:val="000F7CE7"/>
    <w:rsid w:val="00100CF6"/>
    <w:rsid w:val="0010175D"/>
    <w:rsid w:val="00101A0B"/>
    <w:rsid w:val="001037F2"/>
    <w:rsid w:val="00103BAD"/>
    <w:rsid w:val="00105E7A"/>
    <w:rsid w:val="0010612C"/>
    <w:rsid w:val="00106466"/>
    <w:rsid w:val="001108CA"/>
    <w:rsid w:val="00110B1F"/>
    <w:rsid w:val="00111051"/>
    <w:rsid w:val="00111C1F"/>
    <w:rsid w:val="001125FF"/>
    <w:rsid w:val="00112974"/>
    <w:rsid w:val="00113901"/>
    <w:rsid w:val="00113AD1"/>
    <w:rsid w:val="001143DC"/>
    <w:rsid w:val="00117242"/>
    <w:rsid w:val="00117784"/>
    <w:rsid w:val="001206A3"/>
    <w:rsid w:val="00121ECB"/>
    <w:rsid w:val="00122A9A"/>
    <w:rsid w:val="00124123"/>
    <w:rsid w:val="001241B5"/>
    <w:rsid w:val="00124AC1"/>
    <w:rsid w:val="00124C1B"/>
    <w:rsid w:val="00125729"/>
    <w:rsid w:val="00125AC0"/>
    <w:rsid w:val="00125F12"/>
    <w:rsid w:val="0012632B"/>
    <w:rsid w:val="00126523"/>
    <w:rsid w:val="001265EB"/>
    <w:rsid w:val="00126F81"/>
    <w:rsid w:val="00127428"/>
    <w:rsid w:val="0012760C"/>
    <w:rsid w:val="00127E24"/>
    <w:rsid w:val="00127FE7"/>
    <w:rsid w:val="00130647"/>
    <w:rsid w:val="00130C3E"/>
    <w:rsid w:val="001311F7"/>
    <w:rsid w:val="001317E1"/>
    <w:rsid w:val="001318E7"/>
    <w:rsid w:val="00131E08"/>
    <w:rsid w:val="00132202"/>
    <w:rsid w:val="001335AB"/>
    <w:rsid w:val="00133C8B"/>
    <w:rsid w:val="00134A9E"/>
    <w:rsid w:val="00134FFA"/>
    <w:rsid w:val="0013554A"/>
    <w:rsid w:val="001355E0"/>
    <w:rsid w:val="00135BFC"/>
    <w:rsid w:val="00136D08"/>
    <w:rsid w:val="00136F9C"/>
    <w:rsid w:val="00136FF0"/>
    <w:rsid w:val="0013734C"/>
    <w:rsid w:val="00137967"/>
    <w:rsid w:val="001407B7"/>
    <w:rsid w:val="00140B90"/>
    <w:rsid w:val="00141ACB"/>
    <w:rsid w:val="00141AD1"/>
    <w:rsid w:val="00142699"/>
    <w:rsid w:val="00142A20"/>
    <w:rsid w:val="00143CFC"/>
    <w:rsid w:val="0014456A"/>
    <w:rsid w:val="00145E28"/>
    <w:rsid w:val="00150B5C"/>
    <w:rsid w:val="00150C73"/>
    <w:rsid w:val="00150E39"/>
    <w:rsid w:val="001534B5"/>
    <w:rsid w:val="00153B21"/>
    <w:rsid w:val="001545FA"/>
    <w:rsid w:val="0015777E"/>
    <w:rsid w:val="001605F2"/>
    <w:rsid w:val="00160811"/>
    <w:rsid w:val="0016196C"/>
    <w:rsid w:val="0016278C"/>
    <w:rsid w:val="00162E38"/>
    <w:rsid w:val="00163018"/>
    <w:rsid w:val="001640EA"/>
    <w:rsid w:val="0016429B"/>
    <w:rsid w:val="001656C8"/>
    <w:rsid w:val="001672CB"/>
    <w:rsid w:val="00167ABD"/>
    <w:rsid w:val="0017162A"/>
    <w:rsid w:val="0017468D"/>
    <w:rsid w:val="00177324"/>
    <w:rsid w:val="001778C2"/>
    <w:rsid w:val="00177DB9"/>
    <w:rsid w:val="001802CB"/>
    <w:rsid w:val="001802EA"/>
    <w:rsid w:val="00180364"/>
    <w:rsid w:val="00182307"/>
    <w:rsid w:val="00186ADA"/>
    <w:rsid w:val="00186BCC"/>
    <w:rsid w:val="00186EAF"/>
    <w:rsid w:val="001875E2"/>
    <w:rsid w:val="001878FB"/>
    <w:rsid w:val="001912FA"/>
    <w:rsid w:val="001913DD"/>
    <w:rsid w:val="001919EB"/>
    <w:rsid w:val="00193E23"/>
    <w:rsid w:val="00194515"/>
    <w:rsid w:val="00194ACB"/>
    <w:rsid w:val="00194D38"/>
    <w:rsid w:val="001959DD"/>
    <w:rsid w:val="00195BED"/>
    <w:rsid w:val="001975CE"/>
    <w:rsid w:val="001A118D"/>
    <w:rsid w:val="001A1BCD"/>
    <w:rsid w:val="001A1DB8"/>
    <w:rsid w:val="001A314B"/>
    <w:rsid w:val="001A3169"/>
    <w:rsid w:val="001A3170"/>
    <w:rsid w:val="001A3E13"/>
    <w:rsid w:val="001A46E3"/>
    <w:rsid w:val="001A54C4"/>
    <w:rsid w:val="001A5D0E"/>
    <w:rsid w:val="001A659F"/>
    <w:rsid w:val="001A69CE"/>
    <w:rsid w:val="001A6A40"/>
    <w:rsid w:val="001A6BF1"/>
    <w:rsid w:val="001A6E00"/>
    <w:rsid w:val="001A6F11"/>
    <w:rsid w:val="001A7BE0"/>
    <w:rsid w:val="001B257F"/>
    <w:rsid w:val="001B2BDB"/>
    <w:rsid w:val="001B3A2C"/>
    <w:rsid w:val="001B4F98"/>
    <w:rsid w:val="001B6266"/>
    <w:rsid w:val="001B668C"/>
    <w:rsid w:val="001B6941"/>
    <w:rsid w:val="001B77B3"/>
    <w:rsid w:val="001C054F"/>
    <w:rsid w:val="001C0F67"/>
    <w:rsid w:val="001C160F"/>
    <w:rsid w:val="001C1873"/>
    <w:rsid w:val="001C1EB9"/>
    <w:rsid w:val="001C2534"/>
    <w:rsid w:val="001C3708"/>
    <w:rsid w:val="001C3F2B"/>
    <w:rsid w:val="001C3F6F"/>
    <w:rsid w:val="001C446E"/>
    <w:rsid w:val="001C577B"/>
    <w:rsid w:val="001C5BBD"/>
    <w:rsid w:val="001C6742"/>
    <w:rsid w:val="001C6EDF"/>
    <w:rsid w:val="001C7E19"/>
    <w:rsid w:val="001D02F7"/>
    <w:rsid w:val="001D0852"/>
    <w:rsid w:val="001D0ADC"/>
    <w:rsid w:val="001D1889"/>
    <w:rsid w:val="001D2170"/>
    <w:rsid w:val="001D31C9"/>
    <w:rsid w:val="001D3970"/>
    <w:rsid w:val="001D3AB6"/>
    <w:rsid w:val="001D4366"/>
    <w:rsid w:val="001D479B"/>
    <w:rsid w:val="001D5C40"/>
    <w:rsid w:val="001D772D"/>
    <w:rsid w:val="001E0CE6"/>
    <w:rsid w:val="001E1EBB"/>
    <w:rsid w:val="001E1ECE"/>
    <w:rsid w:val="001E1FCE"/>
    <w:rsid w:val="001E2CEF"/>
    <w:rsid w:val="001E54AF"/>
    <w:rsid w:val="001E647D"/>
    <w:rsid w:val="001E670D"/>
    <w:rsid w:val="001E6972"/>
    <w:rsid w:val="001E6CD9"/>
    <w:rsid w:val="001E6FD7"/>
    <w:rsid w:val="001E7CB5"/>
    <w:rsid w:val="001F06D3"/>
    <w:rsid w:val="001F1CB8"/>
    <w:rsid w:val="001F20A5"/>
    <w:rsid w:val="001F2B65"/>
    <w:rsid w:val="001F2E1A"/>
    <w:rsid w:val="001F342B"/>
    <w:rsid w:val="001F390E"/>
    <w:rsid w:val="001F4C1C"/>
    <w:rsid w:val="001F5C54"/>
    <w:rsid w:val="001F61B2"/>
    <w:rsid w:val="001F774C"/>
    <w:rsid w:val="001F7C5D"/>
    <w:rsid w:val="001F7CC9"/>
    <w:rsid w:val="002013E2"/>
    <w:rsid w:val="00201594"/>
    <w:rsid w:val="00201766"/>
    <w:rsid w:val="00203F65"/>
    <w:rsid w:val="0020471E"/>
    <w:rsid w:val="0020523F"/>
    <w:rsid w:val="00205CE1"/>
    <w:rsid w:val="00205F02"/>
    <w:rsid w:val="002068A5"/>
    <w:rsid w:val="00206B32"/>
    <w:rsid w:val="00206B42"/>
    <w:rsid w:val="00206C07"/>
    <w:rsid w:val="00207015"/>
    <w:rsid w:val="00207FE0"/>
    <w:rsid w:val="00210233"/>
    <w:rsid w:val="0021047A"/>
    <w:rsid w:val="002111BB"/>
    <w:rsid w:val="002140C2"/>
    <w:rsid w:val="00216277"/>
    <w:rsid w:val="00217A0E"/>
    <w:rsid w:val="00220312"/>
    <w:rsid w:val="00220763"/>
    <w:rsid w:val="00221AD5"/>
    <w:rsid w:val="00222486"/>
    <w:rsid w:val="00222AF6"/>
    <w:rsid w:val="00222E3D"/>
    <w:rsid w:val="00224479"/>
    <w:rsid w:val="002244C5"/>
    <w:rsid w:val="00224822"/>
    <w:rsid w:val="00225478"/>
    <w:rsid w:val="0022561C"/>
    <w:rsid w:val="00230385"/>
    <w:rsid w:val="002308C8"/>
    <w:rsid w:val="00232053"/>
    <w:rsid w:val="0023224D"/>
    <w:rsid w:val="0023250C"/>
    <w:rsid w:val="002325B8"/>
    <w:rsid w:val="00232771"/>
    <w:rsid w:val="00232ACE"/>
    <w:rsid w:val="00232AE2"/>
    <w:rsid w:val="00233690"/>
    <w:rsid w:val="00234377"/>
    <w:rsid w:val="0023444C"/>
    <w:rsid w:val="00234808"/>
    <w:rsid w:val="00234889"/>
    <w:rsid w:val="00234ECB"/>
    <w:rsid w:val="00234F9F"/>
    <w:rsid w:val="002351F1"/>
    <w:rsid w:val="00235263"/>
    <w:rsid w:val="00235A37"/>
    <w:rsid w:val="00236BC3"/>
    <w:rsid w:val="00237274"/>
    <w:rsid w:val="00237834"/>
    <w:rsid w:val="002406D4"/>
    <w:rsid w:val="00240F58"/>
    <w:rsid w:val="0024158F"/>
    <w:rsid w:val="00244990"/>
    <w:rsid w:val="0024584D"/>
    <w:rsid w:val="00247A65"/>
    <w:rsid w:val="0025012E"/>
    <w:rsid w:val="002502CD"/>
    <w:rsid w:val="00250DEB"/>
    <w:rsid w:val="002513E8"/>
    <w:rsid w:val="0025165B"/>
    <w:rsid w:val="00253991"/>
    <w:rsid w:val="00253C2D"/>
    <w:rsid w:val="0025530D"/>
    <w:rsid w:val="002572DF"/>
    <w:rsid w:val="00257A4C"/>
    <w:rsid w:val="00257E3C"/>
    <w:rsid w:val="002603B2"/>
    <w:rsid w:val="002603B6"/>
    <w:rsid w:val="00261486"/>
    <w:rsid w:val="002614C1"/>
    <w:rsid w:val="002616FC"/>
    <w:rsid w:val="0026185A"/>
    <w:rsid w:val="00261D9E"/>
    <w:rsid w:val="00263413"/>
    <w:rsid w:val="00264D1B"/>
    <w:rsid w:val="00265D76"/>
    <w:rsid w:val="002660C2"/>
    <w:rsid w:val="002662A3"/>
    <w:rsid w:val="00267BB8"/>
    <w:rsid w:val="00267C80"/>
    <w:rsid w:val="00267D74"/>
    <w:rsid w:val="00271125"/>
    <w:rsid w:val="002739D9"/>
    <w:rsid w:val="0027427F"/>
    <w:rsid w:val="00275197"/>
    <w:rsid w:val="00275B79"/>
    <w:rsid w:val="002762DC"/>
    <w:rsid w:val="00280A8C"/>
    <w:rsid w:val="00283C78"/>
    <w:rsid w:val="0028487C"/>
    <w:rsid w:val="00284E72"/>
    <w:rsid w:val="0028539B"/>
    <w:rsid w:val="00286025"/>
    <w:rsid w:val="0029032C"/>
    <w:rsid w:val="0029097E"/>
    <w:rsid w:val="00291532"/>
    <w:rsid w:val="002916BA"/>
    <w:rsid w:val="002916CE"/>
    <w:rsid w:val="0029306D"/>
    <w:rsid w:val="002937A5"/>
    <w:rsid w:val="002942E5"/>
    <w:rsid w:val="00294A5A"/>
    <w:rsid w:val="00295E54"/>
    <w:rsid w:val="00296152"/>
    <w:rsid w:val="002974F7"/>
    <w:rsid w:val="00297C79"/>
    <w:rsid w:val="002A100E"/>
    <w:rsid w:val="002A3B92"/>
    <w:rsid w:val="002A4AC4"/>
    <w:rsid w:val="002A4CC6"/>
    <w:rsid w:val="002A511F"/>
    <w:rsid w:val="002A5501"/>
    <w:rsid w:val="002A5A9B"/>
    <w:rsid w:val="002A66CE"/>
    <w:rsid w:val="002A6A25"/>
    <w:rsid w:val="002A6AEC"/>
    <w:rsid w:val="002A6C2F"/>
    <w:rsid w:val="002A7ACF"/>
    <w:rsid w:val="002A7B24"/>
    <w:rsid w:val="002B0261"/>
    <w:rsid w:val="002B15ED"/>
    <w:rsid w:val="002B17CD"/>
    <w:rsid w:val="002B22F4"/>
    <w:rsid w:val="002B2B24"/>
    <w:rsid w:val="002B2E36"/>
    <w:rsid w:val="002B2F57"/>
    <w:rsid w:val="002B31C8"/>
    <w:rsid w:val="002B37F9"/>
    <w:rsid w:val="002B3CB2"/>
    <w:rsid w:val="002B3DC1"/>
    <w:rsid w:val="002B5C68"/>
    <w:rsid w:val="002B5FF6"/>
    <w:rsid w:val="002B6215"/>
    <w:rsid w:val="002B6827"/>
    <w:rsid w:val="002B68A7"/>
    <w:rsid w:val="002B69A0"/>
    <w:rsid w:val="002B69CA"/>
    <w:rsid w:val="002B6BE4"/>
    <w:rsid w:val="002C0145"/>
    <w:rsid w:val="002C072B"/>
    <w:rsid w:val="002C07F9"/>
    <w:rsid w:val="002C0F24"/>
    <w:rsid w:val="002C1B0E"/>
    <w:rsid w:val="002C2166"/>
    <w:rsid w:val="002C256B"/>
    <w:rsid w:val="002C2EF2"/>
    <w:rsid w:val="002C3830"/>
    <w:rsid w:val="002C3DBC"/>
    <w:rsid w:val="002C3FD1"/>
    <w:rsid w:val="002C49E4"/>
    <w:rsid w:val="002C5BAE"/>
    <w:rsid w:val="002C632F"/>
    <w:rsid w:val="002D0145"/>
    <w:rsid w:val="002D0337"/>
    <w:rsid w:val="002D0B3E"/>
    <w:rsid w:val="002D0DD7"/>
    <w:rsid w:val="002D0F6C"/>
    <w:rsid w:val="002D20D0"/>
    <w:rsid w:val="002D329D"/>
    <w:rsid w:val="002D3526"/>
    <w:rsid w:val="002D4444"/>
    <w:rsid w:val="002D58B4"/>
    <w:rsid w:val="002D6117"/>
    <w:rsid w:val="002D6390"/>
    <w:rsid w:val="002D744F"/>
    <w:rsid w:val="002E0042"/>
    <w:rsid w:val="002E0790"/>
    <w:rsid w:val="002E21CB"/>
    <w:rsid w:val="002E2C09"/>
    <w:rsid w:val="002E4525"/>
    <w:rsid w:val="002E489D"/>
    <w:rsid w:val="002E49A5"/>
    <w:rsid w:val="002E4D3B"/>
    <w:rsid w:val="002E61B5"/>
    <w:rsid w:val="002E6499"/>
    <w:rsid w:val="002E7240"/>
    <w:rsid w:val="002F0785"/>
    <w:rsid w:val="002F13CB"/>
    <w:rsid w:val="002F226C"/>
    <w:rsid w:val="002F2401"/>
    <w:rsid w:val="002F30DA"/>
    <w:rsid w:val="002F3564"/>
    <w:rsid w:val="002F44DA"/>
    <w:rsid w:val="002F4695"/>
    <w:rsid w:val="002F5BD2"/>
    <w:rsid w:val="002F73A2"/>
    <w:rsid w:val="00301158"/>
    <w:rsid w:val="00301750"/>
    <w:rsid w:val="0030185E"/>
    <w:rsid w:val="00301ED1"/>
    <w:rsid w:val="003020E6"/>
    <w:rsid w:val="00302539"/>
    <w:rsid w:val="003026A9"/>
    <w:rsid w:val="00303657"/>
    <w:rsid w:val="003042BF"/>
    <w:rsid w:val="00304AFF"/>
    <w:rsid w:val="00304D1A"/>
    <w:rsid w:val="00304FBB"/>
    <w:rsid w:val="0030577D"/>
    <w:rsid w:val="00305BFF"/>
    <w:rsid w:val="0030695B"/>
    <w:rsid w:val="00306F67"/>
    <w:rsid w:val="0030744D"/>
    <w:rsid w:val="0030749C"/>
    <w:rsid w:val="003112C8"/>
    <w:rsid w:val="003118DD"/>
    <w:rsid w:val="00311CDA"/>
    <w:rsid w:val="003124B6"/>
    <w:rsid w:val="00312912"/>
    <w:rsid w:val="0031327C"/>
    <w:rsid w:val="00313AC2"/>
    <w:rsid w:val="00313F75"/>
    <w:rsid w:val="003152A7"/>
    <w:rsid w:val="0031535C"/>
    <w:rsid w:val="003154A5"/>
    <w:rsid w:val="00315FD8"/>
    <w:rsid w:val="003162F3"/>
    <w:rsid w:val="00316763"/>
    <w:rsid w:val="0031756F"/>
    <w:rsid w:val="00317EC3"/>
    <w:rsid w:val="00323097"/>
    <w:rsid w:val="00324029"/>
    <w:rsid w:val="0032406D"/>
    <w:rsid w:val="003246A0"/>
    <w:rsid w:val="00325D5E"/>
    <w:rsid w:val="003308B2"/>
    <w:rsid w:val="00330EC1"/>
    <w:rsid w:val="00331B42"/>
    <w:rsid w:val="00331BC6"/>
    <w:rsid w:val="0033273E"/>
    <w:rsid w:val="0033295B"/>
    <w:rsid w:val="00332E39"/>
    <w:rsid w:val="0033304E"/>
    <w:rsid w:val="00333506"/>
    <w:rsid w:val="00334CD6"/>
    <w:rsid w:val="00335C7D"/>
    <w:rsid w:val="0033676D"/>
    <w:rsid w:val="003379A9"/>
    <w:rsid w:val="00340A7A"/>
    <w:rsid w:val="00341025"/>
    <w:rsid w:val="003419FA"/>
    <w:rsid w:val="00342BBE"/>
    <w:rsid w:val="003430B1"/>
    <w:rsid w:val="003434F7"/>
    <w:rsid w:val="00343667"/>
    <w:rsid w:val="0034392B"/>
    <w:rsid w:val="003445A1"/>
    <w:rsid w:val="00345FBB"/>
    <w:rsid w:val="003464AE"/>
    <w:rsid w:val="00346BD4"/>
    <w:rsid w:val="00346DCA"/>
    <w:rsid w:val="00347011"/>
    <w:rsid w:val="00347B5B"/>
    <w:rsid w:val="0035077B"/>
    <w:rsid w:val="00350B4F"/>
    <w:rsid w:val="00350BB1"/>
    <w:rsid w:val="00350F10"/>
    <w:rsid w:val="00352564"/>
    <w:rsid w:val="003527BE"/>
    <w:rsid w:val="0035361A"/>
    <w:rsid w:val="003536EA"/>
    <w:rsid w:val="0035385B"/>
    <w:rsid w:val="003542ED"/>
    <w:rsid w:val="003555CB"/>
    <w:rsid w:val="00355679"/>
    <w:rsid w:val="0035700A"/>
    <w:rsid w:val="00357434"/>
    <w:rsid w:val="00360E43"/>
    <w:rsid w:val="003635B9"/>
    <w:rsid w:val="0036366F"/>
    <w:rsid w:val="0036388D"/>
    <w:rsid w:val="0036478C"/>
    <w:rsid w:val="00366473"/>
    <w:rsid w:val="0036747A"/>
    <w:rsid w:val="00370CC8"/>
    <w:rsid w:val="00371273"/>
    <w:rsid w:val="003726C0"/>
    <w:rsid w:val="003727CB"/>
    <w:rsid w:val="003729DA"/>
    <w:rsid w:val="00372E3B"/>
    <w:rsid w:val="00373AD6"/>
    <w:rsid w:val="00373C02"/>
    <w:rsid w:val="00374200"/>
    <w:rsid w:val="0037454F"/>
    <w:rsid w:val="00374EF3"/>
    <w:rsid w:val="003750DD"/>
    <w:rsid w:val="003757F7"/>
    <w:rsid w:val="00377500"/>
    <w:rsid w:val="00380199"/>
    <w:rsid w:val="003801E2"/>
    <w:rsid w:val="003805CF"/>
    <w:rsid w:val="003812D2"/>
    <w:rsid w:val="00381503"/>
    <w:rsid w:val="0038289E"/>
    <w:rsid w:val="00382B6D"/>
    <w:rsid w:val="00384C72"/>
    <w:rsid w:val="00384CC2"/>
    <w:rsid w:val="00385455"/>
    <w:rsid w:val="003854FC"/>
    <w:rsid w:val="003861EF"/>
    <w:rsid w:val="0038683C"/>
    <w:rsid w:val="003868CE"/>
    <w:rsid w:val="00387FAF"/>
    <w:rsid w:val="00390963"/>
    <w:rsid w:val="00391703"/>
    <w:rsid w:val="00391914"/>
    <w:rsid w:val="0039227B"/>
    <w:rsid w:val="00392DB8"/>
    <w:rsid w:val="00393571"/>
    <w:rsid w:val="00394289"/>
    <w:rsid w:val="003942BD"/>
    <w:rsid w:val="00395E55"/>
    <w:rsid w:val="00397D48"/>
    <w:rsid w:val="003A0BD4"/>
    <w:rsid w:val="003A2E66"/>
    <w:rsid w:val="003A305C"/>
    <w:rsid w:val="003A4E85"/>
    <w:rsid w:val="003A5681"/>
    <w:rsid w:val="003A61D8"/>
    <w:rsid w:val="003A65FC"/>
    <w:rsid w:val="003A6E99"/>
    <w:rsid w:val="003B0CEA"/>
    <w:rsid w:val="003B0CFA"/>
    <w:rsid w:val="003B0F0C"/>
    <w:rsid w:val="003B2657"/>
    <w:rsid w:val="003B288E"/>
    <w:rsid w:val="003B31F3"/>
    <w:rsid w:val="003B43FB"/>
    <w:rsid w:val="003B4FC4"/>
    <w:rsid w:val="003B6569"/>
    <w:rsid w:val="003B7687"/>
    <w:rsid w:val="003C1162"/>
    <w:rsid w:val="003C1AE2"/>
    <w:rsid w:val="003C1D6A"/>
    <w:rsid w:val="003C28D3"/>
    <w:rsid w:val="003C2FE0"/>
    <w:rsid w:val="003C37B8"/>
    <w:rsid w:val="003C3C2F"/>
    <w:rsid w:val="003C3CD7"/>
    <w:rsid w:val="003C4D84"/>
    <w:rsid w:val="003C5B94"/>
    <w:rsid w:val="003C67B5"/>
    <w:rsid w:val="003C7321"/>
    <w:rsid w:val="003C776A"/>
    <w:rsid w:val="003C7CE8"/>
    <w:rsid w:val="003D0E11"/>
    <w:rsid w:val="003D22CC"/>
    <w:rsid w:val="003D25B5"/>
    <w:rsid w:val="003D3F00"/>
    <w:rsid w:val="003D68A4"/>
    <w:rsid w:val="003D6A2E"/>
    <w:rsid w:val="003D7128"/>
    <w:rsid w:val="003D766A"/>
    <w:rsid w:val="003D7B30"/>
    <w:rsid w:val="003E1830"/>
    <w:rsid w:val="003E1BD4"/>
    <w:rsid w:val="003E2C11"/>
    <w:rsid w:val="003E2E1F"/>
    <w:rsid w:val="003E4EE8"/>
    <w:rsid w:val="003E5537"/>
    <w:rsid w:val="003E5DE6"/>
    <w:rsid w:val="003E681E"/>
    <w:rsid w:val="003F24EB"/>
    <w:rsid w:val="003F3420"/>
    <w:rsid w:val="003F3CED"/>
    <w:rsid w:val="003F4AC1"/>
    <w:rsid w:val="003F4E0F"/>
    <w:rsid w:val="00400D7D"/>
    <w:rsid w:val="00400FF8"/>
    <w:rsid w:val="00401708"/>
    <w:rsid w:val="00402052"/>
    <w:rsid w:val="004026ED"/>
    <w:rsid w:val="00403B36"/>
    <w:rsid w:val="004044DD"/>
    <w:rsid w:val="0040476F"/>
    <w:rsid w:val="00404D63"/>
    <w:rsid w:val="00404E67"/>
    <w:rsid w:val="0040623C"/>
    <w:rsid w:val="0040752F"/>
    <w:rsid w:val="004100DD"/>
    <w:rsid w:val="00410B73"/>
    <w:rsid w:val="00410F62"/>
    <w:rsid w:val="00411252"/>
    <w:rsid w:val="004124FD"/>
    <w:rsid w:val="00413289"/>
    <w:rsid w:val="00413A14"/>
    <w:rsid w:val="00413A82"/>
    <w:rsid w:val="00414024"/>
    <w:rsid w:val="004141EC"/>
    <w:rsid w:val="00414ACD"/>
    <w:rsid w:val="00414DD8"/>
    <w:rsid w:val="00415343"/>
    <w:rsid w:val="00415C04"/>
    <w:rsid w:val="00415F05"/>
    <w:rsid w:val="00417457"/>
    <w:rsid w:val="00420341"/>
    <w:rsid w:val="00420B68"/>
    <w:rsid w:val="00420F5E"/>
    <w:rsid w:val="004213D2"/>
    <w:rsid w:val="004236B9"/>
    <w:rsid w:val="00423FBA"/>
    <w:rsid w:val="004258AE"/>
    <w:rsid w:val="00426F5B"/>
    <w:rsid w:val="0042715D"/>
    <w:rsid w:val="00427178"/>
    <w:rsid w:val="00427326"/>
    <w:rsid w:val="00431003"/>
    <w:rsid w:val="00431188"/>
    <w:rsid w:val="00432533"/>
    <w:rsid w:val="00432A92"/>
    <w:rsid w:val="004332DF"/>
    <w:rsid w:val="0043346E"/>
    <w:rsid w:val="0043384F"/>
    <w:rsid w:val="00433A22"/>
    <w:rsid w:val="00433DE1"/>
    <w:rsid w:val="00434F2A"/>
    <w:rsid w:val="00437FF5"/>
    <w:rsid w:val="00441A79"/>
    <w:rsid w:val="00441E40"/>
    <w:rsid w:val="00442222"/>
    <w:rsid w:val="0044254C"/>
    <w:rsid w:val="00442653"/>
    <w:rsid w:val="00442FCE"/>
    <w:rsid w:val="004432B3"/>
    <w:rsid w:val="004451EA"/>
    <w:rsid w:val="00446366"/>
    <w:rsid w:val="004469EF"/>
    <w:rsid w:val="004479DE"/>
    <w:rsid w:val="00447D64"/>
    <w:rsid w:val="004505C7"/>
    <w:rsid w:val="00450615"/>
    <w:rsid w:val="00450B32"/>
    <w:rsid w:val="004516A0"/>
    <w:rsid w:val="00451C95"/>
    <w:rsid w:val="00451D50"/>
    <w:rsid w:val="004522ED"/>
    <w:rsid w:val="0045254B"/>
    <w:rsid w:val="00453870"/>
    <w:rsid w:val="00455379"/>
    <w:rsid w:val="00457611"/>
    <w:rsid w:val="0045764B"/>
    <w:rsid w:val="00457934"/>
    <w:rsid w:val="00457C95"/>
    <w:rsid w:val="004601AA"/>
    <w:rsid w:val="0046173F"/>
    <w:rsid w:val="00461C13"/>
    <w:rsid w:val="00462E14"/>
    <w:rsid w:val="004631C9"/>
    <w:rsid w:val="00463657"/>
    <w:rsid w:val="0046649F"/>
    <w:rsid w:val="00466914"/>
    <w:rsid w:val="00466975"/>
    <w:rsid w:val="004703D5"/>
    <w:rsid w:val="00470590"/>
    <w:rsid w:val="00470C61"/>
    <w:rsid w:val="0047171E"/>
    <w:rsid w:val="00471DF7"/>
    <w:rsid w:val="00471F92"/>
    <w:rsid w:val="004726BE"/>
    <w:rsid w:val="00472915"/>
    <w:rsid w:val="004731C6"/>
    <w:rsid w:val="00473B51"/>
    <w:rsid w:val="00475542"/>
    <w:rsid w:val="00475B11"/>
    <w:rsid w:val="00475D59"/>
    <w:rsid w:val="0047666E"/>
    <w:rsid w:val="004777A2"/>
    <w:rsid w:val="00477FB8"/>
    <w:rsid w:val="004809F5"/>
    <w:rsid w:val="0048118C"/>
    <w:rsid w:val="004812A6"/>
    <w:rsid w:val="00481B82"/>
    <w:rsid w:val="0048392C"/>
    <w:rsid w:val="00483A04"/>
    <w:rsid w:val="004845A7"/>
    <w:rsid w:val="00484A83"/>
    <w:rsid w:val="00484EE9"/>
    <w:rsid w:val="0048584F"/>
    <w:rsid w:val="00485AF3"/>
    <w:rsid w:val="00485B77"/>
    <w:rsid w:val="00486861"/>
    <w:rsid w:val="00487DAE"/>
    <w:rsid w:val="0049210B"/>
    <w:rsid w:val="004922F0"/>
    <w:rsid w:val="0049243D"/>
    <w:rsid w:val="00492C5A"/>
    <w:rsid w:val="0049443A"/>
    <w:rsid w:val="00494459"/>
    <w:rsid w:val="00494733"/>
    <w:rsid w:val="00494DAA"/>
    <w:rsid w:val="00494F06"/>
    <w:rsid w:val="004962D1"/>
    <w:rsid w:val="004A0207"/>
    <w:rsid w:val="004A058F"/>
    <w:rsid w:val="004A09E5"/>
    <w:rsid w:val="004A0DC8"/>
    <w:rsid w:val="004A1975"/>
    <w:rsid w:val="004A1AF9"/>
    <w:rsid w:val="004A1FFE"/>
    <w:rsid w:val="004A43AD"/>
    <w:rsid w:val="004A446A"/>
    <w:rsid w:val="004A49A7"/>
    <w:rsid w:val="004A50B9"/>
    <w:rsid w:val="004A5A00"/>
    <w:rsid w:val="004A5C09"/>
    <w:rsid w:val="004B1BFF"/>
    <w:rsid w:val="004B2BA7"/>
    <w:rsid w:val="004B3C5C"/>
    <w:rsid w:val="004B3F72"/>
    <w:rsid w:val="004B47AD"/>
    <w:rsid w:val="004B577F"/>
    <w:rsid w:val="004B57E3"/>
    <w:rsid w:val="004B67AB"/>
    <w:rsid w:val="004B6B56"/>
    <w:rsid w:val="004C0DEC"/>
    <w:rsid w:val="004C1707"/>
    <w:rsid w:val="004C1A08"/>
    <w:rsid w:val="004C2145"/>
    <w:rsid w:val="004C315F"/>
    <w:rsid w:val="004C356F"/>
    <w:rsid w:val="004C44AE"/>
    <w:rsid w:val="004C489A"/>
    <w:rsid w:val="004C51A8"/>
    <w:rsid w:val="004C56E8"/>
    <w:rsid w:val="004C5781"/>
    <w:rsid w:val="004C57D8"/>
    <w:rsid w:val="004C5DF2"/>
    <w:rsid w:val="004C620F"/>
    <w:rsid w:val="004C68C8"/>
    <w:rsid w:val="004C7DF9"/>
    <w:rsid w:val="004D07B3"/>
    <w:rsid w:val="004D1AFC"/>
    <w:rsid w:val="004D1BBE"/>
    <w:rsid w:val="004D1F9A"/>
    <w:rsid w:val="004D20C9"/>
    <w:rsid w:val="004D322A"/>
    <w:rsid w:val="004D60F9"/>
    <w:rsid w:val="004D66A3"/>
    <w:rsid w:val="004D6839"/>
    <w:rsid w:val="004D694B"/>
    <w:rsid w:val="004E0300"/>
    <w:rsid w:val="004E0646"/>
    <w:rsid w:val="004E235D"/>
    <w:rsid w:val="004E2FB4"/>
    <w:rsid w:val="004E300C"/>
    <w:rsid w:val="004E51F7"/>
    <w:rsid w:val="004E6C9F"/>
    <w:rsid w:val="004E6D20"/>
    <w:rsid w:val="004E78E5"/>
    <w:rsid w:val="004F25FD"/>
    <w:rsid w:val="004F32C8"/>
    <w:rsid w:val="004F4BAD"/>
    <w:rsid w:val="004F4E72"/>
    <w:rsid w:val="004F7F05"/>
    <w:rsid w:val="00501076"/>
    <w:rsid w:val="00501093"/>
    <w:rsid w:val="0050113E"/>
    <w:rsid w:val="0050175B"/>
    <w:rsid w:val="0050234C"/>
    <w:rsid w:val="005026F4"/>
    <w:rsid w:val="005027A9"/>
    <w:rsid w:val="0050337F"/>
    <w:rsid w:val="00503499"/>
    <w:rsid w:val="00504F0F"/>
    <w:rsid w:val="005059F3"/>
    <w:rsid w:val="00510A20"/>
    <w:rsid w:val="00510E9B"/>
    <w:rsid w:val="0051392A"/>
    <w:rsid w:val="0051443D"/>
    <w:rsid w:val="00515383"/>
    <w:rsid w:val="00515A37"/>
    <w:rsid w:val="00515C83"/>
    <w:rsid w:val="00515F19"/>
    <w:rsid w:val="00516272"/>
    <w:rsid w:val="0051627A"/>
    <w:rsid w:val="005175E8"/>
    <w:rsid w:val="00520217"/>
    <w:rsid w:val="005209EB"/>
    <w:rsid w:val="00521239"/>
    <w:rsid w:val="00522184"/>
    <w:rsid w:val="005226A3"/>
    <w:rsid w:val="00523577"/>
    <w:rsid w:val="005242A0"/>
    <w:rsid w:val="0052431F"/>
    <w:rsid w:val="00525077"/>
    <w:rsid w:val="0052728F"/>
    <w:rsid w:val="0053163E"/>
    <w:rsid w:val="00531E64"/>
    <w:rsid w:val="00531F4C"/>
    <w:rsid w:val="00532626"/>
    <w:rsid w:val="00532E2C"/>
    <w:rsid w:val="00534115"/>
    <w:rsid w:val="005346EE"/>
    <w:rsid w:val="00535478"/>
    <w:rsid w:val="00535849"/>
    <w:rsid w:val="00535C5E"/>
    <w:rsid w:val="005363EE"/>
    <w:rsid w:val="0053655A"/>
    <w:rsid w:val="00537A87"/>
    <w:rsid w:val="00537E88"/>
    <w:rsid w:val="00540229"/>
    <w:rsid w:val="00540A89"/>
    <w:rsid w:val="0054287B"/>
    <w:rsid w:val="0054329E"/>
    <w:rsid w:val="00543664"/>
    <w:rsid w:val="005440F6"/>
    <w:rsid w:val="005444D6"/>
    <w:rsid w:val="005455D8"/>
    <w:rsid w:val="00546610"/>
    <w:rsid w:val="00550099"/>
    <w:rsid w:val="0055132B"/>
    <w:rsid w:val="005513A1"/>
    <w:rsid w:val="005513FC"/>
    <w:rsid w:val="0055201F"/>
    <w:rsid w:val="005520EB"/>
    <w:rsid w:val="0055215F"/>
    <w:rsid w:val="0055221A"/>
    <w:rsid w:val="00553031"/>
    <w:rsid w:val="00553A19"/>
    <w:rsid w:val="00554661"/>
    <w:rsid w:val="005556A6"/>
    <w:rsid w:val="00555F04"/>
    <w:rsid w:val="0056080D"/>
    <w:rsid w:val="00560BC0"/>
    <w:rsid w:val="00562215"/>
    <w:rsid w:val="0056287E"/>
    <w:rsid w:val="00563574"/>
    <w:rsid w:val="00563A0F"/>
    <w:rsid w:val="00563B1F"/>
    <w:rsid w:val="00563F77"/>
    <w:rsid w:val="0056451A"/>
    <w:rsid w:val="00564666"/>
    <w:rsid w:val="005650A0"/>
    <w:rsid w:val="00565344"/>
    <w:rsid w:val="005653B5"/>
    <w:rsid w:val="005667A4"/>
    <w:rsid w:val="00566E74"/>
    <w:rsid w:val="00567236"/>
    <w:rsid w:val="005704A7"/>
    <w:rsid w:val="00570BE3"/>
    <w:rsid w:val="00570C72"/>
    <w:rsid w:val="00571589"/>
    <w:rsid w:val="0057302D"/>
    <w:rsid w:val="005736BC"/>
    <w:rsid w:val="00573A16"/>
    <w:rsid w:val="00575B7F"/>
    <w:rsid w:val="00576D28"/>
    <w:rsid w:val="0057760F"/>
    <w:rsid w:val="00577EA6"/>
    <w:rsid w:val="00577EFB"/>
    <w:rsid w:val="00580ACF"/>
    <w:rsid w:val="005824AA"/>
    <w:rsid w:val="00583E52"/>
    <w:rsid w:val="00585401"/>
    <w:rsid w:val="005865F1"/>
    <w:rsid w:val="00587ABF"/>
    <w:rsid w:val="00587DAE"/>
    <w:rsid w:val="00590A73"/>
    <w:rsid w:val="00590CAF"/>
    <w:rsid w:val="00591615"/>
    <w:rsid w:val="005921B0"/>
    <w:rsid w:val="00592438"/>
    <w:rsid w:val="00592960"/>
    <w:rsid w:val="00592972"/>
    <w:rsid w:val="00592A7F"/>
    <w:rsid w:val="0059329D"/>
    <w:rsid w:val="0059369A"/>
    <w:rsid w:val="0059389A"/>
    <w:rsid w:val="00593B81"/>
    <w:rsid w:val="005948E5"/>
    <w:rsid w:val="00594F4F"/>
    <w:rsid w:val="005957F5"/>
    <w:rsid w:val="0059678B"/>
    <w:rsid w:val="005A0428"/>
    <w:rsid w:val="005A18D5"/>
    <w:rsid w:val="005A1ADD"/>
    <w:rsid w:val="005A1FB9"/>
    <w:rsid w:val="005A201A"/>
    <w:rsid w:val="005A3A44"/>
    <w:rsid w:val="005A3F18"/>
    <w:rsid w:val="005A4916"/>
    <w:rsid w:val="005A4A52"/>
    <w:rsid w:val="005A4DAB"/>
    <w:rsid w:val="005A513C"/>
    <w:rsid w:val="005A686A"/>
    <w:rsid w:val="005A6B99"/>
    <w:rsid w:val="005A719A"/>
    <w:rsid w:val="005A7542"/>
    <w:rsid w:val="005B064B"/>
    <w:rsid w:val="005B08E3"/>
    <w:rsid w:val="005B1C36"/>
    <w:rsid w:val="005B1FFB"/>
    <w:rsid w:val="005B2E9F"/>
    <w:rsid w:val="005B3AB9"/>
    <w:rsid w:val="005B3AE8"/>
    <w:rsid w:val="005B441D"/>
    <w:rsid w:val="005B53B6"/>
    <w:rsid w:val="005B61D7"/>
    <w:rsid w:val="005C031D"/>
    <w:rsid w:val="005C0344"/>
    <w:rsid w:val="005C1D85"/>
    <w:rsid w:val="005C3AFC"/>
    <w:rsid w:val="005C3CFA"/>
    <w:rsid w:val="005C43D2"/>
    <w:rsid w:val="005C5288"/>
    <w:rsid w:val="005C5FD0"/>
    <w:rsid w:val="005C75D7"/>
    <w:rsid w:val="005D09D4"/>
    <w:rsid w:val="005D0B89"/>
    <w:rsid w:val="005D1063"/>
    <w:rsid w:val="005D1E69"/>
    <w:rsid w:val="005D25C0"/>
    <w:rsid w:val="005D35D5"/>
    <w:rsid w:val="005D4310"/>
    <w:rsid w:val="005D480C"/>
    <w:rsid w:val="005D4B4E"/>
    <w:rsid w:val="005D64CB"/>
    <w:rsid w:val="005D6D53"/>
    <w:rsid w:val="005D7882"/>
    <w:rsid w:val="005D7C53"/>
    <w:rsid w:val="005E1D1F"/>
    <w:rsid w:val="005E1FFA"/>
    <w:rsid w:val="005E25A1"/>
    <w:rsid w:val="005E2A6A"/>
    <w:rsid w:val="005E2BB8"/>
    <w:rsid w:val="005E3588"/>
    <w:rsid w:val="005E3D6A"/>
    <w:rsid w:val="005E3F2D"/>
    <w:rsid w:val="005E4E54"/>
    <w:rsid w:val="005E553F"/>
    <w:rsid w:val="005E5FE6"/>
    <w:rsid w:val="005E6ED2"/>
    <w:rsid w:val="005E72BB"/>
    <w:rsid w:val="005E74A2"/>
    <w:rsid w:val="005E7E72"/>
    <w:rsid w:val="005F2478"/>
    <w:rsid w:val="005F254D"/>
    <w:rsid w:val="005F31A9"/>
    <w:rsid w:val="005F6165"/>
    <w:rsid w:val="005F665E"/>
    <w:rsid w:val="005F6813"/>
    <w:rsid w:val="005F686E"/>
    <w:rsid w:val="005F6A47"/>
    <w:rsid w:val="005F6D99"/>
    <w:rsid w:val="005F7ED6"/>
    <w:rsid w:val="006008C6"/>
    <w:rsid w:val="006018F3"/>
    <w:rsid w:val="00601B38"/>
    <w:rsid w:val="00603944"/>
    <w:rsid w:val="0060552E"/>
    <w:rsid w:val="0060554D"/>
    <w:rsid w:val="00605C92"/>
    <w:rsid w:val="006062CE"/>
    <w:rsid w:val="0060650F"/>
    <w:rsid w:val="00606E4A"/>
    <w:rsid w:val="00607FE3"/>
    <w:rsid w:val="00610019"/>
    <w:rsid w:val="0061003A"/>
    <w:rsid w:val="00610063"/>
    <w:rsid w:val="0061019C"/>
    <w:rsid w:val="00611047"/>
    <w:rsid w:val="00614CF1"/>
    <w:rsid w:val="00615817"/>
    <w:rsid w:val="00616112"/>
    <w:rsid w:val="006177F5"/>
    <w:rsid w:val="0062109C"/>
    <w:rsid w:val="00621176"/>
    <w:rsid w:val="006213EF"/>
    <w:rsid w:val="006214CF"/>
    <w:rsid w:val="00621A2C"/>
    <w:rsid w:val="006234B1"/>
    <w:rsid w:val="0062351F"/>
    <w:rsid w:val="00624DC7"/>
    <w:rsid w:val="00625102"/>
    <w:rsid w:val="00626130"/>
    <w:rsid w:val="0062628A"/>
    <w:rsid w:val="0062643C"/>
    <w:rsid w:val="006269A6"/>
    <w:rsid w:val="00626A68"/>
    <w:rsid w:val="00627135"/>
    <w:rsid w:val="00630F07"/>
    <w:rsid w:val="00632B55"/>
    <w:rsid w:val="00632FD2"/>
    <w:rsid w:val="00633B7F"/>
    <w:rsid w:val="006372A3"/>
    <w:rsid w:val="0064020D"/>
    <w:rsid w:val="00640702"/>
    <w:rsid w:val="0064115C"/>
    <w:rsid w:val="0064140F"/>
    <w:rsid w:val="006414CC"/>
    <w:rsid w:val="00641780"/>
    <w:rsid w:val="00642932"/>
    <w:rsid w:val="0064347E"/>
    <w:rsid w:val="00643B74"/>
    <w:rsid w:val="00643B96"/>
    <w:rsid w:val="00644843"/>
    <w:rsid w:val="006448A0"/>
    <w:rsid w:val="0064571F"/>
    <w:rsid w:val="00646F99"/>
    <w:rsid w:val="00647988"/>
    <w:rsid w:val="00650230"/>
    <w:rsid w:val="00650250"/>
    <w:rsid w:val="006502E5"/>
    <w:rsid w:val="0065041B"/>
    <w:rsid w:val="00651F2C"/>
    <w:rsid w:val="0065282C"/>
    <w:rsid w:val="006532C0"/>
    <w:rsid w:val="00654D8D"/>
    <w:rsid w:val="00655351"/>
    <w:rsid w:val="00655B00"/>
    <w:rsid w:val="006560A2"/>
    <w:rsid w:val="00656190"/>
    <w:rsid w:val="0065651D"/>
    <w:rsid w:val="006569B0"/>
    <w:rsid w:val="00656C3A"/>
    <w:rsid w:val="00656DB8"/>
    <w:rsid w:val="00656FA4"/>
    <w:rsid w:val="00657062"/>
    <w:rsid w:val="006578DA"/>
    <w:rsid w:val="00660928"/>
    <w:rsid w:val="00660F88"/>
    <w:rsid w:val="00661F13"/>
    <w:rsid w:val="00661FF0"/>
    <w:rsid w:val="006622AF"/>
    <w:rsid w:val="00663C63"/>
    <w:rsid w:val="0066403E"/>
    <w:rsid w:val="00664F2A"/>
    <w:rsid w:val="00665D59"/>
    <w:rsid w:val="00665EAB"/>
    <w:rsid w:val="00665EED"/>
    <w:rsid w:val="006662FF"/>
    <w:rsid w:val="00666D41"/>
    <w:rsid w:val="006673CB"/>
    <w:rsid w:val="00667D81"/>
    <w:rsid w:val="00667ED2"/>
    <w:rsid w:val="0067019E"/>
    <w:rsid w:val="006703D4"/>
    <w:rsid w:val="006708DB"/>
    <w:rsid w:val="00672E84"/>
    <w:rsid w:val="00672FDB"/>
    <w:rsid w:val="0067377F"/>
    <w:rsid w:val="00673AC6"/>
    <w:rsid w:val="0067484B"/>
    <w:rsid w:val="00674D22"/>
    <w:rsid w:val="00675528"/>
    <w:rsid w:val="00675B66"/>
    <w:rsid w:val="0067644C"/>
    <w:rsid w:val="006769DD"/>
    <w:rsid w:val="0067765B"/>
    <w:rsid w:val="00680CCF"/>
    <w:rsid w:val="0068323F"/>
    <w:rsid w:val="006833DE"/>
    <w:rsid w:val="00683D97"/>
    <w:rsid w:val="006844FE"/>
    <w:rsid w:val="006859E2"/>
    <w:rsid w:val="00686BAC"/>
    <w:rsid w:val="00690066"/>
    <w:rsid w:val="006906AB"/>
    <w:rsid w:val="006911D3"/>
    <w:rsid w:val="00691556"/>
    <w:rsid w:val="0069157C"/>
    <w:rsid w:val="0069162F"/>
    <w:rsid w:val="0069262B"/>
    <w:rsid w:val="0069511C"/>
    <w:rsid w:val="00695956"/>
    <w:rsid w:val="00695E36"/>
    <w:rsid w:val="00696F26"/>
    <w:rsid w:val="006978DF"/>
    <w:rsid w:val="006A0990"/>
    <w:rsid w:val="006A1746"/>
    <w:rsid w:val="006A2892"/>
    <w:rsid w:val="006A2B6F"/>
    <w:rsid w:val="006A2F09"/>
    <w:rsid w:val="006A328B"/>
    <w:rsid w:val="006A36A0"/>
    <w:rsid w:val="006A59C7"/>
    <w:rsid w:val="006A5FEB"/>
    <w:rsid w:val="006A64D9"/>
    <w:rsid w:val="006A7FE6"/>
    <w:rsid w:val="006B0550"/>
    <w:rsid w:val="006B17B3"/>
    <w:rsid w:val="006B1942"/>
    <w:rsid w:val="006B243C"/>
    <w:rsid w:val="006B2754"/>
    <w:rsid w:val="006B3BCC"/>
    <w:rsid w:val="006B4AEE"/>
    <w:rsid w:val="006B4D6C"/>
    <w:rsid w:val="006B5C21"/>
    <w:rsid w:val="006B66AE"/>
    <w:rsid w:val="006B73A8"/>
    <w:rsid w:val="006B7477"/>
    <w:rsid w:val="006B7F06"/>
    <w:rsid w:val="006C0917"/>
    <w:rsid w:val="006C126E"/>
    <w:rsid w:val="006C25A0"/>
    <w:rsid w:val="006C3892"/>
    <w:rsid w:val="006C3EC9"/>
    <w:rsid w:val="006C4191"/>
    <w:rsid w:val="006C4E9E"/>
    <w:rsid w:val="006C5464"/>
    <w:rsid w:val="006C5895"/>
    <w:rsid w:val="006C58A7"/>
    <w:rsid w:val="006C5F7B"/>
    <w:rsid w:val="006C6BD9"/>
    <w:rsid w:val="006C7057"/>
    <w:rsid w:val="006C75CB"/>
    <w:rsid w:val="006C778E"/>
    <w:rsid w:val="006C793F"/>
    <w:rsid w:val="006D0519"/>
    <w:rsid w:val="006D07FA"/>
    <w:rsid w:val="006D1429"/>
    <w:rsid w:val="006D1EF7"/>
    <w:rsid w:val="006D21E3"/>
    <w:rsid w:val="006D24B0"/>
    <w:rsid w:val="006D3E99"/>
    <w:rsid w:val="006D3EDB"/>
    <w:rsid w:val="006D40E3"/>
    <w:rsid w:val="006D4DBA"/>
    <w:rsid w:val="006D579F"/>
    <w:rsid w:val="006D66DF"/>
    <w:rsid w:val="006D676C"/>
    <w:rsid w:val="006D7202"/>
    <w:rsid w:val="006D74DC"/>
    <w:rsid w:val="006E02A3"/>
    <w:rsid w:val="006E43C5"/>
    <w:rsid w:val="006E4432"/>
    <w:rsid w:val="006E6510"/>
    <w:rsid w:val="006E669B"/>
    <w:rsid w:val="006F009F"/>
    <w:rsid w:val="006F0750"/>
    <w:rsid w:val="006F09B1"/>
    <w:rsid w:val="006F17D9"/>
    <w:rsid w:val="006F240A"/>
    <w:rsid w:val="006F2FF2"/>
    <w:rsid w:val="006F316E"/>
    <w:rsid w:val="006F3AD4"/>
    <w:rsid w:val="006F3B61"/>
    <w:rsid w:val="006F404B"/>
    <w:rsid w:val="006F5AEA"/>
    <w:rsid w:val="006F5C7F"/>
    <w:rsid w:val="006F63DA"/>
    <w:rsid w:val="006F6717"/>
    <w:rsid w:val="006F6B57"/>
    <w:rsid w:val="006F762D"/>
    <w:rsid w:val="00700511"/>
    <w:rsid w:val="00700F7D"/>
    <w:rsid w:val="00701E3E"/>
    <w:rsid w:val="0070244A"/>
    <w:rsid w:val="00702BB3"/>
    <w:rsid w:val="007042B7"/>
    <w:rsid w:val="00704853"/>
    <w:rsid w:val="007050D7"/>
    <w:rsid w:val="0070641C"/>
    <w:rsid w:val="0070666E"/>
    <w:rsid w:val="00710282"/>
    <w:rsid w:val="007116DD"/>
    <w:rsid w:val="00711F9A"/>
    <w:rsid w:val="00712225"/>
    <w:rsid w:val="00712E6B"/>
    <w:rsid w:val="007131AA"/>
    <w:rsid w:val="00713C69"/>
    <w:rsid w:val="007153E5"/>
    <w:rsid w:val="00715AFF"/>
    <w:rsid w:val="00716442"/>
    <w:rsid w:val="0071691A"/>
    <w:rsid w:val="00716D8E"/>
    <w:rsid w:val="007216C3"/>
    <w:rsid w:val="00721E21"/>
    <w:rsid w:val="0072336F"/>
    <w:rsid w:val="007241EC"/>
    <w:rsid w:val="007255E3"/>
    <w:rsid w:val="00725992"/>
    <w:rsid w:val="00725F26"/>
    <w:rsid w:val="00730736"/>
    <w:rsid w:val="0073089E"/>
    <w:rsid w:val="00731036"/>
    <w:rsid w:val="00731B8F"/>
    <w:rsid w:val="0073266D"/>
    <w:rsid w:val="00732AF4"/>
    <w:rsid w:val="00732BA1"/>
    <w:rsid w:val="007336A6"/>
    <w:rsid w:val="0073447B"/>
    <w:rsid w:val="0073539C"/>
    <w:rsid w:val="00735FDE"/>
    <w:rsid w:val="007365C1"/>
    <w:rsid w:val="0073675E"/>
    <w:rsid w:val="0073698F"/>
    <w:rsid w:val="00736ACB"/>
    <w:rsid w:val="00737B54"/>
    <w:rsid w:val="00740283"/>
    <w:rsid w:val="007409B3"/>
    <w:rsid w:val="0074117B"/>
    <w:rsid w:val="00741D06"/>
    <w:rsid w:val="0074437A"/>
    <w:rsid w:val="00744CC1"/>
    <w:rsid w:val="0074651A"/>
    <w:rsid w:val="007472E4"/>
    <w:rsid w:val="007512BA"/>
    <w:rsid w:val="007513D1"/>
    <w:rsid w:val="00751FA7"/>
    <w:rsid w:val="007527C2"/>
    <w:rsid w:val="00752E17"/>
    <w:rsid w:val="00754247"/>
    <w:rsid w:val="007543DF"/>
    <w:rsid w:val="0075470F"/>
    <w:rsid w:val="00755035"/>
    <w:rsid w:val="00755CC0"/>
    <w:rsid w:val="00756A6A"/>
    <w:rsid w:val="00756ED8"/>
    <w:rsid w:val="00757F79"/>
    <w:rsid w:val="00760AD6"/>
    <w:rsid w:val="00760B58"/>
    <w:rsid w:val="00761A59"/>
    <w:rsid w:val="00761FC5"/>
    <w:rsid w:val="0076222D"/>
    <w:rsid w:val="00762483"/>
    <w:rsid w:val="0076248D"/>
    <w:rsid w:val="007630E9"/>
    <w:rsid w:val="0076338E"/>
    <w:rsid w:val="007633CC"/>
    <w:rsid w:val="007640D2"/>
    <w:rsid w:val="00765223"/>
    <w:rsid w:val="0076571C"/>
    <w:rsid w:val="007663BB"/>
    <w:rsid w:val="00766945"/>
    <w:rsid w:val="00771B55"/>
    <w:rsid w:val="00771C3C"/>
    <w:rsid w:val="007726F9"/>
    <w:rsid w:val="00772E12"/>
    <w:rsid w:val="00776344"/>
    <w:rsid w:val="00776F4B"/>
    <w:rsid w:val="00777C3C"/>
    <w:rsid w:val="00777E8B"/>
    <w:rsid w:val="007804D8"/>
    <w:rsid w:val="00780A41"/>
    <w:rsid w:val="00781134"/>
    <w:rsid w:val="00781282"/>
    <w:rsid w:val="0078257B"/>
    <w:rsid w:val="00782D12"/>
    <w:rsid w:val="00783618"/>
    <w:rsid w:val="007848A3"/>
    <w:rsid w:val="0078545A"/>
    <w:rsid w:val="00785F90"/>
    <w:rsid w:val="00786120"/>
    <w:rsid w:val="007874EA"/>
    <w:rsid w:val="00791915"/>
    <w:rsid w:val="00792B50"/>
    <w:rsid w:val="00793441"/>
    <w:rsid w:val="007940CD"/>
    <w:rsid w:val="00795C00"/>
    <w:rsid w:val="00797F20"/>
    <w:rsid w:val="007A0DA1"/>
    <w:rsid w:val="007A15BA"/>
    <w:rsid w:val="007A320C"/>
    <w:rsid w:val="007A4146"/>
    <w:rsid w:val="007A4356"/>
    <w:rsid w:val="007A43B3"/>
    <w:rsid w:val="007A57DE"/>
    <w:rsid w:val="007A6415"/>
    <w:rsid w:val="007A7A39"/>
    <w:rsid w:val="007A7D99"/>
    <w:rsid w:val="007A7FD0"/>
    <w:rsid w:val="007B08D7"/>
    <w:rsid w:val="007B1637"/>
    <w:rsid w:val="007B20FE"/>
    <w:rsid w:val="007B22C0"/>
    <w:rsid w:val="007B4A2E"/>
    <w:rsid w:val="007B4D48"/>
    <w:rsid w:val="007B5031"/>
    <w:rsid w:val="007B645B"/>
    <w:rsid w:val="007B7DD0"/>
    <w:rsid w:val="007C02F2"/>
    <w:rsid w:val="007C0DCD"/>
    <w:rsid w:val="007C1253"/>
    <w:rsid w:val="007C172A"/>
    <w:rsid w:val="007C1CF1"/>
    <w:rsid w:val="007C2E60"/>
    <w:rsid w:val="007C2FFD"/>
    <w:rsid w:val="007C4E65"/>
    <w:rsid w:val="007C518B"/>
    <w:rsid w:val="007C56F9"/>
    <w:rsid w:val="007C5AD1"/>
    <w:rsid w:val="007C6155"/>
    <w:rsid w:val="007C6FEF"/>
    <w:rsid w:val="007D089D"/>
    <w:rsid w:val="007D1652"/>
    <w:rsid w:val="007D43DE"/>
    <w:rsid w:val="007D4596"/>
    <w:rsid w:val="007D51B2"/>
    <w:rsid w:val="007D5400"/>
    <w:rsid w:val="007D69C0"/>
    <w:rsid w:val="007D763B"/>
    <w:rsid w:val="007D7AEE"/>
    <w:rsid w:val="007E1DD7"/>
    <w:rsid w:val="007E2958"/>
    <w:rsid w:val="007E2F37"/>
    <w:rsid w:val="007E361D"/>
    <w:rsid w:val="007E4EBA"/>
    <w:rsid w:val="007E5814"/>
    <w:rsid w:val="007E6717"/>
    <w:rsid w:val="007F0A93"/>
    <w:rsid w:val="007F0DCC"/>
    <w:rsid w:val="007F16AD"/>
    <w:rsid w:val="007F1A03"/>
    <w:rsid w:val="007F26A0"/>
    <w:rsid w:val="007F394A"/>
    <w:rsid w:val="007F3A5B"/>
    <w:rsid w:val="007F460F"/>
    <w:rsid w:val="007F59CB"/>
    <w:rsid w:val="007F5BD3"/>
    <w:rsid w:val="007F6ACC"/>
    <w:rsid w:val="007F6F8A"/>
    <w:rsid w:val="007F7829"/>
    <w:rsid w:val="007F7EB7"/>
    <w:rsid w:val="0080006E"/>
    <w:rsid w:val="00800649"/>
    <w:rsid w:val="0080153B"/>
    <w:rsid w:val="00801A72"/>
    <w:rsid w:val="00802C1D"/>
    <w:rsid w:val="00803559"/>
    <w:rsid w:val="008039C4"/>
    <w:rsid w:val="00803E0A"/>
    <w:rsid w:val="008048C7"/>
    <w:rsid w:val="008054B8"/>
    <w:rsid w:val="00811607"/>
    <w:rsid w:val="00812580"/>
    <w:rsid w:val="00812D66"/>
    <w:rsid w:val="00813270"/>
    <w:rsid w:val="0081427F"/>
    <w:rsid w:val="00814D1D"/>
    <w:rsid w:val="00815762"/>
    <w:rsid w:val="00816897"/>
    <w:rsid w:val="008169AD"/>
    <w:rsid w:val="00816DFA"/>
    <w:rsid w:val="00817C66"/>
    <w:rsid w:val="00821455"/>
    <w:rsid w:val="00823124"/>
    <w:rsid w:val="008232D4"/>
    <w:rsid w:val="008257C8"/>
    <w:rsid w:val="00826165"/>
    <w:rsid w:val="008264D3"/>
    <w:rsid w:val="00826C40"/>
    <w:rsid w:val="00826FBE"/>
    <w:rsid w:val="00830910"/>
    <w:rsid w:val="0083253B"/>
    <w:rsid w:val="00833009"/>
    <w:rsid w:val="00834484"/>
    <w:rsid w:val="00835392"/>
    <w:rsid w:val="0083553E"/>
    <w:rsid w:val="008373F9"/>
    <w:rsid w:val="0083775D"/>
    <w:rsid w:val="00840275"/>
    <w:rsid w:val="00840543"/>
    <w:rsid w:val="00840695"/>
    <w:rsid w:val="008410FE"/>
    <w:rsid w:val="0084207C"/>
    <w:rsid w:val="0084265C"/>
    <w:rsid w:val="00842F78"/>
    <w:rsid w:val="0084328B"/>
    <w:rsid w:val="00843C78"/>
    <w:rsid w:val="00843F1F"/>
    <w:rsid w:val="008440C4"/>
    <w:rsid w:val="00844E91"/>
    <w:rsid w:val="00844F63"/>
    <w:rsid w:val="00846098"/>
    <w:rsid w:val="008460EF"/>
    <w:rsid w:val="00846C7D"/>
    <w:rsid w:val="0085006F"/>
    <w:rsid w:val="008521AB"/>
    <w:rsid w:val="0085378F"/>
    <w:rsid w:val="0085394C"/>
    <w:rsid w:val="00853F24"/>
    <w:rsid w:val="008545C2"/>
    <w:rsid w:val="0085463D"/>
    <w:rsid w:val="00856545"/>
    <w:rsid w:val="00856CFF"/>
    <w:rsid w:val="00857FBA"/>
    <w:rsid w:val="008614BA"/>
    <w:rsid w:val="008616AF"/>
    <w:rsid w:val="00861CEB"/>
    <w:rsid w:val="008639FF"/>
    <w:rsid w:val="008640FC"/>
    <w:rsid w:val="00864308"/>
    <w:rsid w:val="008648B9"/>
    <w:rsid w:val="00866390"/>
    <w:rsid w:val="00867584"/>
    <w:rsid w:val="008679BD"/>
    <w:rsid w:val="00870A71"/>
    <w:rsid w:val="00873961"/>
    <w:rsid w:val="00874764"/>
    <w:rsid w:val="008774C3"/>
    <w:rsid w:val="00877F17"/>
    <w:rsid w:val="00880172"/>
    <w:rsid w:val="00880E54"/>
    <w:rsid w:val="008817B3"/>
    <w:rsid w:val="00881C93"/>
    <w:rsid w:val="00882726"/>
    <w:rsid w:val="00882785"/>
    <w:rsid w:val="00882AEB"/>
    <w:rsid w:val="00882C23"/>
    <w:rsid w:val="00885BB3"/>
    <w:rsid w:val="0088600B"/>
    <w:rsid w:val="00886720"/>
    <w:rsid w:val="0088687A"/>
    <w:rsid w:val="00886968"/>
    <w:rsid w:val="00886A3B"/>
    <w:rsid w:val="00887543"/>
    <w:rsid w:val="00887812"/>
    <w:rsid w:val="00887979"/>
    <w:rsid w:val="00887B24"/>
    <w:rsid w:val="008906B7"/>
    <w:rsid w:val="0089098E"/>
    <w:rsid w:val="0089236B"/>
    <w:rsid w:val="0089250D"/>
    <w:rsid w:val="00893B20"/>
    <w:rsid w:val="00893DFA"/>
    <w:rsid w:val="00895EB5"/>
    <w:rsid w:val="00895F60"/>
    <w:rsid w:val="00896674"/>
    <w:rsid w:val="008A118E"/>
    <w:rsid w:val="008A133E"/>
    <w:rsid w:val="008A1435"/>
    <w:rsid w:val="008A15ED"/>
    <w:rsid w:val="008A28E9"/>
    <w:rsid w:val="008A3457"/>
    <w:rsid w:val="008A3F08"/>
    <w:rsid w:val="008A4330"/>
    <w:rsid w:val="008A4BC9"/>
    <w:rsid w:val="008A62F8"/>
    <w:rsid w:val="008A7809"/>
    <w:rsid w:val="008B0472"/>
    <w:rsid w:val="008B08C3"/>
    <w:rsid w:val="008B2D51"/>
    <w:rsid w:val="008B482D"/>
    <w:rsid w:val="008B52E9"/>
    <w:rsid w:val="008B6DE1"/>
    <w:rsid w:val="008C070E"/>
    <w:rsid w:val="008C0819"/>
    <w:rsid w:val="008C1310"/>
    <w:rsid w:val="008C357E"/>
    <w:rsid w:val="008C3BB1"/>
    <w:rsid w:val="008C3D58"/>
    <w:rsid w:val="008C4082"/>
    <w:rsid w:val="008C41CA"/>
    <w:rsid w:val="008C49B4"/>
    <w:rsid w:val="008C5105"/>
    <w:rsid w:val="008C6078"/>
    <w:rsid w:val="008C6483"/>
    <w:rsid w:val="008C6EE3"/>
    <w:rsid w:val="008C7D43"/>
    <w:rsid w:val="008D1173"/>
    <w:rsid w:val="008D1478"/>
    <w:rsid w:val="008D3AFC"/>
    <w:rsid w:val="008D4C70"/>
    <w:rsid w:val="008D5424"/>
    <w:rsid w:val="008D5DE4"/>
    <w:rsid w:val="008D7B99"/>
    <w:rsid w:val="008D7BC8"/>
    <w:rsid w:val="008E1039"/>
    <w:rsid w:val="008E275B"/>
    <w:rsid w:val="008E2D1F"/>
    <w:rsid w:val="008E3E9C"/>
    <w:rsid w:val="008E3EFE"/>
    <w:rsid w:val="008E4D5B"/>
    <w:rsid w:val="008E5581"/>
    <w:rsid w:val="008E5839"/>
    <w:rsid w:val="008E5D72"/>
    <w:rsid w:val="008E6D06"/>
    <w:rsid w:val="008F0360"/>
    <w:rsid w:val="008F06ED"/>
    <w:rsid w:val="008F1167"/>
    <w:rsid w:val="008F13D6"/>
    <w:rsid w:val="008F1F02"/>
    <w:rsid w:val="008F39DD"/>
    <w:rsid w:val="008F3A5E"/>
    <w:rsid w:val="008F4390"/>
    <w:rsid w:val="008F5286"/>
    <w:rsid w:val="008F5717"/>
    <w:rsid w:val="008F588F"/>
    <w:rsid w:val="008F638A"/>
    <w:rsid w:val="008F65D3"/>
    <w:rsid w:val="008F732C"/>
    <w:rsid w:val="008F775F"/>
    <w:rsid w:val="009004A8"/>
    <w:rsid w:val="00900727"/>
    <w:rsid w:val="00901508"/>
    <w:rsid w:val="009027D5"/>
    <w:rsid w:val="0090291D"/>
    <w:rsid w:val="009034DD"/>
    <w:rsid w:val="00903814"/>
    <w:rsid w:val="00903885"/>
    <w:rsid w:val="00903C05"/>
    <w:rsid w:val="009045B6"/>
    <w:rsid w:val="00905112"/>
    <w:rsid w:val="009062ED"/>
    <w:rsid w:val="0090655A"/>
    <w:rsid w:val="00907839"/>
    <w:rsid w:val="009100E7"/>
    <w:rsid w:val="00910177"/>
    <w:rsid w:val="009108C1"/>
    <w:rsid w:val="00911003"/>
    <w:rsid w:val="00911E87"/>
    <w:rsid w:val="009121BD"/>
    <w:rsid w:val="0091297A"/>
    <w:rsid w:val="00912B96"/>
    <w:rsid w:val="00913468"/>
    <w:rsid w:val="009136AE"/>
    <w:rsid w:val="009137AC"/>
    <w:rsid w:val="0091535D"/>
    <w:rsid w:val="009163C0"/>
    <w:rsid w:val="00916620"/>
    <w:rsid w:val="00916F98"/>
    <w:rsid w:val="009172F3"/>
    <w:rsid w:val="00920D3E"/>
    <w:rsid w:val="0092180B"/>
    <w:rsid w:val="00921898"/>
    <w:rsid w:val="0092233B"/>
    <w:rsid w:val="009223C4"/>
    <w:rsid w:val="009229E6"/>
    <w:rsid w:val="00923570"/>
    <w:rsid w:val="0092530C"/>
    <w:rsid w:val="009271C7"/>
    <w:rsid w:val="0092777C"/>
    <w:rsid w:val="00930EC2"/>
    <w:rsid w:val="009332C7"/>
    <w:rsid w:val="0093340F"/>
    <w:rsid w:val="00933715"/>
    <w:rsid w:val="0093397C"/>
    <w:rsid w:val="00934C3F"/>
    <w:rsid w:val="00935064"/>
    <w:rsid w:val="009363AC"/>
    <w:rsid w:val="009434AC"/>
    <w:rsid w:val="00945C86"/>
    <w:rsid w:val="0094641E"/>
    <w:rsid w:val="00946C86"/>
    <w:rsid w:val="00947153"/>
    <w:rsid w:val="00947743"/>
    <w:rsid w:val="00947DFA"/>
    <w:rsid w:val="00950158"/>
    <w:rsid w:val="00950A41"/>
    <w:rsid w:val="0095295E"/>
    <w:rsid w:val="00954512"/>
    <w:rsid w:val="009549EC"/>
    <w:rsid w:val="00956311"/>
    <w:rsid w:val="00957843"/>
    <w:rsid w:val="009608AB"/>
    <w:rsid w:val="00960FFA"/>
    <w:rsid w:val="0096385C"/>
    <w:rsid w:val="00965448"/>
    <w:rsid w:val="00965B17"/>
    <w:rsid w:val="009660D0"/>
    <w:rsid w:val="009665B6"/>
    <w:rsid w:val="00966610"/>
    <w:rsid w:val="009669A7"/>
    <w:rsid w:val="00966AD0"/>
    <w:rsid w:val="00967252"/>
    <w:rsid w:val="00967315"/>
    <w:rsid w:val="00967730"/>
    <w:rsid w:val="00967C51"/>
    <w:rsid w:val="0097194A"/>
    <w:rsid w:val="00971D00"/>
    <w:rsid w:val="00971D6F"/>
    <w:rsid w:val="009733FE"/>
    <w:rsid w:val="0097370A"/>
    <w:rsid w:val="00975610"/>
    <w:rsid w:val="00975FF1"/>
    <w:rsid w:val="009761C8"/>
    <w:rsid w:val="00976891"/>
    <w:rsid w:val="0098071C"/>
    <w:rsid w:val="00981C49"/>
    <w:rsid w:val="009856D4"/>
    <w:rsid w:val="00985B65"/>
    <w:rsid w:val="00985FD7"/>
    <w:rsid w:val="00986C82"/>
    <w:rsid w:val="00986CD4"/>
    <w:rsid w:val="00986F0B"/>
    <w:rsid w:val="009873DF"/>
    <w:rsid w:val="00987774"/>
    <w:rsid w:val="00990551"/>
    <w:rsid w:val="00991B19"/>
    <w:rsid w:val="0099262F"/>
    <w:rsid w:val="00992871"/>
    <w:rsid w:val="009932A3"/>
    <w:rsid w:val="00993E9D"/>
    <w:rsid w:val="00994A8D"/>
    <w:rsid w:val="0099592D"/>
    <w:rsid w:val="0099726B"/>
    <w:rsid w:val="009A12FF"/>
    <w:rsid w:val="009A2357"/>
    <w:rsid w:val="009A54C7"/>
    <w:rsid w:val="009A7172"/>
    <w:rsid w:val="009A75D6"/>
    <w:rsid w:val="009B1173"/>
    <w:rsid w:val="009B186D"/>
    <w:rsid w:val="009B187D"/>
    <w:rsid w:val="009B2B6E"/>
    <w:rsid w:val="009B3510"/>
    <w:rsid w:val="009B362D"/>
    <w:rsid w:val="009B3B52"/>
    <w:rsid w:val="009B53EF"/>
    <w:rsid w:val="009B58F4"/>
    <w:rsid w:val="009B591F"/>
    <w:rsid w:val="009B6411"/>
    <w:rsid w:val="009B6ACF"/>
    <w:rsid w:val="009B7452"/>
    <w:rsid w:val="009B7E96"/>
    <w:rsid w:val="009B7EFF"/>
    <w:rsid w:val="009C0424"/>
    <w:rsid w:val="009C093A"/>
    <w:rsid w:val="009C0B2D"/>
    <w:rsid w:val="009C1172"/>
    <w:rsid w:val="009C13AC"/>
    <w:rsid w:val="009C177F"/>
    <w:rsid w:val="009C2C88"/>
    <w:rsid w:val="009C2D23"/>
    <w:rsid w:val="009C392C"/>
    <w:rsid w:val="009C44B8"/>
    <w:rsid w:val="009C483D"/>
    <w:rsid w:val="009C4CD4"/>
    <w:rsid w:val="009C5130"/>
    <w:rsid w:val="009C531C"/>
    <w:rsid w:val="009C5CC3"/>
    <w:rsid w:val="009C5F8F"/>
    <w:rsid w:val="009C74FB"/>
    <w:rsid w:val="009C7A52"/>
    <w:rsid w:val="009C7CA1"/>
    <w:rsid w:val="009D0998"/>
    <w:rsid w:val="009D1680"/>
    <w:rsid w:val="009D29B3"/>
    <w:rsid w:val="009D31D1"/>
    <w:rsid w:val="009D3696"/>
    <w:rsid w:val="009D5635"/>
    <w:rsid w:val="009D5CE3"/>
    <w:rsid w:val="009D6719"/>
    <w:rsid w:val="009D7248"/>
    <w:rsid w:val="009E2661"/>
    <w:rsid w:val="009E27AF"/>
    <w:rsid w:val="009E2F6C"/>
    <w:rsid w:val="009E37B5"/>
    <w:rsid w:val="009E40B0"/>
    <w:rsid w:val="009E420B"/>
    <w:rsid w:val="009E4C30"/>
    <w:rsid w:val="009E4D63"/>
    <w:rsid w:val="009E5F5A"/>
    <w:rsid w:val="009E61BA"/>
    <w:rsid w:val="009E6CB2"/>
    <w:rsid w:val="009F1C61"/>
    <w:rsid w:val="009F1CB7"/>
    <w:rsid w:val="009F4B8F"/>
    <w:rsid w:val="009F50EE"/>
    <w:rsid w:val="009F5658"/>
    <w:rsid w:val="009F630D"/>
    <w:rsid w:val="009F6ACB"/>
    <w:rsid w:val="00A0015B"/>
    <w:rsid w:val="00A00613"/>
    <w:rsid w:val="00A01DFB"/>
    <w:rsid w:val="00A02196"/>
    <w:rsid w:val="00A0344D"/>
    <w:rsid w:val="00A050DA"/>
    <w:rsid w:val="00A051C1"/>
    <w:rsid w:val="00A05B80"/>
    <w:rsid w:val="00A05F38"/>
    <w:rsid w:val="00A06A94"/>
    <w:rsid w:val="00A10308"/>
    <w:rsid w:val="00A114B1"/>
    <w:rsid w:val="00A1179F"/>
    <w:rsid w:val="00A118A7"/>
    <w:rsid w:val="00A12049"/>
    <w:rsid w:val="00A1213B"/>
    <w:rsid w:val="00A12DA6"/>
    <w:rsid w:val="00A1320B"/>
    <w:rsid w:val="00A13591"/>
    <w:rsid w:val="00A137DA"/>
    <w:rsid w:val="00A14107"/>
    <w:rsid w:val="00A14556"/>
    <w:rsid w:val="00A15819"/>
    <w:rsid w:val="00A15A2C"/>
    <w:rsid w:val="00A1628E"/>
    <w:rsid w:val="00A16B01"/>
    <w:rsid w:val="00A177B7"/>
    <w:rsid w:val="00A17D07"/>
    <w:rsid w:val="00A17FFE"/>
    <w:rsid w:val="00A203A4"/>
    <w:rsid w:val="00A21465"/>
    <w:rsid w:val="00A21A09"/>
    <w:rsid w:val="00A238BF"/>
    <w:rsid w:val="00A239E0"/>
    <w:rsid w:val="00A257A4"/>
    <w:rsid w:val="00A26445"/>
    <w:rsid w:val="00A26D48"/>
    <w:rsid w:val="00A26F24"/>
    <w:rsid w:val="00A2704C"/>
    <w:rsid w:val="00A27F54"/>
    <w:rsid w:val="00A27FB2"/>
    <w:rsid w:val="00A306B2"/>
    <w:rsid w:val="00A307A1"/>
    <w:rsid w:val="00A30D84"/>
    <w:rsid w:val="00A3141F"/>
    <w:rsid w:val="00A31445"/>
    <w:rsid w:val="00A32E76"/>
    <w:rsid w:val="00A330AB"/>
    <w:rsid w:val="00A3360D"/>
    <w:rsid w:val="00A337EE"/>
    <w:rsid w:val="00A35B5A"/>
    <w:rsid w:val="00A3682E"/>
    <w:rsid w:val="00A372C1"/>
    <w:rsid w:val="00A40F40"/>
    <w:rsid w:val="00A41B0E"/>
    <w:rsid w:val="00A42919"/>
    <w:rsid w:val="00A430F4"/>
    <w:rsid w:val="00A43E27"/>
    <w:rsid w:val="00A44686"/>
    <w:rsid w:val="00A4548C"/>
    <w:rsid w:val="00A4562B"/>
    <w:rsid w:val="00A469CE"/>
    <w:rsid w:val="00A47F19"/>
    <w:rsid w:val="00A50053"/>
    <w:rsid w:val="00A506BE"/>
    <w:rsid w:val="00A50BBF"/>
    <w:rsid w:val="00A51209"/>
    <w:rsid w:val="00A52580"/>
    <w:rsid w:val="00A53D88"/>
    <w:rsid w:val="00A54640"/>
    <w:rsid w:val="00A5470A"/>
    <w:rsid w:val="00A54933"/>
    <w:rsid w:val="00A555B6"/>
    <w:rsid w:val="00A557ED"/>
    <w:rsid w:val="00A5658D"/>
    <w:rsid w:val="00A569B5"/>
    <w:rsid w:val="00A56EEC"/>
    <w:rsid w:val="00A57857"/>
    <w:rsid w:val="00A601CD"/>
    <w:rsid w:val="00A61439"/>
    <w:rsid w:val="00A616CF"/>
    <w:rsid w:val="00A61A7A"/>
    <w:rsid w:val="00A61E42"/>
    <w:rsid w:val="00A64255"/>
    <w:rsid w:val="00A64B50"/>
    <w:rsid w:val="00A64C98"/>
    <w:rsid w:val="00A6566D"/>
    <w:rsid w:val="00A67CEE"/>
    <w:rsid w:val="00A7101B"/>
    <w:rsid w:val="00A720EA"/>
    <w:rsid w:val="00A72EF4"/>
    <w:rsid w:val="00A737D0"/>
    <w:rsid w:val="00A74C76"/>
    <w:rsid w:val="00A75AD7"/>
    <w:rsid w:val="00A77C81"/>
    <w:rsid w:val="00A77DC8"/>
    <w:rsid w:val="00A817BB"/>
    <w:rsid w:val="00A829F1"/>
    <w:rsid w:val="00A829F9"/>
    <w:rsid w:val="00A82BBF"/>
    <w:rsid w:val="00A82C0B"/>
    <w:rsid w:val="00A83D15"/>
    <w:rsid w:val="00A83E37"/>
    <w:rsid w:val="00A84688"/>
    <w:rsid w:val="00A84BC3"/>
    <w:rsid w:val="00A87CD7"/>
    <w:rsid w:val="00A901BB"/>
    <w:rsid w:val="00A907FA"/>
    <w:rsid w:val="00A91431"/>
    <w:rsid w:val="00A915FE"/>
    <w:rsid w:val="00A91A5A"/>
    <w:rsid w:val="00A920B4"/>
    <w:rsid w:val="00A9245F"/>
    <w:rsid w:val="00A932A9"/>
    <w:rsid w:val="00A93BEF"/>
    <w:rsid w:val="00A95288"/>
    <w:rsid w:val="00A95D05"/>
    <w:rsid w:val="00A96831"/>
    <w:rsid w:val="00A9725C"/>
    <w:rsid w:val="00A97263"/>
    <w:rsid w:val="00A97C3E"/>
    <w:rsid w:val="00AA02E7"/>
    <w:rsid w:val="00AA0446"/>
    <w:rsid w:val="00AA0E51"/>
    <w:rsid w:val="00AA22A6"/>
    <w:rsid w:val="00AA3B68"/>
    <w:rsid w:val="00AA3BD3"/>
    <w:rsid w:val="00AA521D"/>
    <w:rsid w:val="00AA5824"/>
    <w:rsid w:val="00AA59A2"/>
    <w:rsid w:val="00AA6324"/>
    <w:rsid w:val="00AA72F7"/>
    <w:rsid w:val="00AB22E0"/>
    <w:rsid w:val="00AB25C8"/>
    <w:rsid w:val="00AB266F"/>
    <w:rsid w:val="00AB2F92"/>
    <w:rsid w:val="00AB3340"/>
    <w:rsid w:val="00AB505E"/>
    <w:rsid w:val="00AB5625"/>
    <w:rsid w:val="00AB6B93"/>
    <w:rsid w:val="00AB744E"/>
    <w:rsid w:val="00AB785F"/>
    <w:rsid w:val="00AC1378"/>
    <w:rsid w:val="00AC1F29"/>
    <w:rsid w:val="00AC2F9F"/>
    <w:rsid w:val="00AC3FE5"/>
    <w:rsid w:val="00AC42D0"/>
    <w:rsid w:val="00AC468F"/>
    <w:rsid w:val="00AC66BE"/>
    <w:rsid w:val="00AC672B"/>
    <w:rsid w:val="00AC6B1F"/>
    <w:rsid w:val="00AC7810"/>
    <w:rsid w:val="00AD0697"/>
    <w:rsid w:val="00AD0E97"/>
    <w:rsid w:val="00AD1A01"/>
    <w:rsid w:val="00AD20E7"/>
    <w:rsid w:val="00AD3ADC"/>
    <w:rsid w:val="00AD4C33"/>
    <w:rsid w:val="00AD67F1"/>
    <w:rsid w:val="00AD6FF5"/>
    <w:rsid w:val="00AD7C6D"/>
    <w:rsid w:val="00AE0056"/>
    <w:rsid w:val="00AE02ED"/>
    <w:rsid w:val="00AE0751"/>
    <w:rsid w:val="00AE0E5B"/>
    <w:rsid w:val="00AE161F"/>
    <w:rsid w:val="00AE16A1"/>
    <w:rsid w:val="00AE1EC6"/>
    <w:rsid w:val="00AE2D74"/>
    <w:rsid w:val="00AE348F"/>
    <w:rsid w:val="00AE381B"/>
    <w:rsid w:val="00AE3828"/>
    <w:rsid w:val="00AE4C94"/>
    <w:rsid w:val="00AE5016"/>
    <w:rsid w:val="00AE597B"/>
    <w:rsid w:val="00AE5EEF"/>
    <w:rsid w:val="00AE63FE"/>
    <w:rsid w:val="00AE6591"/>
    <w:rsid w:val="00AF1272"/>
    <w:rsid w:val="00AF2026"/>
    <w:rsid w:val="00AF20E4"/>
    <w:rsid w:val="00AF229F"/>
    <w:rsid w:val="00AF2616"/>
    <w:rsid w:val="00AF40E9"/>
    <w:rsid w:val="00AF4637"/>
    <w:rsid w:val="00AF46AA"/>
    <w:rsid w:val="00AF4D8A"/>
    <w:rsid w:val="00AF5548"/>
    <w:rsid w:val="00AF5D4C"/>
    <w:rsid w:val="00AF73C2"/>
    <w:rsid w:val="00AF79CF"/>
    <w:rsid w:val="00B0016D"/>
    <w:rsid w:val="00B010BE"/>
    <w:rsid w:val="00B0171D"/>
    <w:rsid w:val="00B02901"/>
    <w:rsid w:val="00B02A82"/>
    <w:rsid w:val="00B04053"/>
    <w:rsid w:val="00B04B2C"/>
    <w:rsid w:val="00B0553E"/>
    <w:rsid w:val="00B06314"/>
    <w:rsid w:val="00B06C1F"/>
    <w:rsid w:val="00B072D9"/>
    <w:rsid w:val="00B07458"/>
    <w:rsid w:val="00B07564"/>
    <w:rsid w:val="00B129D9"/>
    <w:rsid w:val="00B13754"/>
    <w:rsid w:val="00B13CE2"/>
    <w:rsid w:val="00B142C1"/>
    <w:rsid w:val="00B1507C"/>
    <w:rsid w:val="00B1587D"/>
    <w:rsid w:val="00B15F49"/>
    <w:rsid w:val="00B1657E"/>
    <w:rsid w:val="00B165F2"/>
    <w:rsid w:val="00B1714D"/>
    <w:rsid w:val="00B175C7"/>
    <w:rsid w:val="00B1765C"/>
    <w:rsid w:val="00B209F5"/>
    <w:rsid w:val="00B21446"/>
    <w:rsid w:val="00B216E5"/>
    <w:rsid w:val="00B22D62"/>
    <w:rsid w:val="00B23112"/>
    <w:rsid w:val="00B23F4E"/>
    <w:rsid w:val="00B24DA9"/>
    <w:rsid w:val="00B26AE4"/>
    <w:rsid w:val="00B26FF4"/>
    <w:rsid w:val="00B27354"/>
    <w:rsid w:val="00B30414"/>
    <w:rsid w:val="00B316F4"/>
    <w:rsid w:val="00B32D16"/>
    <w:rsid w:val="00B3355F"/>
    <w:rsid w:val="00B338D2"/>
    <w:rsid w:val="00B345D6"/>
    <w:rsid w:val="00B34FCE"/>
    <w:rsid w:val="00B3671E"/>
    <w:rsid w:val="00B36E3D"/>
    <w:rsid w:val="00B374CB"/>
    <w:rsid w:val="00B375CE"/>
    <w:rsid w:val="00B401AF"/>
    <w:rsid w:val="00B40740"/>
    <w:rsid w:val="00B40B33"/>
    <w:rsid w:val="00B40CD8"/>
    <w:rsid w:val="00B43610"/>
    <w:rsid w:val="00B4388F"/>
    <w:rsid w:val="00B44720"/>
    <w:rsid w:val="00B45D4E"/>
    <w:rsid w:val="00B463D1"/>
    <w:rsid w:val="00B47261"/>
    <w:rsid w:val="00B474A5"/>
    <w:rsid w:val="00B510FC"/>
    <w:rsid w:val="00B511EB"/>
    <w:rsid w:val="00B51674"/>
    <w:rsid w:val="00B51BA4"/>
    <w:rsid w:val="00B5241D"/>
    <w:rsid w:val="00B52854"/>
    <w:rsid w:val="00B52A1D"/>
    <w:rsid w:val="00B52E81"/>
    <w:rsid w:val="00B542D5"/>
    <w:rsid w:val="00B54967"/>
    <w:rsid w:val="00B54BE8"/>
    <w:rsid w:val="00B550E4"/>
    <w:rsid w:val="00B552B8"/>
    <w:rsid w:val="00B553EC"/>
    <w:rsid w:val="00B55B03"/>
    <w:rsid w:val="00B56CF1"/>
    <w:rsid w:val="00B57233"/>
    <w:rsid w:val="00B57B19"/>
    <w:rsid w:val="00B57BB1"/>
    <w:rsid w:val="00B604EE"/>
    <w:rsid w:val="00B60B23"/>
    <w:rsid w:val="00B61252"/>
    <w:rsid w:val="00B612DD"/>
    <w:rsid w:val="00B61A19"/>
    <w:rsid w:val="00B61E1C"/>
    <w:rsid w:val="00B625E2"/>
    <w:rsid w:val="00B6283B"/>
    <w:rsid w:val="00B63102"/>
    <w:rsid w:val="00B6327E"/>
    <w:rsid w:val="00B6467F"/>
    <w:rsid w:val="00B647F0"/>
    <w:rsid w:val="00B65BA1"/>
    <w:rsid w:val="00B66737"/>
    <w:rsid w:val="00B7046D"/>
    <w:rsid w:val="00B72380"/>
    <w:rsid w:val="00B73833"/>
    <w:rsid w:val="00B7449E"/>
    <w:rsid w:val="00B74806"/>
    <w:rsid w:val="00B74886"/>
    <w:rsid w:val="00B7614C"/>
    <w:rsid w:val="00B76981"/>
    <w:rsid w:val="00B77968"/>
    <w:rsid w:val="00B801C2"/>
    <w:rsid w:val="00B80CCB"/>
    <w:rsid w:val="00B845CB"/>
    <w:rsid w:val="00B85CE4"/>
    <w:rsid w:val="00B86355"/>
    <w:rsid w:val="00B869AB"/>
    <w:rsid w:val="00B871DC"/>
    <w:rsid w:val="00B8748E"/>
    <w:rsid w:val="00B9050C"/>
    <w:rsid w:val="00B90605"/>
    <w:rsid w:val="00B924D8"/>
    <w:rsid w:val="00B93C6A"/>
    <w:rsid w:val="00B93F77"/>
    <w:rsid w:val="00B941C3"/>
    <w:rsid w:val="00B95D98"/>
    <w:rsid w:val="00B96179"/>
    <w:rsid w:val="00B964F2"/>
    <w:rsid w:val="00B969E0"/>
    <w:rsid w:val="00BA15DB"/>
    <w:rsid w:val="00BA15EE"/>
    <w:rsid w:val="00BA281A"/>
    <w:rsid w:val="00BA29D2"/>
    <w:rsid w:val="00BA2F4C"/>
    <w:rsid w:val="00BA3013"/>
    <w:rsid w:val="00BA4B9B"/>
    <w:rsid w:val="00BA5C6E"/>
    <w:rsid w:val="00BA6486"/>
    <w:rsid w:val="00BA6839"/>
    <w:rsid w:val="00BA6E3A"/>
    <w:rsid w:val="00BA6EC2"/>
    <w:rsid w:val="00BA745E"/>
    <w:rsid w:val="00BB0A7C"/>
    <w:rsid w:val="00BB0AAE"/>
    <w:rsid w:val="00BB11B2"/>
    <w:rsid w:val="00BB1E78"/>
    <w:rsid w:val="00BB2293"/>
    <w:rsid w:val="00BB22BA"/>
    <w:rsid w:val="00BB2CFB"/>
    <w:rsid w:val="00BB2F89"/>
    <w:rsid w:val="00BB3245"/>
    <w:rsid w:val="00BB3510"/>
    <w:rsid w:val="00BB3A6C"/>
    <w:rsid w:val="00BB42C3"/>
    <w:rsid w:val="00BB72B2"/>
    <w:rsid w:val="00BB7C93"/>
    <w:rsid w:val="00BB7E28"/>
    <w:rsid w:val="00BC0809"/>
    <w:rsid w:val="00BC102E"/>
    <w:rsid w:val="00BC26A4"/>
    <w:rsid w:val="00BC33AD"/>
    <w:rsid w:val="00BC34F1"/>
    <w:rsid w:val="00BC4498"/>
    <w:rsid w:val="00BC4878"/>
    <w:rsid w:val="00BC48C5"/>
    <w:rsid w:val="00BC4F67"/>
    <w:rsid w:val="00BD1382"/>
    <w:rsid w:val="00BD1A67"/>
    <w:rsid w:val="00BD2572"/>
    <w:rsid w:val="00BD3040"/>
    <w:rsid w:val="00BD4046"/>
    <w:rsid w:val="00BD42DF"/>
    <w:rsid w:val="00BD646F"/>
    <w:rsid w:val="00BD7A4E"/>
    <w:rsid w:val="00BD7C3E"/>
    <w:rsid w:val="00BE058B"/>
    <w:rsid w:val="00BE297C"/>
    <w:rsid w:val="00BE33A3"/>
    <w:rsid w:val="00BE3885"/>
    <w:rsid w:val="00BE3BF5"/>
    <w:rsid w:val="00BE3E71"/>
    <w:rsid w:val="00BE42D5"/>
    <w:rsid w:val="00BE508E"/>
    <w:rsid w:val="00BE682A"/>
    <w:rsid w:val="00BE6CA1"/>
    <w:rsid w:val="00BE7817"/>
    <w:rsid w:val="00BF0E25"/>
    <w:rsid w:val="00BF1081"/>
    <w:rsid w:val="00BF29FC"/>
    <w:rsid w:val="00BF3240"/>
    <w:rsid w:val="00BF4376"/>
    <w:rsid w:val="00BF46EB"/>
    <w:rsid w:val="00BF5BBC"/>
    <w:rsid w:val="00BF5EFE"/>
    <w:rsid w:val="00C005EF"/>
    <w:rsid w:val="00C007AC"/>
    <w:rsid w:val="00C00B5E"/>
    <w:rsid w:val="00C01B94"/>
    <w:rsid w:val="00C02315"/>
    <w:rsid w:val="00C023D3"/>
    <w:rsid w:val="00C034DC"/>
    <w:rsid w:val="00C03E2E"/>
    <w:rsid w:val="00C040B0"/>
    <w:rsid w:val="00C04147"/>
    <w:rsid w:val="00C04C45"/>
    <w:rsid w:val="00C04F17"/>
    <w:rsid w:val="00C068CD"/>
    <w:rsid w:val="00C06B1E"/>
    <w:rsid w:val="00C0748C"/>
    <w:rsid w:val="00C106F3"/>
    <w:rsid w:val="00C10833"/>
    <w:rsid w:val="00C10DBF"/>
    <w:rsid w:val="00C11B10"/>
    <w:rsid w:val="00C127B3"/>
    <w:rsid w:val="00C12D15"/>
    <w:rsid w:val="00C13543"/>
    <w:rsid w:val="00C13F73"/>
    <w:rsid w:val="00C14A2B"/>
    <w:rsid w:val="00C16472"/>
    <w:rsid w:val="00C16BC9"/>
    <w:rsid w:val="00C17381"/>
    <w:rsid w:val="00C1782B"/>
    <w:rsid w:val="00C215D3"/>
    <w:rsid w:val="00C2192E"/>
    <w:rsid w:val="00C223A1"/>
    <w:rsid w:val="00C22D6A"/>
    <w:rsid w:val="00C2347B"/>
    <w:rsid w:val="00C235D7"/>
    <w:rsid w:val="00C257D8"/>
    <w:rsid w:val="00C2709D"/>
    <w:rsid w:val="00C3023E"/>
    <w:rsid w:val="00C3125D"/>
    <w:rsid w:val="00C31CD8"/>
    <w:rsid w:val="00C332B6"/>
    <w:rsid w:val="00C346EF"/>
    <w:rsid w:val="00C35029"/>
    <w:rsid w:val="00C351BE"/>
    <w:rsid w:val="00C35DA3"/>
    <w:rsid w:val="00C360B0"/>
    <w:rsid w:val="00C36835"/>
    <w:rsid w:val="00C3703B"/>
    <w:rsid w:val="00C373AC"/>
    <w:rsid w:val="00C37B9E"/>
    <w:rsid w:val="00C40E51"/>
    <w:rsid w:val="00C41336"/>
    <w:rsid w:val="00C41DA7"/>
    <w:rsid w:val="00C424C3"/>
    <w:rsid w:val="00C43E65"/>
    <w:rsid w:val="00C451B9"/>
    <w:rsid w:val="00C45F9E"/>
    <w:rsid w:val="00C4698B"/>
    <w:rsid w:val="00C46E8A"/>
    <w:rsid w:val="00C5141D"/>
    <w:rsid w:val="00C51497"/>
    <w:rsid w:val="00C53282"/>
    <w:rsid w:val="00C5437C"/>
    <w:rsid w:val="00C606CB"/>
    <w:rsid w:val="00C607E6"/>
    <w:rsid w:val="00C60AF2"/>
    <w:rsid w:val="00C60F5D"/>
    <w:rsid w:val="00C6227D"/>
    <w:rsid w:val="00C6269B"/>
    <w:rsid w:val="00C630B9"/>
    <w:rsid w:val="00C63936"/>
    <w:rsid w:val="00C661C9"/>
    <w:rsid w:val="00C6758B"/>
    <w:rsid w:val="00C67C86"/>
    <w:rsid w:val="00C67E75"/>
    <w:rsid w:val="00C7005B"/>
    <w:rsid w:val="00C70385"/>
    <w:rsid w:val="00C728C4"/>
    <w:rsid w:val="00C72A46"/>
    <w:rsid w:val="00C72E76"/>
    <w:rsid w:val="00C72E95"/>
    <w:rsid w:val="00C741F0"/>
    <w:rsid w:val="00C74AE6"/>
    <w:rsid w:val="00C74CE6"/>
    <w:rsid w:val="00C75019"/>
    <w:rsid w:val="00C76F22"/>
    <w:rsid w:val="00C77281"/>
    <w:rsid w:val="00C77A6F"/>
    <w:rsid w:val="00C77B21"/>
    <w:rsid w:val="00C816EC"/>
    <w:rsid w:val="00C81E38"/>
    <w:rsid w:val="00C8222D"/>
    <w:rsid w:val="00C82302"/>
    <w:rsid w:val="00C8232A"/>
    <w:rsid w:val="00C83109"/>
    <w:rsid w:val="00C842C9"/>
    <w:rsid w:val="00C844EE"/>
    <w:rsid w:val="00C847BF"/>
    <w:rsid w:val="00C865E9"/>
    <w:rsid w:val="00C8662D"/>
    <w:rsid w:val="00C86B01"/>
    <w:rsid w:val="00C86F5E"/>
    <w:rsid w:val="00C9082B"/>
    <w:rsid w:val="00C91EEA"/>
    <w:rsid w:val="00C91FE1"/>
    <w:rsid w:val="00C92951"/>
    <w:rsid w:val="00C936C8"/>
    <w:rsid w:val="00C946FD"/>
    <w:rsid w:val="00C95D16"/>
    <w:rsid w:val="00C96B9B"/>
    <w:rsid w:val="00C97B32"/>
    <w:rsid w:val="00CA07AF"/>
    <w:rsid w:val="00CA0C21"/>
    <w:rsid w:val="00CA1B9B"/>
    <w:rsid w:val="00CA21CE"/>
    <w:rsid w:val="00CA2D94"/>
    <w:rsid w:val="00CA2EBA"/>
    <w:rsid w:val="00CA3B78"/>
    <w:rsid w:val="00CA3E31"/>
    <w:rsid w:val="00CA5A85"/>
    <w:rsid w:val="00CA6A90"/>
    <w:rsid w:val="00CB0BE8"/>
    <w:rsid w:val="00CB15E9"/>
    <w:rsid w:val="00CB1AE3"/>
    <w:rsid w:val="00CB2055"/>
    <w:rsid w:val="00CB2D93"/>
    <w:rsid w:val="00CB5CC0"/>
    <w:rsid w:val="00CB640A"/>
    <w:rsid w:val="00CB68EF"/>
    <w:rsid w:val="00CB7191"/>
    <w:rsid w:val="00CC0C5D"/>
    <w:rsid w:val="00CC1127"/>
    <w:rsid w:val="00CC1699"/>
    <w:rsid w:val="00CC40FD"/>
    <w:rsid w:val="00CC459A"/>
    <w:rsid w:val="00CC56BB"/>
    <w:rsid w:val="00CC640E"/>
    <w:rsid w:val="00CC66B1"/>
    <w:rsid w:val="00CC6D83"/>
    <w:rsid w:val="00CC6D85"/>
    <w:rsid w:val="00CC7142"/>
    <w:rsid w:val="00CC79CC"/>
    <w:rsid w:val="00CC7C6D"/>
    <w:rsid w:val="00CD0E31"/>
    <w:rsid w:val="00CD1774"/>
    <w:rsid w:val="00CD1D26"/>
    <w:rsid w:val="00CD2BB6"/>
    <w:rsid w:val="00CD3643"/>
    <w:rsid w:val="00CD3B23"/>
    <w:rsid w:val="00CD4D3A"/>
    <w:rsid w:val="00CD5B2E"/>
    <w:rsid w:val="00CD5FCC"/>
    <w:rsid w:val="00CD64CD"/>
    <w:rsid w:val="00CD6E42"/>
    <w:rsid w:val="00CE022F"/>
    <w:rsid w:val="00CE0612"/>
    <w:rsid w:val="00CE086A"/>
    <w:rsid w:val="00CE0E26"/>
    <w:rsid w:val="00CE2950"/>
    <w:rsid w:val="00CE2E7B"/>
    <w:rsid w:val="00CE3117"/>
    <w:rsid w:val="00CE3B7C"/>
    <w:rsid w:val="00CE4E1A"/>
    <w:rsid w:val="00CE5B25"/>
    <w:rsid w:val="00CE5B46"/>
    <w:rsid w:val="00CE5B80"/>
    <w:rsid w:val="00CE5BF6"/>
    <w:rsid w:val="00CE63D3"/>
    <w:rsid w:val="00CE6739"/>
    <w:rsid w:val="00CE700B"/>
    <w:rsid w:val="00CE7830"/>
    <w:rsid w:val="00CF0317"/>
    <w:rsid w:val="00CF0714"/>
    <w:rsid w:val="00CF120E"/>
    <w:rsid w:val="00CF17C0"/>
    <w:rsid w:val="00CF2A03"/>
    <w:rsid w:val="00CF38BF"/>
    <w:rsid w:val="00CF3E7F"/>
    <w:rsid w:val="00CF3F92"/>
    <w:rsid w:val="00CF4976"/>
    <w:rsid w:val="00CF5A69"/>
    <w:rsid w:val="00CF676A"/>
    <w:rsid w:val="00D00CB5"/>
    <w:rsid w:val="00D02B3A"/>
    <w:rsid w:val="00D03FA7"/>
    <w:rsid w:val="00D06ACA"/>
    <w:rsid w:val="00D07095"/>
    <w:rsid w:val="00D07F9B"/>
    <w:rsid w:val="00D107BE"/>
    <w:rsid w:val="00D10B29"/>
    <w:rsid w:val="00D10C10"/>
    <w:rsid w:val="00D1171A"/>
    <w:rsid w:val="00D11883"/>
    <w:rsid w:val="00D1217B"/>
    <w:rsid w:val="00D122BD"/>
    <w:rsid w:val="00D127ED"/>
    <w:rsid w:val="00D13203"/>
    <w:rsid w:val="00D13C0D"/>
    <w:rsid w:val="00D13C58"/>
    <w:rsid w:val="00D14125"/>
    <w:rsid w:val="00D14C69"/>
    <w:rsid w:val="00D159AF"/>
    <w:rsid w:val="00D164F6"/>
    <w:rsid w:val="00D165E5"/>
    <w:rsid w:val="00D178F8"/>
    <w:rsid w:val="00D20502"/>
    <w:rsid w:val="00D20A03"/>
    <w:rsid w:val="00D20D7D"/>
    <w:rsid w:val="00D20D82"/>
    <w:rsid w:val="00D21A8E"/>
    <w:rsid w:val="00D21E4A"/>
    <w:rsid w:val="00D225E5"/>
    <w:rsid w:val="00D228B3"/>
    <w:rsid w:val="00D232DF"/>
    <w:rsid w:val="00D2455F"/>
    <w:rsid w:val="00D24E42"/>
    <w:rsid w:val="00D25A59"/>
    <w:rsid w:val="00D26272"/>
    <w:rsid w:val="00D27A7C"/>
    <w:rsid w:val="00D310EA"/>
    <w:rsid w:val="00D31C54"/>
    <w:rsid w:val="00D32C45"/>
    <w:rsid w:val="00D33720"/>
    <w:rsid w:val="00D33E64"/>
    <w:rsid w:val="00D3452D"/>
    <w:rsid w:val="00D34FD8"/>
    <w:rsid w:val="00D3546B"/>
    <w:rsid w:val="00D37301"/>
    <w:rsid w:val="00D40150"/>
    <w:rsid w:val="00D42BC0"/>
    <w:rsid w:val="00D438DE"/>
    <w:rsid w:val="00D441E2"/>
    <w:rsid w:val="00D467D4"/>
    <w:rsid w:val="00D477F0"/>
    <w:rsid w:val="00D47B38"/>
    <w:rsid w:val="00D47E0D"/>
    <w:rsid w:val="00D51150"/>
    <w:rsid w:val="00D51867"/>
    <w:rsid w:val="00D51D85"/>
    <w:rsid w:val="00D51EF6"/>
    <w:rsid w:val="00D52A3A"/>
    <w:rsid w:val="00D53DED"/>
    <w:rsid w:val="00D54290"/>
    <w:rsid w:val="00D54E5F"/>
    <w:rsid w:val="00D5534D"/>
    <w:rsid w:val="00D55AAD"/>
    <w:rsid w:val="00D55DF5"/>
    <w:rsid w:val="00D55F42"/>
    <w:rsid w:val="00D55F54"/>
    <w:rsid w:val="00D566B1"/>
    <w:rsid w:val="00D56F40"/>
    <w:rsid w:val="00D57F76"/>
    <w:rsid w:val="00D60435"/>
    <w:rsid w:val="00D60A73"/>
    <w:rsid w:val="00D61785"/>
    <w:rsid w:val="00D61DDC"/>
    <w:rsid w:val="00D63946"/>
    <w:rsid w:val="00D64997"/>
    <w:rsid w:val="00D64D8F"/>
    <w:rsid w:val="00D65B00"/>
    <w:rsid w:val="00D65D5C"/>
    <w:rsid w:val="00D66BEA"/>
    <w:rsid w:val="00D66CEF"/>
    <w:rsid w:val="00D671BB"/>
    <w:rsid w:val="00D673A9"/>
    <w:rsid w:val="00D67B5D"/>
    <w:rsid w:val="00D67EE0"/>
    <w:rsid w:val="00D70377"/>
    <w:rsid w:val="00D72128"/>
    <w:rsid w:val="00D72277"/>
    <w:rsid w:val="00D734D7"/>
    <w:rsid w:val="00D735BD"/>
    <w:rsid w:val="00D738F7"/>
    <w:rsid w:val="00D746F0"/>
    <w:rsid w:val="00D74B6C"/>
    <w:rsid w:val="00D7588F"/>
    <w:rsid w:val="00D759E8"/>
    <w:rsid w:val="00D75A18"/>
    <w:rsid w:val="00D75C30"/>
    <w:rsid w:val="00D760CE"/>
    <w:rsid w:val="00D76FB9"/>
    <w:rsid w:val="00D804A0"/>
    <w:rsid w:val="00D8055F"/>
    <w:rsid w:val="00D80C4B"/>
    <w:rsid w:val="00D80FFE"/>
    <w:rsid w:val="00D84C98"/>
    <w:rsid w:val="00D84D86"/>
    <w:rsid w:val="00D85235"/>
    <w:rsid w:val="00D85BB9"/>
    <w:rsid w:val="00D86DEC"/>
    <w:rsid w:val="00D87BE5"/>
    <w:rsid w:val="00D90491"/>
    <w:rsid w:val="00D90575"/>
    <w:rsid w:val="00D911B1"/>
    <w:rsid w:val="00D91249"/>
    <w:rsid w:val="00D91B40"/>
    <w:rsid w:val="00D92373"/>
    <w:rsid w:val="00D92542"/>
    <w:rsid w:val="00D93C02"/>
    <w:rsid w:val="00D941AC"/>
    <w:rsid w:val="00D943AA"/>
    <w:rsid w:val="00D944BE"/>
    <w:rsid w:val="00D94F5E"/>
    <w:rsid w:val="00D954B5"/>
    <w:rsid w:val="00D9599A"/>
    <w:rsid w:val="00D95FF1"/>
    <w:rsid w:val="00D97172"/>
    <w:rsid w:val="00DA001C"/>
    <w:rsid w:val="00DA03F5"/>
    <w:rsid w:val="00DA2ABC"/>
    <w:rsid w:val="00DA2F45"/>
    <w:rsid w:val="00DA3CCD"/>
    <w:rsid w:val="00DA4B4C"/>
    <w:rsid w:val="00DA5695"/>
    <w:rsid w:val="00DA6D13"/>
    <w:rsid w:val="00DA78BB"/>
    <w:rsid w:val="00DA7C0D"/>
    <w:rsid w:val="00DB0AD3"/>
    <w:rsid w:val="00DB2776"/>
    <w:rsid w:val="00DB2D26"/>
    <w:rsid w:val="00DB2D65"/>
    <w:rsid w:val="00DB2F49"/>
    <w:rsid w:val="00DB6292"/>
    <w:rsid w:val="00DB65C5"/>
    <w:rsid w:val="00DB66C5"/>
    <w:rsid w:val="00DB6B01"/>
    <w:rsid w:val="00DB755F"/>
    <w:rsid w:val="00DC0477"/>
    <w:rsid w:val="00DC13F6"/>
    <w:rsid w:val="00DC157A"/>
    <w:rsid w:val="00DC1EFE"/>
    <w:rsid w:val="00DC29D9"/>
    <w:rsid w:val="00DC2CBC"/>
    <w:rsid w:val="00DC303D"/>
    <w:rsid w:val="00DC32E3"/>
    <w:rsid w:val="00DC5B95"/>
    <w:rsid w:val="00DC6117"/>
    <w:rsid w:val="00DC62B9"/>
    <w:rsid w:val="00DC681A"/>
    <w:rsid w:val="00DD1906"/>
    <w:rsid w:val="00DD29C7"/>
    <w:rsid w:val="00DD2DCB"/>
    <w:rsid w:val="00DD3B3F"/>
    <w:rsid w:val="00DD58A9"/>
    <w:rsid w:val="00DD646D"/>
    <w:rsid w:val="00DD7D02"/>
    <w:rsid w:val="00DE1076"/>
    <w:rsid w:val="00DE141A"/>
    <w:rsid w:val="00DE187A"/>
    <w:rsid w:val="00DE2911"/>
    <w:rsid w:val="00DE2D9B"/>
    <w:rsid w:val="00DE3819"/>
    <w:rsid w:val="00DE393A"/>
    <w:rsid w:val="00DE39A0"/>
    <w:rsid w:val="00DE4519"/>
    <w:rsid w:val="00DE4AF8"/>
    <w:rsid w:val="00DE55B7"/>
    <w:rsid w:val="00DE765A"/>
    <w:rsid w:val="00DF011B"/>
    <w:rsid w:val="00DF3768"/>
    <w:rsid w:val="00DF44A4"/>
    <w:rsid w:val="00DF519E"/>
    <w:rsid w:val="00DF61A0"/>
    <w:rsid w:val="00DF648E"/>
    <w:rsid w:val="00DF74FE"/>
    <w:rsid w:val="00E00A08"/>
    <w:rsid w:val="00E01550"/>
    <w:rsid w:val="00E015CF"/>
    <w:rsid w:val="00E03021"/>
    <w:rsid w:val="00E038DD"/>
    <w:rsid w:val="00E04170"/>
    <w:rsid w:val="00E045AB"/>
    <w:rsid w:val="00E05B0D"/>
    <w:rsid w:val="00E05DA2"/>
    <w:rsid w:val="00E05E9C"/>
    <w:rsid w:val="00E067E4"/>
    <w:rsid w:val="00E073E9"/>
    <w:rsid w:val="00E10296"/>
    <w:rsid w:val="00E106BE"/>
    <w:rsid w:val="00E126D8"/>
    <w:rsid w:val="00E12995"/>
    <w:rsid w:val="00E133A0"/>
    <w:rsid w:val="00E15224"/>
    <w:rsid w:val="00E16149"/>
    <w:rsid w:val="00E16284"/>
    <w:rsid w:val="00E162B5"/>
    <w:rsid w:val="00E1640A"/>
    <w:rsid w:val="00E177B0"/>
    <w:rsid w:val="00E17C3F"/>
    <w:rsid w:val="00E17D1D"/>
    <w:rsid w:val="00E20880"/>
    <w:rsid w:val="00E2133F"/>
    <w:rsid w:val="00E21927"/>
    <w:rsid w:val="00E21EAD"/>
    <w:rsid w:val="00E22345"/>
    <w:rsid w:val="00E22411"/>
    <w:rsid w:val="00E233BD"/>
    <w:rsid w:val="00E235F2"/>
    <w:rsid w:val="00E2417D"/>
    <w:rsid w:val="00E24D38"/>
    <w:rsid w:val="00E2511F"/>
    <w:rsid w:val="00E267AE"/>
    <w:rsid w:val="00E27544"/>
    <w:rsid w:val="00E3007E"/>
    <w:rsid w:val="00E319C6"/>
    <w:rsid w:val="00E3293C"/>
    <w:rsid w:val="00E32EB7"/>
    <w:rsid w:val="00E32F14"/>
    <w:rsid w:val="00E33FAA"/>
    <w:rsid w:val="00E33FBD"/>
    <w:rsid w:val="00E340A3"/>
    <w:rsid w:val="00E3465C"/>
    <w:rsid w:val="00E35F89"/>
    <w:rsid w:val="00E35FDD"/>
    <w:rsid w:val="00E362EF"/>
    <w:rsid w:val="00E36FC0"/>
    <w:rsid w:val="00E37D79"/>
    <w:rsid w:val="00E40B4C"/>
    <w:rsid w:val="00E40CB9"/>
    <w:rsid w:val="00E40D74"/>
    <w:rsid w:val="00E41C13"/>
    <w:rsid w:val="00E421A6"/>
    <w:rsid w:val="00E4237B"/>
    <w:rsid w:val="00E43842"/>
    <w:rsid w:val="00E465B5"/>
    <w:rsid w:val="00E47EAC"/>
    <w:rsid w:val="00E5001F"/>
    <w:rsid w:val="00E50614"/>
    <w:rsid w:val="00E51335"/>
    <w:rsid w:val="00E51D36"/>
    <w:rsid w:val="00E520D6"/>
    <w:rsid w:val="00E53129"/>
    <w:rsid w:val="00E532F6"/>
    <w:rsid w:val="00E536DD"/>
    <w:rsid w:val="00E53D6A"/>
    <w:rsid w:val="00E54D97"/>
    <w:rsid w:val="00E54DDB"/>
    <w:rsid w:val="00E54ED2"/>
    <w:rsid w:val="00E555ED"/>
    <w:rsid w:val="00E55A7F"/>
    <w:rsid w:val="00E5692F"/>
    <w:rsid w:val="00E56FB1"/>
    <w:rsid w:val="00E572A8"/>
    <w:rsid w:val="00E6047E"/>
    <w:rsid w:val="00E604CD"/>
    <w:rsid w:val="00E62A7C"/>
    <w:rsid w:val="00E62B22"/>
    <w:rsid w:val="00E62CC0"/>
    <w:rsid w:val="00E65B5A"/>
    <w:rsid w:val="00E66AA5"/>
    <w:rsid w:val="00E67B75"/>
    <w:rsid w:val="00E705A5"/>
    <w:rsid w:val="00E70D9D"/>
    <w:rsid w:val="00E717F9"/>
    <w:rsid w:val="00E71946"/>
    <w:rsid w:val="00E719CF"/>
    <w:rsid w:val="00E72337"/>
    <w:rsid w:val="00E725A3"/>
    <w:rsid w:val="00E727BF"/>
    <w:rsid w:val="00E738A0"/>
    <w:rsid w:val="00E74C5C"/>
    <w:rsid w:val="00E7527F"/>
    <w:rsid w:val="00E754A5"/>
    <w:rsid w:val="00E75BEB"/>
    <w:rsid w:val="00E75E0C"/>
    <w:rsid w:val="00E763F7"/>
    <w:rsid w:val="00E77496"/>
    <w:rsid w:val="00E77624"/>
    <w:rsid w:val="00E77D7E"/>
    <w:rsid w:val="00E77E2F"/>
    <w:rsid w:val="00E8180A"/>
    <w:rsid w:val="00E81A4F"/>
    <w:rsid w:val="00E82D42"/>
    <w:rsid w:val="00E8383C"/>
    <w:rsid w:val="00E8632D"/>
    <w:rsid w:val="00E8648E"/>
    <w:rsid w:val="00E9020B"/>
    <w:rsid w:val="00E903C3"/>
    <w:rsid w:val="00E9234E"/>
    <w:rsid w:val="00E930EF"/>
    <w:rsid w:val="00E93509"/>
    <w:rsid w:val="00E936CB"/>
    <w:rsid w:val="00E94153"/>
    <w:rsid w:val="00E957E1"/>
    <w:rsid w:val="00E95AC5"/>
    <w:rsid w:val="00E977F1"/>
    <w:rsid w:val="00EA2412"/>
    <w:rsid w:val="00EA323C"/>
    <w:rsid w:val="00EA4B14"/>
    <w:rsid w:val="00EA4FE1"/>
    <w:rsid w:val="00EA5244"/>
    <w:rsid w:val="00EA5E5C"/>
    <w:rsid w:val="00EA69EC"/>
    <w:rsid w:val="00EB0CA7"/>
    <w:rsid w:val="00EB1F5C"/>
    <w:rsid w:val="00EB3499"/>
    <w:rsid w:val="00EB37A9"/>
    <w:rsid w:val="00EB53A3"/>
    <w:rsid w:val="00EB5B27"/>
    <w:rsid w:val="00EB6139"/>
    <w:rsid w:val="00EB63B6"/>
    <w:rsid w:val="00EB6CDD"/>
    <w:rsid w:val="00EC0511"/>
    <w:rsid w:val="00EC054A"/>
    <w:rsid w:val="00EC1736"/>
    <w:rsid w:val="00EC3514"/>
    <w:rsid w:val="00EC47A7"/>
    <w:rsid w:val="00EC5EEF"/>
    <w:rsid w:val="00EC630D"/>
    <w:rsid w:val="00EC6C45"/>
    <w:rsid w:val="00ED053F"/>
    <w:rsid w:val="00ED127D"/>
    <w:rsid w:val="00ED20E6"/>
    <w:rsid w:val="00ED2904"/>
    <w:rsid w:val="00ED2CFA"/>
    <w:rsid w:val="00ED2E7B"/>
    <w:rsid w:val="00ED339E"/>
    <w:rsid w:val="00ED423F"/>
    <w:rsid w:val="00ED4485"/>
    <w:rsid w:val="00ED48B0"/>
    <w:rsid w:val="00ED4E3C"/>
    <w:rsid w:val="00ED7B4F"/>
    <w:rsid w:val="00EE0547"/>
    <w:rsid w:val="00EE0EB0"/>
    <w:rsid w:val="00EE1A3C"/>
    <w:rsid w:val="00EE1B4C"/>
    <w:rsid w:val="00EE25DB"/>
    <w:rsid w:val="00EE53E8"/>
    <w:rsid w:val="00EE5B2B"/>
    <w:rsid w:val="00EE5D92"/>
    <w:rsid w:val="00EE7654"/>
    <w:rsid w:val="00EF12B8"/>
    <w:rsid w:val="00EF1987"/>
    <w:rsid w:val="00EF1F79"/>
    <w:rsid w:val="00EF20D0"/>
    <w:rsid w:val="00EF36E7"/>
    <w:rsid w:val="00EF3C1A"/>
    <w:rsid w:val="00EF402D"/>
    <w:rsid w:val="00EF4126"/>
    <w:rsid w:val="00EF6022"/>
    <w:rsid w:val="00EF7A31"/>
    <w:rsid w:val="00EF7DC8"/>
    <w:rsid w:val="00F01AA0"/>
    <w:rsid w:val="00F02F97"/>
    <w:rsid w:val="00F03129"/>
    <w:rsid w:val="00F0330C"/>
    <w:rsid w:val="00F0379E"/>
    <w:rsid w:val="00F03BBD"/>
    <w:rsid w:val="00F03C82"/>
    <w:rsid w:val="00F056DD"/>
    <w:rsid w:val="00F05E66"/>
    <w:rsid w:val="00F062AA"/>
    <w:rsid w:val="00F06995"/>
    <w:rsid w:val="00F06D4A"/>
    <w:rsid w:val="00F06D87"/>
    <w:rsid w:val="00F10940"/>
    <w:rsid w:val="00F11919"/>
    <w:rsid w:val="00F12895"/>
    <w:rsid w:val="00F15637"/>
    <w:rsid w:val="00F1579B"/>
    <w:rsid w:val="00F17DAC"/>
    <w:rsid w:val="00F20584"/>
    <w:rsid w:val="00F2166D"/>
    <w:rsid w:val="00F217E2"/>
    <w:rsid w:val="00F21A9E"/>
    <w:rsid w:val="00F22D21"/>
    <w:rsid w:val="00F22EB6"/>
    <w:rsid w:val="00F22EFB"/>
    <w:rsid w:val="00F22FAC"/>
    <w:rsid w:val="00F23232"/>
    <w:rsid w:val="00F2457E"/>
    <w:rsid w:val="00F24B70"/>
    <w:rsid w:val="00F24D2F"/>
    <w:rsid w:val="00F2533E"/>
    <w:rsid w:val="00F2542C"/>
    <w:rsid w:val="00F25A43"/>
    <w:rsid w:val="00F265F4"/>
    <w:rsid w:val="00F270D5"/>
    <w:rsid w:val="00F27732"/>
    <w:rsid w:val="00F3046A"/>
    <w:rsid w:val="00F30570"/>
    <w:rsid w:val="00F318E7"/>
    <w:rsid w:val="00F3452A"/>
    <w:rsid w:val="00F34983"/>
    <w:rsid w:val="00F3575D"/>
    <w:rsid w:val="00F367BA"/>
    <w:rsid w:val="00F40805"/>
    <w:rsid w:val="00F416BC"/>
    <w:rsid w:val="00F41B15"/>
    <w:rsid w:val="00F4222A"/>
    <w:rsid w:val="00F42920"/>
    <w:rsid w:val="00F449AB"/>
    <w:rsid w:val="00F44F51"/>
    <w:rsid w:val="00F44F53"/>
    <w:rsid w:val="00F4525C"/>
    <w:rsid w:val="00F46380"/>
    <w:rsid w:val="00F46FDC"/>
    <w:rsid w:val="00F47742"/>
    <w:rsid w:val="00F47B64"/>
    <w:rsid w:val="00F501F2"/>
    <w:rsid w:val="00F50503"/>
    <w:rsid w:val="00F519E9"/>
    <w:rsid w:val="00F5241A"/>
    <w:rsid w:val="00F539A7"/>
    <w:rsid w:val="00F549C4"/>
    <w:rsid w:val="00F54B02"/>
    <w:rsid w:val="00F54B6C"/>
    <w:rsid w:val="00F54E8E"/>
    <w:rsid w:val="00F54EAC"/>
    <w:rsid w:val="00F552C2"/>
    <w:rsid w:val="00F566FB"/>
    <w:rsid w:val="00F56D24"/>
    <w:rsid w:val="00F57632"/>
    <w:rsid w:val="00F579EF"/>
    <w:rsid w:val="00F60F0F"/>
    <w:rsid w:val="00F61BF7"/>
    <w:rsid w:val="00F61FE1"/>
    <w:rsid w:val="00F6258A"/>
    <w:rsid w:val="00F62A72"/>
    <w:rsid w:val="00F62D78"/>
    <w:rsid w:val="00F63CEB"/>
    <w:rsid w:val="00F64077"/>
    <w:rsid w:val="00F6486B"/>
    <w:rsid w:val="00F64BFB"/>
    <w:rsid w:val="00F65190"/>
    <w:rsid w:val="00F65F2C"/>
    <w:rsid w:val="00F67DC1"/>
    <w:rsid w:val="00F70483"/>
    <w:rsid w:val="00F70BE5"/>
    <w:rsid w:val="00F7154B"/>
    <w:rsid w:val="00F722C7"/>
    <w:rsid w:val="00F73E11"/>
    <w:rsid w:val="00F74DFB"/>
    <w:rsid w:val="00F76661"/>
    <w:rsid w:val="00F76DA5"/>
    <w:rsid w:val="00F800CF"/>
    <w:rsid w:val="00F8096C"/>
    <w:rsid w:val="00F8104C"/>
    <w:rsid w:val="00F81849"/>
    <w:rsid w:val="00F8217A"/>
    <w:rsid w:val="00F82946"/>
    <w:rsid w:val="00F83ABC"/>
    <w:rsid w:val="00F84F5A"/>
    <w:rsid w:val="00F8792D"/>
    <w:rsid w:val="00F87D69"/>
    <w:rsid w:val="00F9001C"/>
    <w:rsid w:val="00F90642"/>
    <w:rsid w:val="00F91648"/>
    <w:rsid w:val="00F91FC8"/>
    <w:rsid w:val="00F925A6"/>
    <w:rsid w:val="00F92CFC"/>
    <w:rsid w:val="00F945E3"/>
    <w:rsid w:val="00F946B5"/>
    <w:rsid w:val="00F94C56"/>
    <w:rsid w:val="00F94C9D"/>
    <w:rsid w:val="00F95297"/>
    <w:rsid w:val="00F95A0F"/>
    <w:rsid w:val="00F96170"/>
    <w:rsid w:val="00FA0D0E"/>
    <w:rsid w:val="00FA15BC"/>
    <w:rsid w:val="00FA224B"/>
    <w:rsid w:val="00FA38C5"/>
    <w:rsid w:val="00FA411E"/>
    <w:rsid w:val="00FA4708"/>
    <w:rsid w:val="00FA4752"/>
    <w:rsid w:val="00FA4FA1"/>
    <w:rsid w:val="00FA594B"/>
    <w:rsid w:val="00FA5D7E"/>
    <w:rsid w:val="00FA604E"/>
    <w:rsid w:val="00FA6071"/>
    <w:rsid w:val="00FA6136"/>
    <w:rsid w:val="00FA66CB"/>
    <w:rsid w:val="00FA6861"/>
    <w:rsid w:val="00FA71E7"/>
    <w:rsid w:val="00FA773B"/>
    <w:rsid w:val="00FA791F"/>
    <w:rsid w:val="00FA7DF3"/>
    <w:rsid w:val="00FB0594"/>
    <w:rsid w:val="00FB2153"/>
    <w:rsid w:val="00FB21F6"/>
    <w:rsid w:val="00FB3602"/>
    <w:rsid w:val="00FB3F4C"/>
    <w:rsid w:val="00FB64C7"/>
    <w:rsid w:val="00FB7340"/>
    <w:rsid w:val="00FC047C"/>
    <w:rsid w:val="00FC0491"/>
    <w:rsid w:val="00FC0F00"/>
    <w:rsid w:val="00FC0F4E"/>
    <w:rsid w:val="00FC1E62"/>
    <w:rsid w:val="00FC2ACC"/>
    <w:rsid w:val="00FC36FB"/>
    <w:rsid w:val="00FC4285"/>
    <w:rsid w:val="00FC5484"/>
    <w:rsid w:val="00FC5E47"/>
    <w:rsid w:val="00FC6120"/>
    <w:rsid w:val="00FC7587"/>
    <w:rsid w:val="00FC78CC"/>
    <w:rsid w:val="00FC7F22"/>
    <w:rsid w:val="00FD11C6"/>
    <w:rsid w:val="00FD4138"/>
    <w:rsid w:val="00FD44E6"/>
    <w:rsid w:val="00FD551F"/>
    <w:rsid w:val="00FD584D"/>
    <w:rsid w:val="00FD76E0"/>
    <w:rsid w:val="00FD7F4A"/>
    <w:rsid w:val="00FE0CE0"/>
    <w:rsid w:val="00FE1134"/>
    <w:rsid w:val="00FE262C"/>
    <w:rsid w:val="00FE2A94"/>
    <w:rsid w:val="00FE3069"/>
    <w:rsid w:val="00FE522B"/>
    <w:rsid w:val="00FE535E"/>
    <w:rsid w:val="00FE6030"/>
    <w:rsid w:val="00FE6D97"/>
    <w:rsid w:val="00FE79DE"/>
    <w:rsid w:val="00FE7CDC"/>
    <w:rsid w:val="00FF08C2"/>
    <w:rsid w:val="00FF12AA"/>
    <w:rsid w:val="00FF17F8"/>
    <w:rsid w:val="00FF18B9"/>
    <w:rsid w:val="00FF1B43"/>
    <w:rsid w:val="00FF2BFE"/>
    <w:rsid w:val="00FF3876"/>
    <w:rsid w:val="00FF5834"/>
    <w:rsid w:val="00FF6729"/>
    <w:rsid w:val="00FF6912"/>
    <w:rsid w:val="00FF6A2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semiHidden/>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link w:val="NormalWebChar"/>
    <w:rsid w:val="00575B7F"/>
    <w:pPr>
      <w:spacing w:before="75" w:after="75"/>
    </w:pPr>
    <w:rPr>
      <w:rFonts w:eastAsia="SimSun"/>
      <w:noProof/>
      <w:lang w:eastAsia="zh-CN"/>
    </w:rPr>
  </w:style>
  <w:style w:type="paragraph" w:customStyle="1" w:styleId="naiskr">
    <w:name w:val="naiskr"/>
    <w:basedOn w:val="Normal"/>
    <w:uiPriority w:val="99"/>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semiHidden/>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link w:val="NoSpacingChar"/>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 w:type="character" w:styleId="Emphasis">
    <w:name w:val="Emphasis"/>
    <w:basedOn w:val="DefaultParagraphFont"/>
    <w:qFormat/>
    <w:locked/>
    <w:rsid w:val="00B76981"/>
    <w:rPr>
      <w:i/>
      <w:iCs/>
    </w:rPr>
  </w:style>
  <w:style w:type="character" w:customStyle="1" w:styleId="NormalWebChar">
    <w:name w:val="Normal (Web) Char"/>
    <w:basedOn w:val="DefaultParagraphFont"/>
    <w:link w:val="NormalWeb"/>
    <w:rsid w:val="006C793F"/>
    <w:rPr>
      <w:rFonts w:eastAsia="SimSun"/>
      <w:noProof/>
      <w:sz w:val="24"/>
      <w:szCs w:val="24"/>
      <w:lang w:eastAsia="zh-CN"/>
    </w:rPr>
  </w:style>
  <w:style w:type="character" w:customStyle="1" w:styleId="NoSpacingChar">
    <w:name w:val="No Spacing Char"/>
    <w:basedOn w:val="DefaultParagraphFont"/>
    <w:link w:val="NoSpacing"/>
    <w:uiPriority w:val="1"/>
    <w:rsid w:val="002D6117"/>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semiHidden/>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link w:val="NormalWebChar"/>
    <w:rsid w:val="00575B7F"/>
    <w:pPr>
      <w:spacing w:before="75" w:after="75"/>
    </w:pPr>
    <w:rPr>
      <w:rFonts w:eastAsia="SimSun"/>
      <w:noProof/>
      <w:lang w:eastAsia="zh-CN"/>
    </w:rPr>
  </w:style>
  <w:style w:type="paragraph" w:customStyle="1" w:styleId="naiskr">
    <w:name w:val="naiskr"/>
    <w:basedOn w:val="Normal"/>
    <w:uiPriority w:val="99"/>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semiHidden/>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 w:type="character" w:styleId="Emphasis">
    <w:name w:val="Emphasis"/>
    <w:basedOn w:val="DefaultParagraphFont"/>
    <w:qFormat/>
    <w:locked/>
    <w:rsid w:val="00B76981"/>
    <w:rPr>
      <w:i/>
      <w:iCs/>
    </w:rPr>
  </w:style>
  <w:style w:type="character" w:customStyle="1" w:styleId="NormalWebChar">
    <w:name w:val="Normal (Web) Char"/>
    <w:basedOn w:val="DefaultParagraphFont"/>
    <w:link w:val="NormalWeb"/>
    <w:rsid w:val="006C793F"/>
    <w:rPr>
      <w:rFonts w:eastAsia="SimSun"/>
      <w:noProof/>
      <w:sz w:val="24"/>
      <w:szCs w:val="24"/>
      <w:lang w:eastAsia="zh-CN"/>
    </w:rPr>
  </w:style>
</w:styles>
</file>

<file path=word/webSettings.xml><?xml version="1.0" encoding="utf-8"?>
<w:webSettings xmlns:r="http://schemas.openxmlformats.org/officeDocument/2006/relationships" xmlns:w="http://schemas.openxmlformats.org/wordprocessingml/2006/main">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453719708">
      <w:bodyDiv w:val="1"/>
      <w:marLeft w:val="0"/>
      <w:marRight w:val="0"/>
      <w:marTop w:val="0"/>
      <w:marBottom w:val="0"/>
      <w:divBdr>
        <w:top w:val="none" w:sz="0" w:space="0" w:color="auto"/>
        <w:left w:val="none" w:sz="0" w:space="0" w:color="auto"/>
        <w:bottom w:val="none" w:sz="0" w:space="0" w:color="auto"/>
        <w:right w:val="none" w:sz="0" w:space="0" w:color="auto"/>
      </w:divBdr>
      <w:divsChild>
        <w:div w:id="1594893782">
          <w:marLeft w:val="0"/>
          <w:marRight w:val="0"/>
          <w:marTop w:val="0"/>
          <w:marBottom w:val="0"/>
          <w:divBdr>
            <w:top w:val="none" w:sz="0" w:space="0" w:color="auto"/>
            <w:left w:val="none" w:sz="0" w:space="0" w:color="auto"/>
            <w:bottom w:val="none" w:sz="0" w:space="0" w:color="auto"/>
            <w:right w:val="none" w:sz="0" w:space="0" w:color="auto"/>
          </w:divBdr>
          <w:divsChild>
            <w:div w:id="1455902871">
              <w:marLeft w:val="0"/>
              <w:marRight w:val="0"/>
              <w:marTop w:val="0"/>
              <w:marBottom w:val="0"/>
              <w:divBdr>
                <w:top w:val="none" w:sz="0" w:space="0" w:color="auto"/>
                <w:left w:val="none" w:sz="0" w:space="0" w:color="auto"/>
                <w:bottom w:val="none" w:sz="0" w:space="0" w:color="auto"/>
                <w:right w:val="none" w:sz="0" w:space="0" w:color="auto"/>
              </w:divBdr>
              <w:divsChild>
                <w:div w:id="1164737313">
                  <w:marLeft w:val="0"/>
                  <w:marRight w:val="0"/>
                  <w:marTop w:val="0"/>
                  <w:marBottom w:val="0"/>
                  <w:divBdr>
                    <w:top w:val="none" w:sz="0" w:space="0" w:color="auto"/>
                    <w:left w:val="none" w:sz="0" w:space="0" w:color="auto"/>
                    <w:bottom w:val="none" w:sz="0" w:space="0" w:color="auto"/>
                    <w:right w:val="none" w:sz="0" w:space="0" w:color="auto"/>
                  </w:divBdr>
                  <w:divsChild>
                    <w:div w:id="38360719">
                      <w:marLeft w:val="0"/>
                      <w:marRight w:val="0"/>
                      <w:marTop w:val="0"/>
                      <w:marBottom w:val="0"/>
                      <w:divBdr>
                        <w:top w:val="none" w:sz="0" w:space="0" w:color="auto"/>
                        <w:left w:val="none" w:sz="0" w:space="0" w:color="auto"/>
                        <w:bottom w:val="none" w:sz="0" w:space="0" w:color="auto"/>
                        <w:right w:val="none" w:sz="0" w:space="0" w:color="auto"/>
                      </w:divBdr>
                      <w:divsChild>
                        <w:div w:id="705907437">
                          <w:marLeft w:val="0"/>
                          <w:marRight w:val="0"/>
                          <w:marTop w:val="0"/>
                          <w:marBottom w:val="0"/>
                          <w:divBdr>
                            <w:top w:val="none" w:sz="0" w:space="0" w:color="auto"/>
                            <w:left w:val="none" w:sz="0" w:space="0" w:color="auto"/>
                            <w:bottom w:val="none" w:sz="0" w:space="0" w:color="auto"/>
                            <w:right w:val="none" w:sz="0" w:space="0" w:color="auto"/>
                          </w:divBdr>
                          <w:divsChild>
                            <w:div w:id="177093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595019492">
      <w:bodyDiv w:val="1"/>
      <w:marLeft w:val="0"/>
      <w:marRight w:val="0"/>
      <w:marTop w:val="0"/>
      <w:marBottom w:val="0"/>
      <w:divBdr>
        <w:top w:val="none" w:sz="0" w:space="0" w:color="auto"/>
        <w:left w:val="none" w:sz="0" w:space="0" w:color="auto"/>
        <w:bottom w:val="none" w:sz="0" w:space="0" w:color="auto"/>
        <w:right w:val="none" w:sz="0" w:space="0" w:color="auto"/>
      </w:divBdr>
      <w:divsChild>
        <w:div w:id="274945142">
          <w:marLeft w:val="0"/>
          <w:marRight w:val="0"/>
          <w:marTop w:val="0"/>
          <w:marBottom w:val="0"/>
          <w:divBdr>
            <w:top w:val="none" w:sz="0" w:space="0" w:color="auto"/>
            <w:left w:val="none" w:sz="0" w:space="0" w:color="auto"/>
            <w:bottom w:val="none" w:sz="0" w:space="0" w:color="auto"/>
            <w:right w:val="none" w:sz="0" w:space="0" w:color="auto"/>
          </w:divBdr>
          <w:divsChild>
            <w:div w:id="1653604923">
              <w:marLeft w:val="0"/>
              <w:marRight w:val="0"/>
              <w:marTop w:val="0"/>
              <w:marBottom w:val="0"/>
              <w:divBdr>
                <w:top w:val="none" w:sz="0" w:space="0" w:color="auto"/>
                <w:left w:val="none" w:sz="0" w:space="0" w:color="auto"/>
                <w:bottom w:val="none" w:sz="0" w:space="0" w:color="auto"/>
                <w:right w:val="none" w:sz="0" w:space="0" w:color="auto"/>
              </w:divBdr>
              <w:divsChild>
                <w:div w:id="1914044692">
                  <w:marLeft w:val="0"/>
                  <w:marRight w:val="0"/>
                  <w:marTop w:val="0"/>
                  <w:marBottom w:val="0"/>
                  <w:divBdr>
                    <w:top w:val="none" w:sz="0" w:space="0" w:color="auto"/>
                    <w:left w:val="none" w:sz="0" w:space="0" w:color="auto"/>
                    <w:bottom w:val="none" w:sz="0" w:space="0" w:color="auto"/>
                    <w:right w:val="none" w:sz="0" w:space="0" w:color="auto"/>
                  </w:divBdr>
                  <w:divsChild>
                    <w:div w:id="921597076">
                      <w:marLeft w:val="0"/>
                      <w:marRight w:val="0"/>
                      <w:marTop w:val="0"/>
                      <w:marBottom w:val="0"/>
                      <w:divBdr>
                        <w:top w:val="none" w:sz="0" w:space="0" w:color="auto"/>
                        <w:left w:val="none" w:sz="0" w:space="0" w:color="auto"/>
                        <w:bottom w:val="none" w:sz="0" w:space="0" w:color="auto"/>
                        <w:right w:val="none" w:sz="0" w:space="0" w:color="auto"/>
                      </w:divBdr>
                      <w:divsChild>
                        <w:div w:id="839542472">
                          <w:marLeft w:val="0"/>
                          <w:marRight w:val="0"/>
                          <w:marTop w:val="0"/>
                          <w:marBottom w:val="0"/>
                          <w:divBdr>
                            <w:top w:val="none" w:sz="0" w:space="0" w:color="auto"/>
                            <w:left w:val="none" w:sz="0" w:space="0" w:color="auto"/>
                            <w:bottom w:val="none" w:sz="0" w:space="0" w:color="auto"/>
                            <w:right w:val="none" w:sz="0" w:space="0" w:color="auto"/>
                          </w:divBdr>
                          <w:divsChild>
                            <w:div w:id="12337396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 w:id="2091150082">
      <w:bodyDiv w:val="1"/>
      <w:marLeft w:val="0"/>
      <w:marRight w:val="0"/>
      <w:marTop w:val="0"/>
      <w:marBottom w:val="0"/>
      <w:divBdr>
        <w:top w:val="none" w:sz="0" w:space="0" w:color="auto"/>
        <w:left w:val="none" w:sz="0" w:space="0" w:color="auto"/>
        <w:bottom w:val="none" w:sz="0" w:space="0" w:color="auto"/>
        <w:right w:val="none" w:sz="0" w:space="0" w:color="auto"/>
      </w:divBdr>
      <w:divsChild>
        <w:div w:id="204755446">
          <w:marLeft w:val="0"/>
          <w:marRight w:val="0"/>
          <w:marTop w:val="0"/>
          <w:marBottom w:val="0"/>
          <w:divBdr>
            <w:top w:val="none" w:sz="0" w:space="0" w:color="auto"/>
            <w:left w:val="none" w:sz="0" w:space="0" w:color="auto"/>
            <w:bottom w:val="none" w:sz="0" w:space="0" w:color="auto"/>
            <w:right w:val="none" w:sz="0" w:space="0" w:color="auto"/>
          </w:divBdr>
          <w:divsChild>
            <w:div w:id="705719617">
              <w:marLeft w:val="0"/>
              <w:marRight w:val="0"/>
              <w:marTop w:val="0"/>
              <w:marBottom w:val="0"/>
              <w:divBdr>
                <w:top w:val="none" w:sz="0" w:space="0" w:color="auto"/>
                <w:left w:val="none" w:sz="0" w:space="0" w:color="auto"/>
                <w:bottom w:val="none" w:sz="0" w:space="0" w:color="auto"/>
                <w:right w:val="none" w:sz="0" w:space="0" w:color="auto"/>
              </w:divBdr>
              <w:divsChild>
                <w:div w:id="1066077006">
                  <w:marLeft w:val="0"/>
                  <w:marRight w:val="0"/>
                  <w:marTop w:val="0"/>
                  <w:marBottom w:val="0"/>
                  <w:divBdr>
                    <w:top w:val="none" w:sz="0" w:space="0" w:color="auto"/>
                    <w:left w:val="none" w:sz="0" w:space="0" w:color="auto"/>
                    <w:bottom w:val="none" w:sz="0" w:space="0" w:color="auto"/>
                    <w:right w:val="none" w:sz="0" w:space="0" w:color="auto"/>
                  </w:divBdr>
                  <w:divsChild>
                    <w:div w:id="391542650">
                      <w:marLeft w:val="0"/>
                      <w:marRight w:val="0"/>
                      <w:marTop w:val="0"/>
                      <w:marBottom w:val="0"/>
                      <w:divBdr>
                        <w:top w:val="none" w:sz="0" w:space="0" w:color="auto"/>
                        <w:left w:val="none" w:sz="0" w:space="0" w:color="auto"/>
                        <w:bottom w:val="none" w:sz="0" w:space="0" w:color="auto"/>
                        <w:right w:val="none" w:sz="0" w:space="0" w:color="auto"/>
                      </w:divBdr>
                      <w:divsChild>
                        <w:div w:id="1557279418">
                          <w:marLeft w:val="0"/>
                          <w:marRight w:val="0"/>
                          <w:marTop w:val="0"/>
                          <w:marBottom w:val="0"/>
                          <w:divBdr>
                            <w:top w:val="none" w:sz="0" w:space="0" w:color="auto"/>
                            <w:left w:val="none" w:sz="0" w:space="0" w:color="auto"/>
                            <w:bottom w:val="none" w:sz="0" w:space="0" w:color="auto"/>
                            <w:right w:val="none" w:sz="0" w:space="0" w:color="auto"/>
                          </w:divBdr>
                          <w:divsChild>
                            <w:div w:id="536740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F293E-7004-4197-8C1C-B4A58711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2565</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2000. gada 26. septembra noteikumos Nr. 330 "Vakcinācijas noteikumi"" sākotnējās ietekmes novērtējuma ziņojums (anotācija)</vt:lpstr>
    </vt:vector>
  </TitlesOfParts>
  <Company>Veselības ministrija</Company>
  <LinksUpToDate>false</LinksUpToDate>
  <CharactersWithSpaces>18708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2000. gada 26. septembra noteikumos Nr. 330 "Vakcinācijas noteikumi"" sākotnējās ietekmes novērtējuma ziņojums (anotācija)</dc:title>
  <dc:subject>Anotācija</dc:subject>
  <dc:creator>Veselības ministrija</dc:creator>
  <dc:description>Inga Liepiņa, 67876080
Inga.Liepina@vm.gov.lv</dc:description>
  <cp:lastModifiedBy>iliepina</cp:lastModifiedBy>
  <cp:revision>83</cp:revision>
  <cp:lastPrinted>2016-09-13T07:58:00Z</cp:lastPrinted>
  <dcterms:created xsi:type="dcterms:W3CDTF">2016-10-17T13:09:00Z</dcterms:created>
  <dcterms:modified xsi:type="dcterms:W3CDTF">2016-11-30T12:59:00Z</dcterms:modified>
</cp:coreProperties>
</file>