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5784" w14:textId="77777777" w:rsidR="00441496" w:rsidRDefault="003B585F" w:rsidP="00685934">
      <w:pPr>
        <w:autoSpaceDE w:val="0"/>
        <w:autoSpaceDN w:val="0"/>
        <w:adjustRightInd w:val="0"/>
        <w:jc w:val="center"/>
        <w:rPr>
          <w:b/>
          <w:szCs w:val="28"/>
        </w:rPr>
      </w:pPr>
      <w:r w:rsidRPr="00685934">
        <w:rPr>
          <w:b/>
          <w:szCs w:val="28"/>
        </w:rPr>
        <w:t xml:space="preserve">Ministru kabineta noteikumu projekta </w:t>
      </w:r>
    </w:p>
    <w:p w14:paraId="7B806D1E" w14:textId="77777777" w:rsidR="00A901C8" w:rsidRPr="00A901C8" w:rsidRDefault="00DF2C0E" w:rsidP="00A901C8">
      <w:pPr>
        <w:autoSpaceDE w:val="0"/>
        <w:autoSpaceDN w:val="0"/>
        <w:adjustRightInd w:val="0"/>
        <w:jc w:val="center"/>
        <w:rPr>
          <w:b/>
          <w:szCs w:val="28"/>
        </w:rPr>
      </w:pPr>
      <w:r>
        <w:rPr>
          <w:b/>
          <w:szCs w:val="28"/>
        </w:rPr>
        <w:t>„</w:t>
      </w:r>
      <w:r w:rsidR="00A901C8" w:rsidRPr="00A901C8">
        <w:rPr>
          <w:b/>
          <w:szCs w:val="28"/>
        </w:rPr>
        <w:t>Grozījumi Ministru kabineta 2012.gada 17.aprīļa noteikumos Nr.275</w:t>
      </w:r>
    </w:p>
    <w:p w14:paraId="08E71602" w14:textId="77777777" w:rsidR="00441496" w:rsidRDefault="00A901C8" w:rsidP="00A901C8">
      <w:pPr>
        <w:autoSpaceDE w:val="0"/>
        <w:autoSpaceDN w:val="0"/>
        <w:adjustRightInd w:val="0"/>
        <w:jc w:val="center"/>
        <w:rPr>
          <w:b/>
          <w:szCs w:val="28"/>
        </w:rPr>
      </w:pPr>
      <w:r w:rsidRPr="00A901C8">
        <w:rPr>
          <w:b/>
          <w:szCs w:val="28"/>
        </w:rPr>
        <w:t>„Prasības tādu dzīvnieku izcelsmes blakusproduktu un atvasinātu produktu apritei, kas nav paredzēti cilvēku patēriņam”</w:t>
      </w:r>
      <w:r w:rsidR="00DF2C0E">
        <w:rPr>
          <w:b/>
          <w:szCs w:val="28"/>
        </w:rPr>
        <w:t>”</w:t>
      </w:r>
      <w:r w:rsidR="003B585F" w:rsidRPr="00441496">
        <w:rPr>
          <w:b/>
          <w:szCs w:val="28"/>
        </w:rPr>
        <w:t xml:space="preserve"> </w:t>
      </w:r>
    </w:p>
    <w:p w14:paraId="2443F2D1" w14:textId="77777777" w:rsidR="0002029A" w:rsidRPr="00685934" w:rsidRDefault="003B585F" w:rsidP="00685934">
      <w:pPr>
        <w:autoSpaceDE w:val="0"/>
        <w:autoSpaceDN w:val="0"/>
        <w:adjustRightInd w:val="0"/>
        <w:jc w:val="center"/>
        <w:rPr>
          <w:b/>
          <w:bCs/>
        </w:rPr>
      </w:pPr>
      <w:r w:rsidRPr="00685934">
        <w:rPr>
          <w:b/>
          <w:szCs w:val="28"/>
        </w:rPr>
        <w:t xml:space="preserve">sākotnējās ietekmes novērtējuma ziņojums </w:t>
      </w:r>
      <w:r w:rsidR="0002029A" w:rsidRPr="00685934">
        <w:rPr>
          <w:b/>
          <w:szCs w:val="28"/>
        </w:rPr>
        <w:t>(anotācija)</w:t>
      </w:r>
    </w:p>
    <w:p w14:paraId="5DC6F638" w14:textId="77777777" w:rsidR="00F37F7E" w:rsidRPr="00BA0DE8" w:rsidRDefault="00F37F7E" w:rsidP="00F37F7E">
      <w:pPr>
        <w:pStyle w:val="naisc"/>
        <w:widowControl w:val="0"/>
        <w:spacing w:before="0" w:beforeAutospacing="0" w:after="0" w:afterAutospacing="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837"/>
        <w:gridCol w:w="531"/>
        <w:gridCol w:w="6386"/>
      </w:tblGrid>
      <w:tr w:rsidR="00BA0DE8" w:rsidRPr="00BA0DE8" w14:paraId="681DE310" w14:textId="77777777" w:rsidTr="00133DFE">
        <w:tc>
          <w:tcPr>
            <w:tcW w:w="5000" w:type="pct"/>
            <w:gridSpan w:val="4"/>
          </w:tcPr>
          <w:p w14:paraId="34E0A852" w14:textId="77777777" w:rsidR="00C62422" w:rsidRDefault="00AC145B" w:rsidP="003037FE">
            <w:pPr>
              <w:pStyle w:val="naislab"/>
              <w:spacing w:before="0" w:after="0"/>
              <w:jc w:val="center"/>
              <w:outlineLvl w:val="0"/>
              <w:rPr>
                <w:b/>
              </w:rPr>
            </w:pPr>
            <w:r w:rsidRPr="00BA0DE8">
              <w:rPr>
                <w:b/>
              </w:rPr>
              <w:t xml:space="preserve">I. Tiesību akta projekta izstrādes </w:t>
            </w:r>
          </w:p>
          <w:p w14:paraId="29A633CC" w14:textId="77777777" w:rsidR="00AC145B" w:rsidRPr="00BA0DE8" w:rsidRDefault="00AC145B" w:rsidP="003037FE">
            <w:pPr>
              <w:pStyle w:val="naislab"/>
              <w:spacing w:before="0" w:after="0"/>
              <w:jc w:val="center"/>
              <w:outlineLvl w:val="0"/>
              <w:rPr>
                <w:b/>
                <w:sz w:val="28"/>
                <w:szCs w:val="28"/>
              </w:rPr>
            </w:pPr>
            <w:r w:rsidRPr="00BA0DE8">
              <w:rPr>
                <w:b/>
              </w:rPr>
              <w:t>nepieciešamība</w:t>
            </w:r>
          </w:p>
        </w:tc>
      </w:tr>
      <w:tr w:rsidR="00BA0DE8" w:rsidRPr="00BA0DE8" w14:paraId="503511DB" w14:textId="77777777" w:rsidTr="008E3636">
        <w:tc>
          <w:tcPr>
            <w:tcW w:w="287" w:type="pct"/>
          </w:tcPr>
          <w:p w14:paraId="5D9CC15D" w14:textId="77777777" w:rsidR="00AC145B" w:rsidRPr="00BA0DE8" w:rsidRDefault="00AC145B" w:rsidP="003037FE">
            <w:pPr>
              <w:pStyle w:val="naislab"/>
              <w:spacing w:before="0" w:after="0"/>
              <w:jc w:val="center"/>
              <w:outlineLvl w:val="0"/>
            </w:pPr>
            <w:r w:rsidRPr="00BA0DE8">
              <w:t>1.</w:t>
            </w:r>
          </w:p>
        </w:tc>
        <w:tc>
          <w:tcPr>
            <w:tcW w:w="1275" w:type="pct"/>
            <w:gridSpan w:val="2"/>
          </w:tcPr>
          <w:p w14:paraId="61B303D8" w14:textId="77777777" w:rsidR="00AC145B" w:rsidRPr="00BA0DE8" w:rsidRDefault="00AC145B" w:rsidP="003037FE">
            <w:pPr>
              <w:pStyle w:val="naislab"/>
              <w:spacing w:before="0" w:after="0"/>
              <w:jc w:val="both"/>
              <w:outlineLvl w:val="0"/>
            </w:pPr>
            <w:r w:rsidRPr="00BA0DE8">
              <w:t>Pamatojums</w:t>
            </w:r>
          </w:p>
        </w:tc>
        <w:tc>
          <w:tcPr>
            <w:tcW w:w="3438" w:type="pct"/>
          </w:tcPr>
          <w:p w14:paraId="2BA7675C" w14:textId="77777777" w:rsidR="00AC145B" w:rsidRPr="00193C5A" w:rsidRDefault="003B585F" w:rsidP="00A901C8">
            <w:pPr>
              <w:pStyle w:val="Pamatteksts"/>
              <w:jc w:val="both"/>
              <w:rPr>
                <w:b w:val="0"/>
                <w:sz w:val="24"/>
                <w:szCs w:val="24"/>
              </w:rPr>
            </w:pPr>
            <w:r w:rsidRPr="00193C5A">
              <w:rPr>
                <w:b w:val="0"/>
                <w:sz w:val="24"/>
                <w:szCs w:val="24"/>
              </w:rPr>
              <w:t xml:space="preserve">Ministru kabineta noteikumu projekts </w:t>
            </w:r>
            <w:r w:rsidR="00193C5A" w:rsidRPr="00193C5A">
              <w:rPr>
                <w:b w:val="0"/>
                <w:sz w:val="24"/>
                <w:szCs w:val="24"/>
              </w:rPr>
              <w:t>„</w:t>
            </w:r>
            <w:r w:rsidR="00A901C8" w:rsidRPr="00A901C8">
              <w:rPr>
                <w:b w:val="0"/>
                <w:sz w:val="24"/>
                <w:szCs w:val="24"/>
              </w:rPr>
              <w:t>Grozījumi Ministru kabineta 2012.gada 17.aprīļa noteikumos Nr.275</w:t>
            </w:r>
            <w:r w:rsidR="00A901C8">
              <w:rPr>
                <w:b w:val="0"/>
                <w:sz w:val="24"/>
                <w:szCs w:val="24"/>
              </w:rPr>
              <w:t xml:space="preserve"> </w:t>
            </w:r>
            <w:r w:rsidR="00A901C8" w:rsidRPr="00A901C8">
              <w:rPr>
                <w:b w:val="0"/>
                <w:sz w:val="24"/>
                <w:szCs w:val="24"/>
              </w:rPr>
              <w:t>„Prasības tādu dzīvnieku izcelsmes blakusproduktu un atvasinātu produktu apritei, kas nav paredzēti cilvēku patēriņam”</w:t>
            </w:r>
            <w:r w:rsidR="00193C5A" w:rsidRPr="00885D66">
              <w:rPr>
                <w:b w:val="0"/>
                <w:sz w:val="24"/>
                <w:szCs w:val="24"/>
              </w:rPr>
              <w:t xml:space="preserve">” </w:t>
            </w:r>
            <w:r w:rsidRPr="00885D66">
              <w:rPr>
                <w:b w:val="0"/>
                <w:sz w:val="24"/>
                <w:szCs w:val="24"/>
              </w:rPr>
              <w:t>(turpmāk – noteikumu projekts) sagatavots, pamatojoties uz</w:t>
            </w:r>
            <w:r w:rsidR="00193C5A" w:rsidRPr="00885D66">
              <w:rPr>
                <w:b w:val="0"/>
                <w:sz w:val="24"/>
                <w:szCs w:val="24"/>
              </w:rPr>
              <w:t xml:space="preserve"> Veterinārmedicīnas likuma </w:t>
            </w:r>
            <w:r w:rsidR="00A901C8">
              <w:rPr>
                <w:b w:val="0"/>
                <w:sz w:val="24"/>
                <w:szCs w:val="24"/>
              </w:rPr>
              <w:t>42.</w:t>
            </w:r>
            <w:r w:rsidR="00A901C8" w:rsidRPr="00A901C8">
              <w:rPr>
                <w:b w:val="0"/>
                <w:sz w:val="24"/>
                <w:szCs w:val="24"/>
                <w:vertAlign w:val="superscript"/>
              </w:rPr>
              <w:t>1</w:t>
            </w:r>
            <w:r w:rsidR="00193C5A" w:rsidRPr="00885D66">
              <w:rPr>
                <w:b w:val="0"/>
                <w:sz w:val="24"/>
                <w:szCs w:val="24"/>
              </w:rPr>
              <w:t xml:space="preserve"> panta </w:t>
            </w:r>
            <w:r w:rsidR="00A901C8">
              <w:rPr>
                <w:b w:val="0"/>
                <w:sz w:val="24"/>
                <w:szCs w:val="24"/>
              </w:rPr>
              <w:t>otro daļu</w:t>
            </w:r>
            <w:r w:rsidR="00193C5A" w:rsidRPr="00885D66">
              <w:rPr>
                <w:b w:val="0"/>
                <w:sz w:val="24"/>
                <w:szCs w:val="24"/>
              </w:rPr>
              <w:t>.</w:t>
            </w:r>
          </w:p>
        </w:tc>
      </w:tr>
      <w:tr w:rsidR="00BA0DE8" w:rsidRPr="00BA0DE8" w14:paraId="1123A3C8" w14:textId="77777777" w:rsidTr="008E3636">
        <w:tc>
          <w:tcPr>
            <w:tcW w:w="287" w:type="pct"/>
          </w:tcPr>
          <w:p w14:paraId="1EFAEBCE" w14:textId="77777777" w:rsidR="00AC145B" w:rsidRPr="00BA0DE8" w:rsidRDefault="00AC145B" w:rsidP="003037FE">
            <w:pPr>
              <w:pStyle w:val="naislab"/>
              <w:spacing w:before="0" w:after="0"/>
              <w:jc w:val="center"/>
              <w:outlineLvl w:val="0"/>
            </w:pPr>
            <w:r w:rsidRPr="00BA0DE8">
              <w:t>2.</w:t>
            </w:r>
          </w:p>
        </w:tc>
        <w:tc>
          <w:tcPr>
            <w:tcW w:w="1275" w:type="pct"/>
            <w:gridSpan w:val="2"/>
          </w:tcPr>
          <w:p w14:paraId="1B35113C" w14:textId="77777777" w:rsidR="00AC145B" w:rsidRPr="00885D66" w:rsidRDefault="00AC145B" w:rsidP="003037FE">
            <w:pPr>
              <w:pStyle w:val="naislab"/>
              <w:spacing w:before="0" w:after="0"/>
              <w:jc w:val="both"/>
              <w:outlineLvl w:val="0"/>
            </w:pPr>
            <w:r w:rsidRPr="00885D66">
              <w:t>Pašreizējā situācija un problēmas, kuru risināšanai tiesību akta projekts izstrādāts, tiesiskā regulējuma mērķis un būtība</w:t>
            </w:r>
          </w:p>
        </w:tc>
        <w:tc>
          <w:tcPr>
            <w:tcW w:w="3438" w:type="pct"/>
          </w:tcPr>
          <w:p w14:paraId="5DE2E4A4" w14:textId="77777777" w:rsidR="00F55839" w:rsidRDefault="003B585F" w:rsidP="006E08F1">
            <w:pPr>
              <w:jc w:val="both"/>
              <w:rPr>
                <w:bCs/>
              </w:rPr>
            </w:pPr>
            <w:r w:rsidRPr="00885D66">
              <w:rPr>
                <w:bCs/>
              </w:rPr>
              <w:t>Patlaban spēkā ir</w:t>
            </w:r>
            <w:r w:rsidR="00F55839">
              <w:rPr>
                <w:bCs/>
              </w:rPr>
              <w:t>:</w:t>
            </w:r>
          </w:p>
          <w:p w14:paraId="646A4A1B" w14:textId="77777777" w:rsidR="00F55839" w:rsidRPr="00E66515" w:rsidRDefault="00E66515" w:rsidP="00E66515">
            <w:pPr>
              <w:jc w:val="both"/>
              <w:rPr>
                <w:bCs/>
              </w:rPr>
            </w:pPr>
            <w:r>
              <w:rPr>
                <w:bCs/>
              </w:rPr>
              <w:t xml:space="preserve">1) </w:t>
            </w:r>
            <w:r w:rsidR="003B585F" w:rsidRPr="00E66515">
              <w:rPr>
                <w:bCs/>
              </w:rPr>
              <w:t>Ministru kabineta</w:t>
            </w:r>
            <w:r w:rsidR="00441496" w:rsidRPr="00E66515">
              <w:rPr>
                <w:bCs/>
              </w:rPr>
              <w:t xml:space="preserve"> </w:t>
            </w:r>
            <w:r w:rsidR="00A901C8" w:rsidRPr="00F27110">
              <w:t>2012.gada 17.aprīļa noteikum</w:t>
            </w:r>
            <w:r w:rsidR="00D82850" w:rsidRPr="00F27110">
              <w:t>i</w:t>
            </w:r>
            <w:r w:rsidR="00A901C8" w:rsidRPr="00F27110">
              <w:t xml:space="preserve"> Nr.275 „Prasības tādu dzīvnieku izcelsmes blakusproduktu un atvasinātu produktu apritei, kas nav paredzēti cilvēku patēriņam”</w:t>
            </w:r>
            <w:r w:rsidR="00193C5A" w:rsidRPr="00F27110">
              <w:t>”</w:t>
            </w:r>
            <w:r w:rsidR="00193C5A" w:rsidRPr="00E66515">
              <w:rPr>
                <w:bCs/>
              </w:rPr>
              <w:t xml:space="preserve"> </w:t>
            </w:r>
            <w:r w:rsidR="003B585F" w:rsidRPr="00E66515">
              <w:rPr>
                <w:bCs/>
              </w:rPr>
              <w:t>(turpmāk – noteikumi Nr.</w:t>
            </w:r>
            <w:r w:rsidR="00441496" w:rsidRPr="00E66515">
              <w:rPr>
                <w:bCs/>
              </w:rPr>
              <w:t>2</w:t>
            </w:r>
            <w:r w:rsidR="00A901C8" w:rsidRPr="00E66515">
              <w:rPr>
                <w:bCs/>
              </w:rPr>
              <w:t>7</w:t>
            </w:r>
            <w:r w:rsidR="00441496" w:rsidRPr="00E66515">
              <w:rPr>
                <w:bCs/>
              </w:rPr>
              <w:t>5</w:t>
            </w:r>
            <w:r w:rsidR="000C4E8B" w:rsidRPr="00E66515">
              <w:rPr>
                <w:bCs/>
              </w:rPr>
              <w:t>)</w:t>
            </w:r>
            <w:r w:rsidR="00F55839" w:rsidRPr="00E66515">
              <w:rPr>
                <w:bCs/>
              </w:rPr>
              <w:t>;</w:t>
            </w:r>
          </w:p>
          <w:p w14:paraId="5CA9E88A" w14:textId="77777777" w:rsidR="003B585F" w:rsidRPr="00E66515" w:rsidRDefault="00E66515" w:rsidP="00E66515">
            <w:pPr>
              <w:jc w:val="both"/>
              <w:rPr>
                <w:bCs/>
              </w:rPr>
            </w:pPr>
            <w:r>
              <w:rPr>
                <w:bCs/>
              </w:rPr>
              <w:t xml:space="preserve">2) </w:t>
            </w:r>
            <w:r w:rsidR="00F55839" w:rsidRPr="00E66515">
              <w:rPr>
                <w:bCs/>
              </w:rPr>
              <w:t>Eiropas</w:t>
            </w:r>
            <w:r w:rsidR="000C4E8B" w:rsidRPr="00E66515">
              <w:rPr>
                <w:bCs/>
              </w:rPr>
              <w:t xml:space="preserve"> Parlamenta un Padomes 2009.gada 21.oktobra </w:t>
            </w:r>
            <w:r w:rsidR="00DF2C0E">
              <w:rPr>
                <w:bCs/>
              </w:rPr>
              <w:t>R</w:t>
            </w:r>
            <w:r w:rsidR="000C4E8B" w:rsidRPr="00E66515">
              <w:rPr>
                <w:bCs/>
              </w:rPr>
              <w:t>egula (EK) Nr.1069/2009</w:t>
            </w:r>
            <w:r w:rsidR="00DF2C0E">
              <w:rPr>
                <w:bCs/>
              </w:rPr>
              <w:t>,</w:t>
            </w:r>
            <w:r w:rsidR="000C4E8B" w:rsidRPr="00E66515">
              <w:rPr>
                <w:bCs/>
              </w:rPr>
              <w:t xml:space="preserve"> </w:t>
            </w:r>
            <w:r w:rsidR="000C4E8B" w:rsidRPr="00F27110">
              <w:t xml:space="preserve">ar ko nosaka veselības aizsardzības noteikumus attiecībā uz dzīvnieku izcelsmes blakusproduktiem un atvasinātajiem produktiem, kuri nav paredzēti cilvēku patēriņam, un ar ko atceļ Regulu (EK) Nr.1774/2002 (Dzīvnieku izcelsmes blakusproduktu regula) (turpmāk </w:t>
            </w:r>
            <w:r w:rsidR="00DF2C0E">
              <w:t>–</w:t>
            </w:r>
            <w:r w:rsidR="000C4E8B" w:rsidRPr="00F27110">
              <w:t xml:space="preserve"> regula Nr.1069/2009)</w:t>
            </w:r>
            <w:r w:rsidR="00F55839" w:rsidRPr="00E66515">
              <w:rPr>
                <w:bCs/>
              </w:rPr>
              <w:t>;</w:t>
            </w:r>
          </w:p>
          <w:p w14:paraId="7D4AE433" w14:textId="77777777" w:rsidR="00F55839" w:rsidRPr="00E66515" w:rsidRDefault="00E66515" w:rsidP="00E66515">
            <w:pPr>
              <w:jc w:val="both"/>
              <w:rPr>
                <w:bCs/>
              </w:rPr>
            </w:pPr>
            <w:r>
              <w:rPr>
                <w:bCs/>
              </w:rPr>
              <w:t xml:space="preserve">3) </w:t>
            </w:r>
            <w:r w:rsidR="00F55839" w:rsidRPr="00E66515">
              <w:rPr>
                <w:bCs/>
              </w:rPr>
              <w:t>Eiropas Komisijas 2011.gada 25.februāra Regula (ES) 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w:t>
            </w:r>
          </w:p>
          <w:p w14:paraId="3D217236" w14:textId="77777777" w:rsidR="006E08F1" w:rsidRDefault="001668A1" w:rsidP="00EA6D07">
            <w:pPr>
              <w:pStyle w:val="naiskr"/>
              <w:spacing w:before="0" w:beforeAutospacing="0" w:after="0" w:afterAutospacing="0"/>
              <w:jc w:val="both"/>
            </w:pPr>
            <w:r>
              <w:t xml:space="preserve">1. </w:t>
            </w:r>
            <w:r w:rsidR="00DF2C0E">
              <w:t>Tā kā</w:t>
            </w:r>
            <w:r w:rsidR="00C511B6">
              <w:t xml:space="preserve"> </w:t>
            </w:r>
            <w:r w:rsidR="00C511B6" w:rsidRPr="0074199B">
              <w:t xml:space="preserve">Norvēģijā 2016.gada 15.martā </w:t>
            </w:r>
            <w:r w:rsidR="00DF2C0E" w:rsidRPr="0074199B">
              <w:t>savvaļas ziemeļbriedim</w:t>
            </w:r>
            <w:r w:rsidR="00DF2C0E">
              <w:t xml:space="preserve"> </w:t>
            </w:r>
            <w:r w:rsidR="00C511B6" w:rsidRPr="0074199B">
              <w:t xml:space="preserve">tika konstatēts pirmais saslimšanas gadījums </w:t>
            </w:r>
            <w:r w:rsidR="00C511B6">
              <w:t xml:space="preserve">ar hroniskās novājēšanas slimību (turpmāk – </w:t>
            </w:r>
            <w:r w:rsidR="00C511B6" w:rsidRPr="006E08F1">
              <w:t>HNS</w:t>
            </w:r>
            <w:r w:rsidR="00C511B6">
              <w:t>)</w:t>
            </w:r>
            <w:r w:rsidR="00C511B6" w:rsidRPr="0074199B">
              <w:t xml:space="preserve">, bet 2016.gada 25.maijā </w:t>
            </w:r>
            <w:r w:rsidR="00C511B6">
              <w:t xml:space="preserve">HNS </w:t>
            </w:r>
            <w:r w:rsidR="00C511B6" w:rsidRPr="0074199B">
              <w:t xml:space="preserve">tika konstatēts alnim, kā arī ņemot vērā risku, kas saistīts ar savvaļas un </w:t>
            </w:r>
            <w:r w:rsidR="00606E3A" w:rsidRPr="00606E3A">
              <w:t xml:space="preserve">ierobežotās platībās audzētu briežu dzimtas dzīvnieku </w:t>
            </w:r>
            <w:r w:rsidR="00606E3A">
              <w:t>HNS</w:t>
            </w:r>
            <w:r w:rsidR="00606E3A" w:rsidRPr="00606E3A">
              <w:t xml:space="preserve"> tālāku izplatību un uzliesmojumiem</w:t>
            </w:r>
            <w:r w:rsidR="00C511B6">
              <w:t xml:space="preserve">, </w:t>
            </w:r>
            <w:r w:rsidR="006E08F1" w:rsidRPr="006E08F1">
              <w:t xml:space="preserve">no Eiropas Komisijas </w:t>
            </w:r>
            <w:r w:rsidR="006E08F1" w:rsidRPr="007C1B5B">
              <w:rPr>
                <w:i/>
              </w:rPr>
              <w:t>DG SANTE Unit G4</w:t>
            </w:r>
            <w:r w:rsidR="006E08F1">
              <w:t xml:space="preserve"> </w:t>
            </w:r>
            <w:r w:rsidR="00C511B6" w:rsidRPr="006E08F1">
              <w:t>201</w:t>
            </w:r>
            <w:r w:rsidR="00C511B6">
              <w:t>6</w:t>
            </w:r>
            <w:r w:rsidR="00C511B6" w:rsidRPr="006E08F1">
              <w:t xml:space="preserve">.gada </w:t>
            </w:r>
            <w:r w:rsidR="00C511B6">
              <w:t>9</w:t>
            </w:r>
            <w:r w:rsidR="00C511B6" w:rsidRPr="006E08F1">
              <w:t>.</w:t>
            </w:r>
            <w:r w:rsidR="00C511B6">
              <w:t>jūnijā</w:t>
            </w:r>
            <w:r w:rsidR="00C511B6" w:rsidRPr="006E08F1">
              <w:t xml:space="preserve"> </w:t>
            </w:r>
            <w:r w:rsidR="00DF2C0E">
              <w:t xml:space="preserve">ir </w:t>
            </w:r>
            <w:r w:rsidR="00C511B6" w:rsidRPr="006E08F1">
              <w:t xml:space="preserve">saņemta </w:t>
            </w:r>
            <w:r w:rsidR="00C511B6">
              <w:t xml:space="preserve">e-pasta </w:t>
            </w:r>
            <w:r w:rsidR="00C511B6" w:rsidRPr="006E08F1">
              <w:t xml:space="preserve">vēstule </w:t>
            </w:r>
            <w:r w:rsidR="006E08F1" w:rsidRPr="006E08F1">
              <w:t xml:space="preserve">par to, ka </w:t>
            </w:r>
            <w:r w:rsidR="006E08F1">
              <w:t>ir</w:t>
            </w:r>
            <w:r w:rsidR="006E08F1" w:rsidRPr="006E08F1">
              <w:t xml:space="preserve"> risks </w:t>
            </w:r>
            <w:r w:rsidR="00DF2C0E">
              <w:t xml:space="preserve">ar </w:t>
            </w:r>
            <w:r w:rsidR="00DF2C0E" w:rsidRPr="006E08F1">
              <w:t>briežu dzimtas dzīvnieku urīnu, kas paredzēts dzīvnieku pievilināšanai</w:t>
            </w:r>
            <w:r w:rsidR="00DF2C0E">
              <w:t>,</w:t>
            </w:r>
            <w:r w:rsidR="00DF2C0E" w:rsidRPr="006E08F1">
              <w:t xml:space="preserve"> </w:t>
            </w:r>
            <w:r w:rsidR="006E08F1" w:rsidRPr="006E08F1">
              <w:t>iev</w:t>
            </w:r>
            <w:r w:rsidR="006E08F1">
              <w:t>azāt</w:t>
            </w:r>
            <w:r w:rsidR="006E08F1" w:rsidRPr="006E08F1">
              <w:t xml:space="preserve"> </w:t>
            </w:r>
            <w:r w:rsidR="00C511B6">
              <w:t>HNS</w:t>
            </w:r>
            <w:r w:rsidR="006E08F1" w:rsidRPr="006E08F1">
              <w:t xml:space="preserve"> </w:t>
            </w:r>
            <w:r w:rsidR="006E08F1">
              <w:t xml:space="preserve">ierosinātāju </w:t>
            </w:r>
            <w:r w:rsidR="006E08F1" w:rsidRPr="006E08F1">
              <w:t>briežu dzimtas dzīvniekiem</w:t>
            </w:r>
            <w:r w:rsidR="006E08F1">
              <w:t xml:space="preserve"> </w:t>
            </w:r>
            <w:r w:rsidR="006E08F1" w:rsidRPr="006E08F1">
              <w:t xml:space="preserve">no HNS skartajām valstīm. </w:t>
            </w:r>
          </w:p>
          <w:p w14:paraId="47275ADB" w14:textId="77777777" w:rsidR="00096BD9" w:rsidRDefault="00C511B6" w:rsidP="00096BD9">
            <w:pPr>
              <w:pStyle w:val="naiskr"/>
              <w:spacing w:before="0" w:beforeAutospacing="0" w:after="0" w:afterAutospacing="0"/>
              <w:jc w:val="both"/>
            </w:pPr>
            <w:r>
              <w:t xml:space="preserve">HNS </w:t>
            </w:r>
            <w:r w:rsidR="00096BD9">
              <w:t>ir hroniska centrāl</w:t>
            </w:r>
            <w:r w:rsidR="00AC51D8">
              <w:t>ās</w:t>
            </w:r>
            <w:r w:rsidR="00096BD9">
              <w:t xml:space="preserve"> nervu sistēmas slimība briežu dzimtas dzīvniekiem, kuriem novēro sugai neraksturīgas pārmaiņas uzvedībā, kustīb</w:t>
            </w:r>
            <w:r w:rsidR="003460CD">
              <w:t>u</w:t>
            </w:r>
            <w:r w:rsidR="00096BD9">
              <w:t xml:space="preserve"> traucējumus un organisma vispārējā stāvokļa pasliktināšanos. Slimība ir zināma kopš 1967.gada. Eiropas Savienībā slimība nav konstatēta, bet tā ir </w:t>
            </w:r>
            <w:r w:rsidR="00096BD9">
              <w:lastRenderedPageBreak/>
              <w:t>konstatēta Amerikas Savienotajās Valstīs un Kanādā. Līdz šim slimīb</w:t>
            </w:r>
            <w:r w:rsidR="00DF2C0E">
              <w:t>a tika</w:t>
            </w:r>
            <w:r w:rsidR="00096BD9">
              <w:t xml:space="preserve"> novēro</w:t>
            </w:r>
            <w:r w:rsidR="00DF2C0E">
              <w:t>ta</w:t>
            </w:r>
            <w:r w:rsidR="00096BD9">
              <w:t xml:space="preserve"> savvaļas vai </w:t>
            </w:r>
            <w:r w:rsidR="00606E3A" w:rsidRPr="00606E3A">
              <w:t xml:space="preserve">ierobežotās platībās </w:t>
            </w:r>
            <w:r w:rsidR="00096BD9">
              <w:t>audzētiem staltbriežiem</w:t>
            </w:r>
            <w:r w:rsidR="00DF2C0E">
              <w:t xml:space="preserve"> un</w:t>
            </w:r>
            <w:r w:rsidR="00096BD9">
              <w:t xml:space="preserve"> savvaļas baltastes briežiem, bet šogad </w:t>
            </w:r>
            <w:r w:rsidR="0069134A">
              <w:t xml:space="preserve">tā </w:t>
            </w:r>
            <w:r w:rsidR="00096BD9">
              <w:t>ir konstatēt</w:t>
            </w:r>
            <w:r w:rsidR="0069134A">
              <w:t>a</w:t>
            </w:r>
            <w:r w:rsidR="00096BD9">
              <w:t xml:space="preserve"> savvaļas ziemeļbriedim un alnim.</w:t>
            </w:r>
          </w:p>
          <w:p w14:paraId="4BD56A36" w14:textId="77777777" w:rsidR="001D12D3" w:rsidRDefault="001D12D3" w:rsidP="00096BD9">
            <w:pPr>
              <w:pStyle w:val="naiskr"/>
              <w:spacing w:before="0" w:beforeAutospacing="0" w:after="0" w:afterAutospacing="0"/>
              <w:jc w:val="both"/>
            </w:pPr>
            <w:r w:rsidRPr="001D12D3">
              <w:t>Eiropas Pārtikas nekaitīguma iestād</w:t>
            </w:r>
            <w:r>
              <w:t>e</w:t>
            </w:r>
            <w:r w:rsidRPr="001D12D3">
              <w:t xml:space="preserve"> (</w:t>
            </w:r>
            <w:r w:rsidRPr="007C1B5B">
              <w:rPr>
                <w:i/>
              </w:rPr>
              <w:t>EFSA</w:t>
            </w:r>
            <w:r w:rsidRPr="001D12D3">
              <w:t xml:space="preserve">) un tās ekspertu grupa bioloģisko risku jautājumos </w:t>
            </w:r>
            <w:r>
              <w:t>(</w:t>
            </w:r>
            <w:r w:rsidRPr="007C1B5B">
              <w:rPr>
                <w:i/>
              </w:rPr>
              <w:t>Scientific Panel on Biological Hazards</w:t>
            </w:r>
            <w:r>
              <w:t xml:space="preserve">) ir sniegusi </w:t>
            </w:r>
            <w:r w:rsidR="00F03EA9">
              <w:t>divus</w:t>
            </w:r>
            <w:r>
              <w:t xml:space="preserve"> </w:t>
            </w:r>
            <w:r w:rsidRPr="001D12D3">
              <w:t>atzinumu</w:t>
            </w:r>
            <w:r>
              <w:t>s:</w:t>
            </w:r>
          </w:p>
          <w:p w14:paraId="55586D9C" w14:textId="77777777" w:rsidR="001D12D3" w:rsidRDefault="001D12D3" w:rsidP="00096BD9">
            <w:pPr>
              <w:pStyle w:val="naiskr"/>
              <w:spacing w:before="0" w:beforeAutospacing="0" w:after="0" w:afterAutospacing="0"/>
              <w:jc w:val="both"/>
            </w:pPr>
            <w:r>
              <w:t xml:space="preserve">1) </w:t>
            </w:r>
            <w:r w:rsidR="007C1B5B">
              <w:t>„</w:t>
            </w:r>
            <w:r w:rsidRPr="007C1B5B">
              <w:rPr>
                <w:i/>
              </w:rPr>
              <w:t>Opinion of the Scientific Panel on biological hazards (BIOHAZ) on a surveillance programme for Chronic Wasting Disease in the European Union</w:t>
            </w:r>
            <w:r w:rsidR="007C1B5B">
              <w:rPr>
                <w:i/>
              </w:rPr>
              <w:t>”</w:t>
            </w:r>
            <w:r>
              <w:t xml:space="preserve"> (</w:t>
            </w:r>
            <w:hyperlink r:id="rId8" w:history="1">
              <w:r w:rsidRPr="00425863">
                <w:rPr>
                  <w:rStyle w:val="Hipersaite"/>
                </w:rPr>
                <w:t>https://www.efsa.europa.eu/en/efsajournal/pub/70</w:t>
              </w:r>
            </w:hyperlink>
            <w:r>
              <w:t xml:space="preserve">), kurā ir norādīts, ka </w:t>
            </w:r>
            <w:r w:rsidRPr="001D12D3">
              <w:t xml:space="preserve">Eiropas briežu dzimtas dzīvnieku </w:t>
            </w:r>
            <w:r>
              <w:t xml:space="preserve">populācija </w:t>
            </w:r>
            <w:r w:rsidRPr="001D12D3">
              <w:t xml:space="preserve">sastāv no vairākiem miljoniem </w:t>
            </w:r>
            <w:r>
              <w:t>savvaļas</w:t>
            </w:r>
            <w:r w:rsidRPr="001D12D3">
              <w:t xml:space="preserve"> un simtiem tūkstošu </w:t>
            </w:r>
            <w:r w:rsidR="00FA7288" w:rsidRPr="00FA7288">
              <w:t>ierobežotās platībās audzētu briežu dzimtas dzīvniek</w:t>
            </w:r>
            <w:r w:rsidR="00FA7288">
              <w:t>iem</w:t>
            </w:r>
            <w:r w:rsidRPr="001D12D3">
              <w:t xml:space="preserve">. </w:t>
            </w:r>
            <w:r w:rsidR="009B2FA7">
              <w:t>T</w:t>
            </w:r>
            <w:r w:rsidRPr="001D12D3">
              <w:t xml:space="preserve">eorētiski </w:t>
            </w:r>
            <w:r w:rsidR="00FA7288" w:rsidRPr="001D12D3">
              <w:t xml:space="preserve">ir </w:t>
            </w:r>
            <w:r w:rsidRPr="001D12D3">
              <w:t>iespējams,</w:t>
            </w:r>
            <w:r w:rsidR="00FA7288">
              <w:t xml:space="preserve"> ka</w:t>
            </w:r>
            <w:r w:rsidRPr="001D12D3">
              <w:t xml:space="preserve"> Eiropas briežu dzimtas dzīvnieki</w:t>
            </w:r>
            <w:r w:rsidR="00FA7288">
              <w:t xml:space="preserve"> ir</w:t>
            </w:r>
            <w:r w:rsidRPr="001D12D3">
              <w:t xml:space="preserve"> inficēti ar PrPCWD, PrPBSE, PrPScrapie vai pat TSE celmu</w:t>
            </w:r>
            <w:r w:rsidR="00FA7288">
              <w:t>, t</w:t>
            </w:r>
            <w:r w:rsidRPr="001D12D3">
              <w:t xml:space="preserve">omēr nav </w:t>
            </w:r>
            <w:r w:rsidR="00FA7288">
              <w:t>veikt</w:t>
            </w:r>
            <w:r w:rsidR="009B2FA7">
              <w:t>i izmeklējumi</w:t>
            </w:r>
            <w:r w:rsidR="00FA7288">
              <w:t xml:space="preserve"> </w:t>
            </w:r>
            <w:r w:rsidR="009B2FA7">
              <w:t xml:space="preserve">un </w:t>
            </w:r>
            <w:r w:rsidR="00FA7288">
              <w:t>izpēte</w:t>
            </w:r>
            <w:r w:rsidRPr="001D12D3">
              <w:t xml:space="preserve">. </w:t>
            </w:r>
            <w:r w:rsidR="00FA7288">
              <w:t>T</w:t>
            </w:r>
            <w:r w:rsidRPr="001D12D3">
              <w:t xml:space="preserve">ikai dažas Eiropas valstis veic uzraudzības programmas </w:t>
            </w:r>
            <w:r w:rsidR="00FA7288">
              <w:t>savvaļas</w:t>
            </w:r>
            <w:r w:rsidRPr="001D12D3">
              <w:t xml:space="preserve"> vai </w:t>
            </w:r>
            <w:r w:rsidR="00FA7288" w:rsidRPr="00FA7288">
              <w:t>ierobežotās platībās</w:t>
            </w:r>
            <w:r w:rsidR="00FA7288">
              <w:t xml:space="preserve"> audzētiem</w:t>
            </w:r>
            <w:r w:rsidRPr="001D12D3">
              <w:t xml:space="preserve"> briežu dzimtas dzīvniek</w:t>
            </w:r>
            <w:r w:rsidR="00FA7288">
              <w:t>iem</w:t>
            </w:r>
            <w:r w:rsidR="00DF2C0E">
              <w:t>,</w:t>
            </w:r>
            <w:r w:rsidRPr="001D12D3">
              <w:t xml:space="preserve"> un tie</w:t>
            </w:r>
            <w:r w:rsidR="00FA7288">
              <w:t xml:space="preserve"> ir tikai</w:t>
            </w:r>
            <w:r w:rsidRPr="001D12D3">
              <w:t xml:space="preserve"> </w:t>
            </w:r>
            <w:r w:rsidR="00FA7288" w:rsidRPr="001D12D3">
              <w:t>daži eksperimentāli pētījumi</w:t>
            </w:r>
            <w:r w:rsidRPr="001D12D3">
              <w:t xml:space="preserve">, lai iegūtu datus par </w:t>
            </w:r>
            <w:r w:rsidR="00FA7288" w:rsidRPr="001D12D3">
              <w:t xml:space="preserve">Eiropas briežu dzimtas dzīvnieku </w:t>
            </w:r>
            <w:r w:rsidRPr="001D12D3">
              <w:t xml:space="preserve">uzņēmību </w:t>
            </w:r>
            <w:r w:rsidR="00FA7288">
              <w:t>pret HNS</w:t>
            </w:r>
            <w:r w:rsidR="00B92547">
              <w:t>;</w:t>
            </w:r>
            <w:r>
              <w:t xml:space="preserve"> </w:t>
            </w:r>
          </w:p>
          <w:p w14:paraId="3C71EB44" w14:textId="77777777" w:rsidR="001D12D3" w:rsidRDefault="001D12D3" w:rsidP="00096BD9">
            <w:pPr>
              <w:pStyle w:val="naiskr"/>
              <w:spacing w:before="0" w:beforeAutospacing="0" w:after="0" w:afterAutospacing="0"/>
              <w:jc w:val="both"/>
            </w:pPr>
            <w:r>
              <w:t xml:space="preserve">2) </w:t>
            </w:r>
            <w:r w:rsidR="007C1B5B">
              <w:t>„</w:t>
            </w:r>
            <w:r w:rsidRPr="001D12D3">
              <w:t>Scientific Opinion on the results of the EU survey for Chronic Wasting Disease (CWD) in cervids</w:t>
            </w:r>
            <w:r w:rsidR="007C1B5B">
              <w:t>”</w:t>
            </w:r>
            <w:r>
              <w:t xml:space="preserve"> </w:t>
            </w:r>
            <w:r w:rsidR="00DF2C0E">
              <w:t>(</w:t>
            </w:r>
            <w:hyperlink r:id="rId9" w:history="1">
              <w:r w:rsidRPr="00425863">
                <w:rPr>
                  <w:rStyle w:val="Hipersaite"/>
                </w:rPr>
                <w:t>https://www.efsa.europa.eu/en/efsajournal/pub/1861</w:t>
              </w:r>
            </w:hyperlink>
            <w:r w:rsidR="00DF2C0E">
              <w:rPr>
                <w:rStyle w:val="Hipersaite"/>
              </w:rPr>
              <w:t>)</w:t>
            </w:r>
            <w:r w:rsidR="009B2FA7">
              <w:t>, kurā</w:t>
            </w:r>
            <w:r w:rsidR="00DF2C0E">
              <w:t>,</w:t>
            </w:r>
            <w:r w:rsidR="009B2FA7">
              <w:t xml:space="preserve"> pamatojoties uz</w:t>
            </w:r>
            <w:r>
              <w:t xml:space="preserve"> </w:t>
            </w:r>
            <w:r w:rsidR="009B2FA7" w:rsidRPr="009B2FA7">
              <w:t>Eiropas Komisija</w:t>
            </w:r>
            <w:r w:rsidR="009B2FA7">
              <w:t>s</w:t>
            </w:r>
            <w:r w:rsidR="009B2FA7" w:rsidRPr="009B2FA7">
              <w:t xml:space="preserve"> izveido</w:t>
            </w:r>
            <w:r w:rsidR="009B2FA7">
              <w:t>t</w:t>
            </w:r>
            <w:r w:rsidR="00DF2C0E">
              <w:t>ās</w:t>
            </w:r>
            <w:r w:rsidR="009B2FA7">
              <w:t xml:space="preserve"> aptauj</w:t>
            </w:r>
            <w:r w:rsidR="00DF2C0E">
              <w:t>as rezultātiem</w:t>
            </w:r>
            <w:r w:rsidR="009B2FA7">
              <w:t xml:space="preserve"> </w:t>
            </w:r>
            <w:r w:rsidR="00FA7288">
              <w:t xml:space="preserve">laika posmā no </w:t>
            </w:r>
            <w:r w:rsidR="00FA7288" w:rsidRPr="00FA7288">
              <w:t>2006</w:t>
            </w:r>
            <w:r w:rsidR="00FA7288">
              <w:t>.</w:t>
            </w:r>
            <w:r w:rsidR="00FA7288" w:rsidRPr="00FA7288">
              <w:t xml:space="preserve"> </w:t>
            </w:r>
            <w:r w:rsidR="00FA7288">
              <w:t>līdz</w:t>
            </w:r>
            <w:r w:rsidR="00FA7288" w:rsidRPr="00FA7288">
              <w:t xml:space="preserve"> 2010</w:t>
            </w:r>
            <w:r w:rsidR="00FA7288">
              <w:t>.gadam</w:t>
            </w:r>
            <w:r w:rsidR="009B2FA7">
              <w:t xml:space="preserve">, secināts, ka </w:t>
            </w:r>
            <w:r w:rsidR="009B2FA7" w:rsidRPr="009B2FA7">
              <w:t>briežu dzimtas dzīvniekiem E</w:t>
            </w:r>
            <w:r w:rsidR="009B2FA7">
              <w:t xml:space="preserve">iropas </w:t>
            </w:r>
            <w:r w:rsidR="009B2FA7" w:rsidRPr="009B2FA7">
              <w:t>S</w:t>
            </w:r>
            <w:r w:rsidR="009B2FA7">
              <w:t>avienībā</w:t>
            </w:r>
            <w:r w:rsidR="00DF2C0E" w:rsidRPr="009B2FA7">
              <w:t xml:space="preserve"> nevar izslēgt </w:t>
            </w:r>
            <w:r w:rsidR="00DF2C0E">
              <w:t>HNS iespējamību</w:t>
            </w:r>
            <w:r w:rsidR="009B2FA7" w:rsidRPr="009B2FA7">
              <w:t>.</w:t>
            </w:r>
          </w:p>
          <w:p w14:paraId="795B5143" w14:textId="77777777" w:rsidR="00E16A80" w:rsidRDefault="00F64281" w:rsidP="00096BD9">
            <w:pPr>
              <w:pStyle w:val="naiskr"/>
              <w:spacing w:before="0" w:beforeAutospacing="0" w:after="0" w:afterAutospacing="0"/>
              <w:jc w:val="both"/>
            </w:pPr>
            <w:r>
              <w:t xml:space="preserve">Ņemot vērā minēto, noteikumos Nr.275 jānosaka </w:t>
            </w:r>
            <w:r>
              <w:rPr>
                <w:bCs/>
              </w:rPr>
              <w:t xml:space="preserve">aizliegums </w:t>
            </w:r>
            <w:r w:rsidR="00DF2C0E" w:rsidRPr="006869F5">
              <w:rPr>
                <w:bCs/>
              </w:rPr>
              <w:t xml:space="preserve">dzīvnieku pievilināšanai </w:t>
            </w:r>
            <w:r w:rsidR="00DF2C0E">
              <w:rPr>
                <w:bCs/>
              </w:rPr>
              <w:t xml:space="preserve">paredzētā </w:t>
            </w:r>
            <w:r w:rsidRPr="006869F5">
              <w:rPr>
                <w:bCs/>
              </w:rPr>
              <w:t xml:space="preserve">briežu dzimtas dzīvnieku urīna izmantošanai, laišanai tirgū Latvijas teritorijā, ievešanai no trešajām valstīm un </w:t>
            </w:r>
            <w:r w:rsidR="009B2FA7" w:rsidRPr="009B2FA7">
              <w:rPr>
                <w:bCs/>
              </w:rPr>
              <w:t xml:space="preserve">Eiropas Savienības dalībvalstīm, kā arī </w:t>
            </w:r>
            <w:r w:rsidRPr="006869F5">
              <w:rPr>
                <w:bCs/>
              </w:rPr>
              <w:t>eksportēšanai</w:t>
            </w:r>
            <w:r>
              <w:rPr>
                <w:bCs/>
              </w:rPr>
              <w:t>.</w:t>
            </w:r>
          </w:p>
          <w:p w14:paraId="3F497512" w14:textId="1E405806" w:rsidR="00623A32" w:rsidRPr="00B7776B" w:rsidRDefault="001668A1" w:rsidP="00623A32">
            <w:pPr>
              <w:pStyle w:val="naiskr"/>
              <w:spacing w:before="0" w:beforeAutospacing="0" w:after="0" w:afterAutospacing="0"/>
              <w:jc w:val="both"/>
            </w:pPr>
            <w:r w:rsidRPr="00BA6A4D">
              <w:t xml:space="preserve">2. </w:t>
            </w:r>
            <w:r w:rsidR="00DF2C0E">
              <w:t>Patlaban</w:t>
            </w:r>
            <w:r w:rsidR="00166AFB">
              <w:t xml:space="preserve"> </w:t>
            </w:r>
            <w:r w:rsidR="00166AFB" w:rsidRPr="00166AFB">
              <w:t>noteikumi Nr.275</w:t>
            </w:r>
            <w:r w:rsidR="00166AFB">
              <w:t xml:space="preserve"> nosaka, ka nobeigušos lolojumdzīvniekus un zirgu dzimtas dzīvniekus ir atļauts aprakt tikai reģistrētās dzīvnieku kapsētās atbilstoši normatīvajiem aktiem par dzīvnieku kapsētu iekārtošanu, reģistrāciju, uzturēšanu, darbības izbeigšanu un likvidēšanu un aizsargjoslu noteikšanas metodiku ap dzīvnieku kapsētām. Taču n</w:t>
            </w:r>
            <w:r w:rsidR="00D61CFA" w:rsidRPr="00D61CFA">
              <w:t>o</w:t>
            </w:r>
            <w:r w:rsidR="002179B6">
              <w:t xml:space="preserve"> regulas</w:t>
            </w:r>
            <w:r w:rsidR="00D61CFA" w:rsidRPr="00D61CFA">
              <w:t xml:space="preserve"> </w:t>
            </w:r>
            <w:r w:rsidR="00166AFB" w:rsidRPr="00166AFB">
              <w:t xml:space="preserve">Nr.1069/2009 19.panta 1.punkta "a" apakšpunktā un regulas Nr.142/2011 15.pantā un VI pielikuma III nodaļas 1.iedaļā </w:t>
            </w:r>
            <w:r w:rsidR="00D61CFA" w:rsidRPr="00D61CFA">
              <w:t xml:space="preserve">noteiktā izriet, ka </w:t>
            </w:r>
            <w:r w:rsidR="002179B6" w:rsidRPr="002179B6">
              <w:t>nobeigušos lolojumdzīvnieku</w:t>
            </w:r>
            <w:r w:rsidR="00DF2C0E">
              <w:t>s iespējams</w:t>
            </w:r>
            <w:r w:rsidR="002179B6" w:rsidRPr="002179B6">
              <w:t xml:space="preserve"> </w:t>
            </w:r>
            <w:r w:rsidR="002179B6">
              <w:t>likvidē</w:t>
            </w:r>
            <w:r w:rsidR="00DF2C0E">
              <w:t>t, tos</w:t>
            </w:r>
            <w:r w:rsidR="002179B6">
              <w:t xml:space="preserve"> aprokot uz vietas teritorijā, no kuras šādi dzīvnieku izcelsmes blakusprodukti iegūti. </w:t>
            </w:r>
            <w:r w:rsidR="00DF2C0E">
              <w:t>Ievērojot minēto,</w:t>
            </w:r>
            <w:r w:rsidR="00652579">
              <w:t xml:space="preserve"> </w:t>
            </w:r>
            <w:r w:rsidR="00652579" w:rsidRPr="00652579">
              <w:t xml:space="preserve">noteikumos Nr.275 </w:t>
            </w:r>
            <w:r w:rsidR="00652579" w:rsidRPr="00166AFB">
              <w:t>būtu jāatļauj apglabāšana</w:t>
            </w:r>
            <w:r w:rsidR="00652579">
              <w:t xml:space="preserve"> </w:t>
            </w:r>
            <w:r w:rsidR="00652579" w:rsidRPr="00166AFB">
              <w:t>konkrētos gadījumos uz vietas</w:t>
            </w:r>
            <w:r w:rsidR="00652579">
              <w:t xml:space="preserve"> teritorijā</w:t>
            </w:r>
            <w:r w:rsidR="00D91601">
              <w:t xml:space="preserve">, kurā </w:t>
            </w:r>
            <w:r w:rsidR="00DF2C0E">
              <w:t>lolojumdzīvnieki</w:t>
            </w:r>
            <w:r w:rsidR="00D91601">
              <w:t xml:space="preserve"> ir atradušies (dzīvojuši)</w:t>
            </w:r>
            <w:r w:rsidR="00AC0945">
              <w:t>.</w:t>
            </w:r>
            <w:r w:rsidR="00623A32">
              <w:t xml:space="preserve"> </w:t>
            </w:r>
            <w:r w:rsidR="0020655F" w:rsidRPr="00B7776B">
              <w:t xml:space="preserve">Atbilstoši Latvijas </w:t>
            </w:r>
            <w:r w:rsidR="006078CE" w:rsidRPr="00B7776B">
              <w:t>P</w:t>
            </w:r>
            <w:r w:rsidR="0020655F" w:rsidRPr="00B7776B">
              <w:t>ašvaldību savienības izteiktajam viedoklim l</w:t>
            </w:r>
            <w:r w:rsidR="00623A32" w:rsidRPr="00B7776B">
              <w:t>olojumdzīvnieku aprakšana nav pieļaujama daudzdzīvokļu ēkām piegulošajā teritorijā</w:t>
            </w:r>
            <w:r w:rsidR="006078CE" w:rsidRPr="00B7776B">
              <w:t>.</w:t>
            </w:r>
          </w:p>
          <w:p w14:paraId="7348A667" w14:textId="77777777" w:rsidR="00FF2014" w:rsidRPr="00B7776B" w:rsidRDefault="002179B6" w:rsidP="00FF2014">
            <w:pPr>
              <w:pStyle w:val="naiskr"/>
              <w:spacing w:before="0" w:beforeAutospacing="0" w:after="0" w:afterAutospacing="0"/>
              <w:jc w:val="both"/>
            </w:pPr>
            <w:r>
              <w:t xml:space="preserve">Tā kā </w:t>
            </w:r>
            <w:r w:rsidR="00FF2014">
              <w:t>r</w:t>
            </w:r>
            <w:r w:rsidR="00FF2014" w:rsidRPr="00D61CFA">
              <w:t xml:space="preserve">egulas </w:t>
            </w:r>
            <w:r w:rsidR="00FF1330">
              <w:t>Nr.</w:t>
            </w:r>
            <w:r w:rsidR="00FF2014" w:rsidRPr="00D61CFA">
              <w:t xml:space="preserve">142/2011 VI pielikuma III nodaļas 1.iedaļas 3.punkta „b” apakšpunkts nosaka, ka </w:t>
            </w:r>
            <w:r w:rsidR="00D91601">
              <w:t>lolojum</w:t>
            </w:r>
            <w:r w:rsidR="00FF2014">
              <w:t>dzīvnieku līķ</w:t>
            </w:r>
            <w:r w:rsidR="00DF2C0E">
              <w:t>i</w:t>
            </w:r>
            <w:r w:rsidR="00FF2014" w:rsidRPr="00D61CFA">
              <w:t xml:space="preserve"> </w:t>
            </w:r>
            <w:r w:rsidR="00DF2C0E" w:rsidRPr="00D61CFA">
              <w:t xml:space="preserve">uz vietas </w:t>
            </w:r>
            <w:r w:rsidR="00FF2014" w:rsidRPr="00D61CFA">
              <w:t>apr</w:t>
            </w:r>
            <w:r w:rsidR="00DF2C0E">
              <w:t xml:space="preserve">okami tā, </w:t>
            </w:r>
            <w:r w:rsidR="00FF2014" w:rsidRPr="00D61CFA">
              <w:t>lai neapdraudētu cilvēku veselību</w:t>
            </w:r>
            <w:r w:rsidR="00DF2C0E">
              <w:t>,</w:t>
            </w:r>
            <w:r w:rsidR="00FF2014" w:rsidRPr="00D61CFA">
              <w:t xml:space="preserve"> izmantojot procesus vai metodes, kas nekaitē videi, jo īpaši, ja </w:t>
            </w:r>
            <w:r w:rsidR="00DF2C0E">
              <w:t>pēc aprakšanas</w:t>
            </w:r>
            <w:r w:rsidR="00FF2014" w:rsidRPr="00D61CFA">
              <w:t xml:space="preserve"> var rasties ūdens, gaisa, augsnes, kā arī augu un dzīvnieku apdraudējums vai smakas</w:t>
            </w:r>
            <w:r w:rsidR="00FF2014">
              <w:t xml:space="preserve">, tad </w:t>
            </w:r>
            <w:r w:rsidR="00FF2014" w:rsidRPr="00FF2014">
              <w:t>noteikumos Nr.275 jānosaka</w:t>
            </w:r>
            <w:r w:rsidR="00FF2014">
              <w:t xml:space="preserve"> </w:t>
            </w:r>
            <w:r w:rsidR="00FF2014" w:rsidRPr="00FF2014">
              <w:t>nosacījum</w:t>
            </w:r>
            <w:r w:rsidR="00FF2014">
              <w:t xml:space="preserve">i </w:t>
            </w:r>
            <w:r w:rsidR="00FF2014" w:rsidRPr="002179B6">
              <w:t xml:space="preserve">nobeigušos lolojumdzīvnieku </w:t>
            </w:r>
            <w:r w:rsidR="00FF2014" w:rsidRPr="00D61CFA">
              <w:t>aprakšana</w:t>
            </w:r>
            <w:r w:rsidR="00FF2014">
              <w:t>i</w:t>
            </w:r>
            <w:r w:rsidR="00FF2014" w:rsidRPr="00FF2014">
              <w:t xml:space="preserve">, </w:t>
            </w:r>
            <w:r w:rsidR="00D16519">
              <w:t>tā</w:t>
            </w:r>
            <w:r w:rsidR="00FF2014" w:rsidRPr="00FF2014">
              <w:t xml:space="preserve"> novēr</w:t>
            </w:r>
            <w:r w:rsidR="00D16519">
              <w:t>šot</w:t>
            </w:r>
            <w:r w:rsidR="00FF2014" w:rsidRPr="00FF2014">
              <w:t xml:space="preserve"> </w:t>
            </w:r>
            <w:r w:rsidR="00652579" w:rsidRPr="00D61CFA">
              <w:t>apdraudējum</w:t>
            </w:r>
            <w:r w:rsidR="00652579">
              <w:t>a</w:t>
            </w:r>
            <w:r w:rsidR="00652579" w:rsidRPr="00FF2014">
              <w:t xml:space="preserve"> </w:t>
            </w:r>
            <w:r w:rsidR="00FF2014" w:rsidRPr="00FF2014">
              <w:t xml:space="preserve">risku cilvēku un dzīvnieku veselībai, </w:t>
            </w:r>
            <w:r w:rsidR="00652579" w:rsidRPr="00D61CFA">
              <w:t>dzīvībai</w:t>
            </w:r>
            <w:r w:rsidR="00652579" w:rsidRPr="00FF2014">
              <w:t xml:space="preserve"> </w:t>
            </w:r>
            <w:r w:rsidR="00652579" w:rsidRPr="00D61CFA">
              <w:t>un apkārtējai videi</w:t>
            </w:r>
            <w:r w:rsidR="00652579">
              <w:t xml:space="preserve">, </w:t>
            </w:r>
            <w:r w:rsidR="00FF2014">
              <w:t>kā arī</w:t>
            </w:r>
            <w:r w:rsidRPr="00D61CFA">
              <w:t xml:space="preserve"> jebkuru patogēnu izkliedes risku</w:t>
            </w:r>
            <w:r w:rsidR="00652579">
              <w:t>.</w:t>
            </w:r>
            <w:r>
              <w:t xml:space="preserve"> </w:t>
            </w:r>
            <w:r w:rsidR="00B738A0" w:rsidRPr="00B7776B">
              <w:t>Lolojumdzīvniek</w:t>
            </w:r>
            <w:r w:rsidR="00E34D76" w:rsidRPr="00B7776B">
              <w:t>a</w:t>
            </w:r>
            <w:r w:rsidR="00B738A0" w:rsidRPr="00B7776B">
              <w:t xml:space="preserve"> līķ</w:t>
            </w:r>
            <w:r w:rsidR="00E34D76" w:rsidRPr="00B7776B">
              <w:t>a likvidēšanai</w:t>
            </w:r>
            <w:r w:rsidR="00B738A0" w:rsidRPr="00B7776B">
              <w:t xml:space="preserve"> aprokot to ārpus dzīvnieku kapsētām būtu nosakāms aizliegums arī attiecībā uz pieminekļu uzstādīšanu. </w:t>
            </w:r>
          </w:p>
          <w:p w14:paraId="4524BFDE" w14:textId="77777777" w:rsidR="006E08F1" w:rsidRPr="00BA6A4D" w:rsidRDefault="00652579" w:rsidP="00EA6D07">
            <w:pPr>
              <w:pStyle w:val="naiskr"/>
              <w:spacing w:before="0" w:beforeAutospacing="0" w:after="0" w:afterAutospacing="0"/>
              <w:jc w:val="both"/>
            </w:pPr>
            <w:r>
              <w:t xml:space="preserve">3. </w:t>
            </w:r>
            <w:r w:rsidR="00273012" w:rsidRPr="00BA6A4D">
              <w:t xml:space="preserve">Ministru kabineta 2016. gada 16. februāra noteikumi Nr.106 </w:t>
            </w:r>
            <w:r w:rsidR="006137F3">
              <w:t>“</w:t>
            </w:r>
            <w:r w:rsidR="00273012" w:rsidRPr="00BA6A4D">
              <w:t>Grozījumi Ministru kabineta 2014. gada 15. jūlija noteikumos Nr.393 "Lauksaimniecības un akvakultūras dzīvnieku, to ganāmpulku un novietņu reģistrēšanas kārtība, kā arī lauksaimniecības dzīvnieku apzīmēšanas kārtība"</w:t>
            </w:r>
            <w:r w:rsidR="000D5719">
              <w:t>”</w:t>
            </w:r>
            <w:r w:rsidR="00273012" w:rsidRPr="00BA6A4D">
              <w:t xml:space="preserve"> </w:t>
            </w:r>
            <w:r w:rsidR="00265BA0">
              <w:t xml:space="preserve">(turpmāk </w:t>
            </w:r>
            <w:r w:rsidR="00D16519">
              <w:t>–</w:t>
            </w:r>
            <w:r w:rsidR="00265BA0">
              <w:t xml:space="preserve"> </w:t>
            </w:r>
            <w:r w:rsidR="00265BA0" w:rsidRPr="00265BA0">
              <w:t>noteikumi Nr.106</w:t>
            </w:r>
            <w:r w:rsidR="00265BA0">
              <w:t>)</w:t>
            </w:r>
            <w:r w:rsidR="00265BA0" w:rsidRPr="00265BA0">
              <w:t xml:space="preserve"> </w:t>
            </w:r>
            <w:r w:rsidR="00273012" w:rsidRPr="00BA6A4D">
              <w:t xml:space="preserve">precizē informācijas apriti Lauksaimniecības datu centra </w:t>
            </w:r>
            <w:r w:rsidR="005A2698" w:rsidRPr="00BA6A4D">
              <w:t xml:space="preserve">(turpmāk – LDC) </w:t>
            </w:r>
            <w:r w:rsidR="00273012" w:rsidRPr="00BA6A4D">
              <w:t>lauksaimniecības dzīvnieku, ganāmpulku un novietņu reģistrā</w:t>
            </w:r>
            <w:r w:rsidR="009261AC" w:rsidRPr="00BA6A4D">
              <w:t xml:space="preserve">, </w:t>
            </w:r>
            <w:r w:rsidR="00273012" w:rsidRPr="00BA6A4D">
              <w:t>kas ir valsts informācijas sistēmas "Lauksaimniecības datu centra informācijas sistēma" sastāvdaļa (turpmāk –</w:t>
            </w:r>
            <w:r w:rsidR="00D16519">
              <w:t xml:space="preserve"> </w:t>
            </w:r>
            <w:r w:rsidR="00273012" w:rsidRPr="00BA6A4D">
              <w:t>datubāze).</w:t>
            </w:r>
            <w:r w:rsidR="005A2698" w:rsidRPr="00BA6A4D">
              <w:t xml:space="preserve"> </w:t>
            </w:r>
            <w:r w:rsidR="000052DC">
              <w:t>I</w:t>
            </w:r>
            <w:r w:rsidR="005A2698" w:rsidRPr="00BA6A4D">
              <w:t xml:space="preserve">r </w:t>
            </w:r>
            <w:r w:rsidR="00265BA0">
              <w:t>noteikt</w:t>
            </w:r>
            <w:r w:rsidR="000052DC">
              <w:t>s, ka LDC datubāzē</w:t>
            </w:r>
            <w:r w:rsidR="00273012" w:rsidRPr="00BA6A4D">
              <w:t xml:space="preserve"> </w:t>
            </w:r>
            <w:r w:rsidR="000052DC">
              <w:t xml:space="preserve">iekļauj </w:t>
            </w:r>
            <w:r w:rsidR="00273012" w:rsidRPr="00BA6A4D">
              <w:t>informācij</w:t>
            </w:r>
            <w:r w:rsidR="000052DC">
              <w:t>u</w:t>
            </w:r>
            <w:r w:rsidR="00273012" w:rsidRPr="00BA6A4D">
              <w:t xml:space="preserve"> par liellopu elektroniskajiem apzīmēšanas līdzekļiem, </w:t>
            </w:r>
            <w:r w:rsidR="00273012" w:rsidRPr="00265BA0">
              <w:t xml:space="preserve">tāpēc </w:t>
            </w:r>
            <w:r w:rsidR="000052DC">
              <w:t xml:space="preserve">tos izmanto </w:t>
            </w:r>
            <w:r w:rsidR="00273012" w:rsidRPr="00265BA0">
              <w:t>liellopu apzīmēšanā</w:t>
            </w:r>
            <w:r w:rsidR="00D13FA9">
              <w:t>,</w:t>
            </w:r>
            <w:r w:rsidR="00273012" w:rsidRPr="00265BA0">
              <w:t xml:space="preserve"> reģistrē datubāzē un norād</w:t>
            </w:r>
            <w:r w:rsidR="000052DC">
              <w:t>a</w:t>
            </w:r>
            <w:r w:rsidR="00273012" w:rsidRPr="00265BA0">
              <w:t xml:space="preserve"> dzīvniekam izmantot</w:t>
            </w:r>
            <w:r w:rsidR="000052DC">
              <w:t>ā</w:t>
            </w:r>
            <w:r w:rsidR="00273012" w:rsidRPr="00265BA0">
              <w:t xml:space="preserve"> elektroniskā identifikatora veid</w:t>
            </w:r>
            <w:r w:rsidR="000052DC">
              <w:t>u</w:t>
            </w:r>
            <w:r w:rsidR="00273012" w:rsidRPr="00265BA0">
              <w:t>.</w:t>
            </w:r>
            <w:r w:rsidR="00265BA0" w:rsidRPr="00265BA0">
              <w:t xml:space="preserve"> Noteikumi Nr.106 nosaka, ka liellopa pasi izgatavo un to izdod īpašniekam vai turētājam, ja dzīvnieku izved uz citu Eiropas Savienības dalībvalsti vai ja liellopa pasi pieprasa trešās valsts kompetentā iestāde</w:t>
            </w:r>
            <w:r w:rsidR="00265BA0">
              <w:t xml:space="preserve">. </w:t>
            </w:r>
            <w:r w:rsidR="00655689">
              <w:t>Noteikumi Nr.106 nosaka arī to, ka LDC jānodod tikai nokautu</w:t>
            </w:r>
            <w:r w:rsidR="00265BA0" w:rsidRPr="00265BA0">
              <w:t xml:space="preserve"> zirgu dzimtas dzīvnieku </w:t>
            </w:r>
            <w:r w:rsidR="00655689">
              <w:t>pases</w:t>
            </w:r>
            <w:r w:rsidR="00265BA0" w:rsidRPr="00265BA0">
              <w:t>.</w:t>
            </w:r>
            <w:r w:rsidR="009261AC" w:rsidRPr="00BA6A4D">
              <w:t xml:space="preserve"> </w:t>
            </w:r>
            <w:r w:rsidR="00265BA0">
              <w:t>Tā kā d</w:t>
            </w:r>
            <w:r w:rsidR="00BA6A4D" w:rsidRPr="00BA6A4D">
              <w:t>atu apmaiņai nobeigušos d</w:t>
            </w:r>
            <w:r w:rsidR="009261AC" w:rsidRPr="00BA6A4D">
              <w:t xml:space="preserve">zīvnieku </w:t>
            </w:r>
            <w:r w:rsidR="009459EA">
              <w:t xml:space="preserve">(dzīvnieka līķa) </w:t>
            </w:r>
            <w:r w:rsidR="009261AC" w:rsidRPr="00BA6A4D">
              <w:t>īpašnieki un turētāji izmanto elektronisko paziņošanas sistēmu</w:t>
            </w:r>
            <w:r w:rsidR="00BA6A4D" w:rsidRPr="00BA6A4D">
              <w:t xml:space="preserve"> datubāzē</w:t>
            </w:r>
            <w:r w:rsidR="00265BA0">
              <w:t xml:space="preserve">, ir </w:t>
            </w:r>
            <w:r w:rsidR="006F3043" w:rsidRPr="00BA6A4D">
              <w:t xml:space="preserve">nepieciešams </w:t>
            </w:r>
            <w:bookmarkStart w:id="0" w:name="428751"/>
            <w:bookmarkEnd w:id="0"/>
            <w:r w:rsidR="006F3043" w:rsidRPr="00BA6A4D">
              <w:rPr>
                <w:bCs/>
              </w:rPr>
              <w:t>Dzīvnieku izcelsmes blakusproduktu un pārstrādātu produktu pavaddokumenta veidlap</w:t>
            </w:r>
            <w:r w:rsidR="00D16519">
              <w:rPr>
                <w:bCs/>
              </w:rPr>
              <w:t>ā</w:t>
            </w:r>
            <w:r w:rsidR="006F3043" w:rsidRPr="00BA6A4D">
              <w:rPr>
                <w:bCs/>
              </w:rPr>
              <w:t xml:space="preserve"> (noteikumu Nr.275 1.pielikums)</w:t>
            </w:r>
            <w:r w:rsidR="003023B3" w:rsidRPr="00BA6A4D">
              <w:rPr>
                <w:bCs/>
              </w:rPr>
              <w:t xml:space="preserve"> svītrot </w:t>
            </w:r>
            <w:r w:rsidR="009F5BC7" w:rsidRPr="00BA6A4D">
              <w:rPr>
                <w:bCs/>
              </w:rPr>
              <w:t xml:space="preserve">norādi par </w:t>
            </w:r>
            <w:r w:rsidR="00AC0726">
              <w:rPr>
                <w:bCs/>
              </w:rPr>
              <w:t xml:space="preserve">pilnvarojumu nodot </w:t>
            </w:r>
            <w:r w:rsidR="009F5BC7" w:rsidRPr="00BA6A4D">
              <w:rPr>
                <w:bCs/>
              </w:rPr>
              <w:t>dzīvnieku pases LDC.</w:t>
            </w:r>
          </w:p>
          <w:p w14:paraId="2DE18AA1" w14:textId="77777777" w:rsidR="00194785" w:rsidRPr="00BA6A4D" w:rsidRDefault="00652579" w:rsidP="006E08F1">
            <w:pPr>
              <w:pStyle w:val="naiskr"/>
              <w:spacing w:before="0" w:beforeAutospacing="0" w:after="0" w:afterAutospacing="0"/>
              <w:jc w:val="both"/>
              <w:rPr>
                <w:bCs/>
              </w:rPr>
            </w:pPr>
            <w:r>
              <w:rPr>
                <w:bCs/>
              </w:rPr>
              <w:t>4</w:t>
            </w:r>
            <w:r w:rsidR="00194785" w:rsidRPr="00BA6A4D">
              <w:rPr>
                <w:bCs/>
              </w:rPr>
              <w:t xml:space="preserve">. </w:t>
            </w:r>
            <w:r w:rsidR="00D16519">
              <w:rPr>
                <w:bCs/>
              </w:rPr>
              <w:t>Jā</w:t>
            </w:r>
            <w:r w:rsidR="00194785" w:rsidRPr="00BA6A4D">
              <w:rPr>
                <w:bCs/>
              </w:rPr>
              <w:t>precizē LDC nosaukum</w:t>
            </w:r>
            <w:r w:rsidR="00D16519">
              <w:rPr>
                <w:bCs/>
              </w:rPr>
              <w:t>s</w:t>
            </w:r>
            <w:r w:rsidR="00194785" w:rsidRPr="00BA6A4D">
              <w:rPr>
                <w:bCs/>
              </w:rPr>
              <w:t>, jo ir mainīts tā statuss un LDC no valsts aģentūras ir reorganizēts par tiešās</w:t>
            </w:r>
            <w:r w:rsidR="00A7728E" w:rsidRPr="00BA6A4D">
              <w:rPr>
                <w:bCs/>
              </w:rPr>
              <w:t xml:space="preserve"> pārvaldes iestādi.</w:t>
            </w:r>
          </w:p>
          <w:p w14:paraId="40901A4E" w14:textId="77777777" w:rsidR="006869F5" w:rsidRPr="00BA6A4D" w:rsidRDefault="006869F5" w:rsidP="006869F5">
            <w:pPr>
              <w:pStyle w:val="naiskr"/>
              <w:spacing w:before="0" w:beforeAutospacing="0" w:after="0" w:afterAutospacing="0"/>
              <w:jc w:val="both"/>
              <w:rPr>
                <w:bCs/>
              </w:rPr>
            </w:pPr>
          </w:p>
          <w:p w14:paraId="734DF7AD" w14:textId="77777777" w:rsidR="00926503" w:rsidRPr="00885D66" w:rsidRDefault="00926503" w:rsidP="00072B42">
            <w:pPr>
              <w:jc w:val="both"/>
              <w:rPr>
                <w:bCs/>
                <w:u w:val="single"/>
              </w:rPr>
            </w:pPr>
            <w:r w:rsidRPr="00885D66">
              <w:t>Minētās problēmas noteikumu projekts atrisinās pilnībā.</w:t>
            </w:r>
          </w:p>
        </w:tc>
      </w:tr>
      <w:tr w:rsidR="00BA0DE8" w:rsidRPr="00BA0DE8" w14:paraId="43F668AF" w14:textId="77777777" w:rsidTr="008E3636">
        <w:tc>
          <w:tcPr>
            <w:tcW w:w="287" w:type="pct"/>
          </w:tcPr>
          <w:p w14:paraId="1F4EF3EB" w14:textId="77777777" w:rsidR="00AC145B" w:rsidRPr="00BA0DE8" w:rsidRDefault="00243D1D" w:rsidP="003037FE">
            <w:pPr>
              <w:pStyle w:val="Galvene"/>
              <w:jc w:val="center"/>
              <w:outlineLvl w:val="0"/>
            </w:pPr>
            <w:r w:rsidRPr="00BA0DE8">
              <w:lastRenderedPageBreak/>
              <w:t>3</w:t>
            </w:r>
            <w:r w:rsidR="00AC145B" w:rsidRPr="00BA0DE8">
              <w:t>.</w:t>
            </w:r>
          </w:p>
        </w:tc>
        <w:tc>
          <w:tcPr>
            <w:tcW w:w="1275" w:type="pct"/>
            <w:gridSpan w:val="2"/>
          </w:tcPr>
          <w:p w14:paraId="32F0440E" w14:textId="77777777" w:rsidR="00AC145B" w:rsidRPr="00BA0DE8" w:rsidRDefault="00AC145B" w:rsidP="003037FE">
            <w:pPr>
              <w:pStyle w:val="Galvene"/>
              <w:jc w:val="both"/>
              <w:outlineLvl w:val="0"/>
            </w:pPr>
            <w:r w:rsidRPr="00BA0DE8">
              <w:t>Projekta izstrādē iesaistītās institūcijas</w:t>
            </w:r>
          </w:p>
        </w:tc>
        <w:tc>
          <w:tcPr>
            <w:tcW w:w="3438" w:type="pct"/>
          </w:tcPr>
          <w:p w14:paraId="466FA414" w14:textId="77777777" w:rsidR="00AC145B" w:rsidRPr="00BA0DE8" w:rsidRDefault="00940B60" w:rsidP="003037FE">
            <w:pPr>
              <w:jc w:val="both"/>
            </w:pPr>
            <w:r w:rsidRPr="00940B60">
              <w:t>Pārtikas un veterinārais dienests</w:t>
            </w:r>
          </w:p>
        </w:tc>
      </w:tr>
      <w:tr w:rsidR="005C3223" w:rsidRPr="00BA0DE8" w14:paraId="74379BF8" w14:textId="77777777" w:rsidTr="008E3636">
        <w:tc>
          <w:tcPr>
            <w:tcW w:w="287" w:type="pct"/>
          </w:tcPr>
          <w:p w14:paraId="5F1ADE1C" w14:textId="77777777" w:rsidR="00AC145B" w:rsidRPr="00BA0DE8" w:rsidRDefault="00243D1D" w:rsidP="003037FE">
            <w:pPr>
              <w:pStyle w:val="naislab"/>
              <w:spacing w:before="0" w:after="0"/>
              <w:jc w:val="center"/>
              <w:outlineLvl w:val="0"/>
            </w:pPr>
            <w:r w:rsidRPr="00BA0DE8">
              <w:t>4</w:t>
            </w:r>
            <w:r w:rsidR="00AC145B" w:rsidRPr="00BA0DE8">
              <w:t>.</w:t>
            </w:r>
          </w:p>
        </w:tc>
        <w:tc>
          <w:tcPr>
            <w:tcW w:w="1275" w:type="pct"/>
            <w:gridSpan w:val="2"/>
          </w:tcPr>
          <w:p w14:paraId="24C7BE87" w14:textId="77777777" w:rsidR="00AC145B" w:rsidRPr="00BA0DE8" w:rsidRDefault="00AC145B" w:rsidP="003037FE">
            <w:pPr>
              <w:pStyle w:val="naislab"/>
              <w:spacing w:before="0" w:after="0"/>
              <w:jc w:val="both"/>
              <w:outlineLvl w:val="0"/>
            </w:pPr>
            <w:r w:rsidRPr="00BA0DE8">
              <w:t>Cita informācija</w:t>
            </w:r>
          </w:p>
        </w:tc>
        <w:tc>
          <w:tcPr>
            <w:tcW w:w="3438" w:type="pct"/>
          </w:tcPr>
          <w:p w14:paraId="1DE4F92B" w14:textId="77777777" w:rsidR="00AC145B" w:rsidRPr="00072B42" w:rsidRDefault="006869F5" w:rsidP="00072B42">
            <w:pPr>
              <w:jc w:val="both"/>
            </w:pPr>
            <w:r>
              <w:t>Nav</w:t>
            </w:r>
            <w:r w:rsidR="00AB1AA9" w:rsidRPr="00072B42">
              <w:t xml:space="preserve">. </w:t>
            </w:r>
          </w:p>
        </w:tc>
      </w:tr>
      <w:tr w:rsidR="00BA0DE8" w:rsidRPr="00BA0DE8" w14:paraId="0CB87B08" w14:textId="77777777" w:rsidTr="00133DFE">
        <w:tc>
          <w:tcPr>
            <w:tcW w:w="5000" w:type="pct"/>
            <w:gridSpan w:val="4"/>
          </w:tcPr>
          <w:p w14:paraId="14675F86" w14:textId="77777777" w:rsidR="00C62422" w:rsidRDefault="00AC145B" w:rsidP="003037FE">
            <w:pPr>
              <w:jc w:val="center"/>
              <w:rPr>
                <w:b/>
              </w:rPr>
            </w:pPr>
            <w:r w:rsidRPr="00BA0DE8">
              <w:rPr>
                <w:b/>
              </w:rPr>
              <w:t xml:space="preserve">II. Tiesību akta projekta ietekme uz sabiedrību, </w:t>
            </w:r>
          </w:p>
          <w:p w14:paraId="5CC856D8" w14:textId="77777777" w:rsidR="00AC145B" w:rsidRPr="00BA0DE8" w:rsidRDefault="00AC145B" w:rsidP="003037FE">
            <w:pPr>
              <w:jc w:val="center"/>
              <w:rPr>
                <w:b/>
              </w:rPr>
            </w:pPr>
            <w:r w:rsidRPr="00BA0DE8">
              <w:rPr>
                <w:b/>
              </w:rPr>
              <w:t>tautsaimniecības attīstību un administratīvo slogu</w:t>
            </w:r>
          </w:p>
        </w:tc>
      </w:tr>
      <w:tr w:rsidR="00BA0DE8" w:rsidRPr="00BA0DE8" w14:paraId="357BAE84" w14:textId="77777777" w:rsidTr="00BC349A">
        <w:tc>
          <w:tcPr>
            <w:tcW w:w="285" w:type="pct"/>
          </w:tcPr>
          <w:p w14:paraId="1C549E3A" w14:textId="77777777" w:rsidR="00AC145B" w:rsidRPr="00BA0DE8" w:rsidRDefault="00AC145B" w:rsidP="003037FE">
            <w:pPr>
              <w:pStyle w:val="naislab"/>
              <w:spacing w:before="0" w:after="0"/>
              <w:jc w:val="center"/>
              <w:outlineLvl w:val="0"/>
            </w:pPr>
            <w:r w:rsidRPr="00BA0DE8">
              <w:t>1.</w:t>
            </w:r>
          </w:p>
        </w:tc>
        <w:tc>
          <w:tcPr>
            <w:tcW w:w="989" w:type="pct"/>
          </w:tcPr>
          <w:p w14:paraId="7546D303" w14:textId="77777777" w:rsidR="00AC145B" w:rsidRPr="00BA0DE8" w:rsidRDefault="00AC145B" w:rsidP="003037FE">
            <w:pPr>
              <w:pStyle w:val="naislab"/>
              <w:spacing w:before="0" w:after="0"/>
              <w:jc w:val="both"/>
              <w:outlineLvl w:val="0"/>
            </w:pPr>
            <w:r w:rsidRPr="00BA0DE8">
              <w:t>Sabiedrības mērķgrupas, kuras tiesiskais regulējums ietekmē vai varētu ietekmēt</w:t>
            </w:r>
          </w:p>
        </w:tc>
        <w:tc>
          <w:tcPr>
            <w:tcW w:w="3726" w:type="pct"/>
            <w:gridSpan w:val="2"/>
          </w:tcPr>
          <w:p w14:paraId="3919FFEB" w14:textId="77777777" w:rsidR="00072B42" w:rsidRPr="00B86B73" w:rsidRDefault="00940B60" w:rsidP="00223C04">
            <w:pPr>
              <w:jc w:val="both"/>
              <w:rPr>
                <w:highlight w:val="yellow"/>
              </w:rPr>
            </w:pPr>
            <w:r w:rsidRPr="00885D66">
              <w:t>Noteikumu projekta tiesiskais regulējums attieksies uz</w:t>
            </w:r>
            <w:r w:rsidR="00C6168F" w:rsidRPr="00885D66">
              <w:t xml:space="preserve"> </w:t>
            </w:r>
            <w:r w:rsidR="006869F5">
              <w:t xml:space="preserve">medniekiem, kuri vēlēsies izmantot, </w:t>
            </w:r>
            <w:r w:rsidR="006869F5" w:rsidRPr="006869F5">
              <w:t xml:space="preserve">laist tirgū Latvijas teritorijā, ievest no trešajām valstīm </w:t>
            </w:r>
            <w:r w:rsidR="009B2FA7" w:rsidRPr="009B2FA7">
              <w:t xml:space="preserve">un Eiropas Savienības dalībvalstīm, kā arī eksportēt </w:t>
            </w:r>
            <w:r w:rsidR="006869F5" w:rsidRPr="006869F5">
              <w:t>briežu dzimtas dzīvnieku urīnu, kas paredzēts dzīvnieku pievilināšanai</w:t>
            </w:r>
            <w:r w:rsidR="006869F5">
              <w:t xml:space="preserve">. </w:t>
            </w:r>
            <w:r w:rsidR="00885D66" w:rsidRPr="004C1BC4">
              <w:t xml:space="preserve">Latvijā </w:t>
            </w:r>
            <w:r w:rsidR="009B2FA7">
              <w:t>ir reģistrēti 2074 medību iecirkņi un 21 000 medniekiem izsniegtas mednieka sezonas kartes</w:t>
            </w:r>
            <w:r w:rsidR="00885D66" w:rsidRPr="004C1BC4">
              <w:t xml:space="preserve">. </w:t>
            </w:r>
          </w:p>
        </w:tc>
      </w:tr>
      <w:tr w:rsidR="00BA0DE8" w:rsidRPr="00BA0DE8" w14:paraId="49D438BD" w14:textId="77777777" w:rsidTr="00BC349A">
        <w:tc>
          <w:tcPr>
            <w:tcW w:w="285" w:type="pct"/>
          </w:tcPr>
          <w:p w14:paraId="64E2D71E" w14:textId="77777777" w:rsidR="00AC145B" w:rsidRPr="00BA0DE8" w:rsidRDefault="00AC145B" w:rsidP="003037FE">
            <w:pPr>
              <w:pStyle w:val="naislab"/>
              <w:spacing w:before="0" w:after="0"/>
              <w:jc w:val="center"/>
              <w:outlineLvl w:val="0"/>
            </w:pPr>
            <w:r w:rsidRPr="00BA0DE8">
              <w:t>2.</w:t>
            </w:r>
          </w:p>
        </w:tc>
        <w:tc>
          <w:tcPr>
            <w:tcW w:w="989" w:type="pct"/>
          </w:tcPr>
          <w:p w14:paraId="6D637994" w14:textId="77777777" w:rsidR="00AC145B" w:rsidRPr="00BA0DE8" w:rsidRDefault="00AC145B" w:rsidP="003037FE">
            <w:pPr>
              <w:pStyle w:val="naislab"/>
              <w:spacing w:before="0" w:after="0"/>
              <w:jc w:val="both"/>
              <w:outlineLvl w:val="0"/>
            </w:pPr>
            <w:r w:rsidRPr="00BA0DE8">
              <w:t>Tiesiskā regulējuma ietekme uz tautsaimniecību un administratīvo slogu</w:t>
            </w:r>
          </w:p>
        </w:tc>
        <w:tc>
          <w:tcPr>
            <w:tcW w:w="3726" w:type="pct"/>
            <w:gridSpan w:val="2"/>
          </w:tcPr>
          <w:p w14:paraId="1C3C213F" w14:textId="77777777" w:rsidR="00AC145B" w:rsidRPr="00BA0DE8" w:rsidRDefault="00926503" w:rsidP="006E65F9">
            <w:pPr>
              <w:jc w:val="both"/>
            </w:pPr>
            <w:r w:rsidRPr="000E674D">
              <w:t>Projekts šo jomu neskar.</w:t>
            </w:r>
          </w:p>
        </w:tc>
      </w:tr>
      <w:tr w:rsidR="00BA0DE8" w:rsidRPr="00BA0DE8" w14:paraId="6619519E" w14:textId="77777777" w:rsidTr="00BC349A">
        <w:tc>
          <w:tcPr>
            <w:tcW w:w="285" w:type="pct"/>
          </w:tcPr>
          <w:p w14:paraId="6D91961B" w14:textId="77777777" w:rsidR="00AC145B" w:rsidRPr="00BA0DE8" w:rsidRDefault="00AC145B" w:rsidP="003037FE">
            <w:pPr>
              <w:pStyle w:val="naislab"/>
              <w:spacing w:before="0" w:after="0"/>
              <w:jc w:val="center"/>
              <w:outlineLvl w:val="0"/>
            </w:pPr>
            <w:r w:rsidRPr="00BA0DE8">
              <w:t>3.</w:t>
            </w:r>
          </w:p>
        </w:tc>
        <w:tc>
          <w:tcPr>
            <w:tcW w:w="989" w:type="pct"/>
          </w:tcPr>
          <w:p w14:paraId="053875C9" w14:textId="77777777" w:rsidR="00AC145B" w:rsidRPr="00BA0DE8" w:rsidRDefault="00AC145B" w:rsidP="003037FE">
            <w:pPr>
              <w:pStyle w:val="naislab"/>
              <w:spacing w:before="0" w:after="0"/>
              <w:jc w:val="both"/>
              <w:outlineLvl w:val="0"/>
            </w:pPr>
            <w:r w:rsidRPr="00BA0DE8">
              <w:t>Administratīvo izmaksu monetārs novērtējums</w:t>
            </w:r>
          </w:p>
        </w:tc>
        <w:tc>
          <w:tcPr>
            <w:tcW w:w="3726" w:type="pct"/>
            <w:gridSpan w:val="2"/>
          </w:tcPr>
          <w:p w14:paraId="620B49C1" w14:textId="77777777" w:rsidR="00AC145B" w:rsidRPr="000B43C3" w:rsidRDefault="00DF5EE4" w:rsidP="003037FE">
            <w:pPr>
              <w:jc w:val="both"/>
            </w:pPr>
            <w:r w:rsidRPr="000E674D">
              <w:t>Projekts šo jomu neskar.</w:t>
            </w:r>
          </w:p>
        </w:tc>
      </w:tr>
      <w:tr w:rsidR="005C3223" w:rsidRPr="00BA0DE8" w14:paraId="2E934B7C" w14:textId="77777777" w:rsidTr="00BC349A">
        <w:tc>
          <w:tcPr>
            <w:tcW w:w="285" w:type="pct"/>
          </w:tcPr>
          <w:p w14:paraId="745D18CD" w14:textId="77777777" w:rsidR="00AC145B" w:rsidRPr="00BA0DE8" w:rsidRDefault="00AC145B" w:rsidP="003037FE">
            <w:pPr>
              <w:pStyle w:val="naislab"/>
              <w:spacing w:before="0" w:after="0"/>
              <w:jc w:val="center"/>
              <w:outlineLvl w:val="0"/>
            </w:pPr>
            <w:r w:rsidRPr="00BA0DE8">
              <w:t>4.</w:t>
            </w:r>
          </w:p>
        </w:tc>
        <w:tc>
          <w:tcPr>
            <w:tcW w:w="989" w:type="pct"/>
          </w:tcPr>
          <w:p w14:paraId="328D5AB9" w14:textId="77777777" w:rsidR="00AC145B" w:rsidRPr="00BA0DE8" w:rsidRDefault="00AC145B" w:rsidP="003037FE">
            <w:pPr>
              <w:pStyle w:val="naislab"/>
              <w:spacing w:before="0" w:after="0"/>
              <w:jc w:val="both"/>
              <w:outlineLvl w:val="0"/>
            </w:pPr>
            <w:r w:rsidRPr="00BA0DE8">
              <w:t>Cita informācija</w:t>
            </w:r>
          </w:p>
        </w:tc>
        <w:tc>
          <w:tcPr>
            <w:tcW w:w="3726" w:type="pct"/>
            <w:gridSpan w:val="2"/>
          </w:tcPr>
          <w:p w14:paraId="73DE348F" w14:textId="77777777" w:rsidR="00AC145B" w:rsidRPr="00BA0DE8" w:rsidRDefault="00AC145B" w:rsidP="003037FE">
            <w:pPr>
              <w:jc w:val="both"/>
            </w:pPr>
            <w:r w:rsidRPr="00BA0DE8">
              <w:t>Nav.</w:t>
            </w:r>
          </w:p>
        </w:tc>
      </w:tr>
    </w:tbl>
    <w:p w14:paraId="63C39F7F" w14:textId="77777777" w:rsidR="00C62422" w:rsidRDefault="00C62422" w:rsidP="00AC515F">
      <w:pPr>
        <w:rPr>
          <w:i/>
        </w:rPr>
      </w:pPr>
    </w:p>
    <w:p w14:paraId="62CAC7F7" w14:textId="77777777" w:rsidR="00AC515F" w:rsidRPr="00AC515F" w:rsidRDefault="00AC515F" w:rsidP="00AC515F">
      <w:pPr>
        <w:rPr>
          <w:i/>
        </w:rPr>
      </w:pPr>
      <w:r w:rsidRPr="00AC515F">
        <w:rPr>
          <w:i/>
        </w:rPr>
        <w:t>Anotācijas III un IV sadaļa – projekts šīs jomas neskar.</w:t>
      </w:r>
    </w:p>
    <w:p w14:paraId="1866401A" w14:textId="77777777" w:rsidR="00AC515F" w:rsidRPr="00AC515F" w:rsidRDefault="00AC515F" w:rsidP="00AC515F">
      <w:pPr>
        <w:rPr>
          <w:i/>
        </w:rPr>
      </w:pPr>
    </w:p>
    <w:tbl>
      <w:tblPr>
        <w:tblW w:w="4905" w:type="pct"/>
        <w:tblInd w:w="7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5"/>
        <w:gridCol w:w="2196"/>
        <w:gridCol w:w="75"/>
        <w:gridCol w:w="1974"/>
        <w:gridCol w:w="2766"/>
        <w:gridCol w:w="1699"/>
      </w:tblGrid>
      <w:tr w:rsidR="00AC515F" w:rsidRPr="00AC515F" w14:paraId="73CE761E" w14:textId="77777777" w:rsidTr="00DC2257">
        <w:tc>
          <w:tcPr>
            <w:tcW w:w="5000" w:type="pct"/>
            <w:gridSpan w:val="6"/>
            <w:tcBorders>
              <w:top w:val="outset" w:sz="6" w:space="0" w:color="auto"/>
              <w:left w:val="outset" w:sz="6" w:space="0" w:color="auto"/>
              <w:bottom w:val="outset" w:sz="6" w:space="0" w:color="auto"/>
              <w:right w:val="outset" w:sz="6" w:space="0" w:color="auto"/>
            </w:tcBorders>
          </w:tcPr>
          <w:p w14:paraId="25B5D21B" w14:textId="77777777" w:rsidR="00C62422" w:rsidRDefault="00AC515F" w:rsidP="00AC515F">
            <w:pPr>
              <w:jc w:val="center"/>
              <w:rPr>
                <w:b/>
              </w:rPr>
            </w:pPr>
            <w:r w:rsidRPr="00AC515F">
              <w:rPr>
                <w:b/>
              </w:rPr>
              <w:t xml:space="preserve"> V. Tiesību akta projekta atbilstība Latvijas Republikas </w:t>
            </w:r>
          </w:p>
          <w:p w14:paraId="4B4A132D" w14:textId="77777777" w:rsidR="00AC515F" w:rsidRPr="00AC515F" w:rsidRDefault="00AC515F" w:rsidP="00AC515F">
            <w:pPr>
              <w:jc w:val="center"/>
              <w:rPr>
                <w:b/>
              </w:rPr>
            </w:pPr>
            <w:r w:rsidRPr="00AC515F">
              <w:rPr>
                <w:b/>
              </w:rPr>
              <w:t>starptautiskajām saistībām</w:t>
            </w:r>
          </w:p>
        </w:tc>
      </w:tr>
      <w:tr w:rsidR="00AC515F" w:rsidRPr="00AC515F" w14:paraId="2685A50B" w14:textId="77777777" w:rsidTr="00DC2257">
        <w:tc>
          <w:tcPr>
            <w:tcW w:w="217" w:type="pct"/>
            <w:tcBorders>
              <w:top w:val="outset" w:sz="6" w:space="0" w:color="auto"/>
              <w:left w:val="outset" w:sz="6" w:space="0" w:color="auto"/>
              <w:bottom w:val="outset" w:sz="6" w:space="0" w:color="auto"/>
              <w:right w:val="outset" w:sz="6" w:space="0" w:color="auto"/>
            </w:tcBorders>
          </w:tcPr>
          <w:p w14:paraId="529655C2" w14:textId="77777777" w:rsidR="00AC515F" w:rsidRPr="00AC515F" w:rsidRDefault="00AC515F" w:rsidP="00AC515F">
            <w:r w:rsidRPr="00AC515F">
              <w:t>1.</w:t>
            </w:r>
          </w:p>
        </w:tc>
        <w:tc>
          <w:tcPr>
            <w:tcW w:w="1247" w:type="pct"/>
            <w:gridSpan w:val="2"/>
            <w:tcBorders>
              <w:top w:val="outset" w:sz="6" w:space="0" w:color="auto"/>
              <w:left w:val="outset" w:sz="6" w:space="0" w:color="auto"/>
              <w:bottom w:val="outset" w:sz="6" w:space="0" w:color="auto"/>
              <w:right w:val="outset" w:sz="6" w:space="0" w:color="auto"/>
            </w:tcBorders>
          </w:tcPr>
          <w:p w14:paraId="6C64CCDD" w14:textId="77777777" w:rsidR="00AC515F" w:rsidRPr="00AC515F" w:rsidRDefault="00AC515F" w:rsidP="00AC515F">
            <w:r w:rsidRPr="00AC515F">
              <w:t>Saistības pret Eiropas Savienību</w:t>
            </w:r>
          </w:p>
        </w:tc>
        <w:tc>
          <w:tcPr>
            <w:tcW w:w="3536" w:type="pct"/>
            <w:gridSpan w:val="3"/>
            <w:tcBorders>
              <w:top w:val="outset" w:sz="6" w:space="0" w:color="auto"/>
              <w:left w:val="outset" w:sz="6" w:space="0" w:color="auto"/>
              <w:bottom w:val="outset" w:sz="6" w:space="0" w:color="auto"/>
              <w:right w:val="outset" w:sz="6" w:space="0" w:color="auto"/>
            </w:tcBorders>
          </w:tcPr>
          <w:p w14:paraId="72142EDF" w14:textId="77777777" w:rsidR="00AC515F" w:rsidRPr="00AC515F" w:rsidRDefault="00AC515F" w:rsidP="00AC515F">
            <w:pPr>
              <w:jc w:val="both"/>
              <w:rPr>
                <w:b/>
                <w:lang w:eastAsia="en-US"/>
              </w:rPr>
            </w:pPr>
            <w:r w:rsidRPr="00AC515F">
              <w:rPr>
                <w:bCs/>
                <w:lang w:eastAsia="en-US"/>
              </w:rPr>
              <w:t>1. Regula Nr.1069/2009</w:t>
            </w:r>
            <w:r w:rsidRPr="00AC515F">
              <w:rPr>
                <w:lang w:eastAsia="en-US"/>
              </w:rPr>
              <w:t>.</w:t>
            </w:r>
          </w:p>
          <w:p w14:paraId="0B571322" w14:textId="77777777" w:rsidR="00AC515F" w:rsidRPr="00AC515F" w:rsidRDefault="00AC515F" w:rsidP="00AC515F">
            <w:pPr>
              <w:autoSpaceDE w:val="0"/>
              <w:autoSpaceDN w:val="0"/>
              <w:adjustRightInd w:val="0"/>
              <w:jc w:val="both"/>
            </w:pPr>
            <w:r w:rsidRPr="00AC515F">
              <w:t>2. Regula</w:t>
            </w:r>
            <w:r w:rsidRPr="00AC515F">
              <w:rPr>
                <w:b/>
                <w:bCs/>
              </w:rPr>
              <w:t xml:space="preserve"> </w:t>
            </w:r>
            <w:r w:rsidRPr="00AC515F">
              <w:t>Nr.142/2011.</w:t>
            </w:r>
          </w:p>
        </w:tc>
      </w:tr>
      <w:tr w:rsidR="00AC515F" w:rsidRPr="00AC515F" w14:paraId="3F56ADC0" w14:textId="77777777" w:rsidTr="00DC2257">
        <w:tc>
          <w:tcPr>
            <w:tcW w:w="217" w:type="pct"/>
            <w:tcBorders>
              <w:top w:val="outset" w:sz="6" w:space="0" w:color="auto"/>
              <w:left w:val="outset" w:sz="6" w:space="0" w:color="auto"/>
              <w:bottom w:val="outset" w:sz="6" w:space="0" w:color="auto"/>
              <w:right w:val="outset" w:sz="6" w:space="0" w:color="auto"/>
            </w:tcBorders>
          </w:tcPr>
          <w:p w14:paraId="7019587B" w14:textId="77777777" w:rsidR="00AC515F" w:rsidRPr="00AC515F" w:rsidRDefault="00AC515F" w:rsidP="00AC515F">
            <w:r w:rsidRPr="00AC515F">
              <w:t>2.</w:t>
            </w:r>
          </w:p>
        </w:tc>
        <w:tc>
          <w:tcPr>
            <w:tcW w:w="1247" w:type="pct"/>
            <w:gridSpan w:val="2"/>
            <w:tcBorders>
              <w:top w:val="outset" w:sz="6" w:space="0" w:color="auto"/>
              <w:left w:val="outset" w:sz="6" w:space="0" w:color="auto"/>
              <w:bottom w:val="outset" w:sz="6" w:space="0" w:color="auto"/>
              <w:right w:val="outset" w:sz="6" w:space="0" w:color="auto"/>
            </w:tcBorders>
          </w:tcPr>
          <w:p w14:paraId="17645D73" w14:textId="77777777" w:rsidR="00AC515F" w:rsidRPr="00AC515F" w:rsidRDefault="00AC515F" w:rsidP="00AC515F">
            <w:r w:rsidRPr="00AC515F">
              <w:t>Citas starptautiskās saistības</w:t>
            </w:r>
          </w:p>
        </w:tc>
        <w:tc>
          <w:tcPr>
            <w:tcW w:w="3536" w:type="pct"/>
            <w:gridSpan w:val="3"/>
            <w:tcBorders>
              <w:top w:val="outset" w:sz="6" w:space="0" w:color="auto"/>
              <w:left w:val="outset" w:sz="6" w:space="0" w:color="auto"/>
              <w:bottom w:val="outset" w:sz="6" w:space="0" w:color="auto"/>
              <w:right w:val="outset" w:sz="6" w:space="0" w:color="auto"/>
            </w:tcBorders>
          </w:tcPr>
          <w:p w14:paraId="0061B483" w14:textId="77777777" w:rsidR="00AC515F" w:rsidRPr="00AC515F" w:rsidRDefault="00AC515F" w:rsidP="00AC515F">
            <w:r w:rsidRPr="00AC515F">
              <w:t>Projekts šo jomu neskar.</w:t>
            </w:r>
          </w:p>
        </w:tc>
      </w:tr>
      <w:tr w:rsidR="00AC515F" w:rsidRPr="00AC515F" w14:paraId="492D5EAF" w14:textId="77777777" w:rsidTr="00DC2257">
        <w:tc>
          <w:tcPr>
            <w:tcW w:w="217" w:type="pct"/>
            <w:tcBorders>
              <w:top w:val="outset" w:sz="6" w:space="0" w:color="auto"/>
              <w:left w:val="outset" w:sz="6" w:space="0" w:color="auto"/>
              <w:bottom w:val="outset" w:sz="6" w:space="0" w:color="auto"/>
              <w:right w:val="outset" w:sz="6" w:space="0" w:color="auto"/>
            </w:tcBorders>
          </w:tcPr>
          <w:p w14:paraId="7B548660" w14:textId="77777777" w:rsidR="00AC515F" w:rsidRPr="00AC515F" w:rsidRDefault="00AC515F" w:rsidP="00AC515F">
            <w:r w:rsidRPr="00AC515F">
              <w:t>3.</w:t>
            </w:r>
          </w:p>
        </w:tc>
        <w:tc>
          <w:tcPr>
            <w:tcW w:w="1247" w:type="pct"/>
            <w:gridSpan w:val="2"/>
            <w:tcBorders>
              <w:top w:val="outset" w:sz="6" w:space="0" w:color="auto"/>
              <w:left w:val="outset" w:sz="6" w:space="0" w:color="auto"/>
              <w:bottom w:val="outset" w:sz="6" w:space="0" w:color="auto"/>
              <w:right w:val="outset" w:sz="6" w:space="0" w:color="auto"/>
            </w:tcBorders>
          </w:tcPr>
          <w:p w14:paraId="74B4011D" w14:textId="77777777" w:rsidR="00AC515F" w:rsidRPr="00AC515F" w:rsidRDefault="00AC515F" w:rsidP="00AC515F">
            <w:r w:rsidRPr="00AC515F">
              <w:t>Cita informācija</w:t>
            </w:r>
          </w:p>
        </w:tc>
        <w:tc>
          <w:tcPr>
            <w:tcW w:w="3536" w:type="pct"/>
            <w:gridSpan w:val="3"/>
            <w:tcBorders>
              <w:top w:val="outset" w:sz="6" w:space="0" w:color="auto"/>
              <w:left w:val="outset" w:sz="6" w:space="0" w:color="auto"/>
              <w:bottom w:val="outset" w:sz="6" w:space="0" w:color="auto"/>
              <w:right w:val="outset" w:sz="6" w:space="0" w:color="auto"/>
            </w:tcBorders>
          </w:tcPr>
          <w:p w14:paraId="389BB9A2" w14:textId="77777777" w:rsidR="00AC515F" w:rsidRPr="00AC515F" w:rsidRDefault="00AC515F" w:rsidP="00AC515F">
            <w:r w:rsidRPr="00AC515F">
              <w:t>Nav</w:t>
            </w:r>
          </w:p>
        </w:tc>
      </w:tr>
      <w:tr w:rsidR="00AC515F" w:rsidRPr="00AC515F" w14:paraId="27AAC877"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14:paraId="6C962973" w14:textId="77777777" w:rsidR="00AC515F" w:rsidRPr="00AC515F" w:rsidRDefault="00AC515F" w:rsidP="00AC515F">
            <w:pPr>
              <w:jc w:val="center"/>
              <w:rPr>
                <w:b/>
              </w:rPr>
            </w:pPr>
            <w:r w:rsidRPr="00AC515F">
              <w:rPr>
                <w:b/>
              </w:rPr>
              <w:t xml:space="preserve">1.tabula </w:t>
            </w:r>
          </w:p>
          <w:p w14:paraId="57C124BA" w14:textId="77777777" w:rsidR="00AC515F" w:rsidRPr="00AC515F" w:rsidRDefault="00AC515F" w:rsidP="00AC515F">
            <w:pPr>
              <w:jc w:val="center"/>
            </w:pPr>
            <w:r w:rsidRPr="00AC515F">
              <w:rPr>
                <w:b/>
              </w:rPr>
              <w:t>Tiesību akta projekta atbilstība ES tiesību aktiem</w:t>
            </w:r>
          </w:p>
        </w:tc>
      </w:tr>
      <w:tr w:rsidR="00AC515F" w:rsidRPr="00AC515F" w14:paraId="3F93BA38"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14:paraId="5DD94F5A" w14:textId="77777777" w:rsidR="00AC515F" w:rsidRPr="00AC515F" w:rsidRDefault="00AC515F" w:rsidP="00AC515F">
            <w:pPr>
              <w:spacing w:beforeAutospacing="1" w:afterAutospacing="1"/>
              <w:jc w:val="both"/>
            </w:pPr>
            <w:r w:rsidRPr="00AC515F">
              <w:t>Attiecīgā ES tiesību akta datums, numurs un nosaukums</w:t>
            </w:r>
          </w:p>
        </w:tc>
        <w:tc>
          <w:tcPr>
            <w:tcW w:w="3577" w:type="pct"/>
            <w:gridSpan w:val="4"/>
          </w:tcPr>
          <w:p w14:paraId="74C60C87" w14:textId="77777777" w:rsidR="00AC515F" w:rsidRPr="00AC515F" w:rsidRDefault="00AC515F" w:rsidP="00AC515F">
            <w:pPr>
              <w:jc w:val="both"/>
              <w:rPr>
                <w:b/>
                <w:lang w:eastAsia="en-US"/>
              </w:rPr>
            </w:pPr>
            <w:r w:rsidRPr="00AC515F">
              <w:rPr>
                <w:bCs/>
                <w:lang w:eastAsia="en-US"/>
              </w:rPr>
              <w:t>1. Regula Nr.1069/2009</w:t>
            </w:r>
            <w:r w:rsidRPr="00AC515F">
              <w:rPr>
                <w:lang w:eastAsia="en-US"/>
              </w:rPr>
              <w:t>.</w:t>
            </w:r>
          </w:p>
          <w:p w14:paraId="6CDB9944" w14:textId="77777777" w:rsidR="00AC515F" w:rsidRPr="00AC515F" w:rsidRDefault="00AC515F" w:rsidP="00AC515F">
            <w:pPr>
              <w:autoSpaceDE w:val="0"/>
              <w:autoSpaceDN w:val="0"/>
              <w:adjustRightInd w:val="0"/>
              <w:jc w:val="both"/>
            </w:pPr>
            <w:r w:rsidRPr="00AC515F">
              <w:t>2. Regula</w:t>
            </w:r>
            <w:r w:rsidRPr="00AC515F">
              <w:rPr>
                <w:b/>
                <w:bCs/>
              </w:rPr>
              <w:t xml:space="preserve"> </w:t>
            </w:r>
            <w:r w:rsidRPr="00AC515F">
              <w:t>Nr.142/2011.</w:t>
            </w:r>
          </w:p>
        </w:tc>
      </w:tr>
      <w:tr w:rsidR="00AC515F" w:rsidRPr="00AC515F" w14:paraId="12809EC1"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14:paraId="215BBB34" w14:textId="77777777" w:rsidR="00AC515F" w:rsidRPr="00AC515F" w:rsidRDefault="00AC515F" w:rsidP="00AC515F">
            <w:pPr>
              <w:spacing w:beforeAutospacing="1" w:afterAutospacing="1"/>
            </w:pPr>
            <w:r w:rsidRPr="00AC515F">
              <w:t>A</w:t>
            </w:r>
          </w:p>
        </w:tc>
        <w:tc>
          <w:tcPr>
            <w:tcW w:w="1125" w:type="pct"/>
            <w:gridSpan w:val="2"/>
          </w:tcPr>
          <w:p w14:paraId="572990F5" w14:textId="77777777" w:rsidR="00AC515F" w:rsidRPr="00AC515F" w:rsidRDefault="00AC515F" w:rsidP="00AC515F">
            <w:pPr>
              <w:spacing w:beforeAutospacing="1" w:afterAutospacing="1"/>
            </w:pPr>
            <w:r w:rsidRPr="00AC515F">
              <w:t>B</w:t>
            </w:r>
          </w:p>
        </w:tc>
        <w:tc>
          <w:tcPr>
            <w:tcW w:w="1519" w:type="pct"/>
          </w:tcPr>
          <w:p w14:paraId="70AAE363" w14:textId="77777777" w:rsidR="00AC515F" w:rsidRPr="00AC515F" w:rsidRDefault="00AC515F" w:rsidP="00AC515F">
            <w:pPr>
              <w:spacing w:beforeAutospacing="1" w:afterAutospacing="1"/>
            </w:pPr>
            <w:r w:rsidRPr="00AC515F">
              <w:t>C</w:t>
            </w:r>
          </w:p>
        </w:tc>
        <w:tc>
          <w:tcPr>
            <w:tcW w:w="933" w:type="pct"/>
          </w:tcPr>
          <w:p w14:paraId="66E24BBE" w14:textId="77777777" w:rsidR="00AC515F" w:rsidRPr="00AC515F" w:rsidRDefault="00AC515F" w:rsidP="00AC515F">
            <w:pPr>
              <w:spacing w:beforeAutospacing="1" w:afterAutospacing="1"/>
            </w:pPr>
            <w:r w:rsidRPr="00AC515F">
              <w:t>D</w:t>
            </w:r>
          </w:p>
        </w:tc>
      </w:tr>
      <w:tr w:rsidR="00AC515F" w:rsidRPr="00AC515F" w14:paraId="54285DAD"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14:paraId="6B5706B6" w14:textId="77777777" w:rsidR="00AC515F" w:rsidRPr="00AC515F" w:rsidRDefault="00AC515F" w:rsidP="00AC515F">
            <w:pPr>
              <w:spacing w:beforeAutospacing="1" w:afterAutospacing="1"/>
              <w:jc w:val="both"/>
            </w:pPr>
            <w:r w:rsidRPr="00AC515F">
              <w:t>Attiecīgā ES tiesību akta panta numurs (uzskaitot katru tiesību akta vienību-pantu, daļu, punktu, apakšpunktu)</w:t>
            </w:r>
          </w:p>
        </w:tc>
        <w:tc>
          <w:tcPr>
            <w:tcW w:w="1125" w:type="pct"/>
            <w:gridSpan w:val="2"/>
          </w:tcPr>
          <w:p w14:paraId="04A96197" w14:textId="77777777" w:rsidR="00AC515F" w:rsidRPr="00AC515F" w:rsidRDefault="00AC515F" w:rsidP="00AC515F">
            <w:pPr>
              <w:spacing w:beforeAutospacing="1" w:afterAutospacing="1"/>
              <w:jc w:val="both"/>
            </w:pPr>
            <w:r w:rsidRPr="00AC515F">
              <w:t>Projekta vienība, kas pārņem vai ievieš katru šīs tabulas A ailē minēto ES tiesību akta vienību, vai tiesību akts, kur attiecīgā ES tiesību akta vienība pārņemta vai ieviesta</w:t>
            </w:r>
          </w:p>
        </w:tc>
        <w:tc>
          <w:tcPr>
            <w:tcW w:w="1519" w:type="pct"/>
          </w:tcPr>
          <w:p w14:paraId="71119FDD" w14:textId="77777777" w:rsidR="00AC515F" w:rsidRPr="00AC515F" w:rsidRDefault="00AC515F" w:rsidP="00AC515F">
            <w:pPr>
              <w:spacing w:beforeAutospacing="1" w:afterAutospacing="1"/>
              <w:jc w:val="both"/>
            </w:pPr>
            <w:r w:rsidRPr="00AC515F">
              <w:t>Informācija par to, vai šīs tabulas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14:paraId="4C2EE276" w14:textId="77777777" w:rsidR="00AC515F" w:rsidRPr="00AC515F" w:rsidRDefault="00AC515F" w:rsidP="00AC515F">
            <w:pPr>
              <w:spacing w:beforeAutospacing="1" w:afterAutospacing="1"/>
              <w:jc w:val="both"/>
            </w:pPr>
            <w:r w:rsidRPr="00AC515F">
              <w:t>Norāda institūciju, kas ir atbildīga par šo saistību izpildi pilnībā</w:t>
            </w:r>
          </w:p>
        </w:tc>
        <w:tc>
          <w:tcPr>
            <w:tcW w:w="933" w:type="pct"/>
          </w:tcPr>
          <w:p w14:paraId="3DB2A867" w14:textId="77777777" w:rsidR="00AC515F" w:rsidRPr="00AC515F" w:rsidRDefault="00AC515F" w:rsidP="00AC515F">
            <w:pPr>
              <w:spacing w:beforeAutospacing="1" w:afterAutospacing="1"/>
              <w:jc w:val="both"/>
            </w:pPr>
            <w:r w:rsidRPr="00AC515F">
              <w:t xml:space="preserve">Informācija par to, vai šīs tabulas B ailē minētās projekta vienības paredz stingrākas prasības nekā šīs tabulas A ailē minētās ES tiesību akta vienības. Ja projekts satur stingrākas prasības nekā attiecīgais ES tiesību </w:t>
            </w:r>
            <w:smartTag w:uri="schemas-tilde-lv/tildestengine" w:element="veidnes">
              <w:smartTagPr>
                <w:attr w:name="id" w:val="-1"/>
                <w:attr w:name="baseform" w:val="akts"/>
                <w:attr w:name="text" w:val="akts"/>
              </w:smartTagPr>
              <w:r w:rsidRPr="00AC515F">
                <w:t>akts</w:t>
              </w:r>
            </w:smartTag>
            <w:r w:rsidRPr="00AC515F">
              <w:t>, norāda pamatojumu un samērīgumu.</w:t>
            </w:r>
          </w:p>
          <w:p w14:paraId="09F3419A" w14:textId="77777777" w:rsidR="00AC515F" w:rsidRPr="00AC515F" w:rsidRDefault="00AC515F" w:rsidP="00AC515F">
            <w:pPr>
              <w:spacing w:beforeAutospacing="1" w:afterAutospacing="1"/>
              <w:jc w:val="both"/>
            </w:pPr>
            <w:r w:rsidRPr="00AC515F">
              <w:t>Norāda iespējamās alternatīvas (t.sk. alternatīvas, kas neparedz tiesiskā regulējuma izstrādi)- kādos gadījumos būtu iespējams izvairīties no stingrāku prasību noteikšanas, nekā paredzēts attiecīgajos ES tiesību aktos</w:t>
            </w:r>
          </w:p>
        </w:tc>
      </w:tr>
      <w:tr w:rsidR="00AC515F" w:rsidRPr="00AC515F" w14:paraId="08B9DCAD"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14:paraId="2B9EA08C" w14:textId="77777777" w:rsidR="00AC515F" w:rsidRPr="007C1B5B" w:rsidRDefault="00AC515F" w:rsidP="00AC515F">
            <w:pPr>
              <w:rPr>
                <w:lang w:eastAsia="en-US"/>
              </w:rPr>
            </w:pPr>
            <w:r w:rsidRPr="00AC515F">
              <w:rPr>
                <w:lang w:eastAsia="en-US"/>
              </w:rPr>
              <w:t>Regulas</w:t>
            </w:r>
            <w:r w:rsidRPr="007C1B5B">
              <w:rPr>
                <w:lang w:eastAsia="en-US"/>
              </w:rPr>
              <w:t xml:space="preserve"> Nr.1069/2009 19.panta 1.punkta "a" apakšpunkt</w:t>
            </w:r>
            <w:r w:rsidR="008E3F50" w:rsidRPr="007C1B5B">
              <w:rPr>
                <w:lang w:eastAsia="en-US"/>
              </w:rPr>
              <w:t>s;</w:t>
            </w:r>
            <w:r w:rsidRPr="007C1B5B">
              <w:rPr>
                <w:lang w:eastAsia="en-US"/>
              </w:rPr>
              <w:t xml:space="preserve"> </w:t>
            </w:r>
          </w:p>
          <w:p w14:paraId="7F81E782" w14:textId="77777777" w:rsidR="00AC515F" w:rsidRPr="007C1B5B" w:rsidRDefault="00AC515F" w:rsidP="008E3F50">
            <w:pPr>
              <w:rPr>
                <w:lang w:eastAsia="en-US"/>
              </w:rPr>
            </w:pPr>
            <w:r w:rsidRPr="007C1B5B">
              <w:rPr>
                <w:lang w:eastAsia="en-US"/>
              </w:rPr>
              <w:t>Regulas Nr.142/2011 15.pant</w:t>
            </w:r>
            <w:r w:rsidR="008E3F50" w:rsidRPr="007C1B5B">
              <w:rPr>
                <w:lang w:eastAsia="en-US"/>
              </w:rPr>
              <w:t>s</w:t>
            </w:r>
            <w:r w:rsidRPr="007C1B5B">
              <w:rPr>
                <w:lang w:eastAsia="en-US"/>
              </w:rPr>
              <w:t xml:space="preserve"> un VI pielikuma III nodaļas 1.iedaļ</w:t>
            </w:r>
            <w:r w:rsidR="008E3F50" w:rsidRPr="007C1B5B">
              <w:rPr>
                <w:lang w:eastAsia="en-US"/>
              </w:rPr>
              <w:t>a</w:t>
            </w:r>
          </w:p>
        </w:tc>
        <w:tc>
          <w:tcPr>
            <w:tcW w:w="1125" w:type="pct"/>
            <w:gridSpan w:val="2"/>
          </w:tcPr>
          <w:p w14:paraId="359B5F76" w14:textId="77777777" w:rsidR="00AC515F" w:rsidRPr="00AC515F" w:rsidRDefault="00AC515F" w:rsidP="008E3F50">
            <w:pPr>
              <w:rPr>
                <w:lang w:val="en-GB" w:eastAsia="en-US"/>
              </w:rPr>
            </w:pPr>
            <w:r w:rsidRPr="00AC515F">
              <w:rPr>
                <w:lang w:eastAsia="en-US"/>
              </w:rPr>
              <w:t>2</w:t>
            </w:r>
            <w:r w:rsidR="008E3F50">
              <w:rPr>
                <w:lang w:eastAsia="en-US"/>
              </w:rPr>
              <w:t>2</w:t>
            </w:r>
            <w:r w:rsidRPr="00AC515F">
              <w:rPr>
                <w:lang w:eastAsia="en-US"/>
              </w:rPr>
              <w:t>.punkts</w:t>
            </w:r>
          </w:p>
        </w:tc>
        <w:tc>
          <w:tcPr>
            <w:tcW w:w="1519" w:type="pct"/>
          </w:tcPr>
          <w:p w14:paraId="24AA07D0" w14:textId="77777777" w:rsidR="00AC515F" w:rsidRPr="00AC515F" w:rsidRDefault="00AC515F" w:rsidP="00AC515F">
            <w:pPr>
              <w:jc w:val="both"/>
              <w:rPr>
                <w:lang w:eastAsia="en-US"/>
              </w:rPr>
            </w:pPr>
            <w:r w:rsidRPr="00AC515F">
              <w:rPr>
                <w:lang w:eastAsia="en-US"/>
              </w:rPr>
              <w:t>ES tiesību akta vienība tiek ieviesta pilnībā.</w:t>
            </w:r>
          </w:p>
        </w:tc>
        <w:tc>
          <w:tcPr>
            <w:tcW w:w="933" w:type="pct"/>
          </w:tcPr>
          <w:p w14:paraId="29FA7727" w14:textId="77777777" w:rsidR="00AC515F" w:rsidRPr="00AC515F" w:rsidRDefault="00AC515F" w:rsidP="00AC515F">
            <w:pPr>
              <w:jc w:val="both"/>
              <w:rPr>
                <w:lang w:eastAsia="en-US"/>
              </w:rPr>
            </w:pPr>
            <w:r w:rsidRPr="00AC515F">
              <w:rPr>
                <w:lang w:eastAsia="en-US"/>
              </w:rPr>
              <w:t>Attiecīgais noteikumu projekta punkts neparedz stingrākas prasības kā ES tiesību aktā.</w:t>
            </w:r>
          </w:p>
        </w:tc>
      </w:tr>
      <w:tr w:rsidR="00AC515F" w:rsidRPr="00AC515F" w14:paraId="6DD0DE40"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14:paraId="5D539397" w14:textId="77777777" w:rsidR="00AC515F" w:rsidRPr="00AC515F" w:rsidRDefault="00D16519" w:rsidP="00D16519">
            <w:pPr>
              <w:rPr>
                <w:lang w:eastAsia="en-US"/>
              </w:rPr>
            </w:pPr>
            <w:r>
              <w:rPr>
                <w:lang w:eastAsia="en-US"/>
              </w:rPr>
              <w:t>R</w:t>
            </w:r>
            <w:r w:rsidR="00AC515F" w:rsidRPr="00AC515F">
              <w:rPr>
                <w:lang w:eastAsia="en-US"/>
              </w:rPr>
              <w:t>egulas 142/2011 VI pielikuma III nodaļas 1.iedaļas 3.punkta „b” apakšpunkts</w:t>
            </w:r>
          </w:p>
        </w:tc>
        <w:tc>
          <w:tcPr>
            <w:tcW w:w="1125" w:type="pct"/>
            <w:gridSpan w:val="2"/>
          </w:tcPr>
          <w:p w14:paraId="6A51F147" w14:textId="77777777" w:rsidR="00AC515F" w:rsidRPr="00AC515F" w:rsidRDefault="008E3F50" w:rsidP="00AC515F">
            <w:pPr>
              <w:rPr>
                <w:lang w:eastAsia="en-US"/>
              </w:rPr>
            </w:pPr>
            <w:r w:rsidRPr="008E3F50">
              <w:rPr>
                <w:lang w:eastAsia="en-US"/>
              </w:rPr>
              <w:t>22.</w:t>
            </w:r>
            <w:r w:rsidRPr="008E3F50">
              <w:rPr>
                <w:vertAlign w:val="superscript"/>
                <w:lang w:eastAsia="en-US"/>
              </w:rPr>
              <w:t>1</w:t>
            </w:r>
            <w:r w:rsidRPr="008E3F50">
              <w:rPr>
                <w:lang w:eastAsia="en-US"/>
              </w:rPr>
              <w:t>punkts</w:t>
            </w:r>
          </w:p>
        </w:tc>
        <w:tc>
          <w:tcPr>
            <w:tcW w:w="1519" w:type="pct"/>
          </w:tcPr>
          <w:p w14:paraId="64A2206F" w14:textId="77777777" w:rsidR="00AC515F" w:rsidRPr="00AC515F" w:rsidRDefault="00AC515F" w:rsidP="00AC515F">
            <w:pPr>
              <w:jc w:val="both"/>
              <w:rPr>
                <w:lang w:eastAsia="en-US"/>
              </w:rPr>
            </w:pPr>
            <w:r w:rsidRPr="00617548">
              <w:t>ES tiesību akta vienība tiek ieviesta pilnībā.</w:t>
            </w:r>
          </w:p>
        </w:tc>
        <w:tc>
          <w:tcPr>
            <w:tcW w:w="933" w:type="pct"/>
          </w:tcPr>
          <w:p w14:paraId="3AC334E4" w14:textId="77777777" w:rsidR="00AC515F" w:rsidRPr="00AC515F" w:rsidRDefault="00AC515F" w:rsidP="00AC515F">
            <w:pPr>
              <w:jc w:val="both"/>
              <w:rPr>
                <w:lang w:eastAsia="en-US"/>
              </w:rPr>
            </w:pPr>
            <w:r w:rsidRPr="00617548">
              <w:t>Attiecīgais noteikumu projekta punkts neparedz stingrākas prasības kā ES tiesību aktā.</w:t>
            </w:r>
          </w:p>
        </w:tc>
      </w:tr>
      <w:tr w:rsidR="00AC515F" w:rsidRPr="00AC515F" w14:paraId="3758B7BC"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14:paraId="00EB2BC6" w14:textId="77777777" w:rsidR="00AC515F" w:rsidRPr="00AC515F" w:rsidRDefault="00AC515F" w:rsidP="00AC515F">
            <w:pPr>
              <w:jc w:val="both"/>
            </w:pPr>
            <w:r w:rsidRPr="00AC515F">
              <w:t>Kā ir i</w:t>
            </w:r>
            <w:smartTag w:uri="urn:schemas-microsoft-com:office:smarttags" w:element="PersonName">
              <w:r w:rsidRPr="00AC515F">
                <w:t>zm</w:t>
              </w:r>
            </w:smartTag>
            <w:r w:rsidRPr="00AC515F">
              <w:t>antota ES tiesību aktā paredzētā rīcības brīvība dalībvalstij pārņemt vai ieviest noteiktas ES tiesību akta normas?</w:t>
            </w:r>
          </w:p>
          <w:p w14:paraId="58FAFB68" w14:textId="77777777" w:rsidR="00AC515F" w:rsidRPr="00AC515F" w:rsidRDefault="00AC515F" w:rsidP="00AC515F">
            <w:pPr>
              <w:jc w:val="both"/>
            </w:pPr>
            <w:r w:rsidRPr="00AC515F">
              <w:t>Kādēļ?</w:t>
            </w:r>
          </w:p>
        </w:tc>
        <w:tc>
          <w:tcPr>
            <w:tcW w:w="3577" w:type="pct"/>
            <w:gridSpan w:val="4"/>
          </w:tcPr>
          <w:p w14:paraId="2F8BB2A1" w14:textId="77777777" w:rsidR="00AC515F" w:rsidRDefault="00AC515F" w:rsidP="00AC515F">
            <w:pPr>
              <w:jc w:val="both"/>
            </w:pPr>
            <w:r>
              <w:t>R</w:t>
            </w:r>
            <w:r w:rsidRPr="00AC515F">
              <w:t>egulas Nr.1069/2009 19.panta 1.punkta "a" apakšpunkt</w:t>
            </w:r>
            <w:r>
              <w:t>s</w:t>
            </w:r>
            <w:r w:rsidRPr="00AC515F">
              <w:t xml:space="preserve"> un </w:t>
            </w:r>
            <w:r>
              <w:t>R</w:t>
            </w:r>
            <w:r w:rsidRPr="00AC515F">
              <w:t>egulas Nr.142/2011 15.pant</w:t>
            </w:r>
            <w:r>
              <w:t>s</w:t>
            </w:r>
            <w:r w:rsidRPr="00AC515F">
              <w:t xml:space="preserve"> un VI pielikuma III nodaļas 1.iedaļ</w:t>
            </w:r>
            <w:r>
              <w:t>a</w:t>
            </w:r>
            <w:r w:rsidRPr="00AC515F">
              <w:t xml:space="preserve"> nosaka, ka </w:t>
            </w:r>
            <w:r w:rsidR="00F27110">
              <w:t>kompetentā iestāde var</w:t>
            </w:r>
            <w:r w:rsidRPr="00AC515F">
              <w:t xml:space="preserve"> atļaut nobeigušos lolojumdzīvnieku</w:t>
            </w:r>
            <w:r w:rsidR="00D16519">
              <w:t>s</w:t>
            </w:r>
            <w:r w:rsidRPr="00AC515F">
              <w:t xml:space="preserve"> apr</w:t>
            </w:r>
            <w:r w:rsidR="00D16519">
              <w:t>akt</w:t>
            </w:r>
            <w:r w:rsidRPr="00AC515F">
              <w:t xml:space="preserve"> uz vietas teritorijā, no kuras šādi dzīvnieku izcelsmes blakusprodukti iegūti. Līdz ar to noteikumos Nr.275 </w:t>
            </w:r>
            <w:r>
              <w:t>ir</w:t>
            </w:r>
            <w:r w:rsidRPr="00AC515F">
              <w:t xml:space="preserve"> </w:t>
            </w:r>
            <w:r w:rsidR="00F55839">
              <w:t xml:space="preserve">paredzēts iekļaut minētajā tiesību aktā paredzēto rīcības brīvību dalībvalstij </w:t>
            </w:r>
            <w:r w:rsidR="00D16519">
              <w:t>–</w:t>
            </w:r>
            <w:r w:rsidR="00F55839">
              <w:t xml:space="preserve"> </w:t>
            </w:r>
            <w:r w:rsidR="00D16519" w:rsidRPr="00AC515F">
              <w:t xml:space="preserve">konkrētos gadījumos </w:t>
            </w:r>
            <w:r w:rsidRPr="00AC515F">
              <w:t>apglabā</w:t>
            </w:r>
            <w:r w:rsidR="00D16519">
              <w:t>t</w:t>
            </w:r>
            <w:r w:rsidRPr="00AC515F">
              <w:t xml:space="preserve"> </w:t>
            </w:r>
            <w:r w:rsidR="00D16519">
              <w:t>lolojumdzīvnieku</w:t>
            </w:r>
            <w:r w:rsidR="00D16519" w:rsidRPr="00AC515F">
              <w:t xml:space="preserve"> </w:t>
            </w:r>
            <w:r w:rsidRPr="00AC515F">
              <w:t xml:space="preserve">uz vietas teritorijā, kurā </w:t>
            </w:r>
            <w:r w:rsidR="00D16519">
              <w:t xml:space="preserve">tas </w:t>
            </w:r>
            <w:r w:rsidRPr="00AC515F">
              <w:t>ir atradies (dzīvoj</w:t>
            </w:r>
            <w:r w:rsidR="00D16519">
              <w:t>is</w:t>
            </w:r>
            <w:r w:rsidRPr="00AC515F">
              <w:t>).</w:t>
            </w:r>
          </w:p>
          <w:p w14:paraId="1D50945F" w14:textId="77777777" w:rsidR="00AC515F" w:rsidRPr="00AC515F" w:rsidRDefault="00AC515F" w:rsidP="00D16519">
            <w:pPr>
              <w:jc w:val="both"/>
            </w:pPr>
            <w:r>
              <w:t>R</w:t>
            </w:r>
            <w:r w:rsidRPr="00AC515F">
              <w:t xml:space="preserve">egulas </w:t>
            </w:r>
            <w:r>
              <w:t>Nr.</w:t>
            </w:r>
            <w:r w:rsidRPr="00AC515F">
              <w:t>142/2011 VI pielikuma III nodaļas 1.iedaļas 3.punkta „b” apakšpunkts nosaka, ka lolojumdzīvnieku līķu aprakšanai uz vietas jānotiek tādā veidā, lai neapdraudētu cilvēku veselību</w:t>
            </w:r>
            <w:r w:rsidR="00D16519">
              <w:t>,</w:t>
            </w:r>
            <w:r w:rsidRPr="00AC515F">
              <w:t xml:space="preserve"> izmantojot procesus vai metodes, kas nekaitē videi, jo īpaši, ja to rezultātā var rasties ūdens, gaisa, augsnes, kā arī augu un dzīvnieku apdraudējums vai smakas</w:t>
            </w:r>
            <w:r>
              <w:t>. N</w:t>
            </w:r>
            <w:r w:rsidRPr="00AC515F">
              <w:t xml:space="preserve">oteikumos Nr.275 ir lietderīgi </w:t>
            </w:r>
            <w:r>
              <w:t>noteikt</w:t>
            </w:r>
            <w:r w:rsidRPr="00AC515F">
              <w:t xml:space="preserve"> nosacījum</w:t>
            </w:r>
            <w:r>
              <w:t xml:space="preserve">us </w:t>
            </w:r>
            <w:r w:rsidRPr="00AC515F">
              <w:t xml:space="preserve">nobeigušos lolojumdzīvnieku aprakšanai, </w:t>
            </w:r>
            <w:r w:rsidR="00D16519">
              <w:t>lai tā</w:t>
            </w:r>
            <w:r w:rsidRPr="00AC515F">
              <w:t xml:space="preserve"> n</w:t>
            </w:r>
            <w:r w:rsidR="00D16519">
              <w:t>ovērstu</w:t>
            </w:r>
            <w:r w:rsidRPr="00AC515F">
              <w:t xml:space="preserve"> apdraudējuma risku cilvēku un dzīvnieku veselībai, dzīvībai un apkārtējai videi, kā arī jebkuru patogēnu izkliedes risku.</w:t>
            </w:r>
          </w:p>
        </w:tc>
      </w:tr>
      <w:tr w:rsidR="00AC515F" w:rsidRPr="00AC515F" w14:paraId="11F511AF" w14:textId="77777777" w:rsidTr="00DC2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423" w:type="pct"/>
            <w:gridSpan w:val="2"/>
          </w:tcPr>
          <w:p w14:paraId="618D7C1D" w14:textId="77777777" w:rsidR="00AC515F" w:rsidRPr="00AC515F" w:rsidRDefault="00AC515F" w:rsidP="00AC515F">
            <w:pPr>
              <w:spacing w:beforeAutospacing="1" w:afterAutospacing="1"/>
              <w:jc w:val="both"/>
            </w:pPr>
            <w:r w:rsidRPr="00AC515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7" w:type="pct"/>
            <w:gridSpan w:val="4"/>
          </w:tcPr>
          <w:p w14:paraId="0BDF560E" w14:textId="77777777" w:rsidR="00AC515F" w:rsidRPr="00AC515F" w:rsidRDefault="00AC515F" w:rsidP="00AC515F">
            <w:pPr>
              <w:spacing w:beforeAutospacing="1" w:afterAutospacing="1"/>
              <w:jc w:val="both"/>
            </w:pPr>
            <w:r w:rsidRPr="00AC515F">
              <w:t>Projekts šo jomu neskar.</w:t>
            </w:r>
          </w:p>
        </w:tc>
      </w:tr>
      <w:tr w:rsidR="00AC515F" w:rsidRPr="00AC515F" w14:paraId="4E38B3AD" w14:textId="77777777" w:rsidTr="007B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71"/>
        </w:trPr>
        <w:tc>
          <w:tcPr>
            <w:tcW w:w="1423" w:type="pct"/>
            <w:gridSpan w:val="2"/>
          </w:tcPr>
          <w:p w14:paraId="01B41BB4" w14:textId="77777777" w:rsidR="00AC515F" w:rsidRPr="00AC515F" w:rsidRDefault="00AC515F" w:rsidP="00AC515F">
            <w:pPr>
              <w:spacing w:beforeAutospacing="1" w:afterAutospacing="1"/>
              <w:jc w:val="both"/>
            </w:pPr>
            <w:r w:rsidRPr="00AC515F">
              <w:t>Cita informācija</w:t>
            </w:r>
          </w:p>
        </w:tc>
        <w:tc>
          <w:tcPr>
            <w:tcW w:w="3577" w:type="pct"/>
            <w:gridSpan w:val="4"/>
          </w:tcPr>
          <w:p w14:paraId="7597738C" w14:textId="77777777" w:rsidR="00AC515F" w:rsidRPr="00AC515F" w:rsidRDefault="00AC515F" w:rsidP="00AC515F">
            <w:pPr>
              <w:spacing w:beforeAutospacing="1" w:afterAutospacing="1"/>
              <w:jc w:val="both"/>
            </w:pPr>
            <w:r w:rsidRPr="00AC515F">
              <w:t>Nav</w:t>
            </w:r>
          </w:p>
        </w:tc>
      </w:tr>
    </w:tbl>
    <w:p w14:paraId="7051E151" w14:textId="77777777" w:rsidR="00C62422" w:rsidRDefault="00C62422" w:rsidP="00AC515F">
      <w:pPr>
        <w:rPr>
          <w:i/>
          <w:lang w:eastAsia="en-US"/>
        </w:rPr>
      </w:pPr>
    </w:p>
    <w:p w14:paraId="103DC8BB" w14:textId="77777777" w:rsidR="00AC515F" w:rsidRPr="00AC515F" w:rsidRDefault="00AC515F" w:rsidP="00AC515F">
      <w:pPr>
        <w:rPr>
          <w:i/>
          <w:lang w:eastAsia="en-US"/>
        </w:rPr>
      </w:pPr>
      <w:r w:rsidRPr="00AC515F">
        <w:rPr>
          <w:i/>
          <w:lang w:eastAsia="en-US"/>
        </w:rPr>
        <w:t>Anotācijas V sadaļas 2.tabula – projekts šo jomu neskar.</w:t>
      </w:r>
    </w:p>
    <w:p w14:paraId="2D4A5B6B" w14:textId="77777777" w:rsidR="00926503" w:rsidRDefault="00926503" w:rsidP="00926503">
      <w:pPr>
        <w:pStyle w:val="naisf"/>
        <w:spacing w:before="0" w:beforeAutospacing="0" w:after="0" w:afterAutospacing="0"/>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928"/>
        <w:gridCol w:w="6794"/>
      </w:tblGrid>
      <w:tr w:rsidR="00BA0DE8" w:rsidRPr="00BA0DE8" w14:paraId="026D1A6F" w14:textId="77777777" w:rsidTr="00133DFE">
        <w:trPr>
          <w:trHeight w:val="279"/>
        </w:trPr>
        <w:tc>
          <w:tcPr>
            <w:tcW w:w="5000" w:type="pct"/>
            <w:gridSpan w:val="3"/>
          </w:tcPr>
          <w:p w14:paraId="18A1D52A" w14:textId="77777777" w:rsidR="00C62422" w:rsidRDefault="00AC145B" w:rsidP="003037FE">
            <w:pPr>
              <w:jc w:val="center"/>
              <w:rPr>
                <w:b/>
              </w:rPr>
            </w:pPr>
            <w:r w:rsidRPr="00BA0DE8">
              <w:rPr>
                <w:b/>
              </w:rPr>
              <w:t xml:space="preserve">VI. Sabiedrības līdzdalība un komunikācijas </w:t>
            </w:r>
          </w:p>
          <w:p w14:paraId="137B7611" w14:textId="77777777" w:rsidR="00AC145B" w:rsidRPr="00BA0DE8" w:rsidRDefault="00AC145B" w:rsidP="003037FE">
            <w:pPr>
              <w:jc w:val="center"/>
              <w:rPr>
                <w:b/>
              </w:rPr>
            </w:pPr>
            <w:r w:rsidRPr="00BA0DE8">
              <w:rPr>
                <w:b/>
              </w:rPr>
              <w:t>aktivitātes</w:t>
            </w:r>
          </w:p>
        </w:tc>
      </w:tr>
      <w:tr w:rsidR="00BA0DE8" w:rsidRPr="00BA0DE8" w14:paraId="61ECCC11" w14:textId="77777777" w:rsidTr="00133DFE">
        <w:trPr>
          <w:trHeight w:val="279"/>
        </w:trPr>
        <w:tc>
          <w:tcPr>
            <w:tcW w:w="304" w:type="pct"/>
          </w:tcPr>
          <w:p w14:paraId="2E9BC6E7" w14:textId="77777777" w:rsidR="00AC145B" w:rsidRPr="00BA0DE8" w:rsidRDefault="00AC145B" w:rsidP="003037FE">
            <w:pPr>
              <w:jc w:val="both"/>
            </w:pPr>
            <w:r w:rsidRPr="00BA0DE8">
              <w:t>1.</w:t>
            </w:r>
          </w:p>
        </w:tc>
        <w:tc>
          <w:tcPr>
            <w:tcW w:w="1038" w:type="pct"/>
          </w:tcPr>
          <w:p w14:paraId="292A56B3" w14:textId="77777777" w:rsidR="00AC145B" w:rsidRPr="00BA0DE8" w:rsidRDefault="00AC145B" w:rsidP="00FC11EF">
            <w:r w:rsidRPr="00BA0DE8">
              <w:t>Plānotās sabiedrības līdzdalības un komunikācijas aktivitātes saistībā ar projektu</w:t>
            </w:r>
          </w:p>
        </w:tc>
        <w:tc>
          <w:tcPr>
            <w:tcW w:w="3659" w:type="pct"/>
          </w:tcPr>
          <w:p w14:paraId="584CE625" w14:textId="77777777" w:rsidR="007D3F1B" w:rsidRDefault="009F441F" w:rsidP="007D3F1B">
            <w:pPr>
              <w:jc w:val="both"/>
            </w:pPr>
            <w:r>
              <w:t>N</w:t>
            </w:r>
            <w:r w:rsidR="007D3F1B">
              <w:t>oteikumu projekt</w:t>
            </w:r>
            <w:r>
              <w:t>s</w:t>
            </w:r>
            <w:r w:rsidR="007D3F1B">
              <w:t xml:space="preserve"> ievietot</w:t>
            </w:r>
            <w:r>
              <w:t>s</w:t>
            </w:r>
            <w:r w:rsidR="007D3F1B">
              <w:t xml:space="preserve"> Zemkopības ministrijas tīmekļa vietnē </w:t>
            </w:r>
            <w:hyperlink r:id="rId10" w:history="1">
              <w:r w:rsidR="007D3F1B" w:rsidRPr="00CC61AB">
                <w:rPr>
                  <w:rStyle w:val="Hipersaite"/>
                </w:rPr>
                <w:t>www.zm.gov.lv</w:t>
              </w:r>
            </w:hyperlink>
            <w:r w:rsidR="007D3F1B">
              <w:t xml:space="preserve"> </w:t>
            </w:r>
            <w:r w:rsidR="008405E5">
              <w:t xml:space="preserve">no 2016.gada </w:t>
            </w:r>
            <w:r w:rsidR="00D91601">
              <w:t>28</w:t>
            </w:r>
            <w:r w:rsidR="009D274B">
              <w:t>.jū</w:t>
            </w:r>
            <w:r w:rsidR="00D91601">
              <w:t>n</w:t>
            </w:r>
            <w:r w:rsidR="009D274B">
              <w:t>ija</w:t>
            </w:r>
            <w:r w:rsidR="008405E5">
              <w:t xml:space="preserve"> līdz </w:t>
            </w:r>
            <w:r w:rsidR="009D274B">
              <w:t>8.jūlijam</w:t>
            </w:r>
            <w:r w:rsidR="008405E5">
              <w:t>.</w:t>
            </w:r>
            <w:r w:rsidR="009D274B">
              <w:t xml:space="preserve"> </w:t>
            </w:r>
          </w:p>
          <w:p w14:paraId="19260078" w14:textId="77777777" w:rsidR="00C61931" w:rsidRPr="00BA0DE8" w:rsidRDefault="00C61931" w:rsidP="009F441F">
            <w:pPr>
              <w:jc w:val="both"/>
            </w:pPr>
          </w:p>
        </w:tc>
      </w:tr>
      <w:tr w:rsidR="00BA0DE8" w:rsidRPr="00BA0DE8" w14:paraId="6D650E31" w14:textId="77777777" w:rsidTr="00133DFE">
        <w:trPr>
          <w:trHeight w:val="279"/>
        </w:trPr>
        <w:tc>
          <w:tcPr>
            <w:tcW w:w="304" w:type="pct"/>
          </w:tcPr>
          <w:p w14:paraId="545D8529" w14:textId="77777777" w:rsidR="00AC145B" w:rsidRPr="00BA0DE8" w:rsidRDefault="00AC145B" w:rsidP="003037FE">
            <w:pPr>
              <w:jc w:val="both"/>
            </w:pPr>
            <w:r w:rsidRPr="00BA0DE8">
              <w:t>2.</w:t>
            </w:r>
          </w:p>
        </w:tc>
        <w:tc>
          <w:tcPr>
            <w:tcW w:w="1038" w:type="pct"/>
          </w:tcPr>
          <w:p w14:paraId="22CA5FB2" w14:textId="77777777" w:rsidR="00AC145B" w:rsidRPr="00BA0DE8" w:rsidRDefault="00AC145B" w:rsidP="003037FE">
            <w:pPr>
              <w:jc w:val="both"/>
            </w:pPr>
            <w:r w:rsidRPr="00BA0DE8">
              <w:t>Sabiedrības līdzdalība projekta izstrādē</w:t>
            </w:r>
          </w:p>
        </w:tc>
        <w:tc>
          <w:tcPr>
            <w:tcW w:w="3659" w:type="pct"/>
          </w:tcPr>
          <w:p w14:paraId="48C5F56C" w14:textId="77777777" w:rsidR="0091351B" w:rsidRPr="00265A45" w:rsidRDefault="00E108C2" w:rsidP="00D13FA9">
            <w:pPr>
              <w:pStyle w:val="naiskr"/>
              <w:spacing w:before="0" w:beforeAutospacing="0" w:after="0" w:afterAutospacing="0"/>
              <w:jc w:val="both"/>
              <w:rPr>
                <w:iCs/>
              </w:rPr>
            </w:pPr>
            <w:r>
              <w:rPr>
                <w:iCs/>
              </w:rPr>
              <w:t>Noteikumu projekts elektroniski nosūtīts saskaņošanai biedrībām</w:t>
            </w:r>
            <w:r w:rsidR="00484622">
              <w:rPr>
                <w:iCs/>
              </w:rPr>
              <w:t xml:space="preserve"> </w:t>
            </w:r>
            <w:r w:rsidR="00484622">
              <w:t>Lauksaimnieku organizāciju sada</w:t>
            </w:r>
            <w:r w:rsidR="00D13FA9">
              <w:t xml:space="preserve">rbības padome, Zemnieku saeima </w:t>
            </w:r>
            <w:r w:rsidR="00D13FA9" w:rsidRPr="00B86B73">
              <w:t xml:space="preserve">un </w:t>
            </w:r>
            <w:r w:rsidR="00484622" w:rsidRPr="00B86B73">
              <w:t>Latvijas Mednieku asociācija</w:t>
            </w:r>
            <w:r w:rsidR="00484622">
              <w:t>.</w:t>
            </w:r>
          </w:p>
        </w:tc>
      </w:tr>
      <w:tr w:rsidR="00BA0DE8" w:rsidRPr="00BA0DE8" w14:paraId="147AECA8" w14:textId="77777777" w:rsidTr="00133DFE">
        <w:trPr>
          <w:trHeight w:val="279"/>
        </w:trPr>
        <w:tc>
          <w:tcPr>
            <w:tcW w:w="304" w:type="pct"/>
          </w:tcPr>
          <w:p w14:paraId="58DE6576" w14:textId="77777777" w:rsidR="00AC145B" w:rsidRPr="00BA0DE8" w:rsidRDefault="00AC145B" w:rsidP="003037FE">
            <w:pPr>
              <w:jc w:val="both"/>
            </w:pPr>
            <w:r w:rsidRPr="00BA0DE8">
              <w:t>3.</w:t>
            </w:r>
          </w:p>
        </w:tc>
        <w:tc>
          <w:tcPr>
            <w:tcW w:w="1038" w:type="pct"/>
          </w:tcPr>
          <w:p w14:paraId="66E73CDA" w14:textId="77777777" w:rsidR="00AC145B" w:rsidRPr="00BA0DE8" w:rsidRDefault="00AC145B" w:rsidP="003037FE">
            <w:pPr>
              <w:jc w:val="both"/>
            </w:pPr>
            <w:r w:rsidRPr="00BA0DE8">
              <w:t>Sabiedrības līdzdalības rezultāti</w:t>
            </w:r>
          </w:p>
        </w:tc>
        <w:tc>
          <w:tcPr>
            <w:tcW w:w="3659" w:type="pct"/>
          </w:tcPr>
          <w:p w14:paraId="501660FE" w14:textId="77777777" w:rsidR="009D274B" w:rsidRDefault="009D274B" w:rsidP="000A305A">
            <w:pPr>
              <w:pStyle w:val="naiskr"/>
              <w:spacing w:before="0" w:beforeAutospacing="0" w:after="0" w:afterAutospacing="0"/>
              <w:jc w:val="both"/>
            </w:pPr>
            <w:r>
              <w:t xml:space="preserve">Sabiedriskai apspriešanai informācija par noteikumu projektu tika ievietota Zemkopības ministrijas tīmekļa vietnē no </w:t>
            </w:r>
            <w:r w:rsidR="00D91601">
              <w:t>28</w:t>
            </w:r>
            <w:r>
              <w:t>.0</w:t>
            </w:r>
            <w:r w:rsidR="00D91601">
              <w:t>6</w:t>
            </w:r>
            <w:r>
              <w:t>.201</w:t>
            </w:r>
            <w:r w:rsidR="000A305A">
              <w:t>6</w:t>
            </w:r>
            <w:r w:rsidR="00D91601">
              <w:t>.</w:t>
            </w:r>
            <w:r>
              <w:t xml:space="preserve"> līdz </w:t>
            </w:r>
            <w:r w:rsidR="000A305A">
              <w:t>8</w:t>
            </w:r>
            <w:r>
              <w:t>.0</w:t>
            </w:r>
            <w:r w:rsidR="000A305A">
              <w:t>7</w:t>
            </w:r>
            <w:r>
              <w:t>.201</w:t>
            </w:r>
            <w:r w:rsidR="000A305A">
              <w:t>6</w:t>
            </w:r>
            <w:r>
              <w:t>.</w:t>
            </w:r>
            <w:r w:rsidR="00D16519">
              <w:t>;</w:t>
            </w:r>
            <w:r>
              <w:t xml:space="preserve"> komentāri netika saņemti.</w:t>
            </w:r>
          </w:p>
          <w:p w14:paraId="0593DC66" w14:textId="77777777" w:rsidR="009D274B" w:rsidRPr="00BA0DE8" w:rsidRDefault="009D274B" w:rsidP="000A305A">
            <w:pPr>
              <w:pStyle w:val="naiskr"/>
              <w:spacing w:before="0" w:beforeAutospacing="0" w:after="0" w:afterAutospacing="0"/>
              <w:jc w:val="both"/>
            </w:pPr>
            <w:r>
              <w:t>Biedrībām „Lauksaimnieku organizāciju sadarbības padome”, „Zemnieku saeima” „</w:t>
            </w:r>
            <w:r w:rsidRPr="009D274B">
              <w:t>Latvijas Mednieku asociācija</w:t>
            </w:r>
            <w:r>
              <w:t>” un „</w:t>
            </w:r>
            <w:r w:rsidRPr="009D274B">
              <w:t>Latvijas Mednieku savienība</w:t>
            </w:r>
            <w:r w:rsidR="000A305A">
              <w:t>”</w:t>
            </w:r>
            <w:r w:rsidRPr="009D274B">
              <w:t xml:space="preserve"> </w:t>
            </w:r>
            <w:r>
              <w:t>iebildumu nav.</w:t>
            </w:r>
          </w:p>
        </w:tc>
      </w:tr>
      <w:tr w:rsidR="005C3223" w:rsidRPr="00BA0DE8" w14:paraId="4DC92319" w14:textId="77777777" w:rsidTr="007B689C">
        <w:trPr>
          <w:trHeight w:val="525"/>
        </w:trPr>
        <w:tc>
          <w:tcPr>
            <w:tcW w:w="304" w:type="pct"/>
          </w:tcPr>
          <w:p w14:paraId="4AD593F7" w14:textId="77777777" w:rsidR="00AC145B" w:rsidRPr="00BA0DE8" w:rsidRDefault="00AC145B" w:rsidP="003037FE">
            <w:pPr>
              <w:jc w:val="both"/>
            </w:pPr>
            <w:r w:rsidRPr="00BA0DE8">
              <w:t>4.</w:t>
            </w:r>
          </w:p>
        </w:tc>
        <w:tc>
          <w:tcPr>
            <w:tcW w:w="1038" w:type="pct"/>
          </w:tcPr>
          <w:p w14:paraId="7E9A47A3" w14:textId="77777777" w:rsidR="00AC145B" w:rsidRPr="00BA0DE8" w:rsidRDefault="00AC145B" w:rsidP="003037FE">
            <w:pPr>
              <w:jc w:val="both"/>
            </w:pPr>
            <w:r w:rsidRPr="00BA0DE8">
              <w:t>Cita informācija</w:t>
            </w:r>
          </w:p>
        </w:tc>
        <w:tc>
          <w:tcPr>
            <w:tcW w:w="3659" w:type="pct"/>
          </w:tcPr>
          <w:p w14:paraId="7FBB4168" w14:textId="77777777" w:rsidR="00AC145B" w:rsidRPr="00BA0DE8" w:rsidRDefault="00ED5018" w:rsidP="00ED5018">
            <w:pPr>
              <w:jc w:val="both"/>
            </w:pPr>
            <w:r>
              <w:t>Nav.</w:t>
            </w:r>
          </w:p>
        </w:tc>
      </w:tr>
    </w:tbl>
    <w:p w14:paraId="38545AB6" w14:textId="77777777" w:rsidR="00AC145B" w:rsidRPr="00BA0DE8" w:rsidRDefault="00AC145B"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54"/>
        <w:gridCol w:w="5368"/>
      </w:tblGrid>
      <w:tr w:rsidR="00BA0DE8" w:rsidRPr="00BA0DE8" w14:paraId="18B44869" w14:textId="77777777" w:rsidTr="00133DFE">
        <w:trPr>
          <w:trHeight w:val="279"/>
        </w:trPr>
        <w:tc>
          <w:tcPr>
            <w:tcW w:w="5000" w:type="pct"/>
            <w:gridSpan w:val="3"/>
          </w:tcPr>
          <w:p w14:paraId="1728CFC9" w14:textId="77777777" w:rsidR="00C62422" w:rsidRDefault="00AC145B" w:rsidP="003037FE">
            <w:pPr>
              <w:jc w:val="center"/>
              <w:rPr>
                <w:b/>
              </w:rPr>
            </w:pPr>
            <w:r w:rsidRPr="00BA0DE8">
              <w:rPr>
                <w:b/>
              </w:rPr>
              <w:t xml:space="preserve">VII. Tiesību akta projekta izpildes nodrošināšana </w:t>
            </w:r>
          </w:p>
          <w:p w14:paraId="13B8196E" w14:textId="77777777" w:rsidR="00AC145B" w:rsidRPr="00BA0DE8" w:rsidRDefault="00AC145B" w:rsidP="003037FE">
            <w:pPr>
              <w:jc w:val="center"/>
              <w:rPr>
                <w:b/>
              </w:rPr>
            </w:pPr>
            <w:r w:rsidRPr="00BA0DE8">
              <w:rPr>
                <w:b/>
              </w:rPr>
              <w:t>un tās ietekme uz institūcijām</w:t>
            </w:r>
          </w:p>
        </w:tc>
      </w:tr>
      <w:tr w:rsidR="00BA0DE8" w:rsidRPr="00BA0DE8" w14:paraId="7855D4B0" w14:textId="77777777" w:rsidTr="00133DFE">
        <w:trPr>
          <w:trHeight w:val="279"/>
        </w:trPr>
        <w:tc>
          <w:tcPr>
            <w:tcW w:w="304" w:type="pct"/>
          </w:tcPr>
          <w:p w14:paraId="574AA781" w14:textId="77777777" w:rsidR="00AC145B" w:rsidRPr="00BA0DE8" w:rsidRDefault="00AC145B" w:rsidP="003037FE">
            <w:pPr>
              <w:jc w:val="both"/>
            </w:pPr>
            <w:r w:rsidRPr="00BA0DE8">
              <w:t>1.</w:t>
            </w:r>
          </w:p>
        </w:tc>
        <w:tc>
          <w:tcPr>
            <w:tcW w:w="1806" w:type="pct"/>
          </w:tcPr>
          <w:p w14:paraId="6608E504" w14:textId="77777777" w:rsidR="00AC145B" w:rsidRPr="00BA0DE8" w:rsidRDefault="00AC145B" w:rsidP="003037FE">
            <w:pPr>
              <w:jc w:val="both"/>
            </w:pPr>
            <w:r w:rsidRPr="00BA0DE8">
              <w:t>Projekta izpildē iesaistītās institūcijas</w:t>
            </w:r>
          </w:p>
        </w:tc>
        <w:tc>
          <w:tcPr>
            <w:tcW w:w="2890" w:type="pct"/>
          </w:tcPr>
          <w:p w14:paraId="7E46AC88" w14:textId="77777777" w:rsidR="00AC145B" w:rsidRPr="00ED5018" w:rsidRDefault="007D3F1B" w:rsidP="00B05615">
            <w:pPr>
              <w:pStyle w:val="naisnod"/>
              <w:spacing w:before="0" w:after="0"/>
              <w:ind w:right="57"/>
              <w:jc w:val="both"/>
            </w:pPr>
            <w:r w:rsidRPr="00ED5018">
              <w:t>Pārtikas un veterinārais dienests</w:t>
            </w:r>
            <w:r w:rsidR="00ED5018" w:rsidRPr="00ED5018">
              <w:t xml:space="preserve"> </w:t>
            </w:r>
          </w:p>
        </w:tc>
      </w:tr>
      <w:tr w:rsidR="00BA0DE8" w:rsidRPr="00BA0DE8" w14:paraId="6B63E4C3" w14:textId="77777777" w:rsidTr="00133DFE">
        <w:trPr>
          <w:trHeight w:val="279"/>
        </w:trPr>
        <w:tc>
          <w:tcPr>
            <w:tcW w:w="304" w:type="pct"/>
          </w:tcPr>
          <w:p w14:paraId="0FCD6ABD" w14:textId="77777777" w:rsidR="00AC145B" w:rsidRPr="00BA0DE8" w:rsidRDefault="00AC145B" w:rsidP="003037FE">
            <w:pPr>
              <w:jc w:val="both"/>
            </w:pPr>
            <w:r w:rsidRPr="00BA0DE8">
              <w:t>2.</w:t>
            </w:r>
          </w:p>
        </w:tc>
        <w:tc>
          <w:tcPr>
            <w:tcW w:w="1806" w:type="pct"/>
          </w:tcPr>
          <w:p w14:paraId="56847F71" w14:textId="77777777" w:rsidR="00AC145B" w:rsidRPr="00BA0DE8" w:rsidRDefault="00AC145B" w:rsidP="003037FE">
            <w:r w:rsidRPr="00BA0DE8">
              <w:t>Projekta izpildes ietekme uz pārvaldes funkcijām un institucionālo struktūru.</w:t>
            </w:r>
          </w:p>
          <w:p w14:paraId="341A0764" w14:textId="77777777" w:rsidR="00AC145B" w:rsidRPr="00BA0DE8" w:rsidRDefault="00AC145B" w:rsidP="003037FE">
            <w:r w:rsidRPr="00BA0DE8">
              <w:t>Jaunu institūciju izveide, esošu institūciju likvidācija vai reorganizācija, to ietekme uz institūcijas cilvēkresursiem</w:t>
            </w:r>
          </w:p>
        </w:tc>
        <w:tc>
          <w:tcPr>
            <w:tcW w:w="2890" w:type="pct"/>
          </w:tcPr>
          <w:p w14:paraId="659A4C09" w14:textId="77777777" w:rsidR="00AC145B" w:rsidRPr="00BA0DE8" w:rsidRDefault="00926503" w:rsidP="0086560D">
            <w:pPr>
              <w:pStyle w:val="naisnod"/>
              <w:spacing w:before="0" w:beforeAutospacing="0" w:after="0" w:afterAutospacing="0"/>
              <w:ind w:right="57"/>
              <w:jc w:val="both"/>
              <w:rPr>
                <w:b/>
              </w:rPr>
            </w:pPr>
            <w:r w:rsidRPr="000361BC">
              <w:t>Projekts šo jomu neskar.</w:t>
            </w:r>
          </w:p>
        </w:tc>
      </w:tr>
      <w:tr w:rsidR="005C3223" w:rsidRPr="00BA0DE8" w14:paraId="708113F5" w14:textId="77777777" w:rsidTr="00133DFE">
        <w:trPr>
          <w:trHeight w:val="279"/>
        </w:trPr>
        <w:tc>
          <w:tcPr>
            <w:tcW w:w="304" w:type="pct"/>
          </w:tcPr>
          <w:p w14:paraId="724BF177" w14:textId="77777777" w:rsidR="00AC145B" w:rsidRPr="00BA0DE8" w:rsidRDefault="00AC145B" w:rsidP="003037FE">
            <w:pPr>
              <w:jc w:val="both"/>
            </w:pPr>
            <w:r w:rsidRPr="00BA0DE8">
              <w:t>3.</w:t>
            </w:r>
          </w:p>
        </w:tc>
        <w:tc>
          <w:tcPr>
            <w:tcW w:w="1806" w:type="pct"/>
          </w:tcPr>
          <w:p w14:paraId="667B6055" w14:textId="77777777" w:rsidR="00AC145B" w:rsidRPr="00BA0DE8" w:rsidRDefault="00AC145B" w:rsidP="003037FE">
            <w:pPr>
              <w:jc w:val="both"/>
            </w:pPr>
            <w:r w:rsidRPr="00BA0DE8">
              <w:t>Cita informācija</w:t>
            </w:r>
          </w:p>
        </w:tc>
        <w:tc>
          <w:tcPr>
            <w:tcW w:w="2890" w:type="pct"/>
          </w:tcPr>
          <w:p w14:paraId="262B91B2" w14:textId="77777777" w:rsidR="00AC145B" w:rsidRPr="00BA0DE8" w:rsidRDefault="00AC145B" w:rsidP="0086560D">
            <w:pPr>
              <w:pStyle w:val="naiskr"/>
              <w:spacing w:before="0" w:after="0"/>
              <w:ind w:right="57"/>
            </w:pPr>
            <w:r w:rsidRPr="00BA0DE8">
              <w:t>Nav.</w:t>
            </w:r>
          </w:p>
        </w:tc>
      </w:tr>
    </w:tbl>
    <w:p w14:paraId="22E783FC" w14:textId="77777777" w:rsidR="00E1791D" w:rsidRDefault="00E1791D" w:rsidP="007B689C">
      <w:pPr>
        <w:pStyle w:val="naisf"/>
        <w:spacing w:before="0" w:beforeAutospacing="0" w:after="0" w:afterAutospacing="0"/>
        <w:rPr>
          <w:sz w:val="28"/>
          <w:szCs w:val="28"/>
        </w:rPr>
      </w:pPr>
    </w:p>
    <w:p w14:paraId="26BF1644" w14:textId="77777777" w:rsidR="00C62422" w:rsidRDefault="00C62422" w:rsidP="007B689C">
      <w:pPr>
        <w:pStyle w:val="naisf"/>
        <w:spacing w:before="0" w:beforeAutospacing="0" w:after="0" w:afterAutospacing="0"/>
        <w:rPr>
          <w:sz w:val="28"/>
          <w:szCs w:val="28"/>
        </w:rPr>
      </w:pPr>
    </w:p>
    <w:p w14:paraId="77CB69FF" w14:textId="50447B34" w:rsidR="00F5053E" w:rsidRPr="00F5053E" w:rsidRDefault="00F5053E" w:rsidP="007B689C">
      <w:pPr>
        <w:jc w:val="both"/>
        <w:rPr>
          <w:rFonts w:eastAsia="Calibri"/>
          <w:lang w:eastAsia="en-US"/>
        </w:rPr>
      </w:pPr>
      <w:r w:rsidRPr="00F5053E">
        <w:rPr>
          <w:rFonts w:eastAsia="Calibri"/>
          <w:lang w:eastAsia="en-US"/>
        </w:rPr>
        <w:t>Zemkopības ministra</w:t>
      </w:r>
      <w:r w:rsidRPr="00F5053E">
        <w:rPr>
          <w:rFonts w:eastAsia="Calibri"/>
          <w:lang w:eastAsia="en-US"/>
        </w:rPr>
        <w:tab/>
      </w:r>
      <w:r w:rsidR="007B689C">
        <w:rPr>
          <w:rFonts w:eastAsia="Calibri"/>
          <w:lang w:eastAsia="en-US"/>
        </w:rPr>
        <w:t>p.i.</w:t>
      </w:r>
      <w:r w:rsidRPr="00F5053E">
        <w:rPr>
          <w:rFonts w:eastAsia="Calibri"/>
          <w:lang w:eastAsia="en-US"/>
        </w:rPr>
        <w:tab/>
      </w:r>
      <w:r w:rsidR="007B689C">
        <w:rPr>
          <w:rFonts w:eastAsia="Calibri"/>
          <w:lang w:eastAsia="en-US"/>
        </w:rPr>
        <w:tab/>
      </w:r>
      <w:r w:rsidR="007B689C">
        <w:rPr>
          <w:rFonts w:eastAsia="Calibri"/>
          <w:lang w:eastAsia="en-US"/>
        </w:rPr>
        <w:tab/>
      </w:r>
      <w:r w:rsidRPr="00F5053E">
        <w:rPr>
          <w:rFonts w:eastAsia="Calibri"/>
          <w:lang w:eastAsia="en-US"/>
        </w:rPr>
        <w:tab/>
      </w:r>
      <w:r w:rsidRPr="00F5053E">
        <w:rPr>
          <w:rFonts w:eastAsia="Calibri"/>
          <w:lang w:eastAsia="en-US"/>
        </w:rPr>
        <w:tab/>
      </w:r>
      <w:r w:rsidRPr="00F5053E">
        <w:rPr>
          <w:rFonts w:eastAsia="Calibri"/>
          <w:lang w:eastAsia="en-US"/>
        </w:rPr>
        <w:tab/>
      </w:r>
      <w:r w:rsidRPr="00F5053E">
        <w:rPr>
          <w:rFonts w:eastAsia="Calibri"/>
          <w:lang w:eastAsia="en-US"/>
        </w:rPr>
        <w:tab/>
        <w:t>A.Čakša</w:t>
      </w:r>
    </w:p>
    <w:p w14:paraId="1C99A806" w14:textId="77777777" w:rsidR="00FE3353" w:rsidRDefault="00FE3353" w:rsidP="00AD4B66">
      <w:pPr>
        <w:pStyle w:val="naisf"/>
        <w:spacing w:before="0" w:beforeAutospacing="0" w:after="0" w:afterAutospacing="0"/>
        <w:rPr>
          <w:sz w:val="20"/>
          <w:szCs w:val="20"/>
        </w:rPr>
      </w:pPr>
    </w:p>
    <w:p w14:paraId="6E3768C9" w14:textId="77777777" w:rsidR="007B689C" w:rsidRDefault="007B689C" w:rsidP="00AD4B66">
      <w:pPr>
        <w:pStyle w:val="naisf"/>
        <w:spacing w:before="0" w:beforeAutospacing="0" w:after="0" w:afterAutospacing="0"/>
        <w:rPr>
          <w:sz w:val="20"/>
          <w:szCs w:val="20"/>
        </w:rPr>
      </w:pPr>
    </w:p>
    <w:p w14:paraId="5EBBC8A6" w14:textId="77777777" w:rsidR="007B689C" w:rsidRDefault="007B689C" w:rsidP="00AD4B66">
      <w:pPr>
        <w:pStyle w:val="naisf"/>
        <w:spacing w:before="0" w:beforeAutospacing="0" w:after="0" w:afterAutospacing="0"/>
        <w:rPr>
          <w:sz w:val="20"/>
          <w:szCs w:val="20"/>
        </w:rPr>
      </w:pPr>
    </w:p>
    <w:p w14:paraId="650D7C38" w14:textId="77777777" w:rsidR="007B689C" w:rsidRDefault="007B689C" w:rsidP="00AD4B66">
      <w:pPr>
        <w:pStyle w:val="naisf"/>
        <w:spacing w:before="0" w:beforeAutospacing="0" w:after="0" w:afterAutospacing="0"/>
        <w:rPr>
          <w:sz w:val="20"/>
          <w:szCs w:val="20"/>
        </w:rPr>
      </w:pPr>
    </w:p>
    <w:p w14:paraId="51634A1B" w14:textId="77777777" w:rsidR="007B689C" w:rsidRDefault="007B689C" w:rsidP="00AD4B66">
      <w:pPr>
        <w:pStyle w:val="naisf"/>
        <w:spacing w:before="0" w:beforeAutospacing="0" w:after="0" w:afterAutospacing="0"/>
        <w:rPr>
          <w:sz w:val="20"/>
          <w:szCs w:val="20"/>
        </w:rPr>
      </w:pPr>
    </w:p>
    <w:p w14:paraId="691EDEE0" w14:textId="77777777" w:rsidR="007B689C" w:rsidRDefault="007B689C" w:rsidP="00AD4B66">
      <w:pPr>
        <w:pStyle w:val="naisf"/>
        <w:spacing w:before="0" w:beforeAutospacing="0" w:after="0" w:afterAutospacing="0"/>
        <w:rPr>
          <w:sz w:val="20"/>
          <w:szCs w:val="20"/>
        </w:rPr>
      </w:pPr>
    </w:p>
    <w:p w14:paraId="605914E2" w14:textId="77777777" w:rsidR="007B689C" w:rsidRDefault="007B689C" w:rsidP="00AD4B66">
      <w:pPr>
        <w:pStyle w:val="naisf"/>
        <w:spacing w:before="0" w:beforeAutospacing="0" w:after="0" w:afterAutospacing="0"/>
        <w:rPr>
          <w:sz w:val="20"/>
          <w:szCs w:val="20"/>
        </w:rPr>
      </w:pPr>
    </w:p>
    <w:p w14:paraId="54831650" w14:textId="77777777" w:rsidR="007B689C" w:rsidRDefault="007B689C" w:rsidP="00AD4B66">
      <w:pPr>
        <w:pStyle w:val="naisf"/>
        <w:spacing w:before="0" w:beforeAutospacing="0" w:after="0" w:afterAutospacing="0"/>
        <w:rPr>
          <w:sz w:val="20"/>
          <w:szCs w:val="20"/>
        </w:rPr>
      </w:pPr>
    </w:p>
    <w:p w14:paraId="43FBF0B3" w14:textId="77777777" w:rsidR="007B689C" w:rsidRDefault="007B689C" w:rsidP="00AD4B66">
      <w:pPr>
        <w:pStyle w:val="naisf"/>
        <w:spacing w:before="0" w:beforeAutospacing="0" w:after="0" w:afterAutospacing="0"/>
        <w:rPr>
          <w:sz w:val="20"/>
          <w:szCs w:val="20"/>
        </w:rPr>
      </w:pPr>
    </w:p>
    <w:p w14:paraId="334DE39C" w14:textId="77777777" w:rsidR="007B689C" w:rsidRDefault="007B689C" w:rsidP="00AD4B66">
      <w:pPr>
        <w:pStyle w:val="naisf"/>
        <w:spacing w:before="0" w:beforeAutospacing="0" w:after="0" w:afterAutospacing="0"/>
        <w:rPr>
          <w:sz w:val="20"/>
          <w:szCs w:val="20"/>
        </w:rPr>
      </w:pPr>
    </w:p>
    <w:p w14:paraId="4E21B6AE" w14:textId="77777777" w:rsidR="007B689C" w:rsidRDefault="007B689C" w:rsidP="00AD4B66">
      <w:pPr>
        <w:pStyle w:val="naisf"/>
        <w:spacing w:before="0" w:beforeAutospacing="0" w:after="0" w:afterAutospacing="0"/>
        <w:rPr>
          <w:sz w:val="20"/>
          <w:szCs w:val="20"/>
        </w:rPr>
      </w:pPr>
    </w:p>
    <w:p w14:paraId="7E6A1756" w14:textId="77777777" w:rsidR="007B689C" w:rsidRDefault="007B689C" w:rsidP="00AD4B66">
      <w:pPr>
        <w:pStyle w:val="naisf"/>
        <w:spacing w:before="0" w:beforeAutospacing="0" w:after="0" w:afterAutospacing="0"/>
        <w:rPr>
          <w:sz w:val="20"/>
          <w:szCs w:val="20"/>
        </w:rPr>
      </w:pPr>
    </w:p>
    <w:p w14:paraId="470E2E2F" w14:textId="77777777" w:rsidR="007B689C" w:rsidRDefault="007B689C" w:rsidP="00AD4B66">
      <w:pPr>
        <w:pStyle w:val="naisf"/>
        <w:spacing w:before="0" w:beforeAutospacing="0" w:after="0" w:afterAutospacing="0"/>
        <w:rPr>
          <w:sz w:val="20"/>
          <w:szCs w:val="20"/>
        </w:rPr>
      </w:pPr>
    </w:p>
    <w:p w14:paraId="060EA94E" w14:textId="77777777" w:rsidR="007B689C" w:rsidRDefault="007B689C" w:rsidP="00AD4B66">
      <w:pPr>
        <w:pStyle w:val="naisf"/>
        <w:spacing w:before="0" w:beforeAutospacing="0" w:after="0" w:afterAutospacing="0"/>
        <w:rPr>
          <w:sz w:val="20"/>
          <w:szCs w:val="20"/>
        </w:rPr>
      </w:pPr>
    </w:p>
    <w:p w14:paraId="7B81BBD9" w14:textId="77777777" w:rsidR="007B689C" w:rsidRDefault="007B689C" w:rsidP="00AD4B66">
      <w:pPr>
        <w:pStyle w:val="naisf"/>
        <w:spacing w:before="0" w:beforeAutospacing="0" w:after="0" w:afterAutospacing="0"/>
        <w:rPr>
          <w:sz w:val="20"/>
          <w:szCs w:val="20"/>
        </w:rPr>
      </w:pPr>
    </w:p>
    <w:p w14:paraId="3B105B9C" w14:textId="77777777" w:rsidR="007B689C" w:rsidRDefault="007B689C" w:rsidP="00AD4B66">
      <w:pPr>
        <w:pStyle w:val="naisf"/>
        <w:spacing w:before="0" w:beforeAutospacing="0" w:after="0" w:afterAutospacing="0"/>
        <w:rPr>
          <w:sz w:val="20"/>
          <w:szCs w:val="20"/>
        </w:rPr>
      </w:pPr>
    </w:p>
    <w:p w14:paraId="7D97392C" w14:textId="77777777" w:rsidR="007B689C" w:rsidRDefault="007B689C" w:rsidP="00AD4B66">
      <w:pPr>
        <w:pStyle w:val="naisf"/>
        <w:spacing w:before="0" w:beforeAutospacing="0" w:after="0" w:afterAutospacing="0"/>
        <w:rPr>
          <w:sz w:val="20"/>
          <w:szCs w:val="20"/>
        </w:rPr>
      </w:pPr>
    </w:p>
    <w:p w14:paraId="2D795475" w14:textId="77777777" w:rsidR="007B689C" w:rsidRDefault="007B689C" w:rsidP="00AD4B66">
      <w:pPr>
        <w:pStyle w:val="naisf"/>
        <w:spacing w:before="0" w:beforeAutospacing="0" w:after="0" w:afterAutospacing="0"/>
        <w:rPr>
          <w:sz w:val="20"/>
          <w:szCs w:val="20"/>
        </w:rPr>
      </w:pPr>
    </w:p>
    <w:p w14:paraId="22A9CF91" w14:textId="77777777" w:rsidR="007B689C" w:rsidRDefault="007B689C" w:rsidP="00AD4B66">
      <w:pPr>
        <w:pStyle w:val="naisf"/>
        <w:spacing w:before="0" w:beforeAutospacing="0" w:after="0" w:afterAutospacing="0"/>
        <w:rPr>
          <w:sz w:val="20"/>
          <w:szCs w:val="20"/>
        </w:rPr>
      </w:pPr>
    </w:p>
    <w:p w14:paraId="678CB6F4" w14:textId="77777777" w:rsidR="007B689C" w:rsidRDefault="007B689C" w:rsidP="00AD4B66">
      <w:pPr>
        <w:pStyle w:val="naisf"/>
        <w:spacing w:before="0" w:beforeAutospacing="0" w:after="0" w:afterAutospacing="0"/>
        <w:rPr>
          <w:sz w:val="20"/>
          <w:szCs w:val="20"/>
        </w:rPr>
      </w:pPr>
    </w:p>
    <w:p w14:paraId="1C53A135" w14:textId="77777777" w:rsidR="007B689C" w:rsidRDefault="007B689C" w:rsidP="00AD4B66">
      <w:pPr>
        <w:pStyle w:val="naisf"/>
        <w:spacing w:before="0" w:beforeAutospacing="0" w:after="0" w:afterAutospacing="0"/>
        <w:rPr>
          <w:sz w:val="20"/>
          <w:szCs w:val="20"/>
        </w:rPr>
      </w:pPr>
    </w:p>
    <w:p w14:paraId="4F5C3DAD" w14:textId="77777777" w:rsidR="007B689C" w:rsidRDefault="007B689C" w:rsidP="00AD4B66">
      <w:pPr>
        <w:pStyle w:val="naisf"/>
        <w:spacing w:before="0" w:beforeAutospacing="0" w:after="0" w:afterAutospacing="0"/>
        <w:rPr>
          <w:sz w:val="20"/>
          <w:szCs w:val="20"/>
        </w:rPr>
      </w:pPr>
    </w:p>
    <w:p w14:paraId="20B7045E" w14:textId="77777777" w:rsidR="007B689C" w:rsidRDefault="007B689C" w:rsidP="00AD4B66">
      <w:pPr>
        <w:pStyle w:val="naisf"/>
        <w:spacing w:before="0" w:beforeAutospacing="0" w:after="0" w:afterAutospacing="0"/>
        <w:rPr>
          <w:sz w:val="20"/>
          <w:szCs w:val="20"/>
        </w:rPr>
      </w:pPr>
    </w:p>
    <w:p w14:paraId="282F60EB" w14:textId="77777777" w:rsidR="007B689C" w:rsidRDefault="007B689C" w:rsidP="00AD4B66">
      <w:pPr>
        <w:pStyle w:val="naisf"/>
        <w:spacing w:before="0" w:beforeAutospacing="0" w:after="0" w:afterAutospacing="0"/>
        <w:rPr>
          <w:sz w:val="20"/>
          <w:szCs w:val="20"/>
        </w:rPr>
      </w:pPr>
    </w:p>
    <w:p w14:paraId="3CA5D7E3" w14:textId="77777777" w:rsidR="007B689C" w:rsidRDefault="007B689C" w:rsidP="00AD4B66">
      <w:pPr>
        <w:pStyle w:val="naisf"/>
        <w:spacing w:before="0" w:beforeAutospacing="0" w:after="0" w:afterAutospacing="0"/>
        <w:rPr>
          <w:sz w:val="20"/>
          <w:szCs w:val="20"/>
        </w:rPr>
      </w:pPr>
    </w:p>
    <w:p w14:paraId="4157E200" w14:textId="77777777" w:rsidR="007B689C" w:rsidRDefault="007B689C" w:rsidP="00AD4B66">
      <w:pPr>
        <w:pStyle w:val="naisf"/>
        <w:spacing w:before="0" w:beforeAutospacing="0" w:after="0" w:afterAutospacing="0"/>
        <w:rPr>
          <w:sz w:val="20"/>
          <w:szCs w:val="20"/>
        </w:rPr>
      </w:pPr>
    </w:p>
    <w:p w14:paraId="6385FF3A" w14:textId="77777777" w:rsidR="007B689C" w:rsidRDefault="007B689C" w:rsidP="00AD4B66">
      <w:pPr>
        <w:pStyle w:val="naisf"/>
        <w:spacing w:before="0" w:beforeAutospacing="0" w:after="0" w:afterAutospacing="0"/>
        <w:rPr>
          <w:sz w:val="20"/>
          <w:szCs w:val="20"/>
        </w:rPr>
      </w:pPr>
    </w:p>
    <w:p w14:paraId="269D3D1F" w14:textId="77777777" w:rsidR="007B689C" w:rsidRDefault="007B689C" w:rsidP="00AD4B66">
      <w:pPr>
        <w:pStyle w:val="naisf"/>
        <w:spacing w:before="0" w:beforeAutospacing="0" w:after="0" w:afterAutospacing="0"/>
        <w:rPr>
          <w:sz w:val="20"/>
          <w:szCs w:val="20"/>
        </w:rPr>
      </w:pPr>
    </w:p>
    <w:p w14:paraId="793E9B0F" w14:textId="77777777" w:rsidR="007B689C" w:rsidRDefault="007B689C" w:rsidP="00AD4B66">
      <w:pPr>
        <w:pStyle w:val="naisf"/>
        <w:spacing w:before="0" w:beforeAutospacing="0" w:after="0" w:afterAutospacing="0"/>
        <w:rPr>
          <w:sz w:val="20"/>
          <w:szCs w:val="20"/>
        </w:rPr>
      </w:pPr>
    </w:p>
    <w:p w14:paraId="71CF959E" w14:textId="77777777" w:rsidR="007B689C" w:rsidRDefault="007B689C" w:rsidP="00AD4B66">
      <w:pPr>
        <w:pStyle w:val="naisf"/>
        <w:spacing w:before="0" w:beforeAutospacing="0" w:after="0" w:afterAutospacing="0"/>
        <w:rPr>
          <w:sz w:val="20"/>
          <w:szCs w:val="20"/>
        </w:rPr>
      </w:pPr>
    </w:p>
    <w:p w14:paraId="43ABC250" w14:textId="77777777" w:rsidR="007B689C" w:rsidRDefault="007B689C" w:rsidP="00AD4B66">
      <w:pPr>
        <w:pStyle w:val="naisf"/>
        <w:spacing w:before="0" w:beforeAutospacing="0" w:after="0" w:afterAutospacing="0"/>
        <w:rPr>
          <w:sz w:val="20"/>
          <w:szCs w:val="20"/>
        </w:rPr>
      </w:pPr>
    </w:p>
    <w:p w14:paraId="2F4A50E7" w14:textId="77777777" w:rsidR="007B689C" w:rsidRDefault="007B689C" w:rsidP="00AD4B66">
      <w:pPr>
        <w:pStyle w:val="naisf"/>
        <w:spacing w:before="0" w:beforeAutospacing="0" w:after="0" w:afterAutospacing="0"/>
        <w:rPr>
          <w:sz w:val="20"/>
          <w:szCs w:val="20"/>
        </w:rPr>
      </w:pPr>
    </w:p>
    <w:p w14:paraId="510E7F97" w14:textId="77777777" w:rsidR="007B689C" w:rsidRDefault="007B689C" w:rsidP="00AD4B66">
      <w:pPr>
        <w:pStyle w:val="naisf"/>
        <w:spacing w:before="0" w:beforeAutospacing="0" w:after="0" w:afterAutospacing="0"/>
        <w:rPr>
          <w:sz w:val="20"/>
          <w:szCs w:val="20"/>
        </w:rPr>
      </w:pPr>
    </w:p>
    <w:p w14:paraId="34419D3F" w14:textId="77777777" w:rsidR="007B689C" w:rsidRDefault="007B689C" w:rsidP="00AD4B66">
      <w:pPr>
        <w:pStyle w:val="naisf"/>
        <w:spacing w:before="0" w:beforeAutospacing="0" w:after="0" w:afterAutospacing="0"/>
        <w:rPr>
          <w:sz w:val="20"/>
          <w:szCs w:val="20"/>
        </w:rPr>
      </w:pPr>
    </w:p>
    <w:p w14:paraId="543A481C" w14:textId="77777777" w:rsidR="007B689C" w:rsidRDefault="007B689C" w:rsidP="00AD4B66">
      <w:pPr>
        <w:pStyle w:val="naisf"/>
        <w:spacing w:before="0" w:beforeAutospacing="0" w:after="0" w:afterAutospacing="0"/>
        <w:rPr>
          <w:sz w:val="20"/>
          <w:szCs w:val="20"/>
        </w:rPr>
      </w:pPr>
    </w:p>
    <w:p w14:paraId="5AED4C49" w14:textId="77777777" w:rsidR="007B689C" w:rsidRDefault="007B689C" w:rsidP="00AD4B66">
      <w:pPr>
        <w:pStyle w:val="naisf"/>
        <w:spacing w:before="0" w:beforeAutospacing="0" w:after="0" w:afterAutospacing="0"/>
        <w:rPr>
          <w:sz w:val="20"/>
          <w:szCs w:val="20"/>
        </w:rPr>
      </w:pPr>
    </w:p>
    <w:p w14:paraId="5C947EDC" w14:textId="77777777" w:rsidR="007B689C" w:rsidRDefault="007B689C" w:rsidP="00AD4B66">
      <w:pPr>
        <w:pStyle w:val="naisf"/>
        <w:spacing w:before="0" w:beforeAutospacing="0" w:after="0" w:afterAutospacing="0"/>
        <w:rPr>
          <w:sz w:val="20"/>
          <w:szCs w:val="20"/>
        </w:rPr>
      </w:pPr>
    </w:p>
    <w:p w14:paraId="47D39ECE" w14:textId="77777777" w:rsidR="007B689C" w:rsidRDefault="007B689C" w:rsidP="00AD4B66">
      <w:pPr>
        <w:pStyle w:val="naisf"/>
        <w:spacing w:before="0" w:beforeAutospacing="0" w:after="0" w:afterAutospacing="0"/>
        <w:rPr>
          <w:sz w:val="20"/>
          <w:szCs w:val="20"/>
        </w:rPr>
      </w:pPr>
    </w:p>
    <w:p w14:paraId="1C80195C" w14:textId="77777777" w:rsidR="007B689C" w:rsidRDefault="007B689C" w:rsidP="00AD4B66">
      <w:pPr>
        <w:pStyle w:val="naisf"/>
        <w:spacing w:before="0" w:beforeAutospacing="0" w:after="0" w:afterAutospacing="0"/>
        <w:rPr>
          <w:sz w:val="20"/>
          <w:szCs w:val="20"/>
        </w:rPr>
      </w:pPr>
    </w:p>
    <w:p w14:paraId="79598DB3" w14:textId="77777777" w:rsidR="007B689C" w:rsidRDefault="007B689C" w:rsidP="00AD4B66">
      <w:pPr>
        <w:pStyle w:val="naisf"/>
        <w:spacing w:before="0" w:beforeAutospacing="0" w:after="0" w:afterAutospacing="0"/>
        <w:rPr>
          <w:sz w:val="20"/>
          <w:szCs w:val="20"/>
        </w:rPr>
      </w:pPr>
    </w:p>
    <w:p w14:paraId="7B9DFD77" w14:textId="77777777" w:rsidR="007B689C" w:rsidRDefault="007B689C" w:rsidP="00AD4B66">
      <w:pPr>
        <w:pStyle w:val="naisf"/>
        <w:spacing w:before="0" w:beforeAutospacing="0" w:after="0" w:afterAutospacing="0"/>
        <w:rPr>
          <w:sz w:val="20"/>
          <w:szCs w:val="20"/>
        </w:rPr>
      </w:pPr>
    </w:p>
    <w:p w14:paraId="7711BEBB" w14:textId="77777777" w:rsidR="007B689C" w:rsidRDefault="007B689C" w:rsidP="00AD4B66">
      <w:pPr>
        <w:pStyle w:val="naisf"/>
        <w:spacing w:before="0" w:beforeAutospacing="0" w:after="0" w:afterAutospacing="0"/>
        <w:rPr>
          <w:sz w:val="20"/>
          <w:szCs w:val="20"/>
        </w:rPr>
      </w:pPr>
    </w:p>
    <w:p w14:paraId="7ECEF98D" w14:textId="77777777" w:rsidR="007B689C" w:rsidRDefault="007B689C" w:rsidP="00AD4B66">
      <w:pPr>
        <w:pStyle w:val="naisf"/>
        <w:spacing w:before="0" w:beforeAutospacing="0" w:after="0" w:afterAutospacing="0"/>
        <w:rPr>
          <w:sz w:val="20"/>
          <w:szCs w:val="20"/>
        </w:rPr>
      </w:pPr>
    </w:p>
    <w:p w14:paraId="65488C88" w14:textId="77777777" w:rsidR="007B689C" w:rsidRDefault="007B689C" w:rsidP="00AD4B66">
      <w:pPr>
        <w:pStyle w:val="naisf"/>
        <w:spacing w:before="0" w:beforeAutospacing="0" w:after="0" w:afterAutospacing="0"/>
        <w:rPr>
          <w:sz w:val="20"/>
          <w:szCs w:val="20"/>
        </w:rPr>
      </w:pPr>
    </w:p>
    <w:p w14:paraId="2B44366B" w14:textId="77777777" w:rsidR="007B689C" w:rsidRDefault="007B689C" w:rsidP="00AD4B66">
      <w:pPr>
        <w:pStyle w:val="naisf"/>
        <w:spacing w:before="0" w:beforeAutospacing="0" w:after="0" w:afterAutospacing="0"/>
        <w:rPr>
          <w:sz w:val="20"/>
          <w:szCs w:val="20"/>
        </w:rPr>
      </w:pPr>
    </w:p>
    <w:p w14:paraId="4DCFB62F" w14:textId="77777777" w:rsidR="00C62422" w:rsidRDefault="00C62422" w:rsidP="00AD4B66">
      <w:pPr>
        <w:pStyle w:val="naisf"/>
        <w:spacing w:before="0" w:beforeAutospacing="0" w:after="0" w:afterAutospacing="0"/>
        <w:rPr>
          <w:sz w:val="20"/>
          <w:szCs w:val="20"/>
        </w:rPr>
      </w:pPr>
    </w:p>
    <w:p w14:paraId="58E162DA" w14:textId="77777777" w:rsidR="007B689C" w:rsidRDefault="007B689C" w:rsidP="006869F5">
      <w:pPr>
        <w:jc w:val="both"/>
        <w:rPr>
          <w:rFonts w:eastAsia="Calibri"/>
          <w:sz w:val="20"/>
          <w:szCs w:val="20"/>
          <w:lang w:eastAsia="en-US"/>
        </w:rPr>
      </w:pPr>
      <w:r>
        <w:rPr>
          <w:rFonts w:eastAsia="Calibri"/>
          <w:sz w:val="20"/>
          <w:szCs w:val="20"/>
          <w:lang w:eastAsia="en-US"/>
        </w:rPr>
        <w:t>09.11.2016. 9:41</w:t>
      </w:r>
    </w:p>
    <w:p w14:paraId="6B846CCA" w14:textId="77777777" w:rsidR="007B689C" w:rsidRDefault="007B689C" w:rsidP="006869F5">
      <w:pPr>
        <w:jc w:val="both"/>
        <w:rPr>
          <w:rFonts w:eastAsia="Calibri"/>
          <w:sz w:val="20"/>
          <w:szCs w:val="20"/>
          <w:lang w:eastAsia="en-US"/>
        </w:rPr>
      </w:pPr>
      <w:r>
        <w:rPr>
          <w:rFonts w:eastAsia="Calibri"/>
          <w:sz w:val="20"/>
          <w:szCs w:val="20"/>
          <w:lang w:eastAsia="en-US"/>
        </w:rPr>
        <w:fldChar w:fldCharType="begin"/>
      </w:r>
      <w:r>
        <w:rPr>
          <w:rFonts w:eastAsia="Calibri"/>
          <w:sz w:val="20"/>
          <w:szCs w:val="20"/>
          <w:lang w:eastAsia="en-US"/>
        </w:rPr>
        <w:instrText xml:space="preserve"> NUMWORDS   \* MERGEFORMAT </w:instrText>
      </w:r>
      <w:r>
        <w:rPr>
          <w:rFonts w:eastAsia="Calibri"/>
          <w:sz w:val="20"/>
          <w:szCs w:val="20"/>
          <w:lang w:eastAsia="en-US"/>
        </w:rPr>
        <w:fldChar w:fldCharType="separate"/>
      </w:r>
      <w:r>
        <w:rPr>
          <w:rFonts w:eastAsia="Calibri"/>
          <w:noProof/>
          <w:sz w:val="20"/>
          <w:szCs w:val="20"/>
          <w:lang w:eastAsia="en-US"/>
        </w:rPr>
        <w:t>1722</w:t>
      </w:r>
      <w:r>
        <w:rPr>
          <w:rFonts w:eastAsia="Calibri"/>
          <w:sz w:val="20"/>
          <w:szCs w:val="20"/>
          <w:lang w:eastAsia="en-US"/>
        </w:rPr>
        <w:fldChar w:fldCharType="end"/>
      </w:r>
    </w:p>
    <w:p w14:paraId="36AC7B71" w14:textId="524E74B2" w:rsidR="006869F5" w:rsidRPr="006869F5" w:rsidRDefault="006869F5" w:rsidP="006869F5">
      <w:pPr>
        <w:jc w:val="both"/>
        <w:rPr>
          <w:rFonts w:eastAsia="Calibri"/>
          <w:sz w:val="20"/>
          <w:szCs w:val="20"/>
          <w:lang w:eastAsia="en-US"/>
        </w:rPr>
      </w:pPr>
      <w:bookmarkStart w:id="1" w:name="_GoBack"/>
      <w:bookmarkEnd w:id="1"/>
      <w:r w:rsidRPr="006869F5">
        <w:rPr>
          <w:rFonts w:eastAsia="Calibri"/>
          <w:sz w:val="20"/>
          <w:szCs w:val="20"/>
          <w:lang w:eastAsia="en-US"/>
        </w:rPr>
        <w:t>A.Tora</w:t>
      </w:r>
    </w:p>
    <w:p w14:paraId="120863F6" w14:textId="77777777" w:rsidR="006869F5" w:rsidRPr="006869F5" w:rsidRDefault="006869F5" w:rsidP="006869F5">
      <w:pPr>
        <w:jc w:val="both"/>
        <w:rPr>
          <w:rFonts w:eastAsia="Calibri"/>
          <w:sz w:val="28"/>
          <w:szCs w:val="28"/>
          <w:lang w:eastAsia="en-US"/>
        </w:rPr>
      </w:pPr>
      <w:r w:rsidRPr="006869F5">
        <w:rPr>
          <w:rFonts w:eastAsia="Calibri"/>
          <w:sz w:val="20"/>
          <w:szCs w:val="20"/>
          <w:lang w:eastAsia="en-US"/>
        </w:rPr>
        <w:t xml:space="preserve">67027620, </w:t>
      </w:r>
      <w:hyperlink r:id="rId11" w:history="1">
        <w:r w:rsidR="00097193" w:rsidRPr="00FB18D8">
          <w:rPr>
            <w:rStyle w:val="Hipersaite"/>
            <w:rFonts w:eastAsia="Calibri"/>
            <w:sz w:val="20"/>
            <w:szCs w:val="20"/>
            <w:lang w:eastAsia="en-US"/>
          </w:rPr>
          <w:t>Aija.Tora@zm.gov.lv</w:t>
        </w:r>
      </w:hyperlink>
      <w:r w:rsidR="00097193">
        <w:rPr>
          <w:rFonts w:eastAsia="Calibri"/>
          <w:sz w:val="20"/>
          <w:szCs w:val="20"/>
          <w:lang w:eastAsia="en-US"/>
        </w:rPr>
        <w:t xml:space="preserve"> </w:t>
      </w:r>
    </w:p>
    <w:sectPr w:rsidR="006869F5" w:rsidRPr="006869F5" w:rsidSect="00C62422">
      <w:headerReference w:type="even" r:id="rId12"/>
      <w:headerReference w:type="default" r:id="rId13"/>
      <w:footerReference w:type="default" r:id="rId14"/>
      <w:footerReference w:type="first" r:id="rId15"/>
      <w:pgSz w:w="11906" w:h="16838" w:code="9"/>
      <w:pgMar w:top="124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C9FC9" w14:textId="77777777" w:rsidR="00705B6A" w:rsidRDefault="00705B6A" w:rsidP="00F37F7E">
      <w:pPr>
        <w:pStyle w:val="naiskr"/>
      </w:pPr>
      <w:r>
        <w:separator/>
      </w:r>
    </w:p>
  </w:endnote>
  <w:endnote w:type="continuationSeparator" w:id="0">
    <w:p w14:paraId="602ABFE4" w14:textId="77777777" w:rsidR="00705B6A" w:rsidRDefault="00705B6A"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342A" w14:textId="638DA958" w:rsidR="009434A2" w:rsidRPr="00C62422" w:rsidRDefault="007B689C" w:rsidP="00C62422">
    <w:pPr>
      <w:jc w:val="both"/>
      <w:rPr>
        <w:bCs/>
        <w:sz w:val="20"/>
        <w:szCs w:val="20"/>
      </w:rPr>
    </w:pPr>
    <w:r w:rsidRPr="007B689C">
      <w:rPr>
        <w:sz w:val="20"/>
        <w:szCs w:val="20"/>
      </w:rPr>
      <w:t>Z</w:t>
    </w:r>
    <w:r>
      <w:rPr>
        <w:sz w:val="20"/>
        <w:szCs w:val="20"/>
      </w:rPr>
      <w:t>MAnot_091116_</w:t>
    </w:r>
    <w:r w:rsidRPr="007B689C">
      <w:rPr>
        <w:sz w:val="20"/>
        <w:szCs w:val="20"/>
      </w:rPr>
      <w:t>blakprodpras</w:t>
    </w:r>
    <w:r w:rsidR="00C62422" w:rsidRPr="006869F5">
      <w:rPr>
        <w:sz w:val="20"/>
        <w:szCs w:val="20"/>
      </w:rPr>
      <w:t>; Ministru kabineta noteikumu projekt</w:t>
    </w:r>
    <w:r w:rsidR="00C62422">
      <w:rPr>
        <w:sz w:val="20"/>
        <w:szCs w:val="20"/>
      </w:rPr>
      <w:t>a</w:t>
    </w:r>
    <w:r w:rsidR="00C62422" w:rsidRPr="006869F5">
      <w:rPr>
        <w:sz w:val="20"/>
        <w:szCs w:val="20"/>
      </w:rPr>
      <w:t xml:space="preserve"> „Grozījumi Ministru kabineta 2012.gada 17.aprīļa noteikumos Nr.275 „Prasības tādu dzīvnieku izcelsmes blakusproduktu un atvasinātu produktu apritei, kas nav paredzēti cilvēku patēriņam””</w:t>
    </w:r>
    <w:r w:rsidR="00C62422">
      <w:rPr>
        <w:sz w:val="20"/>
        <w:szCs w:val="20"/>
      </w:rPr>
      <w:t xml:space="preserve"> </w:t>
    </w:r>
    <w:r w:rsidR="00C62422" w:rsidRPr="00E86961">
      <w:rPr>
        <w:sz w:val="20"/>
        <w:szCs w:val="20"/>
      </w:rPr>
      <w:t xml:space="preserve">sākotnējās ietekmes novērtējuma ziņojums </w:t>
    </w:r>
    <w:r w:rsidR="00C62422">
      <w:rPr>
        <w:sz w:val="20"/>
        <w:szCs w:val="20"/>
      </w:rPr>
      <w:t>(</w:t>
    </w:r>
    <w:r w:rsidR="00C62422" w:rsidRPr="00885D66">
      <w:rPr>
        <w:sz w:val="20"/>
        <w:szCs w:val="20"/>
      </w:rPr>
      <w:t>anotācija</w:t>
    </w:r>
    <w:r w:rsidR="00C62422">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B798" w14:textId="01791EAA" w:rsidR="00885D66" w:rsidRPr="00885D66" w:rsidRDefault="007B689C" w:rsidP="00885D66">
    <w:pPr>
      <w:jc w:val="both"/>
      <w:rPr>
        <w:bCs/>
        <w:sz w:val="20"/>
        <w:szCs w:val="20"/>
      </w:rPr>
    </w:pPr>
    <w:r w:rsidRPr="007B689C">
      <w:rPr>
        <w:sz w:val="20"/>
        <w:szCs w:val="20"/>
      </w:rPr>
      <w:t>Z</w:t>
    </w:r>
    <w:r>
      <w:rPr>
        <w:sz w:val="20"/>
        <w:szCs w:val="20"/>
      </w:rPr>
      <w:t>MAnot_091116_</w:t>
    </w:r>
    <w:r w:rsidRPr="007B689C">
      <w:rPr>
        <w:sz w:val="20"/>
        <w:szCs w:val="20"/>
      </w:rPr>
      <w:t>blakprodpras</w:t>
    </w:r>
    <w:r w:rsidR="006869F5" w:rsidRPr="006869F5">
      <w:rPr>
        <w:sz w:val="20"/>
        <w:szCs w:val="20"/>
      </w:rPr>
      <w:t>; Ministru kabineta noteikumu projekt</w:t>
    </w:r>
    <w:r w:rsidR="00F726C6">
      <w:rPr>
        <w:sz w:val="20"/>
        <w:szCs w:val="20"/>
      </w:rPr>
      <w:t>a</w:t>
    </w:r>
    <w:r w:rsidR="006869F5" w:rsidRPr="006869F5">
      <w:rPr>
        <w:sz w:val="20"/>
        <w:szCs w:val="20"/>
      </w:rPr>
      <w:t xml:space="preserve"> „Grozījumi Ministru kabineta 2012.gada 17.aprīļa noteikumos Nr.275 „Prasības tādu dzīvnieku izcelsmes blakusproduktu un atvasinātu produktu apritei, kas nav paredzēti cilvēku patēriņam””</w:t>
    </w:r>
    <w:r w:rsidR="006869F5">
      <w:rPr>
        <w:sz w:val="20"/>
        <w:szCs w:val="20"/>
      </w:rPr>
      <w:t xml:space="preserve"> </w:t>
    </w:r>
    <w:r w:rsidR="0053639D" w:rsidRPr="00E86961">
      <w:rPr>
        <w:sz w:val="20"/>
        <w:szCs w:val="20"/>
      </w:rPr>
      <w:t xml:space="preserve">sākotnējās ietekmes novērtējuma ziņojums </w:t>
    </w:r>
    <w:r w:rsidR="0053639D">
      <w:rPr>
        <w:sz w:val="20"/>
        <w:szCs w:val="20"/>
      </w:rPr>
      <w:t>(</w:t>
    </w:r>
    <w:r w:rsidR="00885D66" w:rsidRPr="00885D66">
      <w:rPr>
        <w:sz w:val="20"/>
        <w:szCs w:val="20"/>
      </w:rPr>
      <w:t>anotācija</w:t>
    </w:r>
    <w:r w:rsidR="0053639D">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EAD6" w14:textId="77777777" w:rsidR="00705B6A" w:rsidRDefault="00705B6A" w:rsidP="00F37F7E">
      <w:pPr>
        <w:pStyle w:val="naiskr"/>
      </w:pPr>
      <w:r>
        <w:separator/>
      </w:r>
    </w:p>
  </w:footnote>
  <w:footnote w:type="continuationSeparator" w:id="0">
    <w:p w14:paraId="2446EDEF" w14:textId="77777777" w:rsidR="00705B6A" w:rsidRDefault="00705B6A"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8AA1"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end"/>
    </w:r>
  </w:p>
  <w:p w14:paraId="2D0EFF2F" w14:textId="77777777" w:rsidR="009434A2" w:rsidRDefault="009434A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E75D" w14:textId="77777777" w:rsidR="009434A2" w:rsidRDefault="00BF7B52">
    <w:pPr>
      <w:pStyle w:val="Galvene"/>
      <w:framePr w:wrap="around" w:vAnchor="text" w:hAnchor="margin" w:xAlign="center" w:y="1"/>
      <w:rPr>
        <w:rStyle w:val="Lappusesnumurs"/>
      </w:rPr>
    </w:pPr>
    <w:r>
      <w:rPr>
        <w:rStyle w:val="Lappusesnumurs"/>
      </w:rPr>
      <w:fldChar w:fldCharType="begin"/>
    </w:r>
    <w:r w:rsidR="009434A2">
      <w:rPr>
        <w:rStyle w:val="Lappusesnumurs"/>
      </w:rPr>
      <w:instrText xml:space="preserve">PAGE  </w:instrText>
    </w:r>
    <w:r>
      <w:rPr>
        <w:rStyle w:val="Lappusesnumurs"/>
      </w:rPr>
      <w:fldChar w:fldCharType="separate"/>
    </w:r>
    <w:r w:rsidR="007B689C">
      <w:rPr>
        <w:rStyle w:val="Lappusesnumurs"/>
        <w:noProof/>
      </w:rPr>
      <w:t>6</w:t>
    </w:r>
    <w:r>
      <w:rPr>
        <w:rStyle w:val="Lappusesnumurs"/>
      </w:rPr>
      <w:fldChar w:fldCharType="end"/>
    </w:r>
  </w:p>
  <w:p w14:paraId="4BE08A5D" w14:textId="77777777" w:rsidR="009434A2" w:rsidRDefault="009434A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955BF"/>
    <w:multiLevelType w:val="hybridMultilevel"/>
    <w:tmpl w:val="DF380B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7E"/>
    <w:rsid w:val="000004CF"/>
    <w:rsid w:val="00002015"/>
    <w:rsid w:val="000033B2"/>
    <w:rsid w:val="000052DC"/>
    <w:rsid w:val="00015974"/>
    <w:rsid w:val="000160EE"/>
    <w:rsid w:val="00017851"/>
    <w:rsid w:val="0002029A"/>
    <w:rsid w:val="000242CD"/>
    <w:rsid w:val="00024B0B"/>
    <w:rsid w:val="000273EA"/>
    <w:rsid w:val="00027BE3"/>
    <w:rsid w:val="000319E9"/>
    <w:rsid w:val="000378F3"/>
    <w:rsid w:val="00037F77"/>
    <w:rsid w:val="0004078B"/>
    <w:rsid w:val="00041376"/>
    <w:rsid w:val="00043064"/>
    <w:rsid w:val="000445E1"/>
    <w:rsid w:val="000500AE"/>
    <w:rsid w:val="00051187"/>
    <w:rsid w:val="00054F83"/>
    <w:rsid w:val="00055CF3"/>
    <w:rsid w:val="00056F5F"/>
    <w:rsid w:val="00065E62"/>
    <w:rsid w:val="00067716"/>
    <w:rsid w:val="00067A11"/>
    <w:rsid w:val="00070FEB"/>
    <w:rsid w:val="000713AA"/>
    <w:rsid w:val="00072B42"/>
    <w:rsid w:val="00074178"/>
    <w:rsid w:val="000813CF"/>
    <w:rsid w:val="0008641C"/>
    <w:rsid w:val="00093DC3"/>
    <w:rsid w:val="00094946"/>
    <w:rsid w:val="000956B0"/>
    <w:rsid w:val="000957DB"/>
    <w:rsid w:val="00096BD9"/>
    <w:rsid w:val="00097193"/>
    <w:rsid w:val="000A230B"/>
    <w:rsid w:val="000A2D0B"/>
    <w:rsid w:val="000A305A"/>
    <w:rsid w:val="000B2338"/>
    <w:rsid w:val="000B43C3"/>
    <w:rsid w:val="000C1BA1"/>
    <w:rsid w:val="000C1F1C"/>
    <w:rsid w:val="000C4826"/>
    <w:rsid w:val="000C4E8B"/>
    <w:rsid w:val="000C5E19"/>
    <w:rsid w:val="000C6049"/>
    <w:rsid w:val="000C711D"/>
    <w:rsid w:val="000D5249"/>
    <w:rsid w:val="000D5719"/>
    <w:rsid w:val="000D677F"/>
    <w:rsid w:val="000D6A4F"/>
    <w:rsid w:val="000D7729"/>
    <w:rsid w:val="000D7FA2"/>
    <w:rsid w:val="000E10EC"/>
    <w:rsid w:val="000E674D"/>
    <w:rsid w:val="000F0147"/>
    <w:rsid w:val="000F328E"/>
    <w:rsid w:val="000F3449"/>
    <w:rsid w:val="000F4B00"/>
    <w:rsid w:val="000F4ED4"/>
    <w:rsid w:val="000F4F14"/>
    <w:rsid w:val="00100684"/>
    <w:rsid w:val="0010345D"/>
    <w:rsid w:val="001039CA"/>
    <w:rsid w:val="00104613"/>
    <w:rsid w:val="00111DC0"/>
    <w:rsid w:val="00112881"/>
    <w:rsid w:val="00112DF5"/>
    <w:rsid w:val="00115738"/>
    <w:rsid w:val="0011697F"/>
    <w:rsid w:val="001175F8"/>
    <w:rsid w:val="0012150C"/>
    <w:rsid w:val="00124ACB"/>
    <w:rsid w:val="00126A8D"/>
    <w:rsid w:val="00127E82"/>
    <w:rsid w:val="001321D5"/>
    <w:rsid w:val="00133DFE"/>
    <w:rsid w:val="00134BEB"/>
    <w:rsid w:val="00135F2B"/>
    <w:rsid w:val="00143CB1"/>
    <w:rsid w:val="00145E1F"/>
    <w:rsid w:val="00147420"/>
    <w:rsid w:val="001500A4"/>
    <w:rsid w:val="00152B50"/>
    <w:rsid w:val="00153834"/>
    <w:rsid w:val="00154FA1"/>
    <w:rsid w:val="00155DDA"/>
    <w:rsid w:val="001611DB"/>
    <w:rsid w:val="001668A1"/>
    <w:rsid w:val="00166AFB"/>
    <w:rsid w:val="00172BC0"/>
    <w:rsid w:val="001748D2"/>
    <w:rsid w:val="00174B93"/>
    <w:rsid w:val="00174BD8"/>
    <w:rsid w:val="00177DDA"/>
    <w:rsid w:val="001814E3"/>
    <w:rsid w:val="00181867"/>
    <w:rsid w:val="00185A1F"/>
    <w:rsid w:val="00186CB1"/>
    <w:rsid w:val="00187944"/>
    <w:rsid w:val="00191CC1"/>
    <w:rsid w:val="001928BE"/>
    <w:rsid w:val="00193A34"/>
    <w:rsid w:val="00193C5A"/>
    <w:rsid w:val="00193C93"/>
    <w:rsid w:val="00193E2C"/>
    <w:rsid w:val="00194785"/>
    <w:rsid w:val="001A1C90"/>
    <w:rsid w:val="001A284C"/>
    <w:rsid w:val="001A4030"/>
    <w:rsid w:val="001A703F"/>
    <w:rsid w:val="001A7D16"/>
    <w:rsid w:val="001B0738"/>
    <w:rsid w:val="001B3102"/>
    <w:rsid w:val="001B6383"/>
    <w:rsid w:val="001B644E"/>
    <w:rsid w:val="001C0BDB"/>
    <w:rsid w:val="001C3321"/>
    <w:rsid w:val="001C600D"/>
    <w:rsid w:val="001D12D3"/>
    <w:rsid w:val="001D3AC6"/>
    <w:rsid w:val="001D4C65"/>
    <w:rsid w:val="001E0876"/>
    <w:rsid w:val="001E1059"/>
    <w:rsid w:val="001E133E"/>
    <w:rsid w:val="001E4DEC"/>
    <w:rsid w:val="001E505C"/>
    <w:rsid w:val="001E68D0"/>
    <w:rsid w:val="001E6C66"/>
    <w:rsid w:val="001E71C9"/>
    <w:rsid w:val="001F1023"/>
    <w:rsid w:val="001F6EB8"/>
    <w:rsid w:val="001F728C"/>
    <w:rsid w:val="002041F1"/>
    <w:rsid w:val="0020655F"/>
    <w:rsid w:val="002100B3"/>
    <w:rsid w:val="0021150A"/>
    <w:rsid w:val="002124B5"/>
    <w:rsid w:val="00214D08"/>
    <w:rsid w:val="002179B6"/>
    <w:rsid w:val="00223C04"/>
    <w:rsid w:val="0022456A"/>
    <w:rsid w:val="00227F59"/>
    <w:rsid w:val="002305A0"/>
    <w:rsid w:val="00237909"/>
    <w:rsid w:val="00243D1D"/>
    <w:rsid w:val="002513DF"/>
    <w:rsid w:val="00252057"/>
    <w:rsid w:val="00255D43"/>
    <w:rsid w:val="00257B87"/>
    <w:rsid w:val="00260221"/>
    <w:rsid w:val="002606DD"/>
    <w:rsid w:val="00264CFE"/>
    <w:rsid w:val="00265A45"/>
    <w:rsid w:val="00265BA0"/>
    <w:rsid w:val="00266247"/>
    <w:rsid w:val="00266734"/>
    <w:rsid w:val="00273012"/>
    <w:rsid w:val="00277535"/>
    <w:rsid w:val="00277C39"/>
    <w:rsid w:val="00284E0B"/>
    <w:rsid w:val="00286B98"/>
    <w:rsid w:val="00286BE2"/>
    <w:rsid w:val="0028776A"/>
    <w:rsid w:val="00294C6B"/>
    <w:rsid w:val="002A0109"/>
    <w:rsid w:val="002A69AC"/>
    <w:rsid w:val="002A7C64"/>
    <w:rsid w:val="002B092E"/>
    <w:rsid w:val="002B13BA"/>
    <w:rsid w:val="002B1522"/>
    <w:rsid w:val="002B325F"/>
    <w:rsid w:val="002B436C"/>
    <w:rsid w:val="002B4887"/>
    <w:rsid w:val="002B79C3"/>
    <w:rsid w:val="002C2186"/>
    <w:rsid w:val="002C5FF8"/>
    <w:rsid w:val="002C60C7"/>
    <w:rsid w:val="002D0EFF"/>
    <w:rsid w:val="002D3117"/>
    <w:rsid w:val="002D429F"/>
    <w:rsid w:val="002D50B7"/>
    <w:rsid w:val="002E15E4"/>
    <w:rsid w:val="002E2E74"/>
    <w:rsid w:val="002E6873"/>
    <w:rsid w:val="002E69C0"/>
    <w:rsid w:val="002F2D08"/>
    <w:rsid w:val="002F38DB"/>
    <w:rsid w:val="002F6A27"/>
    <w:rsid w:val="002F739C"/>
    <w:rsid w:val="00301471"/>
    <w:rsid w:val="003023B3"/>
    <w:rsid w:val="0030353C"/>
    <w:rsid w:val="003037FE"/>
    <w:rsid w:val="00307B77"/>
    <w:rsid w:val="00313B3C"/>
    <w:rsid w:val="00315662"/>
    <w:rsid w:val="003157FC"/>
    <w:rsid w:val="0032112A"/>
    <w:rsid w:val="003242DE"/>
    <w:rsid w:val="003257A4"/>
    <w:rsid w:val="00325A33"/>
    <w:rsid w:val="003274E7"/>
    <w:rsid w:val="0033095C"/>
    <w:rsid w:val="00331279"/>
    <w:rsid w:val="003350A5"/>
    <w:rsid w:val="00336851"/>
    <w:rsid w:val="00342823"/>
    <w:rsid w:val="00343441"/>
    <w:rsid w:val="00343E26"/>
    <w:rsid w:val="003460CD"/>
    <w:rsid w:val="00347B64"/>
    <w:rsid w:val="00350004"/>
    <w:rsid w:val="00351991"/>
    <w:rsid w:val="00354D7D"/>
    <w:rsid w:val="00355020"/>
    <w:rsid w:val="00355D4F"/>
    <w:rsid w:val="003561E6"/>
    <w:rsid w:val="00360A74"/>
    <w:rsid w:val="00360B91"/>
    <w:rsid w:val="003610A7"/>
    <w:rsid w:val="00362A82"/>
    <w:rsid w:val="00363DF8"/>
    <w:rsid w:val="00370A38"/>
    <w:rsid w:val="00371A65"/>
    <w:rsid w:val="00374754"/>
    <w:rsid w:val="003752C7"/>
    <w:rsid w:val="00380832"/>
    <w:rsid w:val="0038268B"/>
    <w:rsid w:val="003831C3"/>
    <w:rsid w:val="00384D74"/>
    <w:rsid w:val="00386EA1"/>
    <w:rsid w:val="00391F7B"/>
    <w:rsid w:val="00393207"/>
    <w:rsid w:val="003937EE"/>
    <w:rsid w:val="00393F06"/>
    <w:rsid w:val="0039523C"/>
    <w:rsid w:val="003A1B2D"/>
    <w:rsid w:val="003A4096"/>
    <w:rsid w:val="003A5061"/>
    <w:rsid w:val="003A5BC1"/>
    <w:rsid w:val="003B2B59"/>
    <w:rsid w:val="003B34B2"/>
    <w:rsid w:val="003B585F"/>
    <w:rsid w:val="003B7A18"/>
    <w:rsid w:val="003C1680"/>
    <w:rsid w:val="003C257A"/>
    <w:rsid w:val="003C2A47"/>
    <w:rsid w:val="003C3622"/>
    <w:rsid w:val="003C444E"/>
    <w:rsid w:val="003C6AD2"/>
    <w:rsid w:val="003C7411"/>
    <w:rsid w:val="003D279C"/>
    <w:rsid w:val="003D3A27"/>
    <w:rsid w:val="003D4E3F"/>
    <w:rsid w:val="003D701C"/>
    <w:rsid w:val="003E413C"/>
    <w:rsid w:val="003E4150"/>
    <w:rsid w:val="003E5518"/>
    <w:rsid w:val="003F001C"/>
    <w:rsid w:val="003F4081"/>
    <w:rsid w:val="003F753E"/>
    <w:rsid w:val="00400503"/>
    <w:rsid w:val="00403858"/>
    <w:rsid w:val="00405D73"/>
    <w:rsid w:val="00406A2C"/>
    <w:rsid w:val="00406B8C"/>
    <w:rsid w:val="004121C8"/>
    <w:rsid w:val="00412F9C"/>
    <w:rsid w:val="00414B20"/>
    <w:rsid w:val="00415631"/>
    <w:rsid w:val="00415B80"/>
    <w:rsid w:val="00417A1B"/>
    <w:rsid w:val="00421391"/>
    <w:rsid w:val="00421441"/>
    <w:rsid w:val="00422AF6"/>
    <w:rsid w:val="00424C48"/>
    <w:rsid w:val="00425E4D"/>
    <w:rsid w:val="0043328A"/>
    <w:rsid w:val="00433DA8"/>
    <w:rsid w:val="004357CE"/>
    <w:rsid w:val="00441496"/>
    <w:rsid w:val="00441E23"/>
    <w:rsid w:val="00444A7D"/>
    <w:rsid w:val="004464F7"/>
    <w:rsid w:val="0044738A"/>
    <w:rsid w:val="00447764"/>
    <w:rsid w:val="004511D3"/>
    <w:rsid w:val="004534B3"/>
    <w:rsid w:val="004547A9"/>
    <w:rsid w:val="00454D15"/>
    <w:rsid w:val="0045719F"/>
    <w:rsid w:val="00462078"/>
    <w:rsid w:val="004632CD"/>
    <w:rsid w:val="00463956"/>
    <w:rsid w:val="004639C0"/>
    <w:rsid w:val="00465A58"/>
    <w:rsid w:val="004662B4"/>
    <w:rsid w:val="00466CF9"/>
    <w:rsid w:val="004679FF"/>
    <w:rsid w:val="00467C61"/>
    <w:rsid w:val="004708A3"/>
    <w:rsid w:val="0047491E"/>
    <w:rsid w:val="00480EF1"/>
    <w:rsid w:val="00482A25"/>
    <w:rsid w:val="00484622"/>
    <w:rsid w:val="00486E83"/>
    <w:rsid w:val="00487A8F"/>
    <w:rsid w:val="00495127"/>
    <w:rsid w:val="00495A25"/>
    <w:rsid w:val="004966B8"/>
    <w:rsid w:val="00496959"/>
    <w:rsid w:val="004A0EAB"/>
    <w:rsid w:val="004A6C18"/>
    <w:rsid w:val="004A708B"/>
    <w:rsid w:val="004B0271"/>
    <w:rsid w:val="004B28A8"/>
    <w:rsid w:val="004B5C4E"/>
    <w:rsid w:val="004C0ED0"/>
    <w:rsid w:val="004C1BC4"/>
    <w:rsid w:val="004C4BC8"/>
    <w:rsid w:val="004C7C32"/>
    <w:rsid w:val="004D4F42"/>
    <w:rsid w:val="004D579E"/>
    <w:rsid w:val="004D64BE"/>
    <w:rsid w:val="004E1569"/>
    <w:rsid w:val="004E15D1"/>
    <w:rsid w:val="004E3F6C"/>
    <w:rsid w:val="004F1971"/>
    <w:rsid w:val="004F2E8D"/>
    <w:rsid w:val="004F598D"/>
    <w:rsid w:val="004F7B57"/>
    <w:rsid w:val="00502495"/>
    <w:rsid w:val="00513790"/>
    <w:rsid w:val="00514AED"/>
    <w:rsid w:val="0051633E"/>
    <w:rsid w:val="00516F18"/>
    <w:rsid w:val="00521C34"/>
    <w:rsid w:val="005229C2"/>
    <w:rsid w:val="005251F3"/>
    <w:rsid w:val="00533941"/>
    <w:rsid w:val="00536003"/>
    <w:rsid w:val="0053639D"/>
    <w:rsid w:val="00537386"/>
    <w:rsid w:val="005376CA"/>
    <w:rsid w:val="0054083D"/>
    <w:rsid w:val="0054677F"/>
    <w:rsid w:val="005545C2"/>
    <w:rsid w:val="00556D60"/>
    <w:rsid w:val="0056210B"/>
    <w:rsid w:val="00563A77"/>
    <w:rsid w:val="005645EF"/>
    <w:rsid w:val="005660EB"/>
    <w:rsid w:val="0057117B"/>
    <w:rsid w:val="00572009"/>
    <w:rsid w:val="0057499C"/>
    <w:rsid w:val="00580AE7"/>
    <w:rsid w:val="005827E6"/>
    <w:rsid w:val="00583239"/>
    <w:rsid w:val="00584D39"/>
    <w:rsid w:val="005854C5"/>
    <w:rsid w:val="00590F7E"/>
    <w:rsid w:val="00591E61"/>
    <w:rsid w:val="005940F9"/>
    <w:rsid w:val="0059419D"/>
    <w:rsid w:val="00595851"/>
    <w:rsid w:val="00596043"/>
    <w:rsid w:val="005A2698"/>
    <w:rsid w:val="005A5812"/>
    <w:rsid w:val="005A5CF6"/>
    <w:rsid w:val="005A76A3"/>
    <w:rsid w:val="005A771C"/>
    <w:rsid w:val="005C045F"/>
    <w:rsid w:val="005C2316"/>
    <w:rsid w:val="005C3223"/>
    <w:rsid w:val="005C37B4"/>
    <w:rsid w:val="005C5FCB"/>
    <w:rsid w:val="005D00FC"/>
    <w:rsid w:val="005D0F57"/>
    <w:rsid w:val="005D16B1"/>
    <w:rsid w:val="005D3D68"/>
    <w:rsid w:val="005D782F"/>
    <w:rsid w:val="005E402A"/>
    <w:rsid w:val="005E52B6"/>
    <w:rsid w:val="005F28C6"/>
    <w:rsid w:val="005F49F6"/>
    <w:rsid w:val="00601219"/>
    <w:rsid w:val="006056ED"/>
    <w:rsid w:val="0060636F"/>
    <w:rsid w:val="0060673F"/>
    <w:rsid w:val="00606E3A"/>
    <w:rsid w:val="00606F24"/>
    <w:rsid w:val="0060708E"/>
    <w:rsid w:val="0060719D"/>
    <w:rsid w:val="006078CE"/>
    <w:rsid w:val="0061217E"/>
    <w:rsid w:val="00612ED0"/>
    <w:rsid w:val="006137F3"/>
    <w:rsid w:val="00616C4A"/>
    <w:rsid w:val="00620D0D"/>
    <w:rsid w:val="00620DC4"/>
    <w:rsid w:val="00623A32"/>
    <w:rsid w:val="006257A6"/>
    <w:rsid w:val="006266E3"/>
    <w:rsid w:val="006313A4"/>
    <w:rsid w:val="006368D6"/>
    <w:rsid w:val="00640AA9"/>
    <w:rsid w:val="00643797"/>
    <w:rsid w:val="0065138F"/>
    <w:rsid w:val="00652105"/>
    <w:rsid w:val="00652543"/>
    <w:rsid w:val="00652579"/>
    <w:rsid w:val="00654CED"/>
    <w:rsid w:val="00655689"/>
    <w:rsid w:val="00656C9A"/>
    <w:rsid w:val="006602BB"/>
    <w:rsid w:val="006606B7"/>
    <w:rsid w:val="00665362"/>
    <w:rsid w:val="006663BB"/>
    <w:rsid w:val="0066773A"/>
    <w:rsid w:val="00667A13"/>
    <w:rsid w:val="006714C5"/>
    <w:rsid w:val="0067366E"/>
    <w:rsid w:val="006748CD"/>
    <w:rsid w:val="00675CCE"/>
    <w:rsid w:val="006760F2"/>
    <w:rsid w:val="006820E7"/>
    <w:rsid w:val="00683886"/>
    <w:rsid w:val="00685243"/>
    <w:rsid w:val="00685934"/>
    <w:rsid w:val="006867F0"/>
    <w:rsid w:val="006869F5"/>
    <w:rsid w:val="0069134A"/>
    <w:rsid w:val="00697AF8"/>
    <w:rsid w:val="006A344D"/>
    <w:rsid w:val="006B07C9"/>
    <w:rsid w:val="006B33B5"/>
    <w:rsid w:val="006B75D0"/>
    <w:rsid w:val="006C17D2"/>
    <w:rsid w:val="006C55B6"/>
    <w:rsid w:val="006D1130"/>
    <w:rsid w:val="006D1959"/>
    <w:rsid w:val="006E08F1"/>
    <w:rsid w:val="006E0C24"/>
    <w:rsid w:val="006E65F9"/>
    <w:rsid w:val="006F122E"/>
    <w:rsid w:val="006F2E6E"/>
    <w:rsid w:val="006F3043"/>
    <w:rsid w:val="006F682B"/>
    <w:rsid w:val="006F69AA"/>
    <w:rsid w:val="007002E0"/>
    <w:rsid w:val="007018E2"/>
    <w:rsid w:val="00702355"/>
    <w:rsid w:val="007028B5"/>
    <w:rsid w:val="0070415F"/>
    <w:rsid w:val="00705B6A"/>
    <w:rsid w:val="00705B6F"/>
    <w:rsid w:val="00707AB8"/>
    <w:rsid w:val="00707B6F"/>
    <w:rsid w:val="0071167F"/>
    <w:rsid w:val="0071337A"/>
    <w:rsid w:val="00713450"/>
    <w:rsid w:val="00713A7C"/>
    <w:rsid w:val="0071757F"/>
    <w:rsid w:val="00717734"/>
    <w:rsid w:val="00717F6E"/>
    <w:rsid w:val="00720F8D"/>
    <w:rsid w:val="00721B97"/>
    <w:rsid w:val="00721E49"/>
    <w:rsid w:val="00725FCD"/>
    <w:rsid w:val="00727844"/>
    <w:rsid w:val="007300EF"/>
    <w:rsid w:val="00733095"/>
    <w:rsid w:val="007354C0"/>
    <w:rsid w:val="00736CD7"/>
    <w:rsid w:val="0074199B"/>
    <w:rsid w:val="00743D38"/>
    <w:rsid w:val="0074447B"/>
    <w:rsid w:val="00745821"/>
    <w:rsid w:val="00746954"/>
    <w:rsid w:val="0074755A"/>
    <w:rsid w:val="007523AC"/>
    <w:rsid w:val="00753382"/>
    <w:rsid w:val="00753DED"/>
    <w:rsid w:val="007546F1"/>
    <w:rsid w:val="00756BC2"/>
    <w:rsid w:val="00757876"/>
    <w:rsid w:val="00760085"/>
    <w:rsid w:val="00762EFD"/>
    <w:rsid w:val="00765966"/>
    <w:rsid w:val="00771FAC"/>
    <w:rsid w:val="0077256F"/>
    <w:rsid w:val="00773DA1"/>
    <w:rsid w:val="00776413"/>
    <w:rsid w:val="00776B2C"/>
    <w:rsid w:val="00781A15"/>
    <w:rsid w:val="00786F82"/>
    <w:rsid w:val="00791D65"/>
    <w:rsid w:val="00791E9E"/>
    <w:rsid w:val="0079264F"/>
    <w:rsid w:val="007926A0"/>
    <w:rsid w:val="0079282B"/>
    <w:rsid w:val="00793143"/>
    <w:rsid w:val="00794BF1"/>
    <w:rsid w:val="007A180B"/>
    <w:rsid w:val="007A71A2"/>
    <w:rsid w:val="007B2B19"/>
    <w:rsid w:val="007B2E09"/>
    <w:rsid w:val="007B3551"/>
    <w:rsid w:val="007B3774"/>
    <w:rsid w:val="007B45D1"/>
    <w:rsid w:val="007B579E"/>
    <w:rsid w:val="007B5EE0"/>
    <w:rsid w:val="007B603D"/>
    <w:rsid w:val="007B689C"/>
    <w:rsid w:val="007B7B96"/>
    <w:rsid w:val="007B7D15"/>
    <w:rsid w:val="007C1074"/>
    <w:rsid w:val="007C1B5B"/>
    <w:rsid w:val="007C3EDD"/>
    <w:rsid w:val="007C4473"/>
    <w:rsid w:val="007C68DE"/>
    <w:rsid w:val="007C72EA"/>
    <w:rsid w:val="007D3F1B"/>
    <w:rsid w:val="007D44A6"/>
    <w:rsid w:val="007D4B81"/>
    <w:rsid w:val="007D5AA6"/>
    <w:rsid w:val="007E19B0"/>
    <w:rsid w:val="007E2460"/>
    <w:rsid w:val="007E7FB5"/>
    <w:rsid w:val="007F0FA8"/>
    <w:rsid w:val="007F1BBB"/>
    <w:rsid w:val="007F4ED1"/>
    <w:rsid w:val="00805705"/>
    <w:rsid w:val="00806EBD"/>
    <w:rsid w:val="00811225"/>
    <w:rsid w:val="008145F9"/>
    <w:rsid w:val="00817A87"/>
    <w:rsid w:val="00820FE9"/>
    <w:rsid w:val="00821E5D"/>
    <w:rsid w:val="00824538"/>
    <w:rsid w:val="0083086E"/>
    <w:rsid w:val="008339D3"/>
    <w:rsid w:val="00834142"/>
    <w:rsid w:val="008353DA"/>
    <w:rsid w:val="008364B2"/>
    <w:rsid w:val="008370B1"/>
    <w:rsid w:val="008405E5"/>
    <w:rsid w:val="00840636"/>
    <w:rsid w:val="008416D9"/>
    <w:rsid w:val="00843508"/>
    <w:rsid w:val="00845907"/>
    <w:rsid w:val="00845BDC"/>
    <w:rsid w:val="0084701F"/>
    <w:rsid w:val="008471F4"/>
    <w:rsid w:val="00852C45"/>
    <w:rsid w:val="00853192"/>
    <w:rsid w:val="008561EF"/>
    <w:rsid w:val="00861D12"/>
    <w:rsid w:val="00863976"/>
    <w:rsid w:val="0086560D"/>
    <w:rsid w:val="00865B57"/>
    <w:rsid w:val="00870567"/>
    <w:rsid w:val="00870824"/>
    <w:rsid w:val="00872C23"/>
    <w:rsid w:val="008740F9"/>
    <w:rsid w:val="0087597A"/>
    <w:rsid w:val="008763E4"/>
    <w:rsid w:val="00880EF6"/>
    <w:rsid w:val="00881878"/>
    <w:rsid w:val="0088329E"/>
    <w:rsid w:val="00884A8B"/>
    <w:rsid w:val="0088598B"/>
    <w:rsid w:val="00885D66"/>
    <w:rsid w:val="00887B5B"/>
    <w:rsid w:val="00887D2F"/>
    <w:rsid w:val="008907B2"/>
    <w:rsid w:val="00891CE4"/>
    <w:rsid w:val="00894BA2"/>
    <w:rsid w:val="00895763"/>
    <w:rsid w:val="008A28DC"/>
    <w:rsid w:val="008A5E04"/>
    <w:rsid w:val="008A6594"/>
    <w:rsid w:val="008A6921"/>
    <w:rsid w:val="008A7D5D"/>
    <w:rsid w:val="008B00E7"/>
    <w:rsid w:val="008B094F"/>
    <w:rsid w:val="008B11F5"/>
    <w:rsid w:val="008B43A5"/>
    <w:rsid w:val="008B63FA"/>
    <w:rsid w:val="008C3213"/>
    <w:rsid w:val="008C65C8"/>
    <w:rsid w:val="008D0074"/>
    <w:rsid w:val="008D23D3"/>
    <w:rsid w:val="008D2811"/>
    <w:rsid w:val="008D3BCB"/>
    <w:rsid w:val="008E33DE"/>
    <w:rsid w:val="008E3636"/>
    <w:rsid w:val="008E3F50"/>
    <w:rsid w:val="008E4ABE"/>
    <w:rsid w:val="008E4D95"/>
    <w:rsid w:val="008F28C0"/>
    <w:rsid w:val="008F343B"/>
    <w:rsid w:val="008F7874"/>
    <w:rsid w:val="00900BC9"/>
    <w:rsid w:val="0091351B"/>
    <w:rsid w:val="00915FF3"/>
    <w:rsid w:val="00916CBE"/>
    <w:rsid w:val="00923C24"/>
    <w:rsid w:val="009261AC"/>
    <w:rsid w:val="00926503"/>
    <w:rsid w:val="00927D6E"/>
    <w:rsid w:val="00930EA9"/>
    <w:rsid w:val="00934693"/>
    <w:rsid w:val="00940B60"/>
    <w:rsid w:val="009434A2"/>
    <w:rsid w:val="00945674"/>
    <w:rsid w:val="009459EA"/>
    <w:rsid w:val="009507A3"/>
    <w:rsid w:val="00951C9A"/>
    <w:rsid w:val="00952431"/>
    <w:rsid w:val="009527B3"/>
    <w:rsid w:val="0095373F"/>
    <w:rsid w:val="00954537"/>
    <w:rsid w:val="00955BEB"/>
    <w:rsid w:val="00956C17"/>
    <w:rsid w:val="009628DA"/>
    <w:rsid w:val="00964DAF"/>
    <w:rsid w:val="009665A9"/>
    <w:rsid w:val="00966CB8"/>
    <w:rsid w:val="00970CBF"/>
    <w:rsid w:val="00972058"/>
    <w:rsid w:val="00973CED"/>
    <w:rsid w:val="0097789B"/>
    <w:rsid w:val="00982DC2"/>
    <w:rsid w:val="00984A7D"/>
    <w:rsid w:val="00984CB2"/>
    <w:rsid w:val="009956A8"/>
    <w:rsid w:val="009A177C"/>
    <w:rsid w:val="009A27C6"/>
    <w:rsid w:val="009B1042"/>
    <w:rsid w:val="009B26A9"/>
    <w:rsid w:val="009B2D95"/>
    <w:rsid w:val="009B2FA7"/>
    <w:rsid w:val="009C001B"/>
    <w:rsid w:val="009C13CC"/>
    <w:rsid w:val="009C2867"/>
    <w:rsid w:val="009C58CE"/>
    <w:rsid w:val="009D1DBD"/>
    <w:rsid w:val="009D274B"/>
    <w:rsid w:val="009D4048"/>
    <w:rsid w:val="009D40D0"/>
    <w:rsid w:val="009D5905"/>
    <w:rsid w:val="009D69A1"/>
    <w:rsid w:val="009D70DE"/>
    <w:rsid w:val="009E05E4"/>
    <w:rsid w:val="009E112D"/>
    <w:rsid w:val="009E41F0"/>
    <w:rsid w:val="009F2252"/>
    <w:rsid w:val="009F2EA3"/>
    <w:rsid w:val="009F3E52"/>
    <w:rsid w:val="009F441F"/>
    <w:rsid w:val="009F5BC7"/>
    <w:rsid w:val="009F72AE"/>
    <w:rsid w:val="009F7DE0"/>
    <w:rsid w:val="00A00570"/>
    <w:rsid w:val="00A14353"/>
    <w:rsid w:val="00A164A1"/>
    <w:rsid w:val="00A16E36"/>
    <w:rsid w:val="00A179F9"/>
    <w:rsid w:val="00A21F1F"/>
    <w:rsid w:val="00A239E6"/>
    <w:rsid w:val="00A23E0B"/>
    <w:rsid w:val="00A25A84"/>
    <w:rsid w:val="00A25F9B"/>
    <w:rsid w:val="00A26AB5"/>
    <w:rsid w:val="00A26F8B"/>
    <w:rsid w:val="00A30F4A"/>
    <w:rsid w:val="00A36C8C"/>
    <w:rsid w:val="00A40267"/>
    <w:rsid w:val="00A41E67"/>
    <w:rsid w:val="00A42620"/>
    <w:rsid w:val="00A42FA4"/>
    <w:rsid w:val="00A50377"/>
    <w:rsid w:val="00A51C96"/>
    <w:rsid w:val="00A52300"/>
    <w:rsid w:val="00A53E68"/>
    <w:rsid w:val="00A54E08"/>
    <w:rsid w:val="00A559EF"/>
    <w:rsid w:val="00A55EAB"/>
    <w:rsid w:val="00A6000F"/>
    <w:rsid w:val="00A61D9B"/>
    <w:rsid w:val="00A65C5A"/>
    <w:rsid w:val="00A708E5"/>
    <w:rsid w:val="00A708ED"/>
    <w:rsid w:val="00A7248A"/>
    <w:rsid w:val="00A75DEB"/>
    <w:rsid w:val="00A765C4"/>
    <w:rsid w:val="00A7728E"/>
    <w:rsid w:val="00A8230E"/>
    <w:rsid w:val="00A82E8C"/>
    <w:rsid w:val="00A8542D"/>
    <w:rsid w:val="00A8754B"/>
    <w:rsid w:val="00A901C8"/>
    <w:rsid w:val="00A92342"/>
    <w:rsid w:val="00A95A2F"/>
    <w:rsid w:val="00AA3732"/>
    <w:rsid w:val="00AA3A32"/>
    <w:rsid w:val="00AA61DA"/>
    <w:rsid w:val="00AA6478"/>
    <w:rsid w:val="00AB0041"/>
    <w:rsid w:val="00AB04E5"/>
    <w:rsid w:val="00AB170E"/>
    <w:rsid w:val="00AB1AA9"/>
    <w:rsid w:val="00AB29D0"/>
    <w:rsid w:val="00AB350B"/>
    <w:rsid w:val="00AB416C"/>
    <w:rsid w:val="00AB596F"/>
    <w:rsid w:val="00AC0726"/>
    <w:rsid w:val="00AC0945"/>
    <w:rsid w:val="00AC145B"/>
    <w:rsid w:val="00AC4C78"/>
    <w:rsid w:val="00AC515F"/>
    <w:rsid w:val="00AC51D8"/>
    <w:rsid w:val="00AD22C0"/>
    <w:rsid w:val="00AD4B66"/>
    <w:rsid w:val="00AD645F"/>
    <w:rsid w:val="00AE2DFA"/>
    <w:rsid w:val="00AE47E1"/>
    <w:rsid w:val="00AE5565"/>
    <w:rsid w:val="00AE7059"/>
    <w:rsid w:val="00AF0810"/>
    <w:rsid w:val="00AF0BAF"/>
    <w:rsid w:val="00AF1120"/>
    <w:rsid w:val="00AF142A"/>
    <w:rsid w:val="00AF268B"/>
    <w:rsid w:val="00AF42E7"/>
    <w:rsid w:val="00AF606C"/>
    <w:rsid w:val="00AF61D4"/>
    <w:rsid w:val="00AF7945"/>
    <w:rsid w:val="00B01A2B"/>
    <w:rsid w:val="00B02CCF"/>
    <w:rsid w:val="00B05615"/>
    <w:rsid w:val="00B05C53"/>
    <w:rsid w:val="00B103DE"/>
    <w:rsid w:val="00B11677"/>
    <w:rsid w:val="00B1481C"/>
    <w:rsid w:val="00B21A83"/>
    <w:rsid w:val="00B2596F"/>
    <w:rsid w:val="00B27F81"/>
    <w:rsid w:val="00B32B11"/>
    <w:rsid w:val="00B3458F"/>
    <w:rsid w:val="00B35402"/>
    <w:rsid w:val="00B42584"/>
    <w:rsid w:val="00B42FE7"/>
    <w:rsid w:val="00B44F97"/>
    <w:rsid w:val="00B46B32"/>
    <w:rsid w:val="00B47A4D"/>
    <w:rsid w:val="00B52182"/>
    <w:rsid w:val="00B53809"/>
    <w:rsid w:val="00B56189"/>
    <w:rsid w:val="00B60F97"/>
    <w:rsid w:val="00B64D11"/>
    <w:rsid w:val="00B671E4"/>
    <w:rsid w:val="00B67AC5"/>
    <w:rsid w:val="00B701D2"/>
    <w:rsid w:val="00B7046A"/>
    <w:rsid w:val="00B738A0"/>
    <w:rsid w:val="00B74565"/>
    <w:rsid w:val="00B7692E"/>
    <w:rsid w:val="00B76D1A"/>
    <w:rsid w:val="00B774CB"/>
    <w:rsid w:val="00B7776B"/>
    <w:rsid w:val="00B81F83"/>
    <w:rsid w:val="00B84A56"/>
    <w:rsid w:val="00B84F1C"/>
    <w:rsid w:val="00B86B73"/>
    <w:rsid w:val="00B87CD9"/>
    <w:rsid w:val="00B92547"/>
    <w:rsid w:val="00B94A6C"/>
    <w:rsid w:val="00B95D4D"/>
    <w:rsid w:val="00B97126"/>
    <w:rsid w:val="00BA043A"/>
    <w:rsid w:val="00BA0943"/>
    <w:rsid w:val="00BA0DE8"/>
    <w:rsid w:val="00BA1447"/>
    <w:rsid w:val="00BA6A4D"/>
    <w:rsid w:val="00BA7BBE"/>
    <w:rsid w:val="00BB0BC4"/>
    <w:rsid w:val="00BB7716"/>
    <w:rsid w:val="00BC1BBD"/>
    <w:rsid w:val="00BC349A"/>
    <w:rsid w:val="00BC56DD"/>
    <w:rsid w:val="00BD2F47"/>
    <w:rsid w:val="00BD5673"/>
    <w:rsid w:val="00BD695F"/>
    <w:rsid w:val="00BD74DA"/>
    <w:rsid w:val="00BE211D"/>
    <w:rsid w:val="00BE2AA0"/>
    <w:rsid w:val="00BE3935"/>
    <w:rsid w:val="00BE4880"/>
    <w:rsid w:val="00BE6367"/>
    <w:rsid w:val="00BE63D3"/>
    <w:rsid w:val="00BF0619"/>
    <w:rsid w:val="00BF1E02"/>
    <w:rsid w:val="00BF2133"/>
    <w:rsid w:val="00BF3762"/>
    <w:rsid w:val="00BF5E25"/>
    <w:rsid w:val="00BF7B52"/>
    <w:rsid w:val="00BF7C60"/>
    <w:rsid w:val="00C03340"/>
    <w:rsid w:val="00C038B5"/>
    <w:rsid w:val="00C057B7"/>
    <w:rsid w:val="00C10018"/>
    <w:rsid w:val="00C11675"/>
    <w:rsid w:val="00C11ED9"/>
    <w:rsid w:val="00C1471C"/>
    <w:rsid w:val="00C156E2"/>
    <w:rsid w:val="00C245C2"/>
    <w:rsid w:val="00C25FD5"/>
    <w:rsid w:val="00C26A14"/>
    <w:rsid w:val="00C27A4D"/>
    <w:rsid w:val="00C31017"/>
    <w:rsid w:val="00C3384E"/>
    <w:rsid w:val="00C35043"/>
    <w:rsid w:val="00C36B8C"/>
    <w:rsid w:val="00C43765"/>
    <w:rsid w:val="00C44519"/>
    <w:rsid w:val="00C44FE4"/>
    <w:rsid w:val="00C46337"/>
    <w:rsid w:val="00C511B6"/>
    <w:rsid w:val="00C51545"/>
    <w:rsid w:val="00C5442A"/>
    <w:rsid w:val="00C5479E"/>
    <w:rsid w:val="00C573AC"/>
    <w:rsid w:val="00C609A3"/>
    <w:rsid w:val="00C6168F"/>
    <w:rsid w:val="00C6178F"/>
    <w:rsid w:val="00C61931"/>
    <w:rsid w:val="00C619BB"/>
    <w:rsid w:val="00C61BE0"/>
    <w:rsid w:val="00C62422"/>
    <w:rsid w:val="00C64B59"/>
    <w:rsid w:val="00C65617"/>
    <w:rsid w:val="00C71503"/>
    <w:rsid w:val="00C71EFB"/>
    <w:rsid w:val="00C74EA5"/>
    <w:rsid w:val="00C7549F"/>
    <w:rsid w:val="00C762F7"/>
    <w:rsid w:val="00C80561"/>
    <w:rsid w:val="00C81817"/>
    <w:rsid w:val="00C82175"/>
    <w:rsid w:val="00C846EC"/>
    <w:rsid w:val="00C8499C"/>
    <w:rsid w:val="00C84FE9"/>
    <w:rsid w:val="00C91232"/>
    <w:rsid w:val="00CA2D36"/>
    <w:rsid w:val="00CB5AFB"/>
    <w:rsid w:val="00CC0C10"/>
    <w:rsid w:val="00CC3C39"/>
    <w:rsid w:val="00CC54B7"/>
    <w:rsid w:val="00CC5C35"/>
    <w:rsid w:val="00CD0F5E"/>
    <w:rsid w:val="00CD278A"/>
    <w:rsid w:val="00CD2CF8"/>
    <w:rsid w:val="00CD40FD"/>
    <w:rsid w:val="00CD47C9"/>
    <w:rsid w:val="00CE2C5E"/>
    <w:rsid w:val="00CE3E6C"/>
    <w:rsid w:val="00CE701B"/>
    <w:rsid w:val="00CE72CC"/>
    <w:rsid w:val="00CF0BD0"/>
    <w:rsid w:val="00CF16CB"/>
    <w:rsid w:val="00CF229C"/>
    <w:rsid w:val="00CF2B44"/>
    <w:rsid w:val="00CF326A"/>
    <w:rsid w:val="00CF3C48"/>
    <w:rsid w:val="00CF3C75"/>
    <w:rsid w:val="00CF5FA3"/>
    <w:rsid w:val="00CF7A2C"/>
    <w:rsid w:val="00D051D7"/>
    <w:rsid w:val="00D07028"/>
    <w:rsid w:val="00D112F5"/>
    <w:rsid w:val="00D13FA9"/>
    <w:rsid w:val="00D16519"/>
    <w:rsid w:val="00D16DBA"/>
    <w:rsid w:val="00D17C53"/>
    <w:rsid w:val="00D20B27"/>
    <w:rsid w:val="00D21ED3"/>
    <w:rsid w:val="00D23D5E"/>
    <w:rsid w:val="00D25A18"/>
    <w:rsid w:val="00D2653B"/>
    <w:rsid w:val="00D26560"/>
    <w:rsid w:val="00D27C66"/>
    <w:rsid w:val="00D32D0A"/>
    <w:rsid w:val="00D33117"/>
    <w:rsid w:val="00D36A7D"/>
    <w:rsid w:val="00D36CAE"/>
    <w:rsid w:val="00D37A74"/>
    <w:rsid w:val="00D37BE6"/>
    <w:rsid w:val="00D37FC0"/>
    <w:rsid w:val="00D4422B"/>
    <w:rsid w:val="00D467E4"/>
    <w:rsid w:val="00D51516"/>
    <w:rsid w:val="00D52881"/>
    <w:rsid w:val="00D531CA"/>
    <w:rsid w:val="00D5564A"/>
    <w:rsid w:val="00D55996"/>
    <w:rsid w:val="00D61CFA"/>
    <w:rsid w:val="00D63687"/>
    <w:rsid w:val="00D63AF8"/>
    <w:rsid w:val="00D64F63"/>
    <w:rsid w:val="00D66DA8"/>
    <w:rsid w:val="00D77B91"/>
    <w:rsid w:val="00D80A54"/>
    <w:rsid w:val="00D80CFE"/>
    <w:rsid w:val="00D814CF"/>
    <w:rsid w:val="00D81591"/>
    <w:rsid w:val="00D82850"/>
    <w:rsid w:val="00D90759"/>
    <w:rsid w:val="00D91601"/>
    <w:rsid w:val="00D927BB"/>
    <w:rsid w:val="00D9756C"/>
    <w:rsid w:val="00DA00B0"/>
    <w:rsid w:val="00DA0529"/>
    <w:rsid w:val="00DA06A2"/>
    <w:rsid w:val="00DA0E46"/>
    <w:rsid w:val="00DA304A"/>
    <w:rsid w:val="00DA4658"/>
    <w:rsid w:val="00DA48D5"/>
    <w:rsid w:val="00DA7E9A"/>
    <w:rsid w:val="00DB1932"/>
    <w:rsid w:val="00DB1F8B"/>
    <w:rsid w:val="00DB363D"/>
    <w:rsid w:val="00DB44F3"/>
    <w:rsid w:val="00DB748F"/>
    <w:rsid w:val="00DC31BF"/>
    <w:rsid w:val="00DC3A48"/>
    <w:rsid w:val="00DD0F47"/>
    <w:rsid w:val="00DD3324"/>
    <w:rsid w:val="00DE1A75"/>
    <w:rsid w:val="00DE46F6"/>
    <w:rsid w:val="00DE4BBB"/>
    <w:rsid w:val="00DE4CFF"/>
    <w:rsid w:val="00DE622C"/>
    <w:rsid w:val="00DF07DA"/>
    <w:rsid w:val="00DF1527"/>
    <w:rsid w:val="00DF2343"/>
    <w:rsid w:val="00DF2C0E"/>
    <w:rsid w:val="00DF5EE4"/>
    <w:rsid w:val="00E00C33"/>
    <w:rsid w:val="00E01809"/>
    <w:rsid w:val="00E043BC"/>
    <w:rsid w:val="00E060F1"/>
    <w:rsid w:val="00E0680A"/>
    <w:rsid w:val="00E07A06"/>
    <w:rsid w:val="00E108C2"/>
    <w:rsid w:val="00E10A4B"/>
    <w:rsid w:val="00E13393"/>
    <w:rsid w:val="00E14D03"/>
    <w:rsid w:val="00E16A80"/>
    <w:rsid w:val="00E1791D"/>
    <w:rsid w:val="00E23864"/>
    <w:rsid w:val="00E2396A"/>
    <w:rsid w:val="00E23E06"/>
    <w:rsid w:val="00E34D76"/>
    <w:rsid w:val="00E35E52"/>
    <w:rsid w:val="00E368CE"/>
    <w:rsid w:val="00E36DE9"/>
    <w:rsid w:val="00E44687"/>
    <w:rsid w:val="00E46D4E"/>
    <w:rsid w:val="00E5394B"/>
    <w:rsid w:val="00E558C7"/>
    <w:rsid w:val="00E5642E"/>
    <w:rsid w:val="00E66515"/>
    <w:rsid w:val="00E720E4"/>
    <w:rsid w:val="00E77889"/>
    <w:rsid w:val="00E80068"/>
    <w:rsid w:val="00E84326"/>
    <w:rsid w:val="00E9412E"/>
    <w:rsid w:val="00E9760B"/>
    <w:rsid w:val="00EA544E"/>
    <w:rsid w:val="00EA6735"/>
    <w:rsid w:val="00EA6D07"/>
    <w:rsid w:val="00EB4045"/>
    <w:rsid w:val="00EB5337"/>
    <w:rsid w:val="00EC0D69"/>
    <w:rsid w:val="00EC19B2"/>
    <w:rsid w:val="00ED20D4"/>
    <w:rsid w:val="00ED2F03"/>
    <w:rsid w:val="00ED3F12"/>
    <w:rsid w:val="00ED4BBC"/>
    <w:rsid w:val="00ED5018"/>
    <w:rsid w:val="00EE024A"/>
    <w:rsid w:val="00EE04DF"/>
    <w:rsid w:val="00EE2793"/>
    <w:rsid w:val="00EE2F67"/>
    <w:rsid w:val="00EE3DC6"/>
    <w:rsid w:val="00EE4375"/>
    <w:rsid w:val="00EF0066"/>
    <w:rsid w:val="00EF095D"/>
    <w:rsid w:val="00EF2B01"/>
    <w:rsid w:val="00EF678F"/>
    <w:rsid w:val="00F02737"/>
    <w:rsid w:val="00F039F3"/>
    <w:rsid w:val="00F03EA9"/>
    <w:rsid w:val="00F04121"/>
    <w:rsid w:val="00F0538B"/>
    <w:rsid w:val="00F1003D"/>
    <w:rsid w:val="00F10807"/>
    <w:rsid w:val="00F164D2"/>
    <w:rsid w:val="00F16E7A"/>
    <w:rsid w:val="00F27110"/>
    <w:rsid w:val="00F3056C"/>
    <w:rsid w:val="00F324CE"/>
    <w:rsid w:val="00F327DB"/>
    <w:rsid w:val="00F370A8"/>
    <w:rsid w:val="00F37F7E"/>
    <w:rsid w:val="00F42C6F"/>
    <w:rsid w:val="00F5053E"/>
    <w:rsid w:val="00F53BDD"/>
    <w:rsid w:val="00F55839"/>
    <w:rsid w:val="00F57847"/>
    <w:rsid w:val="00F6068F"/>
    <w:rsid w:val="00F60A2C"/>
    <w:rsid w:val="00F621AA"/>
    <w:rsid w:val="00F62952"/>
    <w:rsid w:val="00F63103"/>
    <w:rsid w:val="00F64281"/>
    <w:rsid w:val="00F64E9A"/>
    <w:rsid w:val="00F726C6"/>
    <w:rsid w:val="00F76DCD"/>
    <w:rsid w:val="00F80460"/>
    <w:rsid w:val="00F83055"/>
    <w:rsid w:val="00F8405A"/>
    <w:rsid w:val="00F91DBE"/>
    <w:rsid w:val="00F93E87"/>
    <w:rsid w:val="00FA18A5"/>
    <w:rsid w:val="00FA5A46"/>
    <w:rsid w:val="00FA7288"/>
    <w:rsid w:val="00FB0955"/>
    <w:rsid w:val="00FB273F"/>
    <w:rsid w:val="00FB5D10"/>
    <w:rsid w:val="00FB7995"/>
    <w:rsid w:val="00FC11EF"/>
    <w:rsid w:val="00FC4F13"/>
    <w:rsid w:val="00FD17A0"/>
    <w:rsid w:val="00FD3450"/>
    <w:rsid w:val="00FD41CD"/>
    <w:rsid w:val="00FD4A7A"/>
    <w:rsid w:val="00FD6AC6"/>
    <w:rsid w:val="00FE086E"/>
    <w:rsid w:val="00FE09A0"/>
    <w:rsid w:val="00FE1B60"/>
    <w:rsid w:val="00FE2A89"/>
    <w:rsid w:val="00FE2C4C"/>
    <w:rsid w:val="00FE2E62"/>
    <w:rsid w:val="00FE3353"/>
    <w:rsid w:val="00FE7CED"/>
    <w:rsid w:val="00FE7F3C"/>
    <w:rsid w:val="00FF1330"/>
    <w:rsid w:val="00FF2014"/>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4097"/>
    <o:shapelayout v:ext="edit">
      <o:idmap v:ext="edit" data="1"/>
    </o:shapelayout>
  </w:shapeDefaults>
  <w:decimalSymbol w:val=","/>
  <w:listSeparator w:val=";"/>
  <w14:docId w14:val="39A6EE20"/>
  <w15:docId w15:val="{FE7BD584-4113-41D3-8758-425F341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Point1">
    <w:name w:val="Point 1"/>
    <w:basedOn w:val="Parasts"/>
    <w:rsid w:val="00CF16CB"/>
    <w:pPr>
      <w:spacing w:before="120" w:after="120"/>
      <w:ind w:left="1417" w:hanging="567"/>
      <w:jc w:val="both"/>
    </w:pPr>
    <w:rPr>
      <w:snapToGrid w:val="0"/>
      <w:lang w:eastAsia="en-GB"/>
    </w:rPr>
  </w:style>
  <w:style w:type="paragraph" w:customStyle="1" w:styleId="Parastais1">
    <w:name w:val="Parastais1"/>
    <w:rsid w:val="000F014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7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sa.europa.eu/en/efsajournal/pub/7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Tor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efsa.europa.eu/en/efsajournal/pub/1861"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DBF0-5A69-4C01-B6CE-E584AF02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1769</Words>
  <Characters>12284</Characters>
  <Application>Microsoft Office Word</Application>
  <DocSecurity>0</DocSecurity>
  <Lines>491</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Aija Tora</dc:creator>
  <cp:lastModifiedBy>Sanita Žagare</cp:lastModifiedBy>
  <cp:revision>6</cp:revision>
  <cp:lastPrinted>2016-06-21T08:30:00Z</cp:lastPrinted>
  <dcterms:created xsi:type="dcterms:W3CDTF">2016-11-03T09:51:00Z</dcterms:created>
  <dcterms:modified xsi:type="dcterms:W3CDTF">2016-11-09T07:41:00Z</dcterms:modified>
</cp:coreProperties>
</file>