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865" w:rsidRPr="00FC423D" w:rsidRDefault="000B6865" w:rsidP="000B6865">
      <w:pPr>
        <w:spacing w:after="0" w:line="240" w:lineRule="auto"/>
        <w:jc w:val="center"/>
        <w:rPr>
          <w:rFonts w:eastAsia="Times New Roman"/>
          <w:b/>
          <w:sz w:val="28"/>
          <w:szCs w:val="28"/>
          <w:lang w:eastAsia="lv-LV"/>
        </w:rPr>
      </w:pPr>
      <w:r w:rsidRPr="00FC423D">
        <w:rPr>
          <w:rFonts w:eastAsia="Times New Roman"/>
          <w:b/>
          <w:bCs/>
          <w:sz w:val="28"/>
          <w:szCs w:val="28"/>
          <w:lang w:eastAsia="lv-LV"/>
        </w:rPr>
        <w:t>Ministru kabineta rīkojuma projekta</w:t>
      </w:r>
    </w:p>
    <w:p w:rsidR="000B6865" w:rsidRDefault="000B6865" w:rsidP="000B6865">
      <w:pPr>
        <w:spacing w:after="0" w:line="240" w:lineRule="auto"/>
        <w:jc w:val="center"/>
        <w:rPr>
          <w:b/>
          <w:sz w:val="28"/>
          <w:szCs w:val="28"/>
        </w:rPr>
      </w:pPr>
      <w:r w:rsidRPr="00FC423D">
        <w:rPr>
          <w:b/>
          <w:sz w:val="28"/>
          <w:szCs w:val="28"/>
        </w:rPr>
        <w:t>„Par valstij dividendēs izmaksājamo valsts sabie</w:t>
      </w:r>
      <w:r>
        <w:rPr>
          <w:b/>
          <w:sz w:val="28"/>
          <w:szCs w:val="28"/>
        </w:rPr>
        <w:t xml:space="preserve">drības ar ierobežotu atbildību </w:t>
      </w:r>
      <w:r w:rsidRPr="00B5667E">
        <w:rPr>
          <w:b/>
          <w:sz w:val="28"/>
          <w:szCs w:val="28"/>
        </w:rPr>
        <w:t>„</w:t>
      </w:r>
      <w:r>
        <w:rPr>
          <w:b/>
          <w:sz w:val="28"/>
          <w:szCs w:val="28"/>
        </w:rPr>
        <w:t>Latvijas Nacionālā opera un b</w:t>
      </w:r>
      <w:bookmarkStart w:id="0" w:name="_GoBack"/>
      <w:bookmarkEnd w:id="0"/>
      <w:r>
        <w:rPr>
          <w:b/>
          <w:sz w:val="28"/>
          <w:szCs w:val="28"/>
        </w:rPr>
        <w:t>alets</w:t>
      </w:r>
      <w:r w:rsidRPr="00FC423D">
        <w:rPr>
          <w:b/>
          <w:sz w:val="28"/>
          <w:szCs w:val="28"/>
        </w:rPr>
        <w:t>” peļņas daļu” sākotnējās ietekmes novērtējuma ziņojums (anotācija)</w:t>
      </w:r>
    </w:p>
    <w:p w:rsidR="000B6865" w:rsidRPr="00FC423D" w:rsidRDefault="000B6865" w:rsidP="000B6865">
      <w:pPr>
        <w:spacing w:after="0" w:line="240" w:lineRule="auto"/>
        <w:rPr>
          <w:b/>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24"/>
        <w:gridCol w:w="3260"/>
        <w:gridCol w:w="5117"/>
      </w:tblGrid>
      <w:tr w:rsidR="000B6865" w:rsidRPr="007B30B4" w:rsidTr="007B30B4">
        <w:trPr>
          <w:trHeight w:val="483"/>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0B6865" w:rsidRPr="007B30B4" w:rsidRDefault="000B6865" w:rsidP="007B30B4">
            <w:pPr>
              <w:spacing w:after="0" w:line="240" w:lineRule="auto"/>
              <w:jc w:val="center"/>
              <w:rPr>
                <w:rFonts w:eastAsia="Times New Roman"/>
                <w:sz w:val="28"/>
                <w:szCs w:val="28"/>
                <w:lang w:eastAsia="lv-LV"/>
              </w:rPr>
            </w:pPr>
            <w:r w:rsidRPr="007B30B4">
              <w:rPr>
                <w:rFonts w:eastAsia="Times New Roman"/>
                <w:sz w:val="28"/>
                <w:szCs w:val="28"/>
                <w:lang w:eastAsia="lv-LV"/>
              </w:rPr>
              <w:t> </w:t>
            </w:r>
            <w:r w:rsidRPr="007B30B4">
              <w:rPr>
                <w:rFonts w:eastAsia="Times New Roman"/>
                <w:b/>
                <w:bCs/>
                <w:sz w:val="28"/>
                <w:szCs w:val="28"/>
                <w:lang w:eastAsia="lv-LV"/>
              </w:rPr>
              <w:t> I. Tiesību akta projekta izstrādes nepieciešamība</w:t>
            </w:r>
          </w:p>
        </w:tc>
      </w:tr>
      <w:tr w:rsidR="000B6865" w:rsidRPr="007B30B4" w:rsidTr="007B30B4">
        <w:trPr>
          <w:trHeight w:val="7635"/>
          <w:tblCellSpacing w:w="0" w:type="dxa"/>
        </w:trPr>
        <w:tc>
          <w:tcPr>
            <w:tcW w:w="398" w:type="pct"/>
            <w:tcBorders>
              <w:top w:val="outset" w:sz="6" w:space="0" w:color="auto"/>
              <w:left w:val="outset" w:sz="6" w:space="0" w:color="auto"/>
              <w:bottom w:val="outset" w:sz="6" w:space="0" w:color="auto"/>
              <w:right w:val="outset" w:sz="6" w:space="0" w:color="auto"/>
            </w:tcBorders>
          </w:tcPr>
          <w:p w:rsidR="000B6865" w:rsidRPr="007B30B4" w:rsidRDefault="000B6865" w:rsidP="007B30B4">
            <w:pPr>
              <w:spacing w:after="0" w:line="240" w:lineRule="auto"/>
              <w:jc w:val="center"/>
              <w:rPr>
                <w:rFonts w:eastAsia="Times New Roman"/>
                <w:sz w:val="28"/>
                <w:szCs w:val="28"/>
                <w:lang w:eastAsia="lv-LV"/>
              </w:rPr>
            </w:pPr>
            <w:r w:rsidRPr="007B30B4">
              <w:rPr>
                <w:rFonts w:eastAsia="Times New Roman"/>
                <w:sz w:val="28"/>
                <w:szCs w:val="28"/>
                <w:lang w:eastAsia="lv-LV"/>
              </w:rPr>
              <w:t>1.</w:t>
            </w:r>
          </w:p>
        </w:tc>
        <w:tc>
          <w:tcPr>
            <w:tcW w:w="1791" w:type="pct"/>
            <w:tcBorders>
              <w:top w:val="outset" w:sz="6" w:space="0" w:color="auto"/>
              <w:left w:val="outset" w:sz="6" w:space="0" w:color="auto"/>
              <w:bottom w:val="outset" w:sz="6" w:space="0" w:color="auto"/>
              <w:right w:val="outset" w:sz="6" w:space="0" w:color="auto"/>
            </w:tcBorders>
          </w:tcPr>
          <w:p w:rsidR="000B6865" w:rsidRPr="007B30B4" w:rsidRDefault="000B6865" w:rsidP="007B30B4">
            <w:pPr>
              <w:spacing w:after="0" w:line="240" w:lineRule="auto"/>
              <w:ind w:left="127"/>
              <w:rPr>
                <w:rFonts w:eastAsia="Times New Roman"/>
                <w:sz w:val="28"/>
                <w:szCs w:val="28"/>
                <w:lang w:eastAsia="lv-LV"/>
              </w:rPr>
            </w:pPr>
            <w:r w:rsidRPr="007B30B4">
              <w:rPr>
                <w:rFonts w:eastAsia="Times New Roman"/>
                <w:sz w:val="28"/>
                <w:szCs w:val="28"/>
                <w:lang w:eastAsia="lv-LV"/>
              </w:rPr>
              <w:t>Pamatojums</w:t>
            </w:r>
          </w:p>
        </w:tc>
        <w:tc>
          <w:tcPr>
            <w:tcW w:w="2811" w:type="pct"/>
            <w:tcBorders>
              <w:top w:val="outset" w:sz="6" w:space="0" w:color="auto"/>
              <w:left w:val="outset" w:sz="6" w:space="0" w:color="auto"/>
              <w:bottom w:val="outset" w:sz="6" w:space="0" w:color="auto"/>
              <w:right w:val="outset" w:sz="6" w:space="0" w:color="auto"/>
            </w:tcBorders>
          </w:tcPr>
          <w:p w:rsidR="000B6865" w:rsidRPr="007B30B4" w:rsidRDefault="000B6865" w:rsidP="007B30B4">
            <w:pPr>
              <w:spacing w:after="0" w:line="240" w:lineRule="auto"/>
              <w:ind w:left="127" w:right="140"/>
              <w:jc w:val="both"/>
              <w:rPr>
                <w:rFonts w:eastAsia="Times New Roman"/>
                <w:bCs/>
                <w:sz w:val="28"/>
                <w:szCs w:val="28"/>
                <w:lang w:eastAsia="lv-LV"/>
              </w:rPr>
            </w:pPr>
            <w:r w:rsidRPr="007B30B4">
              <w:rPr>
                <w:sz w:val="28"/>
                <w:szCs w:val="28"/>
              </w:rPr>
              <w:t>Ministru kabineta rīkojuma projekts „Par valstij dividendēs izmaksājamo valsts sabiedrības ar ierobežotu atbildību „Latvijas Nacionālā opera un balets”</w:t>
            </w:r>
            <w:r w:rsidRPr="007B30B4">
              <w:rPr>
                <w:b/>
                <w:sz w:val="28"/>
                <w:szCs w:val="28"/>
              </w:rPr>
              <w:t xml:space="preserve"> </w:t>
            </w:r>
            <w:r w:rsidRPr="007B30B4">
              <w:rPr>
                <w:sz w:val="28"/>
                <w:szCs w:val="28"/>
              </w:rPr>
              <w:t xml:space="preserve">peļņas daļu” (turpmāk – Projekts) sagatavots saskaņā ar Likuma par budžetu un finanšu vadību 5.panta otro daļu, </w:t>
            </w:r>
            <w:hyperlink r:id="rId8" w:tgtFrame="_blank" w:history="1">
              <w:r w:rsidRPr="007B30B4">
                <w:rPr>
                  <w:rFonts w:eastAsia="Times New Roman"/>
                  <w:iCs/>
                  <w:sz w:val="28"/>
                  <w:szCs w:val="28"/>
                  <w:lang w:eastAsia="lv-LV"/>
                </w:rPr>
                <w:t xml:space="preserve">Publiskas personas kapitāla daļu un </w:t>
              </w:r>
              <w:r w:rsidRPr="007B30B4">
                <w:rPr>
                  <w:rFonts w:eastAsia="Times New Roman"/>
                  <w:iCs/>
                  <w:sz w:val="28"/>
                  <w:szCs w:val="28"/>
                  <w:lang w:eastAsia="lv-LV"/>
                </w:rPr>
                <w:br/>
                <w:t>kapitālsabiedrību pārvaldības likuma</w:t>
              </w:r>
            </w:hyperlink>
            <w:r w:rsidRPr="007B30B4">
              <w:rPr>
                <w:rFonts w:eastAsia="Times New Roman"/>
                <w:iCs/>
                <w:sz w:val="28"/>
                <w:szCs w:val="28"/>
                <w:lang w:eastAsia="lv-LV"/>
              </w:rPr>
              <w:t xml:space="preserve"> </w:t>
            </w:r>
            <w:hyperlink r:id="rId9" w:anchor="p28" w:tgtFrame="_blank" w:history="1">
              <w:r w:rsidRPr="007B30B4">
                <w:rPr>
                  <w:rFonts w:eastAsia="Times New Roman"/>
                  <w:iCs/>
                  <w:sz w:val="28"/>
                  <w:szCs w:val="28"/>
                  <w:lang w:eastAsia="lv-LV"/>
                </w:rPr>
                <w:t>28.panta</w:t>
              </w:r>
            </w:hyperlink>
            <w:r w:rsidRPr="007B30B4">
              <w:rPr>
                <w:rFonts w:eastAsia="Times New Roman"/>
                <w:iCs/>
                <w:sz w:val="28"/>
                <w:szCs w:val="28"/>
                <w:lang w:eastAsia="lv-LV"/>
              </w:rPr>
              <w:t xml:space="preserve"> pirmo daļu</w:t>
            </w:r>
            <w:r w:rsidRPr="007B30B4">
              <w:rPr>
                <w:sz w:val="28"/>
                <w:szCs w:val="28"/>
              </w:rPr>
              <w:t xml:space="preserve"> un Ministru kabineta 2015.gada 22.decembra noteikumu Nr.806 „</w:t>
            </w:r>
            <w:r w:rsidRPr="007B30B4">
              <w:rPr>
                <w:rFonts w:eastAsia="Times New Roman"/>
                <w:bCs/>
                <w:sz w:val="28"/>
                <w:szCs w:val="28"/>
                <w:lang w:eastAsia="lv-LV"/>
              </w:rPr>
              <w:t>Kārtība, kādā valsts kapitālsabiedrības un publiski privātās kapitālsabiedrības, kurās valsts ir dalībnieks (akcionārs), prognozē un nosaka dividendēs izmaksājamo peļņas daļu un veic maksājumus valsts budžetā par valsts kapitāla izmantošanu</w:t>
            </w:r>
            <w:r w:rsidRPr="007B30B4">
              <w:rPr>
                <w:sz w:val="28"/>
                <w:szCs w:val="28"/>
              </w:rPr>
              <w:t xml:space="preserve">” (turpmāk – Noteikumi Nr.806) 5.punktu, kas nosaka, ka Ministru kabinets pēc valsts kapitāla daļu turētāja pamatota priekšlikuma ar Ministru kabineta rīkojumu var atļaut noteikt kapitālsabiedrības stratēģijā atšķirīgu prognozējamo dividendēs izmaksājamo peļņas daļu (procentos no prognozētās tīrās peļņas), nekā tas norādīts </w:t>
            </w:r>
            <w:r w:rsidR="007B30B4" w:rsidRPr="007B30B4">
              <w:rPr>
                <w:sz w:val="28"/>
                <w:szCs w:val="28"/>
              </w:rPr>
              <w:t>Noteikum</w:t>
            </w:r>
            <w:r w:rsidR="007B30B4">
              <w:rPr>
                <w:sz w:val="28"/>
                <w:szCs w:val="28"/>
              </w:rPr>
              <w:t xml:space="preserve">u </w:t>
            </w:r>
            <w:r w:rsidR="007B30B4" w:rsidRPr="007B30B4">
              <w:rPr>
                <w:sz w:val="28"/>
                <w:szCs w:val="28"/>
              </w:rPr>
              <w:t>Nr.806</w:t>
            </w:r>
            <w:r w:rsidR="007B30B4">
              <w:rPr>
                <w:sz w:val="28"/>
                <w:szCs w:val="28"/>
              </w:rPr>
              <w:t xml:space="preserve"> </w:t>
            </w:r>
            <w:hyperlink r:id="rId10" w:anchor="p3" w:tgtFrame="_blank" w:history="1">
              <w:r w:rsidR="00CD40A9" w:rsidRPr="007B30B4">
                <w:rPr>
                  <w:sz w:val="28"/>
                  <w:szCs w:val="28"/>
                </w:rPr>
                <w:t>3.</w:t>
              </w:r>
              <w:r w:rsidRPr="007B30B4">
                <w:rPr>
                  <w:sz w:val="28"/>
                  <w:szCs w:val="28"/>
                </w:rPr>
                <w:t>punktā</w:t>
              </w:r>
            </w:hyperlink>
            <w:r w:rsidRPr="007B30B4">
              <w:rPr>
                <w:sz w:val="28"/>
                <w:szCs w:val="28"/>
              </w:rPr>
              <w:t xml:space="preserve"> vai citos tiesību aktos.</w:t>
            </w:r>
          </w:p>
        </w:tc>
      </w:tr>
      <w:tr w:rsidR="000B6865" w:rsidRPr="007B30B4" w:rsidTr="007B30B4">
        <w:trPr>
          <w:trHeight w:val="263"/>
          <w:tblCellSpacing w:w="0" w:type="dxa"/>
        </w:trPr>
        <w:tc>
          <w:tcPr>
            <w:tcW w:w="398" w:type="pct"/>
            <w:tcBorders>
              <w:top w:val="outset" w:sz="6" w:space="0" w:color="auto"/>
              <w:left w:val="outset" w:sz="6" w:space="0" w:color="auto"/>
              <w:bottom w:val="outset" w:sz="6" w:space="0" w:color="auto"/>
              <w:right w:val="outset" w:sz="6" w:space="0" w:color="auto"/>
            </w:tcBorders>
          </w:tcPr>
          <w:p w:rsidR="000B6865" w:rsidRPr="007B30B4" w:rsidRDefault="000B6865" w:rsidP="007B30B4">
            <w:pPr>
              <w:spacing w:after="0" w:line="240" w:lineRule="auto"/>
              <w:jc w:val="center"/>
              <w:rPr>
                <w:rFonts w:eastAsia="Times New Roman"/>
                <w:sz w:val="28"/>
                <w:szCs w:val="28"/>
                <w:lang w:eastAsia="lv-LV"/>
              </w:rPr>
            </w:pPr>
            <w:r w:rsidRPr="007B30B4">
              <w:rPr>
                <w:rFonts w:eastAsia="Times New Roman"/>
                <w:sz w:val="28"/>
                <w:szCs w:val="28"/>
                <w:lang w:eastAsia="lv-LV"/>
              </w:rPr>
              <w:t>2.</w:t>
            </w:r>
          </w:p>
        </w:tc>
        <w:tc>
          <w:tcPr>
            <w:tcW w:w="1791" w:type="pct"/>
            <w:tcBorders>
              <w:top w:val="outset" w:sz="6" w:space="0" w:color="auto"/>
              <w:left w:val="outset" w:sz="6" w:space="0" w:color="auto"/>
              <w:bottom w:val="outset" w:sz="6" w:space="0" w:color="auto"/>
              <w:right w:val="outset" w:sz="6" w:space="0" w:color="auto"/>
            </w:tcBorders>
          </w:tcPr>
          <w:p w:rsidR="000B6865" w:rsidRPr="007B30B4" w:rsidRDefault="000B6865" w:rsidP="007B30B4">
            <w:pPr>
              <w:spacing w:after="0" w:line="240" w:lineRule="auto"/>
              <w:ind w:left="127"/>
              <w:rPr>
                <w:rFonts w:eastAsia="Times New Roman"/>
                <w:sz w:val="28"/>
                <w:szCs w:val="28"/>
                <w:lang w:eastAsia="lv-LV"/>
              </w:rPr>
            </w:pPr>
            <w:r w:rsidRPr="007B30B4">
              <w:rPr>
                <w:sz w:val="28"/>
                <w:szCs w:val="28"/>
              </w:rPr>
              <w:t>Pašreizējā situācija un problēmas, kuru risināšanai tiesību akta projekts izstrādāts, tiesiskā regulējuma mērķis un būtība</w:t>
            </w:r>
          </w:p>
        </w:tc>
        <w:tc>
          <w:tcPr>
            <w:tcW w:w="2811" w:type="pct"/>
            <w:tcBorders>
              <w:top w:val="outset" w:sz="6" w:space="0" w:color="auto"/>
              <w:left w:val="outset" w:sz="6" w:space="0" w:color="auto"/>
              <w:bottom w:val="outset" w:sz="6" w:space="0" w:color="auto"/>
              <w:right w:val="outset" w:sz="6" w:space="0" w:color="auto"/>
            </w:tcBorders>
          </w:tcPr>
          <w:p w:rsidR="000B6865" w:rsidRPr="007B30B4" w:rsidRDefault="000B6865" w:rsidP="007B30B4">
            <w:pPr>
              <w:spacing w:after="0" w:line="240" w:lineRule="auto"/>
              <w:ind w:left="125" w:right="140"/>
              <w:jc w:val="both"/>
              <w:rPr>
                <w:sz w:val="28"/>
                <w:szCs w:val="28"/>
              </w:rPr>
            </w:pPr>
            <w:r w:rsidRPr="007B30B4">
              <w:rPr>
                <w:sz w:val="28"/>
                <w:szCs w:val="28"/>
              </w:rPr>
              <w:t>Valsts sabiedrība ar ierobežotu atbildību „Latvijas Nacionālā opera un balets” (turpmāk – kapitālsabiedrība) ir valsts kapitālsabiedrība, kurā 100% kapitāla daļu turētāja ir Kultūras ministrija.</w:t>
            </w:r>
          </w:p>
          <w:p w:rsidR="000B6865" w:rsidRPr="007B30B4" w:rsidRDefault="000B6865" w:rsidP="007B30B4">
            <w:pPr>
              <w:spacing w:after="0" w:line="240" w:lineRule="auto"/>
              <w:ind w:left="125"/>
              <w:jc w:val="both"/>
              <w:rPr>
                <w:sz w:val="28"/>
                <w:szCs w:val="28"/>
              </w:rPr>
            </w:pPr>
          </w:p>
          <w:p w:rsidR="00E46D06" w:rsidRDefault="00374F01" w:rsidP="007B30B4">
            <w:pPr>
              <w:spacing w:after="0" w:line="240" w:lineRule="auto"/>
              <w:ind w:left="127" w:right="140"/>
              <w:jc w:val="both"/>
              <w:rPr>
                <w:sz w:val="28"/>
                <w:szCs w:val="28"/>
              </w:rPr>
            </w:pPr>
            <w:r>
              <w:rPr>
                <w:sz w:val="28"/>
                <w:szCs w:val="28"/>
              </w:rPr>
              <w:t xml:space="preserve">Stratēģijas projektā </w:t>
            </w:r>
            <w:r w:rsidR="000B6865" w:rsidRPr="007B30B4">
              <w:rPr>
                <w:sz w:val="28"/>
                <w:szCs w:val="28"/>
              </w:rPr>
              <w:t>„</w:t>
            </w:r>
            <w:r w:rsidR="000B6865" w:rsidRPr="007B30B4">
              <w:rPr>
                <w:rFonts w:eastAsiaTheme="minorHAnsi"/>
                <w:sz w:val="28"/>
                <w:szCs w:val="28"/>
              </w:rPr>
              <w:t>Valsts sabie</w:t>
            </w:r>
            <w:r w:rsidR="001C68AB">
              <w:rPr>
                <w:rFonts w:eastAsiaTheme="minorHAnsi"/>
                <w:sz w:val="28"/>
                <w:szCs w:val="28"/>
              </w:rPr>
              <w:t>drības ar ierobežotu atbildību „</w:t>
            </w:r>
            <w:r w:rsidR="000B6865" w:rsidRPr="007B30B4">
              <w:rPr>
                <w:rFonts w:eastAsiaTheme="minorHAnsi"/>
                <w:sz w:val="28"/>
                <w:szCs w:val="28"/>
              </w:rPr>
              <w:t xml:space="preserve">Latvijas Nacionālā opera un balets” vidēja </w:t>
            </w:r>
            <w:r w:rsidR="001C68AB">
              <w:rPr>
                <w:rFonts w:eastAsiaTheme="minorHAnsi"/>
                <w:sz w:val="28"/>
                <w:szCs w:val="28"/>
              </w:rPr>
              <w:t>termiņa darbības stratēģija 2017</w:t>
            </w:r>
            <w:r w:rsidR="000B6865" w:rsidRPr="007B30B4">
              <w:rPr>
                <w:rFonts w:eastAsiaTheme="minorHAnsi"/>
                <w:sz w:val="28"/>
                <w:szCs w:val="28"/>
              </w:rPr>
              <w:t>.</w:t>
            </w:r>
            <w:r w:rsidR="001C68AB">
              <w:rPr>
                <w:rFonts w:eastAsiaTheme="minorHAnsi"/>
                <w:sz w:val="28"/>
                <w:szCs w:val="28"/>
              </w:rPr>
              <w:t xml:space="preserve"> –</w:t>
            </w:r>
            <w:r>
              <w:rPr>
                <w:rFonts w:eastAsiaTheme="minorHAnsi"/>
                <w:sz w:val="28"/>
                <w:szCs w:val="28"/>
              </w:rPr>
              <w:t xml:space="preserve"> </w:t>
            </w:r>
            <w:r w:rsidR="000B6865" w:rsidRPr="007B30B4">
              <w:rPr>
                <w:rFonts w:eastAsiaTheme="minorHAnsi"/>
                <w:sz w:val="28"/>
                <w:szCs w:val="28"/>
              </w:rPr>
              <w:t xml:space="preserve">2021.gadam” norādīts, </w:t>
            </w:r>
            <w:r w:rsidR="000B6865" w:rsidRPr="007B30B4">
              <w:rPr>
                <w:rFonts w:eastAsiaTheme="minorHAnsi"/>
                <w:sz w:val="28"/>
                <w:szCs w:val="28"/>
              </w:rPr>
              <w:lastRenderedPageBreak/>
              <w:t>ka</w:t>
            </w:r>
            <w:r>
              <w:rPr>
                <w:rFonts w:eastAsiaTheme="minorHAnsi"/>
                <w:sz w:val="28"/>
                <w:szCs w:val="28"/>
              </w:rPr>
              <w:t>,</w:t>
            </w:r>
            <w:r w:rsidR="00E75772" w:rsidRPr="007B30B4">
              <w:rPr>
                <w:rFonts w:eastAsiaTheme="minorHAnsi"/>
                <w:sz w:val="28"/>
                <w:szCs w:val="28"/>
              </w:rPr>
              <w:t xml:space="preserve"> tā</w:t>
            </w:r>
            <w:r w:rsidR="000B6865" w:rsidRPr="007B30B4">
              <w:rPr>
                <w:rFonts w:eastAsiaTheme="minorHAnsi"/>
                <w:sz w:val="28"/>
                <w:szCs w:val="28"/>
              </w:rPr>
              <w:t xml:space="preserve"> </w:t>
            </w:r>
            <w:r w:rsidR="00E75772" w:rsidRPr="007B30B4">
              <w:rPr>
                <w:rFonts w:eastAsiaTheme="minorHAnsi"/>
                <w:sz w:val="28"/>
                <w:szCs w:val="28"/>
              </w:rPr>
              <w:t>kā</w:t>
            </w:r>
            <w:r w:rsidR="000B6865" w:rsidRPr="007B30B4">
              <w:rPr>
                <w:rFonts w:eastAsiaTheme="minorHAnsi"/>
                <w:sz w:val="28"/>
                <w:szCs w:val="28"/>
              </w:rPr>
              <w:t xml:space="preserve"> kapitālsabiedrības darbības primārais mērķis nav peļņas gūšana, bet gan deleģēto valsts pārvaldes uzdevumu veikšana atbilstoši Kultūras institūciju likuma 23.panta otrajai daļai, </w:t>
            </w:r>
            <w:r>
              <w:rPr>
                <w:rFonts w:eastAsiaTheme="minorHAnsi"/>
                <w:sz w:val="28"/>
                <w:szCs w:val="28"/>
              </w:rPr>
              <w:t>kapitālsabiedrības ikgadējā</w:t>
            </w:r>
            <w:r w:rsidR="000B6865" w:rsidRPr="007B30B4">
              <w:rPr>
                <w:rFonts w:eastAsiaTheme="minorHAnsi"/>
                <w:sz w:val="28"/>
                <w:szCs w:val="28"/>
              </w:rPr>
              <w:t xml:space="preserve"> </w:t>
            </w:r>
            <w:r>
              <w:rPr>
                <w:rFonts w:eastAsiaTheme="minorHAnsi"/>
                <w:sz w:val="28"/>
                <w:szCs w:val="28"/>
              </w:rPr>
              <w:t>prognozējamā</w:t>
            </w:r>
            <w:r w:rsidRPr="00374F01">
              <w:rPr>
                <w:rFonts w:eastAsiaTheme="minorHAnsi"/>
                <w:sz w:val="28"/>
                <w:szCs w:val="28"/>
              </w:rPr>
              <w:t xml:space="preserve"> dividendēs izmaksājam</w:t>
            </w:r>
            <w:r>
              <w:rPr>
                <w:rFonts w:eastAsiaTheme="minorHAnsi"/>
                <w:sz w:val="28"/>
                <w:szCs w:val="28"/>
              </w:rPr>
              <w:t>ā peļņas daļa</w:t>
            </w:r>
            <w:r w:rsidRPr="00374F01">
              <w:rPr>
                <w:rFonts w:eastAsiaTheme="minorHAnsi"/>
                <w:sz w:val="28"/>
                <w:szCs w:val="28"/>
              </w:rPr>
              <w:t xml:space="preserve"> </w:t>
            </w:r>
            <w:r>
              <w:rPr>
                <w:rFonts w:eastAsiaTheme="minorHAnsi"/>
                <w:sz w:val="28"/>
                <w:szCs w:val="28"/>
              </w:rPr>
              <w:t>nepieciešams novirzīt</w:t>
            </w:r>
            <w:r w:rsidR="000B6865" w:rsidRPr="007B30B4">
              <w:rPr>
                <w:rFonts w:eastAsiaTheme="minorHAnsi"/>
                <w:sz w:val="28"/>
                <w:szCs w:val="28"/>
              </w:rPr>
              <w:t xml:space="preserve"> kapitālsabiedrības tehniskās un tehnoloģiskās darbības pilnveidošanai</w:t>
            </w:r>
            <w:r w:rsidR="00E46D06" w:rsidRPr="007B30B4">
              <w:rPr>
                <w:rFonts w:eastAsiaTheme="minorHAnsi"/>
                <w:sz w:val="28"/>
                <w:szCs w:val="28"/>
              </w:rPr>
              <w:t xml:space="preserve">, </w:t>
            </w:r>
            <w:r>
              <w:rPr>
                <w:rFonts w:eastAsiaTheme="minorHAnsi"/>
                <w:sz w:val="28"/>
                <w:szCs w:val="28"/>
              </w:rPr>
              <w:t xml:space="preserve">un </w:t>
            </w:r>
            <w:r w:rsidR="00E46D06" w:rsidRPr="007B30B4">
              <w:rPr>
                <w:rFonts w:eastAsiaTheme="minorHAnsi"/>
                <w:sz w:val="28"/>
                <w:szCs w:val="28"/>
              </w:rPr>
              <w:t xml:space="preserve">konkrēti, </w:t>
            </w:r>
            <w:r w:rsidR="00527E03" w:rsidRPr="007B30B4">
              <w:rPr>
                <w:sz w:val="28"/>
                <w:szCs w:val="28"/>
              </w:rPr>
              <w:t>mūzikas instrumentu iegādei un atjaunošanai</w:t>
            </w:r>
            <w:r w:rsidR="00EE1058">
              <w:rPr>
                <w:sz w:val="28"/>
                <w:szCs w:val="28"/>
              </w:rPr>
              <w:t>.</w:t>
            </w:r>
            <w:r w:rsidR="00E46D06" w:rsidRPr="007B30B4">
              <w:rPr>
                <w:rFonts w:eastAsiaTheme="minorHAnsi"/>
                <w:sz w:val="28"/>
                <w:szCs w:val="28"/>
              </w:rPr>
              <w:t xml:space="preserve"> </w:t>
            </w:r>
            <w:r w:rsidR="00EE1058">
              <w:rPr>
                <w:sz w:val="28"/>
                <w:szCs w:val="28"/>
              </w:rPr>
              <w:t xml:space="preserve">Latvijas Nacionālās operas un baleta orķestrī ir 15 mūzikas instrumentu grupas, kuru kopējā vērtība ir 381 879 </w:t>
            </w:r>
            <w:proofErr w:type="spellStart"/>
            <w:r w:rsidR="00EE1058" w:rsidRPr="00EE1058">
              <w:rPr>
                <w:i/>
                <w:sz w:val="28"/>
                <w:szCs w:val="28"/>
              </w:rPr>
              <w:t>euro</w:t>
            </w:r>
            <w:proofErr w:type="spellEnd"/>
            <w:r w:rsidR="00EE1058">
              <w:rPr>
                <w:sz w:val="28"/>
                <w:szCs w:val="28"/>
              </w:rPr>
              <w:t xml:space="preserve">. Mūzikas instrumentu skaits ir nepietiekams, arī esošo instrumentu nolietojums vairākās instrumentu grupās ir kritisks, kas dažos gadījumos pat apdraud izrāžu māksliniecisko sniegumu. </w:t>
            </w:r>
            <w:r w:rsidR="00527E03" w:rsidRPr="007B30B4">
              <w:rPr>
                <w:sz w:val="28"/>
                <w:szCs w:val="28"/>
              </w:rPr>
              <w:t>Lai pilnvērtīgi nodrošinātu repertuārā plānotās izrādes un citus pasākumus, regulāri tiek nomāti vēl 65 mūzikas instrumenti. Lai garantētu nemainīgi augstu māksliniecisko kvalitāti, ir nepieciešami ieguldījumi mūzikas instrumentu bāzes nodrošināšanā.</w:t>
            </w:r>
          </w:p>
          <w:p w:rsidR="007B30B4" w:rsidRPr="007B30B4" w:rsidRDefault="007B30B4" w:rsidP="007B30B4">
            <w:pPr>
              <w:spacing w:after="0" w:line="240" w:lineRule="auto"/>
              <w:jc w:val="both"/>
              <w:rPr>
                <w:rFonts w:asciiTheme="minorHAnsi" w:hAnsiTheme="minorHAnsi" w:cstheme="minorBidi"/>
                <w:sz w:val="28"/>
                <w:szCs w:val="28"/>
              </w:rPr>
            </w:pPr>
          </w:p>
          <w:p w:rsidR="00C5293D" w:rsidRPr="007B30B4" w:rsidRDefault="000B6865" w:rsidP="007B30B4">
            <w:pPr>
              <w:spacing w:after="0" w:line="240" w:lineRule="auto"/>
              <w:ind w:left="125" w:right="140"/>
              <w:jc w:val="both"/>
              <w:rPr>
                <w:sz w:val="28"/>
                <w:szCs w:val="28"/>
              </w:rPr>
            </w:pPr>
            <w:r w:rsidRPr="007B30B4">
              <w:rPr>
                <w:sz w:val="28"/>
                <w:szCs w:val="28"/>
              </w:rPr>
              <w:t xml:space="preserve">Saskaņā ar likuma </w:t>
            </w:r>
            <w:r w:rsidR="00176E75" w:rsidRPr="007B30B4">
              <w:rPr>
                <w:sz w:val="28"/>
                <w:szCs w:val="28"/>
              </w:rPr>
              <w:t>„</w:t>
            </w:r>
            <w:r w:rsidR="00C5293D" w:rsidRPr="007B30B4">
              <w:rPr>
                <w:sz w:val="28"/>
                <w:szCs w:val="28"/>
              </w:rPr>
              <w:t>Par vidēja termiņa budžet</w:t>
            </w:r>
            <w:r w:rsidR="00374F01">
              <w:rPr>
                <w:sz w:val="28"/>
                <w:szCs w:val="28"/>
              </w:rPr>
              <w:t>a ietvaru 2017., 2018. un 2019.</w:t>
            </w:r>
            <w:r w:rsidR="00F91899" w:rsidRPr="007B30B4">
              <w:rPr>
                <w:sz w:val="28"/>
                <w:szCs w:val="28"/>
              </w:rPr>
              <w:t>g</w:t>
            </w:r>
            <w:r w:rsidR="00C5293D" w:rsidRPr="007B30B4">
              <w:rPr>
                <w:sz w:val="28"/>
                <w:szCs w:val="28"/>
              </w:rPr>
              <w:t xml:space="preserve">adam” </w:t>
            </w:r>
            <w:r w:rsidR="00C5293D" w:rsidRPr="007B30B4">
              <w:rPr>
                <w:bCs/>
                <w:sz w:val="28"/>
                <w:szCs w:val="28"/>
              </w:rPr>
              <w:t xml:space="preserve">19.panta pirmo daļu </w:t>
            </w:r>
            <w:r w:rsidR="00C5293D" w:rsidRPr="007B30B4">
              <w:rPr>
                <w:sz w:val="28"/>
                <w:szCs w:val="28"/>
              </w:rPr>
              <w:t>minimālo dividendēs izmaksājamo peļņas</w:t>
            </w:r>
            <w:r w:rsidR="004E08FB">
              <w:rPr>
                <w:sz w:val="28"/>
                <w:szCs w:val="28"/>
              </w:rPr>
              <w:t xml:space="preserve"> daļu par 2016., 2017. un 2018.</w:t>
            </w:r>
            <w:r w:rsidR="00C5293D" w:rsidRPr="007B30B4">
              <w:rPr>
                <w:sz w:val="28"/>
                <w:szCs w:val="28"/>
              </w:rPr>
              <w:t>gada pārskata gadu valsts izšķirošajā ietekmē esošām kapitālsabiedrībām (tajā skaitā netiešā izšķirošajā ietekmē esošām kapitālsab</w:t>
            </w:r>
            <w:r w:rsidR="00EE1058">
              <w:rPr>
                <w:sz w:val="28"/>
                <w:szCs w:val="28"/>
              </w:rPr>
              <w:t>iedrībām) nosaka un aprēķina 50 </w:t>
            </w:r>
            <w:r w:rsidR="00C5293D" w:rsidRPr="007B30B4">
              <w:rPr>
                <w:sz w:val="28"/>
                <w:szCs w:val="28"/>
              </w:rPr>
              <w:t>procentu apmērā, bet kapitālsabiedrībām, kurās visas kapitāla daļas tieši vai pas</w:t>
            </w:r>
            <w:r w:rsidR="00B22651" w:rsidRPr="007B30B4">
              <w:rPr>
                <w:sz w:val="28"/>
                <w:szCs w:val="28"/>
              </w:rPr>
              <w:t>tarpināti pieder valstij, 2017.</w:t>
            </w:r>
            <w:r w:rsidR="00C5293D" w:rsidRPr="007B30B4">
              <w:rPr>
                <w:sz w:val="28"/>
                <w:szCs w:val="28"/>
              </w:rPr>
              <w:t>gadā (par 2016.gada pārskata gadu) nosaka un apr</w:t>
            </w:r>
            <w:r w:rsidR="00B22651" w:rsidRPr="007B30B4">
              <w:rPr>
                <w:sz w:val="28"/>
                <w:szCs w:val="28"/>
              </w:rPr>
              <w:t>ēķina 85 procentu apmērā, 2018.gadā (par 2017.</w:t>
            </w:r>
            <w:r w:rsidR="00C5293D" w:rsidRPr="007B30B4">
              <w:rPr>
                <w:sz w:val="28"/>
                <w:szCs w:val="28"/>
              </w:rPr>
              <w:t xml:space="preserve">gada pārskata gadu) </w:t>
            </w:r>
            <w:r w:rsidR="004E08FB">
              <w:rPr>
                <w:sz w:val="28"/>
                <w:szCs w:val="28"/>
              </w:rPr>
              <w:t>–</w:t>
            </w:r>
            <w:r w:rsidR="00C5293D" w:rsidRPr="007B30B4">
              <w:rPr>
                <w:sz w:val="28"/>
                <w:szCs w:val="28"/>
              </w:rPr>
              <w:t xml:space="preserve"> 80 procentu </w:t>
            </w:r>
            <w:r w:rsidR="00B22651" w:rsidRPr="007B30B4">
              <w:rPr>
                <w:sz w:val="28"/>
                <w:szCs w:val="28"/>
              </w:rPr>
              <w:t>apmērā un 2019.gadā (par 2018.</w:t>
            </w:r>
            <w:r w:rsidR="00C5293D" w:rsidRPr="007B30B4">
              <w:rPr>
                <w:sz w:val="28"/>
                <w:szCs w:val="28"/>
              </w:rPr>
              <w:t xml:space="preserve">gada pārskata gadu) </w:t>
            </w:r>
            <w:r w:rsidR="004E08FB">
              <w:rPr>
                <w:sz w:val="28"/>
                <w:szCs w:val="28"/>
              </w:rPr>
              <w:t>–</w:t>
            </w:r>
            <w:r w:rsidR="00C5293D" w:rsidRPr="007B30B4">
              <w:rPr>
                <w:sz w:val="28"/>
                <w:szCs w:val="28"/>
              </w:rPr>
              <w:t xml:space="preserve"> 70 procentu </w:t>
            </w:r>
            <w:r w:rsidR="00C5293D" w:rsidRPr="007B30B4">
              <w:rPr>
                <w:sz w:val="28"/>
                <w:szCs w:val="28"/>
              </w:rPr>
              <w:lastRenderedPageBreak/>
              <w:t>apmērā no attiecīgās kapitālsab</w:t>
            </w:r>
            <w:r w:rsidR="00EE1058">
              <w:rPr>
                <w:sz w:val="28"/>
                <w:szCs w:val="28"/>
              </w:rPr>
              <w:t>iedrības tīrās peļņas, ja likumā</w:t>
            </w:r>
            <w:r w:rsidR="00C5293D" w:rsidRPr="007B30B4">
              <w:rPr>
                <w:sz w:val="28"/>
                <w:szCs w:val="28"/>
              </w:rPr>
              <w:t xml:space="preserve"> „Par vidēja termiņa budžeta ietvaru 2017., 2018. un 2019.</w:t>
            </w:r>
            <w:r w:rsidR="00956C24" w:rsidRPr="007B30B4">
              <w:rPr>
                <w:sz w:val="28"/>
                <w:szCs w:val="28"/>
              </w:rPr>
              <w:t>g</w:t>
            </w:r>
            <w:r w:rsidR="00C5293D" w:rsidRPr="007B30B4">
              <w:rPr>
                <w:sz w:val="28"/>
                <w:szCs w:val="28"/>
              </w:rPr>
              <w:t>adam” nav noteikts citādi.</w:t>
            </w:r>
          </w:p>
          <w:p w:rsidR="00C5293D" w:rsidRPr="007B30B4" w:rsidRDefault="00C5293D" w:rsidP="007B30B4">
            <w:pPr>
              <w:spacing w:after="0" w:line="240" w:lineRule="auto"/>
              <w:ind w:left="125"/>
              <w:jc w:val="both"/>
              <w:rPr>
                <w:sz w:val="28"/>
                <w:szCs w:val="28"/>
              </w:rPr>
            </w:pPr>
          </w:p>
          <w:p w:rsidR="00C5293D" w:rsidRPr="007B30B4" w:rsidRDefault="00C5293D" w:rsidP="007B30B4">
            <w:pPr>
              <w:pStyle w:val="tv2132"/>
              <w:spacing w:line="240" w:lineRule="auto"/>
              <w:ind w:left="127" w:right="140" w:firstLine="0"/>
              <w:jc w:val="both"/>
              <w:rPr>
                <w:color w:val="auto"/>
                <w:sz w:val="28"/>
                <w:szCs w:val="28"/>
              </w:rPr>
            </w:pPr>
            <w:r w:rsidRPr="007B30B4">
              <w:rPr>
                <w:color w:val="auto"/>
                <w:sz w:val="28"/>
                <w:szCs w:val="28"/>
              </w:rPr>
              <w:t>Likuma „Par vidēja termiņa budžeta ietvaru 2017., 2018. un 2019.</w:t>
            </w:r>
            <w:r w:rsidR="00956C24" w:rsidRPr="007B30B4">
              <w:rPr>
                <w:color w:val="auto"/>
                <w:sz w:val="28"/>
                <w:szCs w:val="28"/>
              </w:rPr>
              <w:t>g</w:t>
            </w:r>
            <w:r w:rsidRPr="007B30B4">
              <w:rPr>
                <w:color w:val="auto"/>
                <w:sz w:val="28"/>
                <w:szCs w:val="28"/>
              </w:rPr>
              <w:t xml:space="preserve">adam” </w:t>
            </w:r>
            <w:r w:rsidRPr="007B30B4">
              <w:rPr>
                <w:bCs/>
                <w:color w:val="auto"/>
                <w:sz w:val="28"/>
                <w:szCs w:val="28"/>
              </w:rPr>
              <w:t xml:space="preserve">19.panta otrā daļa nosaka, ka </w:t>
            </w:r>
            <w:r w:rsidRPr="007B30B4">
              <w:rPr>
                <w:color w:val="auto"/>
                <w:sz w:val="28"/>
                <w:szCs w:val="28"/>
              </w:rPr>
              <w:t>Ministru kabinets normatīvajos aktos noteiktajos gadījumos un kārtībā var pieņemt lēmumu par atšķirīgu dividendēs izmaksājamo minimālo peļņas daļu.</w:t>
            </w:r>
          </w:p>
          <w:p w:rsidR="008A680B" w:rsidRPr="007B30B4" w:rsidRDefault="008A680B" w:rsidP="007B30B4">
            <w:pPr>
              <w:pStyle w:val="tv2132"/>
              <w:spacing w:line="240" w:lineRule="auto"/>
              <w:ind w:left="127" w:firstLine="0"/>
              <w:jc w:val="both"/>
              <w:rPr>
                <w:color w:val="auto"/>
                <w:sz w:val="28"/>
                <w:szCs w:val="28"/>
              </w:rPr>
            </w:pPr>
          </w:p>
          <w:p w:rsidR="00A31330" w:rsidRPr="007B30B4" w:rsidRDefault="000B6865" w:rsidP="007B30B4">
            <w:pPr>
              <w:pStyle w:val="tv2132"/>
              <w:spacing w:line="240" w:lineRule="auto"/>
              <w:ind w:left="127" w:right="140" w:firstLine="0"/>
              <w:jc w:val="both"/>
              <w:rPr>
                <w:rFonts w:eastAsiaTheme="minorHAnsi"/>
                <w:color w:val="auto"/>
                <w:sz w:val="28"/>
                <w:szCs w:val="28"/>
                <w:lang w:eastAsia="en-US"/>
              </w:rPr>
            </w:pPr>
            <w:r w:rsidRPr="007B30B4">
              <w:rPr>
                <w:rFonts w:eastAsiaTheme="minorHAnsi"/>
                <w:color w:val="auto"/>
                <w:sz w:val="28"/>
                <w:szCs w:val="28"/>
                <w:lang w:eastAsia="en-US"/>
              </w:rPr>
              <w:t xml:space="preserve">Noteikumu Nr.806 </w:t>
            </w:r>
            <w:bookmarkStart w:id="1" w:name="p-575084"/>
            <w:bookmarkStart w:id="2" w:name="p5"/>
            <w:bookmarkEnd w:id="1"/>
            <w:bookmarkEnd w:id="2"/>
            <w:r w:rsidR="00A31330" w:rsidRPr="007B30B4">
              <w:rPr>
                <w:rFonts w:eastAsiaTheme="minorHAnsi"/>
                <w:color w:val="auto"/>
                <w:sz w:val="28"/>
                <w:szCs w:val="28"/>
                <w:lang w:eastAsia="en-US"/>
              </w:rPr>
              <w:t xml:space="preserve">5.punkts nosaka, ka Ministru kabinets pēc valsts kapitāla daļu turētāja pamatota priekšlikuma ar Ministru kabineta rīkojumu var atļaut noteikt kapitālsabiedrības stratēģijā atšķirīgu prognozējamo dividendēs izmaksājamo peļņas daļu (procentos no prognozētās tīrās peļņas), nekā tas norādīts </w:t>
            </w:r>
            <w:r w:rsidR="00EE1058" w:rsidRPr="00EE1058">
              <w:rPr>
                <w:rFonts w:eastAsiaTheme="minorHAnsi"/>
                <w:color w:val="auto"/>
                <w:sz w:val="28"/>
                <w:szCs w:val="28"/>
                <w:lang w:eastAsia="en-US"/>
              </w:rPr>
              <w:t xml:space="preserve">Noteikumu Nr.806 </w:t>
            </w:r>
            <w:hyperlink r:id="rId11" w:anchor="p3" w:tgtFrame="_blank" w:history="1">
              <w:r w:rsidR="00A31330" w:rsidRPr="007B30B4">
                <w:rPr>
                  <w:rFonts w:eastAsiaTheme="minorHAnsi"/>
                  <w:color w:val="auto"/>
                  <w:sz w:val="28"/>
                  <w:szCs w:val="28"/>
                  <w:lang w:eastAsia="en-US"/>
                </w:rPr>
                <w:t>3.punktā</w:t>
              </w:r>
            </w:hyperlink>
            <w:r w:rsidR="00A31330" w:rsidRPr="007B30B4">
              <w:rPr>
                <w:rFonts w:eastAsiaTheme="minorHAnsi"/>
                <w:color w:val="auto"/>
                <w:sz w:val="28"/>
                <w:szCs w:val="28"/>
                <w:lang w:eastAsia="en-US"/>
              </w:rPr>
              <w:t xml:space="preserve"> vai citos tiesību aktos.</w:t>
            </w:r>
            <w:bookmarkStart w:id="3" w:name="p-575086"/>
            <w:bookmarkStart w:id="4" w:name="p6"/>
            <w:bookmarkEnd w:id="3"/>
            <w:bookmarkEnd w:id="4"/>
            <w:r w:rsidR="008A680B" w:rsidRPr="007B30B4">
              <w:rPr>
                <w:rFonts w:eastAsiaTheme="minorHAnsi"/>
                <w:color w:val="auto"/>
                <w:sz w:val="28"/>
                <w:szCs w:val="28"/>
                <w:lang w:eastAsia="en-US"/>
              </w:rPr>
              <w:t xml:space="preserve"> </w:t>
            </w:r>
            <w:r w:rsidR="00A31330" w:rsidRPr="007B30B4">
              <w:rPr>
                <w:rFonts w:eastAsiaTheme="minorHAnsi"/>
                <w:color w:val="auto"/>
                <w:sz w:val="28"/>
                <w:szCs w:val="28"/>
              </w:rPr>
              <w:t>Noteikumu Nr.806 6.</w:t>
            </w:r>
            <w:r w:rsidR="00F91899" w:rsidRPr="007B30B4">
              <w:rPr>
                <w:rFonts w:eastAsiaTheme="minorHAnsi"/>
                <w:color w:val="auto"/>
                <w:sz w:val="28"/>
                <w:szCs w:val="28"/>
              </w:rPr>
              <w:t>punk</w:t>
            </w:r>
            <w:r w:rsidR="00027F2D" w:rsidRPr="007B30B4">
              <w:rPr>
                <w:rFonts w:eastAsiaTheme="minorHAnsi"/>
                <w:color w:val="auto"/>
                <w:sz w:val="28"/>
                <w:szCs w:val="28"/>
              </w:rPr>
              <w:t>ts</w:t>
            </w:r>
            <w:r w:rsidR="00F91899" w:rsidRPr="007B30B4">
              <w:rPr>
                <w:rFonts w:eastAsiaTheme="minorHAnsi"/>
                <w:color w:val="auto"/>
                <w:sz w:val="28"/>
                <w:szCs w:val="28"/>
              </w:rPr>
              <w:t xml:space="preserve"> nosaka, </w:t>
            </w:r>
            <w:r w:rsidR="00EE1058">
              <w:rPr>
                <w:rFonts w:eastAsiaTheme="minorHAnsi"/>
                <w:color w:val="auto"/>
                <w:sz w:val="28"/>
                <w:szCs w:val="28"/>
              </w:rPr>
              <w:t>ka valsts kapitāla daļu turētājs</w:t>
            </w:r>
            <w:r w:rsidR="00A31330" w:rsidRPr="007B30B4">
              <w:rPr>
                <w:rFonts w:eastAsiaTheme="minorHAnsi"/>
                <w:color w:val="auto"/>
                <w:sz w:val="28"/>
                <w:szCs w:val="28"/>
              </w:rPr>
              <w:t xml:space="preserve"> iesniedz Ministru kabinetā </w:t>
            </w:r>
            <w:r w:rsidR="00F91899" w:rsidRPr="007B30B4">
              <w:rPr>
                <w:rFonts w:eastAsiaTheme="minorHAnsi"/>
                <w:color w:val="auto"/>
                <w:sz w:val="28"/>
                <w:szCs w:val="28"/>
              </w:rPr>
              <w:t xml:space="preserve">Noteikumu Nr.806 </w:t>
            </w:r>
            <w:hyperlink r:id="rId12" w:anchor="p5" w:tgtFrame="_blank" w:history="1">
              <w:r w:rsidR="00A31330" w:rsidRPr="007B30B4">
                <w:rPr>
                  <w:rFonts w:eastAsiaTheme="minorHAnsi"/>
                  <w:color w:val="auto"/>
                  <w:sz w:val="28"/>
                  <w:szCs w:val="28"/>
                </w:rPr>
                <w:t>5</w:t>
              </w:r>
              <w:r w:rsidR="00F91899" w:rsidRPr="007B30B4">
                <w:rPr>
                  <w:rFonts w:eastAsiaTheme="minorHAnsi"/>
                  <w:color w:val="auto"/>
                  <w:sz w:val="28"/>
                  <w:szCs w:val="28"/>
                </w:rPr>
                <w:t>.</w:t>
              </w:r>
              <w:r w:rsidR="00A31330" w:rsidRPr="007B30B4">
                <w:rPr>
                  <w:rFonts w:eastAsiaTheme="minorHAnsi"/>
                  <w:color w:val="auto"/>
                  <w:sz w:val="28"/>
                  <w:szCs w:val="28"/>
                </w:rPr>
                <w:t>punktā</w:t>
              </w:r>
            </w:hyperlink>
            <w:r w:rsidR="00A31330" w:rsidRPr="007B30B4">
              <w:rPr>
                <w:rFonts w:eastAsiaTheme="minorHAnsi"/>
                <w:color w:val="auto"/>
                <w:sz w:val="28"/>
                <w:szCs w:val="28"/>
              </w:rPr>
              <w:t xml:space="preserve"> minēto priekšlikumu, attiecīgu Ministru kabineta rīkojuma projektu un sākotnējās ietekmes no</w:t>
            </w:r>
            <w:r w:rsidR="00F91899" w:rsidRPr="007B30B4">
              <w:rPr>
                <w:rFonts w:eastAsiaTheme="minorHAnsi"/>
                <w:color w:val="auto"/>
                <w:sz w:val="28"/>
                <w:szCs w:val="28"/>
              </w:rPr>
              <w:t>vērtējuma ziņojumu (anotāciju).</w:t>
            </w:r>
          </w:p>
          <w:p w:rsidR="008A680B" w:rsidRPr="007B30B4" w:rsidRDefault="008A680B" w:rsidP="007B30B4">
            <w:pPr>
              <w:spacing w:after="0" w:line="240" w:lineRule="auto"/>
              <w:ind w:left="127" w:right="140"/>
              <w:jc w:val="both"/>
              <w:rPr>
                <w:rFonts w:eastAsiaTheme="minorHAnsi"/>
                <w:sz w:val="28"/>
                <w:szCs w:val="28"/>
              </w:rPr>
            </w:pPr>
          </w:p>
          <w:p w:rsidR="000B6865" w:rsidRPr="007B30B4" w:rsidRDefault="000B6865" w:rsidP="007B30B4">
            <w:pPr>
              <w:autoSpaceDE w:val="0"/>
              <w:autoSpaceDN w:val="0"/>
              <w:adjustRightInd w:val="0"/>
              <w:spacing w:after="0" w:line="240" w:lineRule="auto"/>
              <w:ind w:left="127" w:right="140"/>
              <w:jc w:val="both"/>
              <w:rPr>
                <w:sz w:val="28"/>
                <w:szCs w:val="28"/>
              </w:rPr>
            </w:pPr>
            <w:r w:rsidRPr="007B30B4">
              <w:rPr>
                <w:rFonts w:eastAsiaTheme="minorHAnsi"/>
                <w:sz w:val="28"/>
                <w:szCs w:val="28"/>
              </w:rPr>
              <w:t>Ņemot vērā kapitālsabiedrības materiāltehniskās bāzes kritisko stāvokli, finansējums, ko kapitālsabiedrība spēj piesaistīt pašu spēkiem</w:t>
            </w:r>
            <w:r w:rsidR="00E75772" w:rsidRPr="007B30B4">
              <w:rPr>
                <w:rFonts w:eastAsiaTheme="minorHAnsi"/>
                <w:sz w:val="28"/>
                <w:szCs w:val="28"/>
              </w:rPr>
              <w:t>,</w:t>
            </w:r>
            <w:r w:rsidRPr="007B30B4">
              <w:rPr>
                <w:rFonts w:eastAsiaTheme="minorHAnsi"/>
                <w:sz w:val="28"/>
                <w:szCs w:val="28"/>
              </w:rPr>
              <w:t xml:space="preserve"> vidējā termiņa </w:t>
            </w:r>
            <w:r w:rsidR="00E75772" w:rsidRPr="007B30B4">
              <w:rPr>
                <w:rFonts w:eastAsiaTheme="minorHAnsi"/>
                <w:sz w:val="28"/>
                <w:szCs w:val="28"/>
              </w:rPr>
              <w:t xml:space="preserve">darbības </w:t>
            </w:r>
            <w:r w:rsidRPr="007B30B4">
              <w:rPr>
                <w:rFonts w:eastAsiaTheme="minorHAnsi"/>
                <w:sz w:val="28"/>
                <w:szCs w:val="28"/>
              </w:rPr>
              <w:t xml:space="preserve">ietvaros ir jāsaglabā kapitālsabiedrības rīcībā </w:t>
            </w:r>
            <w:r w:rsidR="00B16BA4" w:rsidRPr="007B30B4">
              <w:rPr>
                <w:rFonts w:eastAsiaTheme="minorHAnsi"/>
                <w:sz w:val="28"/>
                <w:szCs w:val="28"/>
              </w:rPr>
              <w:t xml:space="preserve">tās tehniskās un tehnoloģiskās darbības pilnveidošanai, lai nodrošinātu </w:t>
            </w:r>
            <w:r w:rsidRPr="007B30B4">
              <w:rPr>
                <w:rFonts w:eastAsiaTheme="minorHAnsi"/>
                <w:sz w:val="28"/>
                <w:szCs w:val="28"/>
              </w:rPr>
              <w:t xml:space="preserve">ilgtermiņa </w:t>
            </w:r>
            <w:r w:rsidR="00146C33" w:rsidRPr="007B30B4">
              <w:rPr>
                <w:rFonts w:eastAsiaTheme="minorHAnsi"/>
                <w:sz w:val="28"/>
                <w:szCs w:val="28"/>
              </w:rPr>
              <w:t xml:space="preserve">attīstību </w:t>
            </w:r>
            <w:r w:rsidRPr="007B30B4">
              <w:rPr>
                <w:rFonts w:eastAsiaTheme="minorHAnsi"/>
                <w:sz w:val="28"/>
                <w:szCs w:val="28"/>
              </w:rPr>
              <w:t xml:space="preserve">un </w:t>
            </w:r>
            <w:r w:rsidR="00146C33" w:rsidRPr="007B30B4">
              <w:rPr>
                <w:rFonts w:eastAsiaTheme="minorHAnsi"/>
                <w:sz w:val="28"/>
                <w:szCs w:val="28"/>
              </w:rPr>
              <w:t xml:space="preserve">augstvērtīgu māksliniecisko </w:t>
            </w:r>
            <w:r w:rsidRPr="007B30B4">
              <w:rPr>
                <w:rFonts w:eastAsiaTheme="minorHAnsi"/>
                <w:sz w:val="28"/>
                <w:szCs w:val="28"/>
              </w:rPr>
              <w:t>darbīb</w:t>
            </w:r>
            <w:r w:rsidR="00146C33" w:rsidRPr="007B30B4">
              <w:rPr>
                <w:rFonts w:eastAsiaTheme="minorHAnsi"/>
                <w:sz w:val="28"/>
                <w:szCs w:val="28"/>
              </w:rPr>
              <w:t>u</w:t>
            </w:r>
            <w:r w:rsidRPr="007B30B4">
              <w:rPr>
                <w:rFonts w:eastAsiaTheme="minorHAnsi"/>
                <w:sz w:val="28"/>
                <w:szCs w:val="28"/>
              </w:rPr>
              <w:t xml:space="preserve">, kas ir kapitālsabiedrības pamatfunkcija saskaņā ar Latvijas Nacionālās </w:t>
            </w:r>
            <w:r w:rsidR="007E7B4E" w:rsidRPr="007B30B4">
              <w:rPr>
                <w:rFonts w:eastAsiaTheme="minorHAnsi"/>
                <w:sz w:val="28"/>
                <w:szCs w:val="28"/>
              </w:rPr>
              <w:t>o</w:t>
            </w:r>
            <w:r w:rsidRPr="007B30B4">
              <w:rPr>
                <w:rFonts w:eastAsiaTheme="minorHAnsi"/>
                <w:sz w:val="28"/>
                <w:szCs w:val="28"/>
              </w:rPr>
              <w:t xml:space="preserve">peras un </w:t>
            </w:r>
            <w:r w:rsidR="007E7B4E" w:rsidRPr="007B30B4">
              <w:rPr>
                <w:rFonts w:eastAsiaTheme="minorHAnsi"/>
                <w:sz w:val="28"/>
                <w:szCs w:val="28"/>
              </w:rPr>
              <w:t>b</w:t>
            </w:r>
            <w:r w:rsidRPr="007B30B4">
              <w:rPr>
                <w:rFonts w:eastAsiaTheme="minorHAnsi"/>
                <w:sz w:val="28"/>
                <w:szCs w:val="28"/>
              </w:rPr>
              <w:t>aleta likumu.</w:t>
            </w:r>
          </w:p>
          <w:p w:rsidR="000B6865" w:rsidRPr="007B30B4" w:rsidRDefault="000B6865" w:rsidP="007B30B4">
            <w:pPr>
              <w:spacing w:after="0" w:line="240" w:lineRule="auto"/>
              <w:ind w:left="125"/>
              <w:jc w:val="both"/>
              <w:rPr>
                <w:sz w:val="28"/>
                <w:szCs w:val="28"/>
              </w:rPr>
            </w:pPr>
          </w:p>
          <w:p w:rsidR="000B6865" w:rsidRPr="007B30B4" w:rsidRDefault="000B6865" w:rsidP="007B30B4">
            <w:pPr>
              <w:spacing w:after="0" w:line="240" w:lineRule="auto"/>
              <w:ind w:left="127" w:right="140"/>
              <w:jc w:val="both"/>
              <w:rPr>
                <w:sz w:val="28"/>
                <w:szCs w:val="28"/>
              </w:rPr>
            </w:pPr>
            <w:r w:rsidRPr="007B30B4">
              <w:rPr>
                <w:sz w:val="28"/>
                <w:szCs w:val="28"/>
              </w:rPr>
              <w:t xml:space="preserve">Ar kapitālsabiedrību, pamatojoties uz </w:t>
            </w:r>
            <w:r w:rsidRPr="007B30B4">
              <w:rPr>
                <w:sz w:val="28"/>
                <w:szCs w:val="28"/>
              </w:rPr>
              <w:lastRenderedPageBreak/>
              <w:t xml:space="preserve">Kultūras institūciju likuma 23.panta otro daļu, </w:t>
            </w:r>
            <w:r w:rsidR="00EE1058">
              <w:rPr>
                <w:rFonts w:eastAsia="Arial Unicode MS"/>
                <w:sz w:val="28"/>
                <w:szCs w:val="28"/>
              </w:rPr>
              <w:t xml:space="preserve">2015.gada 10.janvārī </w:t>
            </w:r>
            <w:r w:rsidRPr="007B30B4">
              <w:rPr>
                <w:rFonts w:eastAsia="Arial Unicode MS"/>
                <w:sz w:val="28"/>
                <w:szCs w:val="28"/>
              </w:rPr>
              <w:t>noslēgts līdzdarbības līgums Nr.5.1.-8-9</w:t>
            </w:r>
            <w:r w:rsidRPr="007B30B4">
              <w:rPr>
                <w:sz w:val="28"/>
                <w:szCs w:val="28"/>
              </w:rPr>
              <w:t xml:space="preserve"> „Par atsevišķu valsts pārvaldes uzdevumu deleģēšanu kultūras jomā”, saskaņā ar</w:t>
            </w:r>
            <w:r w:rsidR="00EE1058">
              <w:rPr>
                <w:sz w:val="28"/>
                <w:szCs w:val="28"/>
              </w:rPr>
              <w:t xml:space="preserve"> kuru kapitālsabiedrība veic </w:t>
            </w:r>
            <w:r w:rsidRPr="007B30B4">
              <w:rPr>
                <w:sz w:val="28"/>
                <w:szCs w:val="28"/>
              </w:rPr>
              <w:t xml:space="preserve">valsts deleģētus pārvaldes uzdevumus kultūras jomā, kuru ietvaros kapitālsabiedrības tiešie uzdevumi ietver sabiedrības vajadzībām nodrošināt un padarīt pieejamus profesionālās mākslas produktus – operas un baleta izrādes. </w:t>
            </w:r>
          </w:p>
          <w:p w:rsidR="004E08FB" w:rsidRDefault="004E08FB" w:rsidP="007B30B4">
            <w:pPr>
              <w:pStyle w:val="Default"/>
              <w:ind w:left="127" w:right="140"/>
              <w:jc w:val="both"/>
              <w:rPr>
                <w:color w:val="auto"/>
                <w:sz w:val="28"/>
                <w:szCs w:val="28"/>
              </w:rPr>
            </w:pPr>
          </w:p>
          <w:p w:rsidR="005347A8" w:rsidRPr="007B30B4" w:rsidRDefault="000B6865" w:rsidP="007B30B4">
            <w:pPr>
              <w:pStyle w:val="Default"/>
              <w:ind w:left="127" w:right="140"/>
              <w:jc w:val="both"/>
              <w:rPr>
                <w:color w:val="auto"/>
                <w:sz w:val="28"/>
                <w:szCs w:val="28"/>
              </w:rPr>
            </w:pPr>
            <w:r w:rsidRPr="007B30B4">
              <w:rPr>
                <w:color w:val="auto"/>
                <w:sz w:val="28"/>
                <w:szCs w:val="28"/>
              </w:rPr>
              <w:t xml:space="preserve">Attiecībā uz Eiropas Savienības dalībvalstu tiesībām veikt intervences kultūras pakalpojumu tirgū dažādu atbalsta pasākumu veidā (granti, dotācijas, projektu finansējums, nodokļu atvieglojumi), kultūras pakalpojumi ir </w:t>
            </w:r>
            <w:r w:rsidRPr="007B30B4">
              <w:rPr>
                <w:bCs/>
                <w:color w:val="auto"/>
                <w:sz w:val="28"/>
                <w:szCs w:val="28"/>
              </w:rPr>
              <w:t>izņēmums, kas paredzēts gan Līgumā par Eiropas Savienības darbību, gan tiek plaši piemērots Eiropas Savienības dalībvalstu praksē.</w:t>
            </w:r>
            <w:r w:rsidRPr="007B30B4">
              <w:rPr>
                <w:b/>
                <w:bCs/>
                <w:color w:val="auto"/>
                <w:sz w:val="28"/>
                <w:szCs w:val="28"/>
              </w:rPr>
              <w:t xml:space="preserve"> </w:t>
            </w:r>
            <w:r w:rsidRPr="007B30B4">
              <w:rPr>
                <w:color w:val="auto"/>
                <w:sz w:val="28"/>
                <w:szCs w:val="28"/>
              </w:rPr>
              <w:t>Līguma par Eiropas Savienības darbību 167.pants paredz, ka „Savienība veicina dalībvalstu kultūras uzplaukumu, respektējot to nacionālās un reģionālās atšķirības un vienlaikus pievēršot uzmanību kopīgajam kultūras mantojumam. (..) Rīkojoties saskaņā ar citiem Līguma noteikumiem, Savienība ņem vērā kultūras aspektus, jo īpaši, lai respektētu un veicinātu kultūru daudzveidību”. Savukārt Līguma par Eiropas Savienības darbību 107.panta 3.punkta d) apakšpunkts nosaka, ka „atbalstu, kas veicina kultūru un kultūras mantojuma saglabāšanu, ja tāds atbalsts neiespaido tirdzniecības nosacījumus un konkurenci Savienībā tiktāl, ka tas ir pretrunā kopīgām interesēm, var uzskatīt par saderīgu ar iekšējo tirgu.” Eiropas Komisijas 2013.</w:t>
            </w:r>
            <w:r w:rsidR="00EE1058">
              <w:rPr>
                <w:color w:val="auto"/>
                <w:sz w:val="28"/>
                <w:szCs w:val="28"/>
              </w:rPr>
              <w:t>gada 2.maija</w:t>
            </w:r>
            <w:r w:rsidRPr="007B30B4">
              <w:rPr>
                <w:color w:val="auto"/>
                <w:sz w:val="28"/>
                <w:szCs w:val="28"/>
              </w:rPr>
              <w:t xml:space="preserve"> lēmuma lietā Nr.SA.34462 (programma „Kultūra”) </w:t>
            </w:r>
            <w:proofErr w:type="spellStart"/>
            <w:r w:rsidRPr="007B30B4">
              <w:rPr>
                <w:color w:val="auto"/>
                <w:sz w:val="28"/>
                <w:szCs w:val="28"/>
              </w:rPr>
              <w:t>V.daļas</w:t>
            </w:r>
            <w:proofErr w:type="spellEnd"/>
            <w:r w:rsidRPr="007B30B4">
              <w:rPr>
                <w:color w:val="auto"/>
                <w:sz w:val="28"/>
                <w:szCs w:val="28"/>
              </w:rPr>
              <w:t xml:space="preserve"> 68.punktā ir noteikts, ka </w:t>
            </w:r>
            <w:r w:rsidRPr="007B30B4">
              <w:rPr>
                <w:color w:val="auto"/>
                <w:sz w:val="28"/>
                <w:szCs w:val="28"/>
              </w:rPr>
              <w:lastRenderedPageBreak/>
              <w:t>pasākumu kopums, t.sk. arī atbalsts kapitālsabiedrībai, ir uzskatāms par valsts atbalstu tikai daļēji un tas ir saderīgs ar Līguma par Eiropas Savienības darbību 107.panta 3.punkta d) apakšpunktu – atbalstu, kas veicina kultūru un kultūras mantojuma saglabāšanu.</w:t>
            </w:r>
            <w:r w:rsidR="00BC028D" w:rsidRPr="007B30B4">
              <w:rPr>
                <w:color w:val="auto"/>
                <w:sz w:val="28"/>
                <w:szCs w:val="28"/>
              </w:rPr>
              <w:t xml:space="preserve"> </w:t>
            </w:r>
            <w:r w:rsidR="00BC028D" w:rsidRPr="005677F5">
              <w:rPr>
                <w:color w:val="auto"/>
                <w:sz w:val="28"/>
                <w:szCs w:val="28"/>
              </w:rPr>
              <w:t>Atbalsta shēmas darbības ilgums tika noteikts līdz 2017.gada aprīlim.</w:t>
            </w:r>
            <w:r w:rsidR="007B30B4" w:rsidRPr="005677F5">
              <w:rPr>
                <w:color w:val="auto"/>
                <w:sz w:val="28"/>
                <w:szCs w:val="28"/>
              </w:rPr>
              <w:t xml:space="preserve"> </w:t>
            </w:r>
            <w:r w:rsidR="005347A8" w:rsidRPr="007B30B4">
              <w:rPr>
                <w:color w:val="auto"/>
                <w:sz w:val="28"/>
                <w:szCs w:val="28"/>
              </w:rPr>
              <w:t>2016.gada 19.jūlijā tika pieņemts Eiropas Komisijas paziņojums par Līguma par Eiropas Savienības darbību 107.panta 1.punktā minēto valsts atbalsta jēdzienu</w:t>
            </w:r>
            <w:r w:rsidR="005347A8" w:rsidRPr="007B30B4">
              <w:rPr>
                <w:i/>
                <w:color w:val="auto"/>
                <w:sz w:val="28"/>
                <w:szCs w:val="28"/>
              </w:rPr>
              <w:t xml:space="preserve"> </w:t>
            </w:r>
            <w:r w:rsidR="005677F5">
              <w:rPr>
                <w:color w:val="auto"/>
                <w:sz w:val="28"/>
                <w:szCs w:val="28"/>
              </w:rPr>
              <w:t xml:space="preserve">(2016/c 262/01) (turpmāk </w:t>
            </w:r>
            <w:r w:rsidR="007B30B4">
              <w:rPr>
                <w:color w:val="auto"/>
                <w:sz w:val="28"/>
                <w:szCs w:val="28"/>
              </w:rPr>
              <w:t>–</w:t>
            </w:r>
            <w:r w:rsidR="005347A8" w:rsidRPr="007B30B4">
              <w:rPr>
                <w:color w:val="auto"/>
                <w:sz w:val="28"/>
                <w:szCs w:val="28"/>
              </w:rPr>
              <w:t xml:space="preserve"> Paziņojums par valsts atbalsta jēdzienu), tostarp skaidrojot valsts atbalsta nosacījumu piemērošanu at</w:t>
            </w:r>
            <w:r w:rsidR="005677F5">
              <w:rPr>
                <w:color w:val="auto"/>
                <w:sz w:val="28"/>
                <w:szCs w:val="28"/>
              </w:rPr>
              <w:t xml:space="preserve">sevišķu nozaru ietvaros, </w:t>
            </w:r>
            <w:r w:rsidR="005347A8" w:rsidRPr="007B30B4">
              <w:rPr>
                <w:color w:val="auto"/>
                <w:sz w:val="28"/>
                <w:szCs w:val="28"/>
              </w:rPr>
              <w:t>piemēram, kultūrai un kultūrvēsturiskā mantojuma saglabāšanai, dabas aizsardzībai. Saskaņā ar Paziņojuma par valsts atbalsta jēd</w:t>
            </w:r>
            <w:r w:rsidR="005677F5">
              <w:rPr>
                <w:color w:val="auto"/>
                <w:sz w:val="28"/>
                <w:szCs w:val="28"/>
              </w:rPr>
              <w:t>zienu 33. un 34.punktā noteikto</w:t>
            </w:r>
            <w:r w:rsidR="005347A8" w:rsidRPr="007B30B4">
              <w:rPr>
                <w:color w:val="auto"/>
                <w:sz w:val="28"/>
                <w:szCs w:val="28"/>
              </w:rPr>
              <w:t xml:space="preserve"> kultūras un kultūrvēsturiskā mantojuma saglabāšanas jomā ietilpst ļoti plašs mērķu un darbību loks, tostarp muzeji, arhīvi, bibliotēkas, mākslas un kultūras centri vai telpas, teātri, operas nami, koncertzāles, arheoloģiskie objekti, pieminekļi, vēsturiskie objekti un celtnes, tradicionālās paražas un amatniecība, festivāli un izstādes, kā arī kultūras un mākslas izglītības pasākumi. </w:t>
            </w:r>
            <w:r w:rsidR="005677F5">
              <w:rPr>
                <w:color w:val="auto"/>
                <w:sz w:val="28"/>
                <w:szCs w:val="28"/>
              </w:rPr>
              <w:t xml:space="preserve">Eiropas </w:t>
            </w:r>
            <w:r w:rsidR="005347A8" w:rsidRPr="007B30B4">
              <w:rPr>
                <w:color w:val="auto"/>
                <w:sz w:val="28"/>
                <w:szCs w:val="28"/>
              </w:rPr>
              <w:t xml:space="preserve">Komisija ir norādījusi, ka atsevišķas ar kultūru, kultūrvēsturiskā mantojuma saglabāšanu un dabas aizsardzību saistības darbības var būt organizētas nekomerciāli un tādejādi tās ir tādas, kurām nav saimnieciska rakstura, līdz ar to publiskais finansējums, kas tām piešķirts, var nebūt valsts atbalsts. </w:t>
            </w:r>
          </w:p>
          <w:p w:rsidR="005347A8" w:rsidRPr="007B30B4" w:rsidRDefault="005347A8" w:rsidP="007B30B4">
            <w:pPr>
              <w:pStyle w:val="Default"/>
              <w:ind w:left="127"/>
              <w:jc w:val="both"/>
              <w:rPr>
                <w:color w:val="auto"/>
                <w:sz w:val="28"/>
                <w:szCs w:val="28"/>
              </w:rPr>
            </w:pPr>
          </w:p>
          <w:p w:rsidR="005347A8" w:rsidRDefault="005347A8" w:rsidP="007B30B4">
            <w:pPr>
              <w:pStyle w:val="Default"/>
              <w:ind w:left="127" w:right="140"/>
              <w:jc w:val="both"/>
              <w:rPr>
                <w:color w:val="auto"/>
                <w:sz w:val="28"/>
                <w:szCs w:val="28"/>
              </w:rPr>
            </w:pPr>
            <w:r w:rsidRPr="007B30B4">
              <w:rPr>
                <w:color w:val="auto"/>
                <w:sz w:val="28"/>
                <w:szCs w:val="28"/>
              </w:rPr>
              <w:t xml:space="preserve">Arī tad, ja no kultūras iestādes apmeklētājiem vai sabiedrībai pieejama kultūras vai kultūrvēsturiskā mantojuma saglabāšanas pasākuma dalībniekiem tiek </w:t>
            </w:r>
            <w:r w:rsidRPr="007B30B4">
              <w:rPr>
                <w:color w:val="auto"/>
                <w:sz w:val="28"/>
                <w:szCs w:val="28"/>
              </w:rPr>
              <w:lastRenderedPageBreak/>
              <w:t xml:space="preserve">prasīta samaksa, kas sedz tikai daļu no faktiskajām izmaksām, šim pasākumam tik un tā nav saimnieciska rakstura, jo šādu samaksu nevar uzskatīt par reālu atlīdzību par sniegto pakalpojumu. Turklāt </w:t>
            </w:r>
            <w:r w:rsidR="005677F5">
              <w:rPr>
                <w:color w:val="auto"/>
                <w:sz w:val="28"/>
                <w:szCs w:val="28"/>
              </w:rPr>
              <w:t xml:space="preserve">Eiropas </w:t>
            </w:r>
            <w:r w:rsidRPr="007B30B4">
              <w:rPr>
                <w:color w:val="auto"/>
                <w:sz w:val="28"/>
                <w:szCs w:val="28"/>
              </w:rPr>
              <w:t>Komisija norāda, ka publiskais finansējums</w:t>
            </w:r>
            <w:r w:rsidR="004E08FB">
              <w:rPr>
                <w:color w:val="auto"/>
                <w:sz w:val="28"/>
                <w:szCs w:val="28"/>
              </w:rPr>
              <w:t xml:space="preserve"> </w:t>
            </w:r>
            <w:r w:rsidRPr="007B30B4">
              <w:rPr>
                <w:color w:val="auto"/>
                <w:sz w:val="28"/>
                <w:szCs w:val="28"/>
              </w:rPr>
              <w:t>parastajiem papildpakalpojumiem, kurus sniedz saistībā ar kultūras un kultūrvēsturiskā mantojuma saglabāšanas nesaimnieciskajām darbībām (piemēram, veikalam, bāram vai maksas garderobei muzejā), parasti neietekmē tirdzniecību starp dalībvalstīm.</w:t>
            </w:r>
          </w:p>
          <w:p w:rsidR="007B30B4" w:rsidRPr="007B30B4" w:rsidRDefault="007B30B4" w:rsidP="007B30B4">
            <w:pPr>
              <w:pStyle w:val="Default"/>
              <w:ind w:left="127" w:right="140"/>
              <w:jc w:val="both"/>
              <w:rPr>
                <w:color w:val="auto"/>
                <w:sz w:val="28"/>
                <w:szCs w:val="28"/>
              </w:rPr>
            </w:pPr>
          </w:p>
          <w:p w:rsidR="005347A8" w:rsidRDefault="005347A8" w:rsidP="007B30B4">
            <w:pPr>
              <w:pStyle w:val="Default"/>
              <w:ind w:left="127" w:right="140"/>
              <w:jc w:val="both"/>
              <w:rPr>
                <w:color w:val="auto"/>
                <w:sz w:val="28"/>
                <w:szCs w:val="28"/>
              </w:rPr>
            </w:pPr>
            <w:r w:rsidRPr="007B30B4">
              <w:rPr>
                <w:color w:val="auto"/>
                <w:sz w:val="28"/>
                <w:szCs w:val="28"/>
              </w:rPr>
              <w:t xml:space="preserve">Papildus </w:t>
            </w:r>
            <w:r w:rsidR="005677F5">
              <w:rPr>
                <w:color w:val="auto"/>
                <w:sz w:val="28"/>
                <w:szCs w:val="28"/>
              </w:rPr>
              <w:t xml:space="preserve">Eiropas </w:t>
            </w:r>
            <w:r w:rsidRPr="007B30B4">
              <w:rPr>
                <w:color w:val="auto"/>
                <w:sz w:val="28"/>
                <w:szCs w:val="28"/>
              </w:rPr>
              <w:t>Komisija ir secinājusi</w:t>
            </w:r>
            <w:r w:rsidR="005677F5">
              <w:rPr>
                <w:color w:val="auto"/>
                <w:sz w:val="28"/>
                <w:szCs w:val="28"/>
              </w:rPr>
              <w:t>, ka</w:t>
            </w:r>
            <w:r w:rsidRPr="007B30B4">
              <w:rPr>
                <w:color w:val="auto"/>
                <w:sz w:val="28"/>
                <w:szCs w:val="28"/>
              </w:rPr>
              <w:t xml:space="preserve"> kultūras vai kultūrvēsturiskā mantojuma saglabāšanas pasākumiem, kuriem nav saimnieciska rakstura, nav jāveic novērtējums par to, vai iespējamais publiskais finansējums varētu ietekmēt tirdzniecību, savukārt kultūras pasākumi un subjekti, kuri veic saimniecisku darbību, diez vai pārvilinātu lietotājus vai apmeklētājus, kuri izmanto līdzīgu piedāvājumu citās dalībvalstīs. </w:t>
            </w:r>
            <w:r w:rsidR="005677F5">
              <w:rPr>
                <w:color w:val="auto"/>
                <w:sz w:val="28"/>
                <w:szCs w:val="28"/>
              </w:rPr>
              <w:t xml:space="preserve">Eiropas </w:t>
            </w:r>
            <w:r w:rsidRPr="007B30B4">
              <w:rPr>
                <w:color w:val="auto"/>
                <w:sz w:val="28"/>
                <w:szCs w:val="28"/>
              </w:rPr>
              <w:t>Komisija uzskata, ka potenciāls ietekmēt tirdzniecību starp dalībvalstīm piemīt tikai finansējumam, kuru piešķir lielām un plaši pazīstamām kādas dalībvalsts kultūras iestādēm un pasākumiem, ko plaši reklamē ārpus to vietējā reģiona.</w:t>
            </w:r>
          </w:p>
          <w:p w:rsidR="004E08FB" w:rsidRPr="007B30B4" w:rsidRDefault="004E08FB" w:rsidP="007B30B4">
            <w:pPr>
              <w:pStyle w:val="Default"/>
              <w:ind w:left="127" w:right="140"/>
              <w:jc w:val="both"/>
              <w:rPr>
                <w:color w:val="auto"/>
                <w:sz w:val="28"/>
                <w:szCs w:val="28"/>
              </w:rPr>
            </w:pPr>
          </w:p>
          <w:p w:rsidR="005347A8" w:rsidRPr="007B30B4" w:rsidRDefault="005347A8" w:rsidP="00CE777B">
            <w:pPr>
              <w:pStyle w:val="Default"/>
              <w:ind w:left="127" w:right="140"/>
              <w:jc w:val="both"/>
              <w:rPr>
                <w:color w:val="auto"/>
                <w:sz w:val="28"/>
                <w:szCs w:val="28"/>
              </w:rPr>
            </w:pPr>
            <w:r w:rsidRPr="007B30B4">
              <w:rPr>
                <w:color w:val="auto"/>
                <w:sz w:val="28"/>
                <w:szCs w:val="28"/>
              </w:rPr>
              <w:t>Ņemot vērā iepriekš minēto un sas</w:t>
            </w:r>
            <w:r w:rsidR="008A680B" w:rsidRPr="007B30B4">
              <w:rPr>
                <w:color w:val="auto"/>
                <w:sz w:val="28"/>
                <w:szCs w:val="28"/>
              </w:rPr>
              <w:t>kaņā ar Ministru kabineta 2015.gada 22.</w:t>
            </w:r>
            <w:r w:rsidR="005677F5">
              <w:rPr>
                <w:color w:val="auto"/>
                <w:sz w:val="28"/>
                <w:szCs w:val="28"/>
              </w:rPr>
              <w:t xml:space="preserve">decembra sēdes </w:t>
            </w:r>
            <w:proofErr w:type="spellStart"/>
            <w:r w:rsidR="005677F5">
              <w:rPr>
                <w:color w:val="auto"/>
                <w:sz w:val="28"/>
                <w:szCs w:val="28"/>
              </w:rPr>
              <w:t>protokollēmuma</w:t>
            </w:r>
            <w:proofErr w:type="spellEnd"/>
            <w:r w:rsidRPr="007B30B4">
              <w:rPr>
                <w:color w:val="auto"/>
                <w:sz w:val="28"/>
                <w:szCs w:val="28"/>
              </w:rPr>
              <w:t xml:space="preserve"> </w:t>
            </w:r>
            <w:r w:rsidR="005677F5">
              <w:rPr>
                <w:color w:val="auto"/>
                <w:sz w:val="28"/>
                <w:szCs w:val="28"/>
              </w:rPr>
              <w:t xml:space="preserve">(prot. </w:t>
            </w:r>
            <w:r w:rsidRPr="007B30B4">
              <w:rPr>
                <w:color w:val="auto"/>
                <w:sz w:val="28"/>
                <w:szCs w:val="28"/>
              </w:rPr>
              <w:t>Nr.68 56.§</w:t>
            </w:r>
            <w:r w:rsidR="005677F5">
              <w:rPr>
                <w:color w:val="auto"/>
                <w:sz w:val="28"/>
                <w:szCs w:val="28"/>
              </w:rPr>
              <w:t>)</w:t>
            </w:r>
            <w:r w:rsidR="005677F5" w:rsidRPr="007B30B4">
              <w:rPr>
                <w:color w:val="auto"/>
                <w:sz w:val="28"/>
                <w:szCs w:val="28"/>
              </w:rPr>
              <w:t xml:space="preserve"> </w:t>
            </w:r>
            <w:r w:rsidR="005677F5">
              <w:rPr>
                <w:color w:val="auto"/>
                <w:sz w:val="28"/>
                <w:szCs w:val="28"/>
              </w:rPr>
              <w:t>„Noteikumu projekts „</w:t>
            </w:r>
            <w:r w:rsidR="005677F5" w:rsidRPr="005677F5">
              <w:rPr>
                <w:color w:val="auto"/>
                <w:sz w:val="28"/>
                <w:szCs w:val="28"/>
              </w:rPr>
              <w:t>Kārtība, kādā valsts kapitālsabiedrības un publiski privātās kapitālsabiedrības, kurās valsts ir dalībnieks (akcionārs) prognozē un nosaka dividendēs izmaksājamo peļņas daļu, un veic maksājumus valsts budžetā par valsts kapitāla izmanto</w:t>
            </w:r>
            <w:r w:rsidR="005677F5">
              <w:rPr>
                <w:color w:val="auto"/>
                <w:sz w:val="28"/>
                <w:szCs w:val="28"/>
              </w:rPr>
              <w:t xml:space="preserve">šanu”” 3.1.punktā </w:t>
            </w:r>
            <w:r w:rsidRPr="007B30B4">
              <w:rPr>
                <w:color w:val="auto"/>
                <w:sz w:val="28"/>
                <w:szCs w:val="28"/>
              </w:rPr>
              <w:t xml:space="preserve">noteikto </w:t>
            </w:r>
            <w:r w:rsidR="005677F5">
              <w:rPr>
                <w:color w:val="auto"/>
                <w:sz w:val="28"/>
                <w:szCs w:val="28"/>
              </w:rPr>
              <w:t xml:space="preserve">uzdevumu </w:t>
            </w:r>
            <w:r w:rsidRPr="007B30B4">
              <w:rPr>
                <w:color w:val="auto"/>
                <w:sz w:val="28"/>
                <w:szCs w:val="28"/>
              </w:rPr>
              <w:t xml:space="preserve">pagarināt </w:t>
            </w:r>
            <w:r w:rsidR="00CE777B">
              <w:rPr>
                <w:color w:val="auto"/>
                <w:sz w:val="28"/>
                <w:szCs w:val="28"/>
              </w:rPr>
              <w:t xml:space="preserve">atbalsta </w:t>
            </w:r>
            <w:r w:rsidRPr="007B30B4">
              <w:rPr>
                <w:color w:val="auto"/>
                <w:sz w:val="28"/>
                <w:szCs w:val="28"/>
              </w:rPr>
              <w:lastRenderedPageBreak/>
              <w:t xml:space="preserve">shēmas darbības ilgumu, </w:t>
            </w:r>
            <w:r w:rsidR="008A680B" w:rsidRPr="007B30B4">
              <w:rPr>
                <w:color w:val="auto"/>
                <w:sz w:val="28"/>
                <w:szCs w:val="28"/>
              </w:rPr>
              <w:t>Kultūras m</w:t>
            </w:r>
            <w:r w:rsidRPr="007B30B4">
              <w:rPr>
                <w:color w:val="auto"/>
                <w:sz w:val="28"/>
                <w:szCs w:val="28"/>
              </w:rPr>
              <w:t xml:space="preserve">inistrija sadarbībā ar Finanšu ministrijas Komercdarbības kontroles departamentu sagatavoja apspriežu dokumentu izskatīšanai </w:t>
            </w:r>
            <w:r w:rsidR="005677F5">
              <w:rPr>
                <w:color w:val="auto"/>
                <w:sz w:val="28"/>
                <w:szCs w:val="28"/>
              </w:rPr>
              <w:t xml:space="preserve">Eiropas </w:t>
            </w:r>
            <w:r w:rsidRPr="007B30B4">
              <w:rPr>
                <w:color w:val="auto"/>
                <w:sz w:val="28"/>
                <w:szCs w:val="28"/>
              </w:rPr>
              <w:t>Komisijā par valsts atbalsta nosacījumu piemērošanu kultūras nozarē un plānoto turpmāko rīcību atbalsta shēmas ietvaros.</w:t>
            </w:r>
            <w:r w:rsidR="00CE777B">
              <w:rPr>
                <w:color w:val="auto"/>
                <w:sz w:val="28"/>
                <w:szCs w:val="28"/>
              </w:rPr>
              <w:t xml:space="preserve"> </w:t>
            </w:r>
            <w:r w:rsidR="008A680B" w:rsidRPr="007B30B4">
              <w:rPr>
                <w:color w:val="auto"/>
                <w:sz w:val="28"/>
                <w:szCs w:val="28"/>
              </w:rPr>
              <w:t>Pēc 2016.gada 21.</w:t>
            </w:r>
            <w:r w:rsidRPr="007B30B4">
              <w:rPr>
                <w:color w:val="auto"/>
                <w:sz w:val="28"/>
                <w:szCs w:val="28"/>
              </w:rPr>
              <w:t xml:space="preserve">novembrī notikušajām konsultācijām ar </w:t>
            </w:r>
            <w:r w:rsidR="005677F5">
              <w:rPr>
                <w:color w:val="auto"/>
                <w:sz w:val="28"/>
                <w:szCs w:val="28"/>
              </w:rPr>
              <w:t>Eiropas Komisiju</w:t>
            </w:r>
            <w:r w:rsidRPr="007B30B4">
              <w:rPr>
                <w:color w:val="auto"/>
                <w:sz w:val="28"/>
                <w:szCs w:val="28"/>
              </w:rPr>
              <w:t xml:space="preserve"> tika panākta vienošanās, ka atbalsta shēmas darbības ilgumu nav nepieciešams pagarināt, jo kultūras nozarei piešķirtais valsts budžeta finansējums kopumā nav uzskatāms par valsts atbalstu Līguma </w:t>
            </w:r>
            <w:r w:rsidR="005677F5" w:rsidRPr="007B30B4">
              <w:rPr>
                <w:color w:val="auto"/>
                <w:sz w:val="28"/>
                <w:szCs w:val="28"/>
              </w:rPr>
              <w:t xml:space="preserve">par Eiropas Savienības darbību </w:t>
            </w:r>
            <w:r w:rsidRPr="007B30B4">
              <w:rPr>
                <w:color w:val="auto"/>
                <w:sz w:val="28"/>
                <w:szCs w:val="28"/>
              </w:rPr>
              <w:t xml:space="preserve">107.panta 1.punkta izpratnē, savukārt atsevišķi atbalsta projekti kultūras nozares ietvaros turpmāk tiks ieviesti atbilstoši </w:t>
            </w:r>
            <w:r w:rsidR="005677F5">
              <w:rPr>
                <w:color w:val="auto"/>
                <w:sz w:val="28"/>
                <w:szCs w:val="28"/>
              </w:rPr>
              <w:t xml:space="preserve">Eiropas </w:t>
            </w:r>
            <w:r w:rsidR="005111F9">
              <w:rPr>
                <w:color w:val="auto"/>
                <w:sz w:val="28"/>
                <w:szCs w:val="28"/>
              </w:rPr>
              <w:t>Komisijas regulas Nr.</w:t>
            </w:r>
            <w:r w:rsidRPr="007B30B4">
              <w:rPr>
                <w:color w:val="auto"/>
                <w:sz w:val="28"/>
                <w:szCs w:val="28"/>
              </w:rPr>
              <w:t>6</w:t>
            </w:r>
            <w:r w:rsidR="005111F9">
              <w:rPr>
                <w:color w:val="auto"/>
                <w:sz w:val="28"/>
                <w:szCs w:val="28"/>
              </w:rPr>
              <w:t>5</w:t>
            </w:r>
            <w:r w:rsidRPr="007B30B4">
              <w:rPr>
                <w:color w:val="auto"/>
                <w:sz w:val="28"/>
                <w:szCs w:val="28"/>
              </w:rPr>
              <w:t xml:space="preserve">1/2014, ar ko noteiktas atbalsta kategorijas atzīst par saderīgām ar iekšējo tirgu, piemērojot </w:t>
            </w:r>
            <w:r w:rsidR="00CE777B" w:rsidRPr="007B30B4">
              <w:rPr>
                <w:color w:val="auto"/>
                <w:sz w:val="28"/>
                <w:szCs w:val="28"/>
              </w:rPr>
              <w:t xml:space="preserve">Līguma </w:t>
            </w:r>
            <w:r w:rsidRPr="007B30B4">
              <w:rPr>
                <w:color w:val="auto"/>
                <w:sz w:val="28"/>
                <w:szCs w:val="28"/>
              </w:rPr>
              <w:t xml:space="preserve">107. un 108.pantu nosacījumiem. Diskusijā Komisijas pārstāvji atsevišķi norādīja uz sniegto samaksu par kultūras pasākuma vai kultūrvēsturiskā mantojuma objekta apmeklējumu </w:t>
            </w:r>
            <w:r w:rsidR="004E08FB">
              <w:rPr>
                <w:color w:val="auto"/>
                <w:sz w:val="28"/>
                <w:szCs w:val="28"/>
              </w:rPr>
              <w:t>–</w:t>
            </w:r>
            <w:r w:rsidRPr="007B30B4">
              <w:rPr>
                <w:color w:val="auto"/>
                <w:sz w:val="28"/>
                <w:szCs w:val="28"/>
              </w:rPr>
              <w:t xml:space="preserve"> ja no kultūras iestādes apmeklētājiem vai sabiedrībai pieejama kultūras vai kultūrvēsturiskā mantojuma saglabāšanas pasākuma dalībniekiem tiek prasīta samaksa, kas sedz tikai daļu no faktiskajām izmaksām, šim pasākumam nav saimnieciska rakstura, jo šādu samaksu nevar uzskatīt par reālu atlīdzību par sniegto pakalpojumu. </w:t>
            </w:r>
            <w:r w:rsidR="00CE777B">
              <w:rPr>
                <w:color w:val="auto"/>
                <w:sz w:val="28"/>
                <w:szCs w:val="28"/>
              </w:rPr>
              <w:t xml:space="preserve">Eiropas </w:t>
            </w:r>
            <w:r w:rsidRPr="007B30B4">
              <w:rPr>
                <w:color w:val="auto"/>
                <w:sz w:val="28"/>
                <w:szCs w:val="28"/>
              </w:rPr>
              <w:t>Komisijas e</w:t>
            </w:r>
            <w:r w:rsidR="00CE777B">
              <w:rPr>
                <w:color w:val="auto"/>
                <w:sz w:val="28"/>
                <w:szCs w:val="28"/>
              </w:rPr>
              <w:t xml:space="preserve">kspertu skaidrojumā </w:t>
            </w:r>
            <w:r w:rsidRPr="007B30B4">
              <w:rPr>
                <w:color w:val="auto"/>
                <w:sz w:val="28"/>
                <w:szCs w:val="28"/>
              </w:rPr>
              <w:t>„daļa no faktiskajām izmaksām” tiek uzskatīta ne vairāk kā 50</w:t>
            </w:r>
            <w:r w:rsidR="00CE777B">
              <w:rPr>
                <w:color w:val="auto"/>
                <w:sz w:val="28"/>
                <w:szCs w:val="28"/>
              </w:rPr>
              <w:t xml:space="preserve"> procenti</w:t>
            </w:r>
            <w:r w:rsidRPr="007B30B4">
              <w:rPr>
                <w:color w:val="auto"/>
                <w:sz w:val="28"/>
                <w:szCs w:val="28"/>
              </w:rPr>
              <w:t xml:space="preserve"> no kopējiem kultūras pasākuma/aktivitātes organizēšanas izdevumiem, savukārt attiecībā uz pasākumiem, kur biļešu ieņēmumi vai apmeklētāju maksa pārsniedz 50</w:t>
            </w:r>
            <w:r w:rsidR="00CE777B">
              <w:rPr>
                <w:color w:val="auto"/>
                <w:sz w:val="28"/>
                <w:szCs w:val="28"/>
              </w:rPr>
              <w:t xml:space="preserve"> procentus </w:t>
            </w:r>
            <w:r w:rsidRPr="007B30B4">
              <w:rPr>
                <w:color w:val="auto"/>
                <w:sz w:val="28"/>
                <w:szCs w:val="28"/>
              </w:rPr>
              <w:t xml:space="preserve">no faktiskajām pasākuma izmaksām, valsts atbalsta nosacījumi jāsniedz saskaņā </w:t>
            </w:r>
            <w:r w:rsidRPr="007B30B4">
              <w:rPr>
                <w:color w:val="auto"/>
                <w:sz w:val="28"/>
                <w:szCs w:val="28"/>
              </w:rPr>
              <w:lastRenderedPageBreak/>
              <w:t xml:space="preserve">ar </w:t>
            </w:r>
            <w:r w:rsidR="005111F9">
              <w:rPr>
                <w:color w:val="auto"/>
                <w:sz w:val="28"/>
                <w:szCs w:val="28"/>
              </w:rPr>
              <w:t>Eiropas Komisijas regulas Nr.</w:t>
            </w:r>
            <w:r w:rsidR="005111F9" w:rsidRPr="007B30B4">
              <w:rPr>
                <w:color w:val="auto"/>
                <w:sz w:val="28"/>
                <w:szCs w:val="28"/>
              </w:rPr>
              <w:t>6</w:t>
            </w:r>
            <w:r w:rsidR="005111F9">
              <w:rPr>
                <w:color w:val="auto"/>
                <w:sz w:val="28"/>
                <w:szCs w:val="28"/>
              </w:rPr>
              <w:t>5</w:t>
            </w:r>
            <w:r w:rsidR="005111F9" w:rsidRPr="007B30B4">
              <w:rPr>
                <w:color w:val="auto"/>
                <w:sz w:val="28"/>
                <w:szCs w:val="28"/>
              </w:rPr>
              <w:t xml:space="preserve">1/2014, ar ko noteiktas atbalsta kategorijas atzīst par saderīgām ar iekšējo tirgu, piemērojot Līguma 107. un 108.pantu nosacījumiem </w:t>
            </w:r>
            <w:r w:rsidRPr="007B30B4">
              <w:rPr>
                <w:color w:val="auto"/>
                <w:sz w:val="28"/>
                <w:szCs w:val="28"/>
              </w:rPr>
              <w:t xml:space="preserve">53.pantu. </w:t>
            </w:r>
          </w:p>
          <w:p w:rsidR="005347A8" w:rsidRPr="007B30B4" w:rsidRDefault="005347A8" w:rsidP="007B30B4">
            <w:pPr>
              <w:spacing w:after="0" w:line="240" w:lineRule="auto"/>
              <w:ind w:left="127" w:right="140"/>
              <w:jc w:val="both"/>
              <w:rPr>
                <w:sz w:val="28"/>
                <w:szCs w:val="28"/>
              </w:rPr>
            </w:pPr>
          </w:p>
          <w:p w:rsidR="000B6865" w:rsidRPr="007B30B4" w:rsidRDefault="005347A8" w:rsidP="005111F9">
            <w:pPr>
              <w:spacing w:after="0" w:line="240" w:lineRule="auto"/>
              <w:ind w:left="127" w:right="140"/>
              <w:jc w:val="both"/>
              <w:rPr>
                <w:bCs/>
                <w:sz w:val="28"/>
                <w:szCs w:val="28"/>
              </w:rPr>
            </w:pPr>
            <w:r w:rsidRPr="007B30B4">
              <w:rPr>
                <w:sz w:val="28"/>
                <w:szCs w:val="28"/>
              </w:rPr>
              <w:t xml:space="preserve">Lai kapitālsabiedrība spētu īstenot tās stratēģijā noteiktos mērķus, ir nepieciešams veikt regulārus ieguldījumus </w:t>
            </w:r>
            <w:r w:rsidRPr="007B30B4">
              <w:rPr>
                <w:rFonts w:eastAsiaTheme="minorHAnsi"/>
                <w:sz w:val="28"/>
                <w:szCs w:val="28"/>
              </w:rPr>
              <w:t>tehniskās un tehnoloģiskās darbības pilnveidošanā</w:t>
            </w:r>
            <w:r w:rsidRPr="007B30B4">
              <w:rPr>
                <w:sz w:val="28"/>
                <w:szCs w:val="28"/>
              </w:rPr>
              <w:t>, līdz ar to Kultūras ministrija ierosina Ministru kabinetam pieņemt lēmumu, ar kuru a</w:t>
            </w:r>
            <w:r w:rsidRPr="007B30B4">
              <w:rPr>
                <w:bCs/>
                <w:sz w:val="28"/>
                <w:szCs w:val="28"/>
              </w:rPr>
              <w:t xml:space="preserve">tļaut </w:t>
            </w:r>
            <w:r w:rsidR="005111F9">
              <w:rPr>
                <w:bCs/>
                <w:sz w:val="28"/>
                <w:szCs w:val="28"/>
              </w:rPr>
              <w:t>kapitālsabiedrības</w:t>
            </w:r>
            <w:r w:rsidRPr="007B30B4">
              <w:rPr>
                <w:bCs/>
                <w:sz w:val="28"/>
                <w:szCs w:val="28"/>
              </w:rPr>
              <w:t xml:space="preserve"> stratēģijā atšķirīgu prognozējamo dividendēs izmaksājamo peļņas daļu 0</w:t>
            </w:r>
            <w:r w:rsidR="005111F9">
              <w:rPr>
                <w:bCs/>
                <w:sz w:val="28"/>
                <w:szCs w:val="28"/>
              </w:rPr>
              <w:t xml:space="preserve"> procentu</w:t>
            </w:r>
            <w:r w:rsidRPr="007B30B4">
              <w:rPr>
                <w:bCs/>
                <w:sz w:val="28"/>
                <w:szCs w:val="28"/>
              </w:rPr>
              <w:t xml:space="preserve"> apmērā no prognozētās tīrās peļņas.</w:t>
            </w:r>
          </w:p>
        </w:tc>
      </w:tr>
      <w:tr w:rsidR="000B6865" w:rsidRPr="007B30B4" w:rsidTr="007B30B4">
        <w:trPr>
          <w:trHeight w:val="735"/>
          <w:tblCellSpacing w:w="0" w:type="dxa"/>
        </w:trPr>
        <w:tc>
          <w:tcPr>
            <w:tcW w:w="398" w:type="pct"/>
            <w:tcBorders>
              <w:top w:val="outset" w:sz="6" w:space="0" w:color="auto"/>
              <w:left w:val="outset" w:sz="6" w:space="0" w:color="auto"/>
              <w:bottom w:val="outset" w:sz="6" w:space="0" w:color="auto"/>
              <w:right w:val="outset" w:sz="6" w:space="0" w:color="auto"/>
            </w:tcBorders>
          </w:tcPr>
          <w:p w:rsidR="000B6865" w:rsidRPr="007B30B4" w:rsidRDefault="000B6865" w:rsidP="007B30B4">
            <w:pPr>
              <w:spacing w:after="0" w:line="240" w:lineRule="auto"/>
              <w:jc w:val="center"/>
              <w:rPr>
                <w:rFonts w:eastAsia="Times New Roman"/>
                <w:sz w:val="28"/>
                <w:szCs w:val="28"/>
                <w:lang w:eastAsia="lv-LV"/>
              </w:rPr>
            </w:pPr>
            <w:r w:rsidRPr="007B30B4">
              <w:rPr>
                <w:rFonts w:eastAsia="Times New Roman"/>
                <w:sz w:val="28"/>
                <w:szCs w:val="28"/>
                <w:lang w:eastAsia="lv-LV"/>
              </w:rPr>
              <w:lastRenderedPageBreak/>
              <w:t>3.</w:t>
            </w:r>
          </w:p>
        </w:tc>
        <w:tc>
          <w:tcPr>
            <w:tcW w:w="1791" w:type="pct"/>
            <w:tcBorders>
              <w:top w:val="outset" w:sz="6" w:space="0" w:color="auto"/>
              <w:left w:val="outset" w:sz="6" w:space="0" w:color="auto"/>
              <w:bottom w:val="outset" w:sz="6" w:space="0" w:color="auto"/>
              <w:right w:val="outset" w:sz="6" w:space="0" w:color="auto"/>
            </w:tcBorders>
          </w:tcPr>
          <w:p w:rsidR="000B6865" w:rsidRPr="007B30B4" w:rsidRDefault="000B6865" w:rsidP="007B30B4">
            <w:pPr>
              <w:spacing w:after="0" w:line="240" w:lineRule="auto"/>
              <w:rPr>
                <w:rFonts w:eastAsia="Times New Roman"/>
                <w:sz w:val="28"/>
                <w:szCs w:val="28"/>
                <w:lang w:eastAsia="lv-LV"/>
              </w:rPr>
            </w:pPr>
            <w:r w:rsidRPr="007B30B4">
              <w:rPr>
                <w:rFonts w:eastAsia="Times New Roman"/>
                <w:sz w:val="28"/>
                <w:szCs w:val="28"/>
                <w:lang w:eastAsia="lv-LV"/>
              </w:rPr>
              <w:t>Projekta izstrādē iesaistītās institūcijas</w:t>
            </w:r>
          </w:p>
        </w:tc>
        <w:tc>
          <w:tcPr>
            <w:tcW w:w="2811" w:type="pct"/>
            <w:tcBorders>
              <w:top w:val="outset" w:sz="6" w:space="0" w:color="auto"/>
              <w:left w:val="outset" w:sz="6" w:space="0" w:color="auto"/>
              <w:bottom w:val="outset" w:sz="6" w:space="0" w:color="auto"/>
              <w:right w:val="outset" w:sz="6" w:space="0" w:color="auto"/>
            </w:tcBorders>
          </w:tcPr>
          <w:p w:rsidR="000B6865" w:rsidRPr="007B30B4" w:rsidRDefault="000B6865" w:rsidP="007B30B4">
            <w:pPr>
              <w:spacing w:after="0" w:line="240" w:lineRule="auto"/>
              <w:ind w:left="127" w:right="140"/>
              <w:jc w:val="both"/>
              <w:rPr>
                <w:rFonts w:eastAsia="Times New Roman"/>
                <w:sz w:val="28"/>
                <w:szCs w:val="28"/>
                <w:lang w:eastAsia="lv-LV"/>
              </w:rPr>
            </w:pPr>
            <w:r w:rsidRPr="007B30B4">
              <w:rPr>
                <w:rFonts w:eastAsia="Times New Roman"/>
                <w:sz w:val="28"/>
                <w:szCs w:val="28"/>
                <w:lang w:eastAsia="lv-LV"/>
              </w:rPr>
              <w:t>Kultūras ministrija, valsts sabiedrība ar ierobežotu atbildību „Latvijas Nacionālā opera un balets”.</w:t>
            </w:r>
          </w:p>
        </w:tc>
      </w:tr>
      <w:tr w:rsidR="000B6865" w:rsidRPr="007B30B4" w:rsidTr="007B30B4">
        <w:trPr>
          <w:trHeight w:val="499"/>
          <w:tblCellSpacing w:w="0" w:type="dxa"/>
        </w:trPr>
        <w:tc>
          <w:tcPr>
            <w:tcW w:w="398" w:type="pct"/>
            <w:tcBorders>
              <w:top w:val="outset" w:sz="6" w:space="0" w:color="auto"/>
              <w:left w:val="outset" w:sz="6" w:space="0" w:color="auto"/>
              <w:bottom w:val="outset" w:sz="6" w:space="0" w:color="auto"/>
              <w:right w:val="outset" w:sz="6" w:space="0" w:color="auto"/>
            </w:tcBorders>
          </w:tcPr>
          <w:p w:rsidR="000B6865" w:rsidRPr="007B30B4" w:rsidRDefault="000B6865" w:rsidP="007B30B4">
            <w:pPr>
              <w:spacing w:after="0" w:line="240" w:lineRule="auto"/>
              <w:jc w:val="center"/>
              <w:rPr>
                <w:rFonts w:eastAsia="Times New Roman"/>
                <w:sz w:val="28"/>
                <w:szCs w:val="28"/>
                <w:lang w:eastAsia="lv-LV"/>
              </w:rPr>
            </w:pPr>
            <w:r w:rsidRPr="007B30B4">
              <w:rPr>
                <w:rFonts w:eastAsia="Times New Roman"/>
                <w:sz w:val="28"/>
                <w:szCs w:val="28"/>
                <w:lang w:eastAsia="lv-LV"/>
              </w:rPr>
              <w:t>4.</w:t>
            </w:r>
          </w:p>
        </w:tc>
        <w:tc>
          <w:tcPr>
            <w:tcW w:w="1791" w:type="pct"/>
            <w:tcBorders>
              <w:top w:val="outset" w:sz="6" w:space="0" w:color="auto"/>
              <w:left w:val="outset" w:sz="6" w:space="0" w:color="auto"/>
              <w:bottom w:val="outset" w:sz="6" w:space="0" w:color="auto"/>
              <w:right w:val="outset" w:sz="6" w:space="0" w:color="auto"/>
            </w:tcBorders>
          </w:tcPr>
          <w:p w:rsidR="000B6865" w:rsidRPr="007B30B4" w:rsidRDefault="000B6865" w:rsidP="007B30B4">
            <w:pPr>
              <w:spacing w:after="0" w:line="240" w:lineRule="auto"/>
              <w:rPr>
                <w:rFonts w:eastAsia="Times New Roman"/>
                <w:sz w:val="28"/>
                <w:szCs w:val="28"/>
                <w:lang w:eastAsia="lv-LV"/>
              </w:rPr>
            </w:pPr>
            <w:r w:rsidRPr="007B30B4">
              <w:rPr>
                <w:rFonts w:eastAsia="Times New Roman"/>
                <w:sz w:val="28"/>
                <w:szCs w:val="28"/>
                <w:lang w:eastAsia="lv-LV"/>
              </w:rPr>
              <w:t> Cita informācija</w:t>
            </w:r>
          </w:p>
        </w:tc>
        <w:tc>
          <w:tcPr>
            <w:tcW w:w="2811" w:type="pct"/>
            <w:tcBorders>
              <w:top w:val="outset" w:sz="6" w:space="0" w:color="auto"/>
              <w:left w:val="outset" w:sz="6" w:space="0" w:color="auto"/>
              <w:bottom w:val="outset" w:sz="6" w:space="0" w:color="auto"/>
              <w:right w:val="outset" w:sz="6" w:space="0" w:color="auto"/>
            </w:tcBorders>
          </w:tcPr>
          <w:p w:rsidR="000B6865" w:rsidRPr="007B30B4" w:rsidRDefault="000B6865" w:rsidP="007B30B4">
            <w:pPr>
              <w:spacing w:after="0" w:line="240" w:lineRule="auto"/>
              <w:ind w:left="127"/>
              <w:rPr>
                <w:rFonts w:eastAsia="Times New Roman"/>
                <w:sz w:val="28"/>
                <w:szCs w:val="28"/>
                <w:lang w:eastAsia="lv-LV"/>
              </w:rPr>
            </w:pPr>
            <w:r w:rsidRPr="007B30B4">
              <w:rPr>
                <w:rFonts w:eastAsia="Times New Roman"/>
                <w:sz w:val="28"/>
                <w:szCs w:val="28"/>
                <w:lang w:eastAsia="lv-LV"/>
              </w:rPr>
              <w:t>Nav</w:t>
            </w:r>
          </w:p>
        </w:tc>
      </w:tr>
    </w:tbl>
    <w:p w:rsidR="000B6865" w:rsidRPr="007322AF" w:rsidRDefault="000B6865" w:rsidP="000B6865">
      <w:pPr>
        <w:spacing w:after="0" w:line="240" w:lineRule="auto"/>
        <w:ind w:firstLine="374"/>
        <w:jc w:val="both"/>
        <w:rPr>
          <w:rFonts w:eastAsia="Times New Roman"/>
          <w:sz w:val="28"/>
          <w:szCs w:val="28"/>
          <w:lang w:eastAsia="lv-LV"/>
        </w:rPr>
      </w:pPr>
    </w:p>
    <w:p w:rsidR="000B6865" w:rsidRPr="00FC423D" w:rsidRDefault="000B6865" w:rsidP="000B6865">
      <w:pPr>
        <w:spacing w:before="75" w:after="75" w:line="240" w:lineRule="auto"/>
        <w:ind w:firstLine="375"/>
        <w:jc w:val="both"/>
        <w:rPr>
          <w:rFonts w:eastAsia="Times New Roman"/>
          <w:i/>
          <w:iCs/>
          <w:sz w:val="28"/>
          <w:szCs w:val="28"/>
          <w:lang w:eastAsia="lv-LV"/>
        </w:rPr>
      </w:pPr>
      <w:r w:rsidRPr="00FC423D">
        <w:rPr>
          <w:rFonts w:eastAsia="Times New Roman"/>
          <w:sz w:val="28"/>
          <w:szCs w:val="28"/>
          <w:lang w:eastAsia="lv-LV"/>
        </w:rPr>
        <w:t> </w:t>
      </w:r>
      <w:r w:rsidRPr="00FC423D">
        <w:rPr>
          <w:rFonts w:eastAsia="Times New Roman"/>
          <w:i/>
          <w:sz w:val="28"/>
          <w:szCs w:val="28"/>
          <w:lang w:eastAsia="lv-LV"/>
        </w:rPr>
        <w:t>Anotācijas II</w:t>
      </w:r>
      <w:r>
        <w:rPr>
          <w:rFonts w:eastAsia="Times New Roman"/>
          <w:i/>
          <w:sz w:val="28"/>
          <w:szCs w:val="28"/>
          <w:lang w:eastAsia="lv-LV"/>
        </w:rPr>
        <w:t xml:space="preserve">, </w:t>
      </w:r>
      <w:r>
        <w:rPr>
          <w:rFonts w:eastAsia="Times New Roman"/>
          <w:i/>
          <w:iCs/>
          <w:sz w:val="28"/>
          <w:szCs w:val="28"/>
          <w:lang w:eastAsia="lv-LV"/>
        </w:rPr>
        <w:t xml:space="preserve">IV un </w:t>
      </w:r>
      <w:r w:rsidRPr="00FC423D">
        <w:rPr>
          <w:rFonts w:eastAsia="Times New Roman"/>
          <w:i/>
          <w:iCs/>
          <w:sz w:val="28"/>
          <w:szCs w:val="28"/>
          <w:lang w:eastAsia="lv-LV"/>
        </w:rPr>
        <w:t>VI</w:t>
      </w:r>
      <w:r>
        <w:rPr>
          <w:rFonts w:eastAsia="Times New Roman"/>
          <w:i/>
          <w:iCs/>
          <w:sz w:val="28"/>
          <w:szCs w:val="28"/>
          <w:lang w:eastAsia="lv-LV"/>
        </w:rPr>
        <w:t xml:space="preserve"> </w:t>
      </w:r>
      <w:r w:rsidRPr="00FC423D">
        <w:rPr>
          <w:rFonts w:eastAsia="Times New Roman"/>
          <w:i/>
          <w:sz w:val="28"/>
          <w:szCs w:val="28"/>
          <w:lang w:eastAsia="lv-LV"/>
        </w:rPr>
        <w:t xml:space="preserve">sadaļa – </w:t>
      </w:r>
      <w:r w:rsidRPr="00FC423D">
        <w:rPr>
          <w:i/>
          <w:sz w:val="28"/>
          <w:szCs w:val="28"/>
        </w:rPr>
        <w:t>Projekts šo jomu neskar.</w:t>
      </w:r>
    </w:p>
    <w:p w:rsidR="000B6865" w:rsidRPr="00FC423D" w:rsidRDefault="000B6865" w:rsidP="000B6865">
      <w:pPr>
        <w:spacing w:after="0" w:line="240" w:lineRule="auto"/>
        <w:ind w:firstLine="374"/>
        <w:jc w:val="both"/>
        <w:rPr>
          <w:rFonts w:eastAsia="Times New Roman"/>
          <w:i/>
          <w:sz w:val="28"/>
          <w:szCs w:val="28"/>
          <w:lang w:eastAsia="lv-LV"/>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499"/>
        <w:gridCol w:w="1505"/>
        <w:gridCol w:w="1238"/>
        <w:gridCol w:w="1318"/>
        <w:gridCol w:w="1336"/>
        <w:gridCol w:w="1205"/>
      </w:tblGrid>
      <w:tr w:rsidR="000B6865" w:rsidRPr="00FC423D" w:rsidTr="007B30B4">
        <w:trPr>
          <w:trHeight w:val="683"/>
          <w:tblCellSpacing w:w="0" w:type="dxa"/>
        </w:trPr>
        <w:tc>
          <w:tcPr>
            <w:tcW w:w="5000" w:type="pct"/>
            <w:gridSpan w:val="6"/>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150" w:after="150" w:line="240" w:lineRule="auto"/>
              <w:jc w:val="center"/>
              <w:rPr>
                <w:rFonts w:eastAsia="Times New Roman"/>
                <w:b/>
                <w:bCs/>
                <w:sz w:val="28"/>
                <w:szCs w:val="28"/>
                <w:lang w:eastAsia="lv-LV"/>
              </w:rPr>
            </w:pPr>
            <w:r w:rsidRPr="00FC423D">
              <w:rPr>
                <w:rFonts w:eastAsia="Times New Roman"/>
                <w:b/>
                <w:bCs/>
                <w:sz w:val="28"/>
                <w:szCs w:val="28"/>
                <w:lang w:eastAsia="lv-LV"/>
              </w:rPr>
              <w:t>III. Tiesību akta projekta ietekme uz valsts budžetu un pašvaldību budžetiem</w:t>
            </w:r>
          </w:p>
        </w:tc>
      </w:tr>
      <w:tr w:rsidR="000B6865" w:rsidRPr="00FC423D" w:rsidTr="007B30B4">
        <w:trPr>
          <w:tblCellSpacing w:w="0" w:type="dxa"/>
        </w:trPr>
        <w:tc>
          <w:tcPr>
            <w:tcW w:w="1374" w:type="pct"/>
            <w:vMerge w:val="restart"/>
            <w:tcBorders>
              <w:top w:val="outset" w:sz="6" w:space="0" w:color="auto"/>
              <w:left w:val="outset" w:sz="6" w:space="0" w:color="auto"/>
              <w:bottom w:val="outset" w:sz="6" w:space="0" w:color="auto"/>
              <w:right w:val="outset" w:sz="6" w:space="0" w:color="auto"/>
            </w:tcBorders>
            <w:vAlign w:val="center"/>
          </w:tcPr>
          <w:p w:rsidR="000B6865" w:rsidRPr="00FC423D" w:rsidRDefault="000B6865" w:rsidP="00BD5C39">
            <w:pPr>
              <w:spacing w:before="75" w:after="75" w:line="240" w:lineRule="auto"/>
              <w:jc w:val="center"/>
              <w:rPr>
                <w:rFonts w:eastAsia="Times New Roman"/>
                <w:sz w:val="28"/>
                <w:szCs w:val="28"/>
                <w:lang w:eastAsia="lv-LV"/>
              </w:rPr>
            </w:pPr>
            <w:r w:rsidRPr="00FC423D">
              <w:rPr>
                <w:rFonts w:eastAsia="Times New Roman"/>
                <w:sz w:val="28"/>
                <w:szCs w:val="28"/>
                <w:lang w:eastAsia="lv-LV"/>
              </w:rPr>
              <w:t> </w:t>
            </w:r>
            <w:r w:rsidRPr="00FC423D">
              <w:rPr>
                <w:rFonts w:eastAsia="Times New Roman"/>
                <w:b/>
                <w:bCs/>
                <w:sz w:val="28"/>
                <w:szCs w:val="28"/>
                <w:lang w:eastAsia="lv-LV"/>
              </w:rPr>
              <w:t>Rādītāji</w:t>
            </w:r>
          </w:p>
        </w:tc>
        <w:tc>
          <w:tcPr>
            <w:tcW w:w="1509" w:type="pct"/>
            <w:gridSpan w:val="2"/>
            <w:vMerge w:val="restart"/>
            <w:tcBorders>
              <w:top w:val="outset" w:sz="6" w:space="0" w:color="auto"/>
              <w:left w:val="outset" w:sz="6" w:space="0" w:color="auto"/>
              <w:bottom w:val="outset" w:sz="6" w:space="0" w:color="auto"/>
              <w:right w:val="outset" w:sz="6" w:space="0" w:color="auto"/>
            </w:tcBorders>
            <w:vAlign w:val="center"/>
          </w:tcPr>
          <w:p w:rsidR="000B6865" w:rsidRPr="00FC423D" w:rsidRDefault="000B6865" w:rsidP="00BD5C39">
            <w:pPr>
              <w:spacing w:before="75" w:after="75" w:line="240" w:lineRule="auto"/>
              <w:jc w:val="center"/>
              <w:rPr>
                <w:rFonts w:eastAsia="Times New Roman"/>
                <w:sz w:val="28"/>
                <w:szCs w:val="28"/>
                <w:lang w:eastAsia="lv-LV"/>
              </w:rPr>
            </w:pPr>
            <w:r w:rsidRPr="00FC423D">
              <w:rPr>
                <w:rFonts w:eastAsia="Times New Roman"/>
                <w:b/>
                <w:sz w:val="28"/>
                <w:szCs w:val="28"/>
                <w:lang w:eastAsia="lv-LV"/>
              </w:rPr>
              <w:t>201</w:t>
            </w:r>
            <w:r w:rsidR="00A15A73">
              <w:rPr>
                <w:rFonts w:eastAsia="Times New Roman"/>
                <w:b/>
                <w:sz w:val="28"/>
                <w:szCs w:val="28"/>
                <w:lang w:eastAsia="lv-LV"/>
              </w:rPr>
              <w:t>7</w:t>
            </w:r>
            <w:r w:rsidRPr="00FC423D">
              <w:rPr>
                <w:rFonts w:eastAsia="Times New Roman"/>
                <w:b/>
                <w:sz w:val="28"/>
                <w:szCs w:val="28"/>
                <w:lang w:eastAsia="lv-LV"/>
              </w:rPr>
              <w:t>.</w:t>
            </w:r>
            <w:r w:rsidRPr="00FC423D">
              <w:rPr>
                <w:rFonts w:eastAsia="Times New Roman"/>
                <w:b/>
                <w:bCs/>
                <w:sz w:val="28"/>
                <w:szCs w:val="28"/>
                <w:lang w:eastAsia="lv-LV"/>
              </w:rPr>
              <w:t>gads</w:t>
            </w:r>
          </w:p>
        </w:tc>
        <w:tc>
          <w:tcPr>
            <w:tcW w:w="2117" w:type="pct"/>
            <w:gridSpan w:val="3"/>
            <w:tcBorders>
              <w:top w:val="outset" w:sz="6" w:space="0" w:color="auto"/>
              <w:left w:val="outset" w:sz="6" w:space="0" w:color="auto"/>
              <w:bottom w:val="outset" w:sz="6" w:space="0" w:color="auto"/>
              <w:right w:val="outset" w:sz="6" w:space="0" w:color="auto"/>
            </w:tcBorders>
            <w:vAlign w:val="center"/>
          </w:tcPr>
          <w:p w:rsidR="000B6865" w:rsidRPr="00FC423D" w:rsidRDefault="000B6865" w:rsidP="00BD5C39">
            <w:pPr>
              <w:spacing w:before="75" w:after="75" w:line="240" w:lineRule="auto"/>
              <w:jc w:val="center"/>
              <w:rPr>
                <w:rFonts w:eastAsia="Times New Roman"/>
                <w:sz w:val="28"/>
                <w:szCs w:val="28"/>
                <w:lang w:eastAsia="lv-LV"/>
              </w:rPr>
            </w:pPr>
            <w:r w:rsidRPr="00FC423D">
              <w:rPr>
                <w:rFonts w:eastAsia="Times New Roman"/>
                <w:sz w:val="28"/>
                <w:szCs w:val="28"/>
                <w:lang w:eastAsia="lv-LV"/>
              </w:rPr>
              <w:t> Turpmākie trīs gadi (</w:t>
            </w:r>
            <w:proofErr w:type="spellStart"/>
            <w:r w:rsidRPr="00657DE8">
              <w:rPr>
                <w:rFonts w:eastAsia="Times New Roman"/>
                <w:i/>
                <w:sz w:val="28"/>
                <w:szCs w:val="28"/>
                <w:lang w:eastAsia="lv-LV"/>
              </w:rPr>
              <w:t>euro</w:t>
            </w:r>
            <w:proofErr w:type="spellEnd"/>
            <w:r w:rsidRPr="00FC423D">
              <w:rPr>
                <w:rFonts w:eastAsia="Times New Roman"/>
                <w:sz w:val="28"/>
                <w:szCs w:val="28"/>
                <w:lang w:eastAsia="lv-LV"/>
              </w:rPr>
              <w:t>)</w:t>
            </w:r>
          </w:p>
        </w:tc>
      </w:tr>
      <w:tr w:rsidR="000B6865" w:rsidRPr="00FC423D" w:rsidTr="007B30B4">
        <w:trPr>
          <w:tblCellSpacing w:w="0" w:type="dxa"/>
        </w:trPr>
        <w:tc>
          <w:tcPr>
            <w:tcW w:w="1374" w:type="pct"/>
            <w:vMerge/>
            <w:tcBorders>
              <w:top w:val="outset" w:sz="6" w:space="0" w:color="auto"/>
              <w:left w:val="outset" w:sz="6" w:space="0" w:color="auto"/>
              <w:bottom w:val="outset" w:sz="6" w:space="0" w:color="auto"/>
              <w:right w:val="outset" w:sz="6" w:space="0" w:color="auto"/>
            </w:tcBorders>
            <w:vAlign w:val="center"/>
          </w:tcPr>
          <w:p w:rsidR="000B6865" w:rsidRPr="00FC423D" w:rsidRDefault="000B6865" w:rsidP="00BD5C39">
            <w:pPr>
              <w:spacing w:after="0" w:line="240" w:lineRule="auto"/>
              <w:rPr>
                <w:rFonts w:eastAsia="Times New Roman"/>
                <w:sz w:val="28"/>
                <w:szCs w:val="28"/>
                <w:lang w:eastAsia="lv-LV"/>
              </w:rPr>
            </w:pPr>
          </w:p>
        </w:tc>
        <w:tc>
          <w:tcPr>
            <w:tcW w:w="1509" w:type="pct"/>
            <w:gridSpan w:val="2"/>
            <w:vMerge/>
            <w:tcBorders>
              <w:top w:val="outset" w:sz="6" w:space="0" w:color="auto"/>
              <w:left w:val="outset" w:sz="6" w:space="0" w:color="auto"/>
              <w:bottom w:val="outset" w:sz="6" w:space="0" w:color="auto"/>
              <w:right w:val="outset" w:sz="6" w:space="0" w:color="auto"/>
            </w:tcBorders>
            <w:vAlign w:val="center"/>
          </w:tcPr>
          <w:p w:rsidR="000B6865" w:rsidRPr="00FC423D" w:rsidRDefault="000B6865" w:rsidP="00BD5C39">
            <w:pPr>
              <w:spacing w:after="0" w:line="240" w:lineRule="auto"/>
              <w:rPr>
                <w:rFonts w:eastAsia="Times New Roman"/>
                <w:sz w:val="28"/>
                <w:szCs w:val="28"/>
                <w:lang w:eastAsia="lv-LV"/>
              </w:rPr>
            </w:pPr>
          </w:p>
        </w:tc>
        <w:tc>
          <w:tcPr>
            <w:tcW w:w="725" w:type="pct"/>
            <w:tcBorders>
              <w:top w:val="outset" w:sz="6" w:space="0" w:color="auto"/>
              <w:left w:val="outset" w:sz="6" w:space="0" w:color="auto"/>
              <w:bottom w:val="outset" w:sz="6" w:space="0" w:color="auto"/>
              <w:right w:val="outset" w:sz="6" w:space="0" w:color="auto"/>
            </w:tcBorders>
            <w:vAlign w:val="center"/>
          </w:tcPr>
          <w:p w:rsidR="000B6865" w:rsidRPr="00FC423D" w:rsidRDefault="000B6865" w:rsidP="00BD5C39">
            <w:pPr>
              <w:spacing w:before="150" w:after="150" w:line="240" w:lineRule="auto"/>
              <w:jc w:val="center"/>
              <w:rPr>
                <w:rFonts w:eastAsia="Times New Roman"/>
                <w:b/>
                <w:bCs/>
                <w:sz w:val="28"/>
                <w:szCs w:val="28"/>
                <w:lang w:eastAsia="lv-LV"/>
              </w:rPr>
            </w:pPr>
            <w:r w:rsidRPr="00FC423D">
              <w:rPr>
                <w:rFonts w:eastAsia="Times New Roman"/>
                <w:b/>
                <w:bCs/>
                <w:sz w:val="28"/>
                <w:szCs w:val="28"/>
                <w:lang w:eastAsia="lv-LV"/>
              </w:rPr>
              <w:t>201</w:t>
            </w:r>
            <w:r w:rsidR="00A15A73">
              <w:rPr>
                <w:rFonts w:eastAsia="Times New Roman"/>
                <w:b/>
                <w:bCs/>
                <w:sz w:val="28"/>
                <w:szCs w:val="28"/>
                <w:lang w:eastAsia="lv-LV"/>
              </w:rPr>
              <w:t>8</w:t>
            </w:r>
            <w:r w:rsidR="007B30B4">
              <w:rPr>
                <w:rFonts w:eastAsia="Times New Roman"/>
                <w:b/>
                <w:bCs/>
                <w:sz w:val="28"/>
                <w:szCs w:val="28"/>
                <w:lang w:eastAsia="lv-LV"/>
              </w:rPr>
              <w:t>.gads</w:t>
            </w:r>
          </w:p>
        </w:tc>
        <w:tc>
          <w:tcPr>
            <w:tcW w:w="735" w:type="pct"/>
            <w:tcBorders>
              <w:top w:val="outset" w:sz="6" w:space="0" w:color="auto"/>
              <w:left w:val="outset" w:sz="6" w:space="0" w:color="auto"/>
              <w:bottom w:val="outset" w:sz="6" w:space="0" w:color="auto"/>
              <w:right w:val="outset" w:sz="6" w:space="0" w:color="auto"/>
            </w:tcBorders>
            <w:vAlign w:val="center"/>
          </w:tcPr>
          <w:p w:rsidR="000B6865" w:rsidRPr="00FC423D" w:rsidRDefault="000B6865" w:rsidP="00BD5C39">
            <w:pPr>
              <w:spacing w:before="150" w:after="150" w:line="240" w:lineRule="auto"/>
              <w:jc w:val="center"/>
              <w:rPr>
                <w:rFonts w:eastAsia="Times New Roman"/>
                <w:b/>
                <w:bCs/>
                <w:sz w:val="28"/>
                <w:szCs w:val="28"/>
                <w:lang w:eastAsia="lv-LV"/>
              </w:rPr>
            </w:pPr>
            <w:r w:rsidRPr="00FC423D">
              <w:rPr>
                <w:rFonts w:eastAsia="Times New Roman"/>
                <w:b/>
                <w:bCs/>
                <w:sz w:val="28"/>
                <w:szCs w:val="28"/>
                <w:lang w:eastAsia="lv-LV"/>
              </w:rPr>
              <w:t>201</w:t>
            </w:r>
            <w:r w:rsidR="00A15A73">
              <w:rPr>
                <w:rFonts w:eastAsia="Times New Roman"/>
                <w:b/>
                <w:bCs/>
                <w:sz w:val="28"/>
                <w:szCs w:val="28"/>
                <w:lang w:eastAsia="lv-LV"/>
              </w:rPr>
              <w:t>9</w:t>
            </w:r>
            <w:r w:rsidR="007B30B4">
              <w:rPr>
                <w:rFonts w:eastAsia="Times New Roman"/>
                <w:b/>
                <w:bCs/>
                <w:sz w:val="28"/>
                <w:szCs w:val="28"/>
                <w:lang w:eastAsia="lv-LV"/>
              </w:rPr>
              <w:t>.gads</w:t>
            </w:r>
          </w:p>
        </w:tc>
        <w:tc>
          <w:tcPr>
            <w:tcW w:w="657" w:type="pct"/>
            <w:tcBorders>
              <w:top w:val="outset" w:sz="6" w:space="0" w:color="auto"/>
              <w:left w:val="outset" w:sz="6" w:space="0" w:color="auto"/>
              <w:bottom w:val="outset" w:sz="6" w:space="0" w:color="auto"/>
              <w:right w:val="outset" w:sz="6" w:space="0" w:color="auto"/>
            </w:tcBorders>
            <w:vAlign w:val="center"/>
          </w:tcPr>
          <w:p w:rsidR="000B6865" w:rsidRPr="00FC423D" w:rsidRDefault="000B6865" w:rsidP="00BD5C39">
            <w:pPr>
              <w:spacing w:before="150" w:after="150" w:line="240" w:lineRule="auto"/>
              <w:jc w:val="center"/>
              <w:rPr>
                <w:rFonts w:eastAsia="Times New Roman"/>
                <w:b/>
                <w:bCs/>
                <w:sz w:val="28"/>
                <w:szCs w:val="28"/>
                <w:lang w:eastAsia="lv-LV"/>
              </w:rPr>
            </w:pPr>
            <w:r w:rsidRPr="00FC423D">
              <w:rPr>
                <w:rFonts w:eastAsia="Times New Roman"/>
                <w:b/>
                <w:bCs/>
                <w:sz w:val="28"/>
                <w:szCs w:val="28"/>
                <w:lang w:eastAsia="lv-LV"/>
              </w:rPr>
              <w:t>20</w:t>
            </w:r>
            <w:r w:rsidR="00A15A73">
              <w:rPr>
                <w:rFonts w:eastAsia="Times New Roman"/>
                <w:b/>
                <w:bCs/>
                <w:sz w:val="28"/>
                <w:szCs w:val="28"/>
                <w:lang w:eastAsia="lv-LV"/>
              </w:rPr>
              <w:t>20</w:t>
            </w:r>
            <w:r w:rsidR="007B30B4">
              <w:rPr>
                <w:rFonts w:eastAsia="Times New Roman"/>
                <w:b/>
                <w:bCs/>
                <w:sz w:val="28"/>
                <w:szCs w:val="28"/>
                <w:lang w:eastAsia="lv-LV"/>
              </w:rPr>
              <w:t>.gads</w:t>
            </w:r>
          </w:p>
        </w:tc>
      </w:tr>
      <w:tr w:rsidR="000B6865" w:rsidRPr="00FC423D" w:rsidTr="007B30B4">
        <w:trPr>
          <w:tblCellSpacing w:w="0" w:type="dxa"/>
        </w:trPr>
        <w:tc>
          <w:tcPr>
            <w:tcW w:w="1374" w:type="pct"/>
            <w:vMerge/>
            <w:tcBorders>
              <w:top w:val="outset" w:sz="6" w:space="0" w:color="auto"/>
              <w:left w:val="outset" w:sz="6" w:space="0" w:color="auto"/>
              <w:bottom w:val="outset" w:sz="6" w:space="0" w:color="auto"/>
              <w:right w:val="outset" w:sz="6" w:space="0" w:color="auto"/>
            </w:tcBorders>
            <w:vAlign w:val="center"/>
          </w:tcPr>
          <w:p w:rsidR="000B6865" w:rsidRPr="00FC423D" w:rsidRDefault="000B6865" w:rsidP="00BD5C39">
            <w:pPr>
              <w:spacing w:after="0" w:line="240" w:lineRule="auto"/>
              <w:rPr>
                <w:rFonts w:eastAsia="Times New Roman"/>
                <w:sz w:val="28"/>
                <w:szCs w:val="28"/>
                <w:lang w:eastAsia="lv-LV"/>
              </w:rPr>
            </w:pPr>
          </w:p>
        </w:tc>
        <w:tc>
          <w:tcPr>
            <w:tcW w:w="828" w:type="pct"/>
            <w:tcBorders>
              <w:top w:val="outset" w:sz="6" w:space="0" w:color="auto"/>
              <w:left w:val="outset" w:sz="6" w:space="0" w:color="auto"/>
              <w:bottom w:val="outset" w:sz="6" w:space="0" w:color="auto"/>
              <w:right w:val="outset" w:sz="6" w:space="0" w:color="auto"/>
            </w:tcBorders>
            <w:vAlign w:val="center"/>
          </w:tcPr>
          <w:p w:rsidR="000B6865" w:rsidRPr="00FC423D" w:rsidRDefault="000B6865" w:rsidP="00BD5C39">
            <w:pPr>
              <w:spacing w:before="75" w:after="75" w:line="240" w:lineRule="auto"/>
              <w:jc w:val="center"/>
              <w:rPr>
                <w:rFonts w:eastAsia="Times New Roman"/>
                <w:sz w:val="28"/>
                <w:szCs w:val="28"/>
                <w:lang w:eastAsia="lv-LV"/>
              </w:rPr>
            </w:pPr>
            <w:r w:rsidRPr="00FC423D">
              <w:rPr>
                <w:rFonts w:eastAsia="Times New Roman"/>
                <w:sz w:val="28"/>
                <w:szCs w:val="28"/>
                <w:lang w:eastAsia="lv-LV"/>
              </w:rPr>
              <w:t> Saskaņā ar valsts budžetu kārtējam gadam</w:t>
            </w:r>
          </w:p>
        </w:tc>
        <w:tc>
          <w:tcPr>
            <w:tcW w:w="681" w:type="pct"/>
            <w:tcBorders>
              <w:top w:val="outset" w:sz="6" w:space="0" w:color="auto"/>
              <w:left w:val="outset" w:sz="6" w:space="0" w:color="auto"/>
              <w:bottom w:val="outset" w:sz="6" w:space="0" w:color="auto"/>
              <w:right w:val="outset" w:sz="6" w:space="0" w:color="auto"/>
            </w:tcBorders>
            <w:vAlign w:val="center"/>
          </w:tcPr>
          <w:p w:rsidR="000B6865" w:rsidRPr="00FC423D" w:rsidRDefault="000B6865" w:rsidP="00BD5C39">
            <w:pPr>
              <w:spacing w:before="75" w:after="75" w:line="240" w:lineRule="auto"/>
              <w:jc w:val="center"/>
              <w:rPr>
                <w:rFonts w:eastAsia="Times New Roman"/>
                <w:sz w:val="28"/>
                <w:szCs w:val="28"/>
                <w:lang w:eastAsia="lv-LV"/>
              </w:rPr>
            </w:pPr>
            <w:r w:rsidRPr="00FC423D">
              <w:rPr>
                <w:rFonts w:eastAsia="Times New Roman"/>
                <w:sz w:val="28"/>
                <w:szCs w:val="28"/>
                <w:lang w:eastAsia="lv-LV"/>
              </w:rPr>
              <w:t> Izmaiņas kārtējā gadā, salīdzinot ar budžetu kārtējam gadam</w:t>
            </w:r>
          </w:p>
        </w:tc>
        <w:tc>
          <w:tcPr>
            <w:tcW w:w="725" w:type="pct"/>
            <w:tcBorders>
              <w:top w:val="outset" w:sz="6" w:space="0" w:color="auto"/>
              <w:left w:val="outset" w:sz="6" w:space="0" w:color="auto"/>
              <w:bottom w:val="outset" w:sz="6" w:space="0" w:color="auto"/>
              <w:right w:val="outset" w:sz="6" w:space="0" w:color="auto"/>
            </w:tcBorders>
            <w:vAlign w:val="center"/>
          </w:tcPr>
          <w:p w:rsidR="000B6865" w:rsidRPr="00FC423D" w:rsidRDefault="000B6865" w:rsidP="00BD5C39">
            <w:pPr>
              <w:spacing w:before="75" w:after="75" w:line="240" w:lineRule="auto"/>
              <w:jc w:val="center"/>
              <w:rPr>
                <w:rFonts w:eastAsia="Times New Roman"/>
                <w:sz w:val="28"/>
                <w:szCs w:val="28"/>
                <w:lang w:eastAsia="lv-LV"/>
              </w:rPr>
            </w:pPr>
            <w:r w:rsidRPr="00FC423D">
              <w:rPr>
                <w:rFonts w:eastAsia="Times New Roman"/>
                <w:sz w:val="28"/>
                <w:szCs w:val="28"/>
                <w:lang w:eastAsia="lv-LV"/>
              </w:rPr>
              <w:t> Iz</w:t>
            </w:r>
            <w:r>
              <w:rPr>
                <w:rFonts w:eastAsia="Times New Roman"/>
                <w:sz w:val="28"/>
                <w:szCs w:val="28"/>
                <w:lang w:eastAsia="lv-LV"/>
              </w:rPr>
              <w:t>maiņas salīdzinot ar kārtējo (201</w:t>
            </w:r>
            <w:r w:rsidR="00936D26">
              <w:rPr>
                <w:rFonts w:eastAsia="Times New Roman"/>
                <w:sz w:val="28"/>
                <w:szCs w:val="28"/>
                <w:lang w:eastAsia="lv-LV"/>
              </w:rPr>
              <w:t>7</w:t>
            </w:r>
            <w:r w:rsidRPr="00FC423D">
              <w:rPr>
                <w:rFonts w:eastAsia="Times New Roman"/>
                <w:sz w:val="28"/>
                <w:szCs w:val="28"/>
                <w:lang w:eastAsia="lv-LV"/>
              </w:rPr>
              <w:t>) gadu</w:t>
            </w:r>
          </w:p>
        </w:tc>
        <w:tc>
          <w:tcPr>
            <w:tcW w:w="735" w:type="pct"/>
            <w:tcBorders>
              <w:top w:val="outset" w:sz="6" w:space="0" w:color="auto"/>
              <w:left w:val="outset" w:sz="6" w:space="0" w:color="auto"/>
              <w:bottom w:val="outset" w:sz="6" w:space="0" w:color="auto"/>
              <w:right w:val="outset" w:sz="6" w:space="0" w:color="auto"/>
            </w:tcBorders>
            <w:vAlign w:val="center"/>
          </w:tcPr>
          <w:p w:rsidR="000B6865" w:rsidRPr="00FC423D" w:rsidRDefault="000B6865" w:rsidP="00BD5C39">
            <w:pPr>
              <w:spacing w:before="75" w:after="75" w:line="240" w:lineRule="auto"/>
              <w:jc w:val="center"/>
              <w:rPr>
                <w:rFonts w:eastAsia="Times New Roman"/>
                <w:sz w:val="28"/>
                <w:szCs w:val="28"/>
                <w:lang w:eastAsia="lv-LV"/>
              </w:rPr>
            </w:pPr>
            <w:r w:rsidRPr="00FC423D">
              <w:rPr>
                <w:rFonts w:eastAsia="Times New Roman"/>
                <w:sz w:val="28"/>
                <w:szCs w:val="28"/>
                <w:lang w:eastAsia="lv-LV"/>
              </w:rPr>
              <w:t> Iz</w:t>
            </w:r>
            <w:r>
              <w:rPr>
                <w:rFonts w:eastAsia="Times New Roman"/>
                <w:sz w:val="28"/>
                <w:szCs w:val="28"/>
                <w:lang w:eastAsia="lv-LV"/>
              </w:rPr>
              <w:t>maiņas, salīdzinot ar kārtējo (201</w:t>
            </w:r>
            <w:r w:rsidR="00936D26">
              <w:rPr>
                <w:rFonts w:eastAsia="Times New Roman"/>
                <w:sz w:val="28"/>
                <w:szCs w:val="28"/>
                <w:lang w:eastAsia="lv-LV"/>
              </w:rPr>
              <w:t>7</w:t>
            </w:r>
            <w:r w:rsidRPr="00FC423D">
              <w:rPr>
                <w:rFonts w:eastAsia="Times New Roman"/>
                <w:sz w:val="28"/>
                <w:szCs w:val="28"/>
                <w:lang w:eastAsia="lv-LV"/>
              </w:rPr>
              <w:t>) gadu</w:t>
            </w:r>
          </w:p>
        </w:tc>
        <w:tc>
          <w:tcPr>
            <w:tcW w:w="657" w:type="pct"/>
            <w:tcBorders>
              <w:top w:val="outset" w:sz="6" w:space="0" w:color="auto"/>
              <w:left w:val="outset" w:sz="6" w:space="0" w:color="auto"/>
              <w:bottom w:val="outset" w:sz="6" w:space="0" w:color="auto"/>
              <w:right w:val="outset" w:sz="6" w:space="0" w:color="auto"/>
            </w:tcBorders>
            <w:vAlign w:val="center"/>
          </w:tcPr>
          <w:p w:rsidR="000B6865" w:rsidRPr="00FC423D" w:rsidRDefault="000B6865" w:rsidP="00BD5C39">
            <w:pPr>
              <w:spacing w:before="75" w:after="75" w:line="240" w:lineRule="auto"/>
              <w:jc w:val="center"/>
              <w:rPr>
                <w:rFonts w:eastAsia="Times New Roman"/>
                <w:sz w:val="28"/>
                <w:szCs w:val="28"/>
                <w:lang w:eastAsia="lv-LV"/>
              </w:rPr>
            </w:pPr>
            <w:r w:rsidRPr="00FC423D">
              <w:rPr>
                <w:rFonts w:eastAsia="Times New Roman"/>
                <w:sz w:val="28"/>
                <w:szCs w:val="28"/>
                <w:lang w:eastAsia="lv-LV"/>
              </w:rPr>
              <w:t> Iz</w:t>
            </w:r>
            <w:r>
              <w:rPr>
                <w:rFonts w:eastAsia="Times New Roman"/>
                <w:sz w:val="28"/>
                <w:szCs w:val="28"/>
                <w:lang w:eastAsia="lv-LV"/>
              </w:rPr>
              <w:t>maiņas, salīdzinot ar kārtējo (201</w:t>
            </w:r>
            <w:r w:rsidR="00936D26">
              <w:rPr>
                <w:rFonts w:eastAsia="Times New Roman"/>
                <w:sz w:val="28"/>
                <w:szCs w:val="28"/>
                <w:lang w:eastAsia="lv-LV"/>
              </w:rPr>
              <w:t>7</w:t>
            </w:r>
            <w:r w:rsidRPr="00FC423D">
              <w:rPr>
                <w:rFonts w:eastAsia="Times New Roman"/>
                <w:sz w:val="28"/>
                <w:szCs w:val="28"/>
                <w:lang w:eastAsia="lv-LV"/>
              </w:rPr>
              <w:t>) gadu</w:t>
            </w:r>
          </w:p>
        </w:tc>
      </w:tr>
      <w:tr w:rsidR="000B6865" w:rsidRPr="00FC423D" w:rsidTr="007B30B4">
        <w:trPr>
          <w:tblCellSpacing w:w="0" w:type="dxa"/>
        </w:trPr>
        <w:tc>
          <w:tcPr>
            <w:tcW w:w="1374" w:type="pct"/>
            <w:tcBorders>
              <w:top w:val="outset" w:sz="6" w:space="0" w:color="auto"/>
              <w:left w:val="outset" w:sz="6" w:space="0" w:color="auto"/>
              <w:bottom w:val="outset" w:sz="6" w:space="0" w:color="auto"/>
              <w:right w:val="outset" w:sz="6" w:space="0" w:color="auto"/>
            </w:tcBorders>
            <w:vAlign w:val="center"/>
          </w:tcPr>
          <w:p w:rsidR="000B6865" w:rsidRPr="00FC423D" w:rsidRDefault="000B6865" w:rsidP="00BD5C39">
            <w:pPr>
              <w:spacing w:before="75" w:after="75" w:line="240" w:lineRule="auto"/>
              <w:jc w:val="center"/>
              <w:rPr>
                <w:rFonts w:eastAsia="Times New Roman"/>
                <w:sz w:val="28"/>
                <w:szCs w:val="28"/>
                <w:lang w:eastAsia="lv-LV"/>
              </w:rPr>
            </w:pPr>
            <w:r w:rsidRPr="00FC423D">
              <w:rPr>
                <w:rFonts w:eastAsia="Times New Roman"/>
                <w:sz w:val="28"/>
                <w:szCs w:val="28"/>
                <w:lang w:eastAsia="lv-LV"/>
              </w:rPr>
              <w:t> 1</w:t>
            </w:r>
          </w:p>
        </w:tc>
        <w:tc>
          <w:tcPr>
            <w:tcW w:w="828" w:type="pct"/>
            <w:tcBorders>
              <w:top w:val="outset" w:sz="6" w:space="0" w:color="auto"/>
              <w:left w:val="outset" w:sz="6" w:space="0" w:color="auto"/>
              <w:bottom w:val="outset" w:sz="6" w:space="0" w:color="auto"/>
              <w:right w:val="outset" w:sz="6" w:space="0" w:color="auto"/>
            </w:tcBorders>
            <w:vAlign w:val="center"/>
          </w:tcPr>
          <w:p w:rsidR="000B6865" w:rsidRPr="00FC423D" w:rsidRDefault="000B6865" w:rsidP="00BD5C39">
            <w:pPr>
              <w:spacing w:before="75" w:after="75" w:line="240" w:lineRule="auto"/>
              <w:jc w:val="center"/>
              <w:rPr>
                <w:rFonts w:eastAsia="Times New Roman"/>
                <w:sz w:val="28"/>
                <w:szCs w:val="28"/>
                <w:lang w:eastAsia="lv-LV"/>
              </w:rPr>
            </w:pPr>
            <w:r w:rsidRPr="00FC423D">
              <w:rPr>
                <w:rFonts w:eastAsia="Times New Roman"/>
                <w:sz w:val="28"/>
                <w:szCs w:val="28"/>
                <w:lang w:eastAsia="lv-LV"/>
              </w:rPr>
              <w:t> 2</w:t>
            </w:r>
          </w:p>
        </w:tc>
        <w:tc>
          <w:tcPr>
            <w:tcW w:w="681" w:type="pct"/>
            <w:tcBorders>
              <w:top w:val="outset" w:sz="6" w:space="0" w:color="auto"/>
              <w:left w:val="outset" w:sz="6" w:space="0" w:color="auto"/>
              <w:bottom w:val="outset" w:sz="6" w:space="0" w:color="auto"/>
              <w:right w:val="outset" w:sz="6" w:space="0" w:color="auto"/>
            </w:tcBorders>
            <w:vAlign w:val="center"/>
          </w:tcPr>
          <w:p w:rsidR="000B6865" w:rsidRPr="00FC423D" w:rsidRDefault="000B6865" w:rsidP="00BD5C39">
            <w:pPr>
              <w:spacing w:before="75" w:after="75" w:line="240" w:lineRule="auto"/>
              <w:jc w:val="center"/>
              <w:rPr>
                <w:rFonts w:eastAsia="Times New Roman"/>
                <w:sz w:val="28"/>
                <w:szCs w:val="28"/>
                <w:lang w:eastAsia="lv-LV"/>
              </w:rPr>
            </w:pPr>
            <w:r w:rsidRPr="00FC423D">
              <w:rPr>
                <w:rFonts w:eastAsia="Times New Roman"/>
                <w:sz w:val="28"/>
                <w:szCs w:val="28"/>
                <w:lang w:eastAsia="lv-LV"/>
              </w:rPr>
              <w:t> 3</w:t>
            </w:r>
          </w:p>
        </w:tc>
        <w:tc>
          <w:tcPr>
            <w:tcW w:w="725" w:type="pct"/>
            <w:tcBorders>
              <w:top w:val="outset" w:sz="6" w:space="0" w:color="auto"/>
              <w:left w:val="outset" w:sz="6" w:space="0" w:color="auto"/>
              <w:bottom w:val="outset" w:sz="6" w:space="0" w:color="auto"/>
              <w:right w:val="outset" w:sz="6" w:space="0" w:color="auto"/>
            </w:tcBorders>
            <w:vAlign w:val="center"/>
          </w:tcPr>
          <w:p w:rsidR="000B6865" w:rsidRPr="00FC423D" w:rsidRDefault="000B6865" w:rsidP="00BD5C39">
            <w:pPr>
              <w:spacing w:before="75" w:after="75" w:line="240" w:lineRule="auto"/>
              <w:jc w:val="center"/>
              <w:rPr>
                <w:rFonts w:eastAsia="Times New Roman"/>
                <w:sz w:val="28"/>
                <w:szCs w:val="28"/>
                <w:lang w:eastAsia="lv-LV"/>
              </w:rPr>
            </w:pPr>
            <w:r w:rsidRPr="00FC423D">
              <w:rPr>
                <w:rFonts w:eastAsia="Times New Roman"/>
                <w:sz w:val="28"/>
                <w:szCs w:val="28"/>
                <w:lang w:eastAsia="lv-LV"/>
              </w:rPr>
              <w:t> 4</w:t>
            </w:r>
          </w:p>
        </w:tc>
        <w:tc>
          <w:tcPr>
            <w:tcW w:w="735" w:type="pct"/>
            <w:tcBorders>
              <w:top w:val="outset" w:sz="6" w:space="0" w:color="auto"/>
              <w:left w:val="outset" w:sz="6" w:space="0" w:color="auto"/>
              <w:bottom w:val="outset" w:sz="6" w:space="0" w:color="auto"/>
              <w:right w:val="outset" w:sz="6" w:space="0" w:color="auto"/>
            </w:tcBorders>
            <w:vAlign w:val="center"/>
          </w:tcPr>
          <w:p w:rsidR="000B6865" w:rsidRPr="00FC423D" w:rsidRDefault="000B6865" w:rsidP="00BD5C39">
            <w:pPr>
              <w:spacing w:before="75" w:after="75" w:line="240" w:lineRule="auto"/>
              <w:jc w:val="center"/>
              <w:rPr>
                <w:rFonts w:eastAsia="Times New Roman"/>
                <w:sz w:val="28"/>
                <w:szCs w:val="28"/>
                <w:lang w:eastAsia="lv-LV"/>
              </w:rPr>
            </w:pPr>
            <w:r w:rsidRPr="00FC423D">
              <w:rPr>
                <w:rFonts w:eastAsia="Times New Roman"/>
                <w:sz w:val="28"/>
                <w:szCs w:val="28"/>
                <w:lang w:eastAsia="lv-LV"/>
              </w:rPr>
              <w:t> 5</w:t>
            </w:r>
          </w:p>
        </w:tc>
        <w:tc>
          <w:tcPr>
            <w:tcW w:w="657" w:type="pct"/>
            <w:tcBorders>
              <w:top w:val="outset" w:sz="6" w:space="0" w:color="auto"/>
              <w:left w:val="outset" w:sz="6" w:space="0" w:color="auto"/>
              <w:bottom w:val="outset" w:sz="6" w:space="0" w:color="auto"/>
              <w:right w:val="outset" w:sz="6" w:space="0" w:color="auto"/>
            </w:tcBorders>
            <w:vAlign w:val="center"/>
          </w:tcPr>
          <w:p w:rsidR="000B6865" w:rsidRPr="00FC423D" w:rsidRDefault="000B6865" w:rsidP="00BD5C39">
            <w:pPr>
              <w:spacing w:before="75" w:after="75" w:line="240" w:lineRule="auto"/>
              <w:jc w:val="center"/>
              <w:rPr>
                <w:rFonts w:eastAsia="Times New Roman"/>
                <w:sz w:val="28"/>
                <w:szCs w:val="28"/>
                <w:lang w:eastAsia="lv-LV"/>
              </w:rPr>
            </w:pPr>
            <w:r w:rsidRPr="00FC423D">
              <w:rPr>
                <w:rFonts w:eastAsia="Times New Roman"/>
                <w:sz w:val="28"/>
                <w:szCs w:val="28"/>
                <w:lang w:eastAsia="lv-LV"/>
              </w:rPr>
              <w:t> 6</w:t>
            </w:r>
          </w:p>
        </w:tc>
      </w:tr>
      <w:tr w:rsidR="000B6865" w:rsidRPr="00FC423D" w:rsidTr="007B30B4">
        <w:trPr>
          <w:tblCellSpacing w:w="0" w:type="dxa"/>
        </w:trPr>
        <w:tc>
          <w:tcPr>
            <w:tcW w:w="1374"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rPr>
                <w:rFonts w:eastAsia="Times New Roman"/>
                <w:sz w:val="28"/>
                <w:szCs w:val="28"/>
                <w:lang w:eastAsia="lv-LV"/>
              </w:rPr>
            </w:pPr>
            <w:r w:rsidRPr="00FC423D">
              <w:rPr>
                <w:rFonts w:eastAsia="Times New Roman"/>
                <w:sz w:val="28"/>
                <w:szCs w:val="28"/>
                <w:lang w:eastAsia="lv-LV"/>
              </w:rPr>
              <w:t> 1. Budžeta ieņēmumi:</w:t>
            </w:r>
          </w:p>
        </w:tc>
        <w:tc>
          <w:tcPr>
            <w:tcW w:w="828" w:type="pct"/>
            <w:tcBorders>
              <w:top w:val="outset" w:sz="6" w:space="0" w:color="auto"/>
              <w:left w:val="outset" w:sz="6" w:space="0" w:color="auto"/>
              <w:bottom w:val="outset" w:sz="6" w:space="0" w:color="auto"/>
              <w:right w:val="outset" w:sz="6" w:space="0" w:color="auto"/>
            </w:tcBorders>
          </w:tcPr>
          <w:p w:rsidR="000B6865" w:rsidRPr="00BE1791" w:rsidRDefault="00CD2FD9" w:rsidP="00BD5C39">
            <w:pPr>
              <w:spacing w:before="75" w:after="75" w:line="240" w:lineRule="auto"/>
              <w:jc w:val="both"/>
              <w:rPr>
                <w:rFonts w:eastAsia="Times New Roman"/>
                <w:sz w:val="28"/>
                <w:szCs w:val="28"/>
                <w:highlight w:val="yellow"/>
                <w:lang w:eastAsia="lv-LV"/>
              </w:rPr>
            </w:pPr>
            <w:r>
              <w:rPr>
                <w:rFonts w:eastAsia="Times New Roman"/>
                <w:sz w:val="28"/>
                <w:szCs w:val="28"/>
                <w:lang w:eastAsia="lv-LV"/>
              </w:rPr>
              <w:t>162 478 303</w:t>
            </w:r>
          </w:p>
        </w:tc>
        <w:tc>
          <w:tcPr>
            <w:tcW w:w="681" w:type="pct"/>
            <w:tcBorders>
              <w:top w:val="outset" w:sz="6" w:space="0" w:color="auto"/>
              <w:left w:val="outset" w:sz="6" w:space="0" w:color="auto"/>
              <w:bottom w:val="outset" w:sz="6" w:space="0" w:color="auto"/>
              <w:right w:val="outset" w:sz="6" w:space="0" w:color="auto"/>
            </w:tcBorders>
          </w:tcPr>
          <w:p w:rsidR="000B6865" w:rsidRPr="00BE1791" w:rsidRDefault="00B22651" w:rsidP="001C68AB">
            <w:pPr>
              <w:spacing w:before="75" w:after="75" w:line="240" w:lineRule="auto"/>
              <w:jc w:val="center"/>
              <w:rPr>
                <w:rFonts w:eastAsia="Times New Roman"/>
                <w:sz w:val="28"/>
                <w:szCs w:val="28"/>
                <w:highlight w:val="yellow"/>
                <w:lang w:eastAsia="lv-LV"/>
              </w:rPr>
            </w:pPr>
            <w:r>
              <w:rPr>
                <w:sz w:val="28"/>
                <w:szCs w:val="28"/>
              </w:rPr>
              <w:t>-10 000</w:t>
            </w:r>
          </w:p>
        </w:tc>
        <w:tc>
          <w:tcPr>
            <w:tcW w:w="725" w:type="pct"/>
            <w:tcBorders>
              <w:top w:val="outset" w:sz="6" w:space="0" w:color="auto"/>
              <w:left w:val="outset" w:sz="6" w:space="0" w:color="auto"/>
              <w:bottom w:val="outset" w:sz="6" w:space="0" w:color="auto"/>
              <w:right w:val="outset" w:sz="6" w:space="0" w:color="auto"/>
            </w:tcBorders>
          </w:tcPr>
          <w:p w:rsidR="000B6865" w:rsidRPr="00FC423D" w:rsidRDefault="00092344" w:rsidP="001C68AB">
            <w:pPr>
              <w:spacing w:before="75" w:after="75" w:line="240" w:lineRule="auto"/>
              <w:jc w:val="center"/>
              <w:rPr>
                <w:rFonts w:eastAsia="Times New Roman"/>
                <w:sz w:val="28"/>
                <w:szCs w:val="28"/>
                <w:lang w:eastAsia="lv-LV"/>
              </w:rPr>
            </w:pPr>
            <w:r>
              <w:rPr>
                <w:sz w:val="28"/>
                <w:szCs w:val="28"/>
              </w:rPr>
              <w:t>0</w:t>
            </w:r>
          </w:p>
        </w:tc>
        <w:tc>
          <w:tcPr>
            <w:tcW w:w="735" w:type="pct"/>
            <w:tcBorders>
              <w:top w:val="outset" w:sz="6" w:space="0" w:color="auto"/>
              <w:left w:val="outset" w:sz="6" w:space="0" w:color="auto"/>
              <w:bottom w:val="outset" w:sz="6" w:space="0" w:color="auto"/>
              <w:right w:val="outset" w:sz="6" w:space="0" w:color="auto"/>
            </w:tcBorders>
          </w:tcPr>
          <w:p w:rsidR="000B6865" w:rsidRPr="00FC423D" w:rsidRDefault="00092344" w:rsidP="001C68AB">
            <w:pPr>
              <w:spacing w:before="75" w:after="75" w:line="240" w:lineRule="auto"/>
              <w:jc w:val="center"/>
              <w:rPr>
                <w:rFonts w:eastAsia="Times New Roman"/>
                <w:sz w:val="28"/>
                <w:szCs w:val="28"/>
                <w:lang w:eastAsia="lv-LV"/>
              </w:rPr>
            </w:pPr>
            <w:r>
              <w:rPr>
                <w:sz w:val="28"/>
                <w:szCs w:val="28"/>
              </w:rPr>
              <w:t>0</w:t>
            </w:r>
          </w:p>
        </w:tc>
        <w:tc>
          <w:tcPr>
            <w:tcW w:w="657" w:type="pct"/>
            <w:tcBorders>
              <w:top w:val="outset" w:sz="6" w:space="0" w:color="auto"/>
              <w:left w:val="outset" w:sz="6" w:space="0" w:color="auto"/>
              <w:bottom w:val="outset" w:sz="6" w:space="0" w:color="auto"/>
              <w:right w:val="outset" w:sz="6" w:space="0" w:color="auto"/>
            </w:tcBorders>
          </w:tcPr>
          <w:p w:rsidR="000B6865" w:rsidRPr="00FC423D" w:rsidRDefault="00092344" w:rsidP="001C68AB">
            <w:pPr>
              <w:spacing w:before="75" w:after="75" w:line="240" w:lineRule="auto"/>
              <w:jc w:val="center"/>
              <w:rPr>
                <w:rFonts w:eastAsia="Times New Roman"/>
                <w:sz w:val="28"/>
                <w:szCs w:val="28"/>
                <w:lang w:eastAsia="lv-LV"/>
              </w:rPr>
            </w:pPr>
            <w:r>
              <w:rPr>
                <w:sz w:val="28"/>
                <w:szCs w:val="28"/>
              </w:rPr>
              <w:t>0</w:t>
            </w:r>
          </w:p>
        </w:tc>
      </w:tr>
      <w:tr w:rsidR="00B22651" w:rsidRPr="00FC423D" w:rsidTr="007B30B4">
        <w:trPr>
          <w:tblCellSpacing w:w="0" w:type="dxa"/>
        </w:trPr>
        <w:tc>
          <w:tcPr>
            <w:tcW w:w="1374" w:type="pct"/>
            <w:tcBorders>
              <w:top w:val="outset" w:sz="6" w:space="0" w:color="auto"/>
              <w:left w:val="outset" w:sz="6" w:space="0" w:color="auto"/>
              <w:bottom w:val="outset" w:sz="6" w:space="0" w:color="auto"/>
              <w:right w:val="outset" w:sz="6" w:space="0" w:color="auto"/>
            </w:tcBorders>
          </w:tcPr>
          <w:p w:rsidR="00B22651" w:rsidRPr="00FC423D" w:rsidRDefault="00B22651" w:rsidP="00BD5C39">
            <w:pPr>
              <w:spacing w:before="75" w:after="75" w:line="240" w:lineRule="auto"/>
              <w:rPr>
                <w:rFonts w:eastAsia="Times New Roman"/>
                <w:sz w:val="28"/>
                <w:szCs w:val="28"/>
                <w:lang w:eastAsia="lv-LV"/>
              </w:rPr>
            </w:pPr>
            <w:r w:rsidRPr="00FC423D">
              <w:rPr>
                <w:rFonts w:eastAsia="Times New Roman"/>
                <w:sz w:val="28"/>
                <w:szCs w:val="28"/>
                <w:lang w:eastAsia="lv-LV"/>
              </w:rPr>
              <w:lastRenderedPageBreak/>
              <w:t> 1.1. valsts pamatbudžets, tai skaitā ieņēmumi no maksas pakalpojumiem un citi pašu ieņēmumi</w:t>
            </w:r>
          </w:p>
        </w:tc>
        <w:tc>
          <w:tcPr>
            <w:tcW w:w="828" w:type="pct"/>
            <w:tcBorders>
              <w:top w:val="outset" w:sz="6" w:space="0" w:color="auto"/>
              <w:left w:val="outset" w:sz="6" w:space="0" w:color="auto"/>
              <w:bottom w:val="outset" w:sz="6" w:space="0" w:color="auto"/>
              <w:right w:val="outset" w:sz="6" w:space="0" w:color="auto"/>
            </w:tcBorders>
          </w:tcPr>
          <w:p w:rsidR="00B22651" w:rsidRPr="00BE1791" w:rsidRDefault="00CD2FD9" w:rsidP="00BD5C39">
            <w:pPr>
              <w:spacing w:before="75" w:after="75" w:line="240" w:lineRule="auto"/>
              <w:jc w:val="both"/>
              <w:rPr>
                <w:rFonts w:eastAsia="Times New Roman"/>
                <w:sz w:val="28"/>
                <w:szCs w:val="28"/>
                <w:highlight w:val="yellow"/>
                <w:lang w:eastAsia="lv-LV"/>
              </w:rPr>
            </w:pPr>
            <w:r>
              <w:rPr>
                <w:rFonts w:eastAsia="Times New Roman"/>
                <w:sz w:val="28"/>
                <w:szCs w:val="28"/>
                <w:lang w:eastAsia="lv-LV"/>
              </w:rPr>
              <w:t>162 478 303</w:t>
            </w:r>
          </w:p>
        </w:tc>
        <w:tc>
          <w:tcPr>
            <w:tcW w:w="681" w:type="pct"/>
            <w:tcBorders>
              <w:top w:val="outset" w:sz="6" w:space="0" w:color="auto"/>
              <w:left w:val="outset" w:sz="6" w:space="0" w:color="auto"/>
              <w:bottom w:val="outset" w:sz="6" w:space="0" w:color="auto"/>
              <w:right w:val="outset" w:sz="6" w:space="0" w:color="auto"/>
            </w:tcBorders>
          </w:tcPr>
          <w:p w:rsidR="00B22651" w:rsidRPr="00BE1791" w:rsidRDefault="00B22651" w:rsidP="001C68AB">
            <w:pPr>
              <w:spacing w:before="75" w:after="75" w:line="240" w:lineRule="auto"/>
              <w:jc w:val="center"/>
              <w:rPr>
                <w:rFonts w:eastAsia="Times New Roman"/>
                <w:sz w:val="28"/>
                <w:szCs w:val="28"/>
                <w:highlight w:val="yellow"/>
                <w:lang w:eastAsia="lv-LV"/>
              </w:rPr>
            </w:pPr>
            <w:r>
              <w:rPr>
                <w:sz w:val="28"/>
                <w:szCs w:val="28"/>
              </w:rPr>
              <w:t>-10 000</w:t>
            </w:r>
          </w:p>
        </w:tc>
        <w:tc>
          <w:tcPr>
            <w:tcW w:w="725" w:type="pct"/>
            <w:tcBorders>
              <w:top w:val="outset" w:sz="6" w:space="0" w:color="auto"/>
              <w:left w:val="outset" w:sz="6" w:space="0" w:color="auto"/>
              <w:bottom w:val="outset" w:sz="6" w:space="0" w:color="auto"/>
              <w:right w:val="outset" w:sz="6" w:space="0" w:color="auto"/>
            </w:tcBorders>
          </w:tcPr>
          <w:p w:rsidR="00B22651" w:rsidRPr="00FC423D" w:rsidRDefault="00092344" w:rsidP="001C68AB">
            <w:pPr>
              <w:spacing w:before="75" w:after="75" w:line="240" w:lineRule="auto"/>
              <w:jc w:val="center"/>
              <w:rPr>
                <w:rFonts w:eastAsia="Times New Roman"/>
                <w:sz w:val="28"/>
                <w:szCs w:val="28"/>
                <w:lang w:eastAsia="lv-LV"/>
              </w:rPr>
            </w:pPr>
            <w:r>
              <w:rPr>
                <w:sz w:val="28"/>
                <w:szCs w:val="28"/>
              </w:rPr>
              <w:t>0</w:t>
            </w:r>
          </w:p>
        </w:tc>
        <w:tc>
          <w:tcPr>
            <w:tcW w:w="735" w:type="pct"/>
            <w:tcBorders>
              <w:top w:val="outset" w:sz="6" w:space="0" w:color="auto"/>
              <w:left w:val="outset" w:sz="6" w:space="0" w:color="auto"/>
              <w:bottom w:val="outset" w:sz="6" w:space="0" w:color="auto"/>
              <w:right w:val="outset" w:sz="6" w:space="0" w:color="auto"/>
            </w:tcBorders>
          </w:tcPr>
          <w:p w:rsidR="00B22651" w:rsidRPr="00FC423D" w:rsidRDefault="00092344" w:rsidP="001C68AB">
            <w:pPr>
              <w:spacing w:before="75" w:after="75" w:line="240" w:lineRule="auto"/>
              <w:jc w:val="center"/>
              <w:rPr>
                <w:rFonts w:eastAsia="Times New Roman"/>
                <w:sz w:val="28"/>
                <w:szCs w:val="28"/>
                <w:lang w:eastAsia="lv-LV"/>
              </w:rPr>
            </w:pPr>
            <w:r>
              <w:rPr>
                <w:sz w:val="28"/>
                <w:szCs w:val="28"/>
              </w:rPr>
              <w:t>0</w:t>
            </w:r>
          </w:p>
        </w:tc>
        <w:tc>
          <w:tcPr>
            <w:tcW w:w="657" w:type="pct"/>
            <w:tcBorders>
              <w:top w:val="outset" w:sz="6" w:space="0" w:color="auto"/>
              <w:left w:val="outset" w:sz="6" w:space="0" w:color="auto"/>
              <w:bottom w:val="outset" w:sz="6" w:space="0" w:color="auto"/>
              <w:right w:val="outset" w:sz="6" w:space="0" w:color="auto"/>
            </w:tcBorders>
          </w:tcPr>
          <w:p w:rsidR="00B22651" w:rsidRPr="00FC423D" w:rsidRDefault="00092344" w:rsidP="001C68AB">
            <w:pPr>
              <w:spacing w:before="75" w:after="75" w:line="240" w:lineRule="auto"/>
              <w:jc w:val="center"/>
              <w:rPr>
                <w:rFonts w:eastAsia="Times New Roman"/>
                <w:sz w:val="28"/>
                <w:szCs w:val="28"/>
                <w:lang w:eastAsia="lv-LV"/>
              </w:rPr>
            </w:pPr>
            <w:r>
              <w:rPr>
                <w:sz w:val="28"/>
                <w:szCs w:val="28"/>
              </w:rPr>
              <w:t>0</w:t>
            </w:r>
          </w:p>
        </w:tc>
      </w:tr>
      <w:tr w:rsidR="000B6865" w:rsidRPr="00FC423D" w:rsidTr="007B30B4">
        <w:trPr>
          <w:tblCellSpacing w:w="0" w:type="dxa"/>
        </w:trPr>
        <w:tc>
          <w:tcPr>
            <w:tcW w:w="1374"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rPr>
                <w:rFonts w:eastAsia="Times New Roman"/>
                <w:sz w:val="28"/>
                <w:szCs w:val="28"/>
                <w:lang w:eastAsia="lv-LV"/>
              </w:rPr>
            </w:pPr>
            <w:r w:rsidRPr="00FC423D">
              <w:rPr>
                <w:rFonts w:eastAsia="Times New Roman"/>
                <w:sz w:val="28"/>
                <w:szCs w:val="28"/>
                <w:lang w:eastAsia="lv-LV"/>
              </w:rPr>
              <w:t> 1.2. valsts speciālais budžets</w:t>
            </w:r>
          </w:p>
        </w:tc>
        <w:tc>
          <w:tcPr>
            <w:tcW w:w="828"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ind w:firstLine="12"/>
              <w:jc w:val="center"/>
              <w:rPr>
                <w:rFonts w:eastAsia="Times New Roman"/>
                <w:sz w:val="28"/>
                <w:szCs w:val="28"/>
                <w:lang w:eastAsia="lv-LV"/>
              </w:rPr>
            </w:pPr>
            <w:r w:rsidRPr="00FC423D">
              <w:rPr>
                <w:rFonts w:eastAsia="Times New Roman"/>
                <w:sz w:val="28"/>
                <w:szCs w:val="28"/>
                <w:lang w:eastAsia="lv-LV"/>
              </w:rPr>
              <w:t>0</w:t>
            </w:r>
          </w:p>
        </w:tc>
        <w:tc>
          <w:tcPr>
            <w:tcW w:w="681"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725"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c>
          <w:tcPr>
            <w:tcW w:w="735"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c>
          <w:tcPr>
            <w:tcW w:w="657"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r>
      <w:tr w:rsidR="000B6865" w:rsidRPr="00FC423D" w:rsidTr="007B30B4">
        <w:trPr>
          <w:tblCellSpacing w:w="0" w:type="dxa"/>
        </w:trPr>
        <w:tc>
          <w:tcPr>
            <w:tcW w:w="1374"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rPr>
                <w:rFonts w:eastAsia="Times New Roman"/>
                <w:sz w:val="28"/>
                <w:szCs w:val="28"/>
                <w:lang w:eastAsia="lv-LV"/>
              </w:rPr>
            </w:pPr>
            <w:r w:rsidRPr="00FC423D">
              <w:rPr>
                <w:rFonts w:eastAsia="Times New Roman"/>
                <w:sz w:val="28"/>
                <w:szCs w:val="28"/>
                <w:lang w:eastAsia="lv-LV"/>
              </w:rPr>
              <w:t> 1.3. pašvaldību budžets</w:t>
            </w:r>
          </w:p>
        </w:tc>
        <w:tc>
          <w:tcPr>
            <w:tcW w:w="828"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681"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725"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c>
          <w:tcPr>
            <w:tcW w:w="735"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c>
          <w:tcPr>
            <w:tcW w:w="657"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r>
      <w:tr w:rsidR="000B6865" w:rsidRPr="00FC423D" w:rsidTr="007B30B4">
        <w:trPr>
          <w:tblCellSpacing w:w="0" w:type="dxa"/>
        </w:trPr>
        <w:tc>
          <w:tcPr>
            <w:tcW w:w="1374"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rPr>
                <w:rFonts w:eastAsia="Times New Roman"/>
                <w:sz w:val="28"/>
                <w:szCs w:val="28"/>
                <w:lang w:eastAsia="lv-LV"/>
              </w:rPr>
            </w:pPr>
            <w:r w:rsidRPr="00FC423D">
              <w:rPr>
                <w:rFonts w:eastAsia="Times New Roman"/>
                <w:sz w:val="28"/>
                <w:szCs w:val="28"/>
                <w:lang w:eastAsia="lv-LV"/>
              </w:rPr>
              <w:t> 2. Budžeta izdevumi:</w:t>
            </w:r>
          </w:p>
        </w:tc>
        <w:tc>
          <w:tcPr>
            <w:tcW w:w="828"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681"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725"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c>
          <w:tcPr>
            <w:tcW w:w="735"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c>
          <w:tcPr>
            <w:tcW w:w="657"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r>
      <w:tr w:rsidR="000B6865" w:rsidRPr="00FC423D" w:rsidTr="007B30B4">
        <w:trPr>
          <w:tblCellSpacing w:w="0" w:type="dxa"/>
        </w:trPr>
        <w:tc>
          <w:tcPr>
            <w:tcW w:w="1374"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rPr>
                <w:rFonts w:eastAsia="Times New Roman"/>
                <w:sz w:val="28"/>
                <w:szCs w:val="28"/>
                <w:lang w:eastAsia="lv-LV"/>
              </w:rPr>
            </w:pPr>
            <w:r w:rsidRPr="00FC423D">
              <w:rPr>
                <w:rFonts w:eastAsia="Times New Roman"/>
                <w:sz w:val="28"/>
                <w:szCs w:val="28"/>
                <w:lang w:eastAsia="lv-LV"/>
              </w:rPr>
              <w:t> 2.1. valsts pamatbudžets</w:t>
            </w:r>
          </w:p>
        </w:tc>
        <w:tc>
          <w:tcPr>
            <w:tcW w:w="828"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681"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tabs>
                <w:tab w:val="left" w:pos="510"/>
                <w:tab w:val="center" w:pos="624"/>
              </w:tabs>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725"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c>
          <w:tcPr>
            <w:tcW w:w="735"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c>
          <w:tcPr>
            <w:tcW w:w="657"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r>
      <w:tr w:rsidR="000B6865" w:rsidRPr="00FC423D" w:rsidTr="007B30B4">
        <w:trPr>
          <w:tblCellSpacing w:w="0" w:type="dxa"/>
        </w:trPr>
        <w:tc>
          <w:tcPr>
            <w:tcW w:w="1374"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rPr>
                <w:rFonts w:eastAsia="Times New Roman"/>
                <w:sz w:val="28"/>
                <w:szCs w:val="28"/>
                <w:lang w:eastAsia="lv-LV"/>
              </w:rPr>
            </w:pPr>
            <w:r w:rsidRPr="00FC423D">
              <w:rPr>
                <w:rFonts w:eastAsia="Times New Roman"/>
                <w:sz w:val="28"/>
                <w:szCs w:val="28"/>
                <w:lang w:eastAsia="lv-LV"/>
              </w:rPr>
              <w:t> 2.2. valsts speciālais budžets</w:t>
            </w:r>
          </w:p>
        </w:tc>
        <w:tc>
          <w:tcPr>
            <w:tcW w:w="828"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681"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ind w:firstLine="50"/>
              <w:jc w:val="center"/>
              <w:rPr>
                <w:rFonts w:eastAsia="Times New Roman"/>
                <w:sz w:val="28"/>
                <w:szCs w:val="28"/>
                <w:lang w:eastAsia="lv-LV"/>
              </w:rPr>
            </w:pPr>
            <w:r w:rsidRPr="00FC423D">
              <w:rPr>
                <w:rFonts w:eastAsia="Times New Roman"/>
                <w:sz w:val="28"/>
                <w:szCs w:val="28"/>
                <w:lang w:eastAsia="lv-LV"/>
              </w:rPr>
              <w:t>0</w:t>
            </w:r>
          </w:p>
        </w:tc>
        <w:tc>
          <w:tcPr>
            <w:tcW w:w="725"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c>
          <w:tcPr>
            <w:tcW w:w="735"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c>
          <w:tcPr>
            <w:tcW w:w="657"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r>
      <w:tr w:rsidR="000B6865" w:rsidRPr="00FC423D" w:rsidTr="007B30B4">
        <w:trPr>
          <w:tblCellSpacing w:w="0" w:type="dxa"/>
        </w:trPr>
        <w:tc>
          <w:tcPr>
            <w:tcW w:w="1374"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rPr>
                <w:rFonts w:eastAsia="Times New Roman"/>
                <w:sz w:val="28"/>
                <w:szCs w:val="28"/>
                <w:lang w:eastAsia="lv-LV"/>
              </w:rPr>
            </w:pPr>
            <w:r w:rsidRPr="00FC423D">
              <w:rPr>
                <w:rFonts w:eastAsia="Times New Roman"/>
                <w:sz w:val="28"/>
                <w:szCs w:val="28"/>
                <w:lang w:eastAsia="lv-LV"/>
              </w:rPr>
              <w:t> 2.3. pašvaldību budžets</w:t>
            </w:r>
          </w:p>
        </w:tc>
        <w:tc>
          <w:tcPr>
            <w:tcW w:w="828"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ind w:firstLine="12"/>
              <w:jc w:val="center"/>
              <w:rPr>
                <w:rFonts w:eastAsia="Times New Roman"/>
                <w:sz w:val="28"/>
                <w:szCs w:val="28"/>
                <w:lang w:eastAsia="lv-LV"/>
              </w:rPr>
            </w:pPr>
            <w:r w:rsidRPr="00FC423D">
              <w:rPr>
                <w:rFonts w:eastAsia="Times New Roman"/>
                <w:sz w:val="28"/>
                <w:szCs w:val="28"/>
                <w:lang w:eastAsia="lv-LV"/>
              </w:rPr>
              <w:t>0</w:t>
            </w:r>
          </w:p>
        </w:tc>
        <w:tc>
          <w:tcPr>
            <w:tcW w:w="681"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ind w:firstLine="50"/>
              <w:jc w:val="center"/>
              <w:rPr>
                <w:rFonts w:eastAsia="Times New Roman"/>
                <w:sz w:val="28"/>
                <w:szCs w:val="28"/>
                <w:lang w:eastAsia="lv-LV"/>
              </w:rPr>
            </w:pPr>
            <w:r w:rsidRPr="00FC423D">
              <w:rPr>
                <w:rFonts w:eastAsia="Times New Roman"/>
                <w:sz w:val="28"/>
                <w:szCs w:val="28"/>
                <w:lang w:eastAsia="lv-LV"/>
              </w:rPr>
              <w:t>0</w:t>
            </w:r>
          </w:p>
        </w:tc>
        <w:tc>
          <w:tcPr>
            <w:tcW w:w="725"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c>
          <w:tcPr>
            <w:tcW w:w="735"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c>
          <w:tcPr>
            <w:tcW w:w="657"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r>
      <w:tr w:rsidR="000B6865" w:rsidRPr="002C30EB" w:rsidTr="004E08FB">
        <w:trPr>
          <w:tblCellSpacing w:w="0" w:type="dxa"/>
        </w:trPr>
        <w:tc>
          <w:tcPr>
            <w:tcW w:w="1374"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rPr>
                <w:rFonts w:eastAsia="Times New Roman"/>
                <w:sz w:val="28"/>
                <w:szCs w:val="28"/>
                <w:lang w:eastAsia="lv-LV"/>
              </w:rPr>
            </w:pPr>
            <w:r w:rsidRPr="00FC423D">
              <w:rPr>
                <w:rFonts w:eastAsia="Times New Roman"/>
                <w:sz w:val="28"/>
                <w:szCs w:val="28"/>
                <w:lang w:eastAsia="lv-LV"/>
              </w:rPr>
              <w:t> 3. Finansiālā ietekme:</w:t>
            </w:r>
          </w:p>
        </w:tc>
        <w:tc>
          <w:tcPr>
            <w:tcW w:w="828" w:type="pct"/>
            <w:tcBorders>
              <w:top w:val="outset" w:sz="6" w:space="0" w:color="auto"/>
              <w:left w:val="outset" w:sz="6" w:space="0" w:color="auto"/>
              <w:bottom w:val="outset" w:sz="6" w:space="0" w:color="auto"/>
              <w:right w:val="outset" w:sz="6" w:space="0" w:color="auto"/>
            </w:tcBorders>
          </w:tcPr>
          <w:p w:rsidR="000B6865" w:rsidRPr="005347A8" w:rsidRDefault="00CD2FD9" w:rsidP="004E08FB">
            <w:pPr>
              <w:tabs>
                <w:tab w:val="center" w:pos="4153"/>
                <w:tab w:val="right" w:pos="8306"/>
              </w:tabs>
              <w:spacing w:before="75" w:after="75" w:line="240" w:lineRule="auto"/>
              <w:jc w:val="center"/>
              <w:rPr>
                <w:rFonts w:eastAsia="Times New Roman"/>
                <w:sz w:val="28"/>
                <w:szCs w:val="28"/>
                <w:highlight w:val="yellow"/>
                <w:lang w:eastAsia="lv-LV"/>
              </w:rPr>
            </w:pPr>
            <w:r>
              <w:rPr>
                <w:rFonts w:eastAsia="Times New Roman"/>
                <w:sz w:val="28"/>
                <w:szCs w:val="28"/>
                <w:lang w:eastAsia="lv-LV"/>
              </w:rPr>
              <w:t>162 478 303</w:t>
            </w:r>
          </w:p>
        </w:tc>
        <w:tc>
          <w:tcPr>
            <w:tcW w:w="681" w:type="pct"/>
            <w:tcBorders>
              <w:top w:val="outset" w:sz="6" w:space="0" w:color="auto"/>
              <w:left w:val="outset" w:sz="6" w:space="0" w:color="auto"/>
              <w:bottom w:val="outset" w:sz="6" w:space="0" w:color="auto"/>
              <w:right w:val="outset" w:sz="6" w:space="0" w:color="auto"/>
            </w:tcBorders>
          </w:tcPr>
          <w:p w:rsidR="000B6865" w:rsidRPr="002C30EB" w:rsidRDefault="00AF0773" w:rsidP="001C68AB">
            <w:pPr>
              <w:spacing w:before="75" w:after="75" w:line="240" w:lineRule="auto"/>
              <w:jc w:val="center"/>
              <w:rPr>
                <w:rFonts w:eastAsia="Times New Roman"/>
                <w:sz w:val="28"/>
                <w:szCs w:val="28"/>
                <w:lang w:eastAsia="lv-LV"/>
              </w:rPr>
            </w:pPr>
            <w:r w:rsidRPr="002C30EB">
              <w:rPr>
                <w:sz w:val="28"/>
                <w:szCs w:val="28"/>
              </w:rPr>
              <w:t>-10 000</w:t>
            </w:r>
          </w:p>
        </w:tc>
        <w:tc>
          <w:tcPr>
            <w:tcW w:w="725" w:type="pct"/>
            <w:tcBorders>
              <w:top w:val="outset" w:sz="6" w:space="0" w:color="auto"/>
              <w:left w:val="outset" w:sz="6" w:space="0" w:color="auto"/>
              <w:bottom w:val="outset" w:sz="6" w:space="0" w:color="auto"/>
              <w:right w:val="outset" w:sz="6" w:space="0" w:color="auto"/>
            </w:tcBorders>
          </w:tcPr>
          <w:p w:rsidR="000B6865" w:rsidRPr="002C30EB" w:rsidRDefault="00092344" w:rsidP="001C68AB">
            <w:pPr>
              <w:spacing w:before="75" w:after="75" w:line="240" w:lineRule="auto"/>
              <w:jc w:val="center"/>
              <w:rPr>
                <w:sz w:val="28"/>
                <w:szCs w:val="28"/>
              </w:rPr>
            </w:pPr>
            <w:r>
              <w:rPr>
                <w:sz w:val="28"/>
                <w:szCs w:val="28"/>
              </w:rPr>
              <w:t>0</w:t>
            </w:r>
          </w:p>
        </w:tc>
        <w:tc>
          <w:tcPr>
            <w:tcW w:w="735" w:type="pct"/>
            <w:tcBorders>
              <w:top w:val="outset" w:sz="6" w:space="0" w:color="auto"/>
              <w:left w:val="outset" w:sz="6" w:space="0" w:color="auto"/>
              <w:bottom w:val="outset" w:sz="6" w:space="0" w:color="auto"/>
              <w:right w:val="outset" w:sz="6" w:space="0" w:color="auto"/>
            </w:tcBorders>
          </w:tcPr>
          <w:p w:rsidR="000B6865" w:rsidRPr="002C30EB" w:rsidRDefault="00092344" w:rsidP="001C68AB">
            <w:pPr>
              <w:spacing w:before="75" w:after="75" w:line="240" w:lineRule="auto"/>
              <w:jc w:val="center"/>
              <w:rPr>
                <w:sz w:val="28"/>
                <w:szCs w:val="28"/>
              </w:rPr>
            </w:pPr>
            <w:r>
              <w:rPr>
                <w:sz w:val="28"/>
                <w:szCs w:val="28"/>
              </w:rPr>
              <w:t>0</w:t>
            </w:r>
          </w:p>
        </w:tc>
        <w:tc>
          <w:tcPr>
            <w:tcW w:w="657" w:type="pct"/>
            <w:tcBorders>
              <w:top w:val="outset" w:sz="6" w:space="0" w:color="auto"/>
              <w:left w:val="outset" w:sz="6" w:space="0" w:color="auto"/>
              <w:bottom w:val="outset" w:sz="6" w:space="0" w:color="auto"/>
              <w:right w:val="outset" w:sz="6" w:space="0" w:color="auto"/>
            </w:tcBorders>
          </w:tcPr>
          <w:p w:rsidR="000B6865" w:rsidRPr="002C30EB" w:rsidRDefault="00092344" w:rsidP="001C68AB">
            <w:pPr>
              <w:spacing w:before="75" w:after="75" w:line="240" w:lineRule="auto"/>
              <w:jc w:val="center"/>
              <w:rPr>
                <w:sz w:val="28"/>
                <w:szCs w:val="28"/>
              </w:rPr>
            </w:pPr>
            <w:r>
              <w:rPr>
                <w:sz w:val="28"/>
                <w:szCs w:val="28"/>
              </w:rPr>
              <w:t>0</w:t>
            </w:r>
          </w:p>
        </w:tc>
      </w:tr>
      <w:tr w:rsidR="002C30EB" w:rsidRPr="002C30EB" w:rsidTr="004E08FB">
        <w:trPr>
          <w:tblCellSpacing w:w="0" w:type="dxa"/>
        </w:trPr>
        <w:tc>
          <w:tcPr>
            <w:tcW w:w="1374" w:type="pct"/>
            <w:tcBorders>
              <w:top w:val="outset" w:sz="6" w:space="0" w:color="auto"/>
              <w:left w:val="outset" w:sz="6" w:space="0" w:color="auto"/>
              <w:bottom w:val="outset" w:sz="6" w:space="0" w:color="auto"/>
              <w:right w:val="outset" w:sz="6" w:space="0" w:color="auto"/>
            </w:tcBorders>
          </w:tcPr>
          <w:p w:rsidR="002C30EB" w:rsidRPr="00FC423D" w:rsidRDefault="002C30EB" w:rsidP="00BD5C39">
            <w:pPr>
              <w:spacing w:before="75" w:after="75" w:line="240" w:lineRule="auto"/>
              <w:rPr>
                <w:rFonts w:eastAsia="Times New Roman"/>
                <w:sz w:val="28"/>
                <w:szCs w:val="28"/>
                <w:lang w:eastAsia="lv-LV"/>
              </w:rPr>
            </w:pPr>
            <w:r w:rsidRPr="00FC423D">
              <w:rPr>
                <w:rFonts w:eastAsia="Times New Roman"/>
                <w:sz w:val="28"/>
                <w:szCs w:val="28"/>
                <w:lang w:eastAsia="lv-LV"/>
              </w:rPr>
              <w:t> 3.1. valsts pamatbudžets</w:t>
            </w:r>
          </w:p>
        </w:tc>
        <w:tc>
          <w:tcPr>
            <w:tcW w:w="828" w:type="pct"/>
            <w:tcBorders>
              <w:top w:val="outset" w:sz="6" w:space="0" w:color="auto"/>
              <w:left w:val="outset" w:sz="6" w:space="0" w:color="auto"/>
              <w:bottom w:val="outset" w:sz="6" w:space="0" w:color="auto"/>
              <w:right w:val="outset" w:sz="6" w:space="0" w:color="auto"/>
            </w:tcBorders>
          </w:tcPr>
          <w:p w:rsidR="002C30EB" w:rsidRDefault="00CD2FD9" w:rsidP="004E08FB">
            <w:pPr>
              <w:tabs>
                <w:tab w:val="center" w:pos="4153"/>
                <w:tab w:val="right" w:pos="8306"/>
              </w:tabs>
              <w:spacing w:before="75" w:after="75" w:line="240" w:lineRule="auto"/>
              <w:jc w:val="center"/>
              <w:rPr>
                <w:rFonts w:eastAsia="Times New Roman"/>
                <w:sz w:val="28"/>
                <w:szCs w:val="28"/>
                <w:highlight w:val="yellow"/>
                <w:lang w:eastAsia="lv-LV"/>
              </w:rPr>
            </w:pPr>
            <w:r>
              <w:rPr>
                <w:rFonts w:eastAsia="Times New Roman"/>
                <w:sz w:val="28"/>
                <w:szCs w:val="28"/>
                <w:lang w:eastAsia="lv-LV"/>
              </w:rPr>
              <w:t>162</w:t>
            </w:r>
            <w:r w:rsidR="00124576">
              <w:rPr>
                <w:rFonts w:eastAsia="Times New Roman"/>
                <w:sz w:val="28"/>
                <w:szCs w:val="28"/>
                <w:lang w:eastAsia="lv-LV"/>
              </w:rPr>
              <w:t> 478 303</w:t>
            </w:r>
          </w:p>
        </w:tc>
        <w:tc>
          <w:tcPr>
            <w:tcW w:w="681" w:type="pct"/>
            <w:tcBorders>
              <w:top w:val="outset" w:sz="6" w:space="0" w:color="auto"/>
              <w:left w:val="outset" w:sz="6" w:space="0" w:color="auto"/>
              <w:bottom w:val="outset" w:sz="6" w:space="0" w:color="auto"/>
              <w:right w:val="outset" w:sz="6" w:space="0" w:color="auto"/>
            </w:tcBorders>
          </w:tcPr>
          <w:p w:rsidR="002C30EB" w:rsidRPr="002C30EB" w:rsidRDefault="002C30EB" w:rsidP="001C68AB">
            <w:pPr>
              <w:spacing w:before="75" w:after="75" w:line="240" w:lineRule="auto"/>
              <w:jc w:val="center"/>
              <w:rPr>
                <w:rFonts w:eastAsia="Times New Roman"/>
                <w:sz w:val="28"/>
                <w:szCs w:val="28"/>
                <w:lang w:eastAsia="lv-LV"/>
              </w:rPr>
            </w:pPr>
            <w:r w:rsidRPr="002C30EB">
              <w:rPr>
                <w:sz w:val="28"/>
                <w:szCs w:val="28"/>
              </w:rPr>
              <w:t>-10 000</w:t>
            </w:r>
          </w:p>
        </w:tc>
        <w:tc>
          <w:tcPr>
            <w:tcW w:w="725" w:type="pct"/>
            <w:tcBorders>
              <w:top w:val="outset" w:sz="6" w:space="0" w:color="auto"/>
              <w:left w:val="outset" w:sz="6" w:space="0" w:color="auto"/>
              <w:bottom w:val="outset" w:sz="6" w:space="0" w:color="auto"/>
              <w:right w:val="outset" w:sz="6" w:space="0" w:color="auto"/>
            </w:tcBorders>
          </w:tcPr>
          <w:p w:rsidR="002C30EB" w:rsidRPr="002C30EB" w:rsidRDefault="00092344" w:rsidP="001C68AB">
            <w:pPr>
              <w:spacing w:before="75" w:after="75" w:line="240" w:lineRule="auto"/>
              <w:jc w:val="center"/>
              <w:rPr>
                <w:sz w:val="28"/>
                <w:szCs w:val="28"/>
              </w:rPr>
            </w:pPr>
            <w:r>
              <w:rPr>
                <w:sz w:val="28"/>
                <w:szCs w:val="28"/>
              </w:rPr>
              <w:t>0</w:t>
            </w:r>
          </w:p>
        </w:tc>
        <w:tc>
          <w:tcPr>
            <w:tcW w:w="735" w:type="pct"/>
            <w:tcBorders>
              <w:top w:val="outset" w:sz="6" w:space="0" w:color="auto"/>
              <w:left w:val="outset" w:sz="6" w:space="0" w:color="auto"/>
              <w:bottom w:val="outset" w:sz="6" w:space="0" w:color="auto"/>
              <w:right w:val="outset" w:sz="6" w:space="0" w:color="auto"/>
            </w:tcBorders>
          </w:tcPr>
          <w:p w:rsidR="002C30EB" w:rsidRPr="002C30EB" w:rsidRDefault="00092344" w:rsidP="001C68AB">
            <w:pPr>
              <w:spacing w:before="75" w:after="75" w:line="240" w:lineRule="auto"/>
              <w:jc w:val="center"/>
              <w:rPr>
                <w:sz w:val="28"/>
                <w:szCs w:val="28"/>
              </w:rPr>
            </w:pPr>
            <w:r>
              <w:rPr>
                <w:sz w:val="28"/>
                <w:szCs w:val="28"/>
              </w:rPr>
              <w:t>0</w:t>
            </w:r>
          </w:p>
        </w:tc>
        <w:tc>
          <w:tcPr>
            <w:tcW w:w="657" w:type="pct"/>
            <w:tcBorders>
              <w:top w:val="outset" w:sz="6" w:space="0" w:color="auto"/>
              <w:left w:val="outset" w:sz="6" w:space="0" w:color="auto"/>
              <w:bottom w:val="outset" w:sz="6" w:space="0" w:color="auto"/>
              <w:right w:val="outset" w:sz="6" w:space="0" w:color="auto"/>
            </w:tcBorders>
          </w:tcPr>
          <w:p w:rsidR="002C30EB" w:rsidRPr="002C30EB" w:rsidRDefault="00092344" w:rsidP="001C68AB">
            <w:pPr>
              <w:spacing w:before="75" w:after="75" w:line="240" w:lineRule="auto"/>
              <w:jc w:val="center"/>
              <w:rPr>
                <w:sz w:val="28"/>
                <w:szCs w:val="28"/>
              </w:rPr>
            </w:pPr>
            <w:r>
              <w:rPr>
                <w:sz w:val="28"/>
                <w:szCs w:val="28"/>
              </w:rPr>
              <w:t>0</w:t>
            </w:r>
          </w:p>
        </w:tc>
      </w:tr>
      <w:tr w:rsidR="000B6865" w:rsidRPr="00FC423D" w:rsidTr="007B30B4">
        <w:trPr>
          <w:tblCellSpacing w:w="0" w:type="dxa"/>
        </w:trPr>
        <w:tc>
          <w:tcPr>
            <w:tcW w:w="1374"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rPr>
                <w:rFonts w:eastAsia="Times New Roman"/>
                <w:sz w:val="28"/>
                <w:szCs w:val="28"/>
                <w:lang w:eastAsia="lv-LV"/>
              </w:rPr>
            </w:pPr>
            <w:r w:rsidRPr="00FC423D">
              <w:rPr>
                <w:rFonts w:eastAsia="Times New Roman"/>
                <w:sz w:val="28"/>
                <w:szCs w:val="28"/>
                <w:lang w:eastAsia="lv-LV"/>
              </w:rPr>
              <w:t> 3.2. speciālais budžets</w:t>
            </w:r>
          </w:p>
        </w:tc>
        <w:tc>
          <w:tcPr>
            <w:tcW w:w="828"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ind w:firstLine="61"/>
              <w:jc w:val="center"/>
              <w:rPr>
                <w:rFonts w:eastAsia="Times New Roman"/>
                <w:sz w:val="28"/>
                <w:szCs w:val="28"/>
                <w:lang w:eastAsia="lv-LV"/>
              </w:rPr>
            </w:pPr>
            <w:r w:rsidRPr="00FC423D">
              <w:rPr>
                <w:rFonts w:eastAsia="Times New Roman"/>
                <w:sz w:val="28"/>
                <w:szCs w:val="28"/>
                <w:lang w:eastAsia="lv-LV"/>
              </w:rPr>
              <w:t>0</w:t>
            </w:r>
          </w:p>
        </w:tc>
        <w:tc>
          <w:tcPr>
            <w:tcW w:w="681"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ind w:firstLine="65"/>
              <w:jc w:val="center"/>
              <w:rPr>
                <w:rFonts w:eastAsia="Times New Roman"/>
                <w:sz w:val="28"/>
                <w:szCs w:val="28"/>
                <w:lang w:eastAsia="lv-LV"/>
              </w:rPr>
            </w:pPr>
            <w:r w:rsidRPr="00FC423D">
              <w:rPr>
                <w:rFonts w:eastAsia="Times New Roman"/>
                <w:sz w:val="28"/>
                <w:szCs w:val="28"/>
                <w:lang w:eastAsia="lv-LV"/>
              </w:rPr>
              <w:t>0</w:t>
            </w:r>
          </w:p>
        </w:tc>
        <w:tc>
          <w:tcPr>
            <w:tcW w:w="725"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c>
          <w:tcPr>
            <w:tcW w:w="735"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c>
          <w:tcPr>
            <w:tcW w:w="657"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r>
      <w:tr w:rsidR="000B6865" w:rsidRPr="00FC423D" w:rsidTr="007B30B4">
        <w:trPr>
          <w:tblCellSpacing w:w="0" w:type="dxa"/>
        </w:trPr>
        <w:tc>
          <w:tcPr>
            <w:tcW w:w="1374"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rPr>
                <w:rFonts w:eastAsia="Times New Roman"/>
                <w:sz w:val="28"/>
                <w:szCs w:val="28"/>
                <w:lang w:eastAsia="lv-LV"/>
              </w:rPr>
            </w:pPr>
            <w:r w:rsidRPr="00FC423D">
              <w:rPr>
                <w:rFonts w:eastAsia="Times New Roman"/>
                <w:sz w:val="28"/>
                <w:szCs w:val="28"/>
                <w:lang w:eastAsia="lv-LV"/>
              </w:rPr>
              <w:t> 3.3. pašvaldību budžets</w:t>
            </w:r>
          </w:p>
        </w:tc>
        <w:tc>
          <w:tcPr>
            <w:tcW w:w="828"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681"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ind w:firstLine="65"/>
              <w:jc w:val="center"/>
              <w:rPr>
                <w:rFonts w:eastAsia="Times New Roman"/>
                <w:sz w:val="28"/>
                <w:szCs w:val="28"/>
                <w:lang w:eastAsia="lv-LV"/>
              </w:rPr>
            </w:pPr>
            <w:r w:rsidRPr="00FC423D">
              <w:rPr>
                <w:rFonts w:eastAsia="Times New Roman"/>
                <w:sz w:val="28"/>
                <w:szCs w:val="28"/>
                <w:lang w:eastAsia="lv-LV"/>
              </w:rPr>
              <w:t>0</w:t>
            </w:r>
          </w:p>
        </w:tc>
        <w:tc>
          <w:tcPr>
            <w:tcW w:w="725"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c>
          <w:tcPr>
            <w:tcW w:w="735"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c>
          <w:tcPr>
            <w:tcW w:w="657"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r>
      <w:tr w:rsidR="000B6865" w:rsidRPr="00FC423D" w:rsidTr="007B30B4">
        <w:trPr>
          <w:tblCellSpacing w:w="0" w:type="dxa"/>
        </w:trPr>
        <w:tc>
          <w:tcPr>
            <w:tcW w:w="1374" w:type="pct"/>
            <w:vMerge w:val="restart"/>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rPr>
                <w:rFonts w:eastAsia="Times New Roman"/>
                <w:sz w:val="28"/>
                <w:szCs w:val="28"/>
                <w:lang w:eastAsia="lv-LV"/>
              </w:rPr>
            </w:pPr>
            <w:r w:rsidRPr="00FC423D">
              <w:rPr>
                <w:rFonts w:eastAsia="Times New Roman"/>
                <w:sz w:val="28"/>
                <w:szCs w:val="28"/>
                <w:lang w:eastAsia="lv-LV"/>
              </w:rPr>
              <w:t> 4. Finanšu līdzekļi papildu izde</w:t>
            </w:r>
            <w:r w:rsidRPr="00FC423D">
              <w:rPr>
                <w:rFonts w:eastAsia="Times New Roman"/>
                <w:sz w:val="28"/>
                <w:szCs w:val="28"/>
                <w:lang w:eastAsia="lv-LV"/>
              </w:rPr>
              <w:softHyphen/>
              <w:t>vumu finansēšanai (kompensējošu izdevumu samazinājumu norāda ar "+" zīmi)</w:t>
            </w:r>
          </w:p>
        </w:tc>
        <w:tc>
          <w:tcPr>
            <w:tcW w:w="828" w:type="pct"/>
            <w:vMerge w:val="restart"/>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jc w:val="center"/>
              <w:rPr>
                <w:rFonts w:eastAsia="Times New Roman"/>
                <w:sz w:val="28"/>
                <w:szCs w:val="28"/>
                <w:lang w:eastAsia="lv-LV"/>
              </w:rPr>
            </w:pPr>
            <w:r w:rsidRPr="00FC423D">
              <w:rPr>
                <w:rFonts w:eastAsia="Times New Roman"/>
                <w:sz w:val="28"/>
                <w:szCs w:val="28"/>
                <w:lang w:eastAsia="lv-LV"/>
              </w:rPr>
              <w:t> X</w:t>
            </w:r>
          </w:p>
        </w:tc>
        <w:tc>
          <w:tcPr>
            <w:tcW w:w="681"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725"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c>
          <w:tcPr>
            <w:tcW w:w="735"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c>
          <w:tcPr>
            <w:tcW w:w="657"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r>
      <w:tr w:rsidR="000B6865" w:rsidRPr="00FC423D" w:rsidTr="007B30B4">
        <w:trPr>
          <w:tblCellSpacing w:w="0" w:type="dxa"/>
        </w:trPr>
        <w:tc>
          <w:tcPr>
            <w:tcW w:w="1374" w:type="pct"/>
            <w:vMerge/>
            <w:tcBorders>
              <w:top w:val="outset" w:sz="6" w:space="0" w:color="auto"/>
              <w:left w:val="outset" w:sz="6" w:space="0" w:color="auto"/>
              <w:bottom w:val="outset" w:sz="6" w:space="0" w:color="auto"/>
              <w:right w:val="outset" w:sz="6" w:space="0" w:color="auto"/>
            </w:tcBorders>
            <w:vAlign w:val="center"/>
          </w:tcPr>
          <w:p w:rsidR="000B6865" w:rsidRPr="00FC423D" w:rsidRDefault="000B6865" w:rsidP="00BD5C39">
            <w:pPr>
              <w:spacing w:after="0" w:line="240" w:lineRule="auto"/>
              <w:rPr>
                <w:rFonts w:eastAsia="Times New Roman"/>
                <w:sz w:val="28"/>
                <w:szCs w:val="28"/>
                <w:lang w:eastAsia="lv-LV"/>
              </w:rPr>
            </w:pPr>
          </w:p>
        </w:tc>
        <w:tc>
          <w:tcPr>
            <w:tcW w:w="828" w:type="pct"/>
            <w:vMerge/>
            <w:tcBorders>
              <w:top w:val="outset" w:sz="6" w:space="0" w:color="auto"/>
              <w:left w:val="outset" w:sz="6" w:space="0" w:color="auto"/>
              <w:bottom w:val="outset" w:sz="6" w:space="0" w:color="auto"/>
              <w:right w:val="outset" w:sz="6" w:space="0" w:color="auto"/>
            </w:tcBorders>
            <w:vAlign w:val="center"/>
          </w:tcPr>
          <w:p w:rsidR="000B6865" w:rsidRPr="00FC423D" w:rsidRDefault="000B6865" w:rsidP="00BD5C39">
            <w:pPr>
              <w:spacing w:after="0" w:line="240" w:lineRule="auto"/>
              <w:rPr>
                <w:rFonts w:eastAsia="Times New Roman"/>
                <w:sz w:val="28"/>
                <w:szCs w:val="28"/>
                <w:lang w:eastAsia="lv-LV"/>
              </w:rPr>
            </w:pPr>
          </w:p>
        </w:tc>
        <w:tc>
          <w:tcPr>
            <w:tcW w:w="681"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725"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c>
          <w:tcPr>
            <w:tcW w:w="735"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c>
          <w:tcPr>
            <w:tcW w:w="657"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r>
      <w:tr w:rsidR="000B6865" w:rsidRPr="00FC423D" w:rsidTr="007B30B4">
        <w:trPr>
          <w:tblCellSpacing w:w="0" w:type="dxa"/>
        </w:trPr>
        <w:tc>
          <w:tcPr>
            <w:tcW w:w="1374" w:type="pct"/>
            <w:vMerge/>
            <w:tcBorders>
              <w:top w:val="outset" w:sz="6" w:space="0" w:color="auto"/>
              <w:left w:val="outset" w:sz="6" w:space="0" w:color="auto"/>
              <w:bottom w:val="outset" w:sz="6" w:space="0" w:color="auto"/>
              <w:right w:val="outset" w:sz="6" w:space="0" w:color="auto"/>
            </w:tcBorders>
            <w:vAlign w:val="center"/>
          </w:tcPr>
          <w:p w:rsidR="000B6865" w:rsidRPr="00FC423D" w:rsidRDefault="000B6865" w:rsidP="00BD5C39">
            <w:pPr>
              <w:spacing w:after="0" w:line="240" w:lineRule="auto"/>
              <w:rPr>
                <w:rFonts w:eastAsia="Times New Roman"/>
                <w:sz w:val="28"/>
                <w:szCs w:val="28"/>
                <w:lang w:eastAsia="lv-LV"/>
              </w:rPr>
            </w:pPr>
          </w:p>
        </w:tc>
        <w:tc>
          <w:tcPr>
            <w:tcW w:w="828" w:type="pct"/>
            <w:vMerge/>
            <w:tcBorders>
              <w:top w:val="outset" w:sz="6" w:space="0" w:color="auto"/>
              <w:left w:val="outset" w:sz="6" w:space="0" w:color="auto"/>
              <w:bottom w:val="outset" w:sz="6" w:space="0" w:color="auto"/>
              <w:right w:val="outset" w:sz="6" w:space="0" w:color="auto"/>
            </w:tcBorders>
            <w:vAlign w:val="center"/>
          </w:tcPr>
          <w:p w:rsidR="000B6865" w:rsidRPr="00FC423D" w:rsidRDefault="000B6865" w:rsidP="00BD5C39">
            <w:pPr>
              <w:spacing w:after="0" w:line="240" w:lineRule="auto"/>
              <w:rPr>
                <w:rFonts w:eastAsia="Times New Roman"/>
                <w:sz w:val="28"/>
                <w:szCs w:val="28"/>
                <w:lang w:eastAsia="lv-LV"/>
              </w:rPr>
            </w:pPr>
          </w:p>
        </w:tc>
        <w:tc>
          <w:tcPr>
            <w:tcW w:w="681"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725"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c>
          <w:tcPr>
            <w:tcW w:w="735"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c>
          <w:tcPr>
            <w:tcW w:w="657"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r>
      <w:tr w:rsidR="000B6865" w:rsidRPr="00FC423D" w:rsidTr="007B30B4">
        <w:trPr>
          <w:tblCellSpacing w:w="0" w:type="dxa"/>
        </w:trPr>
        <w:tc>
          <w:tcPr>
            <w:tcW w:w="1374"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rPr>
                <w:rFonts w:eastAsia="Times New Roman"/>
                <w:sz w:val="28"/>
                <w:szCs w:val="28"/>
                <w:lang w:eastAsia="lv-LV"/>
              </w:rPr>
            </w:pPr>
            <w:r w:rsidRPr="00FC423D">
              <w:rPr>
                <w:rFonts w:eastAsia="Times New Roman"/>
                <w:sz w:val="28"/>
                <w:szCs w:val="28"/>
                <w:lang w:eastAsia="lv-LV"/>
              </w:rPr>
              <w:t> 5. Precizēta finansiālā ietekme:</w:t>
            </w:r>
          </w:p>
        </w:tc>
        <w:tc>
          <w:tcPr>
            <w:tcW w:w="828" w:type="pct"/>
            <w:vMerge w:val="restart"/>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jc w:val="center"/>
              <w:rPr>
                <w:rFonts w:eastAsia="Times New Roman"/>
                <w:sz w:val="28"/>
                <w:szCs w:val="28"/>
                <w:lang w:eastAsia="lv-LV"/>
              </w:rPr>
            </w:pPr>
            <w:r w:rsidRPr="00FC423D">
              <w:rPr>
                <w:rFonts w:eastAsia="Times New Roman"/>
                <w:sz w:val="28"/>
                <w:szCs w:val="28"/>
                <w:lang w:eastAsia="lv-LV"/>
              </w:rPr>
              <w:t> X</w:t>
            </w:r>
          </w:p>
        </w:tc>
        <w:tc>
          <w:tcPr>
            <w:tcW w:w="681"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725"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c>
          <w:tcPr>
            <w:tcW w:w="735"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c>
          <w:tcPr>
            <w:tcW w:w="657"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r>
      <w:tr w:rsidR="000B6865" w:rsidRPr="00FC423D" w:rsidTr="007B30B4">
        <w:trPr>
          <w:tblCellSpacing w:w="0" w:type="dxa"/>
        </w:trPr>
        <w:tc>
          <w:tcPr>
            <w:tcW w:w="1374"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rPr>
                <w:rFonts w:eastAsia="Times New Roman"/>
                <w:sz w:val="28"/>
                <w:szCs w:val="28"/>
                <w:lang w:eastAsia="lv-LV"/>
              </w:rPr>
            </w:pPr>
            <w:r w:rsidRPr="00FC423D">
              <w:rPr>
                <w:rFonts w:eastAsia="Times New Roman"/>
                <w:sz w:val="28"/>
                <w:szCs w:val="28"/>
                <w:lang w:eastAsia="lv-LV"/>
              </w:rPr>
              <w:t> 5.1. valsts pamatbudžets</w:t>
            </w:r>
          </w:p>
        </w:tc>
        <w:tc>
          <w:tcPr>
            <w:tcW w:w="828" w:type="pct"/>
            <w:vMerge/>
            <w:tcBorders>
              <w:top w:val="outset" w:sz="6" w:space="0" w:color="auto"/>
              <w:left w:val="outset" w:sz="6" w:space="0" w:color="auto"/>
              <w:bottom w:val="outset" w:sz="6" w:space="0" w:color="auto"/>
              <w:right w:val="outset" w:sz="6" w:space="0" w:color="auto"/>
            </w:tcBorders>
            <w:vAlign w:val="center"/>
          </w:tcPr>
          <w:p w:rsidR="000B6865" w:rsidRPr="00FC423D" w:rsidRDefault="000B6865" w:rsidP="00BD5C39">
            <w:pPr>
              <w:spacing w:after="0" w:line="240" w:lineRule="auto"/>
              <w:rPr>
                <w:rFonts w:eastAsia="Times New Roman"/>
                <w:sz w:val="28"/>
                <w:szCs w:val="28"/>
                <w:lang w:eastAsia="lv-LV"/>
              </w:rPr>
            </w:pPr>
          </w:p>
        </w:tc>
        <w:tc>
          <w:tcPr>
            <w:tcW w:w="681"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725"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c>
          <w:tcPr>
            <w:tcW w:w="735"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c>
          <w:tcPr>
            <w:tcW w:w="657"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r>
      <w:tr w:rsidR="000B6865" w:rsidRPr="00FC423D" w:rsidTr="007B30B4">
        <w:trPr>
          <w:tblCellSpacing w:w="0" w:type="dxa"/>
        </w:trPr>
        <w:tc>
          <w:tcPr>
            <w:tcW w:w="1374"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rPr>
                <w:rFonts w:eastAsia="Times New Roman"/>
                <w:sz w:val="28"/>
                <w:szCs w:val="28"/>
                <w:lang w:eastAsia="lv-LV"/>
              </w:rPr>
            </w:pPr>
            <w:r w:rsidRPr="00FC423D">
              <w:rPr>
                <w:rFonts w:eastAsia="Times New Roman"/>
                <w:sz w:val="28"/>
                <w:szCs w:val="28"/>
                <w:lang w:eastAsia="lv-LV"/>
              </w:rPr>
              <w:lastRenderedPageBreak/>
              <w:t> 5.2. speciālais budžets</w:t>
            </w:r>
          </w:p>
        </w:tc>
        <w:tc>
          <w:tcPr>
            <w:tcW w:w="828" w:type="pct"/>
            <w:vMerge/>
            <w:tcBorders>
              <w:top w:val="outset" w:sz="6" w:space="0" w:color="auto"/>
              <w:left w:val="outset" w:sz="6" w:space="0" w:color="auto"/>
              <w:bottom w:val="outset" w:sz="6" w:space="0" w:color="auto"/>
              <w:right w:val="outset" w:sz="6" w:space="0" w:color="auto"/>
            </w:tcBorders>
            <w:vAlign w:val="center"/>
          </w:tcPr>
          <w:p w:rsidR="000B6865" w:rsidRPr="00FC423D" w:rsidRDefault="000B6865" w:rsidP="00BD5C39">
            <w:pPr>
              <w:spacing w:after="0" w:line="240" w:lineRule="auto"/>
              <w:rPr>
                <w:rFonts w:eastAsia="Times New Roman"/>
                <w:sz w:val="28"/>
                <w:szCs w:val="28"/>
                <w:lang w:eastAsia="lv-LV"/>
              </w:rPr>
            </w:pPr>
          </w:p>
        </w:tc>
        <w:tc>
          <w:tcPr>
            <w:tcW w:w="681"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725"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c>
          <w:tcPr>
            <w:tcW w:w="735"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c>
          <w:tcPr>
            <w:tcW w:w="657"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r>
      <w:tr w:rsidR="000B6865" w:rsidRPr="00FC423D" w:rsidTr="007B30B4">
        <w:trPr>
          <w:tblCellSpacing w:w="0" w:type="dxa"/>
        </w:trPr>
        <w:tc>
          <w:tcPr>
            <w:tcW w:w="1374"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rPr>
                <w:rFonts w:eastAsia="Times New Roman"/>
                <w:sz w:val="28"/>
                <w:szCs w:val="28"/>
                <w:lang w:eastAsia="lv-LV"/>
              </w:rPr>
            </w:pPr>
            <w:r w:rsidRPr="00FC423D">
              <w:rPr>
                <w:rFonts w:eastAsia="Times New Roman"/>
                <w:sz w:val="28"/>
                <w:szCs w:val="28"/>
                <w:lang w:eastAsia="lv-LV"/>
              </w:rPr>
              <w:t> 5.3. pašvaldību budžets</w:t>
            </w:r>
          </w:p>
        </w:tc>
        <w:tc>
          <w:tcPr>
            <w:tcW w:w="828" w:type="pct"/>
            <w:vMerge/>
            <w:tcBorders>
              <w:top w:val="outset" w:sz="6" w:space="0" w:color="auto"/>
              <w:left w:val="outset" w:sz="6" w:space="0" w:color="auto"/>
              <w:bottom w:val="outset" w:sz="6" w:space="0" w:color="auto"/>
              <w:right w:val="outset" w:sz="6" w:space="0" w:color="auto"/>
            </w:tcBorders>
            <w:vAlign w:val="center"/>
          </w:tcPr>
          <w:p w:rsidR="000B6865" w:rsidRPr="00FC423D" w:rsidRDefault="000B6865" w:rsidP="00BD5C39">
            <w:pPr>
              <w:spacing w:after="0" w:line="240" w:lineRule="auto"/>
              <w:rPr>
                <w:rFonts w:eastAsia="Times New Roman"/>
                <w:sz w:val="28"/>
                <w:szCs w:val="28"/>
                <w:lang w:eastAsia="lv-LV"/>
              </w:rPr>
            </w:pPr>
          </w:p>
        </w:tc>
        <w:tc>
          <w:tcPr>
            <w:tcW w:w="681"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725"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c>
          <w:tcPr>
            <w:tcW w:w="735"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c>
          <w:tcPr>
            <w:tcW w:w="657"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r>
      <w:tr w:rsidR="000B6865" w:rsidRPr="00FC423D" w:rsidTr="007B30B4">
        <w:trPr>
          <w:tblCellSpacing w:w="0" w:type="dxa"/>
        </w:trPr>
        <w:tc>
          <w:tcPr>
            <w:tcW w:w="1374"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rPr>
                <w:rFonts w:eastAsia="Times New Roman"/>
                <w:sz w:val="28"/>
                <w:szCs w:val="28"/>
                <w:lang w:eastAsia="lv-LV"/>
              </w:rPr>
            </w:pPr>
            <w:r w:rsidRPr="00FC423D">
              <w:rPr>
                <w:rFonts w:eastAsia="Times New Roman"/>
                <w:sz w:val="28"/>
                <w:szCs w:val="28"/>
                <w:lang w:eastAsia="lv-LV"/>
              </w:rPr>
              <w:t> 6. Detalizēts ieņēmumu un izdevu</w:t>
            </w:r>
            <w:r w:rsidRPr="00FC423D">
              <w:rPr>
                <w:rFonts w:eastAsia="Times New Roman"/>
                <w:sz w:val="28"/>
                <w:szCs w:val="28"/>
                <w:lang w:eastAsia="lv-LV"/>
              </w:rPr>
              <w:softHyphen/>
              <w:t>mu aprēķins (ja nepieciešams, detalizētu ieņēmumu un izdevumu aprēķinu var pievienot anotācijas pielikumā):</w:t>
            </w:r>
          </w:p>
        </w:tc>
        <w:tc>
          <w:tcPr>
            <w:tcW w:w="3626" w:type="pct"/>
            <w:gridSpan w:val="5"/>
            <w:vMerge w:val="restart"/>
            <w:tcBorders>
              <w:top w:val="outset" w:sz="6" w:space="0" w:color="auto"/>
              <w:left w:val="outset" w:sz="6" w:space="0" w:color="auto"/>
              <w:bottom w:val="outset" w:sz="6" w:space="0" w:color="auto"/>
              <w:right w:val="outset" w:sz="6" w:space="0" w:color="auto"/>
            </w:tcBorders>
          </w:tcPr>
          <w:p w:rsidR="000B6865" w:rsidRPr="00FC423D" w:rsidRDefault="005111F9" w:rsidP="00BD5C39">
            <w:pPr>
              <w:spacing w:before="75" w:after="75" w:line="240" w:lineRule="auto"/>
              <w:jc w:val="both"/>
              <w:rPr>
                <w:rFonts w:eastAsia="Times New Roman"/>
                <w:sz w:val="28"/>
                <w:szCs w:val="28"/>
                <w:lang w:eastAsia="lv-LV"/>
              </w:rPr>
            </w:pPr>
            <w:r>
              <w:rPr>
                <w:sz w:val="28"/>
                <w:szCs w:val="28"/>
              </w:rPr>
              <w:t xml:space="preserve"> </w:t>
            </w:r>
            <w:r w:rsidR="000B6865" w:rsidRPr="00FC423D">
              <w:rPr>
                <w:sz w:val="28"/>
                <w:szCs w:val="28"/>
              </w:rPr>
              <w:t>Projekts šo jomu neskar.</w:t>
            </w:r>
          </w:p>
        </w:tc>
      </w:tr>
      <w:tr w:rsidR="000B6865" w:rsidRPr="00FC423D" w:rsidTr="007B30B4">
        <w:trPr>
          <w:tblCellSpacing w:w="0" w:type="dxa"/>
        </w:trPr>
        <w:tc>
          <w:tcPr>
            <w:tcW w:w="1374"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rPr>
                <w:rFonts w:eastAsia="Times New Roman"/>
                <w:sz w:val="28"/>
                <w:szCs w:val="28"/>
                <w:lang w:eastAsia="lv-LV"/>
              </w:rPr>
            </w:pPr>
            <w:r w:rsidRPr="00FC423D">
              <w:rPr>
                <w:rFonts w:eastAsia="Times New Roman"/>
                <w:sz w:val="28"/>
                <w:szCs w:val="28"/>
                <w:lang w:eastAsia="lv-LV"/>
              </w:rPr>
              <w:t> 6.1. detalizēts ieņēmumu aprēķins</w:t>
            </w:r>
          </w:p>
        </w:tc>
        <w:tc>
          <w:tcPr>
            <w:tcW w:w="3626" w:type="pct"/>
            <w:gridSpan w:val="5"/>
            <w:vMerge/>
            <w:tcBorders>
              <w:top w:val="outset" w:sz="6" w:space="0" w:color="auto"/>
              <w:left w:val="outset" w:sz="6" w:space="0" w:color="auto"/>
              <w:bottom w:val="outset" w:sz="6" w:space="0" w:color="auto"/>
              <w:right w:val="outset" w:sz="6" w:space="0" w:color="auto"/>
            </w:tcBorders>
            <w:vAlign w:val="center"/>
          </w:tcPr>
          <w:p w:rsidR="000B6865" w:rsidRPr="00FC423D" w:rsidRDefault="000B6865" w:rsidP="00BD5C39">
            <w:pPr>
              <w:spacing w:after="0" w:line="240" w:lineRule="auto"/>
              <w:rPr>
                <w:rFonts w:eastAsia="Times New Roman"/>
                <w:sz w:val="28"/>
                <w:szCs w:val="28"/>
                <w:lang w:eastAsia="lv-LV"/>
              </w:rPr>
            </w:pPr>
          </w:p>
        </w:tc>
      </w:tr>
      <w:tr w:rsidR="000B6865" w:rsidRPr="00FC423D" w:rsidTr="007B30B4">
        <w:trPr>
          <w:tblCellSpacing w:w="0" w:type="dxa"/>
        </w:trPr>
        <w:tc>
          <w:tcPr>
            <w:tcW w:w="1374"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rPr>
                <w:rFonts w:eastAsia="Times New Roman"/>
                <w:sz w:val="28"/>
                <w:szCs w:val="28"/>
                <w:lang w:eastAsia="lv-LV"/>
              </w:rPr>
            </w:pPr>
            <w:r w:rsidRPr="00FC423D">
              <w:rPr>
                <w:rFonts w:eastAsia="Times New Roman"/>
                <w:sz w:val="28"/>
                <w:szCs w:val="28"/>
                <w:lang w:eastAsia="lv-LV"/>
              </w:rPr>
              <w:t> 6.2. detalizēts izdevumu aprēķins</w:t>
            </w:r>
          </w:p>
        </w:tc>
        <w:tc>
          <w:tcPr>
            <w:tcW w:w="3626" w:type="pct"/>
            <w:gridSpan w:val="5"/>
            <w:vMerge/>
            <w:tcBorders>
              <w:top w:val="outset" w:sz="6" w:space="0" w:color="auto"/>
              <w:left w:val="outset" w:sz="6" w:space="0" w:color="auto"/>
              <w:bottom w:val="outset" w:sz="6" w:space="0" w:color="auto"/>
              <w:right w:val="outset" w:sz="6" w:space="0" w:color="auto"/>
            </w:tcBorders>
            <w:vAlign w:val="center"/>
          </w:tcPr>
          <w:p w:rsidR="000B6865" w:rsidRPr="00FC423D" w:rsidRDefault="000B6865" w:rsidP="00BD5C39">
            <w:pPr>
              <w:spacing w:after="0" w:line="240" w:lineRule="auto"/>
              <w:rPr>
                <w:rFonts w:eastAsia="Times New Roman"/>
                <w:sz w:val="28"/>
                <w:szCs w:val="28"/>
                <w:lang w:eastAsia="lv-LV"/>
              </w:rPr>
            </w:pPr>
          </w:p>
        </w:tc>
      </w:tr>
      <w:tr w:rsidR="000B6865" w:rsidRPr="00FC423D" w:rsidTr="007B30B4">
        <w:trPr>
          <w:tblCellSpacing w:w="0" w:type="dxa"/>
        </w:trPr>
        <w:tc>
          <w:tcPr>
            <w:tcW w:w="1374"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rPr>
                <w:rFonts w:eastAsia="Times New Roman"/>
                <w:sz w:val="28"/>
                <w:szCs w:val="28"/>
                <w:lang w:eastAsia="lv-LV"/>
              </w:rPr>
            </w:pPr>
            <w:r w:rsidRPr="00FC423D">
              <w:rPr>
                <w:rFonts w:eastAsia="Times New Roman"/>
                <w:sz w:val="28"/>
                <w:szCs w:val="28"/>
                <w:lang w:eastAsia="lv-LV"/>
              </w:rPr>
              <w:t> 7. Cita informācija</w:t>
            </w:r>
          </w:p>
        </w:tc>
        <w:tc>
          <w:tcPr>
            <w:tcW w:w="3626" w:type="pct"/>
            <w:gridSpan w:val="5"/>
            <w:tcBorders>
              <w:top w:val="outset" w:sz="6" w:space="0" w:color="auto"/>
              <w:left w:val="outset" w:sz="6" w:space="0" w:color="auto"/>
              <w:bottom w:val="outset" w:sz="6" w:space="0" w:color="auto"/>
              <w:right w:val="outset" w:sz="6" w:space="0" w:color="auto"/>
            </w:tcBorders>
          </w:tcPr>
          <w:p w:rsidR="000B6865" w:rsidRPr="00FC423D" w:rsidRDefault="00092344" w:rsidP="00CD2FD9">
            <w:pPr>
              <w:spacing w:after="0" w:line="240" w:lineRule="auto"/>
              <w:ind w:left="50" w:right="140"/>
              <w:jc w:val="both"/>
              <w:rPr>
                <w:rFonts w:eastAsia="Times New Roman"/>
                <w:sz w:val="28"/>
                <w:szCs w:val="28"/>
                <w:lang w:eastAsia="lv-LV"/>
              </w:rPr>
            </w:pPr>
            <w:r>
              <w:rPr>
                <w:sz w:val="28"/>
                <w:szCs w:val="28"/>
              </w:rPr>
              <w:t xml:space="preserve">Saskaņā ar stratēģijas projektu </w:t>
            </w:r>
            <w:r w:rsidRPr="007B30B4">
              <w:rPr>
                <w:sz w:val="28"/>
                <w:szCs w:val="28"/>
              </w:rPr>
              <w:t>„</w:t>
            </w:r>
            <w:r w:rsidRPr="007B30B4">
              <w:rPr>
                <w:rFonts w:eastAsiaTheme="minorHAnsi"/>
                <w:sz w:val="28"/>
                <w:szCs w:val="28"/>
              </w:rPr>
              <w:t>Valsts sabie</w:t>
            </w:r>
            <w:r>
              <w:rPr>
                <w:rFonts w:eastAsiaTheme="minorHAnsi"/>
                <w:sz w:val="28"/>
                <w:szCs w:val="28"/>
              </w:rPr>
              <w:t>drības ar ierobežotu atbildību „</w:t>
            </w:r>
            <w:r w:rsidRPr="007B30B4">
              <w:rPr>
                <w:rFonts w:eastAsiaTheme="minorHAnsi"/>
                <w:sz w:val="28"/>
                <w:szCs w:val="28"/>
              </w:rPr>
              <w:t xml:space="preserve">Latvijas Nacionālā opera un balets” vidēja </w:t>
            </w:r>
            <w:r>
              <w:rPr>
                <w:rFonts w:eastAsiaTheme="minorHAnsi"/>
                <w:sz w:val="28"/>
                <w:szCs w:val="28"/>
              </w:rPr>
              <w:t>termiņa darbības stratēģija 2017</w:t>
            </w:r>
            <w:r w:rsidRPr="007B30B4">
              <w:rPr>
                <w:rFonts w:eastAsiaTheme="minorHAnsi"/>
                <w:sz w:val="28"/>
                <w:szCs w:val="28"/>
              </w:rPr>
              <w:t>.</w:t>
            </w:r>
            <w:r>
              <w:rPr>
                <w:rFonts w:eastAsiaTheme="minorHAnsi"/>
                <w:sz w:val="28"/>
                <w:szCs w:val="28"/>
              </w:rPr>
              <w:t xml:space="preserve"> – </w:t>
            </w:r>
            <w:r w:rsidRPr="007B30B4">
              <w:rPr>
                <w:rFonts w:eastAsiaTheme="minorHAnsi"/>
                <w:sz w:val="28"/>
                <w:szCs w:val="28"/>
              </w:rPr>
              <w:t>2021.gadam”</w:t>
            </w:r>
            <w:r>
              <w:rPr>
                <w:rFonts w:eastAsiaTheme="minorHAnsi"/>
                <w:sz w:val="28"/>
                <w:szCs w:val="28"/>
              </w:rPr>
              <w:t xml:space="preserve">, </w:t>
            </w:r>
            <w:r>
              <w:rPr>
                <w:rFonts w:eastAsia="Times New Roman"/>
                <w:sz w:val="28"/>
                <w:szCs w:val="28"/>
                <w:lang w:eastAsia="lv-LV"/>
              </w:rPr>
              <w:t>p</w:t>
            </w:r>
            <w:r w:rsidR="000B6865" w:rsidRPr="004E3FBA">
              <w:rPr>
                <w:rFonts w:eastAsia="Times New Roman"/>
                <w:sz w:val="28"/>
                <w:szCs w:val="28"/>
                <w:lang w:eastAsia="lv-LV"/>
              </w:rPr>
              <w:t xml:space="preserve">ieņemot lēmumu par atšķirīgu dividendēs izmaksājamo summu (nosakot 0 </w:t>
            </w:r>
            <w:r w:rsidR="0057628C">
              <w:rPr>
                <w:rFonts w:eastAsia="Times New Roman"/>
                <w:sz w:val="28"/>
                <w:szCs w:val="28"/>
                <w:lang w:eastAsia="lv-LV"/>
              </w:rPr>
              <w:t>procentu</w:t>
            </w:r>
            <w:r w:rsidR="000B6865" w:rsidRPr="004E3FBA">
              <w:rPr>
                <w:rFonts w:eastAsia="Times New Roman"/>
                <w:sz w:val="28"/>
                <w:szCs w:val="28"/>
                <w:lang w:eastAsia="lv-LV"/>
              </w:rPr>
              <w:t xml:space="preserve"> likmi), </w:t>
            </w:r>
            <w:r w:rsidR="00AF0773" w:rsidRPr="00B22651">
              <w:rPr>
                <w:rFonts w:eastAsia="Times New Roman"/>
                <w:sz w:val="28"/>
                <w:szCs w:val="28"/>
                <w:lang w:eastAsia="lv-LV"/>
              </w:rPr>
              <w:t>valsts budžetā</w:t>
            </w:r>
            <w:r w:rsidR="00CD2FD9">
              <w:rPr>
                <w:rFonts w:eastAsia="Times New Roman"/>
                <w:sz w:val="28"/>
                <w:szCs w:val="28"/>
                <w:lang w:eastAsia="lv-LV"/>
              </w:rPr>
              <w:t xml:space="preserve"> 6 gados</w:t>
            </w:r>
            <w:r>
              <w:rPr>
                <w:rFonts w:eastAsia="Times New Roman"/>
                <w:sz w:val="28"/>
                <w:szCs w:val="28"/>
                <w:lang w:eastAsia="lv-LV"/>
              </w:rPr>
              <w:t xml:space="preserve"> </w:t>
            </w:r>
            <w:r w:rsidR="00CD2FD9">
              <w:rPr>
                <w:rFonts w:eastAsia="Times New Roman"/>
                <w:sz w:val="28"/>
                <w:szCs w:val="28"/>
                <w:lang w:eastAsia="lv-LV"/>
              </w:rPr>
              <w:t>kopā</w:t>
            </w:r>
            <w:r w:rsidR="00AF0773" w:rsidRPr="00B22651">
              <w:rPr>
                <w:rFonts w:eastAsia="Times New Roman"/>
                <w:sz w:val="28"/>
                <w:szCs w:val="28"/>
                <w:lang w:eastAsia="lv-LV"/>
              </w:rPr>
              <w:t xml:space="preserve"> netiktu pārskaitīta summa </w:t>
            </w:r>
            <w:r w:rsidR="00AF0773" w:rsidRPr="00B22651">
              <w:rPr>
                <w:sz w:val="28"/>
                <w:szCs w:val="28"/>
              </w:rPr>
              <w:t>60 000</w:t>
            </w:r>
            <w:r w:rsidR="00AF0773" w:rsidRPr="00B22651">
              <w:rPr>
                <w:color w:val="FF0000"/>
                <w:sz w:val="28"/>
                <w:szCs w:val="28"/>
              </w:rPr>
              <w:t xml:space="preserve"> </w:t>
            </w:r>
            <w:proofErr w:type="spellStart"/>
            <w:r w:rsidR="00AF0773" w:rsidRPr="00B22651">
              <w:rPr>
                <w:i/>
                <w:sz w:val="28"/>
                <w:szCs w:val="28"/>
              </w:rPr>
              <w:t>euro</w:t>
            </w:r>
            <w:proofErr w:type="spellEnd"/>
            <w:r>
              <w:rPr>
                <w:rFonts w:eastAsia="Times New Roman"/>
                <w:sz w:val="28"/>
                <w:szCs w:val="28"/>
                <w:lang w:eastAsia="lv-LV"/>
              </w:rPr>
              <w:t xml:space="preserve"> apmērā.</w:t>
            </w:r>
            <w:r w:rsidR="00AF0773" w:rsidRPr="00B22651">
              <w:rPr>
                <w:rFonts w:eastAsia="Times New Roman"/>
                <w:sz w:val="28"/>
                <w:szCs w:val="28"/>
                <w:lang w:eastAsia="lv-LV"/>
              </w:rPr>
              <w:t xml:space="preserve"> </w:t>
            </w:r>
            <w:r>
              <w:rPr>
                <w:rFonts w:eastAsia="Times New Roman"/>
                <w:sz w:val="28"/>
                <w:szCs w:val="28"/>
                <w:lang w:eastAsia="lv-LV"/>
              </w:rPr>
              <w:t>M</w:t>
            </w:r>
            <w:r w:rsidR="00AF0773" w:rsidRPr="00B22651">
              <w:rPr>
                <w:rFonts w:eastAsia="Times New Roman"/>
                <w:sz w:val="28"/>
                <w:szCs w:val="28"/>
                <w:lang w:eastAsia="lv-LV"/>
              </w:rPr>
              <w:t>inētā summa paliktu</w:t>
            </w:r>
            <w:r w:rsidR="000B6865" w:rsidRPr="004E3FBA">
              <w:rPr>
                <w:rFonts w:eastAsia="Times New Roman"/>
                <w:sz w:val="28"/>
                <w:szCs w:val="28"/>
                <w:lang w:eastAsia="lv-LV"/>
              </w:rPr>
              <w:t xml:space="preserve"> kapitālsabiedrības rīcībā un tiktu novirzīta kapitālsabiedrībai </w:t>
            </w:r>
            <w:r w:rsidR="000B6865" w:rsidRPr="004E3FBA">
              <w:rPr>
                <w:sz w:val="28"/>
                <w:szCs w:val="28"/>
              </w:rPr>
              <w:t xml:space="preserve">deleģēto valsts pārvaldes uzdevumu </w:t>
            </w:r>
            <w:r w:rsidR="000B6865" w:rsidRPr="004E3FBA">
              <w:rPr>
                <w:rFonts w:eastAsia="Times New Roman"/>
                <w:sz w:val="28"/>
                <w:szCs w:val="28"/>
                <w:lang w:eastAsia="lv-LV"/>
              </w:rPr>
              <w:t>kultūras jomā nodrošināšanas izdevumu segšanai, nepalielinot</w:t>
            </w:r>
            <w:r w:rsidR="000B6865" w:rsidRPr="00FC423D">
              <w:rPr>
                <w:rFonts w:eastAsia="Times New Roman"/>
                <w:sz w:val="28"/>
                <w:szCs w:val="28"/>
                <w:lang w:eastAsia="lv-LV"/>
              </w:rPr>
              <w:t xml:space="preserve"> kapitālsabiedrībai nepieciešamo valsts budžeta dotāciju </w:t>
            </w:r>
            <w:r w:rsidR="000B6865">
              <w:rPr>
                <w:sz w:val="28"/>
                <w:szCs w:val="28"/>
              </w:rPr>
              <w:t>deleģēto</w:t>
            </w:r>
            <w:r w:rsidR="000B6865" w:rsidRPr="006D686E">
              <w:rPr>
                <w:sz w:val="28"/>
                <w:szCs w:val="28"/>
              </w:rPr>
              <w:t xml:space="preserve"> </w:t>
            </w:r>
            <w:r w:rsidR="000B6865">
              <w:rPr>
                <w:sz w:val="28"/>
                <w:szCs w:val="28"/>
              </w:rPr>
              <w:t>valsts pārvaldes uzdevumu</w:t>
            </w:r>
            <w:r w:rsidR="000B6865" w:rsidRPr="006D686E">
              <w:rPr>
                <w:sz w:val="28"/>
                <w:szCs w:val="28"/>
              </w:rPr>
              <w:t xml:space="preserve"> </w:t>
            </w:r>
            <w:r w:rsidR="000B6865">
              <w:rPr>
                <w:rFonts w:eastAsia="Times New Roman"/>
                <w:sz w:val="28"/>
                <w:szCs w:val="28"/>
                <w:lang w:eastAsia="lv-LV"/>
              </w:rPr>
              <w:t>kultūras jomā</w:t>
            </w:r>
            <w:r w:rsidR="000B6865" w:rsidRPr="00FC423D">
              <w:rPr>
                <w:rFonts w:eastAsia="Times New Roman"/>
                <w:sz w:val="28"/>
                <w:szCs w:val="28"/>
                <w:lang w:eastAsia="lv-LV"/>
              </w:rPr>
              <w:t xml:space="preserve"> īstenošanai.  </w:t>
            </w:r>
          </w:p>
        </w:tc>
      </w:tr>
    </w:tbl>
    <w:p w:rsidR="000B6865" w:rsidRDefault="000B6865" w:rsidP="000B6865">
      <w:pPr>
        <w:spacing w:after="0" w:line="240" w:lineRule="auto"/>
        <w:rPr>
          <w:i/>
          <w:sz w:val="28"/>
          <w:szCs w:val="28"/>
        </w:rPr>
      </w:pPr>
    </w:p>
    <w:p w:rsidR="004E08FB" w:rsidRDefault="004E08FB" w:rsidP="000B6865">
      <w:pPr>
        <w:spacing w:after="0" w:line="240" w:lineRule="auto"/>
        <w:rPr>
          <w:i/>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2"/>
        <w:gridCol w:w="3269"/>
        <w:gridCol w:w="5320"/>
      </w:tblGrid>
      <w:tr w:rsidR="000B6865" w:rsidRPr="00FC423D" w:rsidTr="00BD5C39">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B6865" w:rsidRPr="00FC423D" w:rsidRDefault="000B6865" w:rsidP="00BD5C39">
            <w:pPr>
              <w:tabs>
                <w:tab w:val="center" w:pos="4153"/>
                <w:tab w:val="right" w:pos="8306"/>
              </w:tabs>
              <w:spacing w:before="100" w:beforeAutospacing="1" w:after="100" w:afterAutospacing="1" w:line="240" w:lineRule="auto"/>
              <w:jc w:val="center"/>
              <w:rPr>
                <w:rFonts w:eastAsia="Times New Roman"/>
                <w:sz w:val="28"/>
                <w:szCs w:val="28"/>
                <w:lang w:eastAsia="lv-LV"/>
              </w:rPr>
            </w:pPr>
            <w:r w:rsidRPr="00FC423D">
              <w:rPr>
                <w:rFonts w:eastAsia="Times New Roman"/>
                <w:b/>
                <w:bCs/>
                <w:sz w:val="28"/>
                <w:szCs w:val="28"/>
                <w:lang w:eastAsia="lv-LV"/>
              </w:rPr>
              <w:t>V. Tiesību akta projekta atbilstība Latvijas Republikas starptautiskajām saistībām</w:t>
            </w:r>
          </w:p>
        </w:tc>
      </w:tr>
      <w:tr w:rsidR="000B6865" w:rsidRPr="00FC423D" w:rsidTr="00BD5C39">
        <w:tc>
          <w:tcPr>
            <w:tcW w:w="297" w:type="pct"/>
            <w:tcBorders>
              <w:top w:val="outset" w:sz="6" w:space="0" w:color="auto"/>
              <w:left w:val="outset" w:sz="6" w:space="0" w:color="auto"/>
              <w:bottom w:val="outset" w:sz="6" w:space="0" w:color="auto"/>
              <w:right w:val="outset" w:sz="6" w:space="0" w:color="auto"/>
            </w:tcBorders>
            <w:hideMark/>
          </w:tcPr>
          <w:p w:rsidR="000B6865" w:rsidRPr="00FC423D" w:rsidRDefault="000B6865" w:rsidP="00BD5C39">
            <w:pPr>
              <w:spacing w:after="0" w:line="240" w:lineRule="auto"/>
              <w:jc w:val="center"/>
              <w:rPr>
                <w:rFonts w:eastAsia="Times New Roman"/>
                <w:sz w:val="28"/>
                <w:szCs w:val="28"/>
                <w:lang w:eastAsia="lv-LV"/>
              </w:rPr>
            </w:pPr>
            <w:r w:rsidRPr="00FC423D">
              <w:rPr>
                <w:rFonts w:eastAsia="Times New Roman"/>
                <w:sz w:val="28"/>
                <w:szCs w:val="28"/>
                <w:lang w:eastAsia="lv-LV"/>
              </w:rPr>
              <w:t>1.</w:t>
            </w:r>
          </w:p>
        </w:tc>
        <w:tc>
          <w:tcPr>
            <w:tcW w:w="1790" w:type="pct"/>
            <w:tcBorders>
              <w:top w:val="outset" w:sz="6" w:space="0" w:color="auto"/>
              <w:left w:val="outset" w:sz="6" w:space="0" w:color="auto"/>
              <w:bottom w:val="outset" w:sz="6" w:space="0" w:color="auto"/>
              <w:right w:val="outset" w:sz="6" w:space="0" w:color="auto"/>
            </w:tcBorders>
            <w:hideMark/>
          </w:tcPr>
          <w:p w:rsidR="000B6865" w:rsidRPr="00FC423D" w:rsidRDefault="000B6865" w:rsidP="00BD5C39">
            <w:pPr>
              <w:spacing w:after="0" w:line="240" w:lineRule="auto"/>
              <w:rPr>
                <w:rFonts w:eastAsia="Times New Roman"/>
                <w:sz w:val="28"/>
                <w:szCs w:val="28"/>
                <w:lang w:eastAsia="lv-LV"/>
              </w:rPr>
            </w:pPr>
            <w:r w:rsidRPr="00FC423D">
              <w:rPr>
                <w:rFonts w:eastAsia="Times New Roman"/>
                <w:sz w:val="28"/>
                <w:szCs w:val="28"/>
                <w:lang w:eastAsia="lv-LV"/>
              </w:rPr>
              <w:t>Saistības pret Eiropas Savienību</w:t>
            </w:r>
          </w:p>
        </w:tc>
        <w:tc>
          <w:tcPr>
            <w:tcW w:w="2913" w:type="pct"/>
            <w:tcBorders>
              <w:top w:val="outset" w:sz="6" w:space="0" w:color="auto"/>
              <w:left w:val="outset" w:sz="6" w:space="0" w:color="auto"/>
              <w:bottom w:val="outset" w:sz="6" w:space="0" w:color="auto"/>
              <w:right w:val="outset" w:sz="6" w:space="0" w:color="auto"/>
            </w:tcBorders>
            <w:hideMark/>
          </w:tcPr>
          <w:p w:rsidR="000B6865" w:rsidRPr="00FC423D" w:rsidRDefault="000B6865" w:rsidP="00BD5C39">
            <w:pPr>
              <w:spacing w:after="0" w:line="240" w:lineRule="auto"/>
              <w:rPr>
                <w:rFonts w:eastAsia="Times New Roman"/>
                <w:sz w:val="28"/>
                <w:szCs w:val="28"/>
                <w:lang w:eastAsia="lv-LV"/>
              </w:rPr>
            </w:pPr>
            <w:r>
              <w:rPr>
                <w:sz w:val="28"/>
                <w:szCs w:val="28"/>
              </w:rPr>
              <w:t xml:space="preserve"> </w:t>
            </w:r>
            <w:r w:rsidRPr="00FC423D">
              <w:rPr>
                <w:sz w:val="28"/>
                <w:szCs w:val="28"/>
              </w:rPr>
              <w:t>Projekts šo jomu neskar.</w:t>
            </w:r>
          </w:p>
        </w:tc>
      </w:tr>
      <w:tr w:rsidR="000B6865" w:rsidRPr="00FC423D" w:rsidTr="00BD5C39">
        <w:tc>
          <w:tcPr>
            <w:tcW w:w="297" w:type="pct"/>
            <w:tcBorders>
              <w:top w:val="outset" w:sz="6" w:space="0" w:color="auto"/>
              <w:left w:val="outset" w:sz="6" w:space="0" w:color="auto"/>
              <w:bottom w:val="outset" w:sz="6" w:space="0" w:color="auto"/>
              <w:right w:val="outset" w:sz="6" w:space="0" w:color="auto"/>
            </w:tcBorders>
            <w:hideMark/>
          </w:tcPr>
          <w:p w:rsidR="000B6865" w:rsidRPr="00FC423D" w:rsidRDefault="000B6865" w:rsidP="00BD5C39">
            <w:pPr>
              <w:spacing w:after="0" w:line="240" w:lineRule="auto"/>
              <w:jc w:val="center"/>
              <w:rPr>
                <w:rFonts w:eastAsia="Times New Roman"/>
                <w:sz w:val="28"/>
                <w:szCs w:val="28"/>
                <w:lang w:eastAsia="lv-LV"/>
              </w:rPr>
            </w:pPr>
            <w:r w:rsidRPr="00FC423D">
              <w:rPr>
                <w:rFonts w:eastAsia="Times New Roman"/>
                <w:sz w:val="28"/>
                <w:szCs w:val="28"/>
                <w:lang w:eastAsia="lv-LV"/>
              </w:rPr>
              <w:t>2.</w:t>
            </w:r>
          </w:p>
        </w:tc>
        <w:tc>
          <w:tcPr>
            <w:tcW w:w="1790" w:type="pct"/>
            <w:tcBorders>
              <w:top w:val="outset" w:sz="6" w:space="0" w:color="auto"/>
              <w:left w:val="outset" w:sz="6" w:space="0" w:color="auto"/>
              <w:bottom w:val="outset" w:sz="6" w:space="0" w:color="auto"/>
              <w:right w:val="outset" w:sz="6" w:space="0" w:color="auto"/>
            </w:tcBorders>
            <w:hideMark/>
          </w:tcPr>
          <w:p w:rsidR="000B6865" w:rsidRPr="00FC423D" w:rsidRDefault="000B6865" w:rsidP="00BD5C39">
            <w:pPr>
              <w:spacing w:after="0" w:line="240" w:lineRule="auto"/>
              <w:rPr>
                <w:rFonts w:eastAsia="Times New Roman"/>
                <w:sz w:val="28"/>
                <w:szCs w:val="28"/>
                <w:lang w:eastAsia="lv-LV"/>
              </w:rPr>
            </w:pPr>
            <w:r w:rsidRPr="00FC423D">
              <w:rPr>
                <w:rFonts w:eastAsia="Times New Roman"/>
                <w:sz w:val="28"/>
                <w:szCs w:val="28"/>
                <w:lang w:eastAsia="lv-LV"/>
              </w:rPr>
              <w:t>Citas starptautiskās saistības</w:t>
            </w:r>
          </w:p>
        </w:tc>
        <w:tc>
          <w:tcPr>
            <w:tcW w:w="2913" w:type="pct"/>
            <w:tcBorders>
              <w:top w:val="outset" w:sz="6" w:space="0" w:color="auto"/>
              <w:left w:val="outset" w:sz="6" w:space="0" w:color="auto"/>
              <w:bottom w:val="outset" w:sz="6" w:space="0" w:color="auto"/>
              <w:right w:val="outset" w:sz="6" w:space="0" w:color="auto"/>
            </w:tcBorders>
            <w:hideMark/>
          </w:tcPr>
          <w:p w:rsidR="000B6865" w:rsidRPr="00FC423D" w:rsidRDefault="000B6865" w:rsidP="00BD5C39">
            <w:pPr>
              <w:spacing w:after="0" w:line="240" w:lineRule="auto"/>
              <w:rPr>
                <w:rFonts w:eastAsia="Times New Roman"/>
                <w:sz w:val="28"/>
                <w:szCs w:val="28"/>
                <w:lang w:eastAsia="lv-LV"/>
              </w:rPr>
            </w:pPr>
            <w:r>
              <w:rPr>
                <w:sz w:val="28"/>
                <w:szCs w:val="28"/>
              </w:rPr>
              <w:t xml:space="preserve"> </w:t>
            </w:r>
            <w:r w:rsidRPr="00FC423D">
              <w:rPr>
                <w:sz w:val="28"/>
                <w:szCs w:val="28"/>
              </w:rPr>
              <w:t>Projekts šo jomu neskar.</w:t>
            </w:r>
          </w:p>
        </w:tc>
      </w:tr>
      <w:tr w:rsidR="000B6865" w:rsidRPr="00FC423D" w:rsidTr="00BD5C39">
        <w:tc>
          <w:tcPr>
            <w:tcW w:w="297" w:type="pct"/>
            <w:tcBorders>
              <w:top w:val="outset" w:sz="6" w:space="0" w:color="auto"/>
              <w:left w:val="outset" w:sz="6" w:space="0" w:color="auto"/>
              <w:bottom w:val="nil"/>
              <w:right w:val="outset" w:sz="6" w:space="0" w:color="auto"/>
            </w:tcBorders>
            <w:hideMark/>
          </w:tcPr>
          <w:p w:rsidR="000B6865" w:rsidRPr="00FC423D" w:rsidRDefault="000B6865" w:rsidP="00BD5C39">
            <w:pPr>
              <w:spacing w:after="0" w:line="240" w:lineRule="auto"/>
              <w:jc w:val="center"/>
              <w:rPr>
                <w:rFonts w:eastAsia="Times New Roman"/>
                <w:sz w:val="28"/>
                <w:szCs w:val="28"/>
                <w:lang w:eastAsia="lv-LV"/>
              </w:rPr>
            </w:pPr>
            <w:r w:rsidRPr="00FC423D">
              <w:rPr>
                <w:rFonts w:eastAsia="Times New Roman"/>
                <w:sz w:val="28"/>
                <w:szCs w:val="28"/>
                <w:lang w:eastAsia="lv-LV"/>
              </w:rPr>
              <w:t>3.</w:t>
            </w:r>
          </w:p>
        </w:tc>
        <w:tc>
          <w:tcPr>
            <w:tcW w:w="1790" w:type="pct"/>
            <w:tcBorders>
              <w:top w:val="outset" w:sz="6" w:space="0" w:color="auto"/>
              <w:left w:val="outset" w:sz="6" w:space="0" w:color="auto"/>
              <w:bottom w:val="nil"/>
              <w:right w:val="outset" w:sz="6" w:space="0" w:color="auto"/>
            </w:tcBorders>
            <w:hideMark/>
          </w:tcPr>
          <w:p w:rsidR="000B6865" w:rsidRPr="00FC423D" w:rsidRDefault="000B6865" w:rsidP="00BD5C39">
            <w:pPr>
              <w:spacing w:after="0" w:line="240" w:lineRule="auto"/>
              <w:rPr>
                <w:rFonts w:eastAsia="Times New Roman"/>
                <w:sz w:val="28"/>
                <w:szCs w:val="28"/>
                <w:lang w:eastAsia="lv-LV"/>
              </w:rPr>
            </w:pPr>
            <w:r w:rsidRPr="00FC423D">
              <w:rPr>
                <w:rFonts w:eastAsia="Times New Roman"/>
                <w:sz w:val="28"/>
                <w:szCs w:val="28"/>
                <w:lang w:eastAsia="lv-LV"/>
              </w:rPr>
              <w:t>Cita informācija</w:t>
            </w:r>
          </w:p>
        </w:tc>
        <w:tc>
          <w:tcPr>
            <w:tcW w:w="2913" w:type="pct"/>
            <w:tcBorders>
              <w:top w:val="outset" w:sz="6" w:space="0" w:color="auto"/>
              <w:left w:val="outset" w:sz="6" w:space="0" w:color="auto"/>
              <w:bottom w:val="nil"/>
              <w:right w:val="outset" w:sz="6" w:space="0" w:color="auto"/>
            </w:tcBorders>
            <w:hideMark/>
          </w:tcPr>
          <w:p w:rsidR="000B6865" w:rsidRPr="00FC423D" w:rsidRDefault="000B6865" w:rsidP="00BD5C39">
            <w:pPr>
              <w:spacing w:before="100" w:beforeAutospacing="1" w:after="100" w:afterAutospacing="1" w:line="240" w:lineRule="auto"/>
              <w:rPr>
                <w:rFonts w:eastAsia="Times New Roman"/>
                <w:sz w:val="28"/>
                <w:szCs w:val="28"/>
                <w:lang w:eastAsia="lv-LV"/>
              </w:rPr>
            </w:pPr>
            <w:r>
              <w:rPr>
                <w:rFonts w:eastAsia="Times New Roman"/>
                <w:sz w:val="28"/>
                <w:szCs w:val="28"/>
                <w:lang w:eastAsia="lv-LV"/>
              </w:rPr>
              <w:t xml:space="preserve"> </w:t>
            </w:r>
            <w:r w:rsidRPr="00FC423D">
              <w:rPr>
                <w:rFonts w:eastAsia="Times New Roman"/>
                <w:sz w:val="28"/>
                <w:szCs w:val="28"/>
                <w:lang w:eastAsia="lv-LV"/>
              </w:rPr>
              <w:t>Nav</w:t>
            </w:r>
          </w:p>
        </w:tc>
      </w:tr>
    </w:tbl>
    <w:p w:rsidR="000B6865" w:rsidRPr="00FC423D" w:rsidRDefault="000B6865" w:rsidP="000B6865">
      <w:pPr>
        <w:spacing w:after="90" w:line="240" w:lineRule="auto"/>
        <w:rPr>
          <w:rFonts w:eastAsia="Times New Roman"/>
          <w:vanish/>
          <w:sz w:val="28"/>
          <w:szCs w:val="28"/>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12"/>
        <w:gridCol w:w="1539"/>
        <w:gridCol w:w="1711"/>
        <w:gridCol w:w="2069"/>
      </w:tblGrid>
      <w:tr w:rsidR="000B6865" w:rsidRPr="00FC423D" w:rsidTr="00BD5C39">
        <w:trPr>
          <w:trHeight w:val="510"/>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0B6865" w:rsidRPr="00FC423D" w:rsidRDefault="000B6865" w:rsidP="00BD5C39">
            <w:pPr>
              <w:spacing w:before="100" w:beforeAutospacing="1" w:after="100" w:afterAutospacing="1" w:line="240" w:lineRule="auto"/>
              <w:jc w:val="center"/>
              <w:rPr>
                <w:rFonts w:eastAsia="Times New Roman"/>
                <w:sz w:val="28"/>
                <w:szCs w:val="28"/>
                <w:lang w:eastAsia="lv-LV"/>
              </w:rPr>
            </w:pPr>
            <w:r w:rsidRPr="00FC423D">
              <w:rPr>
                <w:rFonts w:eastAsia="Times New Roman"/>
                <w:b/>
                <w:bCs/>
                <w:sz w:val="28"/>
                <w:szCs w:val="28"/>
                <w:lang w:eastAsia="lv-LV"/>
              </w:rPr>
              <w:t>1.tabula</w:t>
            </w:r>
            <w:r w:rsidRPr="00FC423D">
              <w:rPr>
                <w:rFonts w:eastAsia="Times New Roman"/>
                <w:b/>
                <w:bCs/>
                <w:sz w:val="28"/>
                <w:szCs w:val="28"/>
                <w:lang w:eastAsia="lv-LV"/>
              </w:rPr>
              <w:br/>
              <w:t>Tiesību akta projekta atbilstība ES tiesību aktiem</w:t>
            </w:r>
          </w:p>
        </w:tc>
      </w:tr>
      <w:tr w:rsidR="000B6865" w:rsidRPr="00FC423D" w:rsidTr="00BD5C39">
        <w:tc>
          <w:tcPr>
            <w:tcW w:w="2087" w:type="pct"/>
            <w:tcBorders>
              <w:top w:val="outset" w:sz="6" w:space="0" w:color="auto"/>
              <w:left w:val="outset" w:sz="6" w:space="0" w:color="auto"/>
              <w:bottom w:val="outset" w:sz="6" w:space="0" w:color="auto"/>
              <w:right w:val="outset" w:sz="6" w:space="0" w:color="auto"/>
            </w:tcBorders>
            <w:hideMark/>
          </w:tcPr>
          <w:p w:rsidR="000B6865" w:rsidRPr="00FC423D" w:rsidRDefault="000B6865" w:rsidP="00BD5C39">
            <w:pPr>
              <w:spacing w:after="0" w:line="240" w:lineRule="auto"/>
              <w:rPr>
                <w:rFonts w:eastAsia="Times New Roman"/>
                <w:sz w:val="28"/>
                <w:szCs w:val="28"/>
                <w:lang w:eastAsia="lv-LV"/>
              </w:rPr>
            </w:pPr>
            <w:r w:rsidRPr="00FC423D">
              <w:rPr>
                <w:rFonts w:eastAsia="Times New Roman"/>
                <w:sz w:val="28"/>
                <w:szCs w:val="28"/>
                <w:lang w:eastAsia="lv-LV"/>
              </w:rPr>
              <w:lastRenderedPageBreak/>
              <w:t>Attiecīgā ES tiesību akta datums, numurs un nosaukums</w:t>
            </w:r>
          </w:p>
        </w:tc>
        <w:tc>
          <w:tcPr>
            <w:tcW w:w="2913" w:type="pct"/>
            <w:gridSpan w:val="3"/>
            <w:tcBorders>
              <w:top w:val="outset" w:sz="6" w:space="0" w:color="auto"/>
              <w:left w:val="outset" w:sz="6" w:space="0" w:color="auto"/>
              <w:bottom w:val="outset" w:sz="6" w:space="0" w:color="auto"/>
              <w:right w:val="outset" w:sz="6" w:space="0" w:color="auto"/>
            </w:tcBorders>
            <w:hideMark/>
          </w:tcPr>
          <w:p w:rsidR="000B6865" w:rsidRPr="00FC423D" w:rsidRDefault="000B6865" w:rsidP="00BD5C39">
            <w:pPr>
              <w:spacing w:after="0" w:line="240" w:lineRule="auto"/>
              <w:rPr>
                <w:rFonts w:eastAsia="Times New Roman"/>
                <w:sz w:val="28"/>
                <w:szCs w:val="28"/>
                <w:lang w:eastAsia="lv-LV"/>
              </w:rPr>
            </w:pPr>
            <w:r>
              <w:rPr>
                <w:sz w:val="28"/>
                <w:szCs w:val="28"/>
              </w:rPr>
              <w:t xml:space="preserve"> </w:t>
            </w:r>
            <w:r w:rsidRPr="00FC423D">
              <w:rPr>
                <w:sz w:val="28"/>
                <w:szCs w:val="28"/>
              </w:rPr>
              <w:t>Projekts šo jomu neskar.</w:t>
            </w:r>
          </w:p>
        </w:tc>
      </w:tr>
      <w:tr w:rsidR="000B6865" w:rsidRPr="00FC423D" w:rsidTr="00BD5C39">
        <w:tc>
          <w:tcPr>
            <w:tcW w:w="2087" w:type="pct"/>
            <w:tcBorders>
              <w:top w:val="outset" w:sz="6" w:space="0" w:color="auto"/>
              <w:left w:val="outset" w:sz="6" w:space="0" w:color="auto"/>
              <w:bottom w:val="outset" w:sz="6" w:space="0" w:color="auto"/>
              <w:right w:val="outset" w:sz="6" w:space="0" w:color="auto"/>
            </w:tcBorders>
            <w:vAlign w:val="center"/>
            <w:hideMark/>
          </w:tcPr>
          <w:p w:rsidR="000B6865" w:rsidRPr="00FC423D" w:rsidRDefault="000B6865" w:rsidP="00BD5C39">
            <w:pPr>
              <w:spacing w:before="100" w:beforeAutospacing="1" w:after="100" w:afterAutospacing="1" w:line="240" w:lineRule="auto"/>
              <w:jc w:val="center"/>
              <w:rPr>
                <w:rFonts w:eastAsia="Times New Roman"/>
                <w:sz w:val="28"/>
                <w:szCs w:val="28"/>
                <w:lang w:eastAsia="lv-LV"/>
              </w:rPr>
            </w:pPr>
            <w:r w:rsidRPr="00FC423D">
              <w:rPr>
                <w:rFonts w:eastAsia="Times New Roman"/>
                <w:sz w:val="28"/>
                <w:szCs w:val="28"/>
                <w:lang w:eastAsia="lv-LV"/>
              </w:rPr>
              <w:t>A</w:t>
            </w:r>
          </w:p>
        </w:tc>
        <w:tc>
          <w:tcPr>
            <w:tcW w:w="843" w:type="pct"/>
            <w:tcBorders>
              <w:top w:val="outset" w:sz="6" w:space="0" w:color="auto"/>
              <w:left w:val="outset" w:sz="6" w:space="0" w:color="auto"/>
              <w:bottom w:val="outset" w:sz="6" w:space="0" w:color="auto"/>
              <w:right w:val="outset" w:sz="6" w:space="0" w:color="auto"/>
            </w:tcBorders>
            <w:vAlign w:val="center"/>
            <w:hideMark/>
          </w:tcPr>
          <w:p w:rsidR="000B6865" w:rsidRPr="00FC423D" w:rsidRDefault="000B6865" w:rsidP="00BD5C39">
            <w:pPr>
              <w:spacing w:before="100" w:beforeAutospacing="1" w:after="100" w:afterAutospacing="1" w:line="240" w:lineRule="auto"/>
              <w:jc w:val="center"/>
              <w:rPr>
                <w:rFonts w:eastAsia="Times New Roman"/>
                <w:sz w:val="28"/>
                <w:szCs w:val="28"/>
                <w:lang w:eastAsia="lv-LV"/>
              </w:rPr>
            </w:pPr>
            <w:r w:rsidRPr="00FC423D">
              <w:rPr>
                <w:rFonts w:eastAsia="Times New Roman"/>
                <w:sz w:val="28"/>
                <w:szCs w:val="28"/>
                <w:lang w:eastAsia="lv-LV"/>
              </w:rPr>
              <w:t>B</w:t>
            </w:r>
          </w:p>
        </w:tc>
        <w:tc>
          <w:tcPr>
            <w:tcW w:w="937" w:type="pct"/>
            <w:tcBorders>
              <w:top w:val="outset" w:sz="6" w:space="0" w:color="auto"/>
              <w:left w:val="outset" w:sz="6" w:space="0" w:color="auto"/>
              <w:bottom w:val="outset" w:sz="6" w:space="0" w:color="auto"/>
              <w:right w:val="outset" w:sz="6" w:space="0" w:color="auto"/>
            </w:tcBorders>
            <w:vAlign w:val="center"/>
            <w:hideMark/>
          </w:tcPr>
          <w:p w:rsidR="000B6865" w:rsidRPr="00FC423D" w:rsidRDefault="000B6865" w:rsidP="00BD5C39">
            <w:pPr>
              <w:spacing w:before="100" w:beforeAutospacing="1" w:after="100" w:afterAutospacing="1" w:line="240" w:lineRule="auto"/>
              <w:jc w:val="center"/>
              <w:rPr>
                <w:rFonts w:eastAsia="Times New Roman"/>
                <w:sz w:val="28"/>
                <w:szCs w:val="28"/>
                <w:lang w:eastAsia="lv-LV"/>
              </w:rPr>
            </w:pPr>
            <w:r w:rsidRPr="00FC423D">
              <w:rPr>
                <w:rFonts w:eastAsia="Times New Roman"/>
                <w:sz w:val="28"/>
                <w:szCs w:val="28"/>
                <w:lang w:eastAsia="lv-LV"/>
              </w:rPr>
              <w:t>C</w:t>
            </w:r>
          </w:p>
        </w:tc>
        <w:tc>
          <w:tcPr>
            <w:tcW w:w="1133" w:type="pct"/>
            <w:tcBorders>
              <w:top w:val="outset" w:sz="6" w:space="0" w:color="auto"/>
              <w:left w:val="outset" w:sz="6" w:space="0" w:color="auto"/>
              <w:bottom w:val="outset" w:sz="6" w:space="0" w:color="auto"/>
              <w:right w:val="outset" w:sz="6" w:space="0" w:color="auto"/>
            </w:tcBorders>
            <w:vAlign w:val="center"/>
            <w:hideMark/>
          </w:tcPr>
          <w:p w:rsidR="000B6865" w:rsidRPr="00FC423D" w:rsidRDefault="000B6865" w:rsidP="00BD5C39">
            <w:pPr>
              <w:spacing w:before="100" w:beforeAutospacing="1" w:after="100" w:afterAutospacing="1" w:line="240" w:lineRule="auto"/>
              <w:jc w:val="center"/>
              <w:rPr>
                <w:rFonts w:eastAsia="Times New Roman"/>
                <w:sz w:val="28"/>
                <w:szCs w:val="28"/>
                <w:lang w:eastAsia="lv-LV"/>
              </w:rPr>
            </w:pPr>
            <w:r w:rsidRPr="00FC423D">
              <w:rPr>
                <w:rFonts w:eastAsia="Times New Roman"/>
                <w:sz w:val="28"/>
                <w:szCs w:val="28"/>
                <w:lang w:eastAsia="lv-LV"/>
              </w:rPr>
              <w:t>D</w:t>
            </w:r>
          </w:p>
        </w:tc>
      </w:tr>
      <w:tr w:rsidR="000B6865" w:rsidRPr="00FC423D" w:rsidTr="00BD5C39">
        <w:trPr>
          <w:trHeight w:val="517"/>
        </w:trPr>
        <w:tc>
          <w:tcPr>
            <w:tcW w:w="2087" w:type="pct"/>
            <w:tcBorders>
              <w:top w:val="outset" w:sz="6" w:space="0" w:color="auto"/>
              <w:left w:val="outset" w:sz="6" w:space="0" w:color="auto"/>
              <w:bottom w:val="outset" w:sz="6" w:space="0" w:color="auto"/>
              <w:right w:val="outset" w:sz="6" w:space="0" w:color="auto"/>
            </w:tcBorders>
            <w:hideMark/>
          </w:tcPr>
          <w:p w:rsidR="000B6865" w:rsidRPr="00FC423D" w:rsidRDefault="000B6865" w:rsidP="00BD5C39">
            <w:pPr>
              <w:spacing w:after="0" w:line="240" w:lineRule="auto"/>
              <w:rPr>
                <w:rFonts w:eastAsia="Times New Roman"/>
                <w:sz w:val="28"/>
                <w:szCs w:val="28"/>
                <w:lang w:eastAsia="lv-LV"/>
              </w:rPr>
            </w:pPr>
            <w:r w:rsidRPr="00FC423D">
              <w:rPr>
                <w:rFonts w:eastAsia="Times New Roman"/>
                <w:sz w:val="28"/>
                <w:szCs w:val="28"/>
                <w:lang w:eastAsia="lv-LV"/>
              </w:rPr>
              <w:t>Kā ir izmantota ES tiesību aktā paredzētā rīcības brīvība dalībvalstij pārņemt vai ieviest noteiktas ES tiesību akta normas?</w:t>
            </w:r>
            <w:r>
              <w:rPr>
                <w:rFonts w:eastAsia="Times New Roman"/>
                <w:sz w:val="28"/>
                <w:szCs w:val="28"/>
                <w:lang w:eastAsia="lv-LV"/>
              </w:rPr>
              <w:t xml:space="preserve"> </w:t>
            </w:r>
            <w:r w:rsidRPr="00FC423D">
              <w:rPr>
                <w:rFonts w:eastAsia="Times New Roman"/>
                <w:sz w:val="28"/>
                <w:szCs w:val="28"/>
                <w:lang w:eastAsia="lv-LV"/>
              </w:rPr>
              <w:t>Kādēļ?</w:t>
            </w:r>
          </w:p>
        </w:tc>
        <w:tc>
          <w:tcPr>
            <w:tcW w:w="2913" w:type="pct"/>
            <w:gridSpan w:val="3"/>
            <w:tcBorders>
              <w:top w:val="outset" w:sz="6" w:space="0" w:color="auto"/>
              <w:left w:val="outset" w:sz="6" w:space="0" w:color="auto"/>
              <w:bottom w:val="outset" w:sz="6" w:space="0" w:color="auto"/>
              <w:right w:val="outset" w:sz="6" w:space="0" w:color="auto"/>
            </w:tcBorders>
            <w:hideMark/>
          </w:tcPr>
          <w:p w:rsidR="000B6865" w:rsidRPr="00FC423D" w:rsidRDefault="000B6865" w:rsidP="00BD5C39">
            <w:pPr>
              <w:spacing w:after="0" w:line="240" w:lineRule="auto"/>
              <w:ind w:left="111"/>
              <w:rPr>
                <w:rFonts w:eastAsia="Times New Roman"/>
                <w:sz w:val="28"/>
                <w:szCs w:val="28"/>
                <w:lang w:eastAsia="lv-LV"/>
              </w:rPr>
            </w:pPr>
            <w:r w:rsidRPr="00FC423D">
              <w:rPr>
                <w:sz w:val="28"/>
                <w:szCs w:val="28"/>
              </w:rPr>
              <w:t>Projekts šo jomu neskar.</w:t>
            </w:r>
          </w:p>
        </w:tc>
      </w:tr>
      <w:tr w:rsidR="000B6865" w:rsidRPr="00FC423D" w:rsidTr="00BD5C39">
        <w:tc>
          <w:tcPr>
            <w:tcW w:w="2087" w:type="pct"/>
            <w:tcBorders>
              <w:top w:val="outset" w:sz="6" w:space="0" w:color="auto"/>
              <w:left w:val="outset" w:sz="6" w:space="0" w:color="auto"/>
              <w:bottom w:val="outset" w:sz="6" w:space="0" w:color="auto"/>
              <w:right w:val="outset" w:sz="6" w:space="0" w:color="auto"/>
            </w:tcBorders>
            <w:hideMark/>
          </w:tcPr>
          <w:p w:rsidR="000B6865" w:rsidRPr="00FC423D" w:rsidRDefault="000B6865" w:rsidP="00BD5C39">
            <w:pPr>
              <w:spacing w:after="0" w:line="240" w:lineRule="auto"/>
              <w:rPr>
                <w:rFonts w:eastAsia="Times New Roman"/>
                <w:sz w:val="28"/>
                <w:szCs w:val="28"/>
                <w:lang w:eastAsia="lv-LV"/>
              </w:rPr>
            </w:pPr>
            <w:r w:rsidRPr="00FC423D">
              <w:rPr>
                <w:rFonts w:eastAsia="Times New Roman"/>
                <w:sz w:val="28"/>
                <w:szCs w:val="28"/>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913" w:type="pct"/>
            <w:gridSpan w:val="3"/>
            <w:tcBorders>
              <w:top w:val="outset" w:sz="6" w:space="0" w:color="auto"/>
              <w:left w:val="outset" w:sz="6" w:space="0" w:color="auto"/>
              <w:bottom w:val="outset" w:sz="6" w:space="0" w:color="auto"/>
              <w:right w:val="outset" w:sz="6" w:space="0" w:color="auto"/>
            </w:tcBorders>
            <w:hideMark/>
          </w:tcPr>
          <w:p w:rsidR="000B6865" w:rsidRPr="00FC423D" w:rsidRDefault="000B6865" w:rsidP="00BD5C39">
            <w:pPr>
              <w:spacing w:after="0" w:line="240" w:lineRule="auto"/>
              <w:ind w:left="111"/>
              <w:jc w:val="both"/>
              <w:rPr>
                <w:rFonts w:eastAsia="Times New Roman"/>
                <w:sz w:val="28"/>
                <w:szCs w:val="28"/>
                <w:lang w:eastAsia="lv-LV"/>
              </w:rPr>
            </w:pPr>
            <w:r w:rsidRPr="00FC423D">
              <w:rPr>
                <w:sz w:val="28"/>
                <w:szCs w:val="28"/>
              </w:rPr>
              <w:t>Nav nepieciešams sniegt atsevišķu paziņojumu Eiropas Komisijā, jo atbalsts tiek sniegts valsts atbalsta pro</w:t>
            </w:r>
            <w:r>
              <w:rPr>
                <w:sz w:val="28"/>
                <w:szCs w:val="28"/>
              </w:rPr>
              <w:t>grammas „Kultūra” ietvaros (Nr.</w:t>
            </w:r>
            <w:r w:rsidRPr="00FC423D">
              <w:rPr>
                <w:sz w:val="28"/>
                <w:szCs w:val="28"/>
              </w:rPr>
              <w:t>SA.34462 (2012/N))</w:t>
            </w:r>
            <w:r w:rsidRPr="00FC423D">
              <w:rPr>
                <w:rFonts w:eastAsia="Times New Roman"/>
                <w:sz w:val="28"/>
                <w:szCs w:val="28"/>
                <w:lang w:eastAsia="lv-LV"/>
              </w:rPr>
              <w:t>.</w:t>
            </w:r>
          </w:p>
        </w:tc>
      </w:tr>
      <w:tr w:rsidR="000B6865" w:rsidRPr="00FC423D" w:rsidTr="004E08FB">
        <w:trPr>
          <w:trHeight w:val="412"/>
        </w:trPr>
        <w:tc>
          <w:tcPr>
            <w:tcW w:w="2087" w:type="pct"/>
            <w:tcBorders>
              <w:top w:val="outset" w:sz="6" w:space="0" w:color="auto"/>
              <w:left w:val="outset" w:sz="6" w:space="0" w:color="auto"/>
              <w:bottom w:val="outset" w:sz="6" w:space="0" w:color="auto"/>
              <w:right w:val="outset" w:sz="6" w:space="0" w:color="auto"/>
            </w:tcBorders>
            <w:hideMark/>
          </w:tcPr>
          <w:p w:rsidR="000B6865" w:rsidRPr="00FC423D" w:rsidRDefault="000B6865" w:rsidP="00BD5C39">
            <w:pPr>
              <w:spacing w:after="0" w:line="240" w:lineRule="auto"/>
              <w:rPr>
                <w:rFonts w:eastAsia="Times New Roman"/>
                <w:sz w:val="28"/>
                <w:szCs w:val="28"/>
                <w:lang w:eastAsia="lv-LV"/>
              </w:rPr>
            </w:pPr>
            <w:r w:rsidRPr="00FC423D">
              <w:rPr>
                <w:rFonts w:eastAsia="Times New Roman"/>
                <w:sz w:val="28"/>
                <w:szCs w:val="28"/>
                <w:lang w:eastAsia="lv-LV"/>
              </w:rPr>
              <w:t>Cita informācija</w:t>
            </w:r>
          </w:p>
        </w:tc>
        <w:tc>
          <w:tcPr>
            <w:tcW w:w="2913" w:type="pct"/>
            <w:gridSpan w:val="3"/>
            <w:tcBorders>
              <w:top w:val="outset" w:sz="6" w:space="0" w:color="auto"/>
              <w:left w:val="outset" w:sz="6" w:space="0" w:color="auto"/>
              <w:bottom w:val="outset" w:sz="6" w:space="0" w:color="auto"/>
              <w:right w:val="outset" w:sz="6" w:space="0" w:color="auto"/>
            </w:tcBorders>
            <w:hideMark/>
          </w:tcPr>
          <w:p w:rsidR="000B6865" w:rsidRPr="00FC423D" w:rsidRDefault="000B6865" w:rsidP="00BD5C39">
            <w:pPr>
              <w:spacing w:before="100" w:beforeAutospacing="1" w:after="100" w:afterAutospacing="1" w:line="240" w:lineRule="auto"/>
              <w:ind w:left="111"/>
              <w:rPr>
                <w:rFonts w:eastAsia="Times New Roman"/>
                <w:sz w:val="28"/>
                <w:szCs w:val="28"/>
                <w:lang w:eastAsia="lv-LV"/>
              </w:rPr>
            </w:pPr>
            <w:r w:rsidRPr="00FC423D">
              <w:rPr>
                <w:rFonts w:eastAsia="Times New Roman"/>
                <w:sz w:val="28"/>
                <w:szCs w:val="28"/>
                <w:lang w:eastAsia="lv-LV"/>
              </w:rPr>
              <w:t>Nav</w:t>
            </w:r>
          </w:p>
        </w:tc>
      </w:tr>
    </w:tbl>
    <w:p w:rsidR="000B6865" w:rsidRDefault="000B6865" w:rsidP="000B6865">
      <w:pPr>
        <w:spacing w:after="0" w:line="240" w:lineRule="auto"/>
        <w:rPr>
          <w:rFonts w:eastAsia="Times New Roman"/>
          <w:i/>
          <w:iCs/>
          <w:sz w:val="28"/>
          <w:szCs w:val="28"/>
          <w:lang w:eastAsia="lv-LV"/>
        </w:rPr>
      </w:pPr>
    </w:p>
    <w:p w:rsidR="007322AF" w:rsidRPr="00FC423D" w:rsidRDefault="007322AF" w:rsidP="000B6865">
      <w:pPr>
        <w:spacing w:after="0" w:line="240" w:lineRule="auto"/>
        <w:rPr>
          <w:rFonts w:eastAsia="Times New Roman"/>
          <w:i/>
          <w:iCs/>
          <w:sz w:val="28"/>
          <w:szCs w:val="28"/>
          <w:lang w:eastAsia="lv-LV"/>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74"/>
        <w:gridCol w:w="3216"/>
        <w:gridCol w:w="5311"/>
      </w:tblGrid>
      <w:tr w:rsidR="000B6865" w:rsidRPr="00FC423D" w:rsidTr="007B30B4">
        <w:trPr>
          <w:tblCellSpacing w:w="0" w:type="dxa"/>
        </w:trPr>
        <w:tc>
          <w:tcPr>
            <w:tcW w:w="5000" w:type="pct"/>
            <w:gridSpan w:val="3"/>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after="0" w:line="240" w:lineRule="auto"/>
              <w:jc w:val="center"/>
              <w:rPr>
                <w:rFonts w:eastAsia="Times New Roman"/>
                <w:sz w:val="28"/>
                <w:szCs w:val="28"/>
                <w:lang w:eastAsia="lv-LV"/>
              </w:rPr>
            </w:pPr>
            <w:r w:rsidRPr="00FC423D">
              <w:rPr>
                <w:rFonts w:eastAsia="Times New Roman"/>
                <w:sz w:val="28"/>
                <w:szCs w:val="28"/>
                <w:lang w:eastAsia="lv-LV"/>
              </w:rPr>
              <w:t> </w:t>
            </w:r>
            <w:r w:rsidRPr="00FC423D">
              <w:rPr>
                <w:rFonts w:eastAsia="Times New Roman"/>
                <w:b/>
                <w:bCs/>
                <w:sz w:val="28"/>
                <w:szCs w:val="28"/>
                <w:lang w:eastAsia="lv-LV"/>
              </w:rPr>
              <w:t> VII. Tiesību akta projekta izpildes nodrošināšana un tās ietekme uz institūcijām</w:t>
            </w:r>
          </w:p>
        </w:tc>
      </w:tr>
      <w:tr w:rsidR="000B6865" w:rsidRPr="00FC423D" w:rsidTr="007B30B4">
        <w:trPr>
          <w:trHeight w:val="427"/>
          <w:tblCellSpacing w:w="0" w:type="dxa"/>
        </w:trPr>
        <w:tc>
          <w:tcPr>
            <w:tcW w:w="315"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after="0" w:line="240" w:lineRule="auto"/>
              <w:jc w:val="center"/>
              <w:rPr>
                <w:rFonts w:eastAsia="Times New Roman"/>
                <w:sz w:val="28"/>
                <w:szCs w:val="28"/>
                <w:lang w:eastAsia="lv-LV"/>
              </w:rPr>
            </w:pPr>
            <w:r w:rsidRPr="00FC423D">
              <w:rPr>
                <w:rFonts w:eastAsia="Times New Roman"/>
                <w:sz w:val="28"/>
                <w:szCs w:val="28"/>
                <w:lang w:eastAsia="lv-LV"/>
              </w:rPr>
              <w:t>1.</w:t>
            </w:r>
          </w:p>
        </w:tc>
        <w:tc>
          <w:tcPr>
            <w:tcW w:w="1767"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after="0" w:line="240" w:lineRule="auto"/>
              <w:rPr>
                <w:rFonts w:eastAsia="Times New Roman"/>
                <w:sz w:val="28"/>
                <w:szCs w:val="28"/>
                <w:lang w:eastAsia="lv-LV"/>
              </w:rPr>
            </w:pPr>
            <w:r w:rsidRPr="00FC423D">
              <w:rPr>
                <w:rFonts w:eastAsia="Times New Roman"/>
                <w:sz w:val="28"/>
                <w:szCs w:val="28"/>
                <w:lang w:eastAsia="lv-LV"/>
              </w:rPr>
              <w:t>Projekta izpildē iesaistītās institūcijas</w:t>
            </w:r>
          </w:p>
        </w:tc>
        <w:tc>
          <w:tcPr>
            <w:tcW w:w="2918" w:type="pct"/>
            <w:tcBorders>
              <w:top w:val="outset" w:sz="6" w:space="0" w:color="auto"/>
              <w:left w:val="outset" w:sz="6" w:space="0" w:color="auto"/>
              <w:bottom w:val="outset" w:sz="6" w:space="0" w:color="auto"/>
              <w:right w:val="outset" w:sz="6" w:space="0" w:color="auto"/>
            </w:tcBorders>
          </w:tcPr>
          <w:p w:rsidR="000B6865" w:rsidRPr="00FC423D" w:rsidRDefault="000B6865" w:rsidP="005347A8">
            <w:pPr>
              <w:spacing w:after="0" w:line="240" w:lineRule="auto"/>
              <w:ind w:left="159"/>
              <w:jc w:val="both"/>
              <w:rPr>
                <w:rFonts w:eastAsia="Times New Roman"/>
                <w:sz w:val="28"/>
                <w:szCs w:val="28"/>
                <w:lang w:eastAsia="lv-LV"/>
              </w:rPr>
            </w:pPr>
            <w:r w:rsidRPr="00FC423D">
              <w:rPr>
                <w:rFonts w:eastAsia="Times New Roman"/>
                <w:sz w:val="28"/>
                <w:szCs w:val="28"/>
                <w:lang w:eastAsia="lv-LV"/>
              </w:rPr>
              <w:t xml:space="preserve">Kultūras ministrija </w:t>
            </w:r>
          </w:p>
        </w:tc>
      </w:tr>
      <w:tr w:rsidR="000B6865" w:rsidRPr="00FC423D" w:rsidTr="007B30B4">
        <w:trPr>
          <w:trHeight w:val="463"/>
          <w:tblCellSpacing w:w="0" w:type="dxa"/>
        </w:trPr>
        <w:tc>
          <w:tcPr>
            <w:tcW w:w="315"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after="0" w:line="240" w:lineRule="auto"/>
              <w:jc w:val="center"/>
              <w:rPr>
                <w:rFonts w:eastAsia="Times New Roman"/>
                <w:sz w:val="28"/>
                <w:szCs w:val="28"/>
                <w:lang w:eastAsia="lv-LV"/>
              </w:rPr>
            </w:pPr>
            <w:r w:rsidRPr="00FC423D">
              <w:rPr>
                <w:rFonts w:eastAsia="Times New Roman"/>
                <w:sz w:val="28"/>
                <w:szCs w:val="28"/>
                <w:lang w:eastAsia="lv-LV"/>
              </w:rPr>
              <w:t>2.</w:t>
            </w:r>
          </w:p>
        </w:tc>
        <w:tc>
          <w:tcPr>
            <w:tcW w:w="1767" w:type="pct"/>
            <w:tcBorders>
              <w:top w:val="outset" w:sz="6" w:space="0" w:color="auto"/>
              <w:left w:val="outset" w:sz="6" w:space="0" w:color="auto"/>
              <w:bottom w:val="outset" w:sz="6" w:space="0" w:color="auto"/>
              <w:right w:val="outset" w:sz="6" w:space="0" w:color="auto"/>
            </w:tcBorders>
          </w:tcPr>
          <w:p w:rsidR="000B6865" w:rsidRDefault="000B6865" w:rsidP="00BD5C39">
            <w:pPr>
              <w:spacing w:after="0" w:line="240" w:lineRule="auto"/>
              <w:rPr>
                <w:rFonts w:eastAsia="Times New Roman"/>
                <w:sz w:val="28"/>
                <w:szCs w:val="28"/>
                <w:lang w:eastAsia="lv-LV"/>
              </w:rPr>
            </w:pPr>
            <w:r w:rsidRPr="00C56255">
              <w:rPr>
                <w:rFonts w:eastAsia="Times New Roman"/>
                <w:sz w:val="28"/>
                <w:szCs w:val="28"/>
                <w:lang w:eastAsia="lv-LV"/>
              </w:rPr>
              <w:t xml:space="preserve">Projekta izpildes ietekme uz pārvaldes funkcijām un institucionālo struktūru. </w:t>
            </w:r>
          </w:p>
          <w:p w:rsidR="000B6865" w:rsidRDefault="000B6865" w:rsidP="00BD5C39">
            <w:pPr>
              <w:spacing w:after="0" w:line="240" w:lineRule="auto"/>
              <w:rPr>
                <w:rFonts w:eastAsia="Times New Roman"/>
                <w:sz w:val="28"/>
                <w:szCs w:val="28"/>
                <w:lang w:eastAsia="lv-LV"/>
              </w:rPr>
            </w:pPr>
          </w:p>
          <w:p w:rsidR="000B6865" w:rsidRPr="00FC423D" w:rsidRDefault="000B6865" w:rsidP="00BD5C39">
            <w:pPr>
              <w:spacing w:after="0" w:line="240" w:lineRule="auto"/>
              <w:rPr>
                <w:rFonts w:eastAsia="Times New Roman"/>
                <w:sz w:val="28"/>
                <w:szCs w:val="28"/>
                <w:lang w:eastAsia="lv-LV"/>
              </w:rPr>
            </w:pPr>
            <w:r w:rsidRPr="00C56255">
              <w:rPr>
                <w:rFonts w:eastAsia="Times New Roman"/>
                <w:sz w:val="28"/>
                <w:szCs w:val="28"/>
                <w:lang w:eastAsia="lv-LV"/>
              </w:rPr>
              <w:t>Jaunu institūciju izveide, esošu institūciju likvidācija vai reorganizācija, to ietekme uz institūcijas cilvēkresursiem</w:t>
            </w:r>
          </w:p>
        </w:tc>
        <w:tc>
          <w:tcPr>
            <w:tcW w:w="2918" w:type="pct"/>
            <w:tcBorders>
              <w:top w:val="outset" w:sz="6" w:space="0" w:color="auto"/>
              <w:left w:val="outset" w:sz="6" w:space="0" w:color="auto"/>
              <w:bottom w:val="outset" w:sz="6" w:space="0" w:color="auto"/>
              <w:right w:val="outset" w:sz="6" w:space="0" w:color="auto"/>
            </w:tcBorders>
          </w:tcPr>
          <w:p w:rsidR="000B6865" w:rsidRPr="00F55AC4" w:rsidRDefault="000B6865" w:rsidP="00BD5C39">
            <w:pPr>
              <w:spacing w:after="0" w:line="240" w:lineRule="auto"/>
              <w:ind w:left="159"/>
              <w:jc w:val="both"/>
              <w:rPr>
                <w:rFonts w:eastAsia="Times New Roman"/>
                <w:sz w:val="28"/>
                <w:szCs w:val="28"/>
                <w:lang w:eastAsia="lv-LV"/>
              </w:rPr>
            </w:pPr>
            <w:r w:rsidRPr="00F55AC4">
              <w:rPr>
                <w:rFonts w:eastAsia="Times New Roman"/>
                <w:sz w:val="28"/>
                <w:szCs w:val="28"/>
                <w:lang w:eastAsia="lv-LV"/>
              </w:rPr>
              <w:t>Projekts šo jomu neskar</w:t>
            </w:r>
            <w:r>
              <w:rPr>
                <w:rFonts w:eastAsia="Times New Roman"/>
                <w:sz w:val="28"/>
                <w:szCs w:val="28"/>
                <w:lang w:eastAsia="lv-LV"/>
              </w:rPr>
              <w:t>.</w:t>
            </w:r>
          </w:p>
        </w:tc>
      </w:tr>
      <w:tr w:rsidR="000B6865" w:rsidRPr="00FC423D" w:rsidTr="007B30B4">
        <w:trPr>
          <w:trHeight w:val="476"/>
          <w:tblCellSpacing w:w="0" w:type="dxa"/>
        </w:trPr>
        <w:tc>
          <w:tcPr>
            <w:tcW w:w="315"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after="0" w:line="240" w:lineRule="auto"/>
              <w:jc w:val="center"/>
              <w:rPr>
                <w:rFonts w:eastAsia="Times New Roman"/>
                <w:sz w:val="28"/>
                <w:szCs w:val="28"/>
                <w:lang w:eastAsia="lv-LV"/>
              </w:rPr>
            </w:pPr>
            <w:r>
              <w:rPr>
                <w:rFonts w:eastAsia="Times New Roman"/>
                <w:sz w:val="28"/>
                <w:szCs w:val="28"/>
                <w:lang w:eastAsia="lv-LV"/>
              </w:rPr>
              <w:t>3</w:t>
            </w:r>
            <w:r w:rsidRPr="00FC423D">
              <w:rPr>
                <w:rFonts w:eastAsia="Times New Roman"/>
                <w:sz w:val="28"/>
                <w:szCs w:val="28"/>
                <w:lang w:eastAsia="lv-LV"/>
              </w:rPr>
              <w:t>.</w:t>
            </w:r>
          </w:p>
        </w:tc>
        <w:tc>
          <w:tcPr>
            <w:tcW w:w="1767"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after="0" w:line="240" w:lineRule="auto"/>
              <w:rPr>
                <w:rFonts w:eastAsia="Times New Roman"/>
                <w:sz w:val="28"/>
                <w:szCs w:val="28"/>
                <w:lang w:eastAsia="lv-LV"/>
              </w:rPr>
            </w:pPr>
            <w:r w:rsidRPr="00FC423D">
              <w:rPr>
                <w:rFonts w:eastAsia="Times New Roman"/>
                <w:sz w:val="28"/>
                <w:szCs w:val="28"/>
                <w:lang w:eastAsia="lv-LV"/>
              </w:rPr>
              <w:t> Cita informācija</w:t>
            </w:r>
          </w:p>
        </w:tc>
        <w:tc>
          <w:tcPr>
            <w:tcW w:w="2918"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after="0" w:line="240" w:lineRule="auto"/>
              <w:ind w:left="159"/>
              <w:rPr>
                <w:rFonts w:eastAsia="Times New Roman"/>
                <w:sz w:val="28"/>
                <w:szCs w:val="28"/>
                <w:lang w:eastAsia="lv-LV"/>
              </w:rPr>
            </w:pPr>
            <w:r w:rsidRPr="00FC423D">
              <w:rPr>
                <w:rFonts w:eastAsia="Times New Roman"/>
                <w:sz w:val="28"/>
                <w:szCs w:val="28"/>
                <w:lang w:eastAsia="lv-LV"/>
              </w:rPr>
              <w:t>Nav</w:t>
            </w:r>
          </w:p>
        </w:tc>
      </w:tr>
    </w:tbl>
    <w:p w:rsidR="007B30B4" w:rsidRDefault="007B30B4" w:rsidP="000B6865">
      <w:pPr>
        <w:spacing w:after="0" w:line="240" w:lineRule="auto"/>
        <w:ind w:firstLine="284"/>
        <w:rPr>
          <w:sz w:val="28"/>
          <w:szCs w:val="28"/>
        </w:rPr>
      </w:pPr>
    </w:p>
    <w:p w:rsidR="005111F9" w:rsidRDefault="005111F9" w:rsidP="000B6865">
      <w:pPr>
        <w:spacing w:after="0" w:line="240" w:lineRule="auto"/>
        <w:ind w:firstLine="284"/>
        <w:rPr>
          <w:sz w:val="28"/>
          <w:szCs w:val="28"/>
        </w:rPr>
      </w:pPr>
    </w:p>
    <w:p w:rsidR="000B6865" w:rsidRDefault="000B6865" w:rsidP="000B6865">
      <w:pPr>
        <w:spacing w:after="0" w:line="240" w:lineRule="auto"/>
        <w:ind w:firstLine="284"/>
        <w:rPr>
          <w:sz w:val="28"/>
          <w:szCs w:val="28"/>
        </w:rPr>
      </w:pPr>
      <w:r w:rsidRPr="004B33E7">
        <w:rPr>
          <w:sz w:val="28"/>
          <w:szCs w:val="28"/>
        </w:rPr>
        <w:t>Kultūras mi</w:t>
      </w:r>
      <w:r>
        <w:rPr>
          <w:sz w:val="28"/>
          <w:szCs w:val="28"/>
        </w:rPr>
        <w:t>nistre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D.Melbārde </w:t>
      </w:r>
    </w:p>
    <w:p w:rsidR="000B6865" w:rsidRPr="004B33E7" w:rsidRDefault="000B6865" w:rsidP="000B6865">
      <w:pPr>
        <w:spacing w:after="0" w:line="240" w:lineRule="auto"/>
        <w:ind w:firstLine="284"/>
        <w:rPr>
          <w:sz w:val="28"/>
          <w:szCs w:val="28"/>
        </w:rPr>
      </w:pPr>
    </w:p>
    <w:p w:rsidR="000B6865" w:rsidRPr="004B33E7" w:rsidRDefault="000B6865" w:rsidP="000B6865">
      <w:pPr>
        <w:spacing w:after="0" w:line="240" w:lineRule="auto"/>
        <w:ind w:firstLine="284"/>
        <w:rPr>
          <w:sz w:val="28"/>
          <w:szCs w:val="28"/>
        </w:rPr>
      </w:pPr>
      <w:r w:rsidRPr="004B33E7">
        <w:rPr>
          <w:sz w:val="28"/>
          <w:szCs w:val="28"/>
        </w:rPr>
        <w:t>Vīza: Valsts sekret</w:t>
      </w:r>
      <w:r>
        <w:rPr>
          <w:sz w:val="28"/>
          <w:szCs w:val="28"/>
        </w:rPr>
        <w:t>ār</w:t>
      </w:r>
      <w:r w:rsidR="00470097">
        <w:rPr>
          <w:sz w:val="28"/>
          <w:szCs w:val="28"/>
        </w:rPr>
        <w: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70097">
        <w:rPr>
          <w:sz w:val="28"/>
          <w:szCs w:val="28"/>
        </w:rPr>
        <w:tab/>
        <w:t>S.Voldiņš</w:t>
      </w:r>
    </w:p>
    <w:p w:rsidR="000B6865" w:rsidRDefault="000B6865" w:rsidP="000B6865">
      <w:pPr>
        <w:spacing w:after="0" w:line="240" w:lineRule="auto"/>
        <w:rPr>
          <w:sz w:val="20"/>
          <w:szCs w:val="20"/>
        </w:rPr>
      </w:pPr>
    </w:p>
    <w:p w:rsidR="000B6865" w:rsidRDefault="000B6865" w:rsidP="000B6865">
      <w:pPr>
        <w:spacing w:after="0" w:line="240" w:lineRule="auto"/>
        <w:rPr>
          <w:sz w:val="20"/>
          <w:szCs w:val="20"/>
        </w:rPr>
      </w:pPr>
    </w:p>
    <w:p w:rsidR="005111F9" w:rsidRDefault="005111F9" w:rsidP="000B6865">
      <w:pPr>
        <w:spacing w:after="0" w:line="240" w:lineRule="auto"/>
        <w:rPr>
          <w:sz w:val="20"/>
          <w:szCs w:val="20"/>
        </w:rPr>
      </w:pPr>
    </w:p>
    <w:p w:rsidR="005111F9" w:rsidRDefault="005111F9" w:rsidP="000B6865">
      <w:pPr>
        <w:spacing w:after="0" w:line="240" w:lineRule="auto"/>
        <w:rPr>
          <w:sz w:val="20"/>
          <w:szCs w:val="20"/>
        </w:rPr>
      </w:pPr>
    </w:p>
    <w:p w:rsidR="00027F2D" w:rsidRPr="00094669" w:rsidRDefault="00027F2D" w:rsidP="00027F2D">
      <w:pPr>
        <w:pStyle w:val="BodyText"/>
        <w:jc w:val="both"/>
        <w:rPr>
          <w:sz w:val="20"/>
          <w:szCs w:val="20"/>
        </w:rPr>
      </w:pPr>
    </w:p>
    <w:p w:rsidR="00027F2D" w:rsidRPr="007B30B4" w:rsidRDefault="00027F2D" w:rsidP="00027F2D">
      <w:pPr>
        <w:tabs>
          <w:tab w:val="left" w:pos="6804"/>
        </w:tabs>
        <w:spacing w:after="0" w:line="240" w:lineRule="auto"/>
        <w:rPr>
          <w:color w:val="000000"/>
          <w:sz w:val="20"/>
          <w:szCs w:val="20"/>
        </w:rPr>
      </w:pPr>
      <w:r w:rsidRPr="007B30B4">
        <w:rPr>
          <w:color w:val="000000"/>
          <w:sz w:val="20"/>
          <w:szCs w:val="20"/>
        </w:rPr>
        <w:t>Katajs</w:t>
      </w:r>
      <w:r w:rsidRPr="007B30B4">
        <w:rPr>
          <w:sz w:val="20"/>
          <w:szCs w:val="20"/>
        </w:rPr>
        <w:t>, 67330327</w:t>
      </w:r>
    </w:p>
    <w:p w:rsidR="00027F2D" w:rsidRPr="007B30B4" w:rsidRDefault="00320A3E" w:rsidP="00027F2D">
      <w:pPr>
        <w:tabs>
          <w:tab w:val="left" w:pos="6804"/>
        </w:tabs>
        <w:spacing w:after="0" w:line="240" w:lineRule="auto"/>
        <w:rPr>
          <w:sz w:val="20"/>
          <w:szCs w:val="20"/>
        </w:rPr>
      </w:pPr>
      <w:hyperlink r:id="rId13" w:history="1">
        <w:r w:rsidR="00027F2D" w:rsidRPr="007B30B4">
          <w:rPr>
            <w:rStyle w:val="Hyperlink"/>
            <w:sz w:val="20"/>
            <w:szCs w:val="20"/>
          </w:rPr>
          <w:t>Marcis.Katajs@km.gov.lv</w:t>
        </w:r>
      </w:hyperlink>
    </w:p>
    <w:sectPr w:rsidR="00027F2D" w:rsidRPr="007B30B4" w:rsidSect="00BD5C39">
      <w:headerReference w:type="default" r:id="rId14"/>
      <w:footerReference w:type="even" r:id="rId15"/>
      <w:footerReference w:type="defaul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A3E" w:rsidRDefault="00320A3E" w:rsidP="0010178A">
      <w:pPr>
        <w:spacing w:after="0" w:line="240" w:lineRule="auto"/>
      </w:pPr>
      <w:r>
        <w:separator/>
      </w:r>
    </w:p>
  </w:endnote>
  <w:endnote w:type="continuationSeparator" w:id="0">
    <w:p w:rsidR="00320A3E" w:rsidRDefault="00320A3E" w:rsidP="00101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D9" w:rsidRDefault="00CD2FD9" w:rsidP="00BD5C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2FD9" w:rsidRDefault="00CD2FD9" w:rsidP="00BD5C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D9" w:rsidRPr="007B30B4" w:rsidRDefault="00CD2FD9" w:rsidP="007B30B4">
    <w:pPr>
      <w:pStyle w:val="Footer"/>
      <w:rPr>
        <w:sz w:val="20"/>
        <w:szCs w:val="20"/>
      </w:rPr>
    </w:pPr>
    <w:r w:rsidRPr="007B30B4">
      <w:rPr>
        <w:sz w:val="20"/>
        <w:szCs w:val="20"/>
      </w:rPr>
      <w:t>KMAnot_200117_LNOB_dividendes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D9" w:rsidRPr="007B30B4" w:rsidRDefault="00CD2FD9" w:rsidP="007B30B4">
    <w:pPr>
      <w:pStyle w:val="Footer"/>
      <w:rPr>
        <w:sz w:val="20"/>
        <w:szCs w:val="20"/>
      </w:rPr>
    </w:pPr>
    <w:r w:rsidRPr="007B30B4">
      <w:rPr>
        <w:sz w:val="20"/>
        <w:szCs w:val="20"/>
      </w:rPr>
      <w:t>KMAnot_200117_LNOB_dividendes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A3E" w:rsidRDefault="00320A3E" w:rsidP="0010178A">
      <w:pPr>
        <w:spacing w:after="0" w:line="240" w:lineRule="auto"/>
      </w:pPr>
      <w:r>
        <w:separator/>
      </w:r>
    </w:p>
  </w:footnote>
  <w:footnote w:type="continuationSeparator" w:id="0">
    <w:p w:rsidR="00320A3E" w:rsidRDefault="00320A3E" w:rsidP="00101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622417376"/>
      <w:docPartObj>
        <w:docPartGallery w:val="Page Numbers (Top of Page)"/>
        <w:docPartUnique/>
      </w:docPartObj>
    </w:sdtPr>
    <w:sdtEndPr/>
    <w:sdtContent>
      <w:p w:rsidR="00CD2FD9" w:rsidRPr="004B33E7" w:rsidRDefault="00CD2FD9">
        <w:pPr>
          <w:pStyle w:val="Header"/>
          <w:jc w:val="center"/>
          <w:rPr>
            <w:sz w:val="22"/>
          </w:rPr>
        </w:pPr>
        <w:r w:rsidRPr="004B33E7">
          <w:rPr>
            <w:sz w:val="22"/>
          </w:rPr>
          <w:fldChar w:fldCharType="begin"/>
        </w:r>
        <w:r w:rsidRPr="004B33E7">
          <w:rPr>
            <w:sz w:val="22"/>
          </w:rPr>
          <w:instrText xml:space="preserve"> PAGE   \* MERGEFORMAT </w:instrText>
        </w:r>
        <w:r w:rsidRPr="004B33E7">
          <w:rPr>
            <w:sz w:val="22"/>
          </w:rPr>
          <w:fldChar w:fldCharType="separate"/>
        </w:r>
        <w:r w:rsidR="002778E1">
          <w:rPr>
            <w:noProof/>
            <w:sz w:val="22"/>
          </w:rPr>
          <w:t>12</w:t>
        </w:r>
        <w:r w:rsidRPr="004B33E7">
          <w:rPr>
            <w:sz w:val="22"/>
          </w:rPr>
          <w:fldChar w:fldCharType="end"/>
        </w:r>
      </w:p>
    </w:sdtContent>
  </w:sdt>
  <w:p w:rsidR="00CD2FD9" w:rsidRDefault="00CD2F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865"/>
    <w:rsid w:val="000166E2"/>
    <w:rsid w:val="00021728"/>
    <w:rsid w:val="00027F2D"/>
    <w:rsid w:val="00086638"/>
    <w:rsid w:val="00092344"/>
    <w:rsid w:val="000B6865"/>
    <w:rsid w:val="000C0FB4"/>
    <w:rsid w:val="000D2527"/>
    <w:rsid w:val="0010178A"/>
    <w:rsid w:val="001202F2"/>
    <w:rsid w:val="00124576"/>
    <w:rsid w:val="00130948"/>
    <w:rsid w:val="00146C33"/>
    <w:rsid w:val="00165BE4"/>
    <w:rsid w:val="00176E75"/>
    <w:rsid w:val="001C0B79"/>
    <w:rsid w:val="001C68AB"/>
    <w:rsid w:val="001D0BD3"/>
    <w:rsid w:val="001E0C32"/>
    <w:rsid w:val="001E48B9"/>
    <w:rsid w:val="002778E1"/>
    <w:rsid w:val="002C30EB"/>
    <w:rsid w:val="002E2F3B"/>
    <w:rsid w:val="00320A3E"/>
    <w:rsid w:val="00325B51"/>
    <w:rsid w:val="00374F01"/>
    <w:rsid w:val="00467A52"/>
    <w:rsid w:val="00470097"/>
    <w:rsid w:val="004976E5"/>
    <w:rsid w:val="004D668C"/>
    <w:rsid w:val="004D7F6E"/>
    <w:rsid w:val="004E08FB"/>
    <w:rsid w:val="005111F9"/>
    <w:rsid w:val="00514B5C"/>
    <w:rsid w:val="00527E03"/>
    <w:rsid w:val="005347A8"/>
    <w:rsid w:val="005632D0"/>
    <w:rsid w:val="005677F5"/>
    <w:rsid w:val="0057628C"/>
    <w:rsid w:val="005947F7"/>
    <w:rsid w:val="005E294C"/>
    <w:rsid w:val="005F6EA9"/>
    <w:rsid w:val="006058A1"/>
    <w:rsid w:val="00663EB7"/>
    <w:rsid w:val="006F147D"/>
    <w:rsid w:val="007060B8"/>
    <w:rsid w:val="00710033"/>
    <w:rsid w:val="007322AF"/>
    <w:rsid w:val="00740564"/>
    <w:rsid w:val="0074444C"/>
    <w:rsid w:val="007A01C8"/>
    <w:rsid w:val="007B30B4"/>
    <w:rsid w:val="007E7B4E"/>
    <w:rsid w:val="008103CC"/>
    <w:rsid w:val="00822FF3"/>
    <w:rsid w:val="008427FB"/>
    <w:rsid w:val="008621AF"/>
    <w:rsid w:val="00867F9A"/>
    <w:rsid w:val="008A680B"/>
    <w:rsid w:val="008C4CEC"/>
    <w:rsid w:val="00936D26"/>
    <w:rsid w:val="00956C24"/>
    <w:rsid w:val="00991C3A"/>
    <w:rsid w:val="009B6083"/>
    <w:rsid w:val="00A15A73"/>
    <w:rsid w:val="00A20501"/>
    <w:rsid w:val="00A31330"/>
    <w:rsid w:val="00A44F26"/>
    <w:rsid w:val="00A7428D"/>
    <w:rsid w:val="00AC5CE3"/>
    <w:rsid w:val="00AD5BA3"/>
    <w:rsid w:val="00AF0773"/>
    <w:rsid w:val="00B16BA4"/>
    <w:rsid w:val="00B22651"/>
    <w:rsid w:val="00B45019"/>
    <w:rsid w:val="00B80798"/>
    <w:rsid w:val="00BC028D"/>
    <w:rsid w:val="00BD5C39"/>
    <w:rsid w:val="00BF54C8"/>
    <w:rsid w:val="00C0652E"/>
    <w:rsid w:val="00C5293D"/>
    <w:rsid w:val="00C55BE4"/>
    <w:rsid w:val="00C649A9"/>
    <w:rsid w:val="00C8228C"/>
    <w:rsid w:val="00CD2FD9"/>
    <w:rsid w:val="00CD40A9"/>
    <w:rsid w:val="00CE777B"/>
    <w:rsid w:val="00D0417E"/>
    <w:rsid w:val="00D2625F"/>
    <w:rsid w:val="00DC0D5B"/>
    <w:rsid w:val="00E22B75"/>
    <w:rsid w:val="00E46D06"/>
    <w:rsid w:val="00E75772"/>
    <w:rsid w:val="00EE1058"/>
    <w:rsid w:val="00F004ED"/>
    <w:rsid w:val="00F12DE2"/>
    <w:rsid w:val="00F223E2"/>
    <w:rsid w:val="00F91899"/>
    <w:rsid w:val="00FC19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865"/>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B6865"/>
    <w:pPr>
      <w:tabs>
        <w:tab w:val="center" w:pos="4153"/>
        <w:tab w:val="right" w:pos="8306"/>
      </w:tabs>
    </w:pPr>
  </w:style>
  <w:style w:type="character" w:customStyle="1" w:styleId="FooterChar">
    <w:name w:val="Footer Char"/>
    <w:basedOn w:val="DefaultParagraphFont"/>
    <w:link w:val="Footer"/>
    <w:rsid w:val="000B6865"/>
    <w:rPr>
      <w:rFonts w:ascii="Times New Roman" w:eastAsia="Calibri" w:hAnsi="Times New Roman" w:cs="Times New Roman"/>
      <w:sz w:val="24"/>
    </w:rPr>
  </w:style>
  <w:style w:type="character" w:styleId="PageNumber">
    <w:name w:val="page number"/>
    <w:basedOn w:val="DefaultParagraphFont"/>
    <w:rsid w:val="000B6865"/>
  </w:style>
  <w:style w:type="paragraph" w:styleId="Header">
    <w:name w:val="header"/>
    <w:basedOn w:val="Normal"/>
    <w:link w:val="HeaderChar"/>
    <w:uiPriority w:val="99"/>
    <w:unhideWhenUsed/>
    <w:rsid w:val="000B68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6865"/>
    <w:rPr>
      <w:rFonts w:ascii="Times New Roman" w:eastAsia="Calibri" w:hAnsi="Times New Roman" w:cs="Times New Roman"/>
      <w:sz w:val="24"/>
    </w:rPr>
  </w:style>
  <w:style w:type="character" w:styleId="CommentReference">
    <w:name w:val="annotation reference"/>
    <w:basedOn w:val="DefaultParagraphFont"/>
    <w:uiPriority w:val="99"/>
    <w:semiHidden/>
    <w:unhideWhenUsed/>
    <w:rsid w:val="00E75772"/>
    <w:rPr>
      <w:sz w:val="16"/>
      <w:szCs w:val="16"/>
    </w:rPr>
  </w:style>
  <w:style w:type="paragraph" w:styleId="CommentText">
    <w:name w:val="annotation text"/>
    <w:basedOn w:val="Normal"/>
    <w:link w:val="CommentTextChar"/>
    <w:uiPriority w:val="99"/>
    <w:semiHidden/>
    <w:unhideWhenUsed/>
    <w:rsid w:val="00E75772"/>
    <w:pPr>
      <w:spacing w:line="240" w:lineRule="auto"/>
    </w:pPr>
    <w:rPr>
      <w:sz w:val="20"/>
      <w:szCs w:val="20"/>
    </w:rPr>
  </w:style>
  <w:style w:type="character" w:customStyle="1" w:styleId="CommentTextChar">
    <w:name w:val="Comment Text Char"/>
    <w:basedOn w:val="DefaultParagraphFont"/>
    <w:link w:val="CommentText"/>
    <w:uiPriority w:val="99"/>
    <w:semiHidden/>
    <w:rsid w:val="00E75772"/>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75772"/>
    <w:rPr>
      <w:b/>
      <w:bCs/>
    </w:rPr>
  </w:style>
  <w:style w:type="character" w:customStyle="1" w:styleId="CommentSubjectChar">
    <w:name w:val="Comment Subject Char"/>
    <w:basedOn w:val="CommentTextChar"/>
    <w:link w:val="CommentSubject"/>
    <w:uiPriority w:val="99"/>
    <w:semiHidden/>
    <w:rsid w:val="00E75772"/>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E75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772"/>
    <w:rPr>
      <w:rFonts w:ascii="Tahoma" w:eastAsia="Calibri" w:hAnsi="Tahoma" w:cs="Tahoma"/>
      <w:sz w:val="16"/>
      <w:szCs w:val="16"/>
    </w:rPr>
  </w:style>
  <w:style w:type="paragraph" w:customStyle="1" w:styleId="tv2132">
    <w:name w:val="tv2132"/>
    <w:basedOn w:val="Normal"/>
    <w:rsid w:val="00C5293D"/>
    <w:pPr>
      <w:spacing w:after="0" w:line="360" w:lineRule="auto"/>
      <w:ind w:firstLine="300"/>
    </w:pPr>
    <w:rPr>
      <w:rFonts w:eastAsia="Times New Roman"/>
      <w:color w:val="414142"/>
      <w:sz w:val="20"/>
      <w:szCs w:val="20"/>
      <w:lang w:eastAsia="lv-LV"/>
    </w:rPr>
  </w:style>
  <w:style w:type="character" w:styleId="Hyperlink">
    <w:name w:val="Hyperlink"/>
    <w:semiHidden/>
    <w:unhideWhenUsed/>
    <w:rsid w:val="00027F2D"/>
    <w:rPr>
      <w:color w:val="0000FF"/>
      <w:u w:val="single"/>
    </w:rPr>
  </w:style>
  <w:style w:type="paragraph" w:styleId="BodyText">
    <w:name w:val="Body Text"/>
    <w:basedOn w:val="Normal"/>
    <w:link w:val="BodyTextChar"/>
    <w:unhideWhenUsed/>
    <w:rsid w:val="00027F2D"/>
    <w:pPr>
      <w:spacing w:after="0" w:line="240" w:lineRule="auto"/>
    </w:pPr>
    <w:rPr>
      <w:rFonts w:eastAsia="Times New Roman"/>
      <w:sz w:val="28"/>
      <w:szCs w:val="24"/>
    </w:rPr>
  </w:style>
  <w:style w:type="character" w:customStyle="1" w:styleId="BodyTextChar">
    <w:name w:val="Body Text Char"/>
    <w:basedOn w:val="DefaultParagraphFont"/>
    <w:link w:val="BodyText"/>
    <w:rsid w:val="00027F2D"/>
    <w:rPr>
      <w:rFonts w:ascii="Times New Roman" w:eastAsia="Times New Roman" w:hAnsi="Times New Roman" w:cs="Times New Roman"/>
      <w:sz w:val="28"/>
      <w:szCs w:val="24"/>
    </w:rPr>
  </w:style>
  <w:style w:type="paragraph" w:styleId="FootnoteText">
    <w:name w:val="footnote text"/>
    <w:basedOn w:val="Normal"/>
    <w:link w:val="FootnoteTextChar"/>
    <w:uiPriority w:val="99"/>
    <w:semiHidden/>
    <w:unhideWhenUsed/>
    <w:rsid w:val="00BC028D"/>
    <w:pPr>
      <w:spacing w:after="0" w:line="240" w:lineRule="auto"/>
    </w:pPr>
    <w:rPr>
      <w:rFonts w:eastAsia="Times New Roman"/>
      <w:sz w:val="20"/>
      <w:szCs w:val="20"/>
      <w:lang w:eastAsia="lv-LV"/>
    </w:rPr>
  </w:style>
  <w:style w:type="character" w:customStyle="1" w:styleId="FootnoteTextChar">
    <w:name w:val="Footnote Text Char"/>
    <w:basedOn w:val="DefaultParagraphFont"/>
    <w:link w:val="FootnoteText"/>
    <w:uiPriority w:val="99"/>
    <w:semiHidden/>
    <w:rsid w:val="00BC028D"/>
    <w:rPr>
      <w:rFonts w:ascii="Times New Roman" w:eastAsia="Times New Roman" w:hAnsi="Times New Roman" w:cs="Times New Roman"/>
      <w:sz w:val="20"/>
      <w:szCs w:val="20"/>
      <w:lang w:eastAsia="lv-LV"/>
    </w:rPr>
  </w:style>
  <w:style w:type="paragraph" w:customStyle="1" w:styleId="Default">
    <w:name w:val="Default"/>
    <w:rsid w:val="00BC028D"/>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basedOn w:val="DefaultParagraphFont"/>
    <w:uiPriority w:val="99"/>
    <w:semiHidden/>
    <w:unhideWhenUsed/>
    <w:rsid w:val="00BC028D"/>
    <w:rPr>
      <w:vertAlign w:val="superscript"/>
    </w:rPr>
  </w:style>
  <w:style w:type="paragraph" w:customStyle="1" w:styleId="Paraststmeklis">
    <w:name w:val="Parasts (tīmeklis)"/>
    <w:basedOn w:val="Normal"/>
    <w:rsid w:val="00A20501"/>
    <w:pPr>
      <w:spacing w:before="100" w:beforeAutospacing="1" w:after="100" w:afterAutospacing="1" w:line="240" w:lineRule="auto"/>
    </w:pPr>
    <w:rPr>
      <w:rFonts w:ascii="Helvetica" w:eastAsia="Times New Roman" w:hAnsi="Helvetica"/>
      <w:color w:val="000000"/>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865"/>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B6865"/>
    <w:pPr>
      <w:tabs>
        <w:tab w:val="center" w:pos="4153"/>
        <w:tab w:val="right" w:pos="8306"/>
      </w:tabs>
    </w:pPr>
  </w:style>
  <w:style w:type="character" w:customStyle="1" w:styleId="FooterChar">
    <w:name w:val="Footer Char"/>
    <w:basedOn w:val="DefaultParagraphFont"/>
    <w:link w:val="Footer"/>
    <w:rsid w:val="000B6865"/>
    <w:rPr>
      <w:rFonts w:ascii="Times New Roman" w:eastAsia="Calibri" w:hAnsi="Times New Roman" w:cs="Times New Roman"/>
      <w:sz w:val="24"/>
    </w:rPr>
  </w:style>
  <w:style w:type="character" w:styleId="PageNumber">
    <w:name w:val="page number"/>
    <w:basedOn w:val="DefaultParagraphFont"/>
    <w:rsid w:val="000B6865"/>
  </w:style>
  <w:style w:type="paragraph" w:styleId="Header">
    <w:name w:val="header"/>
    <w:basedOn w:val="Normal"/>
    <w:link w:val="HeaderChar"/>
    <w:uiPriority w:val="99"/>
    <w:unhideWhenUsed/>
    <w:rsid w:val="000B68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6865"/>
    <w:rPr>
      <w:rFonts w:ascii="Times New Roman" w:eastAsia="Calibri" w:hAnsi="Times New Roman" w:cs="Times New Roman"/>
      <w:sz w:val="24"/>
    </w:rPr>
  </w:style>
  <w:style w:type="character" w:styleId="CommentReference">
    <w:name w:val="annotation reference"/>
    <w:basedOn w:val="DefaultParagraphFont"/>
    <w:uiPriority w:val="99"/>
    <w:semiHidden/>
    <w:unhideWhenUsed/>
    <w:rsid w:val="00E75772"/>
    <w:rPr>
      <w:sz w:val="16"/>
      <w:szCs w:val="16"/>
    </w:rPr>
  </w:style>
  <w:style w:type="paragraph" w:styleId="CommentText">
    <w:name w:val="annotation text"/>
    <w:basedOn w:val="Normal"/>
    <w:link w:val="CommentTextChar"/>
    <w:uiPriority w:val="99"/>
    <w:semiHidden/>
    <w:unhideWhenUsed/>
    <w:rsid w:val="00E75772"/>
    <w:pPr>
      <w:spacing w:line="240" w:lineRule="auto"/>
    </w:pPr>
    <w:rPr>
      <w:sz w:val="20"/>
      <w:szCs w:val="20"/>
    </w:rPr>
  </w:style>
  <w:style w:type="character" w:customStyle="1" w:styleId="CommentTextChar">
    <w:name w:val="Comment Text Char"/>
    <w:basedOn w:val="DefaultParagraphFont"/>
    <w:link w:val="CommentText"/>
    <w:uiPriority w:val="99"/>
    <w:semiHidden/>
    <w:rsid w:val="00E75772"/>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75772"/>
    <w:rPr>
      <w:b/>
      <w:bCs/>
    </w:rPr>
  </w:style>
  <w:style w:type="character" w:customStyle="1" w:styleId="CommentSubjectChar">
    <w:name w:val="Comment Subject Char"/>
    <w:basedOn w:val="CommentTextChar"/>
    <w:link w:val="CommentSubject"/>
    <w:uiPriority w:val="99"/>
    <w:semiHidden/>
    <w:rsid w:val="00E75772"/>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E75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772"/>
    <w:rPr>
      <w:rFonts w:ascii="Tahoma" w:eastAsia="Calibri" w:hAnsi="Tahoma" w:cs="Tahoma"/>
      <w:sz w:val="16"/>
      <w:szCs w:val="16"/>
    </w:rPr>
  </w:style>
  <w:style w:type="paragraph" w:customStyle="1" w:styleId="tv2132">
    <w:name w:val="tv2132"/>
    <w:basedOn w:val="Normal"/>
    <w:rsid w:val="00C5293D"/>
    <w:pPr>
      <w:spacing w:after="0" w:line="360" w:lineRule="auto"/>
      <w:ind w:firstLine="300"/>
    </w:pPr>
    <w:rPr>
      <w:rFonts w:eastAsia="Times New Roman"/>
      <w:color w:val="414142"/>
      <w:sz w:val="20"/>
      <w:szCs w:val="20"/>
      <w:lang w:eastAsia="lv-LV"/>
    </w:rPr>
  </w:style>
  <w:style w:type="character" w:styleId="Hyperlink">
    <w:name w:val="Hyperlink"/>
    <w:semiHidden/>
    <w:unhideWhenUsed/>
    <w:rsid w:val="00027F2D"/>
    <w:rPr>
      <w:color w:val="0000FF"/>
      <w:u w:val="single"/>
    </w:rPr>
  </w:style>
  <w:style w:type="paragraph" w:styleId="BodyText">
    <w:name w:val="Body Text"/>
    <w:basedOn w:val="Normal"/>
    <w:link w:val="BodyTextChar"/>
    <w:unhideWhenUsed/>
    <w:rsid w:val="00027F2D"/>
    <w:pPr>
      <w:spacing w:after="0" w:line="240" w:lineRule="auto"/>
    </w:pPr>
    <w:rPr>
      <w:rFonts w:eastAsia="Times New Roman"/>
      <w:sz w:val="28"/>
      <w:szCs w:val="24"/>
    </w:rPr>
  </w:style>
  <w:style w:type="character" w:customStyle="1" w:styleId="BodyTextChar">
    <w:name w:val="Body Text Char"/>
    <w:basedOn w:val="DefaultParagraphFont"/>
    <w:link w:val="BodyText"/>
    <w:rsid w:val="00027F2D"/>
    <w:rPr>
      <w:rFonts w:ascii="Times New Roman" w:eastAsia="Times New Roman" w:hAnsi="Times New Roman" w:cs="Times New Roman"/>
      <w:sz w:val="28"/>
      <w:szCs w:val="24"/>
    </w:rPr>
  </w:style>
  <w:style w:type="paragraph" w:styleId="FootnoteText">
    <w:name w:val="footnote text"/>
    <w:basedOn w:val="Normal"/>
    <w:link w:val="FootnoteTextChar"/>
    <w:uiPriority w:val="99"/>
    <w:semiHidden/>
    <w:unhideWhenUsed/>
    <w:rsid w:val="00BC028D"/>
    <w:pPr>
      <w:spacing w:after="0" w:line="240" w:lineRule="auto"/>
    </w:pPr>
    <w:rPr>
      <w:rFonts w:eastAsia="Times New Roman"/>
      <w:sz w:val="20"/>
      <w:szCs w:val="20"/>
      <w:lang w:eastAsia="lv-LV"/>
    </w:rPr>
  </w:style>
  <w:style w:type="character" w:customStyle="1" w:styleId="FootnoteTextChar">
    <w:name w:val="Footnote Text Char"/>
    <w:basedOn w:val="DefaultParagraphFont"/>
    <w:link w:val="FootnoteText"/>
    <w:uiPriority w:val="99"/>
    <w:semiHidden/>
    <w:rsid w:val="00BC028D"/>
    <w:rPr>
      <w:rFonts w:ascii="Times New Roman" w:eastAsia="Times New Roman" w:hAnsi="Times New Roman" w:cs="Times New Roman"/>
      <w:sz w:val="20"/>
      <w:szCs w:val="20"/>
      <w:lang w:eastAsia="lv-LV"/>
    </w:rPr>
  </w:style>
  <w:style w:type="paragraph" w:customStyle="1" w:styleId="Default">
    <w:name w:val="Default"/>
    <w:rsid w:val="00BC028D"/>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basedOn w:val="DefaultParagraphFont"/>
    <w:uiPriority w:val="99"/>
    <w:semiHidden/>
    <w:unhideWhenUsed/>
    <w:rsid w:val="00BC028D"/>
    <w:rPr>
      <w:vertAlign w:val="superscript"/>
    </w:rPr>
  </w:style>
  <w:style w:type="paragraph" w:customStyle="1" w:styleId="Paraststmeklis">
    <w:name w:val="Parasts (tīmeklis)"/>
    <w:basedOn w:val="Normal"/>
    <w:rsid w:val="00A20501"/>
    <w:pPr>
      <w:spacing w:before="100" w:beforeAutospacing="1" w:after="100" w:afterAutospacing="1" w:line="240" w:lineRule="auto"/>
    </w:pPr>
    <w:rPr>
      <w:rFonts w:ascii="Helvetica" w:eastAsia="Times New Roman" w:hAnsi="Helvetica"/>
      <w:color w:val="000000"/>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0256">
      <w:bodyDiv w:val="1"/>
      <w:marLeft w:val="0"/>
      <w:marRight w:val="0"/>
      <w:marTop w:val="0"/>
      <w:marBottom w:val="0"/>
      <w:divBdr>
        <w:top w:val="none" w:sz="0" w:space="0" w:color="auto"/>
        <w:left w:val="none" w:sz="0" w:space="0" w:color="auto"/>
        <w:bottom w:val="none" w:sz="0" w:space="0" w:color="auto"/>
        <w:right w:val="none" w:sz="0" w:space="0" w:color="auto"/>
      </w:divBdr>
    </w:div>
    <w:div w:id="166527479">
      <w:bodyDiv w:val="1"/>
      <w:marLeft w:val="0"/>
      <w:marRight w:val="0"/>
      <w:marTop w:val="0"/>
      <w:marBottom w:val="0"/>
      <w:divBdr>
        <w:top w:val="none" w:sz="0" w:space="0" w:color="auto"/>
        <w:left w:val="none" w:sz="0" w:space="0" w:color="auto"/>
        <w:bottom w:val="none" w:sz="0" w:space="0" w:color="auto"/>
        <w:right w:val="none" w:sz="0" w:space="0" w:color="auto"/>
      </w:divBdr>
      <w:divsChild>
        <w:div w:id="60062705">
          <w:marLeft w:val="0"/>
          <w:marRight w:val="0"/>
          <w:marTop w:val="0"/>
          <w:marBottom w:val="0"/>
          <w:divBdr>
            <w:top w:val="none" w:sz="0" w:space="0" w:color="auto"/>
            <w:left w:val="none" w:sz="0" w:space="0" w:color="auto"/>
            <w:bottom w:val="none" w:sz="0" w:space="0" w:color="auto"/>
            <w:right w:val="none" w:sz="0" w:space="0" w:color="auto"/>
          </w:divBdr>
          <w:divsChild>
            <w:div w:id="1772313166">
              <w:marLeft w:val="0"/>
              <w:marRight w:val="0"/>
              <w:marTop w:val="0"/>
              <w:marBottom w:val="0"/>
              <w:divBdr>
                <w:top w:val="none" w:sz="0" w:space="0" w:color="auto"/>
                <w:left w:val="none" w:sz="0" w:space="0" w:color="auto"/>
                <w:bottom w:val="none" w:sz="0" w:space="0" w:color="auto"/>
                <w:right w:val="none" w:sz="0" w:space="0" w:color="auto"/>
              </w:divBdr>
              <w:divsChild>
                <w:div w:id="673067257">
                  <w:marLeft w:val="0"/>
                  <w:marRight w:val="0"/>
                  <w:marTop w:val="0"/>
                  <w:marBottom w:val="0"/>
                  <w:divBdr>
                    <w:top w:val="none" w:sz="0" w:space="0" w:color="auto"/>
                    <w:left w:val="none" w:sz="0" w:space="0" w:color="auto"/>
                    <w:bottom w:val="none" w:sz="0" w:space="0" w:color="auto"/>
                    <w:right w:val="none" w:sz="0" w:space="0" w:color="auto"/>
                  </w:divBdr>
                  <w:divsChild>
                    <w:div w:id="1804613236">
                      <w:marLeft w:val="0"/>
                      <w:marRight w:val="0"/>
                      <w:marTop w:val="0"/>
                      <w:marBottom w:val="0"/>
                      <w:divBdr>
                        <w:top w:val="none" w:sz="0" w:space="0" w:color="auto"/>
                        <w:left w:val="none" w:sz="0" w:space="0" w:color="auto"/>
                        <w:bottom w:val="none" w:sz="0" w:space="0" w:color="auto"/>
                        <w:right w:val="none" w:sz="0" w:space="0" w:color="auto"/>
                      </w:divBdr>
                      <w:divsChild>
                        <w:div w:id="1705055516">
                          <w:marLeft w:val="0"/>
                          <w:marRight w:val="0"/>
                          <w:marTop w:val="0"/>
                          <w:marBottom w:val="0"/>
                          <w:divBdr>
                            <w:top w:val="none" w:sz="0" w:space="0" w:color="auto"/>
                            <w:left w:val="none" w:sz="0" w:space="0" w:color="auto"/>
                            <w:bottom w:val="none" w:sz="0" w:space="0" w:color="auto"/>
                            <w:right w:val="none" w:sz="0" w:space="0" w:color="auto"/>
                          </w:divBdr>
                          <w:divsChild>
                            <w:div w:id="37705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559665">
      <w:bodyDiv w:val="1"/>
      <w:marLeft w:val="0"/>
      <w:marRight w:val="0"/>
      <w:marTop w:val="0"/>
      <w:marBottom w:val="0"/>
      <w:divBdr>
        <w:top w:val="none" w:sz="0" w:space="0" w:color="auto"/>
        <w:left w:val="none" w:sz="0" w:space="0" w:color="auto"/>
        <w:bottom w:val="none" w:sz="0" w:space="0" w:color="auto"/>
        <w:right w:val="none" w:sz="0" w:space="0" w:color="auto"/>
      </w:divBdr>
      <w:divsChild>
        <w:div w:id="1052653700">
          <w:marLeft w:val="0"/>
          <w:marRight w:val="0"/>
          <w:marTop w:val="0"/>
          <w:marBottom w:val="0"/>
          <w:divBdr>
            <w:top w:val="none" w:sz="0" w:space="0" w:color="auto"/>
            <w:left w:val="none" w:sz="0" w:space="0" w:color="auto"/>
            <w:bottom w:val="none" w:sz="0" w:space="0" w:color="auto"/>
            <w:right w:val="none" w:sz="0" w:space="0" w:color="auto"/>
          </w:divBdr>
          <w:divsChild>
            <w:div w:id="1904557299">
              <w:marLeft w:val="0"/>
              <w:marRight w:val="0"/>
              <w:marTop w:val="0"/>
              <w:marBottom w:val="0"/>
              <w:divBdr>
                <w:top w:val="none" w:sz="0" w:space="0" w:color="auto"/>
                <w:left w:val="none" w:sz="0" w:space="0" w:color="auto"/>
                <w:bottom w:val="none" w:sz="0" w:space="0" w:color="auto"/>
                <w:right w:val="none" w:sz="0" w:space="0" w:color="auto"/>
              </w:divBdr>
              <w:divsChild>
                <w:div w:id="1832284404">
                  <w:marLeft w:val="0"/>
                  <w:marRight w:val="0"/>
                  <w:marTop w:val="0"/>
                  <w:marBottom w:val="0"/>
                  <w:divBdr>
                    <w:top w:val="none" w:sz="0" w:space="0" w:color="auto"/>
                    <w:left w:val="none" w:sz="0" w:space="0" w:color="auto"/>
                    <w:bottom w:val="none" w:sz="0" w:space="0" w:color="auto"/>
                    <w:right w:val="none" w:sz="0" w:space="0" w:color="auto"/>
                  </w:divBdr>
                  <w:divsChild>
                    <w:div w:id="816906">
                      <w:marLeft w:val="0"/>
                      <w:marRight w:val="0"/>
                      <w:marTop w:val="0"/>
                      <w:marBottom w:val="0"/>
                      <w:divBdr>
                        <w:top w:val="none" w:sz="0" w:space="0" w:color="auto"/>
                        <w:left w:val="none" w:sz="0" w:space="0" w:color="auto"/>
                        <w:bottom w:val="none" w:sz="0" w:space="0" w:color="auto"/>
                        <w:right w:val="none" w:sz="0" w:space="0" w:color="auto"/>
                      </w:divBdr>
                      <w:divsChild>
                        <w:div w:id="782189486">
                          <w:marLeft w:val="0"/>
                          <w:marRight w:val="0"/>
                          <w:marTop w:val="0"/>
                          <w:marBottom w:val="0"/>
                          <w:divBdr>
                            <w:top w:val="none" w:sz="0" w:space="0" w:color="auto"/>
                            <w:left w:val="none" w:sz="0" w:space="0" w:color="auto"/>
                            <w:bottom w:val="none" w:sz="0" w:space="0" w:color="auto"/>
                            <w:right w:val="none" w:sz="0" w:space="0" w:color="auto"/>
                          </w:divBdr>
                          <w:divsChild>
                            <w:div w:id="689766745">
                              <w:marLeft w:val="0"/>
                              <w:marRight w:val="0"/>
                              <w:marTop w:val="0"/>
                              <w:marBottom w:val="0"/>
                              <w:divBdr>
                                <w:top w:val="none" w:sz="0" w:space="0" w:color="auto"/>
                                <w:left w:val="none" w:sz="0" w:space="0" w:color="auto"/>
                                <w:bottom w:val="none" w:sz="0" w:space="0" w:color="auto"/>
                                <w:right w:val="none" w:sz="0" w:space="0" w:color="auto"/>
                              </w:divBdr>
                              <w:divsChild>
                                <w:div w:id="692148658">
                                  <w:marLeft w:val="0"/>
                                  <w:marRight w:val="0"/>
                                  <w:marTop w:val="0"/>
                                  <w:marBottom w:val="0"/>
                                  <w:divBdr>
                                    <w:top w:val="none" w:sz="0" w:space="0" w:color="auto"/>
                                    <w:left w:val="none" w:sz="0" w:space="0" w:color="auto"/>
                                    <w:bottom w:val="none" w:sz="0" w:space="0" w:color="auto"/>
                                    <w:right w:val="none" w:sz="0" w:space="0" w:color="auto"/>
                                  </w:divBdr>
                                </w:div>
                              </w:divsChild>
                            </w:div>
                            <w:div w:id="121519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69907-publiskas-personas-kapitala-dalu-un-kapitalsabiedribu-parvaldibas-likums" TargetMode="External"/><Relationship Id="rId13" Type="http://schemas.openxmlformats.org/officeDocument/2006/relationships/hyperlink" Target="mailto:Marcis.Katajs@km.gov.lv"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ikumi.lv/ta/id/278921-kartiba-kada-valsts-kapitalsabiedribas-un-publiski-privatas-kapitalsabiedribas-kuras-valsts-ir-dalibnieks-akcionars"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278921-kartiba-kada-valsts-kapitalsabiedribas-un-publiski-privatas-kapitalsabiedribas-kuras-valsts-ir-dalibnieks-akciona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ikumi.lv/ta/id/278921-kartiba-kada-valsts-kapitalsabiedribas-un-publiski-privatas-kapitalsabiedribas-kuras-valsts-ir-dalibnieks-akciona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kumi.lv/ta/id/269907-publiskas-personas-kapitala-dalu-un-kapitalsabiedribu-parvaldibas-likums" TargetMode="Externa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71A617-05CB-4783-9A7F-A70815CF4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10715</Words>
  <Characters>6108</Characters>
  <Application>Microsoft Office Word</Application>
  <DocSecurity>0</DocSecurity>
  <Lines>50</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16790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Mārcis Katajs</dc:creator>
  <cp:lastModifiedBy>Jekaterina Borovika</cp:lastModifiedBy>
  <cp:revision>2</cp:revision>
  <cp:lastPrinted>2017-01-20T12:46:00Z</cp:lastPrinted>
  <dcterms:created xsi:type="dcterms:W3CDTF">2017-02-02T07:31:00Z</dcterms:created>
  <dcterms:modified xsi:type="dcterms:W3CDTF">2017-02-02T07:31:00Z</dcterms:modified>
</cp:coreProperties>
</file>