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89E8" w14:textId="7093B969" w:rsidR="003B468F" w:rsidRPr="00E34D88" w:rsidRDefault="00A80C95" w:rsidP="0027565A">
      <w:pPr>
        <w:ind w:firstLine="720"/>
        <w:jc w:val="center"/>
        <w:rPr>
          <w:b/>
          <w:color w:val="000000"/>
          <w:sz w:val="28"/>
          <w:szCs w:val="28"/>
        </w:rPr>
      </w:pPr>
      <w:bookmarkStart w:id="0" w:name="OLE_LINK1"/>
      <w:bookmarkStart w:id="1" w:name="OLE_LINK2"/>
      <w:r w:rsidRPr="000D40D1">
        <w:rPr>
          <w:b/>
          <w:color w:val="000000"/>
          <w:sz w:val="28"/>
          <w:szCs w:val="28"/>
        </w:rPr>
        <w:t>Ministru kabineta noteikumu projekta</w:t>
      </w:r>
      <w:r w:rsidRPr="00E34D88">
        <w:rPr>
          <w:b/>
          <w:color w:val="000000"/>
          <w:sz w:val="28"/>
          <w:szCs w:val="28"/>
        </w:rPr>
        <w:t xml:space="preserve"> „Noteikumi par vides aizsardzības valsts statistikas pārskata veidlapām” </w:t>
      </w:r>
      <w:r w:rsidRPr="000D40D1">
        <w:rPr>
          <w:b/>
          <w:color w:val="000000"/>
          <w:sz w:val="28"/>
          <w:szCs w:val="28"/>
        </w:rPr>
        <w:t xml:space="preserve">sākotnējās ietekmes novērtējuma ziņojums </w:t>
      </w:r>
      <w:r w:rsidRPr="00E34D88">
        <w:rPr>
          <w:b/>
          <w:color w:val="000000"/>
          <w:sz w:val="28"/>
          <w:szCs w:val="28"/>
        </w:rPr>
        <w:t>(anotācija)</w:t>
      </w:r>
      <w:bookmarkEnd w:id="0"/>
      <w:bookmarkEnd w:id="1"/>
    </w:p>
    <w:p w14:paraId="2BEB6C7D" w14:textId="77777777" w:rsidR="003B468F" w:rsidRPr="000D40D1" w:rsidRDefault="003B468F" w:rsidP="00A80C95">
      <w:pPr>
        <w:ind w:firstLine="300"/>
        <w:jc w:val="center"/>
        <w:rPr>
          <w:b/>
          <w:i/>
          <w:iCs/>
          <w:color w:val="000000"/>
          <w:sz w:val="20"/>
          <w:szCs w:val="20"/>
        </w:rPr>
      </w:pPr>
    </w:p>
    <w:p w14:paraId="4EC47476" w14:textId="77777777" w:rsidR="00CA1D46" w:rsidRDefault="00CA1D46" w:rsidP="00A80C95">
      <w:pPr>
        <w:ind w:firstLine="300"/>
        <w:jc w:val="center"/>
        <w:rPr>
          <w:i/>
          <w:iCs/>
          <w:color w:val="000000"/>
          <w:sz w:val="20"/>
          <w:szCs w:val="20"/>
        </w:rPr>
      </w:pPr>
    </w:p>
    <w:p w14:paraId="61B49F38" w14:textId="77777777" w:rsidR="00CA1D46" w:rsidRPr="006A32CD" w:rsidRDefault="00CA1D46" w:rsidP="00A80C95">
      <w:pPr>
        <w:ind w:firstLine="300"/>
        <w:jc w:val="center"/>
        <w:rPr>
          <w:i/>
          <w:iCs/>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7"/>
        <w:gridCol w:w="2085"/>
        <w:gridCol w:w="6804"/>
      </w:tblGrid>
      <w:tr w:rsidR="00A80C95" w:rsidRPr="001B0531" w14:paraId="0155F78D" w14:textId="77777777" w:rsidTr="00C62CAC">
        <w:trPr>
          <w:trHeight w:val="255"/>
          <w:jc w:val="center"/>
        </w:trPr>
        <w:tc>
          <w:tcPr>
            <w:tcW w:w="0" w:type="auto"/>
            <w:gridSpan w:val="3"/>
            <w:vAlign w:val="center"/>
            <w:hideMark/>
          </w:tcPr>
          <w:p w14:paraId="01ADBDC6" w14:textId="77777777" w:rsidR="00A80C95" w:rsidRPr="001B0531" w:rsidRDefault="00A80C95" w:rsidP="00C62CAC">
            <w:pPr>
              <w:jc w:val="center"/>
              <w:rPr>
                <w:b/>
                <w:bCs/>
                <w:color w:val="000000"/>
              </w:rPr>
            </w:pPr>
            <w:r w:rsidRPr="001B0531">
              <w:rPr>
                <w:b/>
                <w:bCs/>
                <w:color w:val="000000"/>
              </w:rPr>
              <w:t>I. Tiesību akta projekta izstrādes nepieciešamība</w:t>
            </w:r>
          </w:p>
        </w:tc>
      </w:tr>
      <w:tr w:rsidR="00A80C95" w:rsidRPr="001B0531" w14:paraId="3869F935" w14:textId="77777777" w:rsidTr="00C62CAC">
        <w:trPr>
          <w:trHeight w:val="405"/>
          <w:jc w:val="center"/>
        </w:trPr>
        <w:tc>
          <w:tcPr>
            <w:tcW w:w="250" w:type="pct"/>
            <w:hideMark/>
          </w:tcPr>
          <w:p w14:paraId="5A068C8D" w14:textId="77777777" w:rsidR="00A80C95" w:rsidRPr="001B0531" w:rsidRDefault="00A80C95" w:rsidP="00C62CAC">
            <w:pPr>
              <w:jc w:val="center"/>
              <w:rPr>
                <w:color w:val="000000"/>
              </w:rPr>
            </w:pPr>
            <w:r w:rsidRPr="001B0531">
              <w:rPr>
                <w:color w:val="000000"/>
              </w:rPr>
              <w:t>1.</w:t>
            </w:r>
          </w:p>
        </w:tc>
        <w:tc>
          <w:tcPr>
            <w:tcW w:w="1114" w:type="pct"/>
            <w:hideMark/>
          </w:tcPr>
          <w:p w14:paraId="484AF421" w14:textId="77777777" w:rsidR="00A80C95" w:rsidRPr="001B0531" w:rsidRDefault="00A80C95" w:rsidP="00C62CAC">
            <w:pPr>
              <w:rPr>
                <w:color w:val="000000"/>
              </w:rPr>
            </w:pPr>
            <w:r w:rsidRPr="001B0531">
              <w:rPr>
                <w:color w:val="000000"/>
              </w:rPr>
              <w:t>Pamatojums</w:t>
            </w:r>
          </w:p>
        </w:tc>
        <w:tc>
          <w:tcPr>
            <w:tcW w:w="3636" w:type="pct"/>
            <w:hideMark/>
          </w:tcPr>
          <w:p w14:paraId="7E8466D5" w14:textId="77777777" w:rsidR="00A80C95" w:rsidRPr="001B0531" w:rsidRDefault="00CB52F8" w:rsidP="00707A63">
            <w:pPr>
              <w:pStyle w:val="naiskr"/>
              <w:jc w:val="both"/>
            </w:pPr>
            <w:r w:rsidRPr="00875B1D">
              <w:t>Minist</w:t>
            </w:r>
            <w:r>
              <w:t>ru kabineta noteikumu projekts „</w:t>
            </w:r>
            <w:r w:rsidRPr="00875B1D">
              <w:t xml:space="preserve">Noteikumi par </w:t>
            </w:r>
            <w:r w:rsidRPr="00BC0E2B">
              <w:t>vides aizsardzības valsts statistikas pārskata veidlapām”</w:t>
            </w:r>
            <w:r>
              <w:t xml:space="preserve"> </w:t>
            </w:r>
            <w:r w:rsidRPr="00875B1D">
              <w:t xml:space="preserve">(turpmāk – noteikumu projekts) izstrādāts, lai </w:t>
            </w:r>
            <w:r>
              <w:t xml:space="preserve">īstenotu Statistikas likuma 11. pantā Ministru kabinetam noteikto deleģējumu </w:t>
            </w:r>
            <w:r w:rsidRPr="009707A7">
              <w:t>apstiprināt statistikas iestāžu izstrādāto oficiālo statist</w:t>
            </w:r>
            <w:r>
              <w:t>ikas veidlapu paraugus un noteikt</w:t>
            </w:r>
            <w:r w:rsidRPr="009707A7">
              <w:t xml:space="preserve"> veidlapu iesniegšanas un aizpildīšanas kārtību.</w:t>
            </w:r>
            <w:r>
              <w:t xml:space="preserve"> Noteikumu projekts izstrādāts, lai nodrošinātu Atkritumu apsaimniekošanas likuma 12. panta otrās daļas 6. punkta, 12.</w:t>
            </w:r>
            <w:r w:rsidRPr="009707A7">
              <w:rPr>
                <w:vertAlign w:val="superscript"/>
              </w:rPr>
              <w:t>1</w:t>
            </w:r>
            <w:r>
              <w:t> panta un 20. panta astotās daļas izpildi.</w:t>
            </w:r>
          </w:p>
        </w:tc>
      </w:tr>
      <w:tr w:rsidR="00A80C95" w:rsidRPr="001B0531" w14:paraId="39A377A6" w14:textId="77777777" w:rsidTr="00C62CAC">
        <w:trPr>
          <w:trHeight w:val="465"/>
          <w:jc w:val="center"/>
        </w:trPr>
        <w:tc>
          <w:tcPr>
            <w:tcW w:w="250" w:type="pct"/>
            <w:hideMark/>
          </w:tcPr>
          <w:p w14:paraId="548A3B99" w14:textId="77777777" w:rsidR="00A80C95" w:rsidRPr="001B0531" w:rsidRDefault="00A80C95" w:rsidP="00C62CAC">
            <w:pPr>
              <w:jc w:val="center"/>
              <w:rPr>
                <w:color w:val="000000"/>
              </w:rPr>
            </w:pPr>
            <w:r w:rsidRPr="001B0531">
              <w:rPr>
                <w:color w:val="000000"/>
              </w:rPr>
              <w:t>2.</w:t>
            </w:r>
          </w:p>
        </w:tc>
        <w:tc>
          <w:tcPr>
            <w:tcW w:w="1114" w:type="pct"/>
            <w:hideMark/>
          </w:tcPr>
          <w:p w14:paraId="561D3226" w14:textId="77777777" w:rsidR="00A80C95" w:rsidRPr="001B0531" w:rsidRDefault="00A80C95" w:rsidP="00C62CAC">
            <w:pPr>
              <w:rPr>
                <w:color w:val="000000"/>
              </w:rPr>
            </w:pPr>
            <w:r w:rsidRPr="001B0531">
              <w:rPr>
                <w:color w:val="000000"/>
              </w:rPr>
              <w:t>Pašreizējā situācija un problēmas, kuru risināšanai tiesību akta projekts izstrādāts, tiesiskā regulējuma mērķis un būtība</w:t>
            </w:r>
          </w:p>
        </w:tc>
        <w:tc>
          <w:tcPr>
            <w:tcW w:w="3636" w:type="pct"/>
            <w:hideMark/>
          </w:tcPr>
          <w:p w14:paraId="1E7D868C" w14:textId="68270E26" w:rsidR="00E34D88" w:rsidRDefault="00A5517D" w:rsidP="00CA1E30">
            <w:pPr>
              <w:pStyle w:val="naiskr"/>
              <w:jc w:val="both"/>
            </w:pPr>
            <w:r>
              <w:t>1. </w:t>
            </w:r>
            <w:r w:rsidR="008F7CBB" w:rsidRPr="008F7CBB">
              <w:t xml:space="preserve">Šobrīd ir spēkā </w:t>
            </w:r>
            <w:r>
              <w:t xml:space="preserve">Ministru kabineta </w:t>
            </w:r>
            <w:r w:rsidR="008F7CBB" w:rsidRPr="008F7CBB">
              <w:t>2008.</w:t>
            </w:r>
            <w:r>
              <w:t> </w:t>
            </w:r>
            <w:r w:rsidR="008F7CBB" w:rsidRPr="008F7CBB">
              <w:t>gada 22.</w:t>
            </w:r>
            <w:r>
              <w:t> </w:t>
            </w:r>
            <w:r w:rsidR="008F7CBB" w:rsidRPr="008F7CBB">
              <w:t>decembra noteikumi Nr.</w:t>
            </w:r>
            <w:r>
              <w:t> </w:t>
            </w:r>
            <w:r w:rsidR="008F7CBB" w:rsidRPr="008F7CBB">
              <w:t>1075 „Noteikumi par vides aizsardzības valsts statistikas pārskatu veidlapām”</w:t>
            </w:r>
            <w:r w:rsidR="000D40D1">
              <w:t>.</w:t>
            </w:r>
          </w:p>
          <w:p w14:paraId="2CD86FE8" w14:textId="1070CB40" w:rsidR="00B8113F" w:rsidRPr="00F17DA9" w:rsidRDefault="00CA1E30" w:rsidP="00CA1E30">
            <w:pPr>
              <w:pStyle w:val="naiskr"/>
              <w:jc w:val="both"/>
            </w:pPr>
            <w:r>
              <w:t>2. </w:t>
            </w:r>
            <w:r w:rsidR="00A80C95" w:rsidRPr="00280D35">
              <w:t xml:space="preserve">Atbilstoši </w:t>
            </w:r>
            <w:r w:rsidR="00F43DAA" w:rsidRPr="00280D35">
              <w:t xml:space="preserve">Statistikas </w:t>
            </w:r>
            <w:r w:rsidR="00A80C95" w:rsidRPr="00280D35">
              <w:t>likum</w:t>
            </w:r>
            <w:r>
              <w:t>a</w:t>
            </w:r>
            <w:r w:rsidR="000D40D1">
              <w:t xml:space="preserve"> </w:t>
            </w:r>
            <w:r>
              <w:t>11. pantam</w:t>
            </w:r>
            <w:r w:rsidR="00830E22">
              <w:t xml:space="preserve"> un Pārejas noteikumu 2. punktā noteiktajam</w:t>
            </w:r>
            <w:r w:rsidR="00A80C95" w:rsidRPr="00280D35">
              <w:t xml:space="preserve">, </w:t>
            </w:r>
            <w:r w:rsidR="00F43DAA" w:rsidRPr="00280D35">
              <w:t>noteikumu projekts</w:t>
            </w:r>
            <w:r w:rsidR="00A80C95" w:rsidRPr="00280D35">
              <w:t xml:space="preserve"> </w:t>
            </w:r>
            <w:r w:rsidR="00A80C95" w:rsidRPr="00F17DA9">
              <w:t>Mini</w:t>
            </w:r>
            <w:r w:rsidR="001B0531" w:rsidRPr="00F17DA9">
              <w:t>stru kabinetam jāizdod līdz 2017</w:t>
            </w:r>
            <w:r w:rsidR="00A80C95" w:rsidRPr="00F17DA9">
              <w:t>. gada 31. </w:t>
            </w:r>
            <w:r w:rsidR="00F43DAA" w:rsidRPr="00F17DA9">
              <w:t>maijam</w:t>
            </w:r>
            <w:r w:rsidR="00830E22">
              <w:t>, jo š</w:t>
            </w:r>
            <w:r w:rsidR="00830E22" w:rsidRPr="00830E22">
              <w:t>obrīd spēkā</w:t>
            </w:r>
            <w:r w:rsidR="00830E22">
              <w:t xml:space="preserve"> esošie Ministru kabineta 2008. gada 22. decembra noteikumi Nr. </w:t>
            </w:r>
            <w:r w:rsidR="00830E22" w:rsidRPr="00830E22">
              <w:t>1075 „Noteikumi par vides aizsardzības valsts statistikas pārskatu veidlapām”</w:t>
            </w:r>
            <w:r w:rsidR="00830E22">
              <w:t xml:space="preserve"> 2017. gada 1. jūnijā zaudēs spēku.</w:t>
            </w:r>
          </w:p>
          <w:p w14:paraId="0649D028" w14:textId="77777777" w:rsidR="00B8113F" w:rsidRPr="00F17DA9" w:rsidRDefault="00E905D0" w:rsidP="00E905D0">
            <w:pPr>
              <w:pStyle w:val="naiskr"/>
              <w:jc w:val="both"/>
            </w:pPr>
            <w:r>
              <w:t>3. </w:t>
            </w:r>
            <w:r w:rsidR="00B31FF1">
              <w:t>Ar noteikumu projektu t</w:t>
            </w:r>
            <w:r w:rsidR="00B31FF1" w:rsidRPr="00F17DA9">
              <w:t>iek precizē</w:t>
            </w:r>
            <w:r w:rsidR="00B31FF1">
              <w:t xml:space="preserve">ti šobrīd spēkā esošie Ministru kabineta </w:t>
            </w:r>
            <w:r w:rsidR="00B31FF1" w:rsidRPr="008F7CBB">
              <w:t>2008.</w:t>
            </w:r>
            <w:r w:rsidR="00B31FF1">
              <w:t> </w:t>
            </w:r>
            <w:r w:rsidR="00B31FF1" w:rsidRPr="008F7CBB">
              <w:t>gada 22.</w:t>
            </w:r>
            <w:r w:rsidR="00B31FF1">
              <w:t> </w:t>
            </w:r>
            <w:r w:rsidR="00B31FF1" w:rsidRPr="008F7CBB">
              <w:t>decembra noteikumi Nr.</w:t>
            </w:r>
            <w:r w:rsidR="00B31FF1">
              <w:t> </w:t>
            </w:r>
            <w:r w:rsidR="00B31FF1" w:rsidRPr="008F7CBB">
              <w:t>1075 „Noteikumi par vides aizsardzības valsts statistikas pārskatu veidlapām”</w:t>
            </w:r>
            <w:r w:rsidR="00B31FF1" w:rsidRPr="00F17DA9">
              <w:t xml:space="preserve">, proti </w:t>
            </w:r>
            <w:r w:rsidR="00B31FF1">
              <w:t xml:space="preserve">šo </w:t>
            </w:r>
            <w:r w:rsidR="00B31FF1" w:rsidRPr="00F17DA9">
              <w:t xml:space="preserve">noteikumu 1. pielikuma </w:t>
            </w:r>
            <w:r w:rsidR="00B31FF1">
              <w:t>„</w:t>
            </w:r>
            <w:r w:rsidR="00B31FF1" w:rsidRPr="00F17DA9">
              <w:t xml:space="preserve">Veidlapa </w:t>
            </w:r>
            <w:r w:rsidR="00B31FF1">
              <w:t>„</w:t>
            </w:r>
            <w:r w:rsidR="00B31FF1" w:rsidRPr="00F17DA9">
              <w:t>Nr.</w:t>
            </w:r>
            <w:r w:rsidR="00B31FF1">
              <w:t> </w:t>
            </w:r>
            <w:r w:rsidR="00B31FF1" w:rsidRPr="00F17DA9">
              <w:t>2 – Ūdens. Pārskats par ūdens resursu lietošanu</w:t>
            </w:r>
            <w:r w:rsidR="00B31FF1">
              <w:t>”</w:t>
            </w:r>
            <w:r w:rsidR="00B31FF1" w:rsidRPr="00F17DA9">
              <w:t xml:space="preserve">”, tabulās </w:t>
            </w:r>
            <w:r w:rsidR="00B31FF1">
              <w:t>„</w:t>
            </w:r>
            <w:r w:rsidR="00B31FF1" w:rsidRPr="00F17DA9">
              <w:t xml:space="preserve">E Paliekošais piesārņojums tonnas/gadā”, </w:t>
            </w:r>
            <w:r w:rsidR="00B31FF1">
              <w:t>„</w:t>
            </w:r>
            <w:r w:rsidR="00B31FF1" w:rsidRPr="00F17DA9">
              <w:t xml:space="preserve">Tabulas E turpinājums”, </w:t>
            </w:r>
            <w:r w:rsidR="00B31FF1">
              <w:t>„</w:t>
            </w:r>
            <w:r w:rsidR="00B31FF1" w:rsidRPr="00F17DA9">
              <w:t xml:space="preserve">I-1 Operatora veiktā pieņemošo ūdeņu kvalitātes monitoringa rezultāti augšpus no emisijas vietas” un </w:t>
            </w:r>
            <w:r w:rsidR="00B31FF1">
              <w:t>„</w:t>
            </w:r>
            <w:r w:rsidR="00B31FF1" w:rsidRPr="00F17DA9">
              <w:t xml:space="preserve">I-2 Operatora veiktā pieņemošo ūdeņu kvalitātes </w:t>
            </w:r>
            <w:r w:rsidR="00B31FF1" w:rsidRPr="00724D91">
              <w:t xml:space="preserve">monitoringa rezultāti lejpus no emisijas vietas” precizētas ailes attiecībā uz fosfātu fosforu, amonija slāpekli un nitrātu slāpekli”. </w:t>
            </w:r>
            <w:r w:rsidR="00744E64" w:rsidRPr="00724D91">
              <w:t xml:space="preserve">Tabula H </w:t>
            </w:r>
            <w:r w:rsidR="00905D8E" w:rsidRPr="00724D91">
              <w:t>„</w:t>
            </w:r>
            <w:r w:rsidR="00744E64" w:rsidRPr="00724D91">
              <w:t>Notekūdeņu testēšana</w:t>
            </w:r>
            <w:r w:rsidR="00B31FF1" w:rsidRPr="00724D91">
              <w:t>”</w:t>
            </w:r>
            <w:r w:rsidR="00744E64" w:rsidRPr="00724D91">
              <w:t xml:space="preserve"> papildināta ar papildus kolonnu </w:t>
            </w:r>
            <w:r w:rsidR="00905D8E" w:rsidRPr="00724D91">
              <w:t>„</w:t>
            </w:r>
            <w:r w:rsidR="00744E64" w:rsidRPr="00724D91">
              <w:t>Piederība (no C vai D tabulas 1. ailes)</w:t>
            </w:r>
            <w:r w:rsidR="00DA51DF" w:rsidRPr="00724D91">
              <w:t>”</w:t>
            </w:r>
            <w:r w:rsidR="00744E64" w:rsidRPr="00724D91">
              <w:t xml:space="preserve">. </w:t>
            </w:r>
            <w:r w:rsidR="00661C6C" w:rsidRPr="00724D91">
              <w:t xml:space="preserve">Tabulas H  </w:t>
            </w:r>
            <w:r w:rsidR="00905D8E" w:rsidRPr="00724D91">
              <w:t>„</w:t>
            </w:r>
            <w:r w:rsidR="00661C6C" w:rsidRPr="00724D91">
              <w:t>Notekūdeņu testēšana</w:t>
            </w:r>
            <w:r w:rsidR="00DA51DF" w:rsidRPr="00724D91">
              <w:t>”</w:t>
            </w:r>
            <w:r w:rsidR="00661C6C" w:rsidRPr="00724D91">
              <w:t xml:space="preserve"> 7. un 8.kolonna papildināta ar sadalījumu pa </w:t>
            </w:r>
            <w:r w:rsidR="003B68F0" w:rsidRPr="00724D91">
              <w:t xml:space="preserve">kalendārajiem </w:t>
            </w:r>
            <w:r w:rsidR="00661C6C" w:rsidRPr="00724D91">
              <w:t>mēnešiem.</w:t>
            </w:r>
          </w:p>
          <w:p w14:paraId="58C33CD6" w14:textId="2AD56D05" w:rsidR="00157875" w:rsidRPr="00F17DA9" w:rsidRDefault="00121168" w:rsidP="00121168">
            <w:pPr>
              <w:pStyle w:val="naiskr"/>
              <w:jc w:val="both"/>
            </w:pPr>
            <w:r w:rsidRPr="00121168">
              <w:t>Tāpat veikti precizējumi šobrīd spēk</w:t>
            </w:r>
            <w:r>
              <w:t>ā esošo Ministru kabineta 2008. gada 22. decembra noteikumu Nr. </w:t>
            </w:r>
            <w:r w:rsidRPr="00121168">
              <w:t xml:space="preserve">1075 „Noteikumi par vides aizsardzības valsts statistikas pārskatu veidlapām” </w:t>
            </w:r>
            <w:r w:rsidR="00157875" w:rsidRPr="00F17DA9">
              <w:t xml:space="preserve">2. pielikuma </w:t>
            </w:r>
            <w:r w:rsidR="00F423C2">
              <w:t>1.tabulā</w:t>
            </w:r>
            <w:r w:rsidR="005C1FF9">
              <w:t xml:space="preserve"> </w:t>
            </w:r>
            <w:r w:rsidRPr="00121168">
              <w:t>„</w:t>
            </w:r>
            <w:r w:rsidR="005C1FF9" w:rsidRPr="005C1FF9">
              <w:t>Iekārtu raksturojums</w:t>
            </w:r>
            <w:r w:rsidR="002278D2" w:rsidRPr="00121168">
              <w:t>”</w:t>
            </w:r>
            <w:r w:rsidR="005C1FF9">
              <w:t xml:space="preserve">, </w:t>
            </w:r>
            <w:r w:rsidR="00954C9C" w:rsidRPr="000E4463">
              <w:t xml:space="preserve">proti, lai kvalitatīvi tiktu veikta gaisu piesārņojošo vielu izkliedes modelēšanu ir nepieciešams zināt arī laukumveida avota augstumu, kas ir viens no būtiskākajiem datorprogrammā ievadāmajiem parametriem un tam ir nozīmīga ietekme uz veiktā aprēķina rezultātu, attiecīgi </w:t>
            </w:r>
            <w:r w:rsidR="005C1FF9" w:rsidRPr="000E4463">
              <w:t xml:space="preserve">ņemot vērā </w:t>
            </w:r>
            <w:r w:rsidR="000B630D" w:rsidRPr="000E4463">
              <w:t xml:space="preserve">valsts sabiedrības ar ierobežotu atbildību </w:t>
            </w:r>
            <w:r w:rsidR="0005110F" w:rsidRPr="000E4463">
              <w:t>„</w:t>
            </w:r>
            <w:r w:rsidR="005C1FF9" w:rsidRPr="000E4463">
              <w:t>Latvijas vides</w:t>
            </w:r>
            <w:r w:rsidR="005C1FF9" w:rsidRPr="00F17DA9">
              <w:t xml:space="preserve"> ģeoloģijas un met</w:t>
            </w:r>
            <w:r w:rsidR="0005110F">
              <w:t>eoroloģijas centrs”</w:t>
            </w:r>
            <w:r w:rsidR="005C1FF9">
              <w:t xml:space="preserve"> priekšlikumu, </w:t>
            </w:r>
            <w:r w:rsidR="00F423C2">
              <w:t xml:space="preserve">1. tabula </w:t>
            </w:r>
            <w:r w:rsidR="005C1FF9">
              <w:t xml:space="preserve">papildināta ar jaunu </w:t>
            </w:r>
            <w:r w:rsidR="005C1FF9">
              <w:lastRenderedPageBreak/>
              <w:t xml:space="preserve">kolonnu Nr.11 </w:t>
            </w:r>
            <w:r w:rsidRPr="00121168">
              <w:t>„</w:t>
            </w:r>
            <w:r w:rsidR="00045E7C">
              <w:t>augstums”. 2. pielikuma</w:t>
            </w:r>
            <w:r w:rsidR="00954C9C">
              <w:t xml:space="preserve"> </w:t>
            </w:r>
            <w:r w:rsidR="00157875" w:rsidRPr="00F17DA9">
              <w:t xml:space="preserve">4. tabulā </w:t>
            </w:r>
            <w:r w:rsidRPr="00121168">
              <w:t>„</w:t>
            </w:r>
            <w:r w:rsidR="00157875" w:rsidRPr="00F17DA9">
              <w:t xml:space="preserve">Kurināmā izlietojums”, ņemot vērā Valsts vides dienesta un </w:t>
            </w:r>
            <w:r w:rsidR="000B630D">
              <w:t>valsts sabiedrības ar ierobežotu atbildību</w:t>
            </w:r>
            <w:r w:rsidR="000B630D" w:rsidRPr="00F17DA9">
              <w:t xml:space="preserve"> </w:t>
            </w:r>
            <w:r w:rsidR="0005110F" w:rsidRPr="00121168">
              <w:t>„</w:t>
            </w:r>
            <w:r w:rsidR="00157875" w:rsidRPr="00F17DA9">
              <w:t>Latvijas vides ģeo</w:t>
            </w:r>
            <w:r w:rsidR="00E03AB4">
              <w:t>loģijas un meteoroloģijas centr</w:t>
            </w:r>
            <w:r w:rsidR="0005110F">
              <w:t>s”</w:t>
            </w:r>
            <w:r w:rsidR="00157875" w:rsidRPr="00F17DA9">
              <w:t xml:space="preserve"> priekšlikumus, dzēsta 9.</w:t>
            </w:r>
            <w:r w:rsidR="007418B6">
              <w:t> </w:t>
            </w:r>
            <w:r w:rsidR="00157875" w:rsidRPr="00F17DA9">
              <w:t xml:space="preserve">kolonna attiecībā uz kurināmā </w:t>
            </w:r>
            <w:r w:rsidR="007B716F" w:rsidRPr="00F17DA9">
              <w:t>koeficientu</w:t>
            </w:r>
            <w:r w:rsidR="00045E7C">
              <w:t>, šāds risinājums pieņemts, lai samazinātu administratīvo slogu operatoriem, kas aizpilda attiecīgo veidlapu.</w:t>
            </w:r>
          </w:p>
          <w:p w14:paraId="5501C152" w14:textId="77777777" w:rsidR="00B8113F" w:rsidRDefault="00F316B3" w:rsidP="00F316B3">
            <w:pPr>
              <w:pStyle w:val="naiskr"/>
              <w:jc w:val="both"/>
            </w:pPr>
            <w:r>
              <w:t xml:space="preserve">Ministru kabineta </w:t>
            </w:r>
            <w:r w:rsidRPr="008F7CBB">
              <w:t>2008.</w:t>
            </w:r>
            <w:r>
              <w:t> </w:t>
            </w:r>
            <w:r w:rsidRPr="008F7CBB">
              <w:t>gada 22.</w:t>
            </w:r>
            <w:r>
              <w:t> decembra noteikumu</w:t>
            </w:r>
            <w:r w:rsidRPr="008F7CBB">
              <w:t xml:space="preserve"> Nr.</w:t>
            </w:r>
            <w:r>
              <w:t> </w:t>
            </w:r>
            <w:r w:rsidRPr="008F7CBB">
              <w:t>1075 „Noteikumi par vides aizsardzības valsts statistikas pārskatu veidlapām”</w:t>
            </w:r>
            <w:r>
              <w:t xml:space="preserve"> </w:t>
            </w:r>
            <w:r w:rsidR="006A5733" w:rsidRPr="00F17DA9">
              <w:t xml:space="preserve">4. pielikuma </w:t>
            </w:r>
            <w:r w:rsidRPr="008F7CBB">
              <w:t>„</w:t>
            </w:r>
            <w:r w:rsidR="006A5733" w:rsidRPr="00F17DA9">
              <w:t xml:space="preserve">Veidlapas </w:t>
            </w:r>
            <w:r w:rsidRPr="008F7CBB">
              <w:t>„</w:t>
            </w:r>
            <w:r w:rsidR="006A5733" w:rsidRPr="00F17DA9">
              <w:t>Nr.</w:t>
            </w:r>
            <w:r w:rsidR="0046737F">
              <w:t> </w:t>
            </w:r>
            <w:r w:rsidR="006A5733" w:rsidRPr="00F17DA9">
              <w:t>2 - Ūdens. Pārsk</w:t>
            </w:r>
            <w:r>
              <w:t>ats par ūdens resursu lietošanu”</w:t>
            </w:r>
            <w:r w:rsidR="006A5733" w:rsidRPr="00F17DA9">
              <w:t xml:space="preserve"> aizpildīšanas</w:t>
            </w:r>
            <w:r w:rsidR="00DE4890">
              <w:t xml:space="preserve"> </w:t>
            </w:r>
            <w:r w:rsidR="006A5733" w:rsidRPr="00F17DA9">
              <w:t>kārtība” 7.3., 11.5 un 12.5. </w:t>
            </w:r>
            <w:r w:rsidR="0046737F">
              <w:t>apakš</w:t>
            </w:r>
            <w:r w:rsidR="006A5733" w:rsidRPr="00F17DA9">
              <w:t>punktā prec</w:t>
            </w:r>
            <w:r w:rsidR="00DE4890">
              <w:t xml:space="preserve">izēta informācija attiecībā uz </w:t>
            </w:r>
            <w:r w:rsidR="006A5733" w:rsidRPr="00F17DA9">
              <w:t>fosfātu fosforu, amonija slāpekli un nitrātu slāpekli.</w:t>
            </w:r>
          </w:p>
          <w:p w14:paraId="3F624FFD" w14:textId="77777777" w:rsidR="004176DB" w:rsidRPr="004176DB" w:rsidRDefault="0070010D" w:rsidP="0070010D">
            <w:pPr>
              <w:pStyle w:val="naiskr"/>
              <w:jc w:val="both"/>
            </w:pPr>
            <w:r>
              <w:t xml:space="preserve">Ministru kabineta </w:t>
            </w:r>
            <w:r w:rsidRPr="008F7CBB">
              <w:t>2008.</w:t>
            </w:r>
            <w:r>
              <w:t> </w:t>
            </w:r>
            <w:r w:rsidRPr="008F7CBB">
              <w:t>gada 22.</w:t>
            </w:r>
            <w:r>
              <w:t> decembra noteikumu</w:t>
            </w:r>
            <w:r w:rsidRPr="008F7CBB">
              <w:t xml:space="preserve"> Nr.</w:t>
            </w:r>
            <w:r>
              <w:t> </w:t>
            </w:r>
            <w:r w:rsidRPr="008F7CBB">
              <w:t>1075 „Noteikumi par vides aizsardzības valsts statistikas pārskatu veidlapām”</w:t>
            </w:r>
            <w:r>
              <w:t xml:space="preserve"> </w:t>
            </w:r>
            <w:r w:rsidRPr="00F17DA9">
              <w:t xml:space="preserve">4. pielikuma </w:t>
            </w:r>
            <w:r w:rsidRPr="008F7CBB">
              <w:t>„</w:t>
            </w:r>
            <w:r w:rsidRPr="00F17DA9">
              <w:t xml:space="preserve">Veidlapas </w:t>
            </w:r>
            <w:r w:rsidRPr="008F7CBB">
              <w:t>„</w:t>
            </w:r>
            <w:r w:rsidRPr="00F17DA9">
              <w:t>Nr.</w:t>
            </w:r>
            <w:r>
              <w:t> </w:t>
            </w:r>
            <w:r w:rsidRPr="00F17DA9">
              <w:t>2 - Ūdens. Pārsk</w:t>
            </w:r>
            <w:r>
              <w:t xml:space="preserve">ats par ūdens resursu </w:t>
            </w:r>
            <w:r w:rsidRPr="00E62658">
              <w:t>lietošanu” aizpildīšanas kārtība”</w:t>
            </w:r>
            <w:r w:rsidR="004176DB" w:rsidRPr="00E62658">
              <w:t>10.</w:t>
            </w:r>
            <w:r w:rsidRPr="00E62658">
              <w:t> </w:t>
            </w:r>
            <w:r w:rsidR="004176DB" w:rsidRPr="00E62658">
              <w:t>punkts izteikts jaunā redakcijā, ņemot vērā veiktos precizējumus noteikumu 1.</w:t>
            </w:r>
            <w:r w:rsidRPr="00E62658">
              <w:t> </w:t>
            </w:r>
            <w:r w:rsidR="004176DB" w:rsidRPr="00E62658">
              <w:t xml:space="preserve">pielikuma tabulā H </w:t>
            </w:r>
            <w:r w:rsidRPr="00E62658">
              <w:t>„</w:t>
            </w:r>
            <w:r w:rsidR="004176DB" w:rsidRPr="00E62658">
              <w:t>Notekūdeņu testēšana”.</w:t>
            </w:r>
          </w:p>
        </w:tc>
      </w:tr>
      <w:tr w:rsidR="00A80C95" w:rsidRPr="001B0531" w14:paraId="7B1999DF" w14:textId="77777777" w:rsidTr="00C62CAC">
        <w:trPr>
          <w:trHeight w:val="465"/>
          <w:jc w:val="center"/>
        </w:trPr>
        <w:tc>
          <w:tcPr>
            <w:tcW w:w="250" w:type="pct"/>
            <w:hideMark/>
          </w:tcPr>
          <w:p w14:paraId="4F31F3DF" w14:textId="77777777" w:rsidR="00A80C95" w:rsidRPr="001B0531" w:rsidRDefault="00A80C95" w:rsidP="00C62CAC">
            <w:pPr>
              <w:jc w:val="center"/>
              <w:rPr>
                <w:color w:val="000000"/>
              </w:rPr>
            </w:pPr>
            <w:r w:rsidRPr="001B0531">
              <w:rPr>
                <w:color w:val="000000"/>
              </w:rPr>
              <w:lastRenderedPageBreak/>
              <w:t>3.</w:t>
            </w:r>
          </w:p>
        </w:tc>
        <w:tc>
          <w:tcPr>
            <w:tcW w:w="1114" w:type="pct"/>
            <w:hideMark/>
          </w:tcPr>
          <w:p w14:paraId="4A658050" w14:textId="77777777" w:rsidR="00A80C95" w:rsidRPr="001B0531" w:rsidRDefault="00A80C95" w:rsidP="00C62CAC">
            <w:pPr>
              <w:rPr>
                <w:color w:val="000000"/>
              </w:rPr>
            </w:pPr>
            <w:r w:rsidRPr="001B0531">
              <w:rPr>
                <w:color w:val="000000"/>
              </w:rPr>
              <w:t>Projekta izstrādē iesaistītās institūcijas</w:t>
            </w:r>
          </w:p>
        </w:tc>
        <w:tc>
          <w:tcPr>
            <w:tcW w:w="3636" w:type="pct"/>
            <w:hideMark/>
          </w:tcPr>
          <w:p w14:paraId="32F84FC9" w14:textId="77777777" w:rsidR="00A80C95" w:rsidRPr="00D075F2" w:rsidRDefault="00A80C95" w:rsidP="003A5204">
            <w:pPr>
              <w:pStyle w:val="naiskr"/>
              <w:spacing w:before="0" w:after="60"/>
              <w:jc w:val="both"/>
              <w:rPr>
                <w:iCs/>
                <w:color w:val="000000"/>
              </w:rPr>
            </w:pPr>
            <w:r w:rsidRPr="001B0531">
              <w:rPr>
                <w:iCs/>
                <w:color w:val="000000"/>
              </w:rPr>
              <w:t xml:space="preserve">Vides aizsardzības un reģionālās attīstības ministrija, </w:t>
            </w:r>
            <w:r w:rsidR="003A333E">
              <w:rPr>
                <w:iCs/>
                <w:color w:val="000000"/>
              </w:rPr>
              <w:t>valsts sabiedrība ar ierobežotu atbildību</w:t>
            </w:r>
            <w:r w:rsidRPr="001B0531">
              <w:rPr>
                <w:iCs/>
                <w:color w:val="000000"/>
              </w:rPr>
              <w:t xml:space="preserve"> „Latvijas Vides, ģeoloģ</w:t>
            </w:r>
            <w:r w:rsidR="001B0531" w:rsidRPr="001B0531">
              <w:rPr>
                <w:iCs/>
                <w:color w:val="000000"/>
              </w:rPr>
              <w:t xml:space="preserve">ijas un meteoroloģijas </w:t>
            </w:r>
            <w:r w:rsidR="003A333E">
              <w:rPr>
                <w:iCs/>
                <w:color w:val="000000"/>
              </w:rPr>
              <w:t>centrs”, Valsts vides dienests.</w:t>
            </w:r>
          </w:p>
        </w:tc>
      </w:tr>
      <w:tr w:rsidR="00A80C95" w:rsidRPr="008F6DD0" w14:paraId="23B20C88" w14:textId="77777777" w:rsidTr="00C62CAC">
        <w:trPr>
          <w:jc w:val="center"/>
        </w:trPr>
        <w:tc>
          <w:tcPr>
            <w:tcW w:w="250" w:type="pct"/>
            <w:hideMark/>
          </w:tcPr>
          <w:p w14:paraId="203107A2" w14:textId="77777777" w:rsidR="00A80C95" w:rsidRPr="001B0531" w:rsidRDefault="00A80C95" w:rsidP="00C62CAC">
            <w:pPr>
              <w:jc w:val="center"/>
              <w:rPr>
                <w:color w:val="000000"/>
              </w:rPr>
            </w:pPr>
            <w:r w:rsidRPr="001B0531">
              <w:rPr>
                <w:color w:val="000000"/>
              </w:rPr>
              <w:t>4.</w:t>
            </w:r>
          </w:p>
        </w:tc>
        <w:tc>
          <w:tcPr>
            <w:tcW w:w="1114" w:type="pct"/>
            <w:hideMark/>
          </w:tcPr>
          <w:p w14:paraId="13FEA300" w14:textId="77777777" w:rsidR="00A80C95" w:rsidRPr="001B0531" w:rsidRDefault="00A80C95" w:rsidP="00C62CAC">
            <w:pPr>
              <w:rPr>
                <w:color w:val="000000"/>
              </w:rPr>
            </w:pPr>
            <w:r w:rsidRPr="001B0531">
              <w:rPr>
                <w:color w:val="000000"/>
              </w:rPr>
              <w:t>Cita informācija</w:t>
            </w:r>
          </w:p>
        </w:tc>
        <w:tc>
          <w:tcPr>
            <w:tcW w:w="3636" w:type="pct"/>
            <w:hideMark/>
          </w:tcPr>
          <w:p w14:paraId="2AC005FA" w14:textId="77777777" w:rsidR="00A80C95" w:rsidRPr="008F6DD0" w:rsidRDefault="00A80C95" w:rsidP="00C62CAC">
            <w:pPr>
              <w:spacing w:after="60"/>
              <w:ind w:firstLine="232"/>
              <w:rPr>
                <w:color w:val="000000"/>
              </w:rPr>
            </w:pPr>
            <w:r w:rsidRPr="001B0531">
              <w:rPr>
                <w:color w:val="000000"/>
              </w:rPr>
              <w:t>Nav</w:t>
            </w:r>
          </w:p>
        </w:tc>
      </w:tr>
    </w:tbl>
    <w:p w14:paraId="0097868A" w14:textId="77777777" w:rsidR="00A80C95" w:rsidRPr="00935F0F" w:rsidRDefault="00A80C95" w:rsidP="00A80C95">
      <w:pPr>
        <w:ind w:firstLine="301"/>
        <w:rPr>
          <w:color w:val="000000"/>
          <w:sz w:val="28"/>
          <w:szCs w:val="28"/>
        </w:rPr>
      </w:pPr>
      <w:r w:rsidRPr="00935F0F">
        <w:rPr>
          <w:color w:val="000000"/>
          <w:sz w:val="28"/>
          <w:szCs w:val="28"/>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8"/>
        <w:gridCol w:w="2509"/>
        <w:gridCol w:w="6379"/>
      </w:tblGrid>
      <w:tr w:rsidR="00A80C95" w:rsidRPr="0070579E" w14:paraId="3B2E92B9" w14:textId="77777777" w:rsidTr="00C62CAC">
        <w:trPr>
          <w:trHeight w:val="555"/>
          <w:jc w:val="center"/>
        </w:trPr>
        <w:tc>
          <w:tcPr>
            <w:tcW w:w="0" w:type="auto"/>
            <w:gridSpan w:val="3"/>
            <w:vAlign w:val="center"/>
            <w:hideMark/>
          </w:tcPr>
          <w:p w14:paraId="50111A66" w14:textId="77777777" w:rsidR="00A80C95" w:rsidRPr="001D6769" w:rsidRDefault="00A80C95" w:rsidP="00C62CAC">
            <w:pPr>
              <w:jc w:val="center"/>
              <w:rPr>
                <w:b/>
                <w:bCs/>
                <w:color w:val="000000"/>
              </w:rPr>
            </w:pPr>
            <w:r w:rsidRPr="001D6769">
              <w:rPr>
                <w:b/>
                <w:bCs/>
                <w:color w:val="000000"/>
              </w:rPr>
              <w:t>II. Tiesību akta projekta ietekme uz sabiedrību, tautsaimniecības attīstību un administratīvo slogu</w:t>
            </w:r>
          </w:p>
        </w:tc>
      </w:tr>
      <w:tr w:rsidR="00A80C95" w:rsidRPr="0070579E" w14:paraId="6EC789FA" w14:textId="77777777" w:rsidTr="00C62CAC">
        <w:trPr>
          <w:trHeight w:val="465"/>
          <w:jc w:val="center"/>
        </w:trPr>
        <w:tc>
          <w:tcPr>
            <w:tcW w:w="250" w:type="pct"/>
            <w:hideMark/>
          </w:tcPr>
          <w:p w14:paraId="04BF9615" w14:textId="77777777" w:rsidR="00A80C95" w:rsidRPr="001D6769" w:rsidRDefault="00A80C95" w:rsidP="00C62CAC">
            <w:pPr>
              <w:rPr>
                <w:color w:val="000000"/>
              </w:rPr>
            </w:pPr>
            <w:r w:rsidRPr="001D6769">
              <w:rPr>
                <w:color w:val="000000"/>
              </w:rPr>
              <w:t>1.</w:t>
            </w:r>
          </w:p>
        </w:tc>
        <w:tc>
          <w:tcPr>
            <w:tcW w:w="1341" w:type="pct"/>
            <w:hideMark/>
          </w:tcPr>
          <w:p w14:paraId="44ED530F" w14:textId="77777777" w:rsidR="00A80C95" w:rsidRPr="001D6769" w:rsidRDefault="00A80C95" w:rsidP="00C62CAC">
            <w:pPr>
              <w:rPr>
                <w:color w:val="000000"/>
              </w:rPr>
            </w:pPr>
            <w:r w:rsidRPr="001D6769">
              <w:rPr>
                <w:color w:val="000000"/>
              </w:rPr>
              <w:t>Sabiedrības mērķgrupas, kuras tiesiskais regulējums ietekmē vai varētu ietekmēt</w:t>
            </w:r>
          </w:p>
        </w:tc>
        <w:tc>
          <w:tcPr>
            <w:tcW w:w="3409" w:type="pct"/>
            <w:hideMark/>
          </w:tcPr>
          <w:p w14:paraId="5F983F76" w14:textId="77777777" w:rsidR="00F47804" w:rsidRPr="00007C37" w:rsidRDefault="00007C37" w:rsidP="00D616F5">
            <w:pPr>
              <w:pStyle w:val="naiskr"/>
              <w:spacing w:before="0" w:after="40"/>
              <w:jc w:val="both"/>
              <w:rPr>
                <w:color w:val="000000"/>
              </w:rPr>
            </w:pPr>
            <w:r>
              <w:rPr>
                <w:color w:val="000000"/>
              </w:rPr>
              <w:t>Noteikumu projekts ietekmēs</w:t>
            </w:r>
            <w:r w:rsidRPr="00F42EAE">
              <w:rPr>
                <w:color w:val="000000"/>
              </w:rPr>
              <w:t xml:space="preserve"> </w:t>
            </w:r>
            <w:r w:rsidR="00F47804" w:rsidRPr="00F42EAE">
              <w:rPr>
                <w:color w:val="000000"/>
              </w:rPr>
              <w:t>operatorus, kuriem nepieciešamas saņemt A vai B kategorijas atļaujas</w:t>
            </w:r>
            <w:r w:rsidR="00322B5B">
              <w:rPr>
                <w:color w:val="000000"/>
              </w:rPr>
              <w:t xml:space="preserve"> piesārņojošu darbību veikšanai;</w:t>
            </w:r>
            <w:r>
              <w:rPr>
                <w:color w:val="000000"/>
              </w:rPr>
              <w:t xml:space="preserve"> </w:t>
            </w:r>
            <w:r w:rsidR="0066365A" w:rsidRPr="00F42EAE">
              <w:t xml:space="preserve">fiziskas un juridiskas personas un </w:t>
            </w:r>
            <w:r w:rsidR="00322B5B">
              <w:t>operatorus;</w:t>
            </w:r>
            <w:r w:rsidR="00A80C95" w:rsidRPr="00F42EAE">
              <w:t xml:space="preserve"> </w:t>
            </w:r>
            <w:r w:rsidR="00F47804" w:rsidRPr="00F42EAE">
              <w:t>kuriem nepieciešamas saņemt ūdens resursu lietošanas atļaujas</w:t>
            </w:r>
            <w:r>
              <w:rPr>
                <w:color w:val="000000"/>
              </w:rPr>
              <w:t xml:space="preserve">, </w:t>
            </w:r>
            <w:r w:rsidR="00F47804" w:rsidRPr="00F42EAE">
              <w:t>operatorus, kuriem nepieciešams saņemt atkritumu apsaimniekošanas atļaujas.</w:t>
            </w:r>
          </w:p>
        </w:tc>
      </w:tr>
      <w:tr w:rsidR="00A80C95" w:rsidRPr="0070579E" w14:paraId="68FCA544" w14:textId="77777777" w:rsidTr="00C62CAC">
        <w:trPr>
          <w:trHeight w:val="510"/>
          <w:jc w:val="center"/>
        </w:trPr>
        <w:tc>
          <w:tcPr>
            <w:tcW w:w="250" w:type="pct"/>
            <w:hideMark/>
          </w:tcPr>
          <w:p w14:paraId="78051C2D" w14:textId="77777777" w:rsidR="00A80C95" w:rsidRPr="001D6769" w:rsidRDefault="00A80C95" w:rsidP="00C62CAC">
            <w:pPr>
              <w:rPr>
                <w:color w:val="000000"/>
              </w:rPr>
            </w:pPr>
            <w:r w:rsidRPr="001D6769">
              <w:rPr>
                <w:color w:val="000000"/>
              </w:rPr>
              <w:t>2.</w:t>
            </w:r>
          </w:p>
        </w:tc>
        <w:tc>
          <w:tcPr>
            <w:tcW w:w="1341" w:type="pct"/>
            <w:hideMark/>
          </w:tcPr>
          <w:p w14:paraId="7716DAF6" w14:textId="77777777" w:rsidR="00A80C95" w:rsidRPr="001D6769" w:rsidRDefault="00A80C95" w:rsidP="00C62CAC">
            <w:pPr>
              <w:rPr>
                <w:color w:val="000000"/>
              </w:rPr>
            </w:pPr>
            <w:r w:rsidRPr="001D6769">
              <w:rPr>
                <w:color w:val="000000"/>
              </w:rPr>
              <w:t>Tiesiskā regulējuma ietekme uz tautsaimniecību un administratīvo slogu</w:t>
            </w:r>
          </w:p>
        </w:tc>
        <w:tc>
          <w:tcPr>
            <w:tcW w:w="3409" w:type="pct"/>
            <w:hideMark/>
          </w:tcPr>
          <w:p w14:paraId="42DB0FDF" w14:textId="77777777" w:rsidR="00A80C95" w:rsidRPr="00E01818" w:rsidRDefault="00A80C95" w:rsidP="00C62CAC">
            <w:pPr>
              <w:spacing w:after="40"/>
              <w:jc w:val="both"/>
              <w:rPr>
                <w:color w:val="000000"/>
              </w:rPr>
            </w:pPr>
            <w:r w:rsidRPr="0070579E">
              <w:rPr>
                <w:color w:val="000000"/>
              </w:rPr>
              <w:t>Sabiedrības grupām un institūcijām noteikumu projekta tiesiskais regulējums nemaina tiesības un pienākumus, kā arī veicamās darbības; nenosaka papildu administratīvo slogu institūcijām un anotācijas II sadaļas 1.</w:t>
            </w:r>
            <w:r w:rsidR="0093361B">
              <w:rPr>
                <w:color w:val="000000"/>
              </w:rPr>
              <w:t> </w:t>
            </w:r>
            <w:r w:rsidRPr="0070579E">
              <w:rPr>
                <w:color w:val="000000"/>
              </w:rPr>
              <w:t>punktā minētajiem sabiedrības mērķgrupas pārstāvjiem.</w:t>
            </w:r>
          </w:p>
        </w:tc>
      </w:tr>
      <w:tr w:rsidR="00A80C95" w:rsidRPr="0070579E" w14:paraId="710E7A29" w14:textId="77777777" w:rsidTr="00C62CAC">
        <w:trPr>
          <w:trHeight w:val="510"/>
          <w:jc w:val="center"/>
        </w:trPr>
        <w:tc>
          <w:tcPr>
            <w:tcW w:w="250" w:type="pct"/>
            <w:hideMark/>
          </w:tcPr>
          <w:p w14:paraId="3F5D17F1" w14:textId="77777777" w:rsidR="00A80C95" w:rsidRPr="001D6769" w:rsidRDefault="00A80C95" w:rsidP="00C62CAC">
            <w:pPr>
              <w:rPr>
                <w:color w:val="000000"/>
              </w:rPr>
            </w:pPr>
            <w:r>
              <w:rPr>
                <w:color w:val="000000"/>
              </w:rPr>
              <w:t xml:space="preserve"> </w:t>
            </w:r>
          </w:p>
        </w:tc>
        <w:tc>
          <w:tcPr>
            <w:tcW w:w="1341" w:type="pct"/>
            <w:hideMark/>
          </w:tcPr>
          <w:p w14:paraId="716C4427" w14:textId="77777777" w:rsidR="00A80C95" w:rsidRPr="001D6769" w:rsidRDefault="00A80C95" w:rsidP="00C62CAC">
            <w:pPr>
              <w:rPr>
                <w:color w:val="000000"/>
              </w:rPr>
            </w:pPr>
            <w:r w:rsidRPr="001D6769">
              <w:rPr>
                <w:color w:val="000000"/>
              </w:rPr>
              <w:t>Administratīvo izmaksu monetārs novērtējums</w:t>
            </w:r>
          </w:p>
        </w:tc>
        <w:tc>
          <w:tcPr>
            <w:tcW w:w="3409" w:type="pct"/>
            <w:hideMark/>
          </w:tcPr>
          <w:p w14:paraId="617F7092" w14:textId="77777777" w:rsidR="00A80C95" w:rsidRPr="0070579E" w:rsidRDefault="00A80C95" w:rsidP="00C62CAC">
            <w:pPr>
              <w:spacing w:after="60"/>
              <w:ind w:firstLine="113"/>
              <w:rPr>
                <w:color w:val="000000"/>
              </w:rPr>
            </w:pPr>
            <w:r w:rsidRPr="0070579E">
              <w:rPr>
                <w:color w:val="000000"/>
              </w:rPr>
              <w:t>Projekts šo jomu neskar.</w:t>
            </w:r>
          </w:p>
        </w:tc>
      </w:tr>
      <w:tr w:rsidR="00A80C95" w:rsidRPr="0070579E" w14:paraId="43728A72" w14:textId="77777777" w:rsidTr="00C62CAC">
        <w:trPr>
          <w:trHeight w:val="345"/>
          <w:jc w:val="center"/>
        </w:trPr>
        <w:tc>
          <w:tcPr>
            <w:tcW w:w="250" w:type="pct"/>
            <w:hideMark/>
          </w:tcPr>
          <w:p w14:paraId="53717107" w14:textId="77777777" w:rsidR="00A80C95" w:rsidRPr="001D6769" w:rsidRDefault="00A80C95" w:rsidP="00C62CAC">
            <w:pPr>
              <w:rPr>
                <w:color w:val="000000"/>
              </w:rPr>
            </w:pPr>
            <w:r w:rsidRPr="001D6769">
              <w:rPr>
                <w:color w:val="000000"/>
              </w:rPr>
              <w:t>4.</w:t>
            </w:r>
          </w:p>
        </w:tc>
        <w:tc>
          <w:tcPr>
            <w:tcW w:w="1341" w:type="pct"/>
            <w:hideMark/>
          </w:tcPr>
          <w:p w14:paraId="4209F661" w14:textId="77777777" w:rsidR="00A80C95" w:rsidRPr="001D6769" w:rsidRDefault="00A80C95" w:rsidP="00C62CAC">
            <w:pPr>
              <w:rPr>
                <w:color w:val="000000"/>
              </w:rPr>
            </w:pPr>
            <w:r w:rsidRPr="001D6769">
              <w:rPr>
                <w:color w:val="000000"/>
              </w:rPr>
              <w:t>Cita informācija</w:t>
            </w:r>
          </w:p>
        </w:tc>
        <w:tc>
          <w:tcPr>
            <w:tcW w:w="3409" w:type="pct"/>
            <w:hideMark/>
          </w:tcPr>
          <w:p w14:paraId="133DC31A" w14:textId="77777777" w:rsidR="00A80C95" w:rsidRPr="00D1694C" w:rsidRDefault="00A80C95" w:rsidP="00C62CAC">
            <w:pPr>
              <w:pStyle w:val="BodyTextIndent2"/>
              <w:spacing w:after="60" w:line="240" w:lineRule="auto"/>
              <w:ind w:left="0" w:firstLine="113"/>
              <w:jc w:val="both"/>
              <w:rPr>
                <w:color w:val="000000"/>
                <w:sz w:val="22"/>
                <w:szCs w:val="22"/>
                <w:lang w:val="lv-LV"/>
              </w:rPr>
            </w:pPr>
            <w:r w:rsidRPr="00D1694C">
              <w:rPr>
                <w:color w:val="000000"/>
                <w:sz w:val="22"/>
                <w:szCs w:val="22"/>
                <w:lang w:val="lv-LV"/>
              </w:rPr>
              <w:t>Nav</w:t>
            </w:r>
          </w:p>
        </w:tc>
      </w:tr>
    </w:tbl>
    <w:p w14:paraId="58449D24" w14:textId="77777777" w:rsidR="00615FB9" w:rsidRPr="00B40033" w:rsidRDefault="00615FB9" w:rsidP="00B40033">
      <w:pPr>
        <w:shd w:val="clear" w:color="auto" w:fill="FFFFFF"/>
        <w:rPr>
          <w:color w:val="414142"/>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807"/>
        <w:gridCol w:w="6081"/>
      </w:tblGrid>
      <w:tr w:rsidR="00A80C95" w:rsidRPr="008D1F41" w14:paraId="3DA7A13C" w14:textId="77777777" w:rsidTr="00C62CAC">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4D4046" w14:textId="77777777" w:rsidR="00A80C95" w:rsidRPr="008D1F41" w:rsidRDefault="00A80C95" w:rsidP="00C62CAC">
            <w:pPr>
              <w:pStyle w:val="tvhtml"/>
              <w:spacing w:before="0" w:beforeAutospacing="0" w:after="0" w:afterAutospacing="0"/>
              <w:jc w:val="center"/>
              <w:rPr>
                <w:b/>
                <w:bCs/>
                <w:color w:val="000000"/>
              </w:rPr>
            </w:pPr>
            <w:r w:rsidRPr="008D1F41">
              <w:rPr>
                <w:b/>
                <w:bCs/>
                <w:color w:val="000000"/>
              </w:rPr>
              <w:t>VI. Sabiedrības līdzdalība un komunikācijas aktivitātes</w:t>
            </w:r>
          </w:p>
        </w:tc>
      </w:tr>
      <w:tr w:rsidR="00A80C95" w:rsidRPr="008D1F41" w14:paraId="58B3752E" w14:textId="77777777" w:rsidTr="00C62CAC">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62E15289" w14:textId="77777777" w:rsidR="00A80C95" w:rsidRPr="008D1F41" w:rsidRDefault="00A80C95" w:rsidP="00C62CAC">
            <w:pPr>
              <w:rPr>
                <w:color w:val="000000"/>
              </w:rPr>
            </w:pPr>
            <w:bookmarkStart w:id="2" w:name="_GoBack"/>
            <w:r w:rsidRPr="008D1F41">
              <w:rPr>
                <w:color w:val="000000"/>
              </w:rPr>
              <w:t>1</w:t>
            </w:r>
            <w:bookmarkEnd w:id="2"/>
            <w:r w:rsidRPr="008D1F41">
              <w:rPr>
                <w:color w:val="000000"/>
              </w:rPr>
              <w:t>.</w:t>
            </w:r>
          </w:p>
        </w:tc>
        <w:tc>
          <w:tcPr>
            <w:tcW w:w="1500" w:type="pct"/>
            <w:tcBorders>
              <w:top w:val="outset" w:sz="6" w:space="0" w:color="414142"/>
              <w:left w:val="outset" w:sz="6" w:space="0" w:color="414142"/>
              <w:bottom w:val="outset" w:sz="6" w:space="0" w:color="414142"/>
              <w:right w:val="outset" w:sz="6" w:space="0" w:color="414142"/>
            </w:tcBorders>
            <w:hideMark/>
          </w:tcPr>
          <w:p w14:paraId="79284681" w14:textId="77777777" w:rsidR="00A80C95" w:rsidRPr="008D1F41" w:rsidRDefault="00A80C95" w:rsidP="00C62CAC">
            <w:pPr>
              <w:rPr>
                <w:color w:val="000000"/>
              </w:rPr>
            </w:pPr>
            <w:r w:rsidRPr="008D1F41">
              <w:rPr>
                <w:color w:val="000000"/>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925C2EB" w14:textId="77777777" w:rsidR="00A80C95" w:rsidRPr="008D1F41" w:rsidRDefault="0093361B" w:rsidP="00FD0BDD">
            <w:pPr>
              <w:pStyle w:val="naiskr"/>
              <w:spacing w:before="0" w:after="0"/>
              <w:jc w:val="both"/>
              <w:rPr>
                <w:color w:val="000000"/>
              </w:rPr>
            </w:pPr>
            <w:r w:rsidRPr="007F76AB">
              <w:t>Saskaņā ar Ministru kabineta 2009.</w:t>
            </w:r>
            <w:r>
              <w:t> </w:t>
            </w:r>
            <w:r w:rsidRPr="007F76AB">
              <w:t>gada 25.</w:t>
            </w:r>
            <w:r>
              <w:t> </w:t>
            </w:r>
            <w:r w:rsidRPr="007F76AB">
              <w:t>augusta noteikumu Nr.</w:t>
            </w:r>
            <w:r>
              <w:t> </w:t>
            </w:r>
            <w:r w:rsidRPr="007F76AB">
              <w:t>970 „Sabiedrības līdzdalības kārtība attīstības plānošanas procesā” 7.4.</w:t>
            </w:r>
            <w:r w:rsidRPr="007F76AB">
              <w:rPr>
                <w:vertAlign w:val="superscript"/>
              </w:rPr>
              <w:t>1</w:t>
            </w:r>
            <w:r>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w:t>
            </w:r>
            <w:r w:rsidRPr="007F76AB">
              <w:lastRenderedPageBreak/>
              <w:t xml:space="preserve">procesu </w:t>
            </w:r>
            <w:r>
              <w:t xml:space="preserve">Vides aizsardzības un reģionālās attīstības </w:t>
            </w:r>
            <w:r w:rsidRPr="007F76AB">
              <w:t>ministrijas tīmekļa vietnē.</w:t>
            </w:r>
          </w:p>
        </w:tc>
      </w:tr>
      <w:tr w:rsidR="00A80C95" w:rsidRPr="008D1F41" w14:paraId="3CF7392C" w14:textId="77777777" w:rsidTr="00C62CAC">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77A34E4F" w14:textId="77777777" w:rsidR="00A80C95" w:rsidRPr="008D1F41" w:rsidRDefault="00A80C95" w:rsidP="00C62CAC">
            <w:pPr>
              <w:rPr>
                <w:color w:val="000000"/>
              </w:rPr>
            </w:pPr>
            <w:r w:rsidRPr="008D1F41">
              <w:rPr>
                <w:color w:val="000000"/>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4F001C6B" w14:textId="77777777" w:rsidR="00A80C95" w:rsidRPr="008D1F41" w:rsidRDefault="00A80C95" w:rsidP="00C62CAC">
            <w:pPr>
              <w:rPr>
                <w:color w:val="000000"/>
              </w:rPr>
            </w:pPr>
            <w:r w:rsidRPr="008D1F41">
              <w:rPr>
                <w:color w:val="000000"/>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24F081E" w14:textId="77777777" w:rsidR="00A80C95" w:rsidRPr="008D1F41" w:rsidRDefault="00A80C95" w:rsidP="00C62CAC">
            <w:pPr>
              <w:rPr>
                <w:color w:val="000000"/>
              </w:rPr>
            </w:pPr>
            <w:r w:rsidRPr="008D1F41">
              <w:rPr>
                <w:color w:val="000000"/>
              </w:rPr>
              <w:t>Noteikumu projekts publicēts Vides aizsardzības un reģionālās attīstības tīmekļa vietnē</w:t>
            </w:r>
            <w:r w:rsidR="006A00D2">
              <w:rPr>
                <w:color w:val="000000"/>
              </w:rPr>
              <w:t xml:space="preserve"> </w:t>
            </w:r>
            <w:hyperlink r:id="rId8" w:history="1">
              <w:r w:rsidR="006A00D2" w:rsidRPr="00474F37">
                <w:rPr>
                  <w:rStyle w:val="Hyperlink"/>
                </w:rPr>
                <w:t>www.varam.gov.lv</w:t>
              </w:r>
            </w:hyperlink>
            <w:r w:rsidR="006A00D2" w:rsidRPr="00474F37">
              <w:t>.</w:t>
            </w:r>
            <w:r w:rsidR="007D0118">
              <w:t xml:space="preserve"> 2016. gada 6. decembrī</w:t>
            </w:r>
            <w:r w:rsidRPr="008D1F41">
              <w:rPr>
                <w:color w:val="000000"/>
              </w:rPr>
              <w:t>.</w:t>
            </w:r>
          </w:p>
        </w:tc>
      </w:tr>
      <w:tr w:rsidR="00A80C95" w:rsidRPr="008D1F41" w14:paraId="71E73BBA" w14:textId="77777777" w:rsidTr="00C62CAC">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3591164" w14:textId="77777777" w:rsidR="00A80C95" w:rsidRPr="008D1F41" w:rsidRDefault="00A80C95" w:rsidP="00C62CAC">
            <w:pPr>
              <w:rPr>
                <w:color w:val="000000"/>
              </w:rPr>
            </w:pPr>
            <w:r w:rsidRPr="008D1F41">
              <w:rPr>
                <w:color w:val="000000"/>
              </w:rPr>
              <w:t>3.</w:t>
            </w:r>
          </w:p>
        </w:tc>
        <w:tc>
          <w:tcPr>
            <w:tcW w:w="1500" w:type="pct"/>
            <w:tcBorders>
              <w:top w:val="outset" w:sz="6" w:space="0" w:color="414142"/>
              <w:left w:val="outset" w:sz="6" w:space="0" w:color="414142"/>
              <w:bottom w:val="outset" w:sz="6" w:space="0" w:color="414142"/>
              <w:right w:val="outset" w:sz="6" w:space="0" w:color="414142"/>
            </w:tcBorders>
            <w:hideMark/>
          </w:tcPr>
          <w:p w14:paraId="3AFD2350" w14:textId="77777777" w:rsidR="00A80C95" w:rsidRPr="008D1F41" w:rsidRDefault="00A80C95" w:rsidP="00C62CAC">
            <w:pPr>
              <w:rPr>
                <w:color w:val="000000"/>
              </w:rPr>
            </w:pPr>
            <w:r w:rsidRPr="008D1F41">
              <w:rPr>
                <w:color w:val="000000"/>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1C4082D1" w14:textId="77777777" w:rsidR="00A80C95" w:rsidRPr="008D1F41" w:rsidRDefault="00187BB4" w:rsidP="00187BB4">
            <w:pPr>
              <w:spacing w:before="40" w:after="40"/>
              <w:rPr>
                <w:color w:val="000000"/>
              </w:rPr>
            </w:pPr>
            <w:r>
              <w:rPr>
                <w:color w:val="000000"/>
              </w:rPr>
              <w:t>Sadaļa tiks precizēta pēc sabiedrības viedokļa saņemšanas.</w:t>
            </w:r>
          </w:p>
        </w:tc>
      </w:tr>
      <w:tr w:rsidR="00A80C95" w:rsidRPr="008D1F41" w14:paraId="1A7EB39A" w14:textId="77777777" w:rsidTr="00C62CAC">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4EEB4A6D" w14:textId="77777777" w:rsidR="00A80C95" w:rsidRPr="008D1F41" w:rsidRDefault="00A80C95" w:rsidP="00C62CAC">
            <w:pPr>
              <w:rPr>
                <w:color w:val="000000"/>
              </w:rPr>
            </w:pPr>
            <w:r w:rsidRPr="008D1F41">
              <w:rPr>
                <w:color w:val="000000"/>
              </w:rPr>
              <w:t>4.</w:t>
            </w:r>
          </w:p>
        </w:tc>
        <w:tc>
          <w:tcPr>
            <w:tcW w:w="1500" w:type="pct"/>
            <w:tcBorders>
              <w:top w:val="outset" w:sz="6" w:space="0" w:color="414142"/>
              <w:left w:val="outset" w:sz="6" w:space="0" w:color="414142"/>
              <w:bottom w:val="outset" w:sz="6" w:space="0" w:color="414142"/>
              <w:right w:val="outset" w:sz="6" w:space="0" w:color="414142"/>
            </w:tcBorders>
            <w:hideMark/>
          </w:tcPr>
          <w:p w14:paraId="33931B2E" w14:textId="77777777" w:rsidR="00A80C95" w:rsidRPr="008D1F41" w:rsidRDefault="00A80C95" w:rsidP="00C62CAC">
            <w:pPr>
              <w:rPr>
                <w:color w:val="000000"/>
              </w:rPr>
            </w:pPr>
            <w:r w:rsidRPr="008D1F41">
              <w:rPr>
                <w:color w:val="000000"/>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D86768C" w14:textId="77777777" w:rsidR="00A80C95" w:rsidRPr="008D1F41" w:rsidRDefault="00A80C95" w:rsidP="00C62CAC">
            <w:pPr>
              <w:pStyle w:val="tvhtml"/>
              <w:spacing w:before="0" w:beforeAutospacing="0" w:after="0" w:afterAutospacing="0"/>
              <w:rPr>
                <w:color w:val="000000"/>
              </w:rPr>
            </w:pPr>
            <w:r w:rsidRPr="008D1F41">
              <w:rPr>
                <w:color w:val="000000"/>
              </w:rPr>
              <w:t>Nav</w:t>
            </w:r>
          </w:p>
        </w:tc>
      </w:tr>
    </w:tbl>
    <w:p w14:paraId="09BCCD27" w14:textId="77777777" w:rsidR="00A80C95" w:rsidRPr="00D56C78" w:rsidRDefault="00A80C95" w:rsidP="00A80C95">
      <w:pPr>
        <w:shd w:val="clear" w:color="auto" w:fill="FFFFFF"/>
        <w:ind w:firstLine="335"/>
        <w:rPr>
          <w:rFonts w:ascii="Arial" w:hAnsi="Arial" w:cs="Arial"/>
          <w:color w:val="414142"/>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FC55CA" w:rsidRPr="00C16DB6" w14:paraId="2B5F5388" w14:textId="77777777" w:rsidTr="00C62CAC">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16F91B" w14:textId="77777777" w:rsidR="00A80C95" w:rsidRPr="00C16DB6" w:rsidRDefault="00A80C95" w:rsidP="00C62CAC">
            <w:pPr>
              <w:spacing w:before="100" w:beforeAutospacing="1" w:after="100" w:afterAutospacing="1" w:line="327" w:lineRule="atLeast"/>
              <w:jc w:val="center"/>
              <w:rPr>
                <w:b/>
                <w:bCs/>
              </w:rPr>
            </w:pPr>
            <w:r w:rsidRPr="00C16DB6">
              <w:rPr>
                <w:b/>
                <w:bCs/>
              </w:rPr>
              <w:t>VII. Tiesību akta projekta izpildes nodrošināšana un tās ietekme uz institūcijām</w:t>
            </w:r>
          </w:p>
        </w:tc>
      </w:tr>
      <w:tr w:rsidR="00FC55CA" w:rsidRPr="00C16DB6" w14:paraId="73886CF1" w14:textId="77777777" w:rsidTr="00C62CAC">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03145044" w14:textId="77777777" w:rsidR="00A80C95" w:rsidRPr="00C16DB6" w:rsidRDefault="00A80C95" w:rsidP="00C62CAC">
            <w:pPr>
              <w:spacing w:before="40" w:after="40"/>
            </w:pPr>
            <w:r w:rsidRPr="00C16DB6">
              <w:t>1.</w:t>
            </w:r>
          </w:p>
        </w:tc>
        <w:tc>
          <w:tcPr>
            <w:tcW w:w="1552" w:type="pct"/>
            <w:tcBorders>
              <w:top w:val="outset" w:sz="6" w:space="0" w:color="414142"/>
              <w:left w:val="outset" w:sz="6" w:space="0" w:color="414142"/>
              <w:bottom w:val="outset" w:sz="6" w:space="0" w:color="414142"/>
              <w:right w:val="outset" w:sz="6" w:space="0" w:color="414142"/>
            </w:tcBorders>
            <w:hideMark/>
          </w:tcPr>
          <w:p w14:paraId="3D57FB99" w14:textId="77777777" w:rsidR="00A80C95" w:rsidRPr="001A07EA" w:rsidRDefault="00A80C95" w:rsidP="00C62CAC">
            <w:pPr>
              <w:spacing w:before="40" w:after="40"/>
            </w:pPr>
            <w:r w:rsidRPr="001A07EA">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735BED94" w14:textId="77777777" w:rsidR="00A80C95" w:rsidRPr="001A07EA" w:rsidRDefault="00A80C95" w:rsidP="00C62CAC">
            <w:pPr>
              <w:pStyle w:val="naisnod"/>
              <w:numPr>
                <w:ilvl w:val="0"/>
                <w:numId w:val="7"/>
              </w:numPr>
              <w:spacing w:before="40" w:after="40"/>
              <w:ind w:left="227" w:hanging="227"/>
              <w:jc w:val="both"/>
            </w:pPr>
            <w:r w:rsidRPr="001A07EA">
              <w:rPr>
                <w:b w:val="0"/>
              </w:rPr>
              <w:t>Valsts sabiedrība ar ierobežotu atbildību „Latvijas Vides, ģeoloģijas un meteoroloģijas centrs”.</w:t>
            </w:r>
          </w:p>
          <w:p w14:paraId="28B6452C" w14:textId="77777777" w:rsidR="001A07EA" w:rsidRPr="001A07EA" w:rsidRDefault="001A07EA" w:rsidP="00C62CAC">
            <w:pPr>
              <w:pStyle w:val="naisnod"/>
              <w:numPr>
                <w:ilvl w:val="0"/>
                <w:numId w:val="7"/>
              </w:numPr>
              <w:spacing w:before="40" w:after="40"/>
              <w:ind w:left="227" w:hanging="227"/>
              <w:jc w:val="both"/>
            </w:pPr>
            <w:r w:rsidRPr="001A07EA">
              <w:rPr>
                <w:b w:val="0"/>
              </w:rPr>
              <w:t>Valsts Vides dienests</w:t>
            </w:r>
          </w:p>
        </w:tc>
      </w:tr>
      <w:tr w:rsidR="00FC55CA" w:rsidRPr="00C16DB6" w14:paraId="23A8C07D" w14:textId="77777777" w:rsidTr="00C62CAC">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3C85016" w14:textId="77777777" w:rsidR="00A80C95" w:rsidRPr="00C16DB6" w:rsidRDefault="00A80C95" w:rsidP="00C62CAC">
            <w:pPr>
              <w:spacing w:before="40" w:after="40"/>
            </w:pPr>
            <w:r w:rsidRPr="00C16DB6">
              <w:t>2.</w:t>
            </w:r>
          </w:p>
        </w:tc>
        <w:tc>
          <w:tcPr>
            <w:tcW w:w="1552" w:type="pct"/>
            <w:tcBorders>
              <w:top w:val="outset" w:sz="6" w:space="0" w:color="414142"/>
              <w:left w:val="outset" w:sz="6" w:space="0" w:color="414142"/>
              <w:bottom w:val="outset" w:sz="6" w:space="0" w:color="414142"/>
              <w:right w:val="outset" w:sz="6" w:space="0" w:color="414142"/>
            </w:tcBorders>
            <w:hideMark/>
          </w:tcPr>
          <w:p w14:paraId="46B5439E" w14:textId="77777777" w:rsidR="00A80C95" w:rsidRPr="00085EA5" w:rsidRDefault="00A80C95" w:rsidP="00C62CAC">
            <w:pPr>
              <w:spacing w:before="40" w:after="40"/>
            </w:pPr>
            <w:r w:rsidRPr="00085EA5">
              <w:t>Projekta izpildes ietekme uz pārvaldes funkcijām un institucionālo struktūru.</w:t>
            </w:r>
          </w:p>
          <w:p w14:paraId="32EFE642" w14:textId="77777777" w:rsidR="00A80C95" w:rsidRPr="00085EA5" w:rsidRDefault="00A80C95" w:rsidP="00C62CAC">
            <w:pPr>
              <w:spacing w:before="40" w:after="40"/>
            </w:pPr>
            <w:r w:rsidRPr="00085EA5">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14:paraId="38612DFF" w14:textId="77777777" w:rsidR="00085EA5" w:rsidRPr="00085EA5" w:rsidRDefault="00085EA5" w:rsidP="00C62CAC">
            <w:pPr>
              <w:spacing w:before="40" w:after="40"/>
              <w:jc w:val="both"/>
            </w:pPr>
            <w:r w:rsidRPr="00085EA5">
              <w:t>Nav paredzama noteikumu projekta ietekme uz valsts pārvaldes funkcijām.</w:t>
            </w:r>
          </w:p>
          <w:p w14:paraId="032E5613" w14:textId="77777777" w:rsidR="00A80C95" w:rsidRPr="00085EA5" w:rsidRDefault="00A80C95" w:rsidP="00C62CAC">
            <w:pPr>
              <w:spacing w:before="40" w:after="40"/>
              <w:jc w:val="both"/>
            </w:pPr>
            <w:r w:rsidRPr="00085EA5">
              <w:t>Saskaņā ar noteikumu projektu netiek plānota jauna institūciju izveide, esošo institūciju likvidācija vai reorganizācijā, kā arī netiek prognozēta ietekme uz institūcijas cilvēkresursiem.</w:t>
            </w:r>
          </w:p>
        </w:tc>
      </w:tr>
      <w:tr w:rsidR="00FC55CA" w:rsidRPr="00C16DB6" w14:paraId="0EB07EB2" w14:textId="77777777" w:rsidTr="00C62CAC">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BED4DFC" w14:textId="77777777" w:rsidR="00A80C95" w:rsidRPr="00C16DB6" w:rsidRDefault="00A80C95" w:rsidP="00C62CAC">
            <w:pPr>
              <w:spacing w:before="40" w:after="40"/>
            </w:pPr>
            <w:r w:rsidRPr="00C16DB6">
              <w:t>3.</w:t>
            </w:r>
          </w:p>
        </w:tc>
        <w:tc>
          <w:tcPr>
            <w:tcW w:w="1552" w:type="pct"/>
            <w:tcBorders>
              <w:top w:val="outset" w:sz="6" w:space="0" w:color="414142"/>
              <w:left w:val="outset" w:sz="6" w:space="0" w:color="414142"/>
              <w:bottom w:val="outset" w:sz="6" w:space="0" w:color="414142"/>
              <w:right w:val="outset" w:sz="6" w:space="0" w:color="414142"/>
            </w:tcBorders>
            <w:hideMark/>
          </w:tcPr>
          <w:p w14:paraId="79D58D77" w14:textId="77777777" w:rsidR="00A80C95" w:rsidRPr="00C16DB6" w:rsidRDefault="00A80C95" w:rsidP="00C62CAC">
            <w:pPr>
              <w:spacing w:before="40" w:after="40"/>
            </w:pPr>
            <w:r w:rsidRPr="00C16DB6">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10A11508" w14:textId="77777777" w:rsidR="00A80C95" w:rsidRPr="00C16DB6" w:rsidRDefault="00A80C95" w:rsidP="00C62CAC">
            <w:pPr>
              <w:spacing w:before="40" w:after="40"/>
            </w:pPr>
            <w:r w:rsidRPr="00C16DB6">
              <w:t>Nav</w:t>
            </w:r>
          </w:p>
        </w:tc>
      </w:tr>
    </w:tbl>
    <w:p w14:paraId="23F91B47" w14:textId="77777777" w:rsidR="00A80C95" w:rsidRDefault="00A80C95" w:rsidP="00A80C95">
      <w:pPr>
        <w:pStyle w:val="naisf"/>
        <w:spacing w:before="0" w:after="0"/>
        <w:ind w:firstLine="0"/>
        <w:rPr>
          <w:b/>
          <w:sz w:val="28"/>
          <w:szCs w:val="28"/>
        </w:rPr>
      </w:pPr>
    </w:p>
    <w:p w14:paraId="1065ED5B" w14:textId="77777777" w:rsidR="00CA1D46" w:rsidRDefault="00CA1D46" w:rsidP="00A80C95">
      <w:pPr>
        <w:pStyle w:val="naisf"/>
        <w:spacing w:before="0" w:after="0"/>
        <w:ind w:firstLine="0"/>
        <w:jc w:val="center"/>
        <w:rPr>
          <w:b/>
          <w:color w:val="000000"/>
        </w:rPr>
      </w:pPr>
    </w:p>
    <w:p w14:paraId="26983781" w14:textId="24AA64ED" w:rsidR="00A80C95" w:rsidRPr="00F72915" w:rsidRDefault="00A80C95" w:rsidP="00A80C95">
      <w:pPr>
        <w:pStyle w:val="naisf"/>
        <w:spacing w:before="0" w:after="0"/>
        <w:ind w:firstLine="0"/>
        <w:jc w:val="center"/>
        <w:rPr>
          <w:b/>
          <w:color w:val="000000"/>
        </w:rPr>
      </w:pPr>
      <w:r w:rsidRPr="006F45B3">
        <w:rPr>
          <w:b/>
          <w:color w:val="000000"/>
        </w:rPr>
        <w:t xml:space="preserve">Anotācijas </w:t>
      </w:r>
      <w:r w:rsidR="00A00824" w:rsidRPr="006F45B3">
        <w:rPr>
          <w:b/>
          <w:color w:val="000000"/>
        </w:rPr>
        <w:t xml:space="preserve">III, </w:t>
      </w:r>
      <w:r w:rsidR="008B44CF" w:rsidRPr="006F45B3">
        <w:rPr>
          <w:b/>
          <w:color w:val="000000"/>
        </w:rPr>
        <w:t>I</w:t>
      </w:r>
      <w:r w:rsidR="00932FC6" w:rsidRPr="006F45B3">
        <w:rPr>
          <w:b/>
          <w:color w:val="000000"/>
        </w:rPr>
        <w:t>V</w:t>
      </w:r>
      <w:r w:rsidR="009F3006">
        <w:rPr>
          <w:b/>
          <w:color w:val="000000"/>
        </w:rPr>
        <w:t>, V</w:t>
      </w:r>
      <w:r w:rsidRPr="006F45B3">
        <w:rPr>
          <w:b/>
          <w:color w:val="000000"/>
        </w:rPr>
        <w:t xml:space="preserve"> sadaļa – projekts šo jomu neskar</w:t>
      </w:r>
    </w:p>
    <w:p w14:paraId="389618FE" w14:textId="77777777" w:rsidR="00A80C95" w:rsidRDefault="00A80C95" w:rsidP="00A80C95">
      <w:pPr>
        <w:pStyle w:val="naisf"/>
        <w:tabs>
          <w:tab w:val="left" w:pos="6804"/>
        </w:tabs>
        <w:spacing w:before="0" w:after="0"/>
        <w:ind w:firstLine="0"/>
        <w:rPr>
          <w:sz w:val="28"/>
          <w:szCs w:val="28"/>
          <w:highlight w:val="yellow"/>
        </w:rPr>
      </w:pPr>
    </w:p>
    <w:p w14:paraId="314F6AE4" w14:textId="77777777" w:rsidR="00CA1D46" w:rsidRPr="008B44CF" w:rsidRDefault="00CA1D46" w:rsidP="00A80C95">
      <w:pPr>
        <w:pStyle w:val="naisf"/>
        <w:tabs>
          <w:tab w:val="left" w:pos="6804"/>
        </w:tabs>
        <w:spacing w:before="0" w:after="0"/>
        <w:ind w:firstLine="0"/>
        <w:rPr>
          <w:sz w:val="28"/>
          <w:szCs w:val="28"/>
          <w:highlight w:val="yellow"/>
        </w:rPr>
      </w:pPr>
    </w:p>
    <w:p w14:paraId="7149ACE6" w14:textId="7F6A0D9A" w:rsidR="001D4A9E" w:rsidRPr="001D4A9E" w:rsidRDefault="001D4A9E" w:rsidP="001D4A9E">
      <w:pPr>
        <w:jc w:val="both"/>
        <w:rPr>
          <w:sz w:val="28"/>
          <w:szCs w:val="28"/>
        </w:rPr>
      </w:pPr>
      <w:r w:rsidRPr="001D4A9E">
        <w:rPr>
          <w:sz w:val="28"/>
          <w:szCs w:val="28"/>
        </w:rPr>
        <w:t>Ministru prezidents</w:t>
      </w:r>
      <w:r w:rsidRPr="001D4A9E">
        <w:rPr>
          <w:sz w:val="28"/>
          <w:szCs w:val="28"/>
        </w:rPr>
        <w:tab/>
      </w:r>
      <w:r w:rsidRPr="001D4A9E">
        <w:rPr>
          <w:sz w:val="28"/>
          <w:szCs w:val="28"/>
        </w:rPr>
        <w:tab/>
      </w:r>
      <w:r w:rsidRPr="001D4A9E">
        <w:rPr>
          <w:sz w:val="28"/>
          <w:szCs w:val="28"/>
        </w:rPr>
        <w:tab/>
      </w:r>
      <w:r w:rsidRPr="001D4A9E">
        <w:rPr>
          <w:sz w:val="28"/>
          <w:szCs w:val="28"/>
        </w:rPr>
        <w:tab/>
      </w:r>
      <w:r w:rsidRPr="001D4A9E">
        <w:rPr>
          <w:sz w:val="28"/>
          <w:szCs w:val="28"/>
        </w:rPr>
        <w:tab/>
      </w:r>
      <w:r w:rsidRPr="001D4A9E">
        <w:rPr>
          <w:sz w:val="28"/>
          <w:szCs w:val="28"/>
        </w:rPr>
        <w:tab/>
      </w:r>
      <w:r w:rsidRPr="001D4A9E">
        <w:rPr>
          <w:sz w:val="28"/>
          <w:szCs w:val="28"/>
        </w:rPr>
        <w:tab/>
        <w:t>M.</w:t>
      </w:r>
      <w:r w:rsidR="009A0702">
        <w:t> </w:t>
      </w:r>
      <w:r w:rsidRPr="001D4A9E">
        <w:rPr>
          <w:sz w:val="28"/>
          <w:szCs w:val="28"/>
        </w:rPr>
        <w:t>Kučinskis</w:t>
      </w:r>
    </w:p>
    <w:p w14:paraId="1E6898CA" w14:textId="77777777" w:rsidR="00A80C95" w:rsidRPr="008B44CF" w:rsidRDefault="00A80C95" w:rsidP="00A80C95">
      <w:pPr>
        <w:pStyle w:val="naisf"/>
        <w:tabs>
          <w:tab w:val="left" w:pos="6804"/>
        </w:tabs>
        <w:spacing w:before="0" w:after="0"/>
        <w:ind w:firstLine="0"/>
        <w:rPr>
          <w:sz w:val="28"/>
          <w:szCs w:val="28"/>
        </w:rPr>
      </w:pPr>
      <w:r w:rsidRPr="008B44CF">
        <w:rPr>
          <w:sz w:val="28"/>
          <w:szCs w:val="28"/>
        </w:rPr>
        <w:tab/>
      </w:r>
    </w:p>
    <w:p w14:paraId="2DBA320F" w14:textId="77777777" w:rsidR="00A80C95" w:rsidRPr="008B44CF" w:rsidRDefault="00A80C95" w:rsidP="00A80C95">
      <w:pPr>
        <w:pStyle w:val="naisf"/>
        <w:tabs>
          <w:tab w:val="left" w:pos="6804"/>
        </w:tabs>
        <w:spacing w:before="0" w:after="0"/>
        <w:ind w:firstLine="0"/>
        <w:rPr>
          <w:sz w:val="28"/>
          <w:szCs w:val="28"/>
        </w:rPr>
      </w:pPr>
      <w:r w:rsidRPr="008B44CF">
        <w:rPr>
          <w:sz w:val="28"/>
          <w:szCs w:val="28"/>
        </w:rPr>
        <w:t xml:space="preserve">Iesniedzējs: </w:t>
      </w:r>
    </w:p>
    <w:p w14:paraId="5B1F3786" w14:textId="77777777" w:rsidR="00A80C95" w:rsidRPr="008B44CF" w:rsidRDefault="00A80C95" w:rsidP="00A80C95">
      <w:pPr>
        <w:pStyle w:val="naisf"/>
        <w:tabs>
          <w:tab w:val="left" w:pos="6804"/>
        </w:tabs>
        <w:spacing w:before="0" w:after="0"/>
        <w:ind w:firstLine="0"/>
        <w:rPr>
          <w:sz w:val="28"/>
          <w:szCs w:val="28"/>
        </w:rPr>
      </w:pPr>
      <w:r w:rsidRPr="008B44CF">
        <w:rPr>
          <w:sz w:val="28"/>
          <w:szCs w:val="28"/>
        </w:rPr>
        <w:t>vides aizsardzības un reģionālās</w:t>
      </w:r>
    </w:p>
    <w:p w14:paraId="57A1F3DC" w14:textId="77777777" w:rsidR="00A80C95" w:rsidRPr="008B44CF" w:rsidRDefault="00A80C95" w:rsidP="00A80C95">
      <w:pPr>
        <w:pStyle w:val="naisf"/>
        <w:tabs>
          <w:tab w:val="left" w:pos="6804"/>
        </w:tabs>
        <w:spacing w:before="0" w:after="0"/>
        <w:ind w:firstLine="0"/>
        <w:rPr>
          <w:sz w:val="28"/>
          <w:szCs w:val="28"/>
        </w:rPr>
      </w:pPr>
      <w:r w:rsidRPr="008B44CF">
        <w:rPr>
          <w:sz w:val="28"/>
          <w:szCs w:val="28"/>
        </w:rPr>
        <w:t>attīstības ministrs</w:t>
      </w:r>
      <w:r w:rsidRPr="008B44CF">
        <w:rPr>
          <w:sz w:val="28"/>
          <w:szCs w:val="28"/>
        </w:rPr>
        <w:tab/>
      </w:r>
      <w:r w:rsidRPr="008B44CF">
        <w:rPr>
          <w:sz w:val="28"/>
          <w:szCs w:val="28"/>
        </w:rPr>
        <w:tab/>
        <w:t>K. Gerhards</w:t>
      </w:r>
    </w:p>
    <w:p w14:paraId="7B151323" w14:textId="77777777" w:rsidR="00A80C95" w:rsidRPr="008B44CF" w:rsidRDefault="00A80C95" w:rsidP="00A80C95">
      <w:pPr>
        <w:pStyle w:val="ListParagraph"/>
        <w:spacing w:after="0" w:line="240" w:lineRule="auto"/>
        <w:ind w:left="0"/>
        <w:jc w:val="both"/>
        <w:rPr>
          <w:rFonts w:ascii="Times New Roman" w:hAnsi="Times New Roman"/>
          <w:sz w:val="28"/>
          <w:szCs w:val="28"/>
        </w:rPr>
      </w:pPr>
    </w:p>
    <w:p w14:paraId="728C2C35" w14:textId="77777777" w:rsidR="00A80C95" w:rsidRPr="008B44CF" w:rsidRDefault="00A80C95" w:rsidP="00A80C95">
      <w:pPr>
        <w:pStyle w:val="ListParagraph"/>
        <w:spacing w:after="0" w:line="240" w:lineRule="auto"/>
        <w:ind w:left="0"/>
        <w:jc w:val="both"/>
        <w:rPr>
          <w:rFonts w:ascii="Times New Roman" w:hAnsi="Times New Roman"/>
          <w:sz w:val="28"/>
          <w:szCs w:val="28"/>
        </w:rPr>
      </w:pPr>
    </w:p>
    <w:p w14:paraId="0688EF42" w14:textId="77777777" w:rsidR="00A80C95" w:rsidRPr="008B44CF" w:rsidRDefault="00A80C95" w:rsidP="00A80C95">
      <w:pPr>
        <w:pStyle w:val="ListParagraph"/>
        <w:spacing w:after="0" w:line="240" w:lineRule="auto"/>
        <w:ind w:left="0"/>
        <w:jc w:val="both"/>
        <w:rPr>
          <w:rFonts w:ascii="Times New Roman" w:hAnsi="Times New Roman"/>
          <w:sz w:val="28"/>
          <w:szCs w:val="28"/>
        </w:rPr>
      </w:pPr>
      <w:r w:rsidRPr="008B44CF">
        <w:rPr>
          <w:rFonts w:ascii="Times New Roman" w:hAnsi="Times New Roman"/>
          <w:sz w:val="28"/>
          <w:szCs w:val="28"/>
        </w:rPr>
        <w:t>Vīza:</w:t>
      </w:r>
    </w:p>
    <w:p w14:paraId="4E4F7025" w14:textId="77777777" w:rsidR="00A80C95" w:rsidRPr="008B44CF" w:rsidRDefault="00A80C95" w:rsidP="00A80C95">
      <w:pPr>
        <w:pStyle w:val="ListParagraph"/>
        <w:tabs>
          <w:tab w:val="left" w:pos="6480"/>
        </w:tabs>
        <w:spacing w:after="0" w:line="240" w:lineRule="auto"/>
        <w:ind w:left="0"/>
        <w:jc w:val="both"/>
        <w:rPr>
          <w:rFonts w:ascii="Times New Roman" w:hAnsi="Times New Roman"/>
          <w:sz w:val="28"/>
          <w:szCs w:val="28"/>
        </w:rPr>
      </w:pPr>
      <w:r w:rsidRPr="008B44CF">
        <w:rPr>
          <w:rFonts w:ascii="Times New Roman" w:hAnsi="Times New Roman"/>
          <w:bCs/>
          <w:sz w:val="28"/>
          <w:szCs w:val="28"/>
        </w:rPr>
        <w:t xml:space="preserve">valsts sekretārs </w:t>
      </w:r>
      <w:r w:rsidRPr="008B44CF">
        <w:rPr>
          <w:rFonts w:ascii="Times New Roman" w:hAnsi="Times New Roman"/>
          <w:bCs/>
          <w:sz w:val="28"/>
          <w:szCs w:val="28"/>
        </w:rPr>
        <w:tab/>
      </w:r>
      <w:r w:rsidRPr="008B44CF">
        <w:rPr>
          <w:rFonts w:ascii="Times New Roman" w:hAnsi="Times New Roman"/>
          <w:bCs/>
          <w:sz w:val="28"/>
          <w:szCs w:val="28"/>
        </w:rPr>
        <w:tab/>
        <w:t>R. Muciņš</w:t>
      </w:r>
    </w:p>
    <w:p w14:paraId="588E2BFC" w14:textId="77777777" w:rsidR="00A80C95" w:rsidRPr="008B44CF" w:rsidRDefault="00A80C95" w:rsidP="00A80C95">
      <w:pPr>
        <w:pStyle w:val="NormalWeb"/>
        <w:spacing w:before="0" w:beforeAutospacing="0" w:after="0" w:afterAutospacing="0"/>
        <w:rPr>
          <w:sz w:val="28"/>
          <w:szCs w:val="28"/>
        </w:rPr>
      </w:pPr>
    </w:p>
    <w:p w14:paraId="7C428F48" w14:textId="77777777" w:rsidR="00A80C95" w:rsidRDefault="00A80C95" w:rsidP="00A80C95">
      <w:pPr>
        <w:pStyle w:val="NormalWeb"/>
        <w:spacing w:before="0" w:beforeAutospacing="0" w:after="0" w:afterAutospacing="0"/>
        <w:rPr>
          <w:highlight w:val="yellow"/>
        </w:rPr>
      </w:pPr>
    </w:p>
    <w:p w14:paraId="2E9667B7" w14:textId="77777777" w:rsidR="00804BB4" w:rsidRDefault="00804BB4" w:rsidP="00A80C95">
      <w:pPr>
        <w:pStyle w:val="NormalWeb"/>
        <w:spacing w:before="0" w:beforeAutospacing="0" w:after="0" w:afterAutospacing="0"/>
      </w:pPr>
      <w:r>
        <w:t>17.01.2017 12:19</w:t>
      </w:r>
    </w:p>
    <w:p w14:paraId="79B9AFE1" w14:textId="5B159632" w:rsidR="00A80C95" w:rsidRPr="00DF69EC" w:rsidRDefault="00706DC3" w:rsidP="00A80C95">
      <w:pPr>
        <w:pStyle w:val="NormalWeb"/>
        <w:spacing w:before="0" w:beforeAutospacing="0" w:after="0" w:afterAutospacing="0"/>
      </w:pPr>
      <w:fldSimple w:instr=" NUMWORDS   \* MERGEFORMAT ">
        <w:r w:rsidR="000D40D1">
          <w:rPr>
            <w:noProof/>
          </w:rPr>
          <w:t>874</w:t>
        </w:r>
      </w:fldSimple>
    </w:p>
    <w:p w14:paraId="639D4D56" w14:textId="77777777" w:rsidR="00A80C95" w:rsidRPr="00DF69EC" w:rsidRDefault="00A80C95" w:rsidP="00A80C95">
      <w:pPr>
        <w:pStyle w:val="NormalWeb"/>
        <w:spacing w:before="0" w:beforeAutospacing="0" w:after="0" w:afterAutospacing="0"/>
      </w:pPr>
      <w:r w:rsidRPr="00DF69EC">
        <w:t>Z. Balode</w:t>
      </w:r>
    </w:p>
    <w:p w14:paraId="14476D79" w14:textId="0CF8647C" w:rsidR="00C867E8" w:rsidRPr="005F7873" w:rsidRDefault="00A80C95" w:rsidP="0047576F">
      <w:pPr>
        <w:pStyle w:val="NormalWeb"/>
        <w:spacing w:before="0" w:beforeAutospacing="0" w:after="0" w:afterAutospacing="0"/>
      </w:pPr>
      <w:r w:rsidRPr="00DF69EC">
        <w:t xml:space="preserve">67026578, </w:t>
      </w:r>
      <w:hyperlink r:id="rId9" w:history="1">
        <w:r w:rsidRPr="00DF69EC">
          <w:rPr>
            <w:rStyle w:val="Hyperlink"/>
          </w:rPr>
          <w:t>zita.balode@varam.gov.lv</w:t>
        </w:r>
      </w:hyperlink>
    </w:p>
    <w:sectPr w:rsidR="00C867E8" w:rsidRPr="005F7873" w:rsidSect="009B178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C692" w14:textId="77777777" w:rsidR="00BE3C74" w:rsidRDefault="00BE3C74">
      <w:r>
        <w:separator/>
      </w:r>
    </w:p>
  </w:endnote>
  <w:endnote w:type="continuationSeparator" w:id="0">
    <w:p w14:paraId="45EDEAB0" w14:textId="77777777" w:rsidR="00BE3C74" w:rsidRDefault="00BE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EF8E" w14:textId="080F6819" w:rsidR="00537C8E" w:rsidRPr="00790510" w:rsidRDefault="00790510" w:rsidP="00790510">
    <w:pPr>
      <w:jc w:val="both"/>
      <w:rPr>
        <w:sz w:val="20"/>
        <w:szCs w:val="20"/>
      </w:rPr>
    </w:pPr>
    <w:r w:rsidRPr="004639EC">
      <w:rPr>
        <w:sz w:val="20"/>
        <w:szCs w:val="20"/>
      </w:rPr>
      <w:t>VARAMAnot_</w:t>
    </w:r>
    <w:r w:rsidR="000D40D1">
      <w:rPr>
        <w:sz w:val="20"/>
        <w:szCs w:val="20"/>
      </w:rPr>
      <w:t>19</w:t>
    </w:r>
    <w:r w:rsidR="005F7873">
      <w:rPr>
        <w:sz w:val="20"/>
        <w:szCs w:val="20"/>
      </w:rPr>
      <w:t>0117</w:t>
    </w:r>
    <w:r w:rsidRPr="004639EC">
      <w:rPr>
        <w:sz w:val="20"/>
        <w:szCs w:val="20"/>
      </w:rPr>
      <w:t>_</w:t>
    </w:r>
    <w:r>
      <w:rPr>
        <w:sz w:val="20"/>
        <w:szCs w:val="20"/>
      </w:rPr>
      <w:t>StatVeidl</w:t>
    </w:r>
    <w:r w:rsidRPr="004639EC">
      <w:rPr>
        <w:sz w:val="20"/>
        <w:szCs w:val="20"/>
      </w:rPr>
      <w:t xml:space="preserve">; </w:t>
    </w:r>
    <w:r w:rsidRPr="00790510">
      <w:rPr>
        <w:sz w:val="20"/>
        <w:szCs w:val="20"/>
      </w:rPr>
      <w:t>Ministru kabineta noteikumu projekta „ Noteikumi par vides aizsardzības valsts statistikas pārskata veidlapām”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B1E9" w14:textId="4CC3785C" w:rsidR="00537C8E" w:rsidRPr="009273B4" w:rsidRDefault="00537C8E" w:rsidP="009273B4">
    <w:pPr>
      <w:jc w:val="both"/>
      <w:rPr>
        <w:sz w:val="20"/>
        <w:szCs w:val="20"/>
      </w:rPr>
    </w:pPr>
    <w:r w:rsidRPr="004639EC">
      <w:rPr>
        <w:sz w:val="20"/>
        <w:szCs w:val="20"/>
      </w:rPr>
      <w:t>VARAMAnot_</w:t>
    </w:r>
    <w:r w:rsidR="000D40D1">
      <w:rPr>
        <w:sz w:val="20"/>
        <w:szCs w:val="20"/>
      </w:rPr>
      <w:t>19</w:t>
    </w:r>
    <w:r w:rsidR="005F7873">
      <w:rPr>
        <w:sz w:val="20"/>
        <w:szCs w:val="20"/>
      </w:rPr>
      <w:t>0117</w:t>
    </w:r>
    <w:r w:rsidRPr="004639EC">
      <w:rPr>
        <w:sz w:val="20"/>
        <w:szCs w:val="20"/>
      </w:rPr>
      <w:t>_</w:t>
    </w:r>
    <w:r w:rsidR="00790510">
      <w:rPr>
        <w:sz w:val="20"/>
        <w:szCs w:val="20"/>
      </w:rPr>
      <w:t>StatVeidl</w:t>
    </w:r>
    <w:r w:rsidRPr="004639EC">
      <w:rPr>
        <w:sz w:val="20"/>
        <w:szCs w:val="20"/>
      </w:rPr>
      <w:t xml:space="preserve">; </w:t>
    </w:r>
    <w:r w:rsidR="00790510" w:rsidRPr="00790510">
      <w:rPr>
        <w:sz w:val="20"/>
        <w:szCs w:val="20"/>
      </w:rPr>
      <w:t>Ministru kabineta noteikumu projekta „ Noteikumi par vides aizsardzības valsts statistikas pārskata veidlapām”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2518" w14:textId="77777777" w:rsidR="00BE3C74" w:rsidRDefault="00BE3C74">
      <w:r>
        <w:separator/>
      </w:r>
    </w:p>
  </w:footnote>
  <w:footnote w:type="continuationSeparator" w:id="0">
    <w:p w14:paraId="3E19CA47" w14:textId="77777777" w:rsidR="00BE3C74" w:rsidRDefault="00BE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9695" w14:textId="77777777" w:rsidR="00537C8E" w:rsidRDefault="00827BA3" w:rsidP="009B1784">
    <w:pPr>
      <w:pStyle w:val="Header"/>
      <w:framePr w:wrap="around" w:vAnchor="text" w:hAnchor="margin" w:xAlign="center" w:y="1"/>
      <w:rPr>
        <w:rStyle w:val="PageNumber"/>
      </w:rPr>
    </w:pPr>
    <w:r>
      <w:rPr>
        <w:rStyle w:val="PageNumber"/>
      </w:rPr>
      <w:fldChar w:fldCharType="begin"/>
    </w:r>
    <w:r w:rsidR="00537C8E">
      <w:rPr>
        <w:rStyle w:val="PageNumber"/>
      </w:rPr>
      <w:instrText xml:space="preserve">PAGE  </w:instrText>
    </w:r>
    <w:r>
      <w:rPr>
        <w:rStyle w:val="PageNumber"/>
      </w:rPr>
      <w:fldChar w:fldCharType="end"/>
    </w:r>
  </w:p>
  <w:p w14:paraId="2683D22F" w14:textId="77777777" w:rsidR="00537C8E" w:rsidRDefault="00537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7EB4" w14:textId="77777777" w:rsidR="00537C8E" w:rsidRDefault="00827BA3" w:rsidP="009B1784">
    <w:pPr>
      <w:pStyle w:val="Header"/>
      <w:framePr w:wrap="around" w:vAnchor="text" w:hAnchor="margin" w:xAlign="center" w:y="1"/>
      <w:rPr>
        <w:rStyle w:val="PageNumber"/>
      </w:rPr>
    </w:pPr>
    <w:r>
      <w:rPr>
        <w:rStyle w:val="PageNumber"/>
      </w:rPr>
      <w:fldChar w:fldCharType="begin"/>
    </w:r>
    <w:r w:rsidR="00537C8E">
      <w:rPr>
        <w:rStyle w:val="PageNumber"/>
      </w:rPr>
      <w:instrText xml:space="preserve">PAGE  </w:instrText>
    </w:r>
    <w:r>
      <w:rPr>
        <w:rStyle w:val="PageNumber"/>
      </w:rPr>
      <w:fldChar w:fldCharType="separate"/>
    </w:r>
    <w:r w:rsidR="000D40D1">
      <w:rPr>
        <w:rStyle w:val="PageNumber"/>
        <w:noProof/>
      </w:rPr>
      <w:t>3</w:t>
    </w:r>
    <w:r>
      <w:rPr>
        <w:rStyle w:val="PageNumber"/>
      </w:rPr>
      <w:fldChar w:fldCharType="end"/>
    </w:r>
  </w:p>
  <w:p w14:paraId="52CF88BF" w14:textId="77777777" w:rsidR="00537C8E" w:rsidRPr="00BE0B3D" w:rsidRDefault="00537C8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8C367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8F2D23"/>
    <w:multiLevelType w:val="hybridMultilevel"/>
    <w:tmpl w:val="AF0A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D153A"/>
    <w:multiLevelType w:val="hybridMultilevel"/>
    <w:tmpl w:val="14463D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5CE195D"/>
    <w:multiLevelType w:val="hybridMultilevel"/>
    <w:tmpl w:val="82289CA8"/>
    <w:lvl w:ilvl="0" w:tplc="D53882E0">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cs="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cs="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cs="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4" w15:restartNumberingAfterBreak="0">
    <w:nsid w:val="28E931BF"/>
    <w:multiLevelType w:val="hybridMultilevel"/>
    <w:tmpl w:val="67AA60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EB0279C"/>
    <w:multiLevelType w:val="hybridMultilevel"/>
    <w:tmpl w:val="7A5479B6"/>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6" w15:restartNumberingAfterBreak="0">
    <w:nsid w:val="40C919C9"/>
    <w:multiLevelType w:val="hybridMultilevel"/>
    <w:tmpl w:val="DBCE2030"/>
    <w:lvl w:ilvl="0" w:tplc="C046E100">
      <w:start w:val="1"/>
      <w:numFmt w:val="bullet"/>
      <w:lvlText w:val="­"/>
      <w:lvlJc w:val="left"/>
      <w:pPr>
        <w:tabs>
          <w:tab w:val="num" w:pos="905"/>
        </w:tabs>
        <w:ind w:left="905" w:hanging="338"/>
      </w:pPr>
      <w:rPr>
        <w:rFonts w:ascii="Courier New" w:hAnsi="Courier New" w:hint="default"/>
      </w:rPr>
    </w:lvl>
    <w:lvl w:ilvl="1" w:tplc="04260003" w:tentative="1">
      <w:start w:val="1"/>
      <w:numFmt w:val="bullet"/>
      <w:lvlText w:val="o"/>
      <w:lvlJc w:val="left"/>
      <w:pPr>
        <w:tabs>
          <w:tab w:val="num" w:pos="1625"/>
        </w:tabs>
        <w:ind w:left="1625" w:hanging="360"/>
      </w:pPr>
      <w:rPr>
        <w:rFonts w:ascii="Courier New" w:hAnsi="Courier New" w:cs="Courier New" w:hint="default"/>
      </w:rPr>
    </w:lvl>
    <w:lvl w:ilvl="2" w:tplc="04260005" w:tentative="1">
      <w:start w:val="1"/>
      <w:numFmt w:val="bullet"/>
      <w:lvlText w:val=""/>
      <w:lvlJc w:val="left"/>
      <w:pPr>
        <w:tabs>
          <w:tab w:val="num" w:pos="2345"/>
        </w:tabs>
        <w:ind w:left="2345" w:hanging="360"/>
      </w:pPr>
      <w:rPr>
        <w:rFonts w:ascii="Wingdings" w:hAnsi="Wingdings" w:hint="default"/>
      </w:rPr>
    </w:lvl>
    <w:lvl w:ilvl="3" w:tplc="04260001" w:tentative="1">
      <w:start w:val="1"/>
      <w:numFmt w:val="bullet"/>
      <w:lvlText w:val=""/>
      <w:lvlJc w:val="left"/>
      <w:pPr>
        <w:tabs>
          <w:tab w:val="num" w:pos="3065"/>
        </w:tabs>
        <w:ind w:left="3065" w:hanging="360"/>
      </w:pPr>
      <w:rPr>
        <w:rFonts w:ascii="Symbol" w:hAnsi="Symbol" w:hint="default"/>
      </w:rPr>
    </w:lvl>
    <w:lvl w:ilvl="4" w:tplc="04260003" w:tentative="1">
      <w:start w:val="1"/>
      <w:numFmt w:val="bullet"/>
      <w:lvlText w:val="o"/>
      <w:lvlJc w:val="left"/>
      <w:pPr>
        <w:tabs>
          <w:tab w:val="num" w:pos="3785"/>
        </w:tabs>
        <w:ind w:left="3785" w:hanging="360"/>
      </w:pPr>
      <w:rPr>
        <w:rFonts w:ascii="Courier New" w:hAnsi="Courier New" w:cs="Courier New" w:hint="default"/>
      </w:rPr>
    </w:lvl>
    <w:lvl w:ilvl="5" w:tplc="04260005" w:tentative="1">
      <w:start w:val="1"/>
      <w:numFmt w:val="bullet"/>
      <w:lvlText w:val=""/>
      <w:lvlJc w:val="left"/>
      <w:pPr>
        <w:tabs>
          <w:tab w:val="num" w:pos="4505"/>
        </w:tabs>
        <w:ind w:left="4505" w:hanging="360"/>
      </w:pPr>
      <w:rPr>
        <w:rFonts w:ascii="Wingdings" w:hAnsi="Wingdings" w:hint="default"/>
      </w:rPr>
    </w:lvl>
    <w:lvl w:ilvl="6" w:tplc="04260001" w:tentative="1">
      <w:start w:val="1"/>
      <w:numFmt w:val="bullet"/>
      <w:lvlText w:val=""/>
      <w:lvlJc w:val="left"/>
      <w:pPr>
        <w:tabs>
          <w:tab w:val="num" w:pos="5225"/>
        </w:tabs>
        <w:ind w:left="5225" w:hanging="360"/>
      </w:pPr>
      <w:rPr>
        <w:rFonts w:ascii="Symbol" w:hAnsi="Symbol" w:hint="default"/>
      </w:rPr>
    </w:lvl>
    <w:lvl w:ilvl="7" w:tplc="04260003" w:tentative="1">
      <w:start w:val="1"/>
      <w:numFmt w:val="bullet"/>
      <w:lvlText w:val="o"/>
      <w:lvlJc w:val="left"/>
      <w:pPr>
        <w:tabs>
          <w:tab w:val="num" w:pos="5945"/>
        </w:tabs>
        <w:ind w:left="5945" w:hanging="360"/>
      </w:pPr>
      <w:rPr>
        <w:rFonts w:ascii="Courier New" w:hAnsi="Courier New" w:cs="Courier New" w:hint="default"/>
      </w:rPr>
    </w:lvl>
    <w:lvl w:ilvl="8" w:tplc="04260005" w:tentative="1">
      <w:start w:val="1"/>
      <w:numFmt w:val="bullet"/>
      <w:lvlText w:val=""/>
      <w:lvlJc w:val="left"/>
      <w:pPr>
        <w:tabs>
          <w:tab w:val="num" w:pos="6665"/>
        </w:tabs>
        <w:ind w:left="6665" w:hanging="360"/>
      </w:pPr>
      <w:rPr>
        <w:rFonts w:ascii="Wingdings" w:hAnsi="Wingdings" w:hint="default"/>
      </w:rPr>
    </w:lvl>
  </w:abstractNum>
  <w:abstractNum w:abstractNumId="7" w15:restartNumberingAfterBreak="0">
    <w:nsid w:val="4BC51C35"/>
    <w:multiLevelType w:val="hybridMultilevel"/>
    <w:tmpl w:val="16A2B430"/>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C5809B7"/>
    <w:multiLevelType w:val="hybridMultilevel"/>
    <w:tmpl w:val="AE464C9A"/>
    <w:lvl w:ilvl="0" w:tplc="9B1E79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9776D37"/>
    <w:multiLevelType w:val="hybridMultilevel"/>
    <w:tmpl w:val="D3E6DF92"/>
    <w:lvl w:ilvl="0" w:tplc="3AB80FD6">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1" w15:restartNumberingAfterBreak="0">
    <w:nsid w:val="7AE74E82"/>
    <w:multiLevelType w:val="hybridMultilevel"/>
    <w:tmpl w:val="3CECA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D96C22"/>
    <w:multiLevelType w:val="hybridMultilevel"/>
    <w:tmpl w:val="3FCA7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0"/>
  </w:num>
  <w:num w:numId="6">
    <w:abstractNumId w:val="3"/>
  </w:num>
  <w:num w:numId="7">
    <w:abstractNumId w:val="5"/>
  </w:num>
  <w:num w:numId="8">
    <w:abstractNumId w:val="8"/>
  </w:num>
  <w:num w:numId="9">
    <w:abstractNumId w:val="12"/>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6F"/>
    <w:rsid w:val="000006D4"/>
    <w:rsid w:val="000023C4"/>
    <w:rsid w:val="000064E8"/>
    <w:rsid w:val="00007093"/>
    <w:rsid w:val="00007C37"/>
    <w:rsid w:val="00016FD6"/>
    <w:rsid w:val="0002559E"/>
    <w:rsid w:val="000273CE"/>
    <w:rsid w:val="000276D7"/>
    <w:rsid w:val="0003291B"/>
    <w:rsid w:val="00032E97"/>
    <w:rsid w:val="000339B4"/>
    <w:rsid w:val="00037F2C"/>
    <w:rsid w:val="000435AF"/>
    <w:rsid w:val="0004400A"/>
    <w:rsid w:val="0004514F"/>
    <w:rsid w:val="00045E7C"/>
    <w:rsid w:val="00047B97"/>
    <w:rsid w:val="0005110F"/>
    <w:rsid w:val="00053472"/>
    <w:rsid w:val="000555C1"/>
    <w:rsid w:val="00056BBE"/>
    <w:rsid w:val="00060A51"/>
    <w:rsid w:val="0006166A"/>
    <w:rsid w:val="0006305E"/>
    <w:rsid w:val="00065A46"/>
    <w:rsid w:val="00065DF3"/>
    <w:rsid w:val="00066BA2"/>
    <w:rsid w:val="0007202D"/>
    <w:rsid w:val="0007224B"/>
    <w:rsid w:val="0007357A"/>
    <w:rsid w:val="00073FAB"/>
    <w:rsid w:val="0007544C"/>
    <w:rsid w:val="00081C96"/>
    <w:rsid w:val="00085EA5"/>
    <w:rsid w:val="00093832"/>
    <w:rsid w:val="000951E2"/>
    <w:rsid w:val="000B0049"/>
    <w:rsid w:val="000B0557"/>
    <w:rsid w:val="000B40C3"/>
    <w:rsid w:val="000B5F88"/>
    <w:rsid w:val="000B630D"/>
    <w:rsid w:val="000B722A"/>
    <w:rsid w:val="000C3F04"/>
    <w:rsid w:val="000C4848"/>
    <w:rsid w:val="000C5DEC"/>
    <w:rsid w:val="000D053D"/>
    <w:rsid w:val="000D05E0"/>
    <w:rsid w:val="000D40D1"/>
    <w:rsid w:val="000D494B"/>
    <w:rsid w:val="000D5E95"/>
    <w:rsid w:val="000D71B1"/>
    <w:rsid w:val="000D7517"/>
    <w:rsid w:val="000E1EE8"/>
    <w:rsid w:val="000E4463"/>
    <w:rsid w:val="000E5BF7"/>
    <w:rsid w:val="000F0C62"/>
    <w:rsid w:val="000F2B8C"/>
    <w:rsid w:val="000F3EB5"/>
    <w:rsid w:val="00104C69"/>
    <w:rsid w:val="00106AE5"/>
    <w:rsid w:val="00106AF5"/>
    <w:rsid w:val="001118F8"/>
    <w:rsid w:val="0011751A"/>
    <w:rsid w:val="00121168"/>
    <w:rsid w:val="0012300C"/>
    <w:rsid w:val="00125B18"/>
    <w:rsid w:val="00132605"/>
    <w:rsid w:val="001348A6"/>
    <w:rsid w:val="00135071"/>
    <w:rsid w:val="0013534C"/>
    <w:rsid w:val="001355D1"/>
    <w:rsid w:val="001362D3"/>
    <w:rsid w:val="00140943"/>
    <w:rsid w:val="00143B0E"/>
    <w:rsid w:val="00143E67"/>
    <w:rsid w:val="00144027"/>
    <w:rsid w:val="001449F0"/>
    <w:rsid w:val="00145A69"/>
    <w:rsid w:val="00147BE9"/>
    <w:rsid w:val="00150A48"/>
    <w:rsid w:val="00152922"/>
    <w:rsid w:val="00154CDA"/>
    <w:rsid w:val="00154D64"/>
    <w:rsid w:val="00157875"/>
    <w:rsid w:val="00160154"/>
    <w:rsid w:val="00164549"/>
    <w:rsid w:val="0016650A"/>
    <w:rsid w:val="00166E1D"/>
    <w:rsid w:val="001677BF"/>
    <w:rsid w:val="00170A8E"/>
    <w:rsid w:val="00172F26"/>
    <w:rsid w:val="0018362A"/>
    <w:rsid w:val="00185C30"/>
    <w:rsid w:val="00187433"/>
    <w:rsid w:val="00187BB4"/>
    <w:rsid w:val="00190D14"/>
    <w:rsid w:val="00194854"/>
    <w:rsid w:val="00196CF3"/>
    <w:rsid w:val="001A07EA"/>
    <w:rsid w:val="001A2E0C"/>
    <w:rsid w:val="001A56AC"/>
    <w:rsid w:val="001A7634"/>
    <w:rsid w:val="001B0531"/>
    <w:rsid w:val="001B1066"/>
    <w:rsid w:val="001B213F"/>
    <w:rsid w:val="001B59FE"/>
    <w:rsid w:val="001C210B"/>
    <w:rsid w:val="001C3568"/>
    <w:rsid w:val="001C3EAA"/>
    <w:rsid w:val="001D0423"/>
    <w:rsid w:val="001D4397"/>
    <w:rsid w:val="001D4A9E"/>
    <w:rsid w:val="001D4D9F"/>
    <w:rsid w:val="001D5B17"/>
    <w:rsid w:val="001D5DC8"/>
    <w:rsid w:val="001E03BE"/>
    <w:rsid w:val="001E08AB"/>
    <w:rsid w:val="001E149D"/>
    <w:rsid w:val="001E16A8"/>
    <w:rsid w:val="001E338E"/>
    <w:rsid w:val="001E54F9"/>
    <w:rsid w:val="001E5CAF"/>
    <w:rsid w:val="001F2235"/>
    <w:rsid w:val="001F2740"/>
    <w:rsid w:val="00204FAE"/>
    <w:rsid w:val="00205248"/>
    <w:rsid w:val="002143EB"/>
    <w:rsid w:val="002146F0"/>
    <w:rsid w:val="00215F19"/>
    <w:rsid w:val="0021704C"/>
    <w:rsid w:val="0022482A"/>
    <w:rsid w:val="00224C69"/>
    <w:rsid w:val="002278D2"/>
    <w:rsid w:val="002334BF"/>
    <w:rsid w:val="00233C6F"/>
    <w:rsid w:val="0023447E"/>
    <w:rsid w:val="00243824"/>
    <w:rsid w:val="00250134"/>
    <w:rsid w:val="00250696"/>
    <w:rsid w:val="00252DE2"/>
    <w:rsid w:val="002559A0"/>
    <w:rsid w:val="00261059"/>
    <w:rsid w:val="002627E4"/>
    <w:rsid w:val="00263CAC"/>
    <w:rsid w:val="0026572F"/>
    <w:rsid w:val="0026652B"/>
    <w:rsid w:val="00267DDD"/>
    <w:rsid w:val="002701A9"/>
    <w:rsid w:val="0027565A"/>
    <w:rsid w:val="00277F83"/>
    <w:rsid w:val="002804AE"/>
    <w:rsid w:val="00280D35"/>
    <w:rsid w:val="0028186D"/>
    <w:rsid w:val="00283C9F"/>
    <w:rsid w:val="00287F8A"/>
    <w:rsid w:val="00293686"/>
    <w:rsid w:val="002968CA"/>
    <w:rsid w:val="002A0650"/>
    <w:rsid w:val="002A0E30"/>
    <w:rsid w:val="002B30A3"/>
    <w:rsid w:val="002B7A6A"/>
    <w:rsid w:val="002C04D8"/>
    <w:rsid w:val="002C7BB8"/>
    <w:rsid w:val="002D5679"/>
    <w:rsid w:val="002E3AE4"/>
    <w:rsid w:val="002E5924"/>
    <w:rsid w:val="002E669C"/>
    <w:rsid w:val="002E6C6A"/>
    <w:rsid w:val="002F3F58"/>
    <w:rsid w:val="00301BE0"/>
    <w:rsid w:val="003034AE"/>
    <w:rsid w:val="00305500"/>
    <w:rsid w:val="0030728A"/>
    <w:rsid w:val="003074C6"/>
    <w:rsid w:val="00310528"/>
    <w:rsid w:val="00313B1B"/>
    <w:rsid w:val="0031474E"/>
    <w:rsid w:val="003207DA"/>
    <w:rsid w:val="00322B5B"/>
    <w:rsid w:val="003241FD"/>
    <w:rsid w:val="003246E9"/>
    <w:rsid w:val="00327F32"/>
    <w:rsid w:val="0033028B"/>
    <w:rsid w:val="0033039C"/>
    <w:rsid w:val="0033424E"/>
    <w:rsid w:val="00336884"/>
    <w:rsid w:val="003410E2"/>
    <w:rsid w:val="00341D62"/>
    <w:rsid w:val="00342BC7"/>
    <w:rsid w:val="00343397"/>
    <w:rsid w:val="00346524"/>
    <w:rsid w:val="003469E8"/>
    <w:rsid w:val="003517D5"/>
    <w:rsid w:val="00351FCE"/>
    <w:rsid w:val="00352508"/>
    <w:rsid w:val="0035446D"/>
    <w:rsid w:val="00354DC6"/>
    <w:rsid w:val="00357CB4"/>
    <w:rsid w:val="003601E3"/>
    <w:rsid w:val="0036390E"/>
    <w:rsid w:val="0036651B"/>
    <w:rsid w:val="003739F5"/>
    <w:rsid w:val="003744ED"/>
    <w:rsid w:val="0038783B"/>
    <w:rsid w:val="00391258"/>
    <w:rsid w:val="0039289B"/>
    <w:rsid w:val="003936AE"/>
    <w:rsid w:val="00395FA1"/>
    <w:rsid w:val="003A2088"/>
    <w:rsid w:val="003A333E"/>
    <w:rsid w:val="003A4325"/>
    <w:rsid w:val="003A5204"/>
    <w:rsid w:val="003A7A92"/>
    <w:rsid w:val="003B0CED"/>
    <w:rsid w:val="003B10B8"/>
    <w:rsid w:val="003B195E"/>
    <w:rsid w:val="003B2E04"/>
    <w:rsid w:val="003B324F"/>
    <w:rsid w:val="003B3C13"/>
    <w:rsid w:val="003B468F"/>
    <w:rsid w:val="003B49EF"/>
    <w:rsid w:val="003B5000"/>
    <w:rsid w:val="003B60C9"/>
    <w:rsid w:val="003B68F0"/>
    <w:rsid w:val="003B709E"/>
    <w:rsid w:val="003B76CD"/>
    <w:rsid w:val="003C03DA"/>
    <w:rsid w:val="003C09DC"/>
    <w:rsid w:val="003C0B4A"/>
    <w:rsid w:val="003C56CF"/>
    <w:rsid w:val="003C720E"/>
    <w:rsid w:val="003C75A0"/>
    <w:rsid w:val="003D1222"/>
    <w:rsid w:val="003D2CB4"/>
    <w:rsid w:val="003D5BBD"/>
    <w:rsid w:val="003E1520"/>
    <w:rsid w:val="003E1D94"/>
    <w:rsid w:val="003E2028"/>
    <w:rsid w:val="003E2563"/>
    <w:rsid w:val="003F48B7"/>
    <w:rsid w:val="003F5757"/>
    <w:rsid w:val="003F7381"/>
    <w:rsid w:val="003F74C8"/>
    <w:rsid w:val="004049DE"/>
    <w:rsid w:val="00414351"/>
    <w:rsid w:val="0041535A"/>
    <w:rsid w:val="004176DB"/>
    <w:rsid w:val="00422473"/>
    <w:rsid w:val="00422B37"/>
    <w:rsid w:val="00425558"/>
    <w:rsid w:val="00425BFB"/>
    <w:rsid w:val="00427B89"/>
    <w:rsid w:val="00431044"/>
    <w:rsid w:val="00431A70"/>
    <w:rsid w:val="00432079"/>
    <w:rsid w:val="004325C9"/>
    <w:rsid w:val="0043378F"/>
    <w:rsid w:val="0043407C"/>
    <w:rsid w:val="00434439"/>
    <w:rsid w:val="00441E13"/>
    <w:rsid w:val="00443FFA"/>
    <w:rsid w:val="00444ED7"/>
    <w:rsid w:val="00452B9F"/>
    <w:rsid w:val="00454C0A"/>
    <w:rsid w:val="0046178F"/>
    <w:rsid w:val="004618F6"/>
    <w:rsid w:val="004618FF"/>
    <w:rsid w:val="00461E21"/>
    <w:rsid w:val="004628EF"/>
    <w:rsid w:val="004639EC"/>
    <w:rsid w:val="0046737F"/>
    <w:rsid w:val="004730C1"/>
    <w:rsid w:val="0047576F"/>
    <w:rsid w:val="00475864"/>
    <w:rsid w:val="004826DF"/>
    <w:rsid w:val="00484278"/>
    <w:rsid w:val="0049142A"/>
    <w:rsid w:val="004948D5"/>
    <w:rsid w:val="0049552B"/>
    <w:rsid w:val="004A0208"/>
    <w:rsid w:val="004A2D07"/>
    <w:rsid w:val="004A4EF3"/>
    <w:rsid w:val="004A5C8A"/>
    <w:rsid w:val="004B10F0"/>
    <w:rsid w:val="004B1856"/>
    <w:rsid w:val="004B1BE2"/>
    <w:rsid w:val="004B7C32"/>
    <w:rsid w:val="004C1981"/>
    <w:rsid w:val="004C5238"/>
    <w:rsid w:val="004D0E05"/>
    <w:rsid w:val="004D590C"/>
    <w:rsid w:val="004D7E28"/>
    <w:rsid w:val="004E53AB"/>
    <w:rsid w:val="004E58D7"/>
    <w:rsid w:val="004F29F9"/>
    <w:rsid w:val="004F4C69"/>
    <w:rsid w:val="004F707C"/>
    <w:rsid w:val="004F7ED5"/>
    <w:rsid w:val="00502164"/>
    <w:rsid w:val="005029EA"/>
    <w:rsid w:val="00507A2E"/>
    <w:rsid w:val="00507FD6"/>
    <w:rsid w:val="005105A9"/>
    <w:rsid w:val="00511BBC"/>
    <w:rsid w:val="005136DB"/>
    <w:rsid w:val="00514F90"/>
    <w:rsid w:val="00517B78"/>
    <w:rsid w:val="00523687"/>
    <w:rsid w:val="005243DA"/>
    <w:rsid w:val="00526F7D"/>
    <w:rsid w:val="00531F03"/>
    <w:rsid w:val="00532012"/>
    <w:rsid w:val="00537C8E"/>
    <w:rsid w:val="0054128F"/>
    <w:rsid w:val="00543ECF"/>
    <w:rsid w:val="005440E1"/>
    <w:rsid w:val="00544686"/>
    <w:rsid w:val="0054488B"/>
    <w:rsid w:val="00544AA0"/>
    <w:rsid w:val="0054791B"/>
    <w:rsid w:val="005509F2"/>
    <w:rsid w:val="0055130D"/>
    <w:rsid w:val="0055147B"/>
    <w:rsid w:val="00551963"/>
    <w:rsid w:val="00553456"/>
    <w:rsid w:val="00554923"/>
    <w:rsid w:val="00557348"/>
    <w:rsid w:val="005654FF"/>
    <w:rsid w:val="00574A02"/>
    <w:rsid w:val="0057583E"/>
    <w:rsid w:val="00576F10"/>
    <w:rsid w:val="00581444"/>
    <w:rsid w:val="0058213C"/>
    <w:rsid w:val="005822EC"/>
    <w:rsid w:val="00582D2B"/>
    <w:rsid w:val="00584C8B"/>
    <w:rsid w:val="0058684D"/>
    <w:rsid w:val="00592D69"/>
    <w:rsid w:val="00592E6F"/>
    <w:rsid w:val="005942D8"/>
    <w:rsid w:val="00597E67"/>
    <w:rsid w:val="005A195C"/>
    <w:rsid w:val="005A20A2"/>
    <w:rsid w:val="005A353D"/>
    <w:rsid w:val="005A54FE"/>
    <w:rsid w:val="005A6E15"/>
    <w:rsid w:val="005A716A"/>
    <w:rsid w:val="005A775D"/>
    <w:rsid w:val="005A7DE2"/>
    <w:rsid w:val="005B0D22"/>
    <w:rsid w:val="005B24F5"/>
    <w:rsid w:val="005B5EFF"/>
    <w:rsid w:val="005C156F"/>
    <w:rsid w:val="005C1FF9"/>
    <w:rsid w:val="005C23E0"/>
    <w:rsid w:val="005C44EA"/>
    <w:rsid w:val="005C481D"/>
    <w:rsid w:val="005C712C"/>
    <w:rsid w:val="005C72F0"/>
    <w:rsid w:val="005D1561"/>
    <w:rsid w:val="005D2570"/>
    <w:rsid w:val="005D5A49"/>
    <w:rsid w:val="005E2DAE"/>
    <w:rsid w:val="005F5685"/>
    <w:rsid w:val="005F625B"/>
    <w:rsid w:val="005F7873"/>
    <w:rsid w:val="005F7C56"/>
    <w:rsid w:val="00601A35"/>
    <w:rsid w:val="0060278A"/>
    <w:rsid w:val="00602F27"/>
    <w:rsid w:val="00603F97"/>
    <w:rsid w:val="00610975"/>
    <w:rsid w:val="006132A3"/>
    <w:rsid w:val="006136C6"/>
    <w:rsid w:val="0061594E"/>
    <w:rsid w:val="00615D1F"/>
    <w:rsid w:val="00615FB9"/>
    <w:rsid w:val="0061717C"/>
    <w:rsid w:val="00617EE0"/>
    <w:rsid w:val="006205A4"/>
    <w:rsid w:val="00620F94"/>
    <w:rsid w:val="00623A7B"/>
    <w:rsid w:val="00625B70"/>
    <w:rsid w:val="00625E91"/>
    <w:rsid w:val="0062632E"/>
    <w:rsid w:val="00630343"/>
    <w:rsid w:val="006319E8"/>
    <w:rsid w:val="00635551"/>
    <w:rsid w:val="006358F4"/>
    <w:rsid w:val="00637170"/>
    <w:rsid w:val="00641CC3"/>
    <w:rsid w:val="00650B5B"/>
    <w:rsid w:val="00651CD4"/>
    <w:rsid w:val="00652778"/>
    <w:rsid w:val="00652D42"/>
    <w:rsid w:val="006566F9"/>
    <w:rsid w:val="006570E1"/>
    <w:rsid w:val="00661C6C"/>
    <w:rsid w:val="00662031"/>
    <w:rsid w:val="0066365A"/>
    <w:rsid w:val="006641D8"/>
    <w:rsid w:val="00666144"/>
    <w:rsid w:val="006662B1"/>
    <w:rsid w:val="0066776B"/>
    <w:rsid w:val="00670075"/>
    <w:rsid w:val="00670F5A"/>
    <w:rsid w:val="006719C4"/>
    <w:rsid w:val="00672364"/>
    <w:rsid w:val="00672846"/>
    <w:rsid w:val="006749D9"/>
    <w:rsid w:val="00674ED2"/>
    <w:rsid w:val="006767E0"/>
    <w:rsid w:val="00677D4B"/>
    <w:rsid w:val="0068055A"/>
    <w:rsid w:val="00686A27"/>
    <w:rsid w:val="00686D41"/>
    <w:rsid w:val="00692C7F"/>
    <w:rsid w:val="00693D07"/>
    <w:rsid w:val="00695312"/>
    <w:rsid w:val="00697B96"/>
    <w:rsid w:val="00697C75"/>
    <w:rsid w:val="00697FBD"/>
    <w:rsid w:val="006A00D2"/>
    <w:rsid w:val="006A1C27"/>
    <w:rsid w:val="006A5733"/>
    <w:rsid w:val="006B021E"/>
    <w:rsid w:val="006B5C20"/>
    <w:rsid w:val="006B64C6"/>
    <w:rsid w:val="006B75AD"/>
    <w:rsid w:val="006C106A"/>
    <w:rsid w:val="006C3A9C"/>
    <w:rsid w:val="006C430C"/>
    <w:rsid w:val="006C5C75"/>
    <w:rsid w:val="006C5EF2"/>
    <w:rsid w:val="006C7603"/>
    <w:rsid w:val="006D002A"/>
    <w:rsid w:val="006D03E6"/>
    <w:rsid w:val="006D0F88"/>
    <w:rsid w:val="006D1CBE"/>
    <w:rsid w:val="006E734B"/>
    <w:rsid w:val="006F2862"/>
    <w:rsid w:val="006F3E5C"/>
    <w:rsid w:val="006F45B3"/>
    <w:rsid w:val="0070010D"/>
    <w:rsid w:val="007018BD"/>
    <w:rsid w:val="00705577"/>
    <w:rsid w:val="0070662C"/>
    <w:rsid w:val="00706DC3"/>
    <w:rsid w:val="00707A63"/>
    <w:rsid w:val="00713F9A"/>
    <w:rsid w:val="00715ACF"/>
    <w:rsid w:val="00715B1D"/>
    <w:rsid w:val="0072420A"/>
    <w:rsid w:val="007244A2"/>
    <w:rsid w:val="00724D91"/>
    <w:rsid w:val="00725B16"/>
    <w:rsid w:val="0072603D"/>
    <w:rsid w:val="00726D7F"/>
    <w:rsid w:val="007302E1"/>
    <w:rsid w:val="00732106"/>
    <w:rsid w:val="00732B17"/>
    <w:rsid w:val="00735EA6"/>
    <w:rsid w:val="00741362"/>
    <w:rsid w:val="007418B6"/>
    <w:rsid w:val="0074472C"/>
    <w:rsid w:val="00744E64"/>
    <w:rsid w:val="0074500E"/>
    <w:rsid w:val="0074544C"/>
    <w:rsid w:val="00752989"/>
    <w:rsid w:val="007538BF"/>
    <w:rsid w:val="00754155"/>
    <w:rsid w:val="00760068"/>
    <w:rsid w:val="00760785"/>
    <w:rsid w:val="00762736"/>
    <w:rsid w:val="00774578"/>
    <w:rsid w:val="00775A5E"/>
    <w:rsid w:val="0077606A"/>
    <w:rsid w:val="00780206"/>
    <w:rsid w:val="007842D0"/>
    <w:rsid w:val="007862E4"/>
    <w:rsid w:val="007863D5"/>
    <w:rsid w:val="00790510"/>
    <w:rsid w:val="007923A6"/>
    <w:rsid w:val="00794A74"/>
    <w:rsid w:val="00795698"/>
    <w:rsid w:val="007A11F1"/>
    <w:rsid w:val="007A1403"/>
    <w:rsid w:val="007A20AE"/>
    <w:rsid w:val="007A2891"/>
    <w:rsid w:val="007A63CF"/>
    <w:rsid w:val="007B001C"/>
    <w:rsid w:val="007B154C"/>
    <w:rsid w:val="007B2C8B"/>
    <w:rsid w:val="007B716F"/>
    <w:rsid w:val="007B7894"/>
    <w:rsid w:val="007C0689"/>
    <w:rsid w:val="007C608A"/>
    <w:rsid w:val="007C681A"/>
    <w:rsid w:val="007D0118"/>
    <w:rsid w:val="007D2713"/>
    <w:rsid w:val="007D78FC"/>
    <w:rsid w:val="007E1056"/>
    <w:rsid w:val="007E1602"/>
    <w:rsid w:val="007E1FCE"/>
    <w:rsid w:val="007E66FC"/>
    <w:rsid w:val="007F0BA5"/>
    <w:rsid w:val="007F4CF9"/>
    <w:rsid w:val="007F54C3"/>
    <w:rsid w:val="007F72CB"/>
    <w:rsid w:val="007F7E28"/>
    <w:rsid w:val="00802656"/>
    <w:rsid w:val="008035B4"/>
    <w:rsid w:val="00804BB4"/>
    <w:rsid w:val="008069FC"/>
    <w:rsid w:val="008151AD"/>
    <w:rsid w:val="008169C1"/>
    <w:rsid w:val="008174B6"/>
    <w:rsid w:val="00825657"/>
    <w:rsid w:val="00826260"/>
    <w:rsid w:val="00826781"/>
    <w:rsid w:val="00827BA3"/>
    <w:rsid w:val="00830E22"/>
    <w:rsid w:val="008360A6"/>
    <w:rsid w:val="008418A7"/>
    <w:rsid w:val="008431D5"/>
    <w:rsid w:val="00847116"/>
    <w:rsid w:val="0084720A"/>
    <w:rsid w:val="00850C3A"/>
    <w:rsid w:val="00853CDB"/>
    <w:rsid w:val="00856699"/>
    <w:rsid w:val="00861A0A"/>
    <w:rsid w:val="0086386D"/>
    <w:rsid w:val="008638A5"/>
    <w:rsid w:val="00865B74"/>
    <w:rsid w:val="00867448"/>
    <w:rsid w:val="00870115"/>
    <w:rsid w:val="00870518"/>
    <w:rsid w:val="008734F1"/>
    <w:rsid w:val="00875798"/>
    <w:rsid w:val="00875C25"/>
    <w:rsid w:val="00877822"/>
    <w:rsid w:val="0089005D"/>
    <w:rsid w:val="00892070"/>
    <w:rsid w:val="00893733"/>
    <w:rsid w:val="00895607"/>
    <w:rsid w:val="0089652A"/>
    <w:rsid w:val="00896B70"/>
    <w:rsid w:val="008A137B"/>
    <w:rsid w:val="008A4B1C"/>
    <w:rsid w:val="008B17D7"/>
    <w:rsid w:val="008B206F"/>
    <w:rsid w:val="008B44CF"/>
    <w:rsid w:val="008B5738"/>
    <w:rsid w:val="008B5F96"/>
    <w:rsid w:val="008B67EA"/>
    <w:rsid w:val="008C1FFE"/>
    <w:rsid w:val="008C4A42"/>
    <w:rsid w:val="008C7F55"/>
    <w:rsid w:val="008D06A7"/>
    <w:rsid w:val="008D097C"/>
    <w:rsid w:val="008D1046"/>
    <w:rsid w:val="008D1EAD"/>
    <w:rsid w:val="008D1F41"/>
    <w:rsid w:val="008D3094"/>
    <w:rsid w:val="008D3186"/>
    <w:rsid w:val="008D56CD"/>
    <w:rsid w:val="008D686C"/>
    <w:rsid w:val="008E5992"/>
    <w:rsid w:val="008E5BC7"/>
    <w:rsid w:val="008F1838"/>
    <w:rsid w:val="008F1F0A"/>
    <w:rsid w:val="008F6C9A"/>
    <w:rsid w:val="008F7CBB"/>
    <w:rsid w:val="00900ECF"/>
    <w:rsid w:val="00905D8E"/>
    <w:rsid w:val="009112FD"/>
    <w:rsid w:val="009118DF"/>
    <w:rsid w:val="00912763"/>
    <w:rsid w:val="00914907"/>
    <w:rsid w:val="00914F26"/>
    <w:rsid w:val="00915B20"/>
    <w:rsid w:val="00916879"/>
    <w:rsid w:val="0091747A"/>
    <w:rsid w:val="00924225"/>
    <w:rsid w:val="0092511B"/>
    <w:rsid w:val="009273B4"/>
    <w:rsid w:val="00932FC6"/>
    <w:rsid w:val="0093361B"/>
    <w:rsid w:val="009345F3"/>
    <w:rsid w:val="00936A65"/>
    <w:rsid w:val="00936CA5"/>
    <w:rsid w:val="00942A73"/>
    <w:rsid w:val="00945C56"/>
    <w:rsid w:val="00946580"/>
    <w:rsid w:val="00947734"/>
    <w:rsid w:val="00947FA2"/>
    <w:rsid w:val="009503EC"/>
    <w:rsid w:val="00954C9C"/>
    <w:rsid w:val="00955983"/>
    <w:rsid w:val="00960C6A"/>
    <w:rsid w:val="00965EAA"/>
    <w:rsid w:val="0097245F"/>
    <w:rsid w:val="00972601"/>
    <w:rsid w:val="00972BE0"/>
    <w:rsid w:val="009741D4"/>
    <w:rsid w:val="00976115"/>
    <w:rsid w:val="00976B7D"/>
    <w:rsid w:val="00981B02"/>
    <w:rsid w:val="00982B18"/>
    <w:rsid w:val="00983CD1"/>
    <w:rsid w:val="00984AD1"/>
    <w:rsid w:val="009933DB"/>
    <w:rsid w:val="00995397"/>
    <w:rsid w:val="0099686E"/>
    <w:rsid w:val="009A0702"/>
    <w:rsid w:val="009A27E9"/>
    <w:rsid w:val="009A2A8B"/>
    <w:rsid w:val="009A4E92"/>
    <w:rsid w:val="009A5F36"/>
    <w:rsid w:val="009A64D6"/>
    <w:rsid w:val="009A7583"/>
    <w:rsid w:val="009B1784"/>
    <w:rsid w:val="009B28EA"/>
    <w:rsid w:val="009B32AB"/>
    <w:rsid w:val="009C0B4B"/>
    <w:rsid w:val="009C54A4"/>
    <w:rsid w:val="009D1C0B"/>
    <w:rsid w:val="009D4184"/>
    <w:rsid w:val="009D48CE"/>
    <w:rsid w:val="009D4976"/>
    <w:rsid w:val="009D53D9"/>
    <w:rsid w:val="009D573A"/>
    <w:rsid w:val="009D6377"/>
    <w:rsid w:val="009D6EC2"/>
    <w:rsid w:val="009E2C46"/>
    <w:rsid w:val="009E4CF6"/>
    <w:rsid w:val="009E5ED3"/>
    <w:rsid w:val="009E63A8"/>
    <w:rsid w:val="009E6E49"/>
    <w:rsid w:val="009E7C15"/>
    <w:rsid w:val="009F28F1"/>
    <w:rsid w:val="009F3006"/>
    <w:rsid w:val="009F46E0"/>
    <w:rsid w:val="009F6F13"/>
    <w:rsid w:val="00A00824"/>
    <w:rsid w:val="00A0095F"/>
    <w:rsid w:val="00A06120"/>
    <w:rsid w:val="00A1040F"/>
    <w:rsid w:val="00A11717"/>
    <w:rsid w:val="00A128A2"/>
    <w:rsid w:val="00A130F3"/>
    <w:rsid w:val="00A14DBC"/>
    <w:rsid w:val="00A15066"/>
    <w:rsid w:val="00A17926"/>
    <w:rsid w:val="00A17C82"/>
    <w:rsid w:val="00A231EE"/>
    <w:rsid w:val="00A23421"/>
    <w:rsid w:val="00A265B3"/>
    <w:rsid w:val="00A26A7A"/>
    <w:rsid w:val="00A27F4F"/>
    <w:rsid w:val="00A31DF9"/>
    <w:rsid w:val="00A4234D"/>
    <w:rsid w:val="00A46F10"/>
    <w:rsid w:val="00A47E37"/>
    <w:rsid w:val="00A50F04"/>
    <w:rsid w:val="00A52BCA"/>
    <w:rsid w:val="00A53DBA"/>
    <w:rsid w:val="00A5517D"/>
    <w:rsid w:val="00A66122"/>
    <w:rsid w:val="00A66BE4"/>
    <w:rsid w:val="00A66FF9"/>
    <w:rsid w:val="00A74F08"/>
    <w:rsid w:val="00A75B70"/>
    <w:rsid w:val="00A7623F"/>
    <w:rsid w:val="00A773E4"/>
    <w:rsid w:val="00A774CF"/>
    <w:rsid w:val="00A77DDA"/>
    <w:rsid w:val="00A80C95"/>
    <w:rsid w:val="00A85919"/>
    <w:rsid w:val="00A85B6B"/>
    <w:rsid w:val="00A86501"/>
    <w:rsid w:val="00A87DEB"/>
    <w:rsid w:val="00A9569E"/>
    <w:rsid w:val="00AA037E"/>
    <w:rsid w:val="00AA0CCC"/>
    <w:rsid w:val="00AA1AE3"/>
    <w:rsid w:val="00AA3D65"/>
    <w:rsid w:val="00AA679B"/>
    <w:rsid w:val="00AB02B4"/>
    <w:rsid w:val="00AB0580"/>
    <w:rsid w:val="00AB111F"/>
    <w:rsid w:val="00AB5ACF"/>
    <w:rsid w:val="00AB70B1"/>
    <w:rsid w:val="00AC294C"/>
    <w:rsid w:val="00AC3BB1"/>
    <w:rsid w:val="00AD066C"/>
    <w:rsid w:val="00AD283F"/>
    <w:rsid w:val="00AD3FF4"/>
    <w:rsid w:val="00AD7228"/>
    <w:rsid w:val="00AE0683"/>
    <w:rsid w:val="00AE0C40"/>
    <w:rsid w:val="00AE0E57"/>
    <w:rsid w:val="00AE3027"/>
    <w:rsid w:val="00AE3F78"/>
    <w:rsid w:val="00AE4632"/>
    <w:rsid w:val="00AF120F"/>
    <w:rsid w:val="00AF1C8B"/>
    <w:rsid w:val="00AF36AB"/>
    <w:rsid w:val="00AF5025"/>
    <w:rsid w:val="00B0614E"/>
    <w:rsid w:val="00B10ED2"/>
    <w:rsid w:val="00B14AD9"/>
    <w:rsid w:val="00B16C48"/>
    <w:rsid w:val="00B21B88"/>
    <w:rsid w:val="00B223DD"/>
    <w:rsid w:val="00B22BE4"/>
    <w:rsid w:val="00B23532"/>
    <w:rsid w:val="00B24F81"/>
    <w:rsid w:val="00B25E02"/>
    <w:rsid w:val="00B30EE2"/>
    <w:rsid w:val="00B31177"/>
    <w:rsid w:val="00B311E7"/>
    <w:rsid w:val="00B31FF1"/>
    <w:rsid w:val="00B32CFC"/>
    <w:rsid w:val="00B344A8"/>
    <w:rsid w:val="00B36661"/>
    <w:rsid w:val="00B40033"/>
    <w:rsid w:val="00B400C1"/>
    <w:rsid w:val="00B45CDC"/>
    <w:rsid w:val="00B473F9"/>
    <w:rsid w:val="00B51C08"/>
    <w:rsid w:val="00B53259"/>
    <w:rsid w:val="00B53A4E"/>
    <w:rsid w:val="00B56B2B"/>
    <w:rsid w:val="00B5744F"/>
    <w:rsid w:val="00B63CF7"/>
    <w:rsid w:val="00B715E4"/>
    <w:rsid w:val="00B734C2"/>
    <w:rsid w:val="00B8113F"/>
    <w:rsid w:val="00B83194"/>
    <w:rsid w:val="00B84D89"/>
    <w:rsid w:val="00B86D52"/>
    <w:rsid w:val="00B87BFA"/>
    <w:rsid w:val="00B916B3"/>
    <w:rsid w:val="00B959A4"/>
    <w:rsid w:val="00B95ADB"/>
    <w:rsid w:val="00B96E1F"/>
    <w:rsid w:val="00BA5CFD"/>
    <w:rsid w:val="00BA5FDD"/>
    <w:rsid w:val="00BA7182"/>
    <w:rsid w:val="00BB0AF1"/>
    <w:rsid w:val="00BB3ADE"/>
    <w:rsid w:val="00BB3E03"/>
    <w:rsid w:val="00BB522A"/>
    <w:rsid w:val="00BC3BB9"/>
    <w:rsid w:val="00BD0933"/>
    <w:rsid w:val="00BD1DCE"/>
    <w:rsid w:val="00BD46EF"/>
    <w:rsid w:val="00BD708F"/>
    <w:rsid w:val="00BE0B3D"/>
    <w:rsid w:val="00BE1F33"/>
    <w:rsid w:val="00BE3C74"/>
    <w:rsid w:val="00BE4883"/>
    <w:rsid w:val="00BE7854"/>
    <w:rsid w:val="00BF4487"/>
    <w:rsid w:val="00BF7C6D"/>
    <w:rsid w:val="00C039F6"/>
    <w:rsid w:val="00C04D0B"/>
    <w:rsid w:val="00C07C00"/>
    <w:rsid w:val="00C15087"/>
    <w:rsid w:val="00C16DB6"/>
    <w:rsid w:val="00C22B13"/>
    <w:rsid w:val="00C240C9"/>
    <w:rsid w:val="00C2546C"/>
    <w:rsid w:val="00C32E43"/>
    <w:rsid w:val="00C339CF"/>
    <w:rsid w:val="00C35554"/>
    <w:rsid w:val="00C471DE"/>
    <w:rsid w:val="00C50056"/>
    <w:rsid w:val="00C57DF5"/>
    <w:rsid w:val="00C61C87"/>
    <w:rsid w:val="00C649AE"/>
    <w:rsid w:val="00C6501E"/>
    <w:rsid w:val="00C65057"/>
    <w:rsid w:val="00C65C8B"/>
    <w:rsid w:val="00C67103"/>
    <w:rsid w:val="00C7356C"/>
    <w:rsid w:val="00C75078"/>
    <w:rsid w:val="00C7571F"/>
    <w:rsid w:val="00C83309"/>
    <w:rsid w:val="00C847AA"/>
    <w:rsid w:val="00C867E8"/>
    <w:rsid w:val="00C873C8"/>
    <w:rsid w:val="00C91E6F"/>
    <w:rsid w:val="00C94FC7"/>
    <w:rsid w:val="00C95C6A"/>
    <w:rsid w:val="00CA0F0D"/>
    <w:rsid w:val="00CA1D46"/>
    <w:rsid w:val="00CA1E30"/>
    <w:rsid w:val="00CA6286"/>
    <w:rsid w:val="00CA68C3"/>
    <w:rsid w:val="00CB0F69"/>
    <w:rsid w:val="00CB1697"/>
    <w:rsid w:val="00CB2254"/>
    <w:rsid w:val="00CB52F8"/>
    <w:rsid w:val="00CB6EF9"/>
    <w:rsid w:val="00CC0F68"/>
    <w:rsid w:val="00CC7389"/>
    <w:rsid w:val="00CD00B5"/>
    <w:rsid w:val="00CD4900"/>
    <w:rsid w:val="00CD5B30"/>
    <w:rsid w:val="00CD66E5"/>
    <w:rsid w:val="00CD777D"/>
    <w:rsid w:val="00CE0392"/>
    <w:rsid w:val="00CE070E"/>
    <w:rsid w:val="00CE61A3"/>
    <w:rsid w:val="00CF1452"/>
    <w:rsid w:val="00CF2890"/>
    <w:rsid w:val="00CF3BDC"/>
    <w:rsid w:val="00CF694E"/>
    <w:rsid w:val="00CF7631"/>
    <w:rsid w:val="00D01F07"/>
    <w:rsid w:val="00D03573"/>
    <w:rsid w:val="00D072FE"/>
    <w:rsid w:val="00D075F2"/>
    <w:rsid w:val="00D11F85"/>
    <w:rsid w:val="00D21DF2"/>
    <w:rsid w:val="00D232D1"/>
    <w:rsid w:val="00D23D90"/>
    <w:rsid w:val="00D24C7C"/>
    <w:rsid w:val="00D26459"/>
    <w:rsid w:val="00D27A85"/>
    <w:rsid w:val="00D27DD9"/>
    <w:rsid w:val="00D27F4F"/>
    <w:rsid w:val="00D30947"/>
    <w:rsid w:val="00D429B0"/>
    <w:rsid w:val="00D42D77"/>
    <w:rsid w:val="00D50051"/>
    <w:rsid w:val="00D512D5"/>
    <w:rsid w:val="00D530F8"/>
    <w:rsid w:val="00D543A5"/>
    <w:rsid w:val="00D54CE0"/>
    <w:rsid w:val="00D55EEA"/>
    <w:rsid w:val="00D57341"/>
    <w:rsid w:val="00D6050E"/>
    <w:rsid w:val="00D616F5"/>
    <w:rsid w:val="00D6217E"/>
    <w:rsid w:val="00D63FF7"/>
    <w:rsid w:val="00D65467"/>
    <w:rsid w:val="00D67083"/>
    <w:rsid w:val="00D672FA"/>
    <w:rsid w:val="00D67520"/>
    <w:rsid w:val="00D70A05"/>
    <w:rsid w:val="00D73BBB"/>
    <w:rsid w:val="00D73D75"/>
    <w:rsid w:val="00D73FAE"/>
    <w:rsid w:val="00D77E29"/>
    <w:rsid w:val="00D816DF"/>
    <w:rsid w:val="00D81D66"/>
    <w:rsid w:val="00D82891"/>
    <w:rsid w:val="00D83199"/>
    <w:rsid w:val="00D90CEF"/>
    <w:rsid w:val="00DA0B43"/>
    <w:rsid w:val="00DA2A52"/>
    <w:rsid w:val="00DA51DF"/>
    <w:rsid w:val="00DA7964"/>
    <w:rsid w:val="00DA7D82"/>
    <w:rsid w:val="00DB0D5E"/>
    <w:rsid w:val="00DB5B67"/>
    <w:rsid w:val="00DC06E0"/>
    <w:rsid w:val="00DC07CD"/>
    <w:rsid w:val="00DC1723"/>
    <w:rsid w:val="00DD6491"/>
    <w:rsid w:val="00DE46EF"/>
    <w:rsid w:val="00DE4890"/>
    <w:rsid w:val="00DE5B7A"/>
    <w:rsid w:val="00DE728F"/>
    <w:rsid w:val="00DF04DE"/>
    <w:rsid w:val="00DF054C"/>
    <w:rsid w:val="00DF2FB1"/>
    <w:rsid w:val="00DF77E6"/>
    <w:rsid w:val="00DF7B65"/>
    <w:rsid w:val="00E011DA"/>
    <w:rsid w:val="00E01AC1"/>
    <w:rsid w:val="00E03AB4"/>
    <w:rsid w:val="00E06265"/>
    <w:rsid w:val="00E07A37"/>
    <w:rsid w:val="00E17D8B"/>
    <w:rsid w:val="00E23FC4"/>
    <w:rsid w:val="00E255C9"/>
    <w:rsid w:val="00E30BB2"/>
    <w:rsid w:val="00E34952"/>
    <w:rsid w:val="00E34D88"/>
    <w:rsid w:val="00E375CE"/>
    <w:rsid w:val="00E44126"/>
    <w:rsid w:val="00E44A47"/>
    <w:rsid w:val="00E45ED5"/>
    <w:rsid w:val="00E47296"/>
    <w:rsid w:val="00E564A7"/>
    <w:rsid w:val="00E57BF6"/>
    <w:rsid w:val="00E60004"/>
    <w:rsid w:val="00E62658"/>
    <w:rsid w:val="00E653DC"/>
    <w:rsid w:val="00E65D05"/>
    <w:rsid w:val="00E66A5C"/>
    <w:rsid w:val="00E6710E"/>
    <w:rsid w:val="00E7518A"/>
    <w:rsid w:val="00E76BCA"/>
    <w:rsid w:val="00E805D3"/>
    <w:rsid w:val="00E861CB"/>
    <w:rsid w:val="00E90384"/>
    <w:rsid w:val="00E905D0"/>
    <w:rsid w:val="00EA0802"/>
    <w:rsid w:val="00EA5E44"/>
    <w:rsid w:val="00EA6300"/>
    <w:rsid w:val="00EA6458"/>
    <w:rsid w:val="00EB0930"/>
    <w:rsid w:val="00EB1DBE"/>
    <w:rsid w:val="00EB3AA8"/>
    <w:rsid w:val="00EB5585"/>
    <w:rsid w:val="00EC19C6"/>
    <w:rsid w:val="00EC2FFC"/>
    <w:rsid w:val="00EC4297"/>
    <w:rsid w:val="00EC72B2"/>
    <w:rsid w:val="00ED248C"/>
    <w:rsid w:val="00ED34BE"/>
    <w:rsid w:val="00ED538A"/>
    <w:rsid w:val="00ED6FE6"/>
    <w:rsid w:val="00EE3EFB"/>
    <w:rsid w:val="00EE404E"/>
    <w:rsid w:val="00EE414A"/>
    <w:rsid w:val="00EF208E"/>
    <w:rsid w:val="00EF2670"/>
    <w:rsid w:val="00EF2824"/>
    <w:rsid w:val="00EF455C"/>
    <w:rsid w:val="00F00740"/>
    <w:rsid w:val="00F15C70"/>
    <w:rsid w:val="00F17DA9"/>
    <w:rsid w:val="00F212B5"/>
    <w:rsid w:val="00F22F57"/>
    <w:rsid w:val="00F2424A"/>
    <w:rsid w:val="00F25613"/>
    <w:rsid w:val="00F2588B"/>
    <w:rsid w:val="00F25979"/>
    <w:rsid w:val="00F316B3"/>
    <w:rsid w:val="00F33955"/>
    <w:rsid w:val="00F40437"/>
    <w:rsid w:val="00F423C2"/>
    <w:rsid w:val="00F42545"/>
    <w:rsid w:val="00F42EAE"/>
    <w:rsid w:val="00F42F56"/>
    <w:rsid w:val="00F43C65"/>
    <w:rsid w:val="00F43DAA"/>
    <w:rsid w:val="00F4504B"/>
    <w:rsid w:val="00F46C11"/>
    <w:rsid w:val="00F47804"/>
    <w:rsid w:val="00F53AB6"/>
    <w:rsid w:val="00F54108"/>
    <w:rsid w:val="00F546B9"/>
    <w:rsid w:val="00F56A40"/>
    <w:rsid w:val="00F610A7"/>
    <w:rsid w:val="00F65966"/>
    <w:rsid w:val="00F6719C"/>
    <w:rsid w:val="00F72915"/>
    <w:rsid w:val="00F8030C"/>
    <w:rsid w:val="00F80DA8"/>
    <w:rsid w:val="00F82676"/>
    <w:rsid w:val="00F862CC"/>
    <w:rsid w:val="00F910C4"/>
    <w:rsid w:val="00F93B1C"/>
    <w:rsid w:val="00FA2299"/>
    <w:rsid w:val="00FA4C69"/>
    <w:rsid w:val="00FA6555"/>
    <w:rsid w:val="00FA773C"/>
    <w:rsid w:val="00FA7C6C"/>
    <w:rsid w:val="00FB4F46"/>
    <w:rsid w:val="00FC1522"/>
    <w:rsid w:val="00FC25B1"/>
    <w:rsid w:val="00FC2DBE"/>
    <w:rsid w:val="00FC3092"/>
    <w:rsid w:val="00FC51E1"/>
    <w:rsid w:val="00FC55CA"/>
    <w:rsid w:val="00FC6494"/>
    <w:rsid w:val="00FC71E2"/>
    <w:rsid w:val="00FC723C"/>
    <w:rsid w:val="00FD09C4"/>
    <w:rsid w:val="00FD0BDD"/>
    <w:rsid w:val="00FD627E"/>
    <w:rsid w:val="00FE29A0"/>
    <w:rsid w:val="00FE3A4B"/>
    <w:rsid w:val="00FE460A"/>
    <w:rsid w:val="00FF0A2A"/>
    <w:rsid w:val="00FF0AB1"/>
    <w:rsid w:val="00FF22E4"/>
    <w:rsid w:val="00FF6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9FEBFDE"/>
  <w15:docId w15:val="{D977FE48-6483-49AE-94C7-41C60DD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rPr>
  </w:style>
  <w:style w:type="paragraph" w:styleId="Heading3">
    <w:name w:val="heading 3"/>
    <w:basedOn w:val="Normal"/>
    <w:link w:val="Heading3Char"/>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uiPriority w:val="99"/>
    <w:rsid w:val="0047576F"/>
    <w:pPr>
      <w:spacing w:before="75" w:after="75"/>
      <w:ind w:firstLine="375"/>
      <w:jc w:val="both"/>
    </w:pPr>
  </w:style>
  <w:style w:type="paragraph" w:customStyle="1" w:styleId="naisnod">
    <w:name w:val="naisnod"/>
    <w:basedOn w:val="Normal"/>
    <w:uiPriority w:val="99"/>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locked/>
    <w:rsid w:val="00093832"/>
    <w:rPr>
      <w:b/>
      <w:bCs/>
      <w:sz w:val="27"/>
      <w:szCs w:val="27"/>
      <w:lang w:val="lv-LV" w:eastAsia="lv-LV" w:bidi="ar-SA"/>
    </w:rPr>
  </w:style>
  <w:style w:type="character" w:styleId="CommentReference">
    <w:name w:val="annotation reference"/>
    <w:semiHidden/>
    <w:rsid w:val="00945C56"/>
    <w:rPr>
      <w:sz w:val="16"/>
      <w:szCs w:val="16"/>
    </w:rPr>
  </w:style>
  <w:style w:type="paragraph" w:styleId="CommentText">
    <w:name w:val="annotation text"/>
    <w:basedOn w:val="Normal"/>
    <w:link w:val="CommentTextChar"/>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locked/>
    <w:rsid w:val="00E564A7"/>
    <w:rPr>
      <w:lang w:val="lv-LV" w:eastAsia="lv-LV" w:bidi="ar-SA"/>
    </w:rPr>
  </w:style>
  <w:style w:type="paragraph" w:styleId="CommentSubject">
    <w:name w:val="annotation subject"/>
    <w:basedOn w:val="CommentText"/>
    <w:next w:val="CommentText"/>
    <w:link w:val="CommentSubjectChar"/>
    <w:rsid w:val="005D1561"/>
    <w:rPr>
      <w:b/>
      <w:bCs/>
    </w:rPr>
  </w:style>
  <w:style w:type="character" w:customStyle="1" w:styleId="CommentSubjectChar">
    <w:name w:val="Comment Subject Char"/>
    <w:link w:val="CommentSubject"/>
    <w:rsid w:val="005D1561"/>
    <w:rPr>
      <w:b/>
      <w:bCs/>
      <w:lang w:val="lv-LV" w:eastAsia="lv-LV" w:bidi="ar-SA"/>
    </w:rPr>
  </w:style>
  <w:style w:type="paragraph" w:customStyle="1" w:styleId="tvhtml">
    <w:name w:val="tv_html"/>
    <w:basedOn w:val="Normal"/>
    <w:rsid w:val="00A80C95"/>
    <w:pPr>
      <w:spacing w:before="100" w:beforeAutospacing="1" w:after="100" w:afterAutospacing="1"/>
    </w:pPr>
  </w:style>
  <w:style w:type="paragraph" w:styleId="BodyTextIndent2">
    <w:name w:val="Body Text Indent 2"/>
    <w:basedOn w:val="Normal"/>
    <w:link w:val="BodyTextIndent2Char"/>
    <w:uiPriority w:val="99"/>
    <w:rsid w:val="00A80C95"/>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A80C95"/>
    <w:rPr>
      <w:sz w:val="24"/>
      <w:szCs w:val="24"/>
      <w:lang w:val="x-none"/>
    </w:rPr>
  </w:style>
  <w:style w:type="character" w:customStyle="1" w:styleId="FontStyle96">
    <w:name w:val="Font Style96"/>
    <w:basedOn w:val="DefaultParagraphFont"/>
    <w:uiPriority w:val="99"/>
    <w:rsid w:val="007D78FC"/>
    <w:rPr>
      <w:rFonts w:ascii="Times New Roman" w:hAnsi="Times New Roman" w:cs="Times New Roman"/>
      <w:b/>
      <w:bCs/>
      <w:color w:val="000000"/>
      <w:sz w:val="22"/>
      <w:szCs w:val="22"/>
    </w:rPr>
  </w:style>
  <w:style w:type="paragraph" w:customStyle="1" w:styleId="Style36">
    <w:name w:val="Style36"/>
    <w:basedOn w:val="Normal"/>
    <w:uiPriority w:val="99"/>
    <w:rsid w:val="007D78FC"/>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7742">
      <w:bodyDiv w:val="1"/>
      <w:marLeft w:val="0"/>
      <w:marRight w:val="0"/>
      <w:marTop w:val="0"/>
      <w:marBottom w:val="0"/>
      <w:divBdr>
        <w:top w:val="none" w:sz="0" w:space="0" w:color="auto"/>
        <w:left w:val="none" w:sz="0" w:space="0" w:color="auto"/>
        <w:bottom w:val="none" w:sz="0" w:space="0" w:color="auto"/>
        <w:right w:val="none" w:sz="0" w:space="0" w:color="auto"/>
      </w:divBdr>
    </w:div>
    <w:div w:id="996609270">
      <w:bodyDiv w:val="1"/>
      <w:marLeft w:val="0"/>
      <w:marRight w:val="0"/>
      <w:marTop w:val="0"/>
      <w:marBottom w:val="0"/>
      <w:divBdr>
        <w:top w:val="none" w:sz="0" w:space="0" w:color="auto"/>
        <w:left w:val="none" w:sz="0" w:space="0" w:color="auto"/>
        <w:bottom w:val="none" w:sz="0" w:space="0" w:color="auto"/>
        <w:right w:val="none" w:sz="0" w:space="0" w:color="auto"/>
      </w:divBdr>
      <w:divsChild>
        <w:div w:id="2014602992">
          <w:marLeft w:val="0"/>
          <w:marRight w:val="0"/>
          <w:marTop w:val="0"/>
          <w:marBottom w:val="0"/>
          <w:divBdr>
            <w:top w:val="none" w:sz="0" w:space="0" w:color="auto"/>
            <w:left w:val="none" w:sz="0" w:space="0" w:color="auto"/>
            <w:bottom w:val="none" w:sz="0" w:space="0" w:color="auto"/>
            <w:right w:val="none" w:sz="0" w:space="0" w:color="auto"/>
          </w:divBdr>
          <w:divsChild>
            <w:div w:id="1146584506">
              <w:marLeft w:val="0"/>
              <w:marRight w:val="0"/>
              <w:marTop w:val="0"/>
              <w:marBottom w:val="0"/>
              <w:divBdr>
                <w:top w:val="none" w:sz="0" w:space="0" w:color="auto"/>
                <w:left w:val="none" w:sz="0" w:space="0" w:color="auto"/>
                <w:bottom w:val="none" w:sz="0" w:space="0" w:color="auto"/>
                <w:right w:val="none" w:sz="0" w:space="0" w:color="auto"/>
              </w:divBdr>
              <w:divsChild>
                <w:div w:id="2082093655">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399061248">
                          <w:marLeft w:val="0"/>
                          <w:marRight w:val="0"/>
                          <w:marTop w:val="300"/>
                          <w:marBottom w:val="0"/>
                          <w:divBdr>
                            <w:top w:val="none" w:sz="0" w:space="0" w:color="auto"/>
                            <w:left w:val="none" w:sz="0" w:space="0" w:color="auto"/>
                            <w:bottom w:val="none" w:sz="0" w:space="0" w:color="auto"/>
                            <w:right w:val="none" w:sz="0" w:space="0" w:color="auto"/>
                          </w:divBdr>
                          <w:divsChild>
                            <w:div w:id="1346597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ta.balod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0E95-FA00-4784-A6C1-D549CEF2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6362</Characters>
  <Application>Microsoft Office Word</Application>
  <DocSecurity>0</DocSecurity>
  <Lines>198</Lines>
  <Paragraphs>78</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7158</CharactersWithSpaces>
  <SharedDoc>false</SharedDoc>
  <HLinks>
    <vt:vector size="18" baseType="variant">
      <vt:variant>
        <vt:i4>3604511</vt:i4>
      </vt:variant>
      <vt:variant>
        <vt:i4>6</vt:i4>
      </vt:variant>
      <vt:variant>
        <vt:i4>0</vt:i4>
      </vt:variant>
      <vt:variant>
        <vt:i4>5</vt:i4>
      </vt:variant>
      <vt:variant>
        <vt:lpwstr>mailto:darta.treija@varam.gov.lv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DartaT</dc:creator>
  <cp:lastModifiedBy>Zita Balode</cp:lastModifiedBy>
  <cp:revision>3</cp:revision>
  <cp:lastPrinted>2016-09-07T07:50:00Z</cp:lastPrinted>
  <dcterms:created xsi:type="dcterms:W3CDTF">2017-01-18T14:28:00Z</dcterms:created>
  <dcterms:modified xsi:type="dcterms:W3CDTF">2017-01-18T14:39:00Z</dcterms:modified>
</cp:coreProperties>
</file>