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1" w:rsidRPr="00E618B1" w:rsidRDefault="00CB524C" w:rsidP="00E618B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2EF">
        <w:rPr>
          <w:sz w:val="28"/>
          <w:szCs w:val="28"/>
        </w:rPr>
        <w:t>3.p</w:t>
      </w:r>
      <w:r w:rsidR="00E618B1" w:rsidRPr="00E618B1">
        <w:rPr>
          <w:sz w:val="28"/>
          <w:szCs w:val="28"/>
        </w:rPr>
        <w:t xml:space="preserve">ielikums </w:t>
      </w:r>
    </w:p>
    <w:p w:rsidR="00E618B1" w:rsidRPr="00E618B1" w:rsidRDefault="00E618B1" w:rsidP="00E618B1">
      <w:pPr>
        <w:pStyle w:val="naislab"/>
        <w:spacing w:before="0" w:after="0"/>
        <w:rPr>
          <w:sz w:val="28"/>
          <w:szCs w:val="28"/>
        </w:rPr>
      </w:pPr>
      <w:r w:rsidRPr="00E618B1">
        <w:rPr>
          <w:sz w:val="28"/>
          <w:szCs w:val="28"/>
        </w:rPr>
        <w:t xml:space="preserve">Ministru kabineta </w:t>
      </w:r>
    </w:p>
    <w:p w:rsidR="00E618B1" w:rsidRPr="00E618B1" w:rsidRDefault="003A12EF" w:rsidP="00E618B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2017</w:t>
      </w:r>
      <w:r w:rsidR="00E618B1" w:rsidRPr="00E618B1">
        <w:rPr>
          <w:sz w:val="28"/>
          <w:szCs w:val="28"/>
        </w:rPr>
        <w:t>.gada_________</w:t>
      </w:r>
    </w:p>
    <w:p w:rsidR="00E618B1" w:rsidRDefault="000D4F66" w:rsidP="00E618B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E618B1" w:rsidRPr="00E618B1">
        <w:rPr>
          <w:sz w:val="28"/>
          <w:szCs w:val="28"/>
        </w:rPr>
        <w:t>oteikumiem Nr.____ </w:t>
      </w:r>
    </w:p>
    <w:p w:rsidR="003A12EF" w:rsidRDefault="003A12EF" w:rsidP="003A12EF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3A12EF" w:rsidRDefault="003A12EF" w:rsidP="003A12E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Aprites cikla izmaksu metodika enerģiju patērējošām precēm</w:t>
      </w:r>
    </w:p>
    <w:p w:rsidR="003A12EF" w:rsidRDefault="003A12EF" w:rsidP="003A12EF">
      <w:pPr>
        <w:jc w:val="both"/>
        <w:rPr>
          <w:sz w:val="28"/>
          <w:szCs w:val="28"/>
        </w:rPr>
      </w:pP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bookmarkStart w:id="0" w:name="p1"/>
      <w:bookmarkStart w:id="1" w:name="p-375355"/>
      <w:bookmarkStart w:id="2" w:name="p2"/>
      <w:bookmarkStart w:id="3" w:name="p-375356"/>
      <w:bookmarkStart w:id="4" w:name="p3"/>
      <w:bookmarkStart w:id="5" w:name="p-375357"/>
      <w:bookmarkStart w:id="6" w:name="p4"/>
      <w:bookmarkStart w:id="7" w:name="p-37535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 w:val="28"/>
          <w:szCs w:val="28"/>
        </w:rPr>
        <w:t>Preces aprites cikla izmaksas gadā saistībā ar enerģijas patēriņu aprēķina, saskaitot preces iegādes izmaksas (I) ar lietošanas izmaksām (L) un tās dalot ar preces kopējo izmantošanas laiku (A).</w:t>
      </w:r>
      <w:bookmarkStart w:id="8" w:name="_GoBack"/>
      <w:bookmarkEnd w:id="8"/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</w:pPr>
      <w:r>
        <w:rPr>
          <w:sz w:val="28"/>
          <w:szCs w:val="28"/>
        </w:rPr>
        <w:t>Pasūtītājs nosaka</w:t>
      </w:r>
      <w:r>
        <w:rPr>
          <w:rFonts w:eastAsia="MS Mincho"/>
          <w:sz w:val="28"/>
          <w:szCs w:val="28"/>
          <w:lang w:eastAsia="ja-JP"/>
        </w:rPr>
        <w:t>: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aprēķinā izmantojamo elektroenerģijas cenu (EUR/kWh), elektroenerģijas cenas pieaugumu gadā (%) un diskonta likmi (%);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spuldzes paredzēto vidējo izmatošanas ilgumu - stundas gadā;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datoru, monitoru un drukas iekārtu kopējo izmantošanas laiku (gados). 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Lietošanas izmaksas (L) aprēķina, izmantojot šādu formulu:</w:t>
      </w:r>
    </w:p>
    <w:p w:rsidR="003A12EF" w:rsidRDefault="003A12EF" w:rsidP="003A12EF">
      <w:pPr>
        <w:spacing w:after="120"/>
        <w:ind w:left="360"/>
        <w:jc w:val="both"/>
      </w:pPr>
      <w:r>
        <w:rPr>
          <w:rFonts w:eastAsia="MS Mincho"/>
          <w:sz w:val="28"/>
          <w:szCs w:val="28"/>
          <w:lang w:eastAsia="ja-JP"/>
        </w:rPr>
        <w:t>L = ((B*C)*(((1+(Dl*0.01))^A-1)/(Dl*0.01)))/(1+(Dl*0.01))^A</w:t>
      </w:r>
      <w:r>
        <w:rPr>
          <w:sz w:val="28"/>
          <w:szCs w:val="28"/>
        </w:rPr>
        <w:t>, kur</w:t>
      </w:r>
    </w:p>
    <w:p w:rsidR="003A12EF" w:rsidRDefault="003A12EF" w:rsidP="003A12EF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Dl = diskonta likme (%);</w:t>
      </w:r>
    </w:p>
    <w:p w:rsidR="003A12EF" w:rsidRDefault="003A12EF" w:rsidP="003A12EF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– preces kalpošanas laiks (gados);</w:t>
      </w:r>
    </w:p>
    <w:p w:rsidR="003A12EF" w:rsidRDefault="003A12EF" w:rsidP="003A12EF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 – enerģijas patēriņš gadā (kWh gadā);</w:t>
      </w:r>
    </w:p>
    <w:p w:rsidR="003A12EF" w:rsidRDefault="003A12EF" w:rsidP="003A12EF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 – elektroenerģijas cena (EUR/kWh).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</w:pPr>
      <w:r>
        <w:rPr>
          <w:sz w:val="28"/>
          <w:szCs w:val="28"/>
        </w:rPr>
        <w:t>Spuldžu kalpošanas laiku (A</w:t>
      </w:r>
      <w:r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>) aprēķina, dalot spuldzes kalpošanas ilgumu (stundās) ar vidējo spuldzes izmantošanas ilgumu gadā (stundas/gadā) un noapaļojot veselos skaitļos.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Spuldžu enerģijas patēriņu (kWh) gadā aprēķina reizinot spuldzes jaudu (vatos) ar vidējo spuldzes izmantošanas ilgumu gadā un dalot ar 1000. 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Datoriem, drukas un citām iekārtām, kam ir </w:t>
      </w:r>
      <w:r w:rsidR="00D71485" w:rsidRPr="00D71485">
        <w:rPr>
          <w:i/>
          <w:sz w:val="28"/>
          <w:szCs w:val="28"/>
        </w:rPr>
        <w:t>Energy Star</w:t>
      </w:r>
      <w:r>
        <w:rPr>
          <w:sz w:val="28"/>
          <w:szCs w:val="28"/>
        </w:rPr>
        <w:t xml:space="preserve"> vai Eiropas Savienības energoefektivitātes marķējums, datus par enerģijas patēriņu gadā (B) iegūst no sertifikācijas dokumentiem.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485" w:rsidRPr="00D71485">
        <w:rPr>
          <w:i/>
          <w:sz w:val="28"/>
          <w:szCs w:val="28"/>
        </w:rPr>
        <w:t>Energy Star</w:t>
      </w:r>
      <w:r>
        <w:rPr>
          <w:sz w:val="28"/>
          <w:szCs w:val="28"/>
        </w:rPr>
        <w:t xml:space="preserve"> sertificētiem datoriem un monitoriem izmanto Tipisko enerģijas patēriņu (TEC);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485" w:rsidRPr="00D71485">
        <w:rPr>
          <w:i/>
          <w:sz w:val="28"/>
          <w:szCs w:val="28"/>
        </w:rPr>
        <w:t>Energy Star</w:t>
      </w:r>
      <w:r>
        <w:rPr>
          <w:sz w:val="28"/>
          <w:szCs w:val="28"/>
        </w:rPr>
        <w:t xml:space="preserve"> sertificētiem monitoriem enerģijas patēriņu gadā (B) aprēķina, izmantojot šādu formulu: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((D*G)/1000)+((E*H)/1000)+((F*N)/1000), kur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D - Enerģijas patēriņš darba režīmā (W);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E - Enerģijas patēriņš miega režīmā (W);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F - Enerģijas patēriņš izslēgtā režīmā (W);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 - Vidējais monitora izmantošanas ilgums gadā darba režīmā – (stundas/gadā);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H - Vidējais monitora izmantošanas ilgums gadā miega režīmā - (stundas/gadā);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N - Vidējais monitora izmantošanas ilgums gadā izslēgtā režīmā - (stundas/gadā).</w:t>
      </w:r>
    </w:p>
    <w:p w:rsidR="003A12EF" w:rsidRDefault="003A12EF" w:rsidP="003A12EF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Drukas iekārtām, kurām nav pieejams Tipiskais enerģijas patēriņš (TEC), enerģijas patēriņu gadā (B) aprēķina, izmantojot šādu formulu: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((E*H)/1000)+((F*N)/1000), kur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E - Enerģijas patēriņš miega režīmā (W);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F - Enerģijas patēriņš izslēgtā režīmā (W);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H - Vidējais monitora izmantošanas ilgums gadā miega režīmā - (stundas/gadā);</w:t>
      </w:r>
    </w:p>
    <w:p w:rsidR="003A12EF" w:rsidRDefault="003A12EF" w:rsidP="003A12EF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N - Vidējais monitora izmantošanas ilgums gadā izslēgtā režīmā - (stundas/gadā).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Preces aprites cikla izmaksu aprēķināšanai var izmantot atbildīgās iestādes tīmekļa vietnē pieejamo aprites cikla izmaksu aprēķina kalkulatoru.</w:t>
      </w:r>
    </w:p>
    <w:p w:rsidR="003A12EF" w:rsidRDefault="003A12EF" w:rsidP="003A12EF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</w:pPr>
      <w:r>
        <w:rPr>
          <w:rFonts w:eastAsia="MS Mincho"/>
          <w:sz w:val="28"/>
          <w:szCs w:val="28"/>
          <w:lang w:eastAsia="ja-JP"/>
        </w:rPr>
        <w:t xml:space="preserve">Piegādātājs piedāvājumā iekļauj attiecīgās preces aprites cikla izmaksu aprēķina rezultātus, piemēram, izdruku no </w:t>
      </w:r>
      <w:r>
        <w:rPr>
          <w:sz w:val="28"/>
          <w:szCs w:val="28"/>
        </w:rPr>
        <w:t>atbildīgās iestādes tīmekļa vietnē norādītā aprites cikla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izmaksu aprēķina kalkulatora.</w:t>
      </w:r>
    </w:p>
    <w:p w:rsidR="003A12EF" w:rsidRDefault="003A12EF" w:rsidP="003A12EF">
      <w:pPr>
        <w:spacing w:before="120"/>
        <w:rPr>
          <w:sz w:val="28"/>
          <w:szCs w:val="28"/>
        </w:rPr>
      </w:pPr>
    </w:p>
    <w:p w:rsidR="003A12EF" w:rsidRDefault="003A12EF" w:rsidP="003A12E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                   K.Gerhards</w:t>
      </w:r>
    </w:p>
    <w:p w:rsidR="003A12EF" w:rsidRDefault="003A12EF" w:rsidP="003A12EF">
      <w:pPr>
        <w:jc w:val="right"/>
        <w:rPr>
          <w:sz w:val="28"/>
          <w:szCs w:val="28"/>
        </w:rPr>
      </w:pPr>
    </w:p>
    <w:p w:rsidR="002343CB" w:rsidRDefault="002343CB" w:rsidP="00951119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Pr="002343CB" w:rsidRDefault="002343CB" w:rsidP="002343CB">
      <w:pPr>
        <w:rPr>
          <w:sz w:val="28"/>
          <w:szCs w:val="28"/>
        </w:rPr>
      </w:pPr>
    </w:p>
    <w:p w:rsidR="002343CB" w:rsidRDefault="002343CB" w:rsidP="002343CB">
      <w:pPr>
        <w:rPr>
          <w:sz w:val="28"/>
          <w:szCs w:val="28"/>
        </w:rPr>
      </w:pPr>
    </w:p>
    <w:p w:rsidR="002343CB" w:rsidRDefault="002343CB" w:rsidP="002343CB">
      <w:pPr>
        <w:rPr>
          <w:sz w:val="20"/>
          <w:szCs w:val="20"/>
        </w:rPr>
      </w:pPr>
      <w:r>
        <w:rPr>
          <w:sz w:val="20"/>
          <w:szCs w:val="20"/>
        </w:rPr>
        <w:t>U.Zanders, 67026590</w:t>
      </w:r>
    </w:p>
    <w:p w:rsidR="002343CB" w:rsidRDefault="002343CB" w:rsidP="002343CB">
      <w:pPr>
        <w:rPr>
          <w:sz w:val="20"/>
          <w:szCs w:val="20"/>
        </w:rPr>
      </w:pPr>
      <w:r>
        <w:rPr>
          <w:sz w:val="20"/>
          <w:szCs w:val="20"/>
        </w:rPr>
        <w:t>ugis.zanders@varam.gov.lv</w:t>
      </w:r>
    </w:p>
    <w:p w:rsidR="00E618B1" w:rsidRPr="002343CB" w:rsidRDefault="00E618B1" w:rsidP="002343CB">
      <w:pPr>
        <w:rPr>
          <w:sz w:val="28"/>
          <w:szCs w:val="28"/>
        </w:rPr>
      </w:pPr>
    </w:p>
    <w:sectPr w:rsidR="00E618B1" w:rsidRPr="002343CB" w:rsidSect="009F48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2C" w:rsidRDefault="00C5462C">
      <w:r>
        <w:separator/>
      </w:r>
    </w:p>
  </w:endnote>
  <w:endnote w:type="continuationSeparator" w:id="0">
    <w:p w:rsidR="00C5462C" w:rsidRDefault="00C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D3" w:rsidRDefault="00742BD3" w:rsidP="00742BD3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EF" w:rsidRDefault="003A12EF" w:rsidP="003A12EF">
    <w:pPr>
      <w:pStyle w:val="Header"/>
    </w:pPr>
  </w:p>
  <w:p w:rsidR="003A12EF" w:rsidRDefault="003A12EF" w:rsidP="003A12EF"/>
  <w:p w:rsidR="00E618B1" w:rsidRPr="003A12EF" w:rsidRDefault="003A12EF" w:rsidP="003A12EF">
    <w:pPr>
      <w:jc w:val="both"/>
      <w:rPr>
        <w:sz w:val="20"/>
      </w:rPr>
    </w:pPr>
    <w:r w:rsidRPr="003A12EF">
      <w:rPr>
        <w:sz w:val="20"/>
      </w:rPr>
      <w:t>VARAMNotp_03_ZPI; Aprites cikla izmaksu metodika enerģiju patērējošām precēm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1" w:rsidRPr="003A12EF" w:rsidRDefault="00E618B1" w:rsidP="003A12EF">
    <w:pPr>
      <w:jc w:val="both"/>
      <w:rPr>
        <w:sz w:val="20"/>
      </w:rPr>
    </w:pPr>
    <w:r w:rsidRPr="003A12EF">
      <w:rPr>
        <w:sz w:val="20"/>
      </w:rPr>
      <w:t>V</w:t>
    </w:r>
    <w:r w:rsidR="00801E30" w:rsidRPr="003A12EF">
      <w:rPr>
        <w:sz w:val="20"/>
      </w:rPr>
      <w:t>ARAMNotp_</w:t>
    </w:r>
    <w:r w:rsidR="003A12EF" w:rsidRPr="003A12EF">
      <w:rPr>
        <w:sz w:val="20"/>
      </w:rPr>
      <w:t>03_ZPI; Aprites cikla izmaksu metodika enerģiju patērējošām precēm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2C" w:rsidRDefault="00C5462C">
      <w:r>
        <w:separator/>
      </w:r>
    </w:p>
  </w:footnote>
  <w:footnote w:type="continuationSeparator" w:id="0">
    <w:p w:rsidR="00C5462C" w:rsidRDefault="00C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1" w:rsidRDefault="00204166" w:rsidP="00183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8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8B1" w:rsidRDefault="00E61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1" w:rsidRDefault="00204166" w:rsidP="00183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8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8B1" w:rsidRDefault="00E618B1" w:rsidP="00742BD3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2F4F"/>
    <w:multiLevelType w:val="hybridMultilevel"/>
    <w:tmpl w:val="79DA1AF4"/>
    <w:lvl w:ilvl="0" w:tplc="8C480E1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A52D2C"/>
    <w:multiLevelType w:val="multilevel"/>
    <w:tmpl w:val="76D68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21AB8"/>
    <w:rsid w:val="0003122A"/>
    <w:rsid w:val="0006372F"/>
    <w:rsid w:val="000B06C7"/>
    <w:rsid w:val="000D4F66"/>
    <w:rsid w:val="000E5C86"/>
    <w:rsid w:val="001026CB"/>
    <w:rsid w:val="00107F6C"/>
    <w:rsid w:val="00183828"/>
    <w:rsid w:val="001C5A6E"/>
    <w:rsid w:val="001D0B02"/>
    <w:rsid w:val="001F1126"/>
    <w:rsid w:val="0020137A"/>
    <w:rsid w:val="00204166"/>
    <w:rsid w:val="00213D7A"/>
    <w:rsid w:val="00215FED"/>
    <w:rsid w:val="002343CB"/>
    <w:rsid w:val="00234CE6"/>
    <w:rsid w:val="002648BA"/>
    <w:rsid w:val="00322F01"/>
    <w:rsid w:val="003273F5"/>
    <w:rsid w:val="0034392B"/>
    <w:rsid w:val="00356606"/>
    <w:rsid w:val="003701AE"/>
    <w:rsid w:val="003A12EF"/>
    <w:rsid w:val="00400143"/>
    <w:rsid w:val="004256D5"/>
    <w:rsid w:val="004615F5"/>
    <w:rsid w:val="005356BA"/>
    <w:rsid w:val="00542E1B"/>
    <w:rsid w:val="00576555"/>
    <w:rsid w:val="00586F9D"/>
    <w:rsid w:val="005947C9"/>
    <w:rsid w:val="00595933"/>
    <w:rsid w:val="00596F7A"/>
    <w:rsid w:val="005F0039"/>
    <w:rsid w:val="006A0AD1"/>
    <w:rsid w:val="006C3ED5"/>
    <w:rsid w:val="00713F26"/>
    <w:rsid w:val="00742BD3"/>
    <w:rsid w:val="00787FE4"/>
    <w:rsid w:val="007C11D1"/>
    <w:rsid w:val="00801E30"/>
    <w:rsid w:val="00822538"/>
    <w:rsid w:val="00843F01"/>
    <w:rsid w:val="008C3AF7"/>
    <w:rsid w:val="008C4312"/>
    <w:rsid w:val="008E7621"/>
    <w:rsid w:val="008F60A3"/>
    <w:rsid w:val="00951119"/>
    <w:rsid w:val="00955AAC"/>
    <w:rsid w:val="00961A20"/>
    <w:rsid w:val="009A56E8"/>
    <w:rsid w:val="009E0CA7"/>
    <w:rsid w:val="009F48BA"/>
    <w:rsid w:val="00A41222"/>
    <w:rsid w:val="00A56EF3"/>
    <w:rsid w:val="00A75E7C"/>
    <w:rsid w:val="00B72B04"/>
    <w:rsid w:val="00B86770"/>
    <w:rsid w:val="00B90E21"/>
    <w:rsid w:val="00B93E3B"/>
    <w:rsid w:val="00C05A20"/>
    <w:rsid w:val="00C06BDC"/>
    <w:rsid w:val="00C450D5"/>
    <w:rsid w:val="00C532B5"/>
    <w:rsid w:val="00C5462C"/>
    <w:rsid w:val="00C71C3C"/>
    <w:rsid w:val="00C857E9"/>
    <w:rsid w:val="00CB524C"/>
    <w:rsid w:val="00CF352B"/>
    <w:rsid w:val="00D71485"/>
    <w:rsid w:val="00D96927"/>
    <w:rsid w:val="00DA011A"/>
    <w:rsid w:val="00DD14F8"/>
    <w:rsid w:val="00DD755A"/>
    <w:rsid w:val="00E02BE1"/>
    <w:rsid w:val="00E02CF7"/>
    <w:rsid w:val="00E07577"/>
    <w:rsid w:val="00E55FBB"/>
    <w:rsid w:val="00E618B1"/>
    <w:rsid w:val="00E626B6"/>
    <w:rsid w:val="00E80D75"/>
    <w:rsid w:val="00E86FFA"/>
    <w:rsid w:val="00EA7BA5"/>
    <w:rsid w:val="00EB1F52"/>
    <w:rsid w:val="00EC068C"/>
    <w:rsid w:val="00FB24D5"/>
    <w:rsid w:val="00FC5B0D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618B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618B1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E618B1"/>
    <w:pPr>
      <w:spacing w:before="75" w:after="75"/>
      <w:jc w:val="right"/>
    </w:pPr>
  </w:style>
  <w:style w:type="paragraph" w:customStyle="1" w:styleId="naiskr">
    <w:name w:val="naiskr"/>
    <w:basedOn w:val="Normal"/>
    <w:rsid w:val="00E618B1"/>
    <w:pPr>
      <w:spacing w:before="75" w:after="75"/>
    </w:pPr>
  </w:style>
  <w:style w:type="paragraph" w:customStyle="1" w:styleId="naisc">
    <w:name w:val="naisc"/>
    <w:basedOn w:val="Normal"/>
    <w:rsid w:val="00E618B1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E6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B1"/>
  </w:style>
  <w:style w:type="character" w:styleId="Hyperlink">
    <w:name w:val="Hyperlink"/>
    <w:rsid w:val="0020137A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0137A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tv2161">
    <w:name w:val="tv2161"/>
    <w:basedOn w:val="Normal"/>
    <w:rsid w:val="0020137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styleId="CommentReference">
    <w:name w:val="annotation reference"/>
    <w:rsid w:val="00EB1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F52"/>
  </w:style>
  <w:style w:type="paragraph" w:styleId="CommentSubject">
    <w:name w:val="annotation subject"/>
    <w:basedOn w:val="CommentText"/>
    <w:next w:val="CommentText"/>
    <w:link w:val="CommentSubjectChar"/>
    <w:rsid w:val="00EB1F52"/>
    <w:rPr>
      <w:b/>
      <w:bCs/>
    </w:rPr>
  </w:style>
  <w:style w:type="character" w:customStyle="1" w:styleId="CommentSubjectChar">
    <w:name w:val="Comment Subject Char"/>
    <w:link w:val="CommentSubject"/>
    <w:rsid w:val="00EB1F52"/>
    <w:rPr>
      <w:b/>
      <w:bCs/>
    </w:rPr>
  </w:style>
  <w:style w:type="paragraph" w:styleId="BalloonText">
    <w:name w:val="Balloon Text"/>
    <w:basedOn w:val="Normal"/>
    <w:link w:val="BalloonTextChar"/>
    <w:rsid w:val="00EB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F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12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61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269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5979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2F7A-F335-4726-919C-415C37A1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„Atkritumu savākšanas un šķirošanas vietu veidi, prasības atkritumu savākšanas un šķirošanas vietu, kā arī bioloģiski noārdāmo atkritumu kompostēšanas vietu ierīkošanai un apsaimniekošanai”</vt:lpstr>
    </vt:vector>
  </TitlesOfParts>
  <Company>VARAM</Company>
  <LinksUpToDate>false</LinksUpToDate>
  <CharactersWithSpaces>2861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mailto:ilze.donina@varam.gov.lv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„Atkritumu savākšanas un šķirošanas vietu veidi, prasības atkritumu savākšanas un šķirošanas vietu, kā arī bioloģiski noārdāmo atkritumu kompostēšanas vietu ierīkošanai un apsaimniekošanai”</dc:title>
  <dc:subject>Ministru kabineta noteikumu projekta pielikums</dc:subject>
  <dc:creator>Valdis Puriņš</dc:creator>
  <dc:description>67026434_x000d_
valdis.purins@varam.gov.lv</dc:description>
  <cp:lastModifiedBy>ugisz</cp:lastModifiedBy>
  <cp:revision>4</cp:revision>
  <dcterms:created xsi:type="dcterms:W3CDTF">2017-01-31T08:31:00Z</dcterms:created>
  <dcterms:modified xsi:type="dcterms:W3CDTF">2017-01-31T08:55:00Z</dcterms:modified>
</cp:coreProperties>
</file>