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65" w:rsidRPr="00935F3B" w:rsidRDefault="00D82FD4" w:rsidP="00025013">
      <w:pPr>
        <w:spacing w:after="0" w:line="240" w:lineRule="auto"/>
        <w:jc w:val="center"/>
        <w:rPr>
          <w:rFonts w:ascii="Times New Roman" w:hAnsi="Times New Roman"/>
          <w:b/>
          <w:noProof/>
          <w:sz w:val="28"/>
          <w:szCs w:val="28"/>
          <w:lang w:val="lv-LV"/>
        </w:rPr>
      </w:pPr>
      <w:bookmarkStart w:id="0" w:name="OLE_LINK1"/>
      <w:bookmarkStart w:id="1" w:name="OLE_LINK2"/>
      <w:bookmarkStart w:id="2" w:name="OLE_LINK3"/>
      <w:r>
        <w:rPr>
          <w:rFonts w:ascii="Times New Roman" w:hAnsi="Times New Roman"/>
          <w:b/>
          <w:noProof/>
          <w:sz w:val="28"/>
          <w:szCs w:val="28"/>
          <w:lang w:val="lv-LV"/>
        </w:rPr>
        <w:t>Ministru kabineta rīkojuma</w:t>
      </w:r>
      <w:r w:rsidR="00716274" w:rsidRPr="00935F3B">
        <w:rPr>
          <w:rFonts w:ascii="Times New Roman" w:hAnsi="Times New Roman"/>
          <w:b/>
          <w:noProof/>
          <w:sz w:val="28"/>
          <w:szCs w:val="28"/>
          <w:lang w:val="lv-LV"/>
        </w:rPr>
        <w:t xml:space="preserve"> projekta</w:t>
      </w:r>
    </w:p>
    <w:bookmarkEnd w:id="0"/>
    <w:bookmarkEnd w:id="1"/>
    <w:p w:rsidR="004C1465" w:rsidRPr="00935F3B" w:rsidRDefault="00E327B8" w:rsidP="000752B8">
      <w:pPr>
        <w:spacing w:after="0" w:line="240" w:lineRule="auto"/>
        <w:jc w:val="center"/>
        <w:rPr>
          <w:rFonts w:ascii="Times New Roman" w:hAnsi="Times New Roman"/>
          <w:b/>
          <w:noProof/>
          <w:sz w:val="28"/>
          <w:szCs w:val="28"/>
          <w:lang w:val="lv-LV"/>
        </w:rPr>
      </w:pPr>
      <w:r>
        <w:rPr>
          <w:rFonts w:ascii="Times New Roman" w:hAnsi="Times New Roman"/>
          <w:b/>
          <w:bCs/>
          <w:noProof/>
          <w:sz w:val="28"/>
          <w:szCs w:val="28"/>
          <w:lang w:val="lv-LV"/>
        </w:rPr>
        <w:t>”</w:t>
      </w:r>
      <w:r w:rsidR="00665CD6">
        <w:rPr>
          <w:rFonts w:ascii="Times New Roman" w:hAnsi="Times New Roman"/>
          <w:b/>
          <w:bCs/>
          <w:noProof/>
          <w:sz w:val="28"/>
          <w:szCs w:val="28"/>
          <w:lang w:val="lv-LV"/>
        </w:rPr>
        <w:t xml:space="preserve">Par </w:t>
      </w:r>
      <w:r w:rsidR="00106BE9" w:rsidRPr="00935F3B">
        <w:rPr>
          <w:rFonts w:ascii="Times New Roman" w:hAnsi="Times New Roman"/>
          <w:b/>
          <w:bCs/>
          <w:noProof/>
          <w:sz w:val="28"/>
          <w:szCs w:val="28"/>
          <w:lang w:val="lv-LV"/>
        </w:rPr>
        <w:t>Paula Stradiņa Medicīnas vēstures mu</w:t>
      </w:r>
      <w:r w:rsidR="003E230A">
        <w:rPr>
          <w:rFonts w:ascii="Times New Roman" w:hAnsi="Times New Roman"/>
          <w:b/>
          <w:bCs/>
          <w:noProof/>
          <w:sz w:val="28"/>
          <w:szCs w:val="28"/>
          <w:lang w:val="lv-LV"/>
        </w:rPr>
        <w:t xml:space="preserve">zeja </w:t>
      </w:r>
      <w:r w:rsidR="00665CD6">
        <w:rPr>
          <w:rFonts w:ascii="Times New Roman" w:hAnsi="Times New Roman"/>
          <w:b/>
          <w:bCs/>
          <w:noProof/>
          <w:sz w:val="28"/>
          <w:szCs w:val="28"/>
          <w:lang w:val="lv-LV"/>
        </w:rPr>
        <w:t xml:space="preserve">reorganizāciju un tā </w:t>
      </w:r>
      <w:r w:rsidR="003E230A">
        <w:rPr>
          <w:rFonts w:ascii="Times New Roman" w:hAnsi="Times New Roman"/>
          <w:b/>
          <w:bCs/>
          <w:noProof/>
          <w:sz w:val="28"/>
          <w:szCs w:val="28"/>
          <w:lang w:val="lv-LV"/>
        </w:rPr>
        <w:t xml:space="preserve">struktūrvienības – filiāles </w:t>
      </w:r>
      <w:r w:rsidR="00B75BF7">
        <w:rPr>
          <w:rFonts w:ascii="Times New Roman" w:hAnsi="Times New Roman"/>
          <w:b/>
          <w:bCs/>
          <w:noProof/>
          <w:sz w:val="28"/>
          <w:szCs w:val="28"/>
          <w:lang w:val="lv-LV"/>
        </w:rPr>
        <w:t>”</w:t>
      </w:r>
      <w:r w:rsidR="003E230A">
        <w:rPr>
          <w:rFonts w:ascii="Times New Roman" w:hAnsi="Times New Roman"/>
          <w:b/>
          <w:bCs/>
          <w:noProof/>
          <w:sz w:val="28"/>
          <w:szCs w:val="28"/>
          <w:lang w:val="lv-LV"/>
        </w:rPr>
        <w:t>Jēkaba Prīmaņa Anatomijas muzejs</w:t>
      </w:r>
      <w:r w:rsidR="00B75BF7">
        <w:rPr>
          <w:rFonts w:ascii="Times New Roman" w:hAnsi="Times New Roman"/>
          <w:b/>
          <w:bCs/>
          <w:noProof/>
          <w:sz w:val="28"/>
          <w:szCs w:val="28"/>
          <w:lang w:val="lv-LV"/>
        </w:rPr>
        <w:t>”</w:t>
      </w:r>
      <w:r w:rsidR="003E230A">
        <w:rPr>
          <w:rFonts w:ascii="Times New Roman" w:hAnsi="Times New Roman"/>
          <w:b/>
          <w:bCs/>
          <w:noProof/>
          <w:sz w:val="28"/>
          <w:szCs w:val="28"/>
          <w:lang w:val="lv-LV"/>
        </w:rPr>
        <w:t xml:space="preserve"> nodošanu Rīgas Stradiņa universitātei</w:t>
      </w:r>
      <w:r w:rsidR="00716274" w:rsidRPr="00935F3B">
        <w:rPr>
          <w:rFonts w:ascii="Times New Roman" w:hAnsi="Times New Roman"/>
          <w:b/>
          <w:noProof/>
          <w:sz w:val="28"/>
          <w:szCs w:val="28"/>
          <w:lang w:val="lv-LV"/>
        </w:rPr>
        <w:t>” sākotnējās</w:t>
      </w:r>
      <w:r w:rsidR="004C1465" w:rsidRPr="00935F3B">
        <w:rPr>
          <w:rFonts w:ascii="Times New Roman" w:hAnsi="Times New Roman"/>
          <w:b/>
          <w:noProof/>
          <w:sz w:val="28"/>
          <w:szCs w:val="28"/>
          <w:lang w:val="lv-LV"/>
        </w:rPr>
        <w:t xml:space="preserve"> ietekmes novērtējuma ziņojums</w:t>
      </w:r>
    </w:p>
    <w:p w:rsidR="004C1465" w:rsidRPr="00935F3B" w:rsidRDefault="004C1465" w:rsidP="000752B8">
      <w:pPr>
        <w:spacing w:after="0" w:line="240" w:lineRule="auto"/>
        <w:jc w:val="center"/>
        <w:rPr>
          <w:rFonts w:ascii="Times New Roman" w:hAnsi="Times New Roman"/>
          <w:b/>
          <w:noProof/>
          <w:sz w:val="28"/>
          <w:szCs w:val="28"/>
          <w:lang w:val="lv-LV"/>
        </w:rPr>
      </w:pPr>
      <w:r w:rsidRPr="00935F3B">
        <w:rPr>
          <w:rFonts w:ascii="Times New Roman" w:hAnsi="Times New Roman"/>
          <w:b/>
          <w:noProof/>
          <w:sz w:val="28"/>
          <w:szCs w:val="28"/>
          <w:lang w:val="lv-LV"/>
        </w:rPr>
        <w:t>(anotācija)</w:t>
      </w:r>
    </w:p>
    <w:bookmarkEnd w:id="2"/>
    <w:p w:rsidR="00484E0A" w:rsidRPr="00935F3B" w:rsidRDefault="00484E0A" w:rsidP="000752B8">
      <w:pPr>
        <w:spacing w:after="0" w:line="240" w:lineRule="auto"/>
        <w:jc w:val="center"/>
        <w:rPr>
          <w:rFonts w:ascii="Times New Roman" w:hAnsi="Times New Roman"/>
          <w:noProof/>
          <w:sz w:val="28"/>
          <w:szCs w:val="28"/>
          <w:lang w:val="lv-LV"/>
        </w:rPr>
      </w:pPr>
    </w:p>
    <w:tbl>
      <w:tblPr>
        <w:tblW w:w="9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9"/>
        <w:gridCol w:w="2435"/>
        <w:gridCol w:w="6562"/>
      </w:tblGrid>
      <w:tr w:rsidR="00106BE9" w:rsidRPr="00935F3B" w:rsidTr="00C53D1A">
        <w:trPr>
          <w:jc w:val="center"/>
        </w:trPr>
        <w:tc>
          <w:tcPr>
            <w:tcW w:w="9536" w:type="dxa"/>
            <w:gridSpan w:val="3"/>
            <w:vAlign w:val="center"/>
            <w:hideMark/>
          </w:tcPr>
          <w:p w:rsidR="00106BE9" w:rsidRPr="00935F3B" w:rsidRDefault="00106BE9" w:rsidP="00AC480A">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I. Tiesību akta projekta izstrādes nepieciešamība</w:t>
            </w:r>
          </w:p>
        </w:tc>
      </w:tr>
      <w:tr w:rsidR="00106BE9" w:rsidRPr="00C53D1A" w:rsidTr="00C53D1A">
        <w:trPr>
          <w:trHeight w:val="454"/>
          <w:jc w:val="center"/>
        </w:trPr>
        <w:tc>
          <w:tcPr>
            <w:tcW w:w="539" w:type="dxa"/>
            <w:hideMark/>
          </w:tcPr>
          <w:p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435" w:type="dxa"/>
            <w:hideMark/>
          </w:tcPr>
          <w:p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Pamatojums</w:t>
            </w:r>
          </w:p>
        </w:tc>
        <w:tc>
          <w:tcPr>
            <w:tcW w:w="6562" w:type="dxa"/>
            <w:hideMark/>
          </w:tcPr>
          <w:p w:rsidR="00D711CD" w:rsidRDefault="00D7585B"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 xml:space="preserve">Valsts pārvaldes iekārtas likuma 15.panta </w:t>
            </w:r>
            <w:r w:rsidR="00D711CD">
              <w:rPr>
                <w:rFonts w:ascii="Times New Roman" w:hAnsi="Times New Roman"/>
                <w:noProof/>
                <w:sz w:val="24"/>
                <w:szCs w:val="24"/>
                <w:lang w:val="lv-LV"/>
              </w:rPr>
              <w:t>pirmā daļa</w:t>
            </w:r>
            <w:r w:rsidR="00B7502F">
              <w:rPr>
                <w:rFonts w:ascii="Times New Roman" w:hAnsi="Times New Roman"/>
                <w:noProof/>
                <w:sz w:val="24"/>
                <w:szCs w:val="24"/>
                <w:lang w:val="lv-LV"/>
              </w:rPr>
              <w:t>, kas nosaka, ka valsts pārvald</w:t>
            </w:r>
            <w:r w:rsidR="00D711CD">
              <w:rPr>
                <w:rFonts w:ascii="Times New Roman" w:hAnsi="Times New Roman"/>
                <w:noProof/>
                <w:sz w:val="24"/>
                <w:szCs w:val="24"/>
                <w:lang w:val="lv-LV"/>
              </w:rPr>
              <w:t>i reorganizē Ministru kabinets.</w:t>
            </w:r>
          </w:p>
          <w:p w:rsidR="00106BE9" w:rsidRPr="003B0443" w:rsidRDefault="00D711CD"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 xml:space="preserve">Valsts pārvaldes iekārtas likuma 15.panta </w:t>
            </w:r>
            <w:r w:rsidR="00D7585B" w:rsidRPr="003B0443">
              <w:rPr>
                <w:rFonts w:ascii="Times New Roman" w:hAnsi="Times New Roman"/>
                <w:noProof/>
                <w:sz w:val="24"/>
                <w:szCs w:val="24"/>
                <w:lang w:val="lv-LV"/>
              </w:rPr>
              <w:t>trešās daļas 1.punkts</w:t>
            </w:r>
            <w:r w:rsidR="00B7502F">
              <w:rPr>
                <w:rFonts w:ascii="Times New Roman" w:hAnsi="Times New Roman"/>
                <w:noProof/>
                <w:sz w:val="24"/>
                <w:szCs w:val="24"/>
                <w:lang w:val="lv-LV"/>
              </w:rPr>
              <w:t>.</w:t>
            </w:r>
          </w:p>
          <w:p w:rsidR="00D7585B" w:rsidRPr="00935F3B" w:rsidRDefault="00D7585B"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Muzeju likuma 8.panta pirmā daļa</w:t>
            </w:r>
            <w:r w:rsidR="00D711CD">
              <w:rPr>
                <w:rFonts w:ascii="Times New Roman" w:hAnsi="Times New Roman"/>
                <w:noProof/>
                <w:sz w:val="24"/>
                <w:szCs w:val="24"/>
                <w:lang w:val="lv-LV"/>
              </w:rPr>
              <w:t>, kas nosaka, ka muzeju reorganizē Ministru kabinets pē</w:t>
            </w:r>
            <w:r w:rsidR="00B7502F">
              <w:rPr>
                <w:rFonts w:ascii="Times New Roman" w:hAnsi="Times New Roman"/>
                <w:noProof/>
                <w:sz w:val="24"/>
                <w:szCs w:val="24"/>
                <w:lang w:val="lv-LV"/>
              </w:rPr>
              <w:t>c Kultūras ministrijas vai cita</w:t>
            </w:r>
            <w:r w:rsidR="00D711CD">
              <w:rPr>
                <w:rFonts w:ascii="Times New Roman" w:hAnsi="Times New Roman"/>
                <w:noProof/>
                <w:sz w:val="24"/>
                <w:szCs w:val="24"/>
                <w:lang w:val="lv-LV"/>
              </w:rPr>
              <w:t>s</w:t>
            </w:r>
            <w:r w:rsidR="00B7502F">
              <w:rPr>
                <w:rFonts w:ascii="Times New Roman" w:hAnsi="Times New Roman"/>
                <w:noProof/>
                <w:sz w:val="24"/>
                <w:szCs w:val="24"/>
                <w:lang w:val="lv-LV"/>
              </w:rPr>
              <w:t xml:space="preserve"> ministrijas ierosinājum</w:t>
            </w:r>
            <w:r w:rsidR="00D711CD">
              <w:rPr>
                <w:rFonts w:ascii="Times New Roman" w:hAnsi="Times New Roman"/>
                <w:noProof/>
                <w:sz w:val="24"/>
                <w:szCs w:val="24"/>
                <w:lang w:val="lv-LV"/>
              </w:rPr>
              <w:t>a, konsultējoties ar Muzeju padomi.</w:t>
            </w:r>
          </w:p>
        </w:tc>
      </w:tr>
      <w:tr w:rsidR="00106BE9" w:rsidRPr="00C53D1A" w:rsidTr="00C53D1A">
        <w:trPr>
          <w:trHeight w:val="472"/>
          <w:jc w:val="center"/>
        </w:trPr>
        <w:tc>
          <w:tcPr>
            <w:tcW w:w="539" w:type="dxa"/>
            <w:hideMark/>
          </w:tcPr>
          <w:p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435" w:type="dxa"/>
            <w:hideMark/>
          </w:tcPr>
          <w:p w:rsidR="00106BE9" w:rsidRPr="00B7502F" w:rsidRDefault="00106BE9" w:rsidP="00130A35">
            <w:pPr>
              <w:spacing w:before="75" w:after="75" w:line="240" w:lineRule="auto"/>
              <w:rPr>
                <w:rFonts w:ascii="Times New Roman" w:eastAsia="Times New Roman" w:hAnsi="Times New Roman"/>
                <w:sz w:val="24"/>
                <w:szCs w:val="24"/>
                <w:lang w:val="lv-LV" w:eastAsia="lv-LV"/>
              </w:rPr>
            </w:pPr>
            <w:r w:rsidRPr="00935F3B">
              <w:rPr>
                <w:rFonts w:ascii="Times New Roman" w:eastAsia="Times New Roman" w:hAnsi="Times New Roman"/>
                <w:noProof/>
                <w:sz w:val="24"/>
                <w:szCs w:val="24"/>
                <w:lang w:val="lv-LV" w:eastAsia="lv-LV"/>
              </w:rPr>
              <w:t> </w:t>
            </w:r>
            <w:r w:rsidR="00DC5584" w:rsidRPr="00935F3B">
              <w:rPr>
                <w:rFonts w:ascii="Times New Roman" w:hAnsi="Times New Roman"/>
                <w:noProof/>
                <w:sz w:val="24"/>
                <w:szCs w:val="24"/>
                <w:lang w:val="lv-LV"/>
              </w:rPr>
              <w:t>Pašreizējā situācija un problēmas, kuru risināšanai tiesību akta projekts izstrādāts, tiesiskā regulējuma mērķis un būtība</w:t>
            </w:r>
          </w:p>
        </w:tc>
        <w:tc>
          <w:tcPr>
            <w:tcW w:w="6562" w:type="dxa"/>
            <w:hideMark/>
          </w:tcPr>
          <w:p w:rsidR="002606C4" w:rsidRPr="005B4E61" w:rsidRDefault="00665CD6" w:rsidP="0098193B">
            <w:pPr>
              <w:pStyle w:val="NoSpacing"/>
              <w:jc w:val="both"/>
              <w:rPr>
                <w:rFonts w:ascii="Times New Roman" w:hAnsi="Times New Roman"/>
                <w:sz w:val="24"/>
                <w:szCs w:val="24"/>
                <w:lang w:val="lv-LV"/>
              </w:rPr>
            </w:pPr>
            <w:r w:rsidRPr="005B4E61">
              <w:rPr>
                <w:rFonts w:ascii="Times New Roman" w:hAnsi="Times New Roman"/>
                <w:noProof/>
                <w:sz w:val="24"/>
                <w:szCs w:val="24"/>
                <w:lang w:val="lv-LV"/>
              </w:rPr>
              <w:t xml:space="preserve">Ministru kabineta rīkojuma projekts </w:t>
            </w:r>
            <w:r w:rsidR="000A4149" w:rsidRPr="005B4E61">
              <w:rPr>
                <w:rFonts w:ascii="Times New Roman" w:hAnsi="Times New Roman"/>
                <w:noProof/>
                <w:sz w:val="24"/>
                <w:szCs w:val="24"/>
                <w:lang w:val="lv-LV"/>
              </w:rPr>
              <w:t>”</w:t>
            </w:r>
            <w:r w:rsidRPr="005B4E61">
              <w:rPr>
                <w:rFonts w:ascii="Times New Roman" w:hAnsi="Times New Roman"/>
                <w:noProof/>
                <w:sz w:val="24"/>
                <w:szCs w:val="24"/>
                <w:lang w:val="lv-LV"/>
              </w:rPr>
              <w:t xml:space="preserve">Par Paula Stradiņa Medicīnas vēstures muzeja reorganizāciju un </w:t>
            </w:r>
            <w:r w:rsidR="00B75BF7" w:rsidRPr="005B4E61">
              <w:rPr>
                <w:rFonts w:ascii="Times New Roman" w:hAnsi="Times New Roman"/>
                <w:noProof/>
                <w:sz w:val="24"/>
                <w:szCs w:val="24"/>
                <w:lang w:val="lv-LV"/>
              </w:rPr>
              <w:t>tās  struktūrvienības - filiāles ”Jēkaba Prīmaņa Anatomijas muzejs”</w:t>
            </w:r>
            <w:r w:rsidRPr="005B4E61">
              <w:rPr>
                <w:rFonts w:ascii="Times New Roman" w:hAnsi="Times New Roman"/>
                <w:noProof/>
                <w:sz w:val="24"/>
                <w:szCs w:val="24"/>
                <w:lang w:val="lv-LV"/>
              </w:rPr>
              <w:t xml:space="preserve"> nodo</w:t>
            </w:r>
            <w:r w:rsidR="00B75BF7" w:rsidRPr="005B4E61">
              <w:rPr>
                <w:rFonts w:ascii="Times New Roman" w:hAnsi="Times New Roman"/>
                <w:noProof/>
                <w:sz w:val="24"/>
                <w:szCs w:val="24"/>
                <w:lang w:val="lv-LV"/>
              </w:rPr>
              <w:t>š</w:t>
            </w:r>
            <w:r w:rsidRPr="005B4E61">
              <w:rPr>
                <w:rFonts w:ascii="Times New Roman" w:hAnsi="Times New Roman"/>
                <w:noProof/>
                <w:sz w:val="24"/>
                <w:szCs w:val="24"/>
                <w:lang w:val="lv-LV"/>
              </w:rPr>
              <w:t xml:space="preserve">anu Rīgas Stradiņa universitātei” </w:t>
            </w:r>
            <w:r w:rsidR="00B75BF7" w:rsidRPr="005B4E61">
              <w:rPr>
                <w:rFonts w:ascii="Times New Roman" w:hAnsi="Times New Roman"/>
                <w:noProof/>
                <w:sz w:val="24"/>
                <w:szCs w:val="24"/>
                <w:lang w:val="lv-LV"/>
              </w:rPr>
              <w:t xml:space="preserve">(turpmāk – rīkojuma projekts) </w:t>
            </w:r>
            <w:r w:rsidR="0029050E" w:rsidRPr="005B4E61">
              <w:rPr>
                <w:rFonts w:ascii="Times New Roman" w:hAnsi="Times New Roman"/>
                <w:noProof/>
                <w:sz w:val="24"/>
                <w:szCs w:val="24"/>
                <w:lang w:val="lv-LV"/>
              </w:rPr>
              <w:t xml:space="preserve">paredz  reorganizēt veselības </w:t>
            </w:r>
            <w:r w:rsidRPr="005B4E61">
              <w:rPr>
                <w:rFonts w:ascii="Times New Roman" w:hAnsi="Times New Roman"/>
                <w:noProof/>
                <w:sz w:val="24"/>
                <w:szCs w:val="24"/>
                <w:lang w:val="lv-LV"/>
              </w:rPr>
              <w:t>ministra pakļautībā esoš</w:t>
            </w:r>
            <w:r w:rsidR="000A4149" w:rsidRPr="005B4E61">
              <w:rPr>
                <w:rFonts w:ascii="Times New Roman" w:hAnsi="Times New Roman"/>
                <w:noProof/>
                <w:sz w:val="24"/>
                <w:szCs w:val="24"/>
                <w:lang w:val="lv-LV"/>
              </w:rPr>
              <w:t>o</w:t>
            </w:r>
            <w:r w:rsidR="00B7502F">
              <w:rPr>
                <w:rFonts w:ascii="Times New Roman" w:hAnsi="Times New Roman"/>
                <w:noProof/>
                <w:sz w:val="24"/>
                <w:szCs w:val="24"/>
                <w:lang w:val="lv-LV"/>
              </w:rPr>
              <w:t xml:space="preserve"> tiešā</w:t>
            </w:r>
            <w:r w:rsidRPr="005B4E61">
              <w:rPr>
                <w:rFonts w:ascii="Times New Roman" w:hAnsi="Times New Roman"/>
                <w:noProof/>
                <w:sz w:val="24"/>
                <w:szCs w:val="24"/>
                <w:lang w:val="lv-LV"/>
              </w:rPr>
              <w:t>s parvaldes iestād</w:t>
            </w:r>
            <w:r w:rsidR="0029050E" w:rsidRPr="005B4E61">
              <w:rPr>
                <w:rFonts w:ascii="Times New Roman" w:hAnsi="Times New Roman"/>
                <w:noProof/>
                <w:sz w:val="24"/>
                <w:szCs w:val="24"/>
                <w:lang w:val="lv-LV"/>
              </w:rPr>
              <w:t>i</w:t>
            </w:r>
            <w:r w:rsidRPr="005B4E61">
              <w:rPr>
                <w:rFonts w:ascii="Times New Roman" w:hAnsi="Times New Roman"/>
                <w:noProof/>
                <w:sz w:val="24"/>
                <w:szCs w:val="24"/>
                <w:lang w:val="lv-LV"/>
              </w:rPr>
              <w:t xml:space="preserve"> ”Paula Stradiņa medicīna</w:t>
            </w:r>
            <w:r w:rsidR="0029050E" w:rsidRPr="005B4E61">
              <w:rPr>
                <w:rFonts w:ascii="Times New Roman" w:hAnsi="Times New Roman"/>
                <w:noProof/>
                <w:sz w:val="24"/>
                <w:szCs w:val="24"/>
                <w:lang w:val="lv-LV"/>
              </w:rPr>
              <w:t xml:space="preserve">s </w:t>
            </w:r>
            <w:r w:rsidRPr="005B4E61">
              <w:rPr>
                <w:rFonts w:ascii="Times New Roman" w:hAnsi="Times New Roman"/>
                <w:noProof/>
                <w:sz w:val="24"/>
                <w:szCs w:val="24"/>
                <w:lang w:val="lv-LV"/>
              </w:rPr>
              <w:t>vēstures muzejs”</w:t>
            </w:r>
            <w:r w:rsidR="0029050E" w:rsidRPr="005B4E61">
              <w:rPr>
                <w:rFonts w:ascii="Times New Roman" w:hAnsi="Times New Roman"/>
                <w:noProof/>
                <w:sz w:val="24"/>
                <w:szCs w:val="24"/>
                <w:lang w:val="lv-LV"/>
              </w:rPr>
              <w:t xml:space="preserve">, atdalot no tās struktūrvienību – filiāli </w:t>
            </w:r>
            <w:r w:rsidRPr="005B4E61">
              <w:rPr>
                <w:rFonts w:ascii="Times New Roman" w:hAnsi="Times New Roman"/>
                <w:noProof/>
                <w:sz w:val="24"/>
                <w:szCs w:val="24"/>
                <w:lang w:val="lv-LV"/>
              </w:rPr>
              <w:t>”Jēkaba Prīmaņa Anatomijas muzejs”</w:t>
            </w:r>
            <w:r w:rsidR="0029050E" w:rsidRPr="005B4E61">
              <w:rPr>
                <w:rFonts w:ascii="Times New Roman" w:hAnsi="Times New Roman"/>
                <w:noProof/>
                <w:sz w:val="24"/>
                <w:szCs w:val="24"/>
                <w:lang w:val="lv-LV"/>
              </w:rPr>
              <w:t xml:space="preserve"> (turpmāk – </w:t>
            </w:r>
            <w:r w:rsidR="00925D5D">
              <w:rPr>
                <w:rFonts w:ascii="Times New Roman" w:hAnsi="Times New Roman"/>
                <w:noProof/>
                <w:sz w:val="24"/>
                <w:szCs w:val="24"/>
                <w:lang w:val="lv-LV"/>
              </w:rPr>
              <w:t xml:space="preserve">Prīmaņa </w:t>
            </w:r>
            <w:r w:rsidR="0029050E" w:rsidRPr="005B4E61">
              <w:rPr>
                <w:rFonts w:ascii="Times New Roman" w:hAnsi="Times New Roman"/>
                <w:noProof/>
                <w:sz w:val="24"/>
                <w:szCs w:val="24"/>
                <w:lang w:val="lv-LV"/>
              </w:rPr>
              <w:t>Anatomijas muzejs)</w:t>
            </w:r>
            <w:r w:rsidR="000A4149" w:rsidRPr="005B4E61">
              <w:rPr>
                <w:rFonts w:ascii="Times New Roman" w:hAnsi="Times New Roman"/>
                <w:noProof/>
                <w:sz w:val="24"/>
                <w:szCs w:val="24"/>
                <w:lang w:val="lv-LV"/>
              </w:rPr>
              <w:t>,</w:t>
            </w:r>
            <w:r w:rsidR="0029050E" w:rsidRPr="005B4E61">
              <w:rPr>
                <w:rFonts w:ascii="Times New Roman" w:hAnsi="Times New Roman"/>
                <w:noProof/>
                <w:sz w:val="24"/>
                <w:szCs w:val="24"/>
                <w:lang w:val="lv-LV"/>
              </w:rPr>
              <w:t xml:space="preserve"> un nodot </w:t>
            </w:r>
            <w:r w:rsidR="00925D5D">
              <w:rPr>
                <w:rFonts w:ascii="Times New Roman" w:hAnsi="Times New Roman"/>
                <w:noProof/>
                <w:sz w:val="24"/>
                <w:szCs w:val="24"/>
                <w:lang w:val="lv-LV"/>
              </w:rPr>
              <w:t xml:space="preserve">Prīmaņa </w:t>
            </w:r>
            <w:r w:rsidR="000A4149" w:rsidRPr="005B4E61">
              <w:rPr>
                <w:rFonts w:ascii="Times New Roman" w:hAnsi="Times New Roman"/>
                <w:noProof/>
                <w:sz w:val="24"/>
                <w:szCs w:val="24"/>
                <w:lang w:val="lv-LV"/>
              </w:rPr>
              <w:t>Anatomijas muzeju</w:t>
            </w:r>
            <w:r w:rsidR="0029050E" w:rsidRPr="005B4E61">
              <w:rPr>
                <w:rFonts w:ascii="Times New Roman" w:hAnsi="Times New Roman"/>
                <w:noProof/>
                <w:sz w:val="24"/>
                <w:szCs w:val="24"/>
                <w:lang w:val="lv-LV"/>
              </w:rPr>
              <w:t xml:space="preserve"> Rīgas Stradiņa</w:t>
            </w:r>
            <w:r w:rsidR="00B7502F">
              <w:rPr>
                <w:rFonts w:ascii="Times New Roman" w:hAnsi="Times New Roman"/>
                <w:noProof/>
                <w:sz w:val="24"/>
                <w:szCs w:val="24"/>
                <w:lang w:val="lv-LV"/>
              </w:rPr>
              <w:t xml:space="preserve"> universitātei (turpmāk – RSU)</w:t>
            </w:r>
            <w:r w:rsidR="002A40C1" w:rsidRPr="005B4E61">
              <w:rPr>
                <w:rFonts w:ascii="Times New Roman" w:hAnsi="Times New Roman"/>
                <w:noProof/>
                <w:sz w:val="24"/>
                <w:szCs w:val="24"/>
                <w:lang w:val="lv-LV"/>
              </w:rPr>
              <w:t xml:space="preserve">. </w:t>
            </w:r>
            <w:r w:rsidR="00130A35">
              <w:rPr>
                <w:rFonts w:ascii="Times New Roman" w:hAnsi="Times New Roman"/>
                <w:noProof/>
                <w:sz w:val="24"/>
                <w:szCs w:val="24"/>
                <w:lang w:val="lv-LV"/>
              </w:rPr>
              <w:t xml:space="preserve">Prīmaņa </w:t>
            </w:r>
            <w:r w:rsidR="002A40C1" w:rsidRPr="005B4E61">
              <w:rPr>
                <w:rFonts w:ascii="Times New Roman" w:hAnsi="Times New Roman"/>
                <w:sz w:val="24"/>
                <w:szCs w:val="24"/>
                <w:lang w:val="lv-LV"/>
              </w:rPr>
              <w:t xml:space="preserve">Anatomijas muzejs jau no tā pirmsākumiem atrodas </w:t>
            </w:r>
            <w:r w:rsidR="000A4149" w:rsidRPr="005B4E61">
              <w:rPr>
                <w:rFonts w:ascii="Times New Roman" w:hAnsi="Times New Roman"/>
                <w:sz w:val="24"/>
                <w:szCs w:val="24"/>
                <w:lang w:val="lv-LV"/>
              </w:rPr>
              <w:t>Kronvalda bulvārī 9, Rīgā</w:t>
            </w:r>
            <w:r w:rsidR="00925D5D">
              <w:rPr>
                <w:rFonts w:ascii="Times New Roman" w:hAnsi="Times New Roman"/>
                <w:sz w:val="24"/>
                <w:szCs w:val="24"/>
                <w:lang w:val="lv-LV"/>
              </w:rPr>
              <w:t xml:space="preserve">, </w:t>
            </w:r>
            <w:r w:rsidR="000A4149" w:rsidRPr="005B4E61">
              <w:rPr>
                <w:rFonts w:ascii="Times New Roman" w:hAnsi="Times New Roman"/>
                <w:sz w:val="24"/>
                <w:szCs w:val="24"/>
                <w:lang w:val="lv-LV"/>
              </w:rPr>
              <w:t>RSU valdījumā nodotā nekustamā īpašumā, kur</w:t>
            </w:r>
            <w:r w:rsidR="00130A35">
              <w:rPr>
                <w:rFonts w:ascii="Times New Roman" w:hAnsi="Times New Roman"/>
                <w:sz w:val="24"/>
                <w:szCs w:val="24"/>
                <w:lang w:val="lv-LV"/>
              </w:rPr>
              <w:t>ā</w:t>
            </w:r>
            <w:r w:rsidR="000A4149" w:rsidRPr="005B4E61">
              <w:rPr>
                <w:rFonts w:ascii="Times New Roman" w:hAnsi="Times New Roman"/>
                <w:sz w:val="24"/>
                <w:szCs w:val="24"/>
                <w:lang w:val="lv-LV"/>
              </w:rPr>
              <w:t xml:space="preserve"> atrodas arī </w:t>
            </w:r>
            <w:r w:rsidR="002A40C1" w:rsidRPr="005B4E61">
              <w:rPr>
                <w:rFonts w:ascii="Times New Roman" w:hAnsi="Times New Roman"/>
                <w:sz w:val="24"/>
                <w:szCs w:val="24"/>
                <w:lang w:val="lv-LV"/>
              </w:rPr>
              <w:t>RSU</w:t>
            </w:r>
            <w:r w:rsidR="006A44C4" w:rsidRPr="005B4E61">
              <w:rPr>
                <w:rFonts w:ascii="Times New Roman" w:hAnsi="Times New Roman"/>
                <w:sz w:val="24"/>
                <w:szCs w:val="24"/>
                <w:lang w:val="lv-LV"/>
              </w:rPr>
              <w:t xml:space="preserve"> Anatomijas un</w:t>
            </w:r>
            <w:r w:rsidR="00130A35">
              <w:rPr>
                <w:rFonts w:ascii="Times New Roman" w:hAnsi="Times New Roman"/>
                <w:sz w:val="24"/>
                <w:szCs w:val="24"/>
                <w:lang w:val="lv-LV"/>
              </w:rPr>
              <w:t xml:space="preserve"> antropoloģijas institūts (jeb A</w:t>
            </w:r>
            <w:r w:rsidR="006A44C4" w:rsidRPr="005B4E61">
              <w:rPr>
                <w:rFonts w:ascii="Times New Roman" w:hAnsi="Times New Roman"/>
                <w:sz w:val="24"/>
                <w:szCs w:val="24"/>
                <w:lang w:val="lv-LV"/>
              </w:rPr>
              <w:t>natomikums)</w:t>
            </w:r>
            <w:r w:rsidR="002606C4" w:rsidRPr="005B4E61">
              <w:rPr>
                <w:rFonts w:ascii="Times New Roman" w:hAnsi="Times New Roman"/>
                <w:sz w:val="24"/>
                <w:szCs w:val="24"/>
                <w:lang w:val="lv-LV"/>
              </w:rPr>
              <w:t>.</w:t>
            </w:r>
          </w:p>
          <w:p w:rsidR="002A40C1" w:rsidRPr="005B4E61" w:rsidRDefault="00130A35" w:rsidP="0098193B">
            <w:pPr>
              <w:pStyle w:val="NoSpacing"/>
              <w:jc w:val="both"/>
              <w:rPr>
                <w:rFonts w:ascii="Times New Roman" w:hAnsi="Times New Roman"/>
                <w:sz w:val="24"/>
                <w:szCs w:val="24"/>
                <w:lang w:val="lv-LV"/>
              </w:rPr>
            </w:pPr>
            <w:r>
              <w:rPr>
                <w:rFonts w:ascii="Times New Roman" w:hAnsi="Times New Roman"/>
                <w:sz w:val="24"/>
                <w:szCs w:val="24"/>
                <w:lang w:val="lv-LV"/>
              </w:rPr>
              <w:t>Muzeja kolekciju A</w:t>
            </w:r>
            <w:r w:rsidR="002A40C1" w:rsidRPr="005B4E61">
              <w:rPr>
                <w:rFonts w:ascii="Times New Roman" w:hAnsi="Times New Roman"/>
                <w:sz w:val="24"/>
                <w:szCs w:val="24"/>
                <w:lang w:val="lv-LV"/>
              </w:rPr>
              <w:t>natomikumā uzsāka veidot 20. gadsimta 20.</w:t>
            </w:r>
            <w:r w:rsidR="0098193B">
              <w:rPr>
                <w:rFonts w:ascii="Times New Roman" w:hAnsi="Times New Roman"/>
                <w:sz w:val="24"/>
                <w:szCs w:val="24"/>
                <w:lang w:val="lv-LV"/>
              </w:rPr>
              <w:t xml:space="preserve"> </w:t>
            </w:r>
            <w:r w:rsidR="002A40C1" w:rsidRPr="005B4E61">
              <w:rPr>
                <w:rFonts w:ascii="Times New Roman" w:hAnsi="Times New Roman"/>
                <w:sz w:val="24"/>
                <w:szCs w:val="24"/>
                <w:lang w:val="lv-LV"/>
              </w:rPr>
              <w:t xml:space="preserve">gados kā mācību palīglīdzekli Medicīnas fakultātes studijām. Līdz 1987. gadam </w:t>
            </w:r>
            <w:r w:rsidR="00925D5D">
              <w:rPr>
                <w:rFonts w:ascii="Times New Roman" w:hAnsi="Times New Roman"/>
                <w:sz w:val="24"/>
                <w:szCs w:val="24"/>
                <w:lang w:val="lv-LV"/>
              </w:rPr>
              <w:t xml:space="preserve">Prīmaņa </w:t>
            </w:r>
            <w:r w:rsidR="002A40C1" w:rsidRPr="005B4E61">
              <w:rPr>
                <w:rFonts w:ascii="Times New Roman" w:hAnsi="Times New Roman"/>
                <w:sz w:val="24"/>
                <w:szCs w:val="24"/>
                <w:lang w:val="lv-LV"/>
              </w:rPr>
              <w:t>Anatomijas muzeja kolekciju uzturēja RSU priekštecis - Rīgas Medicīnas institūts.</w:t>
            </w:r>
          </w:p>
          <w:p w:rsidR="002A40C1" w:rsidRPr="005B4E61" w:rsidRDefault="002A40C1" w:rsidP="0098193B">
            <w:pPr>
              <w:pStyle w:val="NoSpacing"/>
              <w:jc w:val="both"/>
              <w:rPr>
                <w:rFonts w:ascii="Times New Roman" w:hAnsi="Times New Roman"/>
                <w:sz w:val="24"/>
                <w:szCs w:val="24"/>
                <w:lang w:val="lv-LV"/>
              </w:rPr>
            </w:pPr>
            <w:r w:rsidRPr="005B4E61">
              <w:rPr>
                <w:rFonts w:ascii="Times New Roman" w:hAnsi="Times New Roman"/>
                <w:sz w:val="24"/>
                <w:szCs w:val="24"/>
                <w:lang w:val="lv-LV"/>
              </w:rPr>
              <w:t>RSU Senāts 2016.gada 22.novembrī pieņēma lēmumu</w:t>
            </w:r>
            <w:r w:rsidR="00B03543">
              <w:rPr>
                <w:rFonts w:ascii="Times New Roman" w:hAnsi="Times New Roman"/>
                <w:sz w:val="24"/>
                <w:szCs w:val="24"/>
                <w:lang w:val="lv-LV"/>
              </w:rPr>
              <w:t xml:space="preserve"> (sēdes prot.1-2/22.11.16  4.p.)</w:t>
            </w:r>
            <w:r w:rsidRPr="005B4E61">
              <w:rPr>
                <w:rFonts w:ascii="Times New Roman" w:hAnsi="Times New Roman"/>
                <w:sz w:val="24"/>
                <w:szCs w:val="24"/>
                <w:lang w:val="lv-LV"/>
              </w:rPr>
              <w:t xml:space="preserve"> atbalstīt </w:t>
            </w:r>
            <w:r w:rsidR="00925D5D">
              <w:rPr>
                <w:rFonts w:ascii="Times New Roman" w:hAnsi="Times New Roman"/>
                <w:sz w:val="24"/>
                <w:szCs w:val="24"/>
                <w:lang w:val="lv-LV"/>
              </w:rPr>
              <w:t xml:space="preserve">Prīmaņa </w:t>
            </w:r>
            <w:r w:rsidRPr="005B4E61">
              <w:rPr>
                <w:rFonts w:ascii="Times New Roman" w:hAnsi="Times New Roman"/>
                <w:sz w:val="24"/>
                <w:szCs w:val="24"/>
                <w:lang w:val="lv-LV"/>
              </w:rPr>
              <w:t>Anatomijas muzeja nodošanu RSU.</w:t>
            </w:r>
            <w:r w:rsidR="002606C4" w:rsidRPr="005B4E61">
              <w:rPr>
                <w:rFonts w:ascii="Times New Roman" w:hAnsi="Times New Roman"/>
                <w:sz w:val="24"/>
                <w:szCs w:val="24"/>
                <w:lang w:val="lv-LV"/>
              </w:rPr>
              <w:t xml:space="preserve"> RSU lūdza Veselības ministriju atbalstīt </w:t>
            </w:r>
            <w:r w:rsidR="00925D5D">
              <w:rPr>
                <w:rFonts w:ascii="Times New Roman" w:hAnsi="Times New Roman"/>
                <w:sz w:val="24"/>
                <w:szCs w:val="24"/>
                <w:lang w:val="lv-LV"/>
              </w:rPr>
              <w:t xml:space="preserve">Prīmaņa </w:t>
            </w:r>
            <w:r w:rsidR="002606C4" w:rsidRPr="005B4E61">
              <w:rPr>
                <w:rFonts w:ascii="Times New Roman" w:hAnsi="Times New Roman"/>
                <w:sz w:val="24"/>
                <w:szCs w:val="24"/>
                <w:lang w:val="lv-LV"/>
              </w:rPr>
              <w:t>Anatomijas muzeja nodošanu RSU.</w:t>
            </w:r>
          </w:p>
          <w:p w:rsidR="002A40C1" w:rsidRPr="005B4E61" w:rsidRDefault="002A40C1" w:rsidP="0098193B">
            <w:pPr>
              <w:pStyle w:val="NoSpacing"/>
              <w:jc w:val="both"/>
              <w:rPr>
                <w:rFonts w:ascii="Times New Roman" w:hAnsi="Times New Roman"/>
                <w:sz w:val="24"/>
                <w:szCs w:val="24"/>
                <w:lang w:val="lv-LV"/>
              </w:rPr>
            </w:pPr>
            <w:r w:rsidRPr="005B4E61">
              <w:rPr>
                <w:rFonts w:ascii="Times New Roman" w:hAnsi="Times New Roman"/>
                <w:sz w:val="24"/>
                <w:szCs w:val="24"/>
                <w:lang w:val="lv-LV"/>
              </w:rPr>
              <w:t xml:space="preserve">Pēc nodošanas RSU </w:t>
            </w:r>
            <w:r w:rsidR="00925D5D">
              <w:rPr>
                <w:rFonts w:ascii="Times New Roman" w:hAnsi="Times New Roman"/>
                <w:sz w:val="24"/>
                <w:szCs w:val="24"/>
                <w:lang w:val="lv-LV"/>
              </w:rPr>
              <w:t xml:space="preserve">Prīmaņa </w:t>
            </w:r>
            <w:r w:rsidRPr="005B4E61">
              <w:rPr>
                <w:rFonts w:ascii="Times New Roman" w:hAnsi="Times New Roman"/>
                <w:sz w:val="24"/>
                <w:szCs w:val="24"/>
                <w:lang w:val="lv-LV"/>
              </w:rPr>
              <w:t>Anatomijas muzej</w:t>
            </w:r>
            <w:r w:rsidR="00220C11" w:rsidRPr="005B4E61">
              <w:rPr>
                <w:rFonts w:ascii="Times New Roman" w:hAnsi="Times New Roman"/>
                <w:sz w:val="24"/>
                <w:szCs w:val="24"/>
                <w:lang w:val="lv-LV"/>
              </w:rPr>
              <w:t>u plānots</w:t>
            </w:r>
            <w:r w:rsidRPr="005B4E61">
              <w:rPr>
                <w:rFonts w:ascii="Times New Roman" w:hAnsi="Times New Roman"/>
                <w:sz w:val="24"/>
                <w:szCs w:val="24"/>
                <w:lang w:val="lv-LV"/>
              </w:rPr>
              <w:t xml:space="preserve"> apvienot ar </w:t>
            </w:r>
            <w:r w:rsidR="00220C11" w:rsidRPr="005B4E61">
              <w:rPr>
                <w:rFonts w:ascii="Times New Roman" w:hAnsi="Times New Roman"/>
                <w:sz w:val="24"/>
                <w:szCs w:val="24"/>
                <w:lang w:val="lv-LV"/>
              </w:rPr>
              <w:t xml:space="preserve">RSU </w:t>
            </w:r>
            <w:r w:rsidRPr="005B4E61">
              <w:rPr>
                <w:rFonts w:ascii="Times New Roman" w:hAnsi="Times New Roman"/>
                <w:sz w:val="24"/>
                <w:szCs w:val="24"/>
                <w:lang w:val="lv-LV"/>
              </w:rPr>
              <w:t>muzej</w:t>
            </w:r>
            <w:r w:rsidR="009B47FF">
              <w:rPr>
                <w:rFonts w:ascii="Times New Roman" w:hAnsi="Times New Roman"/>
                <w:sz w:val="24"/>
                <w:szCs w:val="24"/>
                <w:lang w:val="lv-LV"/>
              </w:rPr>
              <w:t>u</w:t>
            </w:r>
            <w:r w:rsidRPr="005B4E61">
              <w:rPr>
                <w:rFonts w:ascii="Times New Roman" w:hAnsi="Times New Roman"/>
                <w:sz w:val="24"/>
                <w:szCs w:val="24"/>
                <w:lang w:val="lv-LV"/>
              </w:rPr>
              <w:t xml:space="preserve">, veidojot vienotu RSU muzeju ar kopīgu infrastruktūru un personālu. RSU muzejs pēdējos gados ir attīstījies un </w:t>
            </w:r>
            <w:r w:rsidR="00130A35">
              <w:rPr>
                <w:rFonts w:ascii="Times New Roman" w:hAnsi="Times New Roman"/>
                <w:sz w:val="24"/>
                <w:szCs w:val="24"/>
                <w:lang w:val="lv-LV"/>
              </w:rPr>
              <w:t xml:space="preserve">tas </w:t>
            </w:r>
            <w:r w:rsidRPr="005B4E61">
              <w:rPr>
                <w:rFonts w:ascii="Times New Roman" w:hAnsi="Times New Roman"/>
                <w:sz w:val="24"/>
                <w:szCs w:val="24"/>
                <w:lang w:val="lv-LV"/>
              </w:rPr>
              <w:t>2015.gada 9.novembrī no Kultūras ministrijas saņēma Muzeja akreditācijas apliecību Nr.</w:t>
            </w:r>
            <w:r w:rsidR="00220C11" w:rsidRPr="005B4E61">
              <w:rPr>
                <w:rFonts w:ascii="Times New Roman" w:hAnsi="Times New Roman"/>
                <w:sz w:val="24"/>
                <w:szCs w:val="24"/>
                <w:lang w:val="lv-LV"/>
              </w:rPr>
              <w:t>125.</w:t>
            </w:r>
            <w:r w:rsidR="00B7502F">
              <w:rPr>
                <w:rFonts w:ascii="Times New Roman" w:hAnsi="Times New Roman"/>
                <w:sz w:val="24"/>
                <w:szCs w:val="24"/>
                <w:lang w:val="lv-LV"/>
              </w:rPr>
              <w:t xml:space="preserve"> </w:t>
            </w:r>
            <w:r w:rsidR="00925D5D">
              <w:rPr>
                <w:rFonts w:ascii="Times New Roman" w:hAnsi="Times New Roman"/>
                <w:sz w:val="24"/>
                <w:szCs w:val="24"/>
                <w:lang w:val="lv-LV"/>
              </w:rPr>
              <w:t>RSU muzej</w:t>
            </w:r>
            <w:r w:rsidR="00693C00">
              <w:rPr>
                <w:rFonts w:ascii="Times New Roman" w:hAnsi="Times New Roman"/>
                <w:sz w:val="24"/>
                <w:szCs w:val="24"/>
                <w:lang w:val="lv-LV"/>
              </w:rPr>
              <w:t>a krājums</w:t>
            </w:r>
            <w:r w:rsidR="00925D5D">
              <w:rPr>
                <w:rFonts w:ascii="Times New Roman" w:hAnsi="Times New Roman"/>
                <w:sz w:val="24"/>
                <w:szCs w:val="24"/>
                <w:lang w:val="lv-LV"/>
              </w:rPr>
              <w:t xml:space="preserve"> ir Nacionālā muzeju krājuma sastāvdaļa</w:t>
            </w:r>
            <w:r w:rsidR="005B26A1">
              <w:rPr>
                <w:rFonts w:ascii="Times New Roman" w:hAnsi="Times New Roman"/>
                <w:sz w:val="24"/>
                <w:szCs w:val="24"/>
                <w:lang w:val="lv-LV"/>
              </w:rPr>
              <w:t>, k</w:t>
            </w:r>
            <w:r w:rsidR="00693C00">
              <w:rPr>
                <w:rFonts w:ascii="Times New Roman" w:hAnsi="Times New Roman"/>
                <w:sz w:val="24"/>
                <w:szCs w:val="24"/>
                <w:lang w:val="lv-LV"/>
              </w:rPr>
              <w:t>ura uzturēšanu nodrošina</w:t>
            </w:r>
            <w:r w:rsidR="005B26A1">
              <w:rPr>
                <w:rFonts w:ascii="Times New Roman" w:hAnsi="Times New Roman"/>
                <w:sz w:val="24"/>
                <w:szCs w:val="24"/>
                <w:lang w:val="lv-LV"/>
              </w:rPr>
              <w:t xml:space="preserve"> RSU </w:t>
            </w:r>
            <w:r w:rsidR="00693C00">
              <w:rPr>
                <w:rFonts w:ascii="Times New Roman" w:hAnsi="Times New Roman"/>
                <w:sz w:val="24"/>
                <w:szCs w:val="24"/>
                <w:lang w:val="lv-LV"/>
              </w:rPr>
              <w:t>(</w:t>
            </w:r>
            <w:r w:rsidR="0014762F">
              <w:rPr>
                <w:rFonts w:ascii="Times New Roman" w:hAnsi="Times New Roman"/>
                <w:sz w:val="24"/>
                <w:szCs w:val="24"/>
                <w:lang w:val="lv-LV"/>
              </w:rPr>
              <w:t xml:space="preserve">RSU </w:t>
            </w:r>
            <w:r w:rsidR="005B26A1">
              <w:rPr>
                <w:rFonts w:ascii="Times New Roman" w:hAnsi="Times New Roman"/>
                <w:sz w:val="24"/>
                <w:szCs w:val="24"/>
                <w:lang w:val="lv-LV"/>
              </w:rPr>
              <w:t>Komunikācijas departamenta struktūrvienība</w:t>
            </w:r>
            <w:r w:rsidR="00693C00">
              <w:rPr>
                <w:rFonts w:ascii="Times New Roman" w:hAnsi="Times New Roman"/>
                <w:sz w:val="24"/>
                <w:szCs w:val="24"/>
                <w:lang w:val="lv-LV"/>
              </w:rPr>
              <w:t>).</w:t>
            </w:r>
          </w:p>
          <w:p w:rsidR="0047706A" w:rsidRDefault="002A40C1" w:rsidP="00C53D1A">
            <w:pPr>
              <w:pStyle w:val="BodyText1"/>
              <w:shd w:val="clear" w:color="auto" w:fill="auto"/>
              <w:spacing w:after="0" w:line="240" w:lineRule="auto"/>
              <w:ind w:firstLine="0"/>
              <w:jc w:val="both"/>
              <w:rPr>
                <w:sz w:val="24"/>
                <w:szCs w:val="24"/>
              </w:rPr>
            </w:pPr>
            <w:r w:rsidRPr="005B4E61">
              <w:rPr>
                <w:sz w:val="24"/>
                <w:szCs w:val="24"/>
              </w:rPr>
              <w:t xml:space="preserve">Lai nodrošinātu </w:t>
            </w:r>
            <w:r w:rsidR="00925D5D">
              <w:rPr>
                <w:sz w:val="24"/>
                <w:szCs w:val="24"/>
              </w:rPr>
              <w:t xml:space="preserve">Prīmaņa </w:t>
            </w:r>
            <w:r w:rsidRPr="005B4E61">
              <w:rPr>
                <w:sz w:val="24"/>
                <w:szCs w:val="24"/>
              </w:rPr>
              <w:t>Anatomijas muzeja pieejamību un darbu jaunā kvalitātē, RSU plāno ieguldīt līdzekļus atsevišķas muzejam piemērotas ēkas renovācijā vēsturiskajā Anatomikum</w:t>
            </w:r>
            <w:r w:rsidR="00220C11" w:rsidRPr="005B4E61">
              <w:rPr>
                <w:sz w:val="24"/>
                <w:szCs w:val="24"/>
              </w:rPr>
              <w:t>a</w:t>
            </w:r>
            <w:r w:rsidRPr="005B4E61">
              <w:rPr>
                <w:sz w:val="24"/>
                <w:szCs w:val="24"/>
              </w:rPr>
              <w:t xml:space="preserve"> ēku kompleksā Kronvalda bulvārī 9, Rīgā. </w:t>
            </w:r>
            <w:r w:rsidR="003F000D">
              <w:rPr>
                <w:sz w:val="24"/>
                <w:szCs w:val="24"/>
              </w:rPr>
              <w:t xml:space="preserve">Muzeja </w:t>
            </w:r>
            <w:r w:rsidR="00125C05">
              <w:rPr>
                <w:sz w:val="24"/>
                <w:szCs w:val="24"/>
              </w:rPr>
              <w:t>ē</w:t>
            </w:r>
            <w:r w:rsidR="003F000D" w:rsidRPr="005B4E61">
              <w:rPr>
                <w:sz w:val="24"/>
                <w:szCs w:val="24"/>
              </w:rPr>
              <w:t xml:space="preserve">kas renovācijas </w:t>
            </w:r>
            <w:r w:rsidR="003F000D" w:rsidRPr="005B4E61">
              <w:rPr>
                <w:sz w:val="24"/>
                <w:szCs w:val="24"/>
              </w:rPr>
              <w:lastRenderedPageBreak/>
              <w:t>projektu ir saskaņojusi Valsts kultūras pieminekļu aizsardzības inspekcija.</w:t>
            </w:r>
            <w:r w:rsidR="003F000D">
              <w:rPr>
                <w:sz w:val="24"/>
                <w:szCs w:val="24"/>
              </w:rPr>
              <w:t xml:space="preserve"> </w:t>
            </w:r>
            <w:r w:rsidR="00925D5D">
              <w:rPr>
                <w:sz w:val="24"/>
                <w:szCs w:val="24"/>
              </w:rPr>
              <w:t>RSU m</w:t>
            </w:r>
            <w:r w:rsidRPr="005B4E61">
              <w:rPr>
                <w:sz w:val="24"/>
                <w:szCs w:val="24"/>
              </w:rPr>
              <w:t xml:space="preserve">uzeja izvietošana atsevišķā muzeja vajadzībām renovētā ēkā paplašinās iespējas piedāvāt </w:t>
            </w:r>
            <w:r w:rsidR="00925D5D">
              <w:rPr>
                <w:sz w:val="24"/>
                <w:szCs w:val="24"/>
              </w:rPr>
              <w:t xml:space="preserve">Prīmaņa </w:t>
            </w:r>
            <w:r w:rsidR="00220C11" w:rsidRPr="005B4E61">
              <w:rPr>
                <w:sz w:val="24"/>
                <w:szCs w:val="24"/>
              </w:rPr>
              <w:t xml:space="preserve">Anatomijas </w:t>
            </w:r>
            <w:r w:rsidRPr="005B4E61">
              <w:rPr>
                <w:sz w:val="24"/>
                <w:szCs w:val="24"/>
              </w:rPr>
              <w:t xml:space="preserve">muzeja kolekcijas </w:t>
            </w:r>
            <w:r w:rsidR="00220C11" w:rsidRPr="005B4E61">
              <w:rPr>
                <w:sz w:val="24"/>
                <w:szCs w:val="24"/>
              </w:rPr>
              <w:t xml:space="preserve">pieejamību </w:t>
            </w:r>
            <w:r w:rsidR="0047706A">
              <w:rPr>
                <w:sz w:val="24"/>
                <w:szCs w:val="24"/>
              </w:rPr>
              <w:t>plašam interesentu lokam. Muzejs būs pieejams atvērtā veidā. Līdz šim Prīmaņa Anatomijas muzejs bija pieejams, tikai iepriekš piesakoties, kas daļēji ierobežoja muzeja apmeklēšanu. Tiks palielināta iespēja</w:t>
            </w:r>
            <w:r w:rsidRPr="005B4E61">
              <w:rPr>
                <w:sz w:val="24"/>
                <w:szCs w:val="24"/>
              </w:rPr>
              <w:t xml:space="preserve"> veikt muzejpedagoģisko darbu un pētniecību, kā arī organizēt jauniešu profesionālās orientācijas pasākumus. </w:t>
            </w:r>
          </w:p>
          <w:p w:rsidR="002A40C1" w:rsidRPr="005B4E61" w:rsidRDefault="002A40C1" w:rsidP="00C53D1A">
            <w:pPr>
              <w:pStyle w:val="BodyText1"/>
              <w:shd w:val="clear" w:color="auto" w:fill="auto"/>
              <w:spacing w:after="0" w:line="240" w:lineRule="auto"/>
              <w:ind w:firstLine="0"/>
              <w:jc w:val="both"/>
              <w:rPr>
                <w:sz w:val="24"/>
                <w:szCs w:val="24"/>
              </w:rPr>
            </w:pPr>
            <w:r w:rsidRPr="005B4E61">
              <w:rPr>
                <w:sz w:val="24"/>
                <w:szCs w:val="24"/>
              </w:rPr>
              <w:t xml:space="preserve">Paula Stradiņa Medicīnas vēstures muzejs ir valsts iestāde, tādēļ tā struktūrvienības </w:t>
            </w:r>
            <w:r w:rsidR="00ED53DD" w:rsidRPr="005B4E61">
              <w:rPr>
                <w:sz w:val="24"/>
                <w:szCs w:val="24"/>
              </w:rPr>
              <w:t>–</w:t>
            </w:r>
            <w:r w:rsidRPr="005B4E61">
              <w:rPr>
                <w:sz w:val="24"/>
                <w:szCs w:val="24"/>
              </w:rPr>
              <w:t xml:space="preserve"> </w:t>
            </w:r>
            <w:r w:rsidR="00925D5D">
              <w:rPr>
                <w:sz w:val="24"/>
                <w:szCs w:val="24"/>
              </w:rPr>
              <w:t xml:space="preserve">Prīmaņa </w:t>
            </w:r>
            <w:r w:rsidR="00ED53DD" w:rsidRPr="005B4E61">
              <w:rPr>
                <w:sz w:val="24"/>
                <w:szCs w:val="24"/>
              </w:rPr>
              <w:t>Anatomijas muzeja</w:t>
            </w:r>
            <w:r w:rsidRPr="005B4E61">
              <w:rPr>
                <w:sz w:val="24"/>
                <w:szCs w:val="24"/>
              </w:rPr>
              <w:t xml:space="preserve"> nodošanai piemērojams Valsts pārvaldes iekārtas likums un Muzeju likums. Muzeju likuma 8.panta pirmā nosaka, ka valsts muzeju filiāles reorganizē Ministru kabinets pēc Kultūras ministrijas vai citas ministrijas ierosinājuma, konsultējoties ar Muzeju padomi.</w:t>
            </w:r>
            <w:r w:rsidRPr="005B4E61">
              <w:rPr>
                <w:sz w:val="24"/>
                <w:szCs w:val="24"/>
              </w:rPr>
              <w:br w:type="page"/>
            </w:r>
          </w:p>
          <w:p w:rsidR="002A40C1" w:rsidRPr="005B4E61" w:rsidRDefault="00693C00" w:rsidP="00C53D1A">
            <w:pPr>
              <w:pStyle w:val="BodyText1"/>
              <w:shd w:val="clear" w:color="auto" w:fill="auto"/>
              <w:spacing w:after="0" w:line="240" w:lineRule="auto"/>
              <w:ind w:firstLine="0"/>
              <w:jc w:val="both"/>
              <w:rPr>
                <w:sz w:val="24"/>
                <w:szCs w:val="24"/>
              </w:rPr>
            </w:pPr>
            <w:r>
              <w:rPr>
                <w:sz w:val="24"/>
                <w:szCs w:val="24"/>
              </w:rPr>
              <w:t>Veicot Paula Stradiņa M</w:t>
            </w:r>
            <w:r w:rsidR="009D561C" w:rsidRPr="005B4E61">
              <w:rPr>
                <w:sz w:val="24"/>
                <w:szCs w:val="24"/>
              </w:rPr>
              <w:t>edicīnas vēstures muzeja reorganizāciju s</w:t>
            </w:r>
            <w:r w:rsidR="002A40C1" w:rsidRPr="005B4E61">
              <w:rPr>
                <w:sz w:val="24"/>
                <w:szCs w:val="24"/>
              </w:rPr>
              <w:t>askaņā ar Valsts pārvaldes iekārtas likuma 15.panta trešo daļu</w:t>
            </w:r>
            <w:r w:rsidR="009D561C" w:rsidRPr="005B4E61">
              <w:rPr>
                <w:sz w:val="24"/>
                <w:szCs w:val="24"/>
              </w:rPr>
              <w:t>,</w:t>
            </w:r>
            <w:r w:rsidR="002A40C1" w:rsidRPr="005B4E61">
              <w:rPr>
                <w:sz w:val="24"/>
                <w:szCs w:val="24"/>
              </w:rPr>
              <w:t xml:space="preserve"> </w:t>
            </w:r>
            <w:r w:rsidR="00130A35">
              <w:rPr>
                <w:sz w:val="24"/>
                <w:szCs w:val="24"/>
              </w:rPr>
              <w:t xml:space="preserve">pēc </w:t>
            </w:r>
            <w:r w:rsidR="00925D5D">
              <w:rPr>
                <w:sz w:val="24"/>
                <w:szCs w:val="24"/>
              </w:rPr>
              <w:t xml:space="preserve">Prīmaņa </w:t>
            </w:r>
            <w:r w:rsidR="009D561C" w:rsidRPr="005B4E61">
              <w:rPr>
                <w:sz w:val="24"/>
                <w:szCs w:val="24"/>
              </w:rPr>
              <w:t>Anatomijas muzeja (</w:t>
            </w:r>
            <w:r w:rsidR="002A40C1" w:rsidRPr="005B4E61">
              <w:rPr>
                <w:sz w:val="24"/>
                <w:szCs w:val="24"/>
              </w:rPr>
              <w:t>struktūrvienības</w:t>
            </w:r>
            <w:r w:rsidR="009D561C" w:rsidRPr="005B4E61">
              <w:rPr>
                <w:sz w:val="24"/>
                <w:szCs w:val="24"/>
              </w:rPr>
              <w:t>)</w:t>
            </w:r>
            <w:r w:rsidR="002A40C1" w:rsidRPr="005B4E61">
              <w:rPr>
                <w:sz w:val="24"/>
                <w:szCs w:val="24"/>
              </w:rPr>
              <w:t xml:space="preserve"> nodošana</w:t>
            </w:r>
            <w:r w:rsidR="00130A35">
              <w:rPr>
                <w:sz w:val="24"/>
                <w:szCs w:val="24"/>
              </w:rPr>
              <w:t>s</w:t>
            </w:r>
            <w:r w:rsidR="009D561C" w:rsidRPr="005B4E61">
              <w:rPr>
                <w:sz w:val="24"/>
                <w:szCs w:val="24"/>
              </w:rPr>
              <w:t xml:space="preserve"> RSU, reorganiz</w:t>
            </w:r>
            <w:r w:rsidR="00130A35">
              <w:rPr>
                <w:sz w:val="24"/>
                <w:szCs w:val="24"/>
              </w:rPr>
              <w:t>ētā (</w:t>
            </w:r>
            <w:r w:rsidR="002A40C1" w:rsidRPr="005B4E61">
              <w:rPr>
                <w:sz w:val="24"/>
                <w:szCs w:val="24"/>
              </w:rPr>
              <w:t>sadalāmā</w:t>
            </w:r>
            <w:r w:rsidR="00130A35">
              <w:rPr>
                <w:sz w:val="24"/>
                <w:szCs w:val="24"/>
              </w:rPr>
              <w:t>)</w:t>
            </w:r>
            <w:r w:rsidR="002A40C1" w:rsidRPr="005B4E61">
              <w:rPr>
                <w:sz w:val="24"/>
                <w:szCs w:val="24"/>
              </w:rPr>
              <w:t xml:space="preserve"> iestāde </w:t>
            </w:r>
            <w:r w:rsidR="009D561C" w:rsidRPr="005B4E61">
              <w:rPr>
                <w:sz w:val="24"/>
                <w:szCs w:val="24"/>
              </w:rPr>
              <w:t xml:space="preserve">Paula Stradiņa </w:t>
            </w:r>
            <w:r>
              <w:rPr>
                <w:sz w:val="24"/>
                <w:szCs w:val="24"/>
              </w:rPr>
              <w:t>M</w:t>
            </w:r>
            <w:r w:rsidR="009D561C" w:rsidRPr="005B4E61">
              <w:rPr>
                <w:sz w:val="24"/>
                <w:szCs w:val="24"/>
              </w:rPr>
              <w:t>edicīnas vēstures muzejs t</w:t>
            </w:r>
            <w:r w:rsidR="002A40C1" w:rsidRPr="005B4E61">
              <w:rPr>
                <w:sz w:val="24"/>
                <w:szCs w:val="24"/>
              </w:rPr>
              <w:t>urpin</w:t>
            </w:r>
            <w:r w:rsidR="00130A35">
              <w:rPr>
                <w:sz w:val="24"/>
                <w:szCs w:val="24"/>
              </w:rPr>
              <w:t>ās</w:t>
            </w:r>
            <w:r w:rsidR="002A40C1" w:rsidRPr="005B4E61">
              <w:rPr>
                <w:sz w:val="24"/>
                <w:szCs w:val="24"/>
              </w:rPr>
              <w:t xml:space="preserve"> pastāvēt. Š</w:t>
            </w:r>
            <w:r w:rsidR="00130A35">
              <w:rPr>
                <w:sz w:val="24"/>
                <w:szCs w:val="24"/>
              </w:rPr>
              <w:t>ā</w:t>
            </w:r>
            <w:r w:rsidR="002A40C1" w:rsidRPr="005B4E61">
              <w:rPr>
                <w:sz w:val="24"/>
                <w:szCs w:val="24"/>
              </w:rPr>
              <w:t xml:space="preserve"> panta pirmā daļa nosaka, ka tiešās pārvaldes iestādi reorganizē Ministru kabinets.</w:t>
            </w:r>
            <w:r w:rsidR="00130A35">
              <w:rPr>
                <w:sz w:val="24"/>
                <w:szCs w:val="24"/>
              </w:rPr>
              <w:t xml:space="preserve"> </w:t>
            </w:r>
            <w:r w:rsidR="00ED53DD" w:rsidRPr="005B4E61">
              <w:rPr>
                <w:sz w:val="24"/>
                <w:szCs w:val="24"/>
              </w:rPr>
              <w:t>Rīkojuma projekt</w:t>
            </w:r>
            <w:r w:rsidR="003F6FDC">
              <w:rPr>
                <w:sz w:val="24"/>
                <w:szCs w:val="24"/>
              </w:rPr>
              <w:t>s</w:t>
            </w:r>
            <w:r w:rsidR="00ED53DD" w:rsidRPr="005B4E61">
              <w:rPr>
                <w:sz w:val="24"/>
                <w:szCs w:val="24"/>
              </w:rPr>
              <w:t xml:space="preserve"> nosaka, ka </w:t>
            </w:r>
            <w:r w:rsidR="00925D5D">
              <w:rPr>
                <w:sz w:val="24"/>
                <w:szCs w:val="24"/>
              </w:rPr>
              <w:t xml:space="preserve">Prīmaņa </w:t>
            </w:r>
            <w:r w:rsidR="002A40C1" w:rsidRPr="005B4E61">
              <w:rPr>
                <w:rStyle w:val="Bodytext11pt"/>
                <w:i w:val="0"/>
                <w:sz w:val="24"/>
                <w:szCs w:val="24"/>
              </w:rPr>
              <w:t>Anatomijas muzejs</w:t>
            </w:r>
            <w:r w:rsidR="00ED53DD" w:rsidRPr="005B4E61">
              <w:rPr>
                <w:sz w:val="24"/>
                <w:szCs w:val="24"/>
              </w:rPr>
              <w:t xml:space="preserve"> tiek nodots</w:t>
            </w:r>
            <w:r w:rsidR="002A40C1" w:rsidRPr="005B4E61">
              <w:rPr>
                <w:sz w:val="24"/>
                <w:szCs w:val="24"/>
              </w:rPr>
              <w:t xml:space="preserve"> R</w:t>
            </w:r>
            <w:r w:rsidR="00ED53DD" w:rsidRPr="005B4E61">
              <w:rPr>
                <w:sz w:val="24"/>
                <w:szCs w:val="24"/>
              </w:rPr>
              <w:t>SU ar 2017.gada 1.</w:t>
            </w:r>
            <w:r w:rsidR="00125C05">
              <w:rPr>
                <w:sz w:val="24"/>
                <w:szCs w:val="24"/>
              </w:rPr>
              <w:t>jūnij</w:t>
            </w:r>
            <w:r w:rsidR="009B39A9">
              <w:rPr>
                <w:sz w:val="24"/>
                <w:szCs w:val="24"/>
              </w:rPr>
              <w:t>u</w:t>
            </w:r>
            <w:r w:rsidR="002A40C1" w:rsidRPr="005B4E61">
              <w:rPr>
                <w:sz w:val="24"/>
                <w:szCs w:val="24"/>
              </w:rPr>
              <w:t>.</w:t>
            </w:r>
          </w:p>
          <w:p w:rsidR="00FA7F3D" w:rsidRDefault="002A40C1" w:rsidP="00C53D1A">
            <w:pPr>
              <w:pStyle w:val="BodyText1"/>
              <w:shd w:val="clear" w:color="auto" w:fill="auto"/>
              <w:spacing w:after="0" w:line="240" w:lineRule="auto"/>
              <w:ind w:firstLine="700"/>
              <w:jc w:val="both"/>
              <w:rPr>
                <w:sz w:val="24"/>
                <w:szCs w:val="24"/>
              </w:rPr>
            </w:pPr>
            <w:r w:rsidRPr="005B4E61">
              <w:rPr>
                <w:sz w:val="24"/>
                <w:szCs w:val="24"/>
              </w:rPr>
              <w:t>Latvijas Muzeju padome</w:t>
            </w:r>
            <w:r w:rsidR="00D711CD">
              <w:rPr>
                <w:sz w:val="24"/>
                <w:szCs w:val="24"/>
              </w:rPr>
              <w:t xml:space="preserve"> savā </w:t>
            </w:r>
            <w:r w:rsidR="00B7502F">
              <w:rPr>
                <w:sz w:val="24"/>
                <w:szCs w:val="24"/>
              </w:rPr>
              <w:t>2016.gada 3.februāra</w:t>
            </w:r>
            <w:r w:rsidR="00AD6432">
              <w:rPr>
                <w:sz w:val="24"/>
                <w:szCs w:val="24"/>
              </w:rPr>
              <w:t xml:space="preserve"> </w:t>
            </w:r>
            <w:r w:rsidRPr="005B4E61">
              <w:rPr>
                <w:sz w:val="24"/>
                <w:szCs w:val="24"/>
              </w:rPr>
              <w:t>atzinum</w:t>
            </w:r>
            <w:r w:rsidR="00D711CD">
              <w:rPr>
                <w:sz w:val="24"/>
                <w:szCs w:val="24"/>
              </w:rPr>
              <w:t>ā</w:t>
            </w:r>
            <w:r w:rsidRPr="005B4E61">
              <w:rPr>
                <w:sz w:val="24"/>
                <w:szCs w:val="24"/>
              </w:rPr>
              <w:t xml:space="preserve"> </w:t>
            </w:r>
            <w:r w:rsidR="00AD6432">
              <w:rPr>
                <w:sz w:val="24"/>
                <w:szCs w:val="24"/>
              </w:rPr>
              <w:t xml:space="preserve">Nr.1 </w:t>
            </w:r>
            <w:r w:rsidRPr="005B4E61">
              <w:rPr>
                <w:sz w:val="24"/>
                <w:szCs w:val="24"/>
              </w:rPr>
              <w:t xml:space="preserve">norāda, ka </w:t>
            </w:r>
            <w:r w:rsidR="00925D5D">
              <w:rPr>
                <w:sz w:val="24"/>
                <w:szCs w:val="24"/>
              </w:rPr>
              <w:t xml:space="preserve">Prīmaņa </w:t>
            </w:r>
            <w:r w:rsidRPr="005B4E61">
              <w:rPr>
                <w:sz w:val="24"/>
                <w:szCs w:val="24"/>
              </w:rPr>
              <w:t xml:space="preserve">Anatomijas muzeja </w:t>
            </w:r>
            <w:r w:rsidR="00E45D51" w:rsidRPr="005B4E61">
              <w:rPr>
                <w:sz w:val="24"/>
                <w:szCs w:val="24"/>
              </w:rPr>
              <w:t xml:space="preserve">nodošana RSU un </w:t>
            </w:r>
            <w:r w:rsidRPr="005B4E61">
              <w:rPr>
                <w:sz w:val="24"/>
                <w:szCs w:val="24"/>
              </w:rPr>
              <w:t>iekļaušana R</w:t>
            </w:r>
            <w:r w:rsidR="00E45D51" w:rsidRPr="005B4E61">
              <w:rPr>
                <w:sz w:val="24"/>
                <w:szCs w:val="24"/>
              </w:rPr>
              <w:t>SU</w:t>
            </w:r>
            <w:r w:rsidRPr="005B4E61">
              <w:rPr>
                <w:sz w:val="24"/>
                <w:szCs w:val="24"/>
              </w:rPr>
              <w:t xml:space="preserve"> muzeja sastāvā nodrošinās muzeja kolekciju aktīvāku izmantošanu, ciešāku saikni ar mērķauditoriju, kā arī pavērs iespējas muzeja infrastruktūras uzlabošanai, tādējādi s</w:t>
            </w:r>
            <w:r w:rsidR="00D711CD">
              <w:rPr>
                <w:sz w:val="24"/>
                <w:szCs w:val="24"/>
              </w:rPr>
              <w:t>ekmējot muzeja darba kvalitāti.</w:t>
            </w:r>
            <w:r w:rsidR="00925D5D">
              <w:rPr>
                <w:sz w:val="24"/>
                <w:szCs w:val="24"/>
              </w:rPr>
              <w:t xml:space="preserve"> </w:t>
            </w:r>
            <w:r w:rsidR="00925D5D" w:rsidRPr="005B4E61">
              <w:rPr>
                <w:sz w:val="24"/>
                <w:szCs w:val="24"/>
              </w:rPr>
              <w:t>Latvijas Muzeju padome</w:t>
            </w:r>
            <w:r w:rsidR="00925D5D">
              <w:rPr>
                <w:sz w:val="24"/>
                <w:szCs w:val="24"/>
              </w:rPr>
              <w:t xml:space="preserve">  norāda, ka, ja RSU nolemj izbeigt RSU muzeja darbību, tad Prīmaņa Anat</w:t>
            </w:r>
            <w:r w:rsidR="00B7502F">
              <w:rPr>
                <w:sz w:val="24"/>
                <w:szCs w:val="24"/>
              </w:rPr>
              <w:t>omijas muzeja krājums ir atgriež</w:t>
            </w:r>
            <w:r w:rsidR="00925D5D">
              <w:rPr>
                <w:sz w:val="24"/>
                <w:szCs w:val="24"/>
              </w:rPr>
              <w:t xml:space="preserve">ams valsts īpašumā. </w:t>
            </w:r>
          </w:p>
          <w:p w:rsidR="00FA7F3D" w:rsidRDefault="00B7502F" w:rsidP="00C53D1A">
            <w:pPr>
              <w:spacing w:after="0" w:line="240" w:lineRule="auto"/>
              <w:jc w:val="both"/>
              <w:rPr>
                <w:rFonts w:ascii="Times New Roman" w:hAnsi="Times New Roman"/>
                <w:sz w:val="24"/>
                <w:szCs w:val="24"/>
                <w:lang w:val="lv-LV"/>
              </w:rPr>
            </w:pPr>
            <w:r>
              <w:rPr>
                <w:rFonts w:ascii="Times New Roman" w:hAnsi="Times New Roman"/>
                <w:sz w:val="24"/>
                <w:szCs w:val="24"/>
                <w:lang w:val="lv-LV"/>
              </w:rPr>
              <w:t>Rīkojuma projekts nosaka, ka RSU</w:t>
            </w:r>
            <w:r w:rsidR="00FA7F3D" w:rsidRPr="00FA7F3D">
              <w:rPr>
                <w:rFonts w:ascii="Times New Roman" w:hAnsi="Times New Roman"/>
                <w:sz w:val="24"/>
                <w:szCs w:val="24"/>
                <w:lang w:val="lv-LV"/>
              </w:rPr>
              <w:t xml:space="preserve"> ir filiāles ”Jēkaba Prīmaņa Anatomijas muzejs” saistību, tiesību un mantas pārņēmēja.</w:t>
            </w:r>
          </w:p>
          <w:p w:rsidR="002A40C1" w:rsidRPr="00FA7F3D" w:rsidRDefault="00FA7F3D" w:rsidP="00125C05">
            <w:pPr>
              <w:pStyle w:val="NormalWeb"/>
              <w:spacing w:before="0" w:after="0"/>
              <w:ind w:firstLine="720"/>
              <w:jc w:val="both"/>
            </w:pPr>
            <w:r w:rsidRPr="00FA7F3D">
              <w:t>Rīkojuma projekts nosaka, ka V</w:t>
            </w:r>
            <w:r w:rsidR="002A40C1" w:rsidRPr="00FA7F3D">
              <w:t>eselības ministrija</w:t>
            </w:r>
            <w:r w:rsidR="00925D5D" w:rsidRPr="00FA7F3D">
              <w:t xml:space="preserve"> nedēļas laikā pēc</w:t>
            </w:r>
            <w:r>
              <w:t xml:space="preserve"> </w:t>
            </w:r>
            <w:r w:rsidRPr="00FA7F3D">
              <w:t>šā rīkojuma stāšanās spēkā</w:t>
            </w:r>
            <w:r>
              <w:t xml:space="preserve"> </w:t>
            </w:r>
            <w:r w:rsidRPr="00FA7F3D">
              <w:t xml:space="preserve">izveido Paula Stradiņa Medicīnas vēstures muzeja reorganizācijas komisiju. Reorganizācijas komisijai </w:t>
            </w:r>
            <w:r w:rsidR="00130A35">
              <w:t xml:space="preserve">uzdots </w:t>
            </w:r>
            <w:r w:rsidRPr="00FA7F3D">
              <w:t>veikt filiāles ”Jēkaba Prīmaņa Anatomijas muzejs” materiālo un finanšu līdzekļu inventarizāciju, noteikt mantas vērtību un saistību apjomu, kā arī nodrošināt filiāles ”Jēkaba Prīmaņa Ana</w:t>
            </w:r>
            <w:r w:rsidR="0076323E">
              <w:t>tomijas muzejs”</w:t>
            </w:r>
            <w:r w:rsidRPr="00FA7F3D">
              <w:t xml:space="preserve"> mantas un saistību, arhīva un lietvedības nodoš</w:t>
            </w:r>
            <w:r w:rsidR="00B7502F">
              <w:t>anu RSU</w:t>
            </w:r>
            <w:r>
              <w:t xml:space="preserve"> </w:t>
            </w:r>
            <w:r w:rsidR="00130A35">
              <w:t>saskaņā ar šā</w:t>
            </w:r>
            <w:r w:rsidRPr="00FA7F3D">
              <w:t xml:space="preserve"> rīkojuma 1.punktā noteikto</w:t>
            </w:r>
            <w:r w:rsidR="00125C05">
              <w:t>.</w:t>
            </w:r>
          </w:p>
        </w:tc>
      </w:tr>
      <w:tr w:rsidR="00106BE9" w:rsidRPr="00935F3B" w:rsidTr="00C53D1A">
        <w:trPr>
          <w:trHeight w:val="476"/>
          <w:jc w:val="center"/>
        </w:trPr>
        <w:tc>
          <w:tcPr>
            <w:tcW w:w="539" w:type="dxa"/>
            <w:hideMark/>
          </w:tcPr>
          <w:p w:rsidR="00106BE9" w:rsidRPr="00935F3B" w:rsidRDefault="00DC5584"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lastRenderedPageBreak/>
              <w:t> 3</w:t>
            </w:r>
            <w:r w:rsidR="00106BE9" w:rsidRPr="00935F3B">
              <w:rPr>
                <w:rFonts w:ascii="Times New Roman" w:eastAsia="Times New Roman" w:hAnsi="Times New Roman"/>
                <w:noProof/>
                <w:sz w:val="24"/>
                <w:szCs w:val="24"/>
                <w:lang w:val="lv-LV" w:eastAsia="lv-LV"/>
              </w:rPr>
              <w:t>.</w:t>
            </w:r>
          </w:p>
        </w:tc>
        <w:tc>
          <w:tcPr>
            <w:tcW w:w="2435" w:type="dxa"/>
            <w:hideMark/>
          </w:tcPr>
          <w:p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Projekta izstrādē iesaistītās institūcijas</w:t>
            </w:r>
          </w:p>
        </w:tc>
        <w:tc>
          <w:tcPr>
            <w:tcW w:w="6562" w:type="dxa"/>
            <w:hideMark/>
          </w:tcPr>
          <w:p w:rsidR="00A42323" w:rsidRPr="00935F3B" w:rsidRDefault="00A42323" w:rsidP="00D84757">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Paula Stradiņa Medicīnas vēstures muzejs</w:t>
            </w:r>
          </w:p>
          <w:p w:rsidR="00106BE9" w:rsidRDefault="00A42323" w:rsidP="00D84757">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Veselības ministrija</w:t>
            </w:r>
          </w:p>
          <w:p w:rsidR="0088408F" w:rsidRPr="00935F3B" w:rsidRDefault="0088408F" w:rsidP="00D84757">
            <w:pPr>
              <w:spacing w:after="0" w:line="240" w:lineRule="auto"/>
              <w:jc w:val="both"/>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RSU</w:t>
            </w:r>
          </w:p>
        </w:tc>
      </w:tr>
      <w:tr w:rsidR="00106BE9" w:rsidRPr="00935F3B" w:rsidTr="00C53D1A">
        <w:trPr>
          <w:jc w:val="center"/>
        </w:trPr>
        <w:tc>
          <w:tcPr>
            <w:tcW w:w="539" w:type="dxa"/>
            <w:hideMark/>
          </w:tcPr>
          <w:p w:rsidR="00106BE9" w:rsidRPr="00935F3B" w:rsidRDefault="00DC5584"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00106BE9" w:rsidRPr="00935F3B">
              <w:rPr>
                <w:rFonts w:ascii="Times New Roman" w:eastAsia="Times New Roman" w:hAnsi="Times New Roman"/>
                <w:noProof/>
                <w:sz w:val="24"/>
                <w:szCs w:val="24"/>
                <w:lang w:val="lv-LV" w:eastAsia="lv-LV"/>
              </w:rPr>
              <w:t>.</w:t>
            </w:r>
          </w:p>
        </w:tc>
        <w:tc>
          <w:tcPr>
            <w:tcW w:w="2435" w:type="dxa"/>
            <w:hideMark/>
          </w:tcPr>
          <w:p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562" w:type="dxa"/>
            <w:hideMark/>
          </w:tcPr>
          <w:p w:rsidR="00106BE9" w:rsidRPr="00935F3B" w:rsidRDefault="00130A35" w:rsidP="00810D5B">
            <w:pPr>
              <w:spacing w:before="75" w:after="75" w:line="240" w:lineRule="auto"/>
              <w:jc w:val="both"/>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Nav</w:t>
            </w:r>
            <w:r w:rsidR="00106BE9" w:rsidRPr="00935F3B">
              <w:rPr>
                <w:rFonts w:ascii="Times New Roman" w:eastAsia="Times New Roman" w:hAnsi="Times New Roman"/>
                <w:noProof/>
                <w:sz w:val="24"/>
                <w:szCs w:val="24"/>
                <w:lang w:val="lv-LV" w:eastAsia="lv-LV"/>
              </w:rPr>
              <w:t xml:space="preserve"> </w:t>
            </w:r>
          </w:p>
        </w:tc>
      </w:tr>
      <w:tr w:rsidR="00905970" w:rsidRPr="00C53D1A" w:rsidTr="00C53D1A">
        <w:trPr>
          <w:jc w:val="center"/>
        </w:trPr>
        <w:tc>
          <w:tcPr>
            <w:tcW w:w="9536" w:type="dxa"/>
            <w:gridSpan w:val="3"/>
            <w:shd w:val="clear" w:color="auto" w:fill="auto"/>
            <w:vAlign w:val="center"/>
            <w:hideMark/>
          </w:tcPr>
          <w:p w:rsidR="00905970" w:rsidRPr="00935F3B" w:rsidRDefault="00905970" w:rsidP="00DB1C43">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lastRenderedPageBreak/>
              <w:t> II. Tiesību akta projekta ietekme uz sabiedrību, tautsaimniecības attīstību un administratīvo slogu</w:t>
            </w:r>
          </w:p>
        </w:tc>
      </w:tr>
      <w:tr w:rsidR="00905970" w:rsidRPr="00C53D1A" w:rsidTr="00C53D1A">
        <w:trPr>
          <w:trHeight w:val="454"/>
          <w:jc w:val="center"/>
        </w:trPr>
        <w:tc>
          <w:tcPr>
            <w:tcW w:w="539" w:type="dxa"/>
            <w:shd w:val="clear" w:color="auto" w:fill="auto"/>
            <w:hideMark/>
          </w:tcPr>
          <w:p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435" w:type="dxa"/>
            <w:shd w:val="clear" w:color="auto" w:fill="auto"/>
            <w:hideMark/>
          </w:tcPr>
          <w:p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Sabiedrības mērķgrupas, kuras tiesiskais regulējums ietekmē vai varētu ietekmēt</w:t>
            </w:r>
          </w:p>
        </w:tc>
        <w:tc>
          <w:tcPr>
            <w:tcW w:w="6562" w:type="dxa"/>
            <w:shd w:val="clear" w:color="auto" w:fill="auto"/>
            <w:hideMark/>
          </w:tcPr>
          <w:p w:rsidR="00905970" w:rsidRDefault="00366564" w:rsidP="0098193B">
            <w:pPr>
              <w:spacing w:after="0" w:line="240" w:lineRule="auto"/>
              <w:jc w:val="both"/>
              <w:rPr>
                <w:rFonts w:ascii="Times New Roman" w:hAnsi="Times New Roman"/>
                <w:noProof/>
                <w:sz w:val="24"/>
                <w:szCs w:val="24"/>
                <w:lang w:val="lv-LV"/>
              </w:rPr>
            </w:pPr>
            <w:r w:rsidRPr="00366564">
              <w:rPr>
                <w:rFonts w:ascii="Times New Roman" w:hAnsi="Times New Roman"/>
                <w:noProof/>
                <w:sz w:val="24"/>
                <w:szCs w:val="24"/>
                <w:lang w:val="lv-LV"/>
              </w:rPr>
              <w:t xml:space="preserve">Prīmaņa </w:t>
            </w:r>
            <w:r w:rsidR="005B26A1">
              <w:rPr>
                <w:rFonts w:ascii="Times New Roman" w:hAnsi="Times New Roman"/>
                <w:noProof/>
                <w:sz w:val="24"/>
                <w:szCs w:val="24"/>
                <w:lang w:val="lv-LV"/>
              </w:rPr>
              <w:t xml:space="preserve">Anatomijas </w:t>
            </w:r>
            <w:r w:rsidRPr="00366564">
              <w:rPr>
                <w:rFonts w:ascii="Times New Roman" w:hAnsi="Times New Roman"/>
                <w:noProof/>
                <w:sz w:val="24"/>
                <w:szCs w:val="24"/>
                <w:lang w:val="lv-LV"/>
              </w:rPr>
              <w:t>muzeja darbinieki, kuri tiks</w:t>
            </w:r>
            <w:r w:rsidR="00391439">
              <w:rPr>
                <w:rFonts w:ascii="Times New Roman" w:hAnsi="Times New Roman"/>
                <w:noProof/>
                <w:sz w:val="24"/>
                <w:szCs w:val="24"/>
                <w:lang w:val="lv-LV"/>
              </w:rPr>
              <w:t xml:space="preserve"> </w:t>
            </w:r>
            <w:r w:rsidRPr="00366564">
              <w:rPr>
                <w:rFonts w:ascii="Times New Roman" w:hAnsi="Times New Roman"/>
                <w:noProof/>
                <w:sz w:val="24"/>
                <w:szCs w:val="24"/>
                <w:lang w:val="lv-LV"/>
              </w:rPr>
              <w:t>pārcelti uz RSU muzeju</w:t>
            </w:r>
            <w:r w:rsidR="00391439">
              <w:rPr>
                <w:rFonts w:ascii="Times New Roman" w:hAnsi="Times New Roman"/>
                <w:noProof/>
                <w:sz w:val="24"/>
                <w:szCs w:val="24"/>
                <w:lang w:val="lv-LV"/>
              </w:rPr>
              <w:t>.</w:t>
            </w:r>
          </w:p>
          <w:p w:rsidR="00391439" w:rsidRDefault="00391439" w:rsidP="0098193B">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RSU muzeja darbinieki, ka</w:t>
            </w:r>
            <w:r w:rsidR="003F6FDC">
              <w:rPr>
                <w:rFonts w:ascii="Times New Roman" w:hAnsi="Times New Roman"/>
                <w:noProof/>
                <w:sz w:val="24"/>
                <w:szCs w:val="24"/>
                <w:lang w:val="lv-LV"/>
              </w:rPr>
              <w:t xml:space="preserve">m pavērsies iespēja </w:t>
            </w:r>
            <w:r>
              <w:rPr>
                <w:rFonts w:ascii="Times New Roman" w:hAnsi="Times New Roman"/>
                <w:noProof/>
                <w:sz w:val="24"/>
                <w:szCs w:val="24"/>
                <w:lang w:val="lv-LV"/>
              </w:rPr>
              <w:t>veikt plašu krājuma izpēti</w:t>
            </w:r>
            <w:r w:rsidR="00130A35">
              <w:rPr>
                <w:rFonts w:ascii="Times New Roman" w:hAnsi="Times New Roman"/>
                <w:noProof/>
                <w:sz w:val="24"/>
                <w:szCs w:val="24"/>
                <w:lang w:val="lv-LV"/>
              </w:rPr>
              <w:t>.</w:t>
            </w:r>
          </w:p>
          <w:p w:rsidR="008C42E0" w:rsidRDefault="004E2787" w:rsidP="0098193B">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RSU studenti, kam būs pieejams plašāks RSU muzeja krājums</w:t>
            </w:r>
            <w:r w:rsidR="008C42E0">
              <w:rPr>
                <w:rFonts w:ascii="Times New Roman" w:hAnsi="Times New Roman"/>
                <w:noProof/>
                <w:sz w:val="24"/>
                <w:szCs w:val="24"/>
                <w:lang w:val="lv-LV"/>
              </w:rPr>
              <w:t>.</w:t>
            </w:r>
          </w:p>
          <w:p w:rsidR="008C42E0" w:rsidRPr="00935F3B" w:rsidRDefault="004E2787" w:rsidP="008601B1">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Citi RSU m</w:t>
            </w:r>
            <w:r w:rsidR="00366564">
              <w:rPr>
                <w:rFonts w:ascii="Times New Roman" w:hAnsi="Times New Roman"/>
                <w:noProof/>
                <w:sz w:val="24"/>
                <w:szCs w:val="24"/>
                <w:lang w:val="lv-LV"/>
              </w:rPr>
              <w:t>uzeja apmeklētāji, kur</w:t>
            </w:r>
            <w:r w:rsidR="008601B1">
              <w:rPr>
                <w:rFonts w:ascii="Times New Roman" w:hAnsi="Times New Roman"/>
                <w:noProof/>
                <w:sz w:val="24"/>
                <w:szCs w:val="24"/>
                <w:lang w:val="lv-LV"/>
              </w:rPr>
              <w:t>am būs</w:t>
            </w:r>
            <w:r w:rsidR="00391439">
              <w:rPr>
                <w:rFonts w:ascii="Times New Roman" w:hAnsi="Times New Roman"/>
                <w:noProof/>
                <w:sz w:val="24"/>
                <w:szCs w:val="24"/>
                <w:lang w:val="lv-LV"/>
              </w:rPr>
              <w:t xml:space="preserve"> </w:t>
            </w:r>
            <w:r w:rsidR="008601B1">
              <w:rPr>
                <w:rFonts w:ascii="Times New Roman" w:hAnsi="Times New Roman"/>
                <w:noProof/>
                <w:sz w:val="24"/>
                <w:szCs w:val="24"/>
                <w:lang w:val="lv-LV"/>
              </w:rPr>
              <w:t>ērtāka pieeja</w:t>
            </w:r>
            <w:r w:rsidR="00391439">
              <w:rPr>
                <w:rFonts w:ascii="Times New Roman" w:hAnsi="Times New Roman"/>
                <w:noProof/>
                <w:sz w:val="24"/>
                <w:szCs w:val="24"/>
                <w:lang w:val="lv-LV"/>
              </w:rPr>
              <w:t xml:space="preserve"> ar muzeja ekspozī</w:t>
            </w:r>
            <w:r w:rsidR="00366564">
              <w:rPr>
                <w:rFonts w:ascii="Times New Roman" w:hAnsi="Times New Roman"/>
                <w:noProof/>
                <w:sz w:val="24"/>
                <w:szCs w:val="24"/>
                <w:lang w:val="lv-LV"/>
              </w:rPr>
              <w:t>cij</w:t>
            </w:r>
            <w:r w:rsidR="008601B1">
              <w:rPr>
                <w:rFonts w:ascii="Times New Roman" w:hAnsi="Times New Roman"/>
                <w:noProof/>
                <w:sz w:val="24"/>
                <w:szCs w:val="24"/>
                <w:lang w:val="lv-LV"/>
              </w:rPr>
              <w:t>ai</w:t>
            </w:r>
            <w:r w:rsidR="00366564">
              <w:rPr>
                <w:rFonts w:ascii="Times New Roman" w:hAnsi="Times New Roman"/>
                <w:noProof/>
                <w:sz w:val="24"/>
                <w:szCs w:val="24"/>
                <w:lang w:val="lv-LV"/>
              </w:rPr>
              <w:t xml:space="preserve"> </w:t>
            </w:r>
            <w:r w:rsidR="00391439">
              <w:rPr>
                <w:rFonts w:ascii="Times New Roman" w:hAnsi="Times New Roman"/>
                <w:noProof/>
                <w:sz w:val="24"/>
                <w:szCs w:val="24"/>
                <w:lang w:val="lv-LV"/>
              </w:rPr>
              <w:t>(</w:t>
            </w:r>
            <w:r w:rsidR="00366564">
              <w:rPr>
                <w:rFonts w:ascii="Times New Roman" w:hAnsi="Times New Roman"/>
                <w:noProof/>
                <w:sz w:val="24"/>
                <w:szCs w:val="24"/>
                <w:lang w:val="lv-LV"/>
              </w:rPr>
              <w:t>muzeja krājumiem</w:t>
            </w:r>
            <w:r w:rsidR="00391439">
              <w:rPr>
                <w:rFonts w:ascii="Times New Roman" w:hAnsi="Times New Roman"/>
                <w:noProof/>
                <w:sz w:val="24"/>
                <w:szCs w:val="24"/>
                <w:lang w:val="lv-LV"/>
              </w:rPr>
              <w:t>)</w:t>
            </w:r>
            <w:r w:rsidR="00366564">
              <w:rPr>
                <w:rFonts w:ascii="Times New Roman" w:hAnsi="Times New Roman"/>
                <w:noProof/>
                <w:sz w:val="24"/>
                <w:szCs w:val="24"/>
                <w:lang w:val="lv-LV"/>
              </w:rPr>
              <w:t xml:space="preserve"> RSU </w:t>
            </w:r>
            <w:r w:rsidR="00391439">
              <w:rPr>
                <w:rFonts w:ascii="Times New Roman" w:hAnsi="Times New Roman"/>
                <w:noProof/>
                <w:sz w:val="24"/>
                <w:szCs w:val="24"/>
                <w:lang w:val="lv-LV"/>
              </w:rPr>
              <w:t xml:space="preserve">muzeja ekspozīcijas </w:t>
            </w:r>
            <w:r w:rsidR="00366564">
              <w:rPr>
                <w:rFonts w:ascii="Times New Roman" w:hAnsi="Times New Roman"/>
                <w:noProof/>
                <w:sz w:val="24"/>
                <w:szCs w:val="24"/>
                <w:lang w:val="lv-LV"/>
              </w:rPr>
              <w:t>kolekcijas sastāvā.</w:t>
            </w:r>
          </w:p>
        </w:tc>
      </w:tr>
      <w:tr w:rsidR="00905970" w:rsidRPr="00043229" w:rsidTr="00C53D1A">
        <w:trPr>
          <w:trHeight w:val="472"/>
          <w:jc w:val="center"/>
        </w:trPr>
        <w:tc>
          <w:tcPr>
            <w:tcW w:w="539" w:type="dxa"/>
            <w:shd w:val="clear" w:color="auto" w:fill="auto"/>
            <w:hideMark/>
          </w:tcPr>
          <w:p w:rsidR="00391439" w:rsidRDefault="00391439" w:rsidP="00DB1C43">
            <w:pPr>
              <w:spacing w:before="75" w:after="75" w:line="240" w:lineRule="auto"/>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w:t>
            </w:r>
          </w:p>
          <w:p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435" w:type="dxa"/>
            <w:shd w:val="clear" w:color="auto" w:fill="auto"/>
            <w:hideMark/>
          </w:tcPr>
          <w:p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Tiesiskā regulējuma ietekme uz tautsaimniecību un administratīvo slogu</w:t>
            </w:r>
          </w:p>
        </w:tc>
        <w:tc>
          <w:tcPr>
            <w:tcW w:w="6562" w:type="dxa"/>
            <w:shd w:val="clear" w:color="auto" w:fill="auto"/>
            <w:hideMark/>
          </w:tcPr>
          <w:p w:rsidR="00710A6E" w:rsidRPr="006B49A6" w:rsidRDefault="00391439" w:rsidP="001E2A11">
            <w:pPr>
              <w:spacing w:after="0" w:line="240" w:lineRule="auto"/>
              <w:jc w:val="both"/>
              <w:rPr>
                <w:rFonts w:ascii="Times New Roman" w:hAnsi="Times New Roman"/>
                <w:bCs/>
                <w:noProof/>
                <w:sz w:val="24"/>
                <w:szCs w:val="24"/>
                <w:lang w:val="lv-LV"/>
              </w:rPr>
            </w:pPr>
            <w:r>
              <w:rPr>
                <w:rFonts w:ascii="Times New Roman" w:hAnsi="Times New Roman"/>
                <w:noProof/>
                <w:sz w:val="24"/>
                <w:szCs w:val="24"/>
                <w:lang w:val="lv-LV"/>
              </w:rPr>
              <w:t xml:space="preserve">Projektam nav ietekme uz tautsaimniecību </w:t>
            </w:r>
            <w:r w:rsidR="001E2A11">
              <w:rPr>
                <w:rFonts w:ascii="Times New Roman" w:hAnsi="Times New Roman"/>
                <w:noProof/>
                <w:sz w:val="24"/>
                <w:szCs w:val="24"/>
                <w:lang w:val="lv-LV"/>
              </w:rPr>
              <w:t xml:space="preserve"> un </w:t>
            </w:r>
            <w:r>
              <w:rPr>
                <w:rFonts w:ascii="Times New Roman" w:hAnsi="Times New Roman"/>
                <w:noProof/>
                <w:sz w:val="24"/>
                <w:szCs w:val="24"/>
                <w:lang w:val="lv-LV"/>
              </w:rPr>
              <w:t>administratīvo slogu</w:t>
            </w:r>
          </w:p>
        </w:tc>
      </w:tr>
      <w:tr w:rsidR="00905970" w:rsidRPr="00935F3B" w:rsidTr="00C53D1A">
        <w:trPr>
          <w:trHeight w:val="685"/>
          <w:jc w:val="center"/>
        </w:trPr>
        <w:tc>
          <w:tcPr>
            <w:tcW w:w="539" w:type="dxa"/>
            <w:shd w:val="clear" w:color="auto" w:fill="auto"/>
            <w:hideMark/>
          </w:tcPr>
          <w:p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p>
        </w:tc>
        <w:tc>
          <w:tcPr>
            <w:tcW w:w="2435" w:type="dxa"/>
            <w:shd w:val="clear" w:color="auto" w:fill="auto"/>
            <w:hideMark/>
          </w:tcPr>
          <w:p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00C47E2D" w:rsidRPr="00935F3B">
              <w:rPr>
                <w:rFonts w:ascii="Times New Roman" w:hAnsi="Times New Roman"/>
                <w:noProof/>
                <w:sz w:val="24"/>
                <w:szCs w:val="24"/>
                <w:lang w:val="lv-LV"/>
              </w:rPr>
              <w:t>Administratīvo izmaksu monetārs novērtējums</w:t>
            </w:r>
          </w:p>
        </w:tc>
        <w:tc>
          <w:tcPr>
            <w:tcW w:w="6562" w:type="dxa"/>
            <w:shd w:val="clear" w:color="auto" w:fill="auto"/>
            <w:hideMark/>
          </w:tcPr>
          <w:p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hAnsi="Times New Roman"/>
                <w:noProof/>
                <w:sz w:val="24"/>
                <w:szCs w:val="24"/>
                <w:lang w:val="lv-LV"/>
              </w:rPr>
              <w:t>Projekts šo jomu neskar.</w:t>
            </w:r>
          </w:p>
        </w:tc>
      </w:tr>
      <w:tr w:rsidR="00905970" w:rsidRPr="00935F3B" w:rsidTr="00286C30">
        <w:trPr>
          <w:trHeight w:val="228"/>
          <w:jc w:val="center"/>
        </w:trPr>
        <w:tc>
          <w:tcPr>
            <w:tcW w:w="539" w:type="dxa"/>
            <w:shd w:val="clear" w:color="auto" w:fill="auto"/>
            <w:hideMark/>
          </w:tcPr>
          <w:p w:rsidR="00905970" w:rsidRPr="00935F3B" w:rsidRDefault="00C47E2D"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00905970" w:rsidRPr="00935F3B">
              <w:rPr>
                <w:rFonts w:ascii="Times New Roman" w:eastAsia="Times New Roman" w:hAnsi="Times New Roman"/>
                <w:noProof/>
                <w:sz w:val="24"/>
                <w:szCs w:val="24"/>
                <w:lang w:val="lv-LV" w:eastAsia="lv-LV"/>
              </w:rPr>
              <w:t>.</w:t>
            </w:r>
          </w:p>
        </w:tc>
        <w:tc>
          <w:tcPr>
            <w:tcW w:w="2435" w:type="dxa"/>
            <w:shd w:val="clear" w:color="auto" w:fill="auto"/>
            <w:hideMark/>
          </w:tcPr>
          <w:p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562" w:type="dxa"/>
            <w:shd w:val="clear" w:color="auto" w:fill="auto"/>
            <w:hideMark/>
          </w:tcPr>
          <w:p w:rsidR="00905970" w:rsidRPr="00935F3B" w:rsidRDefault="00630BAA" w:rsidP="0098193B">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Nav</w:t>
            </w:r>
          </w:p>
        </w:tc>
      </w:tr>
    </w:tbl>
    <w:p w:rsidR="00C47E2D" w:rsidRPr="00935F3B" w:rsidRDefault="00C47E2D" w:rsidP="00C47E2D">
      <w:pPr>
        <w:ind w:left="720"/>
        <w:rPr>
          <w:noProof/>
          <w:lang w:val="lv-LV"/>
        </w:rPr>
      </w:pPr>
    </w:p>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11"/>
        <w:gridCol w:w="1330"/>
        <w:gridCol w:w="1217"/>
        <w:gridCol w:w="1559"/>
        <w:gridCol w:w="1418"/>
        <w:gridCol w:w="1307"/>
      </w:tblGrid>
      <w:tr w:rsidR="00905970" w:rsidRPr="00C53D1A" w:rsidTr="00C53D1A">
        <w:trPr>
          <w:trHeight w:val="386"/>
          <w:jc w:val="center"/>
        </w:trPr>
        <w:tc>
          <w:tcPr>
            <w:tcW w:w="9642" w:type="dxa"/>
            <w:gridSpan w:val="6"/>
          </w:tcPr>
          <w:p w:rsidR="00905970" w:rsidRPr="00935F3B" w:rsidRDefault="00905970" w:rsidP="00DB1C43">
            <w:pPr>
              <w:pStyle w:val="naisnod"/>
              <w:spacing w:before="0" w:after="0"/>
              <w:rPr>
                <w:i/>
                <w:noProof/>
              </w:rPr>
            </w:pPr>
            <w:r w:rsidRPr="00935F3B">
              <w:rPr>
                <w:noProof/>
              </w:rPr>
              <w:br w:type="page"/>
              <w:t>III. Tiesību akta projekta ietekme uz valsts budžetu un pašvaldību budžetiem</w:t>
            </w:r>
          </w:p>
        </w:tc>
      </w:tr>
      <w:tr w:rsidR="00905970" w:rsidRPr="00935F3B" w:rsidTr="00C53D1A">
        <w:trPr>
          <w:jc w:val="center"/>
        </w:trPr>
        <w:tc>
          <w:tcPr>
            <w:tcW w:w="2811" w:type="dxa"/>
            <w:vMerge w:val="restart"/>
            <w:vAlign w:val="center"/>
          </w:tcPr>
          <w:p w:rsidR="00905970" w:rsidRPr="00935F3B" w:rsidRDefault="00905970" w:rsidP="00DB1C43">
            <w:pPr>
              <w:pStyle w:val="naisf"/>
              <w:spacing w:before="0" w:after="0"/>
              <w:ind w:firstLine="0"/>
              <w:jc w:val="center"/>
              <w:rPr>
                <w:b/>
                <w:noProof/>
              </w:rPr>
            </w:pPr>
            <w:r w:rsidRPr="00935F3B">
              <w:rPr>
                <w:b/>
                <w:noProof/>
              </w:rPr>
              <w:t>Rādītāji</w:t>
            </w:r>
          </w:p>
        </w:tc>
        <w:tc>
          <w:tcPr>
            <w:tcW w:w="2547" w:type="dxa"/>
            <w:gridSpan w:val="2"/>
            <w:vMerge w:val="restart"/>
            <w:vAlign w:val="center"/>
          </w:tcPr>
          <w:p w:rsidR="00905970" w:rsidRPr="00935F3B" w:rsidRDefault="00B7502F" w:rsidP="00DB1C43">
            <w:pPr>
              <w:pStyle w:val="naisf"/>
              <w:spacing w:before="0" w:after="0"/>
              <w:ind w:firstLine="0"/>
              <w:jc w:val="center"/>
              <w:rPr>
                <w:b/>
                <w:noProof/>
              </w:rPr>
            </w:pPr>
            <w:r>
              <w:rPr>
                <w:b/>
                <w:noProof/>
              </w:rPr>
              <w:t>2017</w:t>
            </w:r>
            <w:r w:rsidR="00905970" w:rsidRPr="00935F3B">
              <w:rPr>
                <w:b/>
                <w:noProof/>
              </w:rPr>
              <w:t>. gads</w:t>
            </w:r>
          </w:p>
        </w:tc>
        <w:tc>
          <w:tcPr>
            <w:tcW w:w="4284" w:type="dxa"/>
            <w:gridSpan w:val="3"/>
            <w:vAlign w:val="center"/>
          </w:tcPr>
          <w:p w:rsidR="00905970" w:rsidRPr="00935F3B" w:rsidRDefault="00905970" w:rsidP="00DB1C43">
            <w:pPr>
              <w:pStyle w:val="naisf"/>
              <w:spacing w:before="0" w:after="0"/>
              <w:ind w:firstLine="0"/>
              <w:jc w:val="center"/>
              <w:rPr>
                <w:b/>
                <w:i/>
                <w:noProof/>
              </w:rPr>
            </w:pPr>
            <w:r w:rsidRPr="00935F3B">
              <w:rPr>
                <w:noProof/>
              </w:rPr>
              <w:t xml:space="preserve">Turpmākie trīs gadi (tūkst. </w:t>
            </w:r>
            <w:r w:rsidRPr="00935F3B">
              <w:rPr>
                <w:i/>
                <w:noProof/>
              </w:rPr>
              <w:t>euro</w:t>
            </w:r>
            <w:r w:rsidRPr="00935F3B">
              <w:rPr>
                <w:noProof/>
              </w:rPr>
              <w:t>)</w:t>
            </w:r>
          </w:p>
        </w:tc>
      </w:tr>
      <w:tr w:rsidR="00905970" w:rsidRPr="00935F3B" w:rsidTr="00C53D1A">
        <w:trPr>
          <w:jc w:val="center"/>
        </w:trPr>
        <w:tc>
          <w:tcPr>
            <w:tcW w:w="2811" w:type="dxa"/>
            <w:vMerge/>
            <w:vAlign w:val="center"/>
          </w:tcPr>
          <w:p w:rsidR="00905970" w:rsidRPr="00935F3B" w:rsidRDefault="00905970" w:rsidP="00DB1C43">
            <w:pPr>
              <w:pStyle w:val="naisf"/>
              <w:spacing w:before="0" w:after="0"/>
              <w:ind w:firstLine="0"/>
              <w:jc w:val="center"/>
              <w:rPr>
                <w:b/>
                <w:i/>
                <w:noProof/>
              </w:rPr>
            </w:pPr>
          </w:p>
        </w:tc>
        <w:tc>
          <w:tcPr>
            <w:tcW w:w="2547" w:type="dxa"/>
            <w:gridSpan w:val="2"/>
            <w:vMerge/>
            <w:vAlign w:val="center"/>
          </w:tcPr>
          <w:p w:rsidR="00905970" w:rsidRPr="00935F3B" w:rsidRDefault="00905970" w:rsidP="00DB1C43">
            <w:pPr>
              <w:pStyle w:val="naisf"/>
              <w:spacing w:before="0" w:after="0"/>
              <w:ind w:firstLine="0"/>
              <w:jc w:val="center"/>
              <w:rPr>
                <w:b/>
                <w:i/>
                <w:noProof/>
              </w:rPr>
            </w:pPr>
          </w:p>
        </w:tc>
        <w:tc>
          <w:tcPr>
            <w:tcW w:w="1559" w:type="dxa"/>
            <w:vAlign w:val="center"/>
          </w:tcPr>
          <w:p w:rsidR="00905970" w:rsidRPr="00935F3B" w:rsidRDefault="00B7502F" w:rsidP="00DB1C43">
            <w:pPr>
              <w:pStyle w:val="naisf"/>
              <w:spacing w:before="0" w:after="0"/>
              <w:ind w:firstLine="0"/>
              <w:jc w:val="center"/>
              <w:rPr>
                <w:b/>
                <w:i/>
                <w:noProof/>
              </w:rPr>
            </w:pPr>
            <w:r>
              <w:rPr>
                <w:b/>
                <w:noProof/>
              </w:rPr>
              <w:t>2018</w:t>
            </w:r>
            <w:r w:rsidR="00905970" w:rsidRPr="00935F3B">
              <w:rPr>
                <w:b/>
                <w:noProof/>
              </w:rPr>
              <w:t>. gads</w:t>
            </w:r>
          </w:p>
        </w:tc>
        <w:tc>
          <w:tcPr>
            <w:tcW w:w="1418" w:type="dxa"/>
            <w:vAlign w:val="center"/>
          </w:tcPr>
          <w:p w:rsidR="00905970" w:rsidRPr="00935F3B" w:rsidRDefault="00B7502F" w:rsidP="00DB1C43">
            <w:pPr>
              <w:pStyle w:val="naisf"/>
              <w:spacing w:before="0" w:after="0"/>
              <w:ind w:firstLine="0"/>
              <w:jc w:val="center"/>
              <w:rPr>
                <w:b/>
                <w:i/>
                <w:noProof/>
              </w:rPr>
            </w:pPr>
            <w:r>
              <w:rPr>
                <w:b/>
                <w:noProof/>
              </w:rPr>
              <w:t>2019</w:t>
            </w:r>
            <w:r w:rsidR="00905970" w:rsidRPr="00935F3B">
              <w:rPr>
                <w:b/>
                <w:noProof/>
              </w:rPr>
              <w:t>. gads</w:t>
            </w:r>
          </w:p>
        </w:tc>
        <w:tc>
          <w:tcPr>
            <w:tcW w:w="1307" w:type="dxa"/>
            <w:vAlign w:val="center"/>
          </w:tcPr>
          <w:p w:rsidR="00905970" w:rsidRPr="00935F3B" w:rsidRDefault="00B7502F" w:rsidP="00DB1C43">
            <w:pPr>
              <w:pStyle w:val="naisf"/>
              <w:spacing w:before="0" w:after="0"/>
              <w:ind w:firstLine="0"/>
              <w:jc w:val="center"/>
              <w:rPr>
                <w:b/>
                <w:i/>
                <w:noProof/>
              </w:rPr>
            </w:pPr>
            <w:r>
              <w:rPr>
                <w:b/>
                <w:noProof/>
              </w:rPr>
              <w:t>2020</w:t>
            </w:r>
            <w:r w:rsidR="00905970" w:rsidRPr="00935F3B">
              <w:rPr>
                <w:b/>
                <w:noProof/>
              </w:rPr>
              <w:t>. gads</w:t>
            </w:r>
          </w:p>
        </w:tc>
      </w:tr>
      <w:tr w:rsidR="00905970" w:rsidRPr="00935F3B" w:rsidTr="00C53D1A">
        <w:trPr>
          <w:jc w:val="center"/>
        </w:trPr>
        <w:tc>
          <w:tcPr>
            <w:tcW w:w="2811" w:type="dxa"/>
            <w:vMerge/>
            <w:vAlign w:val="center"/>
          </w:tcPr>
          <w:p w:rsidR="00905970" w:rsidRPr="00935F3B" w:rsidRDefault="00905970" w:rsidP="00DB1C43">
            <w:pPr>
              <w:pStyle w:val="naisf"/>
              <w:spacing w:before="0" w:after="0"/>
              <w:ind w:firstLine="0"/>
              <w:jc w:val="center"/>
              <w:rPr>
                <w:b/>
                <w:i/>
                <w:noProof/>
              </w:rPr>
            </w:pPr>
          </w:p>
        </w:tc>
        <w:tc>
          <w:tcPr>
            <w:tcW w:w="1330" w:type="dxa"/>
            <w:vAlign w:val="center"/>
          </w:tcPr>
          <w:p w:rsidR="00905970" w:rsidRPr="00935F3B" w:rsidRDefault="00905970" w:rsidP="00DB1C43">
            <w:pPr>
              <w:pStyle w:val="naisf"/>
              <w:spacing w:before="0" w:after="0"/>
              <w:ind w:firstLine="0"/>
              <w:jc w:val="center"/>
              <w:rPr>
                <w:b/>
                <w:i/>
                <w:noProof/>
              </w:rPr>
            </w:pPr>
            <w:r w:rsidRPr="00935F3B">
              <w:rPr>
                <w:noProof/>
              </w:rPr>
              <w:t>Saskaņā ar valsts budžetu kārtējam gadam</w:t>
            </w:r>
          </w:p>
        </w:tc>
        <w:tc>
          <w:tcPr>
            <w:tcW w:w="1217" w:type="dxa"/>
            <w:vAlign w:val="center"/>
          </w:tcPr>
          <w:p w:rsidR="00905970" w:rsidRPr="00935F3B" w:rsidRDefault="00905970" w:rsidP="00DB1C43">
            <w:pPr>
              <w:pStyle w:val="naisf"/>
              <w:spacing w:before="0" w:after="0"/>
              <w:ind w:firstLine="0"/>
              <w:jc w:val="center"/>
              <w:rPr>
                <w:b/>
                <w:i/>
                <w:noProof/>
              </w:rPr>
            </w:pPr>
            <w:r w:rsidRPr="00935F3B">
              <w:rPr>
                <w:noProof/>
              </w:rPr>
              <w:t>Izmaiņas kārtējā gadā, salīdzinot ar budžetu kārtējam gadam</w:t>
            </w:r>
          </w:p>
        </w:tc>
        <w:tc>
          <w:tcPr>
            <w:tcW w:w="1559" w:type="dxa"/>
            <w:vAlign w:val="center"/>
          </w:tcPr>
          <w:p w:rsidR="00905970" w:rsidRPr="00935F3B" w:rsidRDefault="00905970" w:rsidP="00DB1C43">
            <w:pPr>
              <w:pStyle w:val="naisf"/>
              <w:spacing w:before="0" w:after="0"/>
              <w:ind w:firstLine="0"/>
              <w:jc w:val="center"/>
              <w:rPr>
                <w:b/>
                <w:i/>
                <w:noProof/>
              </w:rPr>
            </w:pPr>
            <w:r w:rsidRPr="00935F3B">
              <w:rPr>
                <w:noProof/>
              </w:rPr>
              <w:t>Izmaiņas, salīdzinot ar kārtējo 2016. gadu</w:t>
            </w:r>
          </w:p>
        </w:tc>
        <w:tc>
          <w:tcPr>
            <w:tcW w:w="1418" w:type="dxa"/>
            <w:vAlign w:val="center"/>
          </w:tcPr>
          <w:p w:rsidR="00905970" w:rsidRPr="00935F3B" w:rsidRDefault="00905970" w:rsidP="00DB1C43">
            <w:pPr>
              <w:pStyle w:val="naisf"/>
              <w:spacing w:before="0" w:after="0"/>
              <w:ind w:firstLine="0"/>
              <w:jc w:val="center"/>
              <w:rPr>
                <w:b/>
                <w:i/>
                <w:noProof/>
              </w:rPr>
            </w:pPr>
            <w:r w:rsidRPr="00935F3B">
              <w:rPr>
                <w:noProof/>
              </w:rPr>
              <w:t>Izma</w:t>
            </w:r>
            <w:r w:rsidR="00464BB3" w:rsidRPr="00935F3B">
              <w:rPr>
                <w:noProof/>
              </w:rPr>
              <w:t>iņas, salīdzinot ar kārtējo 2016</w:t>
            </w:r>
            <w:r w:rsidRPr="00935F3B">
              <w:rPr>
                <w:noProof/>
              </w:rPr>
              <w:t>. gadu</w:t>
            </w:r>
          </w:p>
        </w:tc>
        <w:tc>
          <w:tcPr>
            <w:tcW w:w="1307" w:type="dxa"/>
            <w:vAlign w:val="center"/>
          </w:tcPr>
          <w:p w:rsidR="00905970" w:rsidRPr="00935F3B" w:rsidRDefault="00905970" w:rsidP="00DB1C43">
            <w:pPr>
              <w:pStyle w:val="naisf"/>
              <w:spacing w:before="0" w:after="0"/>
              <w:ind w:firstLine="0"/>
              <w:jc w:val="center"/>
              <w:rPr>
                <w:b/>
                <w:i/>
                <w:noProof/>
              </w:rPr>
            </w:pPr>
            <w:r w:rsidRPr="00935F3B">
              <w:rPr>
                <w:noProof/>
              </w:rPr>
              <w:t>Izma</w:t>
            </w:r>
            <w:r w:rsidR="00464BB3" w:rsidRPr="00935F3B">
              <w:rPr>
                <w:noProof/>
              </w:rPr>
              <w:t>iņas, salīdzinot ar kārtējo 2016</w:t>
            </w:r>
            <w:r w:rsidRPr="00935F3B">
              <w:rPr>
                <w:noProof/>
              </w:rPr>
              <w:t>. gadu</w:t>
            </w:r>
          </w:p>
        </w:tc>
      </w:tr>
      <w:tr w:rsidR="00905970" w:rsidRPr="00935F3B" w:rsidTr="00C53D1A">
        <w:trPr>
          <w:jc w:val="center"/>
        </w:trPr>
        <w:tc>
          <w:tcPr>
            <w:tcW w:w="2811" w:type="dxa"/>
            <w:vAlign w:val="center"/>
          </w:tcPr>
          <w:p w:rsidR="00905970" w:rsidRPr="00935F3B" w:rsidRDefault="00905970" w:rsidP="00DB1C43">
            <w:pPr>
              <w:pStyle w:val="naisf"/>
              <w:spacing w:before="0" w:after="0"/>
              <w:ind w:firstLine="0"/>
              <w:jc w:val="center"/>
              <w:rPr>
                <w:bCs/>
                <w:noProof/>
              </w:rPr>
            </w:pPr>
            <w:r w:rsidRPr="00935F3B">
              <w:rPr>
                <w:bCs/>
                <w:noProof/>
              </w:rPr>
              <w:t>1</w:t>
            </w:r>
          </w:p>
        </w:tc>
        <w:tc>
          <w:tcPr>
            <w:tcW w:w="1330" w:type="dxa"/>
            <w:vAlign w:val="center"/>
          </w:tcPr>
          <w:p w:rsidR="00905970" w:rsidRPr="00935F3B" w:rsidRDefault="00905970" w:rsidP="00DB1C43">
            <w:pPr>
              <w:pStyle w:val="naisf"/>
              <w:spacing w:before="0" w:after="0"/>
              <w:ind w:firstLine="0"/>
              <w:jc w:val="center"/>
              <w:rPr>
                <w:bCs/>
                <w:noProof/>
              </w:rPr>
            </w:pPr>
            <w:r w:rsidRPr="00935F3B">
              <w:rPr>
                <w:bCs/>
                <w:noProof/>
              </w:rPr>
              <w:t>2</w:t>
            </w:r>
          </w:p>
        </w:tc>
        <w:tc>
          <w:tcPr>
            <w:tcW w:w="1217" w:type="dxa"/>
            <w:vAlign w:val="center"/>
          </w:tcPr>
          <w:p w:rsidR="00905970" w:rsidRPr="00935F3B" w:rsidRDefault="00905970" w:rsidP="00DB1C43">
            <w:pPr>
              <w:pStyle w:val="naisf"/>
              <w:spacing w:before="0" w:after="0"/>
              <w:ind w:firstLine="0"/>
              <w:jc w:val="center"/>
              <w:rPr>
                <w:bCs/>
                <w:noProof/>
              </w:rPr>
            </w:pPr>
            <w:r w:rsidRPr="00935F3B">
              <w:rPr>
                <w:bCs/>
                <w:noProof/>
              </w:rPr>
              <w:t>3</w:t>
            </w:r>
          </w:p>
        </w:tc>
        <w:tc>
          <w:tcPr>
            <w:tcW w:w="1559" w:type="dxa"/>
            <w:vAlign w:val="center"/>
          </w:tcPr>
          <w:p w:rsidR="00905970" w:rsidRPr="00935F3B" w:rsidRDefault="00905970" w:rsidP="00DB1C43">
            <w:pPr>
              <w:pStyle w:val="naisf"/>
              <w:spacing w:before="0" w:after="0"/>
              <w:ind w:firstLine="0"/>
              <w:jc w:val="center"/>
              <w:rPr>
                <w:bCs/>
                <w:noProof/>
              </w:rPr>
            </w:pPr>
            <w:r w:rsidRPr="00935F3B">
              <w:rPr>
                <w:bCs/>
                <w:noProof/>
              </w:rPr>
              <w:t>4</w:t>
            </w:r>
          </w:p>
        </w:tc>
        <w:tc>
          <w:tcPr>
            <w:tcW w:w="1418" w:type="dxa"/>
            <w:vAlign w:val="center"/>
          </w:tcPr>
          <w:p w:rsidR="00905970" w:rsidRPr="00935F3B" w:rsidRDefault="00905970" w:rsidP="00DB1C43">
            <w:pPr>
              <w:pStyle w:val="naisf"/>
              <w:spacing w:before="0" w:after="0"/>
              <w:ind w:firstLine="0"/>
              <w:jc w:val="center"/>
              <w:rPr>
                <w:bCs/>
                <w:noProof/>
              </w:rPr>
            </w:pPr>
            <w:r w:rsidRPr="00935F3B">
              <w:rPr>
                <w:bCs/>
                <w:noProof/>
              </w:rPr>
              <w:t>5</w:t>
            </w:r>
          </w:p>
        </w:tc>
        <w:tc>
          <w:tcPr>
            <w:tcW w:w="1307" w:type="dxa"/>
            <w:vAlign w:val="center"/>
          </w:tcPr>
          <w:p w:rsidR="00905970" w:rsidRPr="00935F3B" w:rsidRDefault="00905970" w:rsidP="00DB1C43">
            <w:pPr>
              <w:pStyle w:val="naisf"/>
              <w:spacing w:before="0" w:after="0"/>
              <w:ind w:firstLine="0"/>
              <w:jc w:val="center"/>
              <w:rPr>
                <w:bCs/>
                <w:noProof/>
              </w:rPr>
            </w:pPr>
            <w:r w:rsidRPr="00935F3B">
              <w:rPr>
                <w:bCs/>
                <w:noProof/>
              </w:rPr>
              <w:t>6</w:t>
            </w:r>
          </w:p>
        </w:tc>
      </w:tr>
      <w:tr w:rsidR="00905970" w:rsidRPr="00935F3B" w:rsidTr="00C53D1A">
        <w:trPr>
          <w:jc w:val="center"/>
        </w:trPr>
        <w:tc>
          <w:tcPr>
            <w:tcW w:w="2811" w:type="dxa"/>
          </w:tcPr>
          <w:p w:rsidR="00905970" w:rsidRPr="00935F3B" w:rsidRDefault="00905970" w:rsidP="00DB1C43">
            <w:pPr>
              <w:pStyle w:val="naisf"/>
              <w:spacing w:before="0" w:after="0"/>
              <w:ind w:firstLine="0"/>
              <w:jc w:val="left"/>
              <w:rPr>
                <w:b/>
                <w:noProof/>
              </w:rPr>
            </w:pPr>
            <w:r w:rsidRPr="00935F3B">
              <w:rPr>
                <w:b/>
                <w:noProof/>
              </w:rPr>
              <w:t>1. Budžeta ieņēmumi:</w:t>
            </w:r>
          </w:p>
        </w:tc>
        <w:tc>
          <w:tcPr>
            <w:tcW w:w="1330" w:type="dxa"/>
          </w:tcPr>
          <w:p w:rsidR="00905970" w:rsidRPr="00935F3B" w:rsidRDefault="005938DC" w:rsidP="00DC3212">
            <w:pPr>
              <w:pStyle w:val="naisf"/>
              <w:spacing w:before="0" w:after="0"/>
              <w:ind w:firstLine="0"/>
              <w:jc w:val="center"/>
              <w:rPr>
                <w:b/>
                <w:noProof/>
              </w:rPr>
            </w:pPr>
            <w:r>
              <w:rPr>
                <w:b/>
                <w:noProof/>
              </w:rPr>
              <w:t>738 029</w:t>
            </w:r>
          </w:p>
        </w:tc>
        <w:tc>
          <w:tcPr>
            <w:tcW w:w="1217" w:type="dxa"/>
          </w:tcPr>
          <w:p w:rsidR="00905970" w:rsidRPr="00935F3B" w:rsidRDefault="00905970" w:rsidP="00DC3212">
            <w:pPr>
              <w:pStyle w:val="naisf"/>
              <w:spacing w:before="0" w:after="0"/>
              <w:ind w:firstLine="0"/>
              <w:jc w:val="center"/>
              <w:rPr>
                <w:b/>
                <w:noProof/>
              </w:rPr>
            </w:pPr>
            <w:r w:rsidRPr="00935F3B">
              <w:rPr>
                <w:b/>
                <w:noProof/>
              </w:rPr>
              <w:t>0</w:t>
            </w:r>
          </w:p>
        </w:tc>
        <w:tc>
          <w:tcPr>
            <w:tcW w:w="1559" w:type="dxa"/>
          </w:tcPr>
          <w:p w:rsidR="00905970" w:rsidRPr="00935F3B" w:rsidRDefault="00810D5B" w:rsidP="00DC3212">
            <w:pPr>
              <w:pStyle w:val="naisf"/>
              <w:spacing w:before="0" w:after="0"/>
              <w:ind w:firstLine="0"/>
              <w:jc w:val="center"/>
              <w:rPr>
                <w:b/>
                <w:noProof/>
              </w:rPr>
            </w:pPr>
            <w:r>
              <w:rPr>
                <w:b/>
                <w:noProof/>
              </w:rPr>
              <w:t>0</w:t>
            </w:r>
          </w:p>
        </w:tc>
        <w:tc>
          <w:tcPr>
            <w:tcW w:w="1418" w:type="dxa"/>
          </w:tcPr>
          <w:p w:rsidR="00905970" w:rsidRPr="00935F3B" w:rsidRDefault="00810D5B" w:rsidP="00DC3212">
            <w:pPr>
              <w:pStyle w:val="naisf"/>
              <w:spacing w:before="0" w:after="0"/>
              <w:ind w:firstLine="0"/>
              <w:jc w:val="center"/>
              <w:rPr>
                <w:b/>
                <w:noProof/>
              </w:rPr>
            </w:pPr>
            <w:r>
              <w:rPr>
                <w:b/>
                <w:noProof/>
              </w:rPr>
              <w:t>0</w:t>
            </w:r>
          </w:p>
        </w:tc>
        <w:tc>
          <w:tcPr>
            <w:tcW w:w="1307" w:type="dxa"/>
          </w:tcPr>
          <w:p w:rsidR="00905970" w:rsidRPr="00935F3B" w:rsidRDefault="00810D5B" w:rsidP="00DC3212">
            <w:pPr>
              <w:pStyle w:val="naisf"/>
              <w:spacing w:before="0" w:after="0"/>
              <w:ind w:firstLine="0"/>
              <w:jc w:val="center"/>
              <w:rPr>
                <w:b/>
                <w:noProof/>
              </w:rPr>
            </w:pPr>
            <w:r>
              <w:rPr>
                <w:b/>
                <w:noProof/>
              </w:rPr>
              <w:t>0</w:t>
            </w:r>
          </w:p>
        </w:tc>
      </w:tr>
      <w:tr w:rsidR="00905970" w:rsidRPr="00935F3B" w:rsidTr="00C53D1A">
        <w:trPr>
          <w:jc w:val="center"/>
        </w:trPr>
        <w:tc>
          <w:tcPr>
            <w:tcW w:w="2811" w:type="dxa"/>
          </w:tcPr>
          <w:p w:rsidR="00905970" w:rsidRPr="00935F3B" w:rsidRDefault="00905970" w:rsidP="00DB1C43">
            <w:pPr>
              <w:pStyle w:val="naisf"/>
              <w:spacing w:before="0" w:after="0"/>
              <w:ind w:firstLine="0"/>
              <w:rPr>
                <w:i/>
                <w:noProof/>
              </w:rPr>
            </w:pPr>
            <w:r w:rsidRPr="00935F3B">
              <w:rPr>
                <w:noProof/>
              </w:rPr>
              <w:t>1.1. valsts pamatbudžets, tai skaitā ieņēmumi no maksas pakalpojumiem un citi pašu ieņēmumi</w:t>
            </w:r>
          </w:p>
        </w:tc>
        <w:tc>
          <w:tcPr>
            <w:tcW w:w="1330" w:type="dxa"/>
          </w:tcPr>
          <w:p w:rsidR="00B57C43" w:rsidRDefault="00B57C43" w:rsidP="00DC3212">
            <w:pPr>
              <w:pStyle w:val="naisf"/>
              <w:spacing w:before="0" w:after="0"/>
              <w:ind w:firstLine="0"/>
              <w:jc w:val="center"/>
              <w:rPr>
                <w:noProof/>
              </w:rPr>
            </w:pPr>
          </w:p>
          <w:p w:rsidR="00905970" w:rsidRPr="00935F3B" w:rsidRDefault="005938DC" w:rsidP="00DC3212">
            <w:pPr>
              <w:pStyle w:val="naisf"/>
              <w:spacing w:before="0" w:after="0"/>
              <w:ind w:firstLine="0"/>
              <w:jc w:val="center"/>
              <w:rPr>
                <w:noProof/>
              </w:rPr>
            </w:pPr>
            <w:r>
              <w:rPr>
                <w:noProof/>
              </w:rPr>
              <w:t>64 915</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810D5B" w:rsidP="00DC3212">
            <w:pPr>
              <w:pStyle w:val="naisf"/>
              <w:spacing w:before="0" w:after="0"/>
              <w:ind w:firstLine="0"/>
              <w:jc w:val="center"/>
              <w:rPr>
                <w:noProof/>
              </w:rPr>
            </w:pPr>
            <w:r>
              <w:rPr>
                <w:noProof/>
              </w:rPr>
              <w:t>0</w:t>
            </w:r>
          </w:p>
        </w:tc>
        <w:tc>
          <w:tcPr>
            <w:tcW w:w="1418" w:type="dxa"/>
          </w:tcPr>
          <w:p w:rsidR="00905970" w:rsidRPr="00935F3B" w:rsidRDefault="00810D5B" w:rsidP="00DC3212">
            <w:pPr>
              <w:pStyle w:val="naisf"/>
              <w:spacing w:before="0" w:after="0"/>
              <w:ind w:firstLine="0"/>
              <w:jc w:val="center"/>
              <w:rPr>
                <w:noProof/>
              </w:rPr>
            </w:pPr>
            <w:r>
              <w:rPr>
                <w:noProof/>
              </w:rPr>
              <w:t>0</w:t>
            </w:r>
          </w:p>
        </w:tc>
        <w:tc>
          <w:tcPr>
            <w:tcW w:w="1307" w:type="dxa"/>
          </w:tcPr>
          <w:p w:rsidR="00905970" w:rsidRPr="00935F3B" w:rsidRDefault="00810D5B" w:rsidP="00DC3212">
            <w:pPr>
              <w:pStyle w:val="naisf"/>
              <w:spacing w:before="0" w:after="0"/>
              <w:ind w:firstLine="0"/>
              <w:jc w:val="center"/>
              <w:rPr>
                <w:noProof/>
              </w:rPr>
            </w:pPr>
            <w:r>
              <w:rPr>
                <w:noProof/>
              </w:rPr>
              <w:t>0</w:t>
            </w:r>
          </w:p>
        </w:tc>
      </w:tr>
      <w:tr w:rsidR="00905970" w:rsidRPr="00935F3B" w:rsidTr="00C53D1A">
        <w:trPr>
          <w:jc w:val="center"/>
        </w:trPr>
        <w:tc>
          <w:tcPr>
            <w:tcW w:w="2811" w:type="dxa"/>
          </w:tcPr>
          <w:p w:rsidR="00905970" w:rsidRPr="00935F3B" w:rsidRDefault="00905970" w:rsidP="00DB1C43">
            <w:pPr>
              <w:pStyle w:val="naisf"/>
              <w:spacing w:before="0" w:after="0"/>
              <w:ind w:firstLine="0"/>
              <w:rPr>
                <w:i/>
                <w:noProof/>
              </w:rPr>
            </w:pPr>
            <w:r w:rsidRPr="00935F3B">
              <w:rPr>
                <w:noProof/>
              </w:rPr>
              <w:t>1.2. valsts speciālais budžets</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pStyle w:val="naisf"/>
              <w:spacing w:before="0" w:after="0"/>
              <w:ind w:firstLine="0"/>
              <w:rPr>
                <w:i/>
                <w:noProof/>
              </w:rPr>
            </w:pPr>
            <w:r w:rsidRPr="00935F3B">
              <w:rPr>
                <w:noProof/>
              </w:rPr>
              <w:t>1.3. pašvaldību budžets</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2. Budžeta izdevumi:</w:t>
            </w:r>
          </w:p>
        </w:tc>
        <w:tc>
          <w:tcPr>
            <w:tcW w:w="1330" w:type="dxa"/>
          </w:tcPr>
          <w:p w:rsidR="00905970" w:rsidRPr="00935F3B" w:rsidRDefault="005938DC" w:rsidP="00DC3212">
            <w:pPr>
              <w:pStyle w:val="naisf"/>
              <w:spacing w:before="0" w:after="0"/>
              <w:ind w:firstLine="0"/>
              <w:jc w:val="center"/>
              <w:rPr>
                <w:b/>
                <w:noProof/>
              </w:rPr>
            </w:pPr>
            <w:r>
              <w:rPr>
                <w:b/>
                <w:noProof/>
              </w:rPr>
              <w:t>738 029</w:t>
            </w:r>
          </w:p>
        </w:tc>
        <w:tc>
          <w:tcPr>
            <w:tcW w:w="1217" w:type="dxa"/>
          </w:tcPr>
          <w:p w:rsidR="00905970" w:rsidRPr="00935F3B" w:rsidRDefault="00905970" w:rsidP="00DC3212">
            <w:pPr>
              <w:pStyle w:val="naisf"/>
              <w:spacing w:before="0" w:after="0"/>
              <w:ind w:firstLine="0"/>
              <w:jc w:val="center"/>
              <w:rPr>
                <w:b/>
                <w:noProof/>
              </w:rPr>
            </w:pPr>
            <w:r w:rsidRPr="00935F3B">
              <w:rPr>
                <w:b/>
                <w:noProof/>
              </w:rPr>
              <w:t>0</w:t>
            </w:r>
          </w:p>
        </w:tc>
        <w:tc>
          <w:tcPr>
            <w:tcW w:w="1559" w:type="dxa"/>
          </w:tcPr>
          <w:p w:rsidR="00905970" w:rsidRPr="00935F3B" w:rsidRDefault="00810D5B" w:rsidP="00DC3212">
            <w:pPr>
              <w:pStyle w:val="naisf"/>
              <w:spacing w:before="0" w:after="0"/>
              <w:ind w:firstLine="0"/>
              <w:jc w:val="center"/>
              <w:rPr>
                <w:b/>
                <w:noProof/>
              </w:rPr>
            </w:pPr>
            <w:r>
              <w:rPr>
                <w:b/>
                <w:noProof/>
              </w:rPr>
              <w:t>0</w:t>
            </w:r>
          </w:p>
        </w:tc>
        <w:tc>
          <w:tcPr>
            <w:tcW w:w="1418" w:type="dxa"/>
          </w:tcPr>
          <w:p w:rsidR="00905970" w:rsidRPr="00935F3B" w:rsidRDefault="00810D5B" w:rsidP="00DC3212">
            <w:pPr>
              <w:pStyle w:val="naisf"/>
              <w:spacing w:before="0" w:after="0"/>
              <w:ind w:firstLine="0"/>
              <w:jc w:val="center"/>
              <w:rPr>
                <w:b/>
                <w:noProof/>
              </w:rPr>
            </w:pPr>
            <w:r>
              <w:rPr>
                <w:b/>
                <w:noProof/>
              </w:rPr>
              <w:t>0</w:t>
            </w:r>
          </w:p>
        </w:tc>
        <w:tc>
          <w:tcPr>
            <w:tcW w:w="1307" w:type="dxa"/>
          </w:tcPr>
          <w:p w:rsidR="00905970" w:rsidRPr="00935F3B" w:rsidRDefault="00810D5B" w:rsidP="00DC3212">
            <w:pPr>
              <w:pStyle w:val="naisf"/>
              <w:spacing w:before="0" w:after="0"/>
              <w:ind w:firstLine="0"/>
              <w:jc w:val="center"/>
              <w:rPr>
                <w:b/>
                <w:noProof/>
              </w:rPr>
            </w:pPr>
            <w:r>
              <w:rPr>
                <w:b/>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2.1. valsts pamatbudžets</w:t>
            </w:r>
          </w:p>
        </w:tc>
        <w:tc>
          <w:tcPr>
            <w:tcW w:w="1330" w:type="dxa"/>
          </w:tcPr>
          <w:p w:rsidR="00905970" w:rsidRPr="00935F3B" w:rsidRDefault="005938DC" w:rsidP="00DC3212">
            <w:pPr>
              <w:pStyle w:val="naisf"/>
              <w:spacing w:before="0" w:after="0"/>
              <w:ind w:firstLine="0"/>
              <w:jc w:val="center"/>
              <w:rPr>
                <w:noProof/>
              </w:rPr>
            </w:pPr>
            <w:r>
              <w:rPr>
                <w:noProof/>
              </w:rPr>
              <w:t>738 029</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810D5B" w:rsidP="00DC3212">
            <w:pPr>
              <w:pStyle w:val="naisf"/>
              <w:spacing w:before="0" w:after="0"/>
              <w:ind w:firstLine="0"/>
              <w:jc w:val="center"/>
              <w:rPr>
                <w:noProof/>
              </w:rPr>
            </w:pPr>
            <w:r>
              <w:rPr>
                <w:noProof/>
              </w:rPr>
              <w:t>0</w:t>
            </w:r>
          </w:p>
        </w:tc>
        <w:tc>
          <w:tcPr>
            <w:tcW w:w="1418" w:type="dxa"/>
          </w:tcPr>
          <w:p w:rsidR="00905970" w:rsidRPr="00935F3B" w:rsidRDefault="00810D5B" w:rsidP="00DC3212">
            <w:pPr>
              <w:pStyle w:val="naisf"/>
              <w:spacing w:before="0" w:after="0"/>
              <w:ind w:firstLine="0"/>
              <w:jc w:val="center"/>
              <w:rPr>
                <w:noProof/>
              </w:rPr>
            </w:pPr>
            <w:r>
              <w:rPr>
                <w:noProof/>
              </w:rPr>
              <w:t>0</w:t>
            </w:r>
          </w:p>
        </w:tc>
        <w:tc>
          <w:tcPr>
            <w:tcW w:w="1307" w:type="dxa"/>
          </w:tcPr>
          <w:p w:rsidR="00905970" w:rsidRPr="00935F3B" w:rsidRDefault="00810D5B" w:rsidP="00DC3212">
            <w:pPr>
              <w:pStyle w:val="naisf"/>
              <w:spacing w:before="0" w:after="0"/>
              <w:ind w:firstLine="0"/>
              <w:jc w:val="center"/>
              <w:rPr>
                <w:noProof/>
              </w:rPr>
            </w:pPr>
            <w:r>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2.2. valsts speciālais budžets</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2.3. pašvaldību budžets </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3. Finansiālā ietekme:</w:t>
            </w:r>
          </w:p>
        </w:tc>
        <w:tc>
          <w:tcPr>
            <w:tcW w:w="1330" w:type="dxa"/>
          </w:tcPr>
          <w:p w:rsidR="00905970" w:rsidRPr="00935F3B" w:rsidRDefault="00905970" w:rsidP="00DC3212">
            <w:pPr>
              <w:pStyle w:val="naisf"/>
              <w:spacing w:before="0" w:after="0"/>
              <w:ind w:firstLine="0"/>
              <w:jc w:val="center"/>
              <w:rPr>
                <w:b/>
                <w:noProof/>
              </w:rPr>
            </w:pPr>
            <w:r w:rsidRPr="00935F3B">
              <w:rPr>
                <w:b/>
                <w:noProof/>
              </w:rPr>
              <w:t>0</w:t>
            </w:r>
          </w:p>
        </w:tc>
        <w:tc>
          <w:tcPr>
            <w:tcW w:w="1217" w:type="dxa"/>
          </w:tcPr>
          <w:p w:rsidR="00905970" w:rsidRPr="00935F3B" w:rsidRDefault="00905970" w:rsidP="00DC3212">
            <w:pPr>
              <w:pStyle w:val="naisf"/>
              <w:spacing w:before="0" w:after="0"/>
              <w:ind w:firstLine="0"/>
              <w:jc w:val="center"/>
              <w:rPr>
                <w:b/>
                <w:noProof/>
              </w:rPr>
            </w:pPr>
            <w:r w:rsidRPr="00935F3B">
              <w:rPr>
                <w:b/>
                <w:noProof/>
              </w:rPr>
              <w:t>0</w:t>
            </w:r>
          </w:p>
        </w:tc>
        <w:tc>
          <w:tcPr>
            <w:tcW w:w="1559" w:type="dxa"/>
          </w:tcPr>
          <w:p w:rsidR="00905970" w:rsidRPr="00935F3B" w:rsidRDefault="00905970" w:rsidP="00DC3212">
            <w:pPr>
              <w:pStyle w:val="naisf"/>
              <w:spacing w:before="0" w:after="0"/>
              <w:ind w:firstLine="0"/>
              <w:jc w:val="center"/>
              <w:rPr>
                <w:b/>
                <w:noProof/>
              </w:rPr>
            </w:pPr>
            <w:r w:rsidRPr="00935F3B">
              <w:rPr>
                <w:b/>
                <w:noProof/>
              </w:rPr>
              <w:t>0</w:t>
            </w:r>
          </w:p>
        </w:tc>
        <w:tc>
          <w:tcPr>
            <w:tcW w:w="1418" w:type="dxa"/>
          </w:tcPr>
          <w:p w:rsidR="00905970" w:rsidRPr="00935F3B" w:rsidRDefault="00905970" w:rsidP="00DC3212">
            <w:pPr>
              <w:pStyle w:val="naisf"/>
              <w:spacing w:before="0" w:after="0"/>
              <w:ind w:firstLine="0"/>
              <w:jc w:val="center"/>
              <w:rPr>
                <w:b/>
                <w:noProof/>
              </w:rPr>
            </w:pPr>
            <w:r w:rsidRPr="00935F3B">
              <w:rPr>
                <w:b/>
                <w:noProof/>
              </w:rPr>
              <w:t>0</w:t>
            </w:r>
          </w:p>
        </w:tc>
        <w:tc>
          <w:tcPr>
            <w:tcW w:w="1307" w:type="dxa"/>
          </w:tcPr>
          <w:p w:rsidR="00905970" w:rsidRPr="00935F3B" w:rsidRDefault="00905970" w:rsidP="00DC3212">
            <w:pPr>
              <w:pStyle w:val="naisf"/>
              <w:spacing w:before="0" w:after="0"/>
              <w:ind w:firstLine="0"/>
              <w:jc w:val="center"/>
              <w:rPr>
                <w:b/>
                <w:noProof/>
              </w:rPr>
            </w:pPr>
            <w:r w:rsidRPr="00935F3B">
              <w:rPr>
                <w:b/>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lastRenderedPageBreak/>
              <w:t>3.1. valsts pamatbudžets</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3.2. speciālais budžets</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3.3. pašvaldību budžets </w:t>
            </w:r>
          </w:p>
        </w:tc>
        <w:tc>
          <w:tcPr>
            <w:tcW w:w="1330" w:type="dxa"/>
          </w:tcPr>
          <w:p w:rsidR="00905970" w:rsidRPr="00935F3B" w:rsidRDefault="00905970" w:rsidP="00DC3212">
            <w:pPr>
              <w:pStyle w:val="naisf"/>
              <w:spacing w:before="0" w:after="0"/>
              <w:ind w:firstLine="0"/>
              <w:jc w:val="center"/>
              <w:rPr>
                <w:noProof/>
              </w:rPr>
            </w:pPr>
            <w:r w:rsidRPr="00935F3B">
              <w:rPr>
                <w:noProof/>
              </w:rPr>
              <w:t>0</w:t>
            </w: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vMerge w:val="restart"/>
          </w:tcPr>
          <w:p w:rsidR="00905970" w:rsidRPr="00935F3B" w:rsidRDefault="00905970" w:rsidP="00DB1C43">
            <w:pPr>
              <w:spacing w:after="0" w:line="240" w:lineRule="auto"/>
              <w:jc w:val="both"/>
              <w:rPr>
                <w:rFonts w:ascii="Times New Roman" w:hAnsi="Times New Roman"/>
                <w:noProof/>
                <w:sz w:val="24"/>
                <w:szCs w:val="24"/>
                <w:lang w:val="lv-LV"/>
              </w:rPr>
            </w:pPr>
            <w:r w:rsidRPr="00262838">
              <w:rPr>
                <w:rFonts w:ascii="Times New Roman" w:hAnsi="Times New Roman"/>
                <w:b/>
                <w:noProof/>
                <w:spacing w:val="-6"/>
                <w:sz w:val="24"/>
                <w:szCs w:val="24"/>
                <w:lang w:val="lv-LV"/>
              </w:rPr>
              <w:t>4</w:t>
            </w:r>
            <w:r w:rsidR="0003406F" w:rsidRPr="00262838">
              <w:rPr>
                <w:rFonts w:ascii="Times New Roman" w:hAnsi="Times New Roman"/>
                <w:b/>
                <w:noProof/>
                <w:spacing w:val="-6"/>
                <w:sz w:val="24"/>
                <w:szCs w:val="24"/>
                <w:lang w:val="lv-LV"/>
              </w:rPr>
              <w:t>. Finanšu līdzekļi papildu izde</w:t>
            </w:r>
            <w:r w:rsidRPr="00262838">
              <w:rPr>
                <w:rFonts w:ascii="Times New Roman" w:hAnsi="Times New Roman"/>
                <w:b/>
                <w:noProof/>
                <w:spacing w:val="-6"/>
                <w:sz w:val="24"/>
                <w:szCs w:val="24"/>
                <w:lang w:val="lv-LV"/>
              </w:rPr>
              <w:t>vumu finansēšanai</w:t>
            </w:r>
            <w:r w:rsidRPr="00935F3B">
              <w:rPr>
                <w:rFonts w:ascii="Times New Roman" w:hAnsi="Times New Roman"/>
                <w:noProof/>
                <w:sz w:val="24"/>
                <w:szCs w:val="24"/>
                <w:lang w:val="lv-LV"/>
              </w:rPr>
              <w:t xml:space="preserve"> (kompensējošu izdevumu samazinājumu norāda ar "+" zīmi)</w:t>
            </w:r>
          </w:p>
        </w:tc>
        <w:tc>
          <w:tcPr>
            <w:tcW w:w="1330" w:type="dxa"/>
            <w:vMerge w:val="restart"/>
          </w:tcPr>
          <w:p w:rsidR="00905970" w:rsidRPr="00935F3B" w:rsidRDefault="00905970" w:rsidP="00DC3212">
            <w:pPr>
              <w:pStyle w:val="naisf"/>
              <w:spacing w:before="0" w:after="0"/>
              <w:ind w:firstLine="0"/>
              <w:jc w:val="center"/>
              <w:rPr>
                <w:i/>
                <w:noProof/>
              </w:rPr>
            </w:pPr>
            <w:r w:rsidRPr="00935F3B">
              <w:rPr>
                <w:noProof/>
              </w:rPr>
              <w:t>X</w:t>
            </w:r>
          </w:p>
        </w:tc>
        <w:tc>
          <w:tcPr>
            <w:tcW w:w="1217" w:type="dxa"/>
          </w:tcPr>
          <w:p w:rsidR="00905970" w:rsidRPr="00262838" w:rsidRDefault="00905970" w:rsidP="00DC3212">
            <w:pPr>
              <w:pStyle w:val="naisf"/>
              <w:spacing w:before="0" w:after="0"/>
              <w:ind w:firstLine="0"/>
              <w:jc w:val="center"/>
              <w:rPr>
                <w:b/>
                <w:noProof/>
              </w:rPr>
            </w:pPr>
            <w:r w:rsidRPr="00262838">
              <w:rPr>
                <w:b/>
                <w:noProof/>
              </w:rPr>
              <w:t>0</w:t>
            </w:r>
          </w:p>
        </w:tc>
        <w:tc>
          <w:tcPr>
            <w:tcW w:w="1559" w:type="dxa"/>
          </w:tcPr>
          <w:p w:rsidR="00905970" w:rsidRPr="00262838" w:rsidRDefault="00905970" w:rsidP="00DC3212">
            <w:pPr>
              <w:pStyle w:val="naisf"/>
              <w:spacing w:before="0" w:after="0"/>
              <w:ind w:firstLine="0"/>
              <w:jc w:val="center"/>
              <w:rPr>
                <w:b/>
                <w:noProof/>
              </w:rPr>
            </w:pPr>
            <w:r w:rsidRPr="00262838">
              <w:rPr>
                <w:b/>
                <w:noProof/>
              </w:rPr>
              <w:t>0</w:t>
            </w:r>
          </w:p>
        </w:tc>
        <w:tc>
          <w:tcPr>
            <w:tcW w:w="1418" w:type="dxa"/>
          </w:tcPr>
          <w:p w:rsidR="00905970" w:rsidRPr="00262838" w:rsidRDefault="00905970" w:rsidP="00DC3212">
            <w:pPr>
              <w:pStyle w:val="naisf"/>
              <w:spacing w:before="0" w:after="0"/>
              <w:ind w:firstLine="0"/>
              <w:jc w:val="center"/>
              <w:rPr>
                <w:b/>
                <w:noProof/>
              </w:rPr>
            </w:pPr>
            <w:r w:rsidRPr="00262838">
              <w:rPr>
                <w:b/>
                <w:noProof/>
              </w:rPr>
              <w:t>0</w:t>
            </w:r>
          </w:p>
        </w:tc>
        <w:tc>
          <w:tcPr>
            <w:tcW w:w="1307" w:type="dxa"/>
          </w:tcPr>
          <w:p w:rsidR="00905970" w:rsidRPr="00262838" w:rsidRDefault="00905970" w:rsidP="00DC3212">
            <w:pPr>
              <w:pStyle w:val="naisf"/>
              <w:spacing w:before="0" w:after="0"/>
              <w:ind w:firstLine="0"/>
              <w:jc w:val="center"/>
              <w:rPr>
                <w:b/>
                <w:noProof/>
              </w:rPr>
            </w:pPr>
            <w:r w:rsidRPr="00262838">
              <w:rPr>
                <w:b/>
                <w:noProof/>
              </w:rPr>
              <w:t>0</w:t>
            </w:r>
          </w:p>
        </w:tc>
      </w:tr>
      <w:tr w:rsidR="00905970" w:rsidRPr="00935F3B" w:rsidTr="00C53D1A">
        <w:trPr>
          <w:jc w:val="center"/>
        </w:trPr>
        <w:tc>
          <w:tcPr>
            <w:tcW w:w="2811" w:type="dxa"/>
            <w:vMerge/>
          </w:tcPr>
          <w:p w:rsidR="00905970" w:rsidRPr="00935F3B" w:rsidRDefault="00905970" w:rsidP="00DB1C43">
            <w:pPr>
              <w:spacing w:after="0" w:line="240" w:lineRule="auto"/>
              <w:jc w:val="both"/>
              <w:rPr>
                <w:rFonts w:ascii="Times New Roman" w:hAnsi="Times New Roman"/>
                <w:noProof/>
                <w:sz w:val="24"/>
                <w:szCs w:val="24"/>
                <w:lang w:val="lv-LV"/>
              </w:rPr>
            </w:pPr>
          </w:p>
        </w:tc>
        <w:tc>
          <w:tcPr>
            <w:tcW w:w="1330" w:type="dxa"/>
            <w:vMerge/>
          </w:tcPr>
          <w:p w:rsidR="00905970" w:rsidRPr="00935F3B" w:rsidRDefault="00905970" w:rsidP="00DC3212">
            <w:pPr>
              <w:pStyle w:val="naisf"/>
              <w:spacing w:before="0" w:after="0"/>
              <w:ind w:firstLine="0"/>
              <w:jc w:val="center"/>
              <w:rPr>
                <w:i/>
                <w:noProof/>
              </w:rPr>
            </w:pP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vMerge/>
          </w:tcPr>
          <w:p w:rsidR="00905970" w:rsidRPr="00935F3B" w:rsidRDefault="00905970" w:rsidP="00DB1C43">
            <w:pPr>
              <w:spacing w:after="0" w:line="240" w:lineRule="auto"/>
              <w:jc w:val="both"/>
              <w:rPr>
                <w:rFonts w:ascii="Times New Roman" w:hAnsi="Times New Roman"/>
                <w:noProof/>
                <w:sz w:val="24"/>
                <w:szCs w:val="24"/>
                <w:lang w:val="lv-LV"/>
              </w:rPr>
            </w:pPr>
          </w:p>
        </w:tc>
        <w:tc>
          <w:tcPr>
            <w:tcW w:w="1330" w:type="dxa"/>
            <w:vMerge/>
          </w:tcPr>
          <w:p w:rsidR="00905970" w:rsidRPr="00935F3B" w:rsidRDefault="00905970" w:rsidP="00DC3212">
            <w:pPr>
              <w:pStyle w:val="naisf"/>
              <w:spacing w:before="0" w:after="0"/>
              <w:ind w:firstLine="0"/>
              <w:jc w:val="center"/>
              <w:rPr>
                <w:i/>
                <w:noProof/>
              </w:rPr>
            </w:pP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5. Precizēta finansiālā ietekme:</w:t>
            </w:r>
          </w:p>
        </w:tc>
        <w:tc>
          <w:tcPr>
            <w:tcW w:w="1330" w:type="dxa"/>
            <w:vMerge w:val="restart"/>
          </w:tcPr>
          <w:p w:rsidR="00905970" w:rsidRPr="00935F3B" w:rsidRDefault="00905970" w:rsidP="00DC3212">
            <w:pPr>
              <w:pStyle w:val="naisf"/>
              <w:spacing w:before="0" w:after="0"/>
              <w:ind w:firstLine="0"/>
              <w:jc w:val="center"/>
              <w:rPr>
                <w:i/>
                <w:noProof/>
              </w:rPr>
            </w:pPr>
            <w:r w:rsidRPr="00935F3B">
              <w:rPr>
                <w:noProof/>
              </w:rPr>
              <w:t>X</w:t>
            </w:r>
          </w:p>
        </w:tc>
        <w:tc>
          <w:tcPr>
            <w:tcW w:w="1217" w:type="dxa"/>
          </w:tcPr>
          <w:p w:rsidR="00905970" w:rsidRPr="00935F3B" w:rsidRDefault="00905970" w:rsidP="00DC3212">
            <w:pPr>
              <w:pStyle w:val="naisf"/>
              <w:spacing w:before="0" w:after="0"/>
              <w:ind w:firstLine="0"/>
              <w:jc w:val="center"/>
              <w:rPr>
                <w:b/>
                <w:noProof/>
              </w:rPr>
            </w:pPr>
            <w:r w:rsidRPr="00935F3B">
              <w:rPr>
                <w:b/>
                <w:noProof/>
              </w:rPr>
              <w:t>0</w:t>
            </w:r>
          </w:p>
        </w:tc>
        <w:tc>
          <w:tcPr>
            <w:tcW w:w="1559" w:type="dxa"/>
          </w:tcPr>
          <w:p w:rsidR="00905970" w:rsidRPr="00935F3B" w:rsidRDefault="00905970" w:rsidP="00DC3212">
            <w:pPr>
              <w:pStyle w:val="naisf"/>
              <w:spacing w:before="0" w:after="0"/>
              <w:ind w:firstLine="0"/>
              <w:jc w:val="center"/>
              <w:rPr>
                <w:b/>
                <w:noProof/>
              </w:rPr>
            </w:pPr>
            <w:r w:rsidRPr="00935F3B">
              <w:rPr>
                <w:b/>
                <w:noProof/>
              </w:rPr>
              <w:t>0</w:t>
            </w:r>
          </w:p>
        </w:tc>
        <w:tc>
          <w:tcPr>
            <w:tcW w:w="1418" w:type="dxa"/>
          </w:tcPr>
          <w:p w:rsidR="00905970" w:rsidRPr="00935F3B" w:rsidRDefault="00905970" w:rsidP="00DC3212">
            <w:pPr>
              <w:pStyle w:val="naisf"/>
              <w:spacing w:before="0" w:after="0"/>
              <w:ind w:firstLine="0"/>
              <w:jc w:val="center"/>
              <w:rPr>
                <w:b/>
                <w:noProof/>
              </w:rPr>
            </w:pPr>
            <w:r w:rsidRPr="00935F3B">
              <w:rPr>
                <w:b/>
                <w:noProof/>
              </w:rPr>
              <w:t>0</w:t>
            </w:r>
          </w:p>
        </w:tc>
        <w:tc>
          <w:tcPr>
            <w:tcW w:w="1307" w:type="dxa"/>
          </w:tcPr>
          <w:p w:rsidR="00905970" w:rsidRPr="00935F3B" w:rsidRDefault="00905970" w:rsidP="00DC3212">
            <w:pPr>
              <w:pStyle w:val="naisf"/>
              <w:spacing w:before="0" w:after="0"/>
              <w:ind w:firstLine="0"/>
              <w:jc w:val="center"/>
              <w:rPr>
                <w:b/>
                <w:noProof/>
              </w:rPr>
            </w:pPr>
            <w:r w:rsidRPr="00935F3B">
              <w:rPr>
                <w:b/>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5.1. valsts pamatbudžets</w:t>
            </w:r>
          </w:p>
        </w:tc>
        <w:tc>
          <w:tcPr>
            <w:tcW w:w="1330" w:type="dxa"/>
            <w:vMerge/>
            <w:vAlign w:val="center"/>
          </w:tcPr>
          <w:p w:rsidR="00905970" w:rsidRPr="00935F3B" w:rsidRDefault="00905970" w:rsidP="00DC3212">
            <w:pPr>
              <w:pStyle w:val="naisf"/>
              <w:spacing w:before="0" w:after="0"/>
              <w:ind w:firstLine="0"/>
              <w:jc w:val="center"/>
              <w:rPr>
                <w:i/>
                <w:noProof/>
              </w:rPr>
            </w:pP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5.2. speciālais budžets</w:t>
            </w:r>
          </w:p>
        </w:tc>
        <w:tc>
          <w:tcPr>
            <w:tcW w:w="1330" w:type="dxa"/>
            <w:vMerge/>
            <w:vAlign w:val="center"/>
          </w:tcPr>
          <w:p w:rsidR="00905970" w:rsidRPr="00935F3B" w:rsidRDefault="00905970" w:rsidP="00DC3212">
            <w:pPr>
              <w:pStyle w:val="naisf"/>
              <w:spacing w:before="0" w:after="0"/>
              <w:ind w:firstLine="0"/>
              <w:jc w:val="center"/>
              <w:rPr>
                <w:i/>
                <w:noProof/>
              </w:rPr>
            </w:pP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5.3. pašvaldību budžets </w:t>
            </w:r>
          </w:p>
        </w:tc>
        <w:tc>
          <w:tcPr>
            <w:tcW w:w="1330" w:type="dxa"/>
            <w:vMerge/>
            <w:vAlign w:val="center"/>
          </w:tcPr>
          <w:p w:rsidR="00905970" w:rsidRPr="00935F3B" w:rsidRDefault="00905970" w:rsidP="00DC3212">
            <w:pPr>
              <w:pStyle w:val="naisf"/>
              <w:spacing w:before="0" w:after="0"/>
              <w:ind w:firstLine="0"/>
              <w:jc w:val="center"/>
              <w:rPr>
                <w:i/>
                <w:noProof/>
              </w:rPr>
            </w:pPr>
          </w:p>
        </w:tc>
        <w:tc>
          <w:tcPr>
            <w:tcW w:w="1217" w:type="dxa"/>
          </w:tcPr>
          <w:p w:rsidR="00905970" w:rsidRPr="00935F3B" w:rsidRDefault="00905970" w:rsidP="00DC3212">
            <w:pPr>
              <w:pStyle w:val="naisf"/>
              <w:spacing w:before="0" w:after="0"/>
              <w:ind w:firstLine="0"/>
              <w:jc w:val="center"/>
              <w:rPr>
                <w:noProof/>
              </w:rPr>
            </w:pPr>
            <w:r w:rsidRPr="00935F3B">
              <w:rPr>
                <w:noProof/>
              </w:rPr>
              <w:t>0</w:t>
            </w:r>
          </w:p>
        </w:tc>
        <w:tc>
          <w:tcPr>
            <w:tcW w:w="1559" w:type="dxa"/>
          </w:tcPr>
          <w:p w:rsidR="00905970" w:rsidRPr="00935F3B" w:rsidRDefault="00905970" w:rsidP="00DC3212">
            <w:pPr>
              <w:pStyle w:val="naisf"/>
              <w:spacing w:before="0" w:after="0"/>
              <w:ind w:firstLine="0"/>
              <w:jc w:val="center"/>
              <w:rPr>
                <w:noProof/>
              </w:rPr>
            </w:pPr>
            <w:r w:rsidRPr="00935F3B">
              <w:rPr>
                <w:noProof/>
              </w:rPr>
              <w:t>0</w:t>
            </w:r>
          </w:p>
        </w:tc>
        <w:tc>
          <w:tcPr>
            <w:tcW w:w="1418" w:type="dxa"/>
          </w:tcPr>
          <w:p w:rsidR="00905970" w:rsidRPr="00935F3B" w:rsidRDefault="00905970" w:rsidP="00DC3212">
            <w:pPr>
              <w:pStyle w:val="naisf"/>
              <w:spacing w:before="0" w:after="0"/>
              <w:ind w:firstLine="0"/>
              <w:jc w:val="center"/>
              <w:rPr>
                <w:noProof/>
              </w:rPr>
            </w:pPr>
            <w:r w:rsidRPr="00935F3B">
              <w:rPr>
                <w:noProof/>
              </w:rPr>
              <w:t>0</w:t>
            </w:r>
          </w:p>
        </w:tc>
        <w:tc>
          <w:tcPr>
            <w:tcW w:w="1307" w:type="dxa"/>
          </w:tcPr>
          <w:p w:rsidR="00905970" w:rsidRPr="00935F3B" w:rsidRDefault="00905970" w:rsidP="00DC3212">
            <w:pPr>
              <w:pStyle w:val="naisf"/>
              <w:spacing w:before="0" w:after="0"/>
              <w:ind w:firstLine="0"/>
              <w:jc w:val="center"/>
              <w:rPr>
                <w:noProof/>
              </w:rPr>
            </w:pPr>
            <w:r w:rsidRPr="00935F3B">
              <w:rPr>
                <w:noProof/>
              </w:rPr>
              <w:t>0</w:t>
            </w:r>
          </w:p>
        </w:tc>
      </w:tr>
      <w:tr w:rsidR="005938DC" w:rsidRPr="00C53D1A" w:rsidTr="00C53D1A">
        <w:trPr>
          <w:jc w:val="center"/>
        </w:trPr>
        <w:tc>
          <w:tcPr>
            <w:tcW w:w="2811" w:type="dxa"/>
          </w:tcPr>
          <w:p w:rsidR="005938DC" w:rsidRPr="00935F3B" w:rsidRDefault="005938DC" w:rsidP="005938DC">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 Detalizēts ieņēmumu un izdevumu aprēķins (ja nepieciešams, detalizētu ieņēmumu un izdevumu aprēķinu var pievienot anotācijas pielikumā):</w:t>
            </w:r>
          </w:p>
        </w:tc>
        <w:tc>
          <w:tcPr>
            <w:tcW w:w="6831" w:type="dxa"/>
            <w:gridSpan w:val="5"/>
            <w:vMerge w:val="restart"/>
          </w:tcPr>
          <w:p w:rsidR="005938DC" w:rsidRPr="007F001A" w:rsidRDefault="005938DC" w:rsidP="005938DC">
            <w:pPr>
              <w:pStyle w:val="naisf"/>
              <w:spacing w:before="0" w:after="0"/>
              <w:ind w:right="57" w:firstLine="0"/>
              <w:rPr>
                <w:noProof/>
                <w:color w:val="000000" w:themeColor="text1"/>
              </w:rPr>
            </w:pPr>
            <w:r w:rsidRPr="007F001A">
              <w:rPr>
                <w:noProof/>
                <w:color w:val="000000" w:themeColor="text1"/>
              </w:rPr>
              <w:t xml:space="preserve">Paula Stradiņa Medicīnas vēstures muzejam finansējums atbilstoši </w:t>
            </w:r>
            <w:r>
              <w:rPr>
                <w:noProof/>
                <w:color w:val="000000" w:themeColor="text1"/>
                <w:u w:val="single"/>
              </w:rPr>
              <w:t>likumam „Par valsts budžetu 2017</w:t>
            </w:r>
            <w:r w:rsidRPr="007F001A">
              <w:rPr>
                <w:noProof/>
                <w:color w:val="000000" w:themeColor="text1"/>
                <w:u w:val="single"/>
              </w:rPr>
              <w:t>.gadam</w:t>
            </w:r>
            <w:r w:rsidRPr="007F001A">
              <w:rPr>
                <w:noProof/>
                <w:color w:val="000000" w:themeColor="text1"/>
              </w:rPr>
              <w:t xml:space="preserve">” apakšprogrammā 06.02.00 „Medicīnas vēstures muzejs”: </w:t>
            </w:r>
          </w:p>
          <w:p w:rsidR="005938DC" w:rsidRPr="007F001A" w:rsidRDefault="005938DC" w:rsidP="005938DC">
            <w:pPr>
              <w:spacing w:after="0" w:line="240" w:lineRule="auto"/>
              <w:ind w:right="57"/>
              <w:jc w:val="both"/>
              <w:rPr>
                <w:rFonts w:ascii="Times New Roman" w:hAnsi="Times New Roman"/>
                <w:noProof/>
                <w:color w:val="000000" w:themeColor="text1"/>
                <w:sz w:val="24"/>
                <w:szCs w:val="24"/>
                <w:lang w:val="lv-LV" w:eastAsia="lv-LV"/>
              </w:rPr>
            </w:pPr>
            <w:r w:rsidRPr="007F001A">
              <w:rPr>
                <w:rFonts w:ascii="Times New Roman" w:hAnsi="Times New Roman"/>
                <w:noProof/>
                <w:color w:val="000000" w:themeColor="text1"/>
                <w:sz w:val="24"/>
                <w:szCs w:val="24"/>
                <w:lang w:val="lv-LV" w:eastAsia="lv-LV"/>
              </w:rPr>
              <w:t xml:space="preserve">Resursi izdevumu segšanai </w:t>
            </w:r>
            <w:r>
              <w:rPr>
                <w:rFonts w:ascii="Times New Roman" w:hAnsi="Times New Roman"/>
                <w:noProof/>
                <w:color w:val="000000" w:themeColor="text1"/>
                <w:sz w:val="24"/>
                <w:szCs w:val="24"/>
                <w:lang w:val="lv-LV" w:eastAsia="lv-LV"/>
              </w:rPr>
              <w:t>738 029</w:t>
            </w:r>
            <w:r w:rsidRPr="007F001A">
              <w:rPr>
                <w:rFonts w:ascii="Times New Roman" w:hAnsi="Times New Roman"/>
                <w:noProof/>
                <w:color w:val="000000" w:themeColor="text1"/>
                <w:sz w:val="24"/>
                <w:szCs w:val="24"/>
                <w:lang w:val="lv-LV" w:eastAsia="lv-LV"/>
              </w:rPr>
              <w:t xml:space="preserve">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tai skaitā:</w:t>
            </w:r>
            <w:r>
              <w:rPr>
                <w:rFonts w:ascii="Times New Roman" w:hAnsi="Times New Roman"/>
                <w:noProof/>
                <w:color w:val="000000" w:themeColor="text1"/>
                <w:sz w:val="24"/>
                <w:szCs w:val="24"/>
                <w:lang w:val="lv-LV" w:eastAsia="lv-LV"/>
              </w:rPr>
              <w:t xml:space="preserve"> pašu ieņēmumi 64 915</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dotācija no vispārējiem ieņēmumiem </w:t>
            </w:r>
            <w:r>
              <w:rPr>
                <w:rFonts w:ascii="Times New Roman" w:hAnsi="Times New Roman"/>
                <w:noProof/>
                <w:color w:val="000000" w:themeColor="text1"/>
                <w:sz w:val="24"/>
                <w:szCs w:val="24"/>
                <w:lang w:val="lv-LV" w:eastAsia="lv-LV"/>
              </w:rPr>
              <w:t>673 114</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Izdevumi </w:t>
            </w:r>
            <w:r>
              <w:rPr>
                <w:rFonts w:ascii="Times New Roman" w:hAnsi="Times New Roman"/>
                <w:noProof/>
                <w:color w:val="000000" w:themeColor="text1"/>
                <w:sz w:val="24"/>
                <w:szCs w:val="24"/>
                <w:lang w:val="lv-LV" w:eastAsia="lv-LV"/>
              </w:rPr>
              <w:t>738 029</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Pr>
                <w:rFonts w:ascii="Times New Roman" w:hAnsi="Times New Roman"/>
                <w:noProof/>
                <w:color w:val="000000" w:themeColor="text1"/>
                <w:sz w:val="24"/>
                <w:szCs w:val="24"/>
                <w:lang w:val="lv-LV" w:eastAsia="lv-LV"/>
              </w:rPr>
              <w:t>, tai skaitā: atlīdzība 603 364</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Pr>
                <w:rFonts w:ascii="Times New Roman" w:hAnsi="Times New Roman"/>
                <w:noProof/>
                <w:color w:val="000000" w:themeColor="text1"/>
                <w:sz w:val="24"/>
                <w:szCs w:val="24"/>
                <w:lang w:val="lv-LV" w:eastAsia="lv-LV"/>
              </w:rPr>
              <w:t>, t.sk. atalgojums 487 931</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Pr>
                <w:rFonts w:ascii="Times New Roman" w:hAnsi="Times New Roman"/>
                <w:noProof/>
                <w:color w:val="000000" w:themeColor="text1"/>
                <w:sz w:val="24"/>
                <w:szCs w:val="24"/>
                <w:lang w:val="lv-LV" w:eastAsia="lv-LV"/>
              </w:rPr>
              <w:t>, preces un pakalpojumi 120 436</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kapitālie izdevumi 14 229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w:t>
            </w:r>
          </w:p>
          <w:p w:rsidR="00311A04" w:rsidRDefault="007537F3" w:rsidP="005938DC">
            <w:pPr>
              <w:spacing w:after="0" w:line="240" w:lineRule="auto"/>
              <w:ind w:right="57"/>
              <w:jc w:val="both"/>
              <w:rPr>
                <w:rFonts w:ascii="Times New Roman" w:eastAsia="Times New Roman" w:hAnsi="Times New Roman"/>
                <w:color w:val="000000" w:themeColor="text1"/>
                <w:sz w:val="24"/>
                <w:szCs w:val="24"/>
                <w:shd w:val="clear" w:color="auto" w:fill="FFFFFF"/>
                <w:lang w:val="lv-LV"/>
              </w:rPr>
            </w:pPr>
            <w:r>
              <w:rPr>
                <w:rFonts w:ascii="Times New Roman" w:eastAsia="Times New Roman" w:hAnsi="Times New Roman"/>
                <w:color w:val="000000" w:themeColor="text1"/>
                <w:sz w:val="24"/>
                <w:szCs w:val="24"/>
                <w:shd w:val="clear" w:color="auto" w:fill="FFFFFF"/>
                <w:lang w:val="lv-LV"/>
              </w:rPr>
              <w:t>Ņemot vērā to, ka 2016.gada 1</w:t>
            </w:r>
            <w:r w:rsidR="003F6FDC">
              <w:rPr>
                <w:rFonts w:ascii="Times New Roman" w:eastAsia="Times New Roman" w:hAnsi="Times New Roman"/>
                <w:color w:val="000000" w:themeColor="text1"/>
                <w:sz w:val="24"/>
                <w:szCs w:val="24"/>
                <w:shd w:val="clear" w:color="auto" w:fill="FFFFFF"/>
                <w:lang w:val="lv-LV"/>
              </w:rPr>
              <w:t>2</w:t>
            </w:r>
            <w:r>
              <w:rPr>
                <w:rFonts w:ascii="Times New Roman" w:eastAsia="Times New Roman" w:hAnsi="Times New Roman"/>
                <w:color w:val="000000" w:themeColor="text1"/>
                <w:sz w:val="24"/>
                <w:szCs w:val="24"/>
                <w:shd w:val="clear" w:color="auto" w:fill="FFFFFF"/>
                <w:lang w:val="lv-LV"/>
              </w:rPr>
              <w:t xml:space="preserve"> mēnešos </w:t>
            </w:r>
            <w:r w:rsidR="001E2A11">
              <w:rPr>
                <w:rFonts w:ascii="Times New Roman" w:eastAsia="Times New Roman" w:hAnsi="Times New Roman"/>
                <w:color w:val="000000" w:themeColor="text1"/>
                <w:sz w:val="24"/>
                <w:szCs w:val="24"/>
                <w:shd w:val="clear" w:color="auto" w:fill="FFFFFF"/>
                <w:lang w:val="lv-LV"/>
              </w:rPr>
              <w:t xml:space="preserve">Prīmaņa </w:t>
            </w:r>
            <w:r>
              <w:rPr>
                <w:rFonts w:ascii="Times New Roman" w:eastAsia="Times New Roman" w:hAnsi="Times New Roman"/>
                <w:color w:val="000000" w:themeColor="text1"/>
                <w:sz w:val="24"/>
                <w:szCs w:val="24"/>
                <w:shd w:val="clear" w:color="auto" w:fill="FFFFFF"/>
                <w:lang w:val="lv-LV"/>
              </w:rPr>
              <w:t xml:space="preserve">Anatomijas muzeju kopā ir apmeklējuši </w:t>
            </w:r>
            <w:r w:rsidR="003F6FDC">
              <w:rPr>
                <w:rFonts w:ascii="Times New Roman" w:eastAsia="Times New Roman" w:hAnsi="Times New Roman"/>
                <w:color w:val="000000" w:themeColor="text1"/>
                <w:sz w:val="24"/>
                <w:szCs w:val="24"/>
                <w:shd w:val="clear" w:color="auto" w:fill="FFFFFF"/>
                <w:lang w:val="lv-LV"/>
              </w:rPr>
              <w:t>10015</w:t>
            </w:r>
            <w:r>
              <w:rPr>
                <w:rFonts w:ascii="Times New Roman" w:eastAsia="Times New Roman" w:hAnsi="Times New Roman"/>
                <w:color w:val="000000" w:themeColor="text1"/>
                <w:sz w:val="24"/>
                <w:szCs w:val="24"/>
                <w:shd w:val="clear" w:color="auto" w:fill="FFFFFF"/>
                <w:lang w:val="lv-LV"/>
              </w:rPr>
              <w:t xml:space="preserve"> apmeklētāji, no kuriem</w:t>
            </w:r>
            <w:r w:rsidR="0076323E">
              <w:rPr>
                <w:rFonts w:ascii="Times New Roman" w:eastAsia="Times New Roman" w:hAnsi="Times New Roman"/>
                <w:color w:val="000000" w:themeColor="text1"/>
                <w:sz w:val="24"/>
                <w:szCs w:val="24"/>
                <w:shd w:val="clear" w:color="auto" w:fill="FFFFFF"/>
                <w:lang w:val="lv-LV"/>
              </w:rPr>
              <w:t xml:space="preserve"> </w:t>
            </w:r>
            <w:r w:rsidR="003F6FDC">
              <w:rPr>
                <w:rFonts w:ascii="Times New Roman" w:eastAsia="Times New Roman" w:hAnsi="Times New Roman"/>
                <w:color w:val="000000" w:themeColor="text1"/>
                <w:sz w:val="24"/>
                <w:szCs w:val="24"/>
                <w:shd w:val="clear" w:color="auto" w:fill="FFFFFF"/>
                <w:lang w:val="lv-LV"/>
              </w:rPr>
              <w:t>7430</w:t>
            </w:r>
            <w:r w:rsidR="0076323E">
              <w:rPr>
                <w:rFonts w:ascii="Times New Roman" w:eastAsia="Times New Roman" w:hAnsi="Times New Roman"/>
                <w:color w:val="000000" w:themeColor="text1"/>
                <w:sz w:val="24"/>
                <w:szCs w:val="24"/>
                <w:shd w:val="clear" w:color="auto" w:fill="FFFFFF"/>
                <w:lang w:val="lv-LV"/>
              </w:rPr>
              <w:t xml:space="preserve"> apmeklētāji bija RSU studenti, kuriem netiek pi</w:t>
            </w:r>
            <w:r w:rsidR="003229B1">
              <w:rPr>
                <w:rFonts w:ascii="Times New Roman" w:eastAsia="Times New Roman" w:hAnsi="Times New Roman"/>
                <w:color w:val="000000" w:themeColor="text1"/>
                <w:sz w:val="24"/>
                <w:szCs w:val="24"/>
                <w:shd w:val="clear" w:color="auto" w:fill="FFFFFF"/>
                <w:lang w:val="lv-LV"/>
              </w:rPr>
              <w:t>emērota maksa un</w:t>
            </w:r>
            <w:r w:rsidR="007D1F18">
              <w:rPr>
                <w:rFonts w:ascii="Times New Roman" w:eastAsia="Times New Roman" w:hAnsi="Times New Roman"/>
                <w:color w:val="000000" w:themeColor="text1"/>
                <w:sz w:val="24"/>
                <w:szCs w:val="24"/>
                <w:shd w:val="clear" w:color="auto" w:fill="FFFFFF"/>
                <w:lang w:val="lv-LV"/>
              </w:rPr>
              <w:t xml:space="preserve"> pārējos</w:t>
            </w:r>
            <w:r w:rsidR="0076323E">
              <w:rPr>
                <w:rFonts w:ascii="Times New Roman" w:eastAsia="Times New Roman" w:hAnsi="Times New Roman"/>
                <w:color w:val="000000" w:themeColor="text1"/>
                <w:sz w:val="24"/>
                <w:szCs w:val="24"/>
                <w:shd w:val="clear" w:color="auto" w:fill="FFFFFF"/>
                <w:lang w:val="lv-LV"/>
              </w:rPr>
              <w:t xml:space="preserve"> 2</w:t>
            </w:r>
            <w:r w:rsidR="003F6FDC">
              <w:rPr>
                <w:rFonts w:ascii="Times New Roman" w:eastAsia="Times New Roman" w:hAnsi="Times New Roman"/>
                <w:color w:val="000000" w:themeColor="text1"/>
                <w:sz w:val="24"/>
                <w:szCs w:val="24"/>
                <w:shd w:val="clear" w:color="auto" w:fill="FFFFFF"/>
                <w:lang w:val="lv-LV"/>
              </w:rPr>
              <w:t>585</w:t>
            </w:r>
            <w:r w:rsidR="007D1F18">
              <w:rPr>
                <w:rFonts w:ascii="Times New Roman" w:eastAsia="Times New Roman" w:hAnsi="Times New Roman"/>
                <w:color w:val="000000" w:themeColor="text1"/>
                <w:sz w:val="24"/>
                <w:szCs w:val="24"/>
                <w:shd w:val="clear" w:color="auto" w:fill="FFFFFF"/>
                <w:lang w:val="lv-LV"/>
              </w:rPr>
              <w:t xml:space="preserve"> apmeklētājos ietilpst apmeklētāji</w:t>
            </w:r>
            <w:r w:rsidR="007E1010">
              <w:rPr>
                <w:rFonts w:ascii="Times New Roman" w:eastAsia="Times New Roman" w:hAnsi="Times New Roman"/>
                <w:color w:val="000000" w:themeColor="text1"/>
                <w:sz w:val="24"/>
                <w:szCs w:val="24"/>
                <w:shd w:val="clear" w:color="auto" w:fill="FFFFFF"/>
                <w:lang w:val="lv-LV"/>
              </w:rPr>
              <w:t>,</w:t>
            </w:r>
            <w:r w:rsidR="0076323E">
              <w:rPr>
                <w:rFonts w:ascii="Times New Roman" w:eastAsia="Times New Roman" w:hAnsi="Times New Roman"/>
                <w:color w:val="000000" w:themeColor="text1"/>
                <w:sz w:val="24"/>
                <w:szCs w:val="24"/>
                <w:shd w:val="clear" w:color="auto" w:fill="FFFFFF"/>
                <w:lang w:val="lv-LV"/>
              </w:rPr>
              <w:t xml:space="preserve"> </w:t>
            </w:r>
            <w:r w:rsidR="007E1010">
              <w:rPr>
                <w:rFonts w:ascii="Times New Roman" w:eastAsia="Times New Roman" w:hAnsi="Times New Roman"/>
                <w:color w:val="000000" w:themeColor="text1"/>
                <w:sz w:val="24"/>
                <w:szCs w:val="24"/>
                <w:shd w:val="clear" w:color="auto" w:fill="FFFFFF"/>
                <w:lang w:val="lv-LV"/>
              </w:rPr>
              <w:t>kuriem</w:t>
            </w:r>
            <w:r w:rsidR="0076323E">
              <w:rPr>
                <w:rFonts w:ascii="Times New Roman" w:eastAsia="Times New Roman" w:hAnsi="Times New Roman"/>
                <w:color w:val="000000" w:themeColor="text1"/>
                <w:sz w:val="24"/>
                <w:szCs w:val="24"/>
                <w:shd w:val="clear" w:color="auto" w:fill="FFFFFF"/>
                <w:lang w:val="lv-LV"/>
              </w:rPr>
              <w:t xml:space="preserve"> tiek piemērotas atlaides, </w:t>
            </w:r>
            <w:r>
              <w:rPr>
                <w:rFonts w:ascii="Times New Roman" w:eastAsia="Times New Roman" w:hAnsi="Times New Roman"/>
                <w:color w:val="000000" w:themeColor="text1"/>
                <w:sz w:val="24"/>
                <w:szCs w:val="24"/>
                <w:shd w:val="clear" w:color="auto" w:fill="FFFFFF"/>
                <w:lang w:val="lv-LV"/>
              </w:rPr>
              <w:t>secin</w:t>
            </w:r>
            <w:r w:rsidR="0076323E">
              <w:rPr>
                <w:rFonts w:ascii="Times New Roman" w:eastAsia="Times New Roman" w:hAnsi="Times New Roman"/>
                <w:color w:val="000000" w:themeColor="text1"/>
                <w:sz w:val="24"/>
                <w:szCs w:val="24"/>
                <w:shd w:val="clear" w:color="auto" w:fill="FFFFFF"/>
                <w:lang w:val="lv-LV"/>
              </w:rPr>
              <w:t>āms</w:t>
            </w:r>
            <w:r>
              <w:rPr>
                <w:rFonts w:ascii="Times New Roman" w:eastAsia="Times New Roman" w:hAnsi="Times New Roman"/>
                <w:color w:val="000000" w:themeColor="text1"/>
                <w:sz w:val="24"/>
                <w:szCs w:val="24"/>
                <w:shd w:val="clear" w:color="auto" w:fill="FFFFFF"/>
                <w:lang w:val="lv-LV"/>
              </w:rPr>
              <w:t xml:space="preserve">, ka </w:t>
            </w:r>
            <w:r w:rsidR="001E2A11">
              <w:rPr>
                <w:rFonts w:ascii="Times New Roman" w:eastAsia="Times New Roman" w:hAnsi="Times New Roman"/>
                <w:color w:val="000000" w:themeColor="text1"/>
                <w:sz w:val="24"/>
                <w:szCs w:val="24"/>
                <w:shd w:val="clear" w:color="auto" w:fill="FFFFFF"/>
                <w:lang w:val="lv-LV"/>
              </w:rPr>
              <w:t xml:space="preserve">Prīmaņa </w:t>
            </w:r>
            <w:r>
              <w:rPr>
                <w:rFonts w:ascii="Times New Roman" w:eastAsia="Times New Roman" w:hAnsi="Times New Roman"/>
                <w:color w:val="000000" w:themeColor="text1"/>
                <w:sz w:val="24"/>
                <w:szCs w:val="24"/>
                <w:shd w:val="clear" w:color="auto" w:fill="FFFFFF"/>
                <w:lang w:val="lv-LV"/>
              </w:rPr>
              <w:t>Anatomijas muzeja nodo</w:t>
            </w:r>
            <w:r w:rsidR="0076323E">
              <w:rPr>
                <w:rFonts w:ascii="Times New Roman" w:eastAsia="Times New Roman" w:hAnsi="Times New Roman"/>
                <w:color w:val="000000" w:themeColor="text1"/>
                <w:sz w:val="24"/>
                <w:szCs w:val="24"/>
                <w:shd w:val="clear" w:color="auto" w:fill="FFFFFF"/>
                <w:lang w:val="lv-LV"/>
              </w:rPr>
              <w:t>šana RSU</w:t>
            </w:r>
            <w:r>
              <w:rPr>
                <w:rFonts w:ascii="Times New Roman" w:eastAsia="Times New Roman" w:hAnsi="Times New Roman"/>
                <w:color w:val="000000" w:themeColor="text1"/>
                <w:sz w:val="24"/>
                <w:szCs w:val="24"/>
                <w:shd w:val="clear" w:color="auto" w:fill="FFFFFF"/>
                <w:lang w:val="lv-LV"/>
              </w:rPr>
              <w:t xml:space="preserve"> uz muzeja kopējo bud</w:t>
            </w:r>
            <w:r w:rsidR="0076323E">
              <w:rPr>
                <w:rFonts w:ascii="Times New Roman" w:eastAsia="Times New Roman" w:hAnsi="Times New Roman"/>
                <w:color w:val="000000" w:themeColor="text1"/>
                <w:sz w:val="24"/>
                <w:szCs w:val="24"/>
                <w:shd w:val="clear" w:color="auto" w:fill="FFFFFF"/>
                <w:lang w:val="lv-LV"/>
              </w:rPr>
              <w:t>žetu</w:t>
            </w:r>
            <w:r>
              <w:rPr>
                <w:rFonts w:ascii="Times New Roman" w:eastAsia="Times New Roman" w:hAnsi="Times New Roman"/>
                <w:color w:val="000000" w:themeColor="text1"/>
                <w:sz w:val="24"/>
                <w:szCs w:val="24"/>
                <w:shd w:val="clear" w:color="auto" w:fill="FFFFFF"/>
                <w:lang w:val="lv-LV"/>
              </w:rPr>
              <w:t xml:space="preserve"> ietekmi neatstāj</w:t>
            </w:r>
            <w:r w:rsidR="0076323E">
              <w:rPr>
                <w:rFonts w:ascii="Times New Roman" w:eastAsia="Times New Roman" w:hAnsi="Times New Roman"/>
                <w:color w:val="000000" w:themeColor="text1"/>
                <w:sz w:val="24"/>
                <w:szCs w:val="24"/>
                <w:shd w:val="clear" w:color="auto" w:fill="FFFFFF"/>
                <w:lang w:val="lv-LV"/>
              </w:rPr>
              <w:t xml:space="preserve">, it īpaši ievērojot plānoto </w:t>
            </w:r>
            <w:r w:rsidR="00052149">
              <w:rPr>
                <w:rFonts w:ascii="Times New Roman" w:eastAsia="Times New Roman" w:hAnsi="Times New Roman"/>
                <w:color w:val="000000" w:themeColor="text1"/>
                <w:sz w:val="24"/>
                <w:szCs w:val="24"/>
                <w:shd w:val="clear" w:color="auto" w:fill="FFFFFF"/>
                <w:lang w:val="lv-LV"/>
              </w:rPr>
              <w:t xml:space="preserve">muzeja </w:t>
            </w:r>
            <w:r w:rsidR="0076323E">
              <w:rPr>
                <w:rFonts w:ascii="Times New Roman" w:eastAsia="Times New Roman" w:hAnsi="Times New Roman"/>
                <w:color w:val="000000" w:themeColor="text1"/>
                <w:sz w:val="24"/>
                <w:szCs w:val="24"/>
                <w:shd w:val="clear" w:color="auto" w:fill="FFFFFF"/>
                <w:lang w:val="lv-LV"/>
              </w:rPr>
              <w:t>apmeklēt</w:t>
            </w:r>
            <w:r w:rsidR="00052149">
              <w:rPr>
                <w:rFonts w:ascii="Times New Roman" w:eastAsia="Times New Roman" w:hAnsi="Times New Roman"/>
                <w:color w:val="000000" w:themeColor="text1"/>
                <w:sz w:val="24"/>
                <w:szCs w:val="24"/>
                <w:shd w:val="clear" w:color="auto" w:fill="FFFFFF"/>
                <w:lang w:val="lv-LV"/>
              </w:rPr>
              <w:t>āj</w:t>
            </w:r>
            <w:r w:rsidR="00525B42">
              <w:rPr>
                <w:rFonts w:ascii="Times New Roman" w:eastAsia="Times New Roman" w:hAnsi="Times New Roman"/>
                <w:color w:val="000000" w:themeColor="text1"/>
                <w:sz w:val="24"/>
                <w:szCs w:val="24"/>
                <w:shd w:val="clear" w:color="auto" w:fill="FFFFFF"/>
                <w:lang w:val="lv-LV"/>
              </w:rPr>
              <w:t>a skaita pieaugumu 2017.gadā</w:t>
            </w:r>
            <w:r>
              <w:rPr>
                <w:rFonts w:ascii="Times New Roman" w:eastAsia="Times New Roman" w:hAnsi="Times New Roman"/>
                <w:color w:val="000000" w:themeColor="text1"/>
                <w:sz w:val="24"/>
                <w:szCs w:val="24"/>
                <w:shd w:val="clear" w:color="auto" w:fill="FFFFFF"/>
                <w:lang w:val="lv-LV"/>
              </w:rPr>
              <w:t>.</w:t>
            </w:r>
          </w:p>
          <w:p w:rsidR="005938DC" w:rsidRDefault="005938DC" w:rsidP="005938DC">
            <w:pPr>
              <w:spacing w:after="0" w:line="240" w:lineRule="auto"/>
              <w:ind w:right="57"/>
              <w:jc w:val="both"/>
              <w:rPr>
                <w:rFonts w:ascii="Times New Roman" w:eastAsia="Times New Roman" w:hAnsi="Times New Roman"/>
                <w:color w:val="000000" w:themeColor="text1"/>
                <w:sz w:val="24"/>
                <w:szCs w:val="24"/>
                <w:shd w:val="clear" w:color="auto" w:fill="FFFFFF"/>
                <w:lang w:val="lv-LV"/>
              </w:rPr>
            </w:pPr>
            <w:r>
              <w:rPr>
                <w:rFonts w:ascii="Times New Roman" w:eastAsia="Times New Roman" w:hAnsi="Times New Roman"/>
                <w:color w:val="000000" w:themeColor="text1"/>
                <w:sz w:val="24"/>
                <w:szCs w:val="24"/>
                <w:shd w:val="clear" w:color="auto" w:fill="FFFFFF"/>
                <w:lang w:val="lv-LV"/>
              </w:rPr>
              <w:t xml:space="preserve">RSU plāno </w:t>
            </w:r>
            <w:r>
              <w:rPr>
                <w:rFonts w:ascii="Times New Roman" w:eastAsia="Times New Roman" w:hAnsi="Times New Roman"/>
                <w:color w:val="000000" w:themeColor="text1"/>
                <w:sz w:val="24"/>
                <w:szCs w:val="24"/>
                <w:lang w:val="lv-LV"/>
              </w:rPr>
              <w:t>pārņemt šobrīd muzejā strādājošo darbinieku 4,5 slodzes</w:t>
            </w:r>
            <w:r w:rsidR="00A50CB9">
              <w:rPr>
                <w:rFonts w:ascii="Times New Roman" w:eastAsia="Times New Roman" w:hAnsi="Times New Roman"/>
                <w:color w:val="000000" w:themeColor="text1"/>
                <w:sz w:val="24"/>
                <w:szCs w:val="24"/>
                <w:lang w:val="lv-LV"/>
              </w:rPr>
              <w:t xml:space="preserve"> un materiālās vērtības</w:t>
            </w:r>
            <w:r>
              <w:rPr>
                <w:rFonts w:ascii="Times New Roman" w:eastAsia="Times New Roman" w:hAnsi="Times New Roman"/>
                <w:color w:val="000000" w:themeColor="text1"/>
                <w:sz w:val="24"/>
                <w:szCs w:val="24"/>
                <w:lang w:val="lv-LV"/>
              </w:rPr>
              <w:t xml:space="preserve"> </w:t>
            </w:r>
            <w:r w:rsidR="00A50CB9">
              <w:rPr>
                <w:rFonts w:ascii="Times New Roman" w:eastAsia="Times New Roman" w:hAnsi="Times New Roman"/>
                <w:color w:val="000000" w:themeColor="text1"/>
                <w:sz w:val="24"/>
                <w:szCs w:val="24"/>
                <w:shd w:val="clear" w:color="auto" w:fill="FFFFFF"/>
                <w:lang w:val="lv-LV"/>
              </w:rPr>
              <w:t>bez</w:t>
            </w:r>
            <w:r w:rsidR="007537F3">
              <w:rPr>
                <w:rFonts w:ascii="Times New Roman" w:eastAsia="Times New Roman" w:hAnsi="Times New Roman"/>
                <w:color w:val="000000" w:themeColor="text1"/>
                <w:sz w:val="24"/>
                <w:szCs w:val="24"/>
                <w:shd w:val="clear" w:color="auto" w:fill="FFFFFF"/>
                <w:lang w:val="lv-LV"/>
              </w:rPr>
              <w:t xml:space="preserve"> </w:t>
            </w:r>
            <w:r>
              <w:rPr>
                <w:rFonts w:ascii="Times New Roman" w:eastAsia="Times New Roman" w:hAnsi="Times New Roman"/>
                <w:color w:val="000000" w:themeColor="text1"/>
                <w:sz w:val="24"/>
                <w:szCs w:val="24"/>
                <w:shd w:val="clear" w:color="auto" w:fill="FFFFFF"/>
                <w:lang w:val="lv-LV"/>
              </w:rPr>
              <w:t xml:space="preserve">finanšu līdzekļiem, turpmāk organizējot </w:t>
            </w:r>
            <w:r w:rsidR="001E2A11">
              <w:rPr>
                <w:rFonts w:ascii="Times New Roman" w:eastAsia="Times New Roman" w:hAnsi="Times New Roman"/>
                <w:color w:val="000000" w:themeColor="text1"/>
                <w:sz w:val="24"/>
                <w:szCs w:val="24"/>
                <w:shd w:val="clear" w:color="auto" w:fill="FFFFFF"/>
                <w:lang w:val="lv-LV"/>
              </w:rPr>
              <w:t xml:space="preserve">Prīmaņa </w:t>
            </w:r>
            <w:r>
              <w:rPr>
                <w:rFonts w:ascii="Times New Roman" w:eastAsia="Times New Roman" w:hAnsi="Times New Roman"/>
                <w:color w:val="000000" w:themeColor="text1"/>
                <w:sz w:val="24"/>
                <w:szCs w:val="24"/>
                <w:shd w:val="clear" w:color="auto" w:fill="FFFFFF"/>
                <w:lang w:val="lv-LV"/>
              </w:rPr>
              <w:t>Anatomi</w:t>
            </w:r>
            <w:r w:rsidR="001E2A11">
              <w:rPr>
                <w:rFonts w:ascii="Times New Roman" w:eastAsia="Times New Roman" w:hAnsi="Times New Roman"/>
                <w:color w:val="000000" w:themeColor="text1"/>
                <w:sz w:val="24"/>
                <w:szCs w:val="24"/>
                <w:shd w:val="clear" w:color="auto" w:fill="FFFFFF"/>
                <w:lang w:val="lv-LV"/>
              </w:rPr>
              <w:t>jas</w:t>
            </w:r>
            <w:r>
              <w:rPr>
                <w:rFonts w:ascii="Times New Roman" w:eastAsia="Times New Roman" w:hAnsi="Times New Roman"/>
                <w:color w:val="000000" w:themeColor="text1"/>
                <w:sz w:val="24"/>
                <w:szCs w:val="24"/>
                <w:shd w:val="clear" w:color="auto" w:fill="FFFFFF"/>
                <w:lang w:val="lv-LV"/>
              </w:rPr>
              <w:t xml:space="preserve"> muzeja darbību pēc saviem ieskatiem.</w:t>
            </w:r>
          </w:p>
          <w:p w:rsidR="0076323E" w:rsidRPr="00E00376" w:rsidRDefault="0076323E" w:rsidP="003F6FDC">
            <w:pPr>
              <w:spacing w:after="0" w:line="240" w:lineRule="auto"/>
              <w:ind w:right="57"/>
              <w:jc w:val="both"/>
              <w:rPr>
                <w:rFonts w:ascii="Times New Roman" w:eastAsia="Times New Roman" w:hAnsi="Times New Roman"/>
                <w:color w:val="000000" w:themeColor="text1"/>
                <w:sz w:val="24"/>
                <w:szCs w:val="24"/>
                <w:shd w:val="clear" w:color="auto" w:fill="FFFFFF"/>
                <w:lang w:val="lv-LV"/>
              </w:rPr>
            </w:pPr>
            <w:r>
              <w:rPr>
                <w:rFonts w:ascii="Times New Roman" w:eastAsia="Times New Roman" w:hAnsi="Times New Roman"/>
                <w:color w:val="000000" w:themeColor="text1"/>
                <w:sz w:val="24"/>
                <w:szCs w:val="24"/>
                <w:shd w:val="clear" w:color="auto" w:fill="FFFFFF"/>
                <w:lang w:val="lv-LV"/>
              </w:rPr>
              <w:t xml:space="preserve">Līdz ar </w:t>
            </w:r>
            <w:r w:rsidR="001E2A11">
              <w:rPr>
                <w:rFonts w:ascii="Times New Roman" w:eastAsia="Times New Roman" w:hAnsi="Times New Roman"/>
                <w:color w:val="000000" w:themeColor="text1"/>
                <w:sz w:val="24"/>
                <w:szCs w:val="24"/>
                <w:shd w:val="clear" w:color="auto" w:fill="FFFFFF"/>
                <w:lang w:val="lv-LV"/>
              </w:rPr>
              <w:t xml:space="preserve">Prīmaņa </w:t>
            </w:r>
            <w:r>
              <w:rPr>
                <w:rFonts w:ascii="Times New Roman" w:eastAsia="Times New Roman" w:hAnsi="Times New Roman"/>
                <w:color w:val="000000" w:themeColor="text1"/>
                <w:sz w:val="24"/>
                <w:szCs w:val="24"/>
                <w:shd w:val="clear" w:color="auto" w:fill="FFFFFF"/>
                <w:lang w:val="lv-LV"/>
              </w:rPr>
              <w:t>Anatomi</w:t>
            </w:r>
            <w:r w:rsidR="001E2A11">
              <w:rPr>
                <w:rFonts w:ascii="Times New Roman" w:eastAsia="Times New Roman" w:hAnsi="Times New Roman"/>
                <w:color w:val="000000" w:themeColor="text1"/>
                <w:sz w:val="24"/>
                <w:szCs w:val="24"/>
                <w:shd w:val="clear" w:color="auto" w:fill="FFFFFF"/>
                <w:lang w:val="lv-LV"/>
              </w:rPr>
              <w:t>jas muzeja</w:t>
            </w:r>
            <w:r>
              <w:rPr>
                <w:rFonts w:ascii="Times New Roman" w:eastAsia="Times New Roman" w:hAnsi="Times New Roman"/>
                <w:color w:val="000000" w:themeColor="text1"/>
                <w:sz w:val="24"/>
                <w:szCs w:val="24"/>
                <w:shd w:val="clear" w:color="auto" w:fill="FFFFFF"/>
                <w:lang w:val="lv-LV"/>
              </w:rPr>
              <w:t xml:space="preserve"> nodošanu RSU plānots nodot</w:t>
            </w:r>
            <w:r w:rsidR="001E2A11">
              <w:rPr>
                <w:rFonts w:ascii="Times New Roman" w:eastAsia="Times New Roman" w:hAnsi="Times New Roman"/>
                <w:color w:val="000000" w:themeColor="text1"/>
                <w:sz w:val="24"/>
                <w:szCs w:val="24"/>
                <w:shd w:val="clear" w:color="auto" w:fill="FFFFFF"/>
                <w:lang w:val="lv-LV"/>
              </w:rPr>
              <w:t xml:space="preserve"> </w:t>
            </w:r>
            <w:r>
              <w:rPr>
                <w:rFonts w:ascii="Times New Roman" w:eastAsia="Times New Roman" w:hAnsi="Times New Roman"/>
                <w:color w:val="000000" w:themeColor="text1"/>
                <w:sz w:val="24"/>
                <w:szCs w:val="24"/>
                <w:shd w:val="clear" w:color="auto" w:fill="FFFFFF"/>
                <w:lang w:val="lv-LV"/>
              </w:rPr>
              <w:t>5 92</w:t>
            </w:r>
            <w:r w:rsidR="003F6FDC">
              <w:rPr>
                <w:rFonts w:ascii="Times New Roman" w:eastAsia="Times New Roman" w:hAnsi="Times New Roman"/>
                <w:color w:val="000000" w:themeColor="text1"/>
                <w:sz w:val="24"/>
                <w:szCs w:val="24"/>
                <w:shd w:val="clear" w:color="auto" w:fill="FFFFFF"/>
                <w:lang w:val="lv-LV"/>
              </w:rPr>
              <w:t>8</w:t>
            </w:r>
            <w:r>
              <w:rPr>
                <w:rFonts w:ascii="Times New Roman" w:eastAsia="Times New Roman" w:hAnsi="Times New Roman"/>
                <w:color w:val="000000" w:themeColor="text1"/>
                <w:sz w:val="24"/>
                <w:szCs w:val="24"/>
                <w:shd w:val="clear" w:color="auto" w:fill="FFFFFF"/>
                <w:lang w:val="lv-LV"/>
              </w:rPr>
              <w:t xml:space="preserve"> Nacionāl</w:t>
            </w:r>
            <w:r w:rsidR="003F6FDC">
              <w:rPr>
                <w:rFonts w:ascii="Times New Roman" w:eastAsia="Times New Roman" w:hAnsi="Times New Roman"/>
                <w:color w:val="000000" w:themeColor="text1"/>
                <w:sz w:val="24"/>
                <w:szCs w:val="24"/>
                <w:shd w:val="clear" w:color="auto" w:fill="FFFFFF"/>
                <w:lang w:val="lv-LV"/>
              </w:rPr>
              <w:t>ā</w:t>
            </w:r>
            <w:r>
              <w:rPr>
                <w:rFonts w:ascii="Times New Roman" w:eastAsia="Times New Roman" w:hAnsi="Times New Roman"/>
                <w:color w:val="000000" w:themeColor="text1"/>
                <w:sz w:val="24"/>
                <w:szCs w:val="24"/>
                <w:shd w:val="clear" w:color="auto" w:fill="FFFFFF"/>
                <w:lang w:val="lv-LV"/>
              </w:rPr>
              <w:t xml:space="preserve"> muzeja krājumu vienības, kas atbilstoši normatīvo aktu prasībām tiks nodotas reorganizācijas brīdī, sagatavojot pieņemšanas - nodošanas aktu. </w:t>
            </w: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6.1. detalizēts ieņēmumu aprēķins</w:t>
            </w:r>
          </w:p>
        </w:tc>
        <w:tc>
          <w:tcPr>
            <w:tcW w:w="6831" w:type="dxa"/>
            <w:gridSpan w:val="5"/>
            <w:vMerge/>
          </w:tcPr>
          <w:p w:rsidR="00905970" w:rsidRPr="00935F3B" w:rsidRDefault="00905970" w:rsidP="00DB1C43">
            <w:pPr>
              <w:pStyle w:val="naisf"/>
              <w:spacing w:before="0" w:after="0"/>
              <w:ind w:firstLine="0"/>
              <w:rPr>
                <w:b/>
                <w:i/>
                <w:noProof/>
              </w:rPr>
            </w:pPr>
          </w:p>
        </w:tc>
      </w:tr>
      <w:tr w:rsidR="00905970" w:rsidRPr="00935F3B" w:rsidTr="00C53D1A">
        <w:trPr>
          <w:jc w:val="center"/>
        </w:trPr>
        <w:tc>
          <w:tcPr>
            <w:tcW w:w="2811" w:type="dxa"/>
          </w:tcPr>
          <w:p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6.2. detalizēts izdevumu aprēķins</w:t>
            </w:r>
          </w:p>
        </w:tc>
        <w:tc>
          <w:tcPr>
            <w:tcW w:w="6831" w:type="dxa"/>
            <w:gridSpan w:val="5"/>
            <w:vMerge/>
          </w:tcPr>
          <w:p w:rsidR="00905970" w:rsidRPr="00935F3B" w:rsidRDefault="00905970" w:rsidP="00DB1C43">
            <w:pPr>
              <w:pStyle w:val="naisf"/>
              <w:spacing w:before="0" w:after="0"/>
              <w:ind w:firstLine="0"/>
              <w:rPr>
                <w:b/>
                <w:i/>
                <w:noProof/>
              </w:rPr>
            </w:pPr>
          </w:p>
        </w:tc>
      </w:tr>
      <w:tr w:rsidR="00905970" w:rsidRPr="00470D8D" w:rsidTr="00C53D1A">
        <w:trPr>
          <w:trHeight w:val="178"/>
          <w:jc w:val="center"/>
        </w:trPr>
        <w:tc>
          <w:tcPr>
            <w:tcW w:w="2811" w:type="dxa"/>
          </w:tcPr>
          <w:p w:rsidR="00905970" w:rsidRPr="00935F3B" w:rsidRDefault="00905970" w:rsidP="0089473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7. Cita informācija</w:t>
            </w:r>
          </w:p>
        </w:tc>
        <w:tc>
          <w:tcPr>
            <w:tcW w:w="6831" w:type="dxa"/>
            <w:gridSpan w:val="5"/>
          </w:tcPr>
          <w:p w:rsidR="00905970" w:rsidRPr="00935F3B" w:rsidRDefault="0088408F" w:rsidP="003F6FDC">
            <w:pPr>
              <w:pStyle w:val="naisf"/>
              <w:spacing w:before="0" w:after="0"/>
              <w:ind w:firstLine="0"/>
              <w:rPr>
                <w:noProof/>
                <w:highlight w:val="yellow"/>
              </w:rPr>
            </w:pPr>
            <w:r>
              <w:rPr>
                <w:noProof/>
              </w:rPr>
              <w:t xml:space="preserve">Noteikumu projekts neprasīs papildus </w:t>
            </w:r>
            <w:r w:rsidR="003F6FDC">
              <w:rPr>
                <w:noProof/>
              </w:rPr>
              <w:t>valsts līdzekļus</w:t>
            </w:r>
            <w:r>
              <w:rPr>
                <w:noProof/>
              </w:rPr>
              <w:t>.</w:t>
            </w:r>
          </w:p>
        </w:tc>
      </w:tr>
    </w:tbl>
    <w:p w:rsidR="006E442F" w:rsidRDefault="006E442F" w:rsidP="00894733">
      <w:pPr>
        <w:pStyle w:val="naisf"/>
        <w:spacing w:before="0" w:after="0"/>
        <w:ind w:firstLine="0"/>
        <w:rPr>
          <w:iCs/>
          <w:noProof/>
          <w:sz w:val="28"/>
          <w:szCs w:val="28"/>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161"/>
        <w:gridCol w:w="6932"/>
      </w:tblGrid>
      <w:tr w:rsidR="00ED4729" w:rsidRPr="00C53D1A" w:rsidTr="00C53D1A">
        <w:trPr>
          <w:jc w:val="center"/>
        </w:trPr>
        <w:tc>
          <w:tcPr>
            <w:tcW w:w="9762" w:type="dxa"/>
            <w:gridSpan w:val="3"/>
          </w:tcPr>
          <w:p w:rsidR="00ED4729" w:rsidRPr="0098193B" w:rsidRDefault="00ED4729" w:rsidP="00ED4729">
            <w:pPr>
              <w:spacing w:after="0" w:line="240" w:lineRule="auto"/>
              <w:jc w:val="center"/>
              <w:rPr>
                <w:rFonts w:ascii="Times New Roman" w:hAnsi="Times New Roman"/>
                <w:b/>
                <w:bCs/>
                <w:color w:val="000000"/>
                <w:sz w:val="24"/>
                <w:szCs w:val="24"/>
                <w:lang w:val="lv-LV" w:eastAsia="lv-LV"/>
              </w:rPr>
            </w:pPr>
            <w:r w:rsidRPr="0098193B">
              <w:rPr>
                <w:rFonts w:ascii="Times New Roman" w:hAnsi="Times New Roman"/>
                <w:b/>
                <w:bCs/>
                <w:color w:val="000000"/>
                <w:sz w:val="24"/>
                <w:szCs w:val="24"/>
                <w:lang w:val="lv-LV" w:eastAsia="lv-LV"/>
              </w:rPr>
              <w:t>IV. Tiesību akta projekta ietekme uz spēkā esošo tiesību normu sistēmu</w:t>
            </w:r>
          </w:p>
        </w:tc>
      </w:tr>
      <w:tr w:rsidR="00ED4729" w:rsidRPr="00C53D1A" w:rsidTr="00C53D1A">
        <w:trPr>
          <w:jc w:val="center"/>
        </w:trPr>
        <w:tc>
          <w:tcPr>
            <w:tcW w:w="669" w:type="dxa"/>
          </w:tcPr>
          <w:p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t>1.</w:t>
            </w:r>
          </w:p>
        </w:tc>
        <w:tc>
          <w:tcPr>
            <w:tcW w:w="2161" w:type="dxa"/>
          </w:tcPr>
          <w:p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color w:val="000000"/>
                <w:sz w:val="24"/>
                <w:szCs w:val="24"/>
                <w:lang w:val="lv-LV" w:eastAsia="lv-LV"/>
              </w:rPr>
              <w:t>Nepieciešamie saistītie tiesību aktu projekti</w:t>
            </w:r>
          </w:p>
        </w:tc>
        <w:tc>
          <w:tcPr>
            <w:tcW w:w="6932" w:type="dxa"/>
          </w:tcPr>
          <w:p w:rsidR="00ED4729" w:rsidRPr="0098193B" w:rsidRDefault="006232D8" w:rsidP="00EF36A2">
            <w:pPr>
              <w:tabs>
                <w:tab w:val="left" w:pos="2628"/>
              </w:tabs>
              <w:spacing w:after="0" w:line="240" w:lineRule="auto"/>
              <w:jc w:val="both"/>
              <w:rPr>
                <w:rFonts w:ascii="Times New Roman" w:eastAsia="Times New Roman" w:hAnsi="Times New Roman"/>
                <w:color w:val="000000"/>
                <w:sz w:val="24"/>
                <w:szCs w:val="24"/>
                <w:lang w:val="lv-LV" w:eastAsia="lv-LV"/>
              </w:rPr>
            </w:pPr>
            <w:r w:rsidRPr="0098193B">
              <w:rPr>
                <w:rFonts w:ascii="Times New Roman" w:hAnsi="Times New Roman"/>
                <w:sz w:val="24"/>
                <w:szCs w:val="24"/>
                <w:lang w:val="lv-LV"/>
              </w:rPr>
              <w:t>Veselības ministrija līdz 2017</w:t>
            </w:r>
            <w:r w:rsidR="00F2462A" w:rsidRPr="0098193B">
              <w:rPr>
                <w:rFonts w:ascii="Times New Roman" w:hAnsi="Times New Roman"/>
                <w:sz w:val="24"/>
                <w:szCs w:val="24"/>
                <w:lang w:val="lv-LV"/>
              </w:rPr>
              <w:t>.gada 1.</w:t>
            </w:r>
            <w:r w:rsidR="00EF36A2">
              <w:rPr>
                <w:rFonts w:ascii="Times New Roman" w:hAnsi="Times New Roman"/>
                <w:sz w:val="24"/>
                <w:szCs w:val="24"/>
                <w:lang w:val="lv-LV"/>
              </w:rPr>
              <w:t>maijam</w:t>
            </w:r>
            <w:r w:rsidR="00F2462A" w:rsidRPr="0098193B">
              <w:rPr>
                <w:rFonts w:ascii="Times New Roman" w:hAnsi="Times New Roman"/>
                <w:sz w:val="24"/>
                <w:szCs w:val="24"/>
                <w:lang w:val="lv-LV"/>
              </w:rPr>
              <w:t xml:space="preserve"> nodrošinās nepieciešamo grozījumu veikšanu </w:t>
            </w:r>
            <w:r w:rsidR="00CD64B7" w:rsidRPr="0098193B">
              <w:rPr>
                <w:rFonts w:ascii="Times New Roman" w:hAnsi="Times New Roman"/>
                <w:color w:val="000000"/>
                <w:sz w:val="24"/>
                <w:szCs w:val="24"/>
                <w:lang w:val="lv-LV" w:eastAsia="lv-LV"/>
              </w:rPr>
              <w:t>Ministru kabineta 2009</w:t>
            </w:r>
            <w:r w:rsidR="00ED4729" w:rsidRPr="0098193B">
              <w:rPr>
                <w:rFonts w:ascii="Times New Roman" w:hAnsi="Times New Roman"/>
                <w:color w:val="000000"/>
                <w:sz w:val="24"/>
                <w:szCs w:val="24"/>
                <w:lang w:val="lv-LV" w:eastAsia="lv-LV"/>
              </w:rPr>
              <w:t xml:space="preserve">.gada </w:t>
            </w:r>
            <w:r w:rsidR="00CD64B7" w:rsidRPr="0098193B">
              <w:rPr>
                <w:rFonts w:ascii="Times New Roman" w:hAnsi="Times New Roman"/>
                <w:color w:val="000000"/>
                <w:sz w:val="24"/>
                <w:szCs w:val="24"/>
                <w:lang w:val="lv-LV" w:eastAsia="lv-LV"/>
              </w:rPr>
              <w:t>27.oktobra</w:t>
            </w:r>
            <w:r w:rsidR="00ED4729" w:rsidRPr="0098193B">
              <w:rPr>
                <w:rFonts w:ascii="Times New Roman" w:hAnsi="Times New Roman"/>
                <w:color w:val="000000"/>
                <w:sz w:val="24"/>
                <w:szCs w:val="24"/>
                <w:lang w:val="lv-LV" w:eastAsia="lv-LV"/>
              </w:rPr>
              <w:t xml:space="preserve"> noteikumos Nr.</w:t>
            </w:r>
            <w:r w:rsidR="00CD64B7" w:rsidRPr="0098193B">
              <w:rPr>
                <w:rFonts w:ascii="Times New Roman" w:hAnsi="Times New Roman"/>
                <w:color w:val="000000"/>
                <w:sz w:val="24"/>
                <w:szCs w:val="24"/>
                <w:lang w:val="lv-LV" w:eastAsia="lv-LV"/>
              </w:rPr>
              <w:t>1</w:t>
            </w:r>
            <w:r w:rsidR="00ED4729" w:rsidRPr="0098193B">
              <w:rPr>
                <w:rFonts w:ascii="Times New Roman" w:hAnsi="Times New Roman"/>
                <w:color w:val="000000"/>
                <w:sz w:val="24"/>
                <w:szCs w:val="24"/>
                <w:lang w:val="lv-LV" w:eastAsia="lv-LV"/>
              </w:rPr>
              <w:t>2</w:t>
            </w:r>
            <w:r w:rsidR="00CD64B7" w:rsidRPr="0098193B">
              <w:rPr>
                <w:rFonts w:ascii="Times New Roman" w:hAnsi="Times New Roman"/>
                <w:color w:val="000000"/>
                <w:sz w:val="24"/>
                <w:szCs w:val="24"/>
                <w:lang w:val="lv-LV" w:eastAsia="lv-LV"/>
              </w:rPr>
              <w:t>33</w:t>
            </w:r>
            <w:r w:rsidR="005B26A1">
              <w:rPr>
                <w:rFonts w:ascii="Times New Roman" w:hAnsi="Times New Roman"/>
                <w:color w:val="000000"/>
                <w:sz w:val="24"/>
                <w:szCs w:val="24"/>
                <w:lang w:val="lv-LV" w:eastAsia="lv-LV"/>
              </w:rPr>
              <w:t xml:space="preserve"> ”</w:t>
            </w:r>
            <w:r w:rsidR="00186B4D" w:rsidRPr="0098193B">
              <w:rPr>
                <w:rFonts w:ascii="Times New Roman" w:hAnsi="Times New Roman"/>
                <w:color w:val="000000"/>
                <w:sz w:val="24"/>
                <w:szCs w:val="24"/>
                <w:lang w:val="lv-LV" w:eastAsia="lv-LV"/>
              </w:rPr>
              <w:t xml:space="preserve">Paula Stradiņa </w:t>
            </w:r>
            <w:r w:rsidR="00693C00">
              <w:rPr>
                <w:rFonts w:ascii="Times New Roman" w:hAnsi="Times New Roman"/>
                <w:color w:val="000000"/>
                <w:sz w:val="24"/>
                <w:szCs w:val="24"/>
                <w:lang w:val="lv-LV" w:eastAsia="lv-LV"/>
              </w:rPr>
              <w:t>M</w:t>
            </w:r>
            <w:r w:rsidR="00186B4D" w:rsidRPr="0098193B">
              <w:rPr>
                <w:rFonts w:ascii="Times New Roman" w:hAnsi="Times New Roman"/>
                <w:color w:val="000000"/>
                <w:sz w:val="24"/>
                <w:szCs w:val="24"/>
                <w:lang w:val="lv-LV" w:eastAsia="lv-LV"/>
              </w:rPr>
              <w:t>edic</w:t>
            </w:r>
            <w:r w:rsidR="00A50933" w:rsidRPr="0098193B">
              <w:rPr>
                <w:rFonts w:ascii="Times New Roman" w:hAnsi="Times New Roman"/>
                <w:color w:val="000000"/>
                <w:sz w:val="24"/>
                <w:szCs w:val="24"/>
                <w:lang w:val="lv-LV" w:eastAsia="lv-LV"/>
              </w:rPr>
              <w:t>īn</w:t>
            </w:r>
            <w:r w:rsidR="00186B4D" w:rsidRPr="0098193B">
              <w:rPr>
                <w:rFonts w:ascii="Times New Roman" w:hAnsi="Times New Roman"/>
                <w:color w:val="000000"/>
                <w:sz w:val="24"/>
                <w:szCs w:val="24"/>
                <w:lang w:val="lv-LV" w:eastAsia="lv-LV"/>
              </w:rPr>
              <w:t>as</w:t>
            </w:r>
            <w:r w:rsidR="00A50933" w:rsidRPr="0098193B">
              <w:rPr>
                <w:rFonts w:ascii="Times New Roman" w:hAnsi="Times New Roman"/>
                <w:color w:val="000000"/>
                <w:sz w:val="24"/>
                <w:szCs w:val="24"/>
                <w:lang w:val="lv-LV" w:eastAsia="lv-LV"/>
              </w:rPr>
              <w:t xml:space="preserve"> </w:t>
            </w:r>
            <w:r w:rsidR="00186B4D" w:rsidRPr="0098193B">
              <w:rPr>
                <w:rFonts w:ascii="Times New Roman" w:hAnsi="Times New Roman"/>
                <w:color w:val="000000"/>
                <w:sz w:val="24"/>
                <w:szCs w:val="24"/>
                <w:lang w:val="lv-LV" w:eastAsia="lv-LV"/>
              </w:rPr>
              <w:t>v</w:t>
            </w:r>
            <w:r w:rsidR="00CD64B7" w:rsidRPr="0098193B">
              <w:rPr>
                <w:rFonts w:ascii="Times New Roman" w:hAnsi="Times New Roman"/>
                <w:color w:val="000000"/>
                <w:sz w:val="24"/>
                <w:szCs w:val="24"/>
                <w:lang w:val="lv-LV" w:eastAsia="lv-LV"/>
              </w:rPr>
              <w:t>ēstures muzeja nolikums</w:t>
            </w:r>
            <w:r w:rsidR="00186B4D" w:rsidRPr="0098193B">
              <w:rPr>
                <w:rFonts w:ascii="Times New Roman" w:hAnsi="Times New Roman"/>
                <w:color w:val="000000"/>
                <w:sz w:val="24"/>
                <w:szCs w:val="24"/>
                <w:lang w:val="lv-LV" w:eastAsia="lv-LV"/>
              </w:rPr>
              <w:t>”</w:t>
            </w:r>
            <w:r w:rsidR="001E2A11">
              <w:rPr>
                <w:rFonts w:ascii="Times New Roman" w:hAnsi="Times New Roman"/>
                <w:color w:val="000000"/>
                <w:sz w:val="24"/>
                <w:szCs w:val="24"/>
                <w:lang w:val="lv-LV" w:eastAsia="lv-LV"/>
              </w:rPr>
              <w:t xml:space="preserve"> un</w:t>
            </w:r>
            <w:r w:rsidR="00ED4729" w:rsidRPr="0098193B">
              <w:rPr>
                <w:rFonts w:ascii="Times New Roman" w:hAnsi="Times New Roman"/>
                <w:color w:val="000000"/>
                <w:sz w:val="24"/>
                <w:szCs w:val="24"/>
                <w:lang w:val="lv-LV" w:eastAsia="lv-LV"/>
              </w:rPr>
              <w:t xml:space="preserve"> </w:t>
            </w:r>
            <w:r w:rsidR="00125C05">
              <w:rPr>
                <w:rFonts w:ascii="Times New Roman" w:hAnsi="Times New Roman"/>
                <w:color w:val="000000"/>
                <w:sz w:val="24"/>
                <w:szCs w:val="24"/>
                <w:lang w:val="lv-LV" w:eastAsia="lv-LV"/>
              </w:rPr>
              <w:t xml:space="preserve">Ministru kabineta </w:t>
            </w:r>
            <w:r w:rsidR="00A50933" w:rsidRPr="0098193B">
              <w:rPr>
                <w:rFonts w:ascii="Times New Roman" w:hAnsi="Times New Roman"/>
                <w:color w:val="000000"/>
                <w:sz w:val="24"/>
                <w:szCs w:val="24"/>
                <w:lang w:val="lv-LV" w:eastAsia="lv-LV"/>
              </w:rPr>
              <w:t>20</w:t>
            </w:r>
            <w:r w:rsidR="00CD64B7" w:rsidRPr="0098193B">
              <w:rPr>
                <w:rFonts w:ascii="Times New Roman" w:hAnsi="Times New Roman"/>
                <w:color w:val="000000"/>
                <w:sz w:val="24"/>
                <w:szCs w:val="24"/>
                <w:lang w:val="lv-LV" w:eastAsia="lv-LV"/>
              </w:rPr>
              <w:t>1</w:t>
            </w:r>
            <w:r w:rsidR="00A50933" w:rsidRPr="0098193B">
              <w:rPr>
                <w:rFonts w:ascii="Times New Roman" w:hAnsi="Times New Roman"/>
                <w:color w:val="000000"/>
                <w:sz w:val="24"/>
                <w:szCs w:val="24"/>
                <w:lang w:val="lv-LV" w:eastAsia="lv-LV"/>
              </w:rPr>
              <w:t>3.</w:t>
            </w:r>
            <w:r w:rsidR="00CD64B7" w:rsidRPr="0098193B">
              <w:rPr>
                <w:rFonts w:ascii="Times New Roman" w:hAnsi="Times New Roman"/>
                <w:color w:val="000000"/>
                <w:sz w:val="24"/>
                <w:szCs w:val="24"/>
                <w:lang w:val="lv-LV" w:eastAsia="lv-LV"/>
              </w:rPr>
              <w:t>gada 10.septembra noteikumos Nr.</w:t>
            </w:r>
            <w:r w:rsidR="00A50933" w:rsidRPr="0098193B">
              <w:rPr>
                <w:rFonts w:ascii="Times New Roman" w:hAnsi="Times New Roman"/>
                <w:color w:val="000000"/>
                <w:sz w:val="24"/>
                <w:szCs w:val="24"/>
                <w:lang w:val="lv-LV" w:eastAsia="lv-LV"/>
              </w:rPr>
              <w:t>8</w:t>
            </w:r>
            <w:r w:rsidR="00CD64B7" w:rsidRPr="0098193B">
              <w:rPr>
                <w:rFonts w:ascii="Times New Roman" w:hAnsi="Times New Roman"/>
                <w:color w:val="000000"/>
                <w:sz w:val="24"/>
                <w:szCs w:val="24"/>
                <w:lang w:val="lv-LV" w:eastAsia="lv-LV"/>
              </w:rPr>
              <w:t>08</w:t>
            </w:r>
            <w:r w:rsidR="005B26A1">
              <w:rPr>
                <w:rFonts w:ascii="Times New Roman" w:hAnsi="Times New Roman"/>
                <w:color w:val="000000"/>
                <w:sz w:val="24"/>
                <w:szCs w:val="24"/>
                <w:lang w:val="lv-LV" w:eastAsia="lv-LV"/>
              </w:rPr>
              <w:t xml:space="preserve"> ”</w:t>
            </w:r>
            <w:r w:rsidR="00A50933" w:rsidRPr="0098193B">
              <w:rPr>
                <w:rFonts w:ascii="Times New Roman" w:hAnsi="Times New Roman"/>
                <w:color w:val="000000"/>
                <w:sz w:val="24"/>
                <w:szCs w:val="24"/>
                <w:lang w:val="lv-LV" w:eastAsia="lv-LV"/>
              </w:rPr>
              <w:t xml:space="preserve">Paula Stradiņa </w:t>
            </w:r>
            <w:r w:rsidR="00CD64B7" w:rsidRPr="0098193B">
              <w:rPr>
                <w:rFonts w:ascii="Times New Roman" w:hAnsi="Times New Roman"/>
                <w:color w:val="000000"/>
                <w:sz w:val="24"/>
                <w:szCs w:val="24"/>
                <w:lang w:val="lv-LV" w:eastAsia="lv-LV"/>
              </w:rPr>
              <w:t>M</w:t>
            </w:r>
            <w:r w:rsidR="00A50933" w:rsidRPr="0098193B">
              <w:rPr>
                <w:rFonts w:ascii="Times New Roman" w:hAnsi="Times New Roman"/>
                <w:color w:val="000000"/>
                <w:sz w:val="24"/>
                <w:szCs w:val="24"/>
                <w:lang w:val="lv-LV" w:eastAsia="lv-LV"/>
              </w:rPr>
              <w:t>edicīnas vēstures muzej</w:t>
            </w:r>
            <w:r w:rsidR="00CD64B7" w:rsidRPr="0098193B">
              <w:rPr>
                <w:rFonts w:ascii="Times New Roman" w:hAnsi="Times New Roman"/>
                <w:color w:val="000000"/>
                <w:sz w:val="24"/>
                <w:szCs w:val="24"/>
                <w:lang w:val="lv-LV" w:eastAsia="lv-LV"/>
              </w:rPr>
              <w:t>a maksas pakalpojumu cenrādis</w:t>
            </w:r>
            <w:r w:rsidR="00A50933" w:rsidRPr="0098193B">
              <w:rPr>
                <w:rFonts w:ascii="Times New Roman" w:hAnsi="Times New Roman"/>
                <w:color w:val="000000"/>
                <w:sz w:val="24"/>
                <w:szCs w:val="24"/>
                <w:lang w:val="lv-LV" w:eastAsia="lv-LV"/>
              </w:rPr>
              <w:t xml:space="preserve">”. </w:t>
            </w:r>
          </w:p>
        </w:tc>
      </w:tr>
      <w:tr w:rsidR="00ED4729" w:rsidRPr="00ED4729" w:rsidTr="00C53D1A">
        <w:trPr>
          <w:trHeight w:val="283"/>
          <w:jc w:val="center"/>
        </w:trPr>
        <w:tc>
          <w:tcPr>
            <w:tcW w:w="669" w:type="dxa"/>
          </w:tcPr>
          <w:p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t>2.</w:t>
            </w:r>
          </w:p>
        </w:tc>
        <w:tc>
          <w:tcPr>
            <w:tcW w:w="2161" w:type="dxa"/>
          </w:tcPr>
          <w:p w:rsidR="00ED4729" w:rsidRPr="005335D9" w:rsidRDefault="00ED4729" w:rsidP="00292EF0">
            <w:pPr>
              <w:tabs>
                <w:tab w:val="left" w:pos="2628"/>
              </w:tabs>
              <w:spacing w:after="0" w:line="240" w:lineRule="auto"/>
              <w:jc w:val="both"/>
              <w:rPr>
                <w:rFonts w:ascii="Times New Roman" w:hAnsi="Times New Roman"/>
                <w:sz w:val="24"/>
                <w:szCs w:val="24"/>
                <w:lang w:val="lv-LV" w:eastAsia="lv-LV"/>
              </w:rPr>
            </w:pPr>
            <w:r w:rsidRPr="0098193B">
              <w:rPr>
                <w:rFonts w:ascii="Times New Roman" w:hAnsi="Times New Roman"/>
                <w:color w:val="000000"/>
                <w:sz w:val="24"/>
                <w:szCs w:val="24"/>
                <w:lang w:val="lv-LV" w:eastAsia="lv-LV"/>
              </w:rPr>
              <w:t>Cita informācija</w:t>
            </w:r>
          </w:p>
        </w:tc>
        <w:tc>
          <w:tcPr>
            <w:tcW w:w="6932" w:type="dxa"/>
          </w:tcPr>
          <w:p w:rsidR="00286C30" w:rsidRPr="0098193B" w:rsidRDefault="00ED4729" w:rsidP="00125C05">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t>Nav</w:t>
            </w:r>
          </w:p>
        </w:tc>
      </w:tr>
    </w:tbl>
    <w:p w:rsidR="00484E0A" w:rsidRPr="00ED4729" w:rsidRDefault="00484E0A" w:rsidP="00ED4729">
      <w:pPr>
        <w:spacing w:after="0" w:line="360" w:lineRule="auto"/>
        <w:rPr>
          <w:rFonts w:ascii="Times New Roman" w:eastAsia="Times New Roman" w:hAnsi="Times New Roman"/>
          <w:vanish/>
          <w:color w:val="000000"/>
          <w:sz w:val="24"/>
          <w:szCs w:val="24"/>
          <w:lang w:val="lv-LV" w:bidi="lo-LA"/>
        </w:rPr>
      </w:pPr>
    </w:p>
    <w:tbl>
      <w:tblPr>
        <w:tblW w:w="50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180"/>
        <w:gridCol w:w="6989"/>
      </w:tblGrid>
      <w:tr w:rsidR="00453C6A" w:rsidRPr="00C53D1A" w:rsidTr="00C53D1A">
        <w:trPr>
          <w:trHeight w:val="268"/>
        </w:trPr>
        <w:tc>
          <w:tcPr>
            <w:tcW w:w="5000" w:type="pct"/>
            <w:gridSpan w:val="3"/>
            <w:shd w:val="clear" w:color="auto" w:fill="auto"/>
          </w:tcPr>
          <w:p w:rsidR="00453C6A" w:rsidRPr="00D35EC7" w:rsidRDefault="00453C6A" w:rsidP="00453C6A">
            <w:pPr>
              <w:spacing w:after="0" w:line="240" w:lineRule="auto"/>
              <w:jc w:val="center"/>
              <w:rPr>
                <w:rFonts w:ascii="Times New Roman" w:eastAsia="Times New Roman" w:hAnsi="Times New Roman"/>
                <w:b/>
                <w:sz w:val="24"/>
                <w:szCs w:val="24"/>
                <w:lang w:val="lv-LV" w:eastAsia="lv-LV"/>
              </w:rPr>
            </w:pPr>
            <w:r w:rsidRPr="00D35EC7">
              <w:rPr>
                <w:rFonts w:ascii="Times New Roman" w:eastAsia="Times New Roman" w:hAnsi="Times New Roman"/>
                <w:b/>
                <w:sz w:val="24"/>
                <w:szCs w:val="24"/>
                <w:lang w:val="lv-LV" w:eastAsia="lv-LV"/>
              </w:rPr>
              <w:lastRenderedPageBreak/>
              <w:t>VI. Sabiedrības līdzdalība un komunikācijas aktivitātes</w:t>
            </w:r>
          </w:p>
        </w:tc>
      </w:tr>
      <w:tr w:rsidR="00453C6A" w:rsidRPr="00C53D1A" w:rsidTr="00C53D1A">
        <w:tc>
          <w:tcPr>
            <w:tcW w:w="243" w:type="pct"/>
            <w:shd w:val="clear" w:color="auto" w:fill="auto"/>
          </w:tcPr>
          <w:p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1.</w:t>
            </w:r>
          </w:p>
        </w:tc>
        <w:tc>
          <w:tcPr>
            <w:tcW w:w="1131" w:type="pct"/>
            <w:shd w:val="clear" w:color="auto" w:fill="auto"/>
          </w:tcPr>
          <w:p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Plānotās sabiedrības līdzdalības un komunikācijas aktivitātes saistībā ar projektu</w:t>
            </w:r>
          </w:p>
        </w:tc>
        <w:tc>
          <w:tcPr>
            <w:tcW w:w="3625" w:type="pct"/>
            <w:shd w:val="clear" w:color="auto" w:fill="auto"/>
          </w:tcPr>
          <w:p w:rsidR="0047706A" w:rsidRDefault="003F6FDC" w:rsidP="005348F8">
            <w:pPr>
              <w:spacing w:after="0" w:line="240" w:lineRule="auto"/>
              <w:jc w:val="both"/>
              <w:rPr>
                <w:rFonts w:ascii="Times New Roman" w:hAnsi="Times New Roman"/>
                <w:sz w:val="24"/>
                <w:szCs w:val="24"/>
                <w:lang w:val="lv-LV"/>
              </w:rPr>
            </w:pPr>
            <w:r>
              <w:rPr>
                <w:rFonts w:ascii="Times New Roman" w:hAnsi="Times New Roman"/>
                <w:sz w:val="24"/>
                <w:szCs w:val="24"/>
                <w:lang w:val="lv-LV"/>
              </w:rPr>
              <w:t>Paula Stradiņa Medicīnas vēstures muzeja mājas lapā ir izvietota informāciju par gaidāmo Prīmaņa Anatomijas muzeja  nodošanu RSU</w:t>
            </w:r>
            <w:r w:rsidR="0047706A">
              <w:rPr>
                <w:rFonts w:ascii="Times New Roman" w:hAnsi="Times New Roman"/>
                <w:sz w:val="24"/>
                <w:szCs w:val="24"/>
                <w:lang w:val="lv-LV"/>
              </w:rPr>
              <w:t>.</w:t>
            </w:r>
          </w:p>
          <w:p w:rsidR="00453C6A" w:rsidRPr="00D35EC7" w:rsidRDefault="000E2755" w:rsidP="000E2755">
            <w:pPr>
              <w:spacing w:after="0" w:line="240" w:lineRule="auto"/>
              <w:contextualSpacing/>
              <w:jc w:val="both"/>
              <w:rPr>
                <w:rFonts w:ascii="Times New Roman" w:eastAsia="Times New Roman" w:hAnsi="Times New Roman"/>
                <w:sz w:val="24"/>
                <w:szCs w:val="24"/>
                <w:lang w:val="lv-LV" w:eastAsia="lv-LV"/>
              </w:rPr>
            </w:pPr>
            <w:r w:rsidRPr="00C53D1A">
              <w:rPr>
                <w:rFonts w:ascii="Times New Roman" w:hAnsi="Times New Roman"/>
                <w:bCs/>
                <w:color w:val="414142"/>
                <w:sz w:val="24"/>
                <w:szCs w:val="24"/>
                <w:shd w:val="clear" w:color="auto" w:fill="FFFFFF"/>
                <w:lang w:val="lv-LV"/>
              </w:rPr>
              <w:t>Sabiedriskā a</w:t>
            </w:r>
            <w:r w:rsidR="0047706A" w:rsidRPr="00C53D1A">
              <w:rPr>
                <w:rFonts w:ascii="Times New Roman" w:hAnsi="Times New Roman"/>
                <w:bCs/>
                <w:color w:val="414142"/>
                <w:sz w:val="24"/>
                <w:szCs w:val="24"/>
                <w:shd w:val="clear" w:color="auto" w:fill="FFFFFF"/>
                <w:lang w:val="lv-LV"/>
              </w:rPr>
              <w:t>pspriešana projekta izstrādē nav veikta, jo projekts būtiski nemaina esošo regulējumu un neparedz ieviest jaunas politiskās iniciatīvas.</w:t>
            </w:r>
          </w:p>
        </w:tc>
      </w:tr>
      <w:tr w:rsidR="00453C6A" w:rsidRPr="00C53D1A" w:rsidTr="00C53D1A">
        <w:tc>
          <w:tcPr>
            <w:tcW w:w="243" w:type="pct"/>
            <w:shd w:val="clear" w:color="auto" w:fill="auto"/>
          </w:tcPr>
          <w:p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2.</w:t>
            </w:r>
          </w:p>
        </w:tc>
        <w:tc>
          <w:tcPr>
            <w:tcW w:w="1131" w:type="pct"/>
            <w:shd w:val="clear" w:color="auto" w:fill="auto"/>
          </w:tcPr>
          <w:p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Sabiedrības līdzdalība projekta izstrādē</w:t>
            </w:r>
          </w:p>
        </w:tc>
        <w:tc>
          <w:tcPr>
            <w:tcW w:w="3625" w:type="pct"/>
            <w:shd w:val="clear" w:color="auto" w:fill="auto"/>
          </w:tcPr>
          <w:p w:rsidR="00453C6A" w:rsidRPr="00D35EC7" w:rsidRDefault="00125C05" w:rsidP="00125C05">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Viedokli par Prīmaņa Anatomijas muzeja nodošanu RSU sniedza Latvijas Muzeju padome.</w:t>
            </w:r>
          </w:p>
        </w:tc>
      </w:tr>
      <w:tr w:rsidR="00453C6A" w:rsidRPr="00C53D1A" w:rsidTr="00C53D1A">
        <w:tc>
          <w:tcPr>
            <w:tcW w:w="243" w:type="pct"/>
            <w:shd w:val="clear" w:color="auto" w:fill="auto"/>
          </w:tcPr>
          <w:p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3.</w:t>
            </w:r>
          </w:p>
        </w:tc>
        <w:tc>
          <w:tcPr>
            <w:tcW w:w="1131" w:type="pct"/>
            <w:shd w:val="clear" w:color="auto" w:fill="auto"/>
          </w:tcPr>
          <w:p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Sabiedrības līdzdalības rezultāti</w:t>
            </w:r>
          </w:p>
        </w:tc>
        <w:tc>
          <w:tcPr>
            <w:tcW w:w="3625" w:type="pct"/>
            <w:shd w:val="clear" w:color="auto" w:fill="auto"/>
          </w:tcPr>
          <w:p w:rsidR="00453C6A" w:rsidRPr="00D35EC7" w:rsidRDefault="00C552F0" w:rsidP="00C552F0">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Latvijas Muzeju padome </w:t>
            </w:r>
            <w:r w:rsidR="00453C6A" w:rsidRPr="00D35EC7">
              <w:rPr>
                <w:rFonts w:ascii="Times New Roman" w:eastAsia="Times New Roman" w:hAnsi="Times New Roman"/>
                <w:sz w:val="24"/>
                <w:szCs w:val="24"/>
                <w:lang w:val="lv-LV" w:eastAsia="lv-LV"/>
              </w:rPr>
              <w:t xml:space="preserve">atbalsta </w:t>
            </w:r>
            <w:r w:rsidR="00AD6432" w:rsidRPr="00D35EC7">
              <w:rPr>
                <w:rFonts w:ascii="Times New Roman" w:eastAsia="Times New Roman" w:hAnsi="Times New Roman"/>
                <w:sz w:val="24"/>
                <w:szCs w:val="24"/>
                <w:lang w:val="lv-LV" w:eastAsia="lv-LV"/>
              </w:rPr>
              <w:t xml:space="preserve">Prīmaņa </w:t>
            </w:r>
            <w:r w:rsidR="001E2A11">
              <w:rPr>
                <w:rFonts w:ascii="Times New Roman" w:eastAsia="Times New Roman" w:hAnsi="Times New Roman"/>
                <w:sz w:val="24"/>
                <w:szCs w:val="24"/>
                <w:lang w:val="lv-LV" w:eastAsia="lv-LV"/>
              </w:rPr>
              <w:t>A</w:t>
            </w:r>
            <w:r w:rsidR="00FA1542" w:rsidRPr="00D35EC7">
              <w:rPr>
                <w:rFonts w:ascii="Times New Roman" w:eastAsia="Times New Roman" w:hAnsi="Times New Roman"/>
                <w:sz w:val="24"/>
                <w:szCs w:val="24"/>
                <w:lang w:val="lv-LV" w:eastAsia="lv-LV"/>
              </w:rPr>
              <w:t>natomijas muzeja nodošanu RSU, iek</w:t>
            </w:r>
            <w:r w:rsidR="00DB4230" w:rsidRPr="00D35EC7">
              <w:rPr>
                <w:rFonts w:ascii="Times New Roman" w:eastAsia="Times New Roman" w:hAnsi="Times New Roman"/>
                <w:sz w:val="24"/>
                <w:szCs w:val="24"/>
                <w:lang w:val="lv-LV" w:eastAsia="lv-LV"/>
              </w:rPr>
              <w:t>ļau</w:t>
            </w:r>
            <w:r w:rsidR="00FA1542" w:rsidRPr="00D35EC7">
              <w:rPr>
                <w:rFonts w:ascii="Times New Roman" w:eastAsia="Times New Roman" w:hAnsi="Times New Roman"/>
                <w:sz w:val="24"/>
                <w:szCs w:val="24"/>
                <w:lang w:val="lv-LV" w:eastAsia="lv-LV"/>
              </w:rPr>
              <w:t>jot to RSU muzeja sastāvā</w:t>
            </w:r>
            <w:r w:rsidR="00453C6A" w:rsidRPr="00D35EC7">
              <w:rPr>
                <w:rFonts w:ascii="Times New Roman" w:hAnsi="Times New Roman"/>
                <w:sz w:val="24"/>
                <w:szCs w:val="24"/>
                <w:shd w:val="clear" w:color="auto" w:fill="FFFFFF"/>
                <w:lang w:val="lv-LV"/>
              </w:rPr>
              <w:t>.</w:t>
            </w:r>
          </w:p>
        </w:tc>
      </w:tr>
      <w:tr w:rsidR="00453C6A" w:rsidRPr="00D35EC7" w:rsidTr="00C53D1A">
        <w:trPr>
          <w:trHeight w:val="431"/>
        </w:trPr>
        <w:tc>
          <w:tcPr>
            <w:tcW w:w="243" w:type="pct"/>
            <w:tcBorders>
              <w:bottom w:val="single" w:sz="4" w:space="0" w:color="auto"/>
            </w:tcBorders>
            <w:shd w:val="clear" w:color="auto" w:fill="auto"/>
          </w:tcPr>
          <w:p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4.</w:t>
            </w:r>
          </w:p>
        </w:tc>
        <w:tc>
          <w:tcPr>
            <w:tcW w:w="1131" w:type="pct"/>
            <w:tcBorders>
              <w:bottom w:val="single" w:sz="4" w:space="0" w:color="auto"/>
            </w:tcBorders>
            <w:shd w:val="clear" w:color="auto" w:fill="auto"/>
          </w:tcPr>
          <w:p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Cita informācija</w:t>
            </w:r>
          </w:p>
        </w:tc>
        <w:tc>
          <w:tcPr>
            <w:tcW w:w="3625" w:type="pct"/>
            <w:tcBorders>
              <w:bottom w:val="single" w:sz="4" w:space="0" w:color="auto"/>
            </w:tcBorders>
            <w:shd w:val="clear" w:color="auto" w:fill="auto"/>
          </w:tcPr>
          <w:p w:rsidR="00453C6A" w:rsidRPr="00D35EC7" w:rsidRDefault="00453C6A" w:rsidP="00453C6A">
            <w:pPr>
              <w:spacing w:after="0" w:line="240" w:lineRule="auto"/>
              <w:jc w:val="both"/>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Nav</w:t>
            </w:r>
          </w:p>
        </w:tc>
      </w:tr>
    </w:tbl>
    <w:p w:rsidR="00ED4729" w:rsidRDefault="00ED4729" w:rsidP="000752B8">
      <w:pPr>
        <w:pStyle w:val="naisf"/>
        <w:spacing w:before="0" w:after="0"/>
        <w:ind w:firstLine="0"/>
        <w:rPr>
          <w:iCs/>
          <w:noProof/>
        </w:rPr>
      </w:pPr>
    </w:p>
    <w:tbl>
      <w:tblPr>
        <w:tblW w:w="954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5"/>
        <w:gridCol w:w="2262"/>
        <w:gridCol w:w="6714"/>
      </w:tblGrid>
      <w:tr w:rsidR="002143EB" w:rsidRPr="00C53D1A" w:rsidTr="00286C30">
        <w:trPr>
          <w:jc w:val="center"/>
        </w:trPr>
        <w:tc>
          <w:tcPr>
            <w:tcW w:w="9541" w:type="dxa"/>
            <w:gridSpan w:val="3"/>
            <w:tcBorders>
              <w:top w:val="outset" w:sz="6" w:space="0" w:color="auto"/>
              <w:left w:val="outset" w:sz="6" w:space="0" w:color="auto"/>
              <w:bottom w:val="outset" w:sz="6" w:space="0" w:color="auto"/>
              <w:right w:val="outset" w:sz="6" w:space="0" w:color="auto"/>
            </w:tcBorders>
            <w:hideMark/>
          </w:tcPr>
          <w:p w:rsidR="002143EB" w:rsidRPr="00935F3B" w:rsidRDefault="002143EB" w:rsidP="00241C16">
            <w:pPr>
              <w:spacing w:before="75" w:after="75" w:line="240" w:lineRule="auto"/>
              <w:jc w:val="center"/>
              <w:rPr>
                <w:rFonts w:ascii="Times New Roman" w:eastAsia="Times New Roman" w:hAnsi="Times New Roman"/>
                <w:noProof/>
                <w:sz w:val="24"/>
                <w:szCs w:val="24"/>
                <w:lang w:val="lv-LV" w:eastAsia="lv-LV"/>
              </w:rPr>
            </w:pPr>
            <w:bookmarkStart w:id="3" w:name="_GoBack"/>
            <w:bookmarkEnd w:id="3"/>
            <w:r w:rsidRPr="00935F3B">
              <w:rPr>
                <w:rFonts w:ascii="Times New Roman" w:eastAsia="Times New Roman" w:hAnsi="Times New Roman"/>
                <w:b/>
                <w:bCs/>
                <w:noProof/>
                <w:sz w:val="24"/>
                <w:szCs w:val="24"/>
                <w:lang w:val="lv-LV" w:eastAsia="lv-LV"/>
              </w:rPr>
              <w:t> VII. Tiesību akta projekta izpildes nodrošināšana un tās ietekme uz institūcijām</w:t>
            </w:r>
          </w:p>
        </w:tc>
      </w:tr>
      <w:tr w:rsidR="002143EB" w:rsidRPr="00935F3B" w:rsidTr="00286C30">
        <w:trPr>
          <w:trHeight w:val="427"/>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262" w:type="dxa"/>
            <w:tcBorders>
              <w:top w:val="outset" w:sz="6" w:space="0" w:color="auto"/>
              <w:left w:val="outset" w:sz="6" w:space="0" w:color="auto"/>
              <w:bottom w:val="outset" w:sz="6" w:space="0" w:color="auto"/>
              <w:right w:val="outset" w:sz="6" w:space="0" w:color="auto"/>
            </w:tcBorders>
            <w:hideMark/>
          </w:tcPr>
          <w:p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Projekta izpildē iesaistītās institūcijas</w:t>
            </w:r>
          </w:p>
        </w:tc>
        <w:tc>
          <w:tcPr>
            <w:tcW w:w="6714" w:type="dxa"/>
            <w:tcBorders>
              <w:top w:val="outset" w:sz="6" w:space="0" w:color="auto"/>
              <w:left w:val="outset" w:sz="6" w:space="0" w:color="auto"/>
              <w:bottom w:val="outset" w:sz="6" w:space="0" w:color="auto"/>
              <w:right w:val="outset" w:sz="6" w:space="0" w:color="auto"/>
            </w:tcBorders>
            <w:hideMark/>
          </w:tcPr>
          <w:p w:rsidR="002143EB" w:rsidRPr="00935F3B" w:rsidRDefault="002143EB" w:rsidP="00C552F0">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Noteikumu projekta izpildi nodrošinās</w:t>
            </w:r>
            <w:r w:rsidR="007C6FBA">
              <w:rPr>
                <w:rFonts w:ascii="Times New Roman" w:eastAsia="Times New Roman" w:hAnsi="Times New Roman"/>
                <w:noProof/>
                <w:sz w:val="24"/>
                <w:szCs w:val="24"/>
                <w:lang w:val="lv-LV" w:eastAsia="lv-LV"/>
              </w:rPr>
              <w:t xml:space="preserve"> Veselības ministrija, </w:t>
            </w:r>
            <w:r w:rsidRPr="00935F3B">
              <w:rPr>
                <w:rFonts w:ascii="Times New Roman" w:hAnsi="Times New Roman"/>
                <w:noProof/>
                <w:sz w:val="24"/>
                <w:szCs w:val="24"/>
                <w:lang w:val="lv-LV"/>
              </w:rPr>
              <w:t>Paula Stradiņa Medicīnas vēstures muzejs</w:t>
            </w:r>
            <w:r w:rsidR="00C552F0">
              <w:rPr>
                <w:rFonts w:ascii="Times New Roman" w:hAnsi="Times New Roman"/>
                <w:noProof/>
                <w:sz w:val="24"/>
                <w:szCs w:val="24"/>
                <w:lang w:val="lv-LV"/>
              </w:rPr>
              <w:t>,</w:t>
            </w:r>
            <w:r w:rsidR="0088408F">
              <w:rPr>
                <w:rFonts w:ascii="Times New Roman" w:eastAsia="Times New Roman" w:hAnsi="Times New Roman"/>
                <w:noProof/>
                <w:sz w:val="24"/>
                <w:szCs w:val="24"/>
                <w:lang w:val="lv-LV" w:eastAsia="lv-LV"/>
              </w:rPr>
              <w:t xml:space="preserve"> </w:t>
            </w:r>
            <w:r w:rsidR="001E2A11">
              <w:rPr>
                <w:rFonts w:ascii="Times New Roman" w:eastAsia="Times New Roman" w:hAnsi="Times New Roman"/>
                <w:noProof/>
                <w:sz w:val="24"/>
                <w:szCs w:val="24"/>
                <w:lang w:val="lv-LV" w:eastAsia="lv-LV"/>
              </w:rPr>
              <w:t>RSU</w:t>
            </w:r>
          </w:p>
        </w:tc>
      </w:tr>
      <w:tr w:rsidR="002143EB" w:rsidRPr="00027E07" w:rsidTr="00286C30">
        <w:trPr>
          <w:trHeight w:val="463"/>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262" w:type="dxa"/>
            <w:tcBorders>
              <w:top w:val="outset" w:sz="6" w:space="0" w:color="auto"/>
              <w:left w:val="outset" w:sz="6" w:space="0" w:color="auto"/>
              <w:bottom w:val="outset" w:sz="6" w:space="0" w:color="auto"/>
              <w:right w:val="outset" w:sz="6" w:space="0" w:color="auto"/>
            </w:tcBorders>
            <w:hideMark/>
          </w:tcPr>
          <w:p w:rsidR="00C63108" w:rsidRPr="00935F3B" w:rsidRDefault="00C63108"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xml:space="preserve">Projekta izpildes ietekme uz pārvaldes funkcijām un institucionālo struktūru. </w:t>
            </w:r>
          </w:p>
          <w:p w:rsidR="002143EB" w:rsidRPr="00935F3B" w:rsidRDefault="00C63108"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Jaunu institūciju izveide, esošu institūciju likvidācija vai reorganizācija, to ietekme uz institūcijas cilvēkresursiem</w:t>
            </w:r>
          </w:p>
        </w:tc>
        <w:tc>
          <w:tcPr>
            <w:tcW w:w="6714" w:type="dxa"/>
            <w:tcBorders>
              <w:top w:val="outset" w:sz="6" w:space="0" w:color="auto"/>
              <w:left w:val="outset" w:sz="6" w:space="0" w:color="auto"/>
              <w:bottom w:val="outset" w:sz="6" w:space="0" w:color="auto"/>
              <w:right w:val="outset" w:sz="6" w:space="0" w:color="auto"/>
            </w:tcBorders>
            <w:hideMark/>
          </w:tcPr>
          <w:p w:rsidR="0088408F" w:rsidRPr="005938DC" w:rsidRDefault="00693C00" w:rsidP="00D35EC7">
            <w:pPr>
              <w:spacing w:after="0" w:line="240" w:lineRule="auto"/>
              <w:jc w:val="both"/>
              <w:rPr>
                <w:rFonts w:ascii="Times New Roman" w:hAnsi="Times New Roman"/>
                <w:sz w:val="24"/>
                <w:szCs w:val="24"/>
                <w:lang w:val="lv-LV"/>
              </w:rPr>
            </w:pPr>
            <w:r>
              <w:rPr>
                <w:rFonts w:ascii="Times New Roman" w:hAnsi="Times New Roman"/>
                <w:sz w:val="24"/>
                <w:szCs w:val="24"/>
                <w:lang w:val="lv-LV"/>
              </w:rPr>
              <w:t>Paula Stradiņa M</w:t>
            </w:r>
            <w:r w:rsidR="0088408F" w:rsidRPr="005938DC">
              <w:rPr>
                <w:rFonts w:ascii="Times New Roman" w:hAnsi="Times New Roman"/>
                <w:sz w:val="24"/>
                <w:szCs w:val="24"/>
                <w:lang w:val="lv-LV"/>
              </w:rPr>
              <w:t>edicīnas vēstures muzeja reorganizācijas rezultātā RSU tiek nodota tā struktūrvienība –</w:t>
            </w:r>
            <w:r w:rsidR="001E2A11">
              <w:rPr>
                <w:rFonts w:ascii="Times New Roman" w:hAnsi="Times New Roman"/>
                <w:sz w:val="24"/>
                <w:szCs w:val="24"/>
                <w:lang w:val="lv-LV"/>
              </w:rPr>
              <w:t xml:space="preserve">Prīmaņa </w:t>
            </w:r>
            <w:r w:rsidR="0088408F" w:rsidRPr="005938DC">
              <w:rPr>
                <w:rFonts w:ascii="Times New Roman" w:hAnsi="Times New Roman"/>
                <w:sz w:val="24"/>
                <w:szCs w:val="24"/>
                <w:lang w:val="lv-LV"/>
              </w:rPr>
              <w:t>Anatomijas  muzejs.</w:t>
            </w:r>
          </w:p>
          <w:p w:rsidR="0088408F" w:rsidRPr="005938DC" w:rsidRDefault="0088408F" w:rsidP="00D35EC7">
            <w:pPr>
              <w:spacing w:after="0" w:line="240" w:lineRule="auto"/>
              <w:jc w:val="both"/>
              <w:rPr>
                <w:rFonts w:ascii="Times New Roman" w:hAnsi="Times New Roman"/>
                <w:sz w:val="24"/>
                <w:szCs w:val="24"/>
                <w:lang w:val="lv-LV"/>
              </w:rPr>
            </w:pPr>
            <w:r w:rsidRPr="005938DC">
              <w:rPr>
                <w:rFonts w:ascii="Times New Roman" w:hAnsi="Times New Roman"/>
                <w:sz w:val="24"/>
                <w:szCs w:val="24"/>
                <w:lang w:val="lv-LV"/>
              </w:rPr>
              <w:t>Saskaņā ar Valsts pārvaldes iekārtas likuma 15.panta trešo daļu veiktās reorganizācijas rezultātā, nododot Anatomijas muzeju (struktūrvienību) nodošana R</w:t>
            </w:r>
            <w:r w:rsidR="00693C00">
              <w:rPr>
                <w:rFonts w:ascii="Times New Roman" w:hAnsi="Times New Roman"/>
                <w:sz w:val="24"/>
                <w:szCs w:val="24"/>
                <w:lang w:val="lv-LV"/>
              </w:rPr>
              <w:t>SU, tiek veikta Paula Stradiņa M</w:t>
            </w:r>
            <w:r w:rsidRPr="005938DC">
              <w:rPr>
                <w:rFonts w:ascii="Times New Roman" w:hAnsi="Times New Roman"/>
                <w:sz w:val="24"/>
                <w:szCs w:val="24"/>
                <w:lang w:val="lv-LV"/>
              </w:rPr>
              <w:t>edicīnas vēstures muzeja reorganizācija, kuras rezultātā sadalāmā iestāde Pa</w:t>
            </w:r>
            <w:r w:rsidR="00693C00">
              <w:rPr>
                <w:rFonts w:ascii="Times New Roman" w:hAnsi="Times New Roman"/>
                <w:sz w:val="24"/>
                <w:szCs w:val="24"/>
                <w:lang w:val="lv-LV"/>
              </w:rPr>
              <w:t>ula Stradiņa M</w:t>
            </w:r>
            <w:r w:rsidRPr="005938DC">
              <w:rPr>
                <w:rFonts w:ascii="Times New Roman" w:hAnsi="Times New Roman"/>
                <w:sz w:val="24"/>
                <w:szCs w:val="24"/>
                <w:lang w:val="lv-LV"/>
              </w:rPr>
              <w:t>edicīnas vēstures muzejs turpina pastāvēt.</w:t>
            </w:r>
            <w:r w:rsidR="00906C92" w:rsidRPr="005938DC">
              <w:rPr>
                <w:rFonts w:ascii="Times New Roman" w:hAnsi="Times New Roman"/>
                <w:sz w:val="24"/>
                <w:szCs w:val="24"/>
                <w:lang w:val="lv-LV"/>
              </w:rPr>
              <w:t xml:space="preserve"> </w:t>
            </w:r>
            <w:r w:rsidR="00125C05">
              <w:rPr>
                <w:rFonts w:ascii="Times New Roman" w:hAnsi="Times New Roman"/>
                <w:sz w:val="24"/>
                <w:szCs w:val="24"/>
                <w:lang w:val="lv-LV"/>
              </w:rPr>
              <w:t>Rīkojuma</w:t>
            </w:r>
            <w:r w:rsidR="00906C92" w:rsidRPr="005938DC">
              <w:rPr>
                <w:rFonts w:ascii="Times New Roman" w:hAnsi="Times New Roman"/>
                <w:lang w:val="lv-LV"/>
              </w:rPr>
              <w:t xml:space="preserve"> projekts neparedz papildu jaunu institūciju izveidi.</w:t>
            </w:r>
          </w:p>
          <w:p w:rsidR="00CA368B" w:rsidRPr="005938DC" w:rsidRDefault="0088408F" w:rsidP="00693C00">
            <w:pPr>
              <w:spacing w:after="0" w:line="240" w:lineRule="auto"/>
              <w:jc w:val="both"/>
              <w:rPr>
                <w:rFonts w:ascii="Times New Roman" w:hAnsi="Times New Roman"/>
                <w:noProof/>
                <w:sz w:val="24"/>
                <w:szCs w:val="24"/>
                <w:lang w:val="lv-LV"/>
              </w:rPr>
            </w:pPr>
            <w:r w:rsidRPr="005938DC">
              <w:rPr>
                <w:rFonts w:ascii="Times New Roman" w:hAnsi="Times New Roman"/>
                <w:sz w:val="24"/>
                <w:szCs w:val="24"/>
                <w:lang w:val="lv-LV"/>
              </w:rPr>
              <w:t xml:space="preserve">Paula Stradiņa </w:t>
            </w:r>
            <w:r w:rsidR="00693C00">
              <w:rPr>
                <w:rFonts w:ascii="Times New Roman" w:hAnsi="Times New Roman"/>
                <w:sz w:val="24"/>
                <w:szCs w:val="24"/>
                <w:lang w:val="lv-LV"/>
              </w:rPr>
              <w:t>M</w:t>
            </w:r>
            <w:r w:rsidRPr="005938DC">
              <w:rPr>
                <w:rFonts w:ascii="Times New Roman" w:hAnsi="Times New Roman"/>
                <w:sz w:val="24"/>
                <w:szCs w:val="24"/>
                <w:lang w:val="lv-LV"/>
              </w:rPr>
              <w:t>edicīnas vēstures muzeja funkcijas reorganizācijas rezultātā netiek grozītas.</w:t>
            </w:r>
            <w:r w:rsidR="00CA368B" w:rsidRPr="005938DC">
              <w:rPr>
                <w:rFonts w:ascii="Times New Roman" w:hAnsi="Times New Roman"/>
                <w:sz w:val="24"/>
                <w:szCs w:val="24"/>
                <w:lang w:val="lv-LV"/>
              </w:rPr>
              <w:t xml:space="preserve"> </w:t>
            </w:r>
            <w:r w:rsidR="00CA368B" w:rsidRPr="005938DC">
              <w:rPr>
                <w:rFonts w:ascii="Times New Roman" w:hAnsi="Times New Roman"/>
                <w:bCs/>
                <w:color w:val="000000"/>
                <w:lang w:val="lv-LV"/>
              </w:rPr>
              <w:t>Rīkojums projekts neparedz sašaurināt vai paplašināt pārvaldes funkcijas.</w:t>
            </w:r>
          </w:p>
        </w:tc>
      </w:tr>
      <w:tr w:rsidR="002143EB" w:rsidRPr="00935F3B" w:rsidTr="00286C30">
        <w:trPr>
          <w:trHeight w:val="476"/>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935F3B" w:rsidRDefault="00C63108" w:rsidP="0092214C">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r w:rsidR="002143EB" w:rsidRPr="00935F3B">
              <w:rPr>
                <w:rFonts w:ascii="Times New Roman" w:eastAsia="Times New Roman" w:hAnsi="Times New Roman"/>
                <w:noProof/>
                <w:sz w:val="24"/>
                <w:szCs w:val="24"/>
                <w:lang w:val="lv-LV" w:eastAsia="lv-LV"/>
              </w:rPr>
              <w:t>.</w:t>
            </w:r>
          </w:p>
        </w:tc>
        <w:tc>
          <w:tcPr>
            <w:tcW w:w="2262" w:type="dxa"/>
            <w:tcBorders>
              <w:top w:val="outset" w:sz="6" w:space="0" w:color="auto"/>
              <w:left w:val="outset" w:sz="6" w:space="0" w:color="auto"/>
              <w:bottom w:val="outset" w:sz="6" w:space="0" w:color="auto"/>
              <w:right w:val="outset" w:sz="6" w:space="0" w:color="auto"/>
            </w:tcBorders>
            <w:hideMark/>
          </w:tcPr>
          <w:p w:rsidR="002143EB" w:rsidRPr="00935F3B" w:rsidRDefault="002143EB" w:rsidP="0092214C">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Cita informācija</w:t>
            </w:r>
          </w:p>
        </w:tc>
        <w:tc>
          <w:tcPr>
            <w:tcW w:w="6714" w:type="dxa"/>
            <w:tcBorders>
              <w:top w:val="outset" w:sz="6" w:space="0" w:color="auto"/>
              <w:left w:val="outset" w:sz="6" w:space="0" w:color="auto"/>
              <w:bottom w:val="outset" w:sz="6" w:space="0" w:color="auto"/>
              <w:right w:val="outset" w:sz="6" w:space="0" w:color="auto"/>
            </w:tcBorders>
            <w:hideMark/>
          </w:tcPr>
          <w:p w:rsidR="002143EB" w:rsidRPr="00935F3B" w:rsidRDefault="0088408F" w:rsidP="0092214C">
            <w:pPr>
              <w:spacing w:after="0" w:line="240" w:lineRule="auto"/>
              <w:jc w:val="both"/>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Nav</w:t>
            </w:r>
          </w:p>
        </w:tc>
      </w:tr>
    </w:tbl>
    <w:p w:rsidR="00CB168F" w:rsidRDefault="001E2A11" w:rsidP="00C53D1A">
      <w:pPr>
        <w:pStyle w:val="naisf"/>
        <w:spacing w:before="0" w:after="120"/>
        <w:ind w:firstLine="0"/>
        <w:jc w:val="center"/>
        <w:rPr>
          <w:i/>
          <w:noProof/>
          <w:sz w:val="28"/>
          <w:szCs w:val="28"/>
        </w:rPr>
      </w:pPr>
      <w:r>
        <w:rPr>
          <w:i/>
          <w:noProof/>
          <w:sz w:val="28"/>
          <w:szCs w:val="28"/>
        </w:rPr>
        <w:t>Anotācija</w:t>
      </w:r>
      <w:r w:rsidR="00800B01">
        <w:rPr>
          <w:i/>
          <w:noProof/>
          <w:sz w:val="28"/>
          <w:szCs w:val="28"/>
        </w:rPr>
        <w:t>s</w:t>
      </w:r>
      <w:r>
        <w:rPr>
          <w:i/>
          <w:noProof/>
          <w:sz w:val="28"/>
          <w:szCs w:val="28"/>
        </w:rPr>
        <w:t xml:space="preserve"> V</w:t>
      </w:r>
      <w:r w:rsidR="00CB168F" w:rsidRPr="00935F3B">
        <w:rPr>
          <w:i/>
          <w:noProof/>
          <w:sz w:val="28"/>
          <w:szCs w:val="28"/>
        </w:rPr>
        <w:t xml:space="preserve"> sadaļa – projekts š</w:t>
      </w:r>
      <w:r w:rsidR="00435D7F">
        <w:rPr>
          <w:i/>
          <w:noProof/>
          <w:sz w:val="28"/>
          <w:szCs w:val="28"/>
        </w:rPr>
        <w:t>o</w:t>
      </w:r>
      <w:r w:rsidR="00CB168F" w:rsidRPr="00935F3B">
        <w:rPr>
          <w:i/>
          <w:noProof/>
          <w:sz w:val="28"/>
          <w:szCs w:val="28"/>
        </w:rPr>
        <w:t xml:space="preserve"> jom</w:t>
      </w:r>
      <w:r w:rsidR="00435D7F">
        <w:rPr>
          <w:i/>
          <w:noProof/>
          <w:sz w:val="28"/>
          <w:szCs w:val="28"/>
        </w:rPr>
        <w:t>u</w:t>
      </w:r>
      <w:r w:rsidR="00CB168F" w:rsidRPr="00935F3B">
        <w:rPr>
          <w:i/>
          <w:noProof/>
          <w:sz w:val="28"/>
          <w:szCs w:val="28"/>
        </w:rPr>
        <w:t xml:space="preserve"> neskar.</w:t>
      </w:r>
    </w:p>
    <w:p w:rsidR="00CB168F" w:rsidRPr="00935F3B" w:rsidRDefault="00CB168F" w:rsidP="005E31B4">
      <w:pPr>
        <w:pStyle w:val="naisf"/>
        <w:spacing w:before="0" w:after="0"/>
        <w:ind w:firstLine="0"/>
        <w:jc w:val="center"/>
        <w:rPr>
          <w:i/>
          <w:noProof/>
          <w:sz w:val="28"/>
          <w:szCs w:val="28"/>
        </w:rPr>
      </w:pPr>
    </w:p>
    <w:p w:rsidR="000B04A5" w:rsidRDefault="000B04A5" w:rsidP="00C5718F">
      <w:pPr>
        <w:tabs>
          <w:tab w:val="left" w:pos="7513"/>
          <w:tab w:val="right" w:pos="9072"/>
        </w:tabs>
        <w:spacing w:after="48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Veselības ministre</w:t>
      </w:r>
      <w:r w:rsidRPr="00935F3B">
        <w:rPr>
          <w:rFonts w:ascii="Times New Roman" w:hAnsi="Times New Roman"/>
          <w:noProof/>
          <w:sz w:val="28"/>
          <w:szCs w:val="28"/>
          <w:lang w:val="lv-LV" w:eastAsia="lv-LV"/>
        </w:rPr>
        <w:tab/>
        <w:t>Anda Čakša</w:t>
      </w:r>
    </w:p>
    <w:p w:rsidR="00292EF0" w:rsidRPr="00935F3B" w:rsidRDefault="00292EF0" w:rsidP="000B04A5">
      <w:pPr>
        <w:tabs>
          <w:tab w:val="right" w:pos="9072"/>
        </w:tabs>
        <w:spacing w:after="480" w:line="240" w:lineRule="auto"/>
        <w:ind w:right="-765"/>
        <w:contextualSpacing/>
        <w:rPr>
          <w:rFonts w:ascii="Times New Roman" w:hAnsi="Times New Roman"/>
          <w:noProof/>
          <w:sz w:val="28"/>
          <w:szCs w:val="28"/>
          <w:lang w:val="lv-LV" w:eastAsia="lv-LV"/>
        </w:rPr>
      </w:pPr>
    </w:p>
    <w:p w:rsidR="000B04A5" w:rsidRPr="00935F3B" w:rsidRDefault="000B04A5" w:rsidP="000B04A5">
      <w:pPr>
        <w:tabs>
          <w:tab w:val="right" w:pos="9072"/>
        </w:tabs>
        <w:spacing w:after="480" w:line="240" w:lineRule="auto"/>
        <w:ind w:right="-765"/>
        <w:contextualSpacing/>
        <w:rPr>
          <w:rFonts w:ascii="Times New Roman" w:hAnsi="Times New Roman"/>
          <w:noProof/>
          <w:sz w:val="28"/>
          <w:szCs w:val="28"/>
          <w:lang w:val="lv-LV" w:eastAsia="lv-LV"/>
        </w:rPr>
      </w:pPr>
    </w:p>
    <w:p w:rsidR="00810D5B" w:rsidRPr="00810D5B" w:rsidRDefault="000B04A5" w:rsidP="00810D5B">
      <w:pPr>
        <w:tabs>
          <w:tab w:val="right" w:pos="9072"/>
        </w:tabs>
        <w:spacing w:after="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Vīza:</w:t>
      </w:r>
      <w:r w:rsidR="00810D5B">
        <w:rPr>
          <w:rFonts w:ascii="Times New Roman" w:hAnsi="Times New Roman"/>
          <w:noProof/>
          <w:sz w:val="28"/>
          <w:szCs w:val="28"/>
          <w:lang w:val="lv-LV" w:eastAsia="lv-LV"/>
        </w:rPr>
        <w:t xml:space="preserve"> Valsts sekretārs</w:t>
      </w:r>
      <w:r w:rsidR="00810D5B">
        <w:rPr>
          <w:rFonts w:ascii="Times New Roman" w:hAnsi="Times New Roman"/>
          <w:noProof/>
          <w:sz w:val="28"/>
          <w:szCs w:val="28"/>
          <w:lang w:val="lv-LV" w:eastAsia="lv-LV"/>
        </w:rPr>
        <w:tab/>
        <w:t>Kārlis Ketners</w:t>
      </w:r>
    </w:p>
    <w:p w:rsidR="00810D5B" w:rsidRDefault="00810D5B" w:rsidP="002143EB">
      <w:pPr>
        <w:suppressAutoHyphens/>
        <w:spacing w:after="0" w:line="240" w:lineRule="auto"/>
        <w:rPr>
          <w:rFonts w:ascii="Times New Roman" w:hAnsi="Times New Roman"/>
          <w:noProof/>
          <w:sz w:val="20"/>
          <w:szCs w:val="20"/>
          <w:lang w:val="lv-LV"/>
        </w:rPr>
      </w:pPr>
    </w:p>
    <w:p w:rsidR="00292EF0" w:rsidRDefault="00292EF0" w:rsidP="002143EB">
      <w:pPr>
        <w:suppressAutoHyphens/>
        <w:spacing w:after="0" w:line="240" w:lineRule="auto"/>
        <w:rPr>
          <w:rFonts w:ascii="Times New Roman" w:hAnsi="Times New Roman"/>
          <w:noProof/>
          <w:sz w:val="24"/>
          <w:szCs w:val="24"/>
          <w:lang w:val="lv-LV"/>
        </w:rPr>
      </w:pPr>
    </w:p>
    <w:p w:rsidR="009D3A92" w:rsidRPr="00C53D1A" w:rsidRDefault="003F000D" w:rsidP="002143EB">
      <w:pPr>
        <w:suppressAutoHyphens/>
        <w:spacing w:after="0" w:line="240" w:lineRule="auto"/>
        <w:rPr>
          <w:rFonts w:ascii="Times New Roman" w:hAnsi="Times New Roman"/>
          <w:noProof/>
          <w:sz w:val="24"/>
          <w:szCs w:val="24"/>
          <w:lang w:val="lv-LV"/>
        </w:rPr>
      </w:pPr>
      <w:r w:rsidRPr="00C53D1A">
        <w:rPr>
          <w:rFonts w:ascii="Times New Roman" w:hAnsi="Times New Roman"/>
          <w:noProof/>
          <w:sz w:val="24"/>
          <w:szCs w:val="24"/>
          <w:lang w:val="lv-LV"/>
        </w:rPr>
        <w:t>L.</w:t>
      </w:r>
      <w:r w:rsidR="005D6217" w:rsidRPr="00C53D1A">
        <w:rPr>
          <w:rFonts w:ascii="Times New Roman" w:hAnsi="Times New Roman"/>
          <w:noProof/>
          <w:sz w:val="24"/>
          <w:szCs w:val="24"/>
          <w:lang w:val="lv-LV"/>
        </w:rPr>
        <w:t>Zandberga</w:t>
      </w:r>
      <w:r w:rsidR="009D3A92" w:rsidRPr="00C53D1A">
        <w:rPr>
          <w:rFonts w:ascii="Times New Roman" w:hAnsi="Times New Roman"/>
          <w:noProof/>
          <w:sz w:val="24"/>
          <w:szCs w:val="24"/>
          <w:lang w:val="lv-LV"/>
        </w:rPr>
        <w:t xml:space="preserve"> </w:t>
      </w:r>
      <w:r w:rsidR="00AB47A0" w:rsidRPr="00C53D1A">
        <w:rPr>
          <w:rFonts w:ascii="Times New Roman" w:hAnsi="Times New Roman"/>
          <w:noProof/>
          <w:sz w:val="24"/>
          <w:szCs w:val="24"/>
          <w:lang w:val="lv-LV"/>
        </w:rPr>
        <w:t>67876041</w:t>
      </w:r>
    </w:p>
    <w:p w:rsidR="00AB47A0" w:rsidRPr="00C53D1A" w:rsidRDefault="004B415E" w:rsidP="00286C30">
      <w:pPr>
        <w:suppressAutoHyphens/>
        <w:spacing w:after="120" w:line="240" w:lineRule="auto"/>
        <w:rPr>
          <w:rFonts w:ascii="Times New Roman" w:hAnsi="Times New Roman"/>
          <w:noProof/>
          <w:sz w:val="24"/>
          <w:szCs w:val="24"/>
          <w:lang w:val="lv-LV"/>
        </w:rPr>
      </w:pPr>
      <w:hyperlink r:id="rId8" w:history="1">
        <w:r w:rsidR="0054795F" w:rsidRPr="00C53D1A">
          <w:rPr>
            <w:rStyle w:val="Hyperlink"/>
            <w:rFonts w:ascii="Times New Roman" w:hAnsi="Times New Roman"/>
            <w:noProof/>
            <w:color w:val="auto"/>
            <w:sz w:val="24"/>
            <w:szCs w:val="24"/>
            <w:u w:val="none"/>
            <w:lang w:val="lv-LV"/>
          </w:rPr>
          <w:t>Lasma.Zandberga@vm.gov.lv</w:t>
        </w:r>
      </w:hyperlink>
    </w:p>
    <w:p w:rsidR="00464E11" w:rsidRPr="00C53D1A" w:rsidRDefault="003F000D" w:rsidP="002143EB">
      <w:pPr>
        <w:suppressAutoHyphens/>
        <w:spacing w:after="0" w:line="240" w:lineRule="auto"/>
        <w:rPr>
          <w:rFonts w:ascii="Times New Roman" w:hAnsi="Times New Roman"/>
          <w:noProof/>
          <w:sz w:val="24"/>
          <w:szCs w:val="24"/>
          <w:lang w:val="lv-LV"/>
        </w:rPr>
      </w:pPr>
      <w:r w:rsidRPr="00C53D1A">
        <w:rPr>
          <w:rFonts w:ascii="Times New Roman" w:hAnsi="Times New Roman"/>
          <w:noProof/>
          <w:sz w:val="24"/>
          <w:szCs w:val="24"/>
          <w:lang w:val="lv-LV"/>
        </w:rPr>
        <w:t>I.</w:t>
      </w:r>
      <w:r w:rsidR="00464E11" w:rsidRPr="00C53D1A">
        <w:rPr>
          <w:rFonts w:ascii="Times New Roman" w:hAnsi="Times New Roman"/>
          <w:noProof/>
          <w:sz w:val="24"/>
          <w:szCs w:val="24"/>
          <w:lang w:val="lv-LV"/>
        </w:rPr>
        <w:t>Brūvere 67876061</w:t>
      </w:r>
    </w:p>
    <w:p w:rsidR="00464E11" w:rsidRPr="00C53D1A" w:rsidRDefault="00464E11" w:rsidP="002143EB">
      <w:pPr>
        <w:suppressAutoHyphens/>
        <w:spacing w:after="0" w:line="240" w:lineRule="auto"/>
        <w:rPr>
          <w:rFonts w:ascii="Times New Roman" w:hAnsi="Times New Roman"/>
          <w:noProof/>
          <w:sz w:val="24"/>
          <w:szCs w:val="24"/>
          <w:lang w:val="lv-LV"/>
        </w:rPr>
      </w:pPr>
      <w:r w:rsidRPr="00C53D1A">
        <w:rPr>
          <w:rFonts w:ascii="Times New Roman" w:hAnsi="Times New Roman"/>
          <w:noProof/>
          <w:sz w:val="24"/>
          <w:szCs w:val="24"/>
          <w:lang w:val="lv-LV"/>
        </w:rPr>
        <w:t>Ieva.</w:t>
      </w:r>
      <w:hyperlink r:id="rId9" w:history="1">
        <w:r w:rsidRPr="00C53D1A">
          <w:rPr>
            <w:rStyle w:val="Hyperlink"/>
            <w:rFonts w:ascii="Times New Roman" w:hAnsi="Times New Roman"/>
            <w:noProof/>
            <w:color w:val="auto"/>
            <w:sz w:val="24"/>
            <w:szCs w:val="24"/>
            <w:u w:val="none"/>
            <w:lang w:val="lv-LV"/>
          </w:rPr>
          <w:t>Bruvere@vm.gov.lv</w:t>
        </w:r>
      </w:hyperlink>
    </w:p>
    <w:sectPr w:rsidR="00464E11" w:rsidRPr="00C53D1A" w:rsidSect="00286C30">
      <w:headerReference w:type="default" r:id="rId10"/>
      <w:footerReference w:type="default" r:id="rId11"/>
      <w:footerReference w:type="first" r:id="rId12"/>
      <w:pgSz w:w="12240" w:h="15840"/>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11" w:rsidRDefault="00464E11" w:rsidP="00D176BF">
      <w:pPr>
        <w:spacing w:after="0" w:line="240" w:lineRule="auto"/>
      </w:pPr>
      <w:r>
        <w:separator/>
      </w:r>
    </w:p>
  </w:endnote>
  <w:endnote w:type="continuationSeparator" w:id="0">
    <w:p w:rsidR="00464E11" w:rsidRDefault="00464E11" w:rsidP="00D1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11" w:rsidRPr="0094265B" w:rsidRDefault="00027E07" w:rsidP="0014731E">
    <w:pPr>
      <w:jc w:val="both"/>
      <w:rPr>
        <w:rFonts w:ascii="Times New Roman" w:hAnsi="Times New Roman"/>
        <w:sz w:val="20"/>
        <w:szCs w:val="20"/>
        <w:lang w:val="lv-LV"/>
      </w:rPr>
    </w:pPr>
    <w:r>
      <w:rPr>
        <w:rFonts w:ascii="Times New Roman" w:hAnsi="Times New Roman"/>
        <w:sz w:val="20"/>
        <w:szCs w:val="20"/>
        <w:lang w:val="lv-LV"/>
      </w:rPr>
      <w:t>VManot_</w:t>
    </w:r>
    <w:r w:rsidR="004B415E">
      <w:rPr>
        <w:rFonts w:ascii="Times New Roman" w:hAnsi="Times New Roman"/>
        <w:sz w:val="20"/>
        <w:szCs w:val="20"/>
        <w:lang w:val="lv-LV"/>
      </w:rPr>
      <w:t>31</w:t>
    </w:r>
    <w:r w:rsidR="00EF36A2">
      <w:rPr>
        <w:rFonts w:ascii="Times New Roman" w:hAnsi="Times New Roman"/>
        <w:sz w:val="20"/>
        <w:szCs w:val="20"/>
        <w:lang w:val="lv-LV"/>
      </w:rPr>
      <w:t>0117</w:t>
    </w:r>
    <w:r w:rsidR="00464E11" w:rsidRPr="0094265B">
      <w:rPr>
        <w:rFonts w:ascii="Times New Roman" w:hAnsi="Times New Roman"/>
        <w:sz w:val="20"/>
        <w:szCs w:val="20"/>
        <w:lang w:val="lv-LV"/>
      </w:rPr>
      <w:t>_muzejs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11" w:rsidRPr="0094265B" w:rsidRDefault="00464E11" w:rsidP="00517A3F">
    <w:pPr>
      <w:jc w:val="both"/>
      <w:rPr>
        <w:rFonts w:ascii="Times New Roman" w:hAnsi="Times New Roman"/>
        <w:sz w:val="20"/>
        <w:szCs w:val="20"/>
        <w:lang w:val="lv-LV"/>
      </w:rPr>
    </w:pPr>
    <w:r w:rsidRPr="0094265B">
      <w:rPr>
        <w:rFonts w:ascii="Times New Roman" w:hAnsi="Times New Roman"/>
        <w:sz w:val="20"/>
        <w:szCs w:val="20"/>
        <w:lang w:val="lv-LV"/>
      </w:rPr>
      <w:t>VManot_</w:t>
    </w:r>
    <w:r w:rsidR="004B415E">
      <w:rPr>
        <w:rFonts w:ascii="Times New Roman" w:hAnsi="Times New Roman"/>
        <w:sz w:val="20"/>
        <w:szCs w:val="20"/>
        <w:lang w:val="lv-LV"/>
      </w:rPr>
      <w:t>31</w:t>
    </w:r>
    <w:r w:rsidR="00EF36A2">
      <w:rPr>
        <w:rFonts w:ascii="Times New Roman" w:hAnsi="Times New Roman"/>
        <w:sz w:val="20"/>
        <w:szCs w:val="20"/>
        <w:lang w:val="lv-LV"/>
      </w:rPr>
      <w:t>0117</w:t>
    </w:r>
    <w:r w:rsidRPr="0094265B">
      <w:rPr>
        <w:rFonts w:ascii="Times New Roman" w:hAnsi="Times New Roman"/>
        <w:sz w:val="20"/>
        <w:szCs w:val="20"/>
        <w:lang w:val="lv-LV"/>
      </w:rPr>
      <w:t>_muzejs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11" w:rsidRDefault="00464E11" w:rsidP="00D176BF">
      <w:pPr>
        <w:spacing w:after="0" w:line="240" w:lineRule="auto"/>
      </w:pPr>
      <w:r>
        <w:separator/>
      </w:r>
    </w:p>
  </w:footnote>
  <w:footnote w:type="continuationSeparator" w:id="0">
    <w:p w:rsidR="00464E11" w:rsidRDefault="00464E11" w:rsidP="00D1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11" w:rsidRPr="00292EF0" w:rsidRDefault="00045A4A">
    <w:pPr>
      <w:pStyle w:val="Header"/>
      <w:jc w:val="center"/>
      <w:rPr>
        <w:sz w:val="24"/>
        <w:szCs w:val="24"/>
      </w:rPr>
    </w:pPr>
    <w:r w:rsidRPr="00292EF0">
      <w:rPr>
        <w:rFonts w:ascii="Times New Roman" w:hAnsi="Times New Roman"/>
        <w:sz w:val="24"/>
        <w:szCs w:val="24"/>
      </w:rPr>
      <w:fldChar w:fldCharType="begin"/>
    </w:r>
    <w:r w:rsidR="00464E11" w:rsidRPr="00292EF0">
      <w:rPr>
        <w:rFonts w:ascii="Times New Roman" w:hAnsi="Times New Roman"/>
        <w:sz w:val="24"/>
        <w:szCs w:val="24"/>
      </w:rPr>
      <w:instrText xml:space="preserve"> PAGE   \* MERGEFORMAT </w:instrText>
    </w:r>
    <w:r w:rsidRPr="00292EF0">
      <w:rPr>
        <w:rFonts w:ascii="Times New Roman" w:hAnsi="Times New Roman"/>
        <w:sz w:val="24"/>
        <w:szCs w:val="24"/>
      </w:rPr>
      <w:fldChar w:fldCharType="separate"/>
    </w:r>
    <w:r w:rsidR="004B415E">
      <w:rPr>
        <w:rFonts w:ascii="Times New Roman" w:hAnsi="Times New Roman"/>
        <w:noProof/>
        <w:sz w:val="24"/>
        <w:szCs w:val="24"/>
      </w:rPr>
      <w:t>2</w:t>
    </w:r>
    <w:r w:rsidRPr="00292EF0">
      <w:rPr>
        <w:rFonts w:ascii="Times New Roman" w:hAnsi="Times New Roman"/>
        <w:sz w:val="24"/>
        <w:szCs w:val="24"/>
      </w:rPr>
      <w:fldChar w:fldCharType="end"/>
    </w:r>
  </w:p>
  <w:p w:rsidR="00464E11" w:rsidRDefault="0046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15:restartNumberingAfterBreak="0">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BF2636"/>
    <w:multiLevelType w:val="hybridMultilevel"/>
    <w:tmpl w:val="4086E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8" w15:restartNumberingAfterBreak="0">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1"/>
  </w:num>
  <w:num w:numId="5">
    <w:abstractNumId w:val="16"/>
  </w:num>
  <w:num w:numId="6">
    <w:abstractNumId w:val="18"/>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7"/>
  </w:num>
  <w:num w:numId="17">
    <w:abstractNumId w:val="15"/>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176BF"/>
    <w:rsid w:val="00000362"/>
    <w:rsid w:val="0000785A"/>
    <w:rsid w:val="00011728"/>
    <w:rsid w:val="000178DB"/>
    <w:rsid w:val="000203A7"/>
    <w:rsid w:val="00020B09"/>
    <w:rsid w:val="00020C0C"/>
    <w:rsid w:val="00025013"/>
    <w:rsid w:val="000253A5"/>
    <w:rsid w:val="00027D07"/>
    <w:rsid w:val="00027E07"/>
    <w:rsid w:val="0003406F"/>
    <w:rsid w:val="00040EB8"/>
    <w:rsid w:val="0004227B"/>
    <w:rsid w:val="00043229"/>
    <w:rsid w:val="00045A4A"/>
    <w:rsid w:val="00047080"/>
    <w:rsid w:val="00052149"/>
    <w:rsid w:val="00053897"/>
    <w:rsid w:val="00060E6A"/>
    <w:rsid w:val="00063230"/>
    <w:rsid w:val="00067F88"/>
    <w:rsid w:val="000752B8"/>
    <w:rsid w:val="0007588F"/>
    <w:rsid w:val="00076727"/>
    <w:rsid w:val="00076978"/>
    <w:rsid w:val="00077070"/>
    <w:rsid w:val="000833C5"/>
    <w:rsid w:val="000834BE"/>
    <w:rsid w:val="0008651B"/>
    <w:rsid w:val="00090C8C"/>
    <w:rsid w:val="000914ED"/>
    <w:rsid w:val="00093CD1"/>
    <w:rsid w:val="0009665A"/>
    <w:rsid w:val="0009784C"/>
    <w:rsid w:val="000A0751"/>
    <w:rsid w:val="000A4149"/>
    <w:rsid w:val="000B04A5"/>
    <w:rsid w:val="000C5F3C"/>
    <w:rsid w:val="000C77C4"/>
    <w:rsid w:val="000D313A"/>
    <w:rsid w:val="000D469D"/>
    <w:rsid w:val="000E03FB"/>
    <w:rsid w:val="000E2755"/>
    <w:rsid w:val="000F0009"/>
    <w:rsid w:val="000F08D1"/>
    <w:rsid w:val="000F12B2"/>
    <w:rsid w:val="000F1F9A"/>
    <w:rsid w:val="000F23BE"/>
    <w:rsid w:val="000F53A1"/>
    <w:rsid w:val="000F6551"/>
    <w:rsid w:val="00101CAA"/>
    <w:rsid w:val="001028CB"/>
    <w:rsid w:val="00104C96"/>
    <w:rsid w:val="00106BE9"/>
    <w:rsid w:val="0011335C"/>
    <w:rsid w:val="0011591E"/>
    <w:rsid w:val="00116200"/>
    <w:rsid w:val="00125C05"/>
    <w:rsid w:val="00130A35"/>
    <w:rsid w:val="0013330A"/>
    <w:rsid w:val="00135079"/>
    <w:rsid w:val="00141BE3"/>
    <w:rsid w:val="00142244"/>
    <w:rsid w:val="00145DE6"/>
    <w:rsid w:val="00145EC5"/>
    <w:rsid w:val="0014731E"/>
    <w:rsid w:val="0014762F"/>
    <w:rsid w:val="00150589"/>
    <w:rsid w:val="001536C0"/>
    <w:rsid w:val="00154FFB"/>
    <w:rsid w:val="00164099"/>
    <w:rsid w:val="001648FF"/>
    <w:rsid w:val="00171B5A"/>
    <w:rsid w:val="0017506D"/>
    <w:rsid w:val="00176877"/>
    <w:rsid w:val="00176CD4"/>
    <w:rsid w:val="00180D7E"/>
    <w:rsid w:val="00181209"/>
    <w:rsid w:val="00186B4D"/>
    <w:rsid w:val="00191346"/>
    <w:rsid w:val="001941BF"/>
    <w:rsid w:val="001A0BBA"/>
    <w:rsid w:val="001A261B"/>
    <w:rsid w:val="001B05B2"/>
    <w:rsid w:val="001B141F"/>
    <w:rsid w:val="001B4C40"/>
    <w:rsid w:val="001B51C8"/>
    <w:rsid w:val="001C0BF7"/>
    <w:rsid w:val="001C7C5C"/>
    <w:rsid w:val="001D5605"/>
    <w:rsid w:val="001D59DA"/>
    <w:rsid w:val="001D732D"/>
    <w:rsid w:val="001E2A11"/>
    <w:rsid w:val="001F33B8"/>
    <w:rsid w:val="001F607C"/>
    <w:rsid w:val="002001A5"/>
    <w:rsid w:val="00203E2B"/>
    <w:rsid w:val="0021084F"/>
    <w:rsid w:val="00211D92"/>
    <w:rsid w:val="002143EB"/>
    <w:rsid w:val="00220C11"/>
    <w:rsid w:val="00222B6F"/>
    <w:rsid w:val="00227725"/>
    <w:rsid w:val="00235649"/>
    <w:rsid w:val="00235FE6"/>
    <w:rsid w:val="00236343"/>
    <w:rsid w:val="002419A9"/>
    <w:rsid w:val="00241C16"/>
    <w:rsid w:val="00245710"/>
    <w:rsid w:val="0025078C"/>
    <w:rsid w:val="00251BDC"/>
    <w:rsid w:val="0025543A"/>
    <w:rsid w:val="002606C4"/>
    <w:rsid w:val="00262838"/>
    <w:rsid w:val="002637E7"/>
    <w:rsid w:val="002639BD"/>
    <w:rsid w:val="00267173"/>
    <w:rsid w:val="00267BEC"/>
    <w:rsid w:val="00270573"/>
    <w:rsid w:val="0027286E"/>
    <w:rsid w:val="0027622F"/>
    <w:rsid w:val="002825B3"/>
    <w:rsid w:val="002864A5"/>
    <w:rsid w:val="00286C30"/>
    <w:rsid w:val="0029050E"/>
    <w:rsid w:val="00291782"/>
    <w:rsid w:val="00292EF0"/>
    <w:rsid w:val="00292F2A"/>
    <w:rsid w:val="002A40C1"/>
    <w:rsid w:val="002A4162"/>
    <w:rsid w:val="002A4881"/>
    <w:rsid w:val="002A51C6"/>
    <w:rsid w:val="002C6D2F"/>
    <w:rsid w:val="002C76B7"/>
    <w:rsid w:val="002D1522"/>
    <w:rsid w:val="002E50CE"/>
    <w:rsid w:val="002F696C"/>
    <w:rsid w:val="00306641"/>
    <w:rsid w:val="00311A04"/>
    <w:rsid w:val="00312F06"/>
    <w:rsid w:val="0031547E"/>
    <w:rsid w:val="003203BC"/>
    <w:rsid w:val="003229B1"/>
    <w:rsid w:val="00324283"/>
    <w:rsid w:val="00325BB3"/>
    <w:rsid w:val="00335F3F"/>
    <w:rsid w:val="00341F31"/>
    <w:rsid w:val="00341FB8"/>
    <w:rsid w:val="0034358A"/>
    <w:rsid w:val="00345CFC"/>
    <w:rsid w:val="00365E8B"/>
    <w:rsid w:val="00366564"/>
    <w:rsid w:val="0037236D"/>
    <w:rsid w:val="003735BD"/>
    <w:rsid w:val="0037510C"/>
    <w:rsid w:val="003775C6"/>
    <w:rsid w:val="0038278E"/>
    <w:rsid w:val="003838C5"/>
    <w:rsid w:val="00387B92"/>
    <w:rsid w:val="00391439"/>
    <w:rsid w:val="00392160"/>
    <w:rsid w:val="00395EA2"/>
    <w:rsid w:val="00396195"/>
    <w:rsid w:val="0039749C"/>
    <w:rsid w:val="003A23F1"/>
    <w:rsid w:val="003A4781"/>
    <w:rsid w:val="003A50A7"/>
    <w:rsid w:val="003A5F34"/>
    <w:rsid w:val="003A6A1A"/>
    <w:rsid w:val="003B0443"/>
    <w:rsid w:val="003B33B2"/>
    <w:rsid w:val="003B73DC"/>
    <w:rsid w:val="003C50C6"/>
    <w:rsid w:val="003C5F08"/>
    <w:rsid w:val="003C6F78"/>
    <w:rsid w:val="003D1D07"/>
    <w:rsid w:val="003E230A"/>
    <w:rsid w:val="003E306E"/>
    <w:rsid w:val="003E4C4A"/>
    <w:rsid w:val="003E4ED8"/>
    <w:rsid w:val="003E7EFC"/>
    <w:rsid w:val="003F0001"/>
    <w:rsid w:val="003F000D"/>
    <w:rsid w:val="003F0CA5"/>
    <w:rsid w:val="003F412B"/>
    <w:rsid w:val="003F4512"/>
    <w:rsid w:val="003F4FD3"/>
    <w:rsid w:val="003F6650"/>
    <w:rsid w:val="003F6FDC"/>
    <w:rsid w:val="004013E2"/>
    <w:rsid w:val="00406D82"/>
    <w:rsid w:val="00407C8E"/>
    <w:rsid w:val="00411537"/>
    <w:rsid w:val="004117DC"/>
    <w:rsid w:val="004144CF"/>
    <w:rsid w:val="00417D35"/>
    <w:rsid w:val="00420498"/>
    <w:rsid w:val="004234B0"/>
    <w:rsid w:val="00425645"/>
    <w:rsid w:val="0042610B"/>
    <w:rsid w:val="00431D99"/>
    <w:rsid w:val="00435D7F"/>
    <w:rsid w:val="00453C6A"/>
    <w:rsid w:val="00455411"/>
    <w:rsid w:val="0046030E"/>
    <w:rsid w:val="00460C11"/>
    <w:rsid w:val="004631F4"/>
    <w:rsid w:val="0046466C"/>
    <w:rsid w:val="00464BB3"/>
    <w:rsid w:val="00464E11"/>
    <w:rsid w:val="00470D8D"/>
    <w:rsid w:val="00474923"/>
    <w:rsid w:val="00476CBE"/>
    <w:rsid w:val="0047706A"/>
    <w:rsid w:val="00484E0A"/>
    <w:rsid w:val="00492D51"/>
    <w:rsid w:val="00493400"/>
    <w:rsid w:val="004A1BC5"/>
    <w:rsid w:val="004A4E32"/>
    <w:rsid w:val="004B405B"/>
    <w:rsid w:val="004B415E"/>
    <w:rsid w:val="004B68DA"/>
    <w:rsid w:val="004C1465"/>
    <w:rsid w:val="004C3A89"/>
    <w:rsid w:val="004E00D0"/>
    <w:rsid w:val="004E2787"/>
    <w:rsid w:val="004E32E7"/>
    <w:rsid w:val="004F03D6"/>
    <w:rsid w:val="005054CC"/>
    <w:rsid w:val="00517A3F"/>
    <w:rsid w:val="00525B42"/>
    <w:rsid w:val="005265C4"/>
    <w:rsid w:val="005335D9"/>
    <w:rsid w:val="00534048"/>
    <w:rsid w:val="005348F8"/>
    <w:rsid w:val="00540818"/>
    <w:rsid w:val="005411E1"/>
    <w:rsid w:val="0054795F"/>
    <w:rsid w:val="005506A0"/>
    <w:rsid w:val="005534FE"/>
    <w:rsid w:val="005557D8"/>
    <w:rsid w:val="005602A4"/>
    <w:rsid w:val="00561DD1"/>
    <w:rsid w:val="005651E9"/>
    <w:rsid w:val="00566D78"/>
    <w:rsid w:val="005677C2"/>
    <w:rsid w:val="0057017B"/>
    <w:rsid w:val="00571B41"/>
    <w:rsid w:val="005866EF"/>
    <w:rsid w:val="005938DC"/>
    <w:rsid w:val="0059461C"/>
    <w:rsid w:val="005A7549"/>
    <w:rsid w:val="005B26A1"/>
    <w:rsid w:val="005B4E61"/>
    <w:rsid w:val="005D15E8"/>
    <w:rsid w:val="005D4AE6"/>
    <w:rsid w:val="005D6217"/>
    <w:rsid w:val="005D77CC"/>
    <w:rsid w:val="005E0545"/>
    <w:rsid w:val="005E31B4"/>
    <w:rsid w:val="005E4C76"/>
    <w:rsid w:val="005F2C40"/>
    <w:rsid w:val="005F5533"/>
    <w:rsid w:val="005F7640"/>
    <w:rsid w:val="005F76A5"/>
    <w:rsid w:val="0060182A"/>
    <w:rsid w:val="006055D9"/>
    <w:rsid w:val="006232D8"/>
    <w:rsid w:val="00630BAA"/>
    <w:rsid w:val="00646059"/>
    <w:rsid w:val="006514B3"/>
    <w:rsid w:val="00651E70"/>
    <w:rsid w:val="006528C4"/>
    <w:rsid w:val="006614D3"/>
    <w:rsid w:val="00663130"/>
    <w:rsid w:val="00663B03"/>
    <w:rsid w:val="0066508E"/>
    <w:rsid w:val="006659A3"/>
    <w:rsid w:val="00665CD6"/>
    <w:rsid w:val="00666600"/>
    <w:rsid w:val="0067061D"/>
    <w:rsid w:val="00673C06"/>
    <w:rsid w:val="006757E3"/>
    <w:rsid w:val="00675CEE"/>
    <w:rsid w:val="00675D97"/>
    <w:rsid w:val="00677602"/>
    <w:rsid w:val="00691583"/>
    <w:rsid w:val="0069244E"/>
    <w:rsid w:val="006934B4"/>
    <w:rsid w:val="00693C00"/>
    <w:rsid w:val="00694649"/>
    <w:rsid w:val="006A44C4"/>
    <w:rsid w:val="006A5353"/>
    <w:rsid w:val="006A7D54"/>
    <w:rsid w:val="006B1A03"/>
    <w:rsid w:val="006B2600"/>
    <w:rsid w:val="006B35FF"/>
    <w:rsid w:val="006B49A6"/>
    <w:rsid w:val="006C126F"/>
    <w:rsid w:val="006C359A"/>
    <w:rsid w:val="006C52A1"/>
    <w:rsid w:val="006C63FD"/>
    <w:rsid w:val="006C64C5"/>
    <w:rsid w:val="006C71B1"/>
    <w:rsid w:val="006E0ADB"/>
    <w:rsid w:val="006E1B1F"/>
    <w:rsid w:val="006E3C6F"/>
    <w:rsid w:val="006E442F"/>
    <w:rsid w:val="006E49B0"/>
    <w:rsid w:val="006E5FD1"/>
    <w:rsid w:val="006E619B"/>
    <w:rsid w:val="006E7258"/>
    <w:rsid w:val="007014D9"/>
    <w:rsid w:val="0070292C"/>
    <w:rsid w:val="00706376"/>
    <w:rsid w:val="00710A6E"/>
    <w:rsid w:val="00711B2F"/>
    <w:rsid w:val="00716274"/>
    <w:rsid w:val="007205B7"/>
    <w:rsid w:val="00724701"/>
    <w:rsid w:val="0072494F"/>
    <w:rsid w:val="00726E72"/>
    <w:rsid w:val="007270D6"/>
    <w:rsid w:val="00741751"/>
    <w:rsid w:val="007424AC"/>
    <w:rsid w:val="00746594"/>
    <w:rsid w:val="0075021F"/>
    <w:rsid w:val="0075091C"/>
    <w:rsid w:val="0075239E"/>
    <w:rsid w:val="00753290"/>
    <w:rsid w:val="007537F3"/>
    <w:rsid w:val="007549DC"/>
    <w:rsid w:val="00760809"/>
    <w:rsid w:val="0076323E"/>
    <w:rsid w:val="00766DC5"/>
    <w:rsid w:val="00772A6B"/>
    <w:rsid w:val="00772C22"/>
    <w:rsid w:val="00772FB3"/>
    <w:rsid w:val="00780206"/>
    <w:rsid w:val="0078736E"/>
    <w:rsid w:val="007A3C0A"/>
    <w:rsid w:val="007A7F2E"/>
    <w:rsid w:val="007B048D"/>
    <w:rsid w:val="007C0863"/>
    <w:rsid w:val="007C16A4"/>
    <w:rsid w:val="007C6FBA"/>
    <w:rsid w:val="007D1667"/>
    <w:rsid w:val="007D1F18"/>
    <w:rsid w:val="007D7058"/>
    <w:rsid w:val="007E037A"/>
    <w:rsid w:val="007E0C28"/>
    <w:rsid w:val="007E1010"/>
    <w:rsid w:val="007E24D9"/>
    <w:rsid w:val="007E3E6A"/>
    <w:rsid w:val="007F001A"/>
    <w:rsid w:val="007F0C61"/>
    <w:rsid w:val="00800B01"/>
    <w:rsid w:val="00801285"/>
    <w:rsid w:val="00810D5B"/>
    <w:rsid w:val="00811A3F"/>
    <w:rsid w:val="008139E2"/>
    <w:rsid w:val="008143D2"/>
    <w:rsid w:val="00821980"/>
    <w:rsid w:val="00822B8C"/>
    <w:rsid w:val="00825ECD"/>
    <w:rsid w:val="00830408"/>
    <w:rsid w:val="008535C3"/>
    <w:rsid w:val="008601B1"/>
    <w:rsid w:val="008671C0"/>
    <w:rsid w:val="0088018F"/>
    <w:rsid w:val="0088218F"/>
    <w:rsid w:val="00882CA8"/>
    <w:rsid w:val="0088408F"/>
    <w:rsid w:val="008946F9"/>
    <w:rsid w:val="00894733"/>
    <w:rsid w:val="008A27F1"/>
    <w:rsid w:val="008A3639"/>
    <w:rsid w:val="008B0C2D"/>
    <w:rsid w:val="008B12D5"/>
    <w:rsid w:val="008B224F"/>
    <w:rsid w:val="008B36C6"/>
    <w:rsid w:val="008C093F"/>
    <w:rsid w:val="008C0B8F"/>
    <w:rsid w:val="008C325D"/>
    <w:rsid w:val="008C42E0"/>
    <w:rsid w:val="008C4BCE"/>
    <w:rsid w:val="008C5AC5"/>
    <w:rsid w:val="008D65B7"/>
    <w:rsid w:val="008E3D1F"/>
    <w:rsid w:val="008E3E63"/>
    <w:rsid w:val="008E7072"/>
    <w:rsid w:val="008F0541"/>
    <w:rsid w:val="008F3227"/>
    <w:rsid w:val="008F3440"/>
    <w:rsid w:val="008F62BB"/>
    <w:rsid w:val="009008AC"/>
    <w:rsid w:val="00902CFA"/>
    <w:rsid w:val="00903B19"/>
    <w:rsid w:val="00904A3C"/>
    <w:rsid w:val="00904C68"/>
    <w:rsid w:val="00905970"/>
    <w:rsid w:val="00906C92"/>
    <w:rsid w:val="00915468"/>
    <w:rsid w:val="0092214C"/>
    <w:rsid w:val="009253D0"/>
    <w:rsid w:val="00925D5D"/>
    <w:rsid w:val="00935F3B"/>
    <w:rsid w:val="0093718E"/>
    <w:rsid w:val="0094265B"/>
    <w:rsid w:val="009501D0"/>
    <w:rsid w:val="00957ED6"/>
    <w:rsid w:val="0096232C"/>
    <w:rsid w:val="00963E03"/>
    <w:rsid w:val="00964BD3"/>
    <w:rsid w:val="0097354B"/>
    <w:rsid w:val="0097378B"/>
    <w:rsid w:val="00975A9D"/>
    <w:rsid w:val="0098193B"/>
    <w:rsid w:val="00992F12"/>
    <w:rsid w:val="00996A24"/>
    <w:rsid w:val="009A25F8"/>
    <w:rsid w:val="009A269C"/>
    <w:rsid w:val="009A2AE8"/>
    <w:rsid w:val="009A2ECD"/>
    <w:rsid w:val="009A2F72"/>
    <w:rsid w:val="009A4588"/>
    <w:rsid w:val="009A75CC"/>
    <w:rsid w:val="009B24FF"/>
    <w:rsid w:val="009B39A9"/>
    <w:rsid w:val="009B47FF"/>
    <w:rsid w:val="009B48E2"/>
    <w:rsid w:val="009B656C"/>
    <w:rsid w:val="009C299F"/>
    <w:rsid w:val="009C6E45"/>
    <w:rsid w:val="009D31CB"/>
    <w:rsid w:val="009D3A92"/>
    <w:rsid w:val="009D451B"/>
    <w:rsid w:val="009D561C"/>
    <w:rsid w:val="009E1CCA"/>
    <w:rsid w:val="009E1DC9"/>
    <w:rsid w:val="009E3562"/>
    <w:rsid w:val="009E6FBA"/>
    <w:rsid w:val="009F2963"/>
    <w:rsid w:val="009F2D54"/>
    <w:rsid w:val="00A01DA9"/>
    <w:rsid w:val="00A10D77"/>
    <w:rsid w:val="00A132AB"/>
    <w:rsid w:val="00A14F85"/>
    <w:rsid w:val="00A17681"/>
    <w:rsid w:val="00A226E5"/>
    <w:rsid w:val="00A22853"/>
    <w:rsid w:val="00A237D9"/>
    <w:rsid w:val="00A23913"/>
    <w:rsid w:val="00A26127"/>
    <w:rsid w:val="00A36BC2"/>
    <w:rsid w:val="00A42323"/>
    <w:rsid w:val="00A47AD0"/>
    <w:rsid w:val="00A50933"/>
    <w:rsid w:val="00A50CB9"/>
    <w:rsid w:val="00A57CED"/>
    <w:rsid w:val="00A619FC"/>
    <w:rsid w:val="00A62C32"/>
    <w:rsid w:val="00A708F3"/>
    <w:rsid w:val="00A76594"/>
    <w:rsid w:val="00A77B33"/>
    <w:rsid w:val="00A82F72"/>
    <w:rsid w:val="00A83D9E"/>
    <w:rsid w:val="00A858EB"/>
    <w:rsid w:val="00A87ACB"/>
    <w:rsid w:val="00A90041"/>
    <w:rsid w:val="00A9062C"/>
    <w:rsid w:val="00A90A37"/>
    <w:rsid w:val="00A90B79"/>
    <w:rsid w:val="00A917BE"/>
    <w:rsid w:val="00A97102"/>
    <w:rsid w:val="00AA285E"/>
    <w:rsid w:val="00AA536F"/>
    <w:rsid w:val="00AA7631"/>
    <w:rsid w:val="00AA7CA8"/>
    <w:rsid w:val="00AB1850"/>
    <w:rsid w:val="00AB47A0"/>
    <w:rsid w:val="00AB4ABF"/>
    <w:rsid w:val="00AC480A"/>
    <w:rsid w:val="00AD23CD"/>
    <w:rsid w:val="00AD6432"/>
    <w:rsid w:val="00AD6B1B"/>
    <w:rsid w:val="00AD72CE"/>
    <w:rsid w:val="00AE471D"/>
    <w:rsid w:val="00AE7309"/>
    <w:rsid w:val="00AF0A73"/>
    <w:rsid w:val="00AF1215"/>
    <w:rsid w:val="00AF1B69"/>
    <w:rsid w:val="00AF22E3"/>
    <w:rsid w:val="00AF25B0"/>
    <w:rsid w:val="00B01999"/>
    <w:rsid w:val="00B01DED"/>
    <w:rsid w:val="00B02314"/>
    <w:rsid w:val="00B03543"/>
    <w:rsid w:val="00B079C5"/>
    <w:rsid w:val="00B10414"/>
    <w:rsid w:val="00B107D0"/>
    <w:rsid w:val="00B20BC2"/>
    <w:rsid w:val="00B25A8C"/>
    <w:rsid w:val="00B35014"/>
    <w:rsid w:val="00B41505"/>
    <w:rsid w:val="00B45A16"/>
    <w:rsid w:val="00B46271"/>
    <w:rsid w:val="00B51920"/>
    <w:rsid w:val="00B555F1"/>
    <w:rsid w:val="00B57C43"/>
    <w:rsid w:val="00B621B6"/>
    <w:rsid w:val="00B62ED7"/>
    <w:rsid w:val="00B700D8"/>
    <w:rsid w:val="00B71C41"/>
    <w:rsid w:val="00B7502F"/>
    <w:rsid w:val="00B75BF7"/>
    <w:rsid w:val="00B77CD5"/>
    <w:rsid w:val="00B807E7"/>
    <w:rsid w:val="00B8155C"/>
    <w:rsid w:val="00B86D9A"/>
    <w:rsid w:val="00B9753B"/>
    <w:rsid w:val="00BA2565"/>
    <w:rsid w:val="00BA30E3"/>
    <w:rsid w:val="00BB1494"/>
    <w:rsid w:val="00BB4AF8"/>
    <w:rsid w:val="00BC0414"/>
    <w:rsid w:val="00BC6D08"/>
    <w:rsid w:val="00BE2810"/>
    <w:rsid w:val="00BF41DB"/>
    <w:rsid w:val="00C13395"/>
    <w:rsid w:val="00C135D0"/>
    <w:rsid w:val="00C27CC2"/>
    <w:rsid w:val="00C31717"/>
    <w:rsid w:val="00C41808"/>
    <w:rsid w:val="00C462B4"/>
    <w:rsid w:val="00C4647A"/>
    <w:rsid w:val="00C4720E"/>
    <w:rsid w:val="00C473DB"/>
    <w:rsid w:val="00C47E2D"/>
    <w:rsid w:val="00C50A62"/>
    <w:rsid w:val="00C519B9"/>
    <w:rsid w:val="00C53D1A"/>
    <w:rsid w:val="00C552F0"/>
    <w:rsid w:val="00C56CE1"/>
    <w:rsid w:val="00C56E67"/>
    <w:rsid w:val="00C5718F"/>
    <w:rsid w:val="00C624C4"/>
    <w:rsid w:val="00C63108"/>
    <w:rsid w:val="00C64D79"/>
    <w:rsid w:val="00C71D38"/>
    <w:rsid w:val="00C80A77"/>
    <w:rsid w:val="00C82C07"/>
    <w:rsid w:val="00C855DF"/>
    <w:rsid w:val="00C90053"/>
    <w:rsid w:val="00C924B3"/>
    <w:rsid w:val="00C94BA4"/>
    <w:rsid w:val="00C94FF8"/>
    <w:rsid w:val="00CA0A59"/>
    <w:rsid w:val="00CA368B"/>
    <w:rsid w:val="00CA3E1C"/>
    <w:rsid w:val="00CA444C"/>
    <w:rsid w:val="00CA6033"/>
    <w:rsid w:val="00CB168F"/>
    <w:rsid w:val="00CB207B"/>
    <w:rsid w:val="00CC7E91"/>
    <w:rsid w:val="00CD3F57"/>
    <w:rsid w:val="00CD5BDB"/>
    <w:rsid w:val="00CD64B7"/>
    <w:rsid w:val="00CE0648"/>
    <w:rsid w:val="00CE149F"/>
    <w:rsid w:val="00CE1814"/>
    <w:rsid w:val="00CE1F61"/>
    <w:rsid w:val="00CE2F9C"/>
    <w:rsid w:val="00CE37A3"/>
    <w:rsid w:val="00CE5A39"/>
    <w:rsid w:val="00CE69AA"/>
    <w:rsid w:val="00CF6FA9"/>
    <w:rsid w:val="00CF7CAA"/>
    <w:rsid w:val="00D02021"/>
    <w:rsid w:val="00D0490D"/>
    <w:rsid w:val="00D110E9"/>
    <w:rsid w:val="00D176BF"/>
    <w:rsid w:val="00D228A4"/>
    <w:rsid w:val="00D23050"/>
    <w:rsid w:val="00D301EC"/>
    <w:rsid w:val="00D34275"/>
    <w:rsid w:val="00D34FB1"/>
    <w:rsid w:val="00D35EC7"/>
    <w:rsid w:val="00D711CD"/>
    <w:rsid w:val="00D72EA4"/>
    <w:rsid w:val="00D7585B"/>
    <w:rsid w:val="00D75E7E"/>
    <w:rsid w:val="00D77185"/>
    <w:rsid w:val="00D77797"/>
    <w:rsid w:val="00D77995"/>
    <w:rsid w:val="00D82FD4"/>
    <w:rsid w:val="00D84757"/>
    <w:rsid w:val="00D84E87"/>
    <w:rsid w:val="00D87EC2"/>
    <w:rsid w:val="00D904EA"/>
    <w:rsid w:val="00D908F7"/>
    <w:rsid w:val="00D913E3"/>
    <w:rsid w:val="00D92465"/>
    <w:rsid w:val="00D94876"/>
    <w:rsid w:val="00D97DF6"/>
    <w:rsid w:val="00DA343B"/>
    <w:rsid w:val="00DA478D"/>
    <w:rsid w:val="00DA530D"/>
    <w:rsid w:val="00DA687D"/>
    <w:rsid w:val="00DB1C43"/>
    <w:rsid w:val="00DB4230"/>
    <w:rsid w:val="00DC0F2B"/>
    <w:rsid w:val="00DC3212"/>
    <w:rsid w:val="00DC5584"/>
    <w:rsid w:val="00DD50D2"/>
    <w:rsid w:val="00DD5244"/>
    <w:rsid w:val="00DE3ED1"/>
    <w:rsid w:val="00DE53CC"/>
    <w:rsid w:val="00DF6D63"/>
    <w:rsid w:val="00E00376"/>
    <w:rsid w:val="00E01C8A"/>
    <w:rsid w:val="00E03159"/>
    <w:rsid w:val="00E0611A"/>
    <w:rsid w:val="00E17D56"/>
    <w:rsid w:val="00E327B8"/>
    <w:rsid w:val="00E45D51"/>
    <w:rsid w:val="00E46C79"/>
    <w:rsid w:val="00E47831"/>
    <w:rsid w:val="00E51A5B"/>
    <w:rsid w:val="00E556DE"/>
    <w:rsid w:val="00E57163"/>
    <w:rsid w:val="00E60065"/>
    <w:rsid w:val="00E631DF"/>
    <w:rsid w:val="00E67E07"/>
    <w:rsid w:val="00E703B8"/>
    <w:rsid w:val="00E80D61"/>
    <w:rsid w:val="00E82789"/>
    <w:rsid w:val="00E83593"/>
    <w:rsid w:val="00E83FDC"/>
    <w:rsid w:val="00E8692C"/>
    <w:rsid w:val="00E8755F"/>
    <w:rsid w:val="00E930F3"/>
    <w:rsid w:val="00E94700"/>
    <w:rsid w:val="00E9665D"/>
    <w:rsid w:val="00EB27EB"/>
    <w:rsid w:val="00EB40E9"/>
    <w:rsid w:val="00EB4AD0"/>
    <w:rsid w:val="00EC07C2"/>
    <w:rsid w:val="00EC6576"/>
    <w:rsid w:val="00ED26BA"/>
    <w:rsid w:val="00ED2F20"/>
    <w:rsid w:val="00ED4729"/>
    <w:rsid w:val="00ED53DD"/>
    <w:rsid w:val="00EF36A2"/>
    <w:rsid w:val="00EF50BE"/>
    <w:rsid w:val="00F02423"/>
    <w:rsid w:val="00F04828"/>
    <w:rsid w:val="00F14405"/>
    <w:rsid w:val="00F2388F"/>
    <w:rsid w:val="00F2462A"/>
    <w:rsid w:val="00F319E8"/>
    <w:rsid w:val="00F359DF"/>
    <w:rsid w:val="00F408B2"/>
    <w:rsid w:val="00F44DBB"/>
    <w:rsid w:val="00F45657"/>
    <w:rsid w:val="00F50C7F"/>
    <w:rsid w:val="00F6163C"/>
    <w:rsid w:val="00F63AD2"/>
    <w:rsid w:val="00F70AF2"/>
    <w:rsid w:val="00F714F8"/>
    <w:rsid w:val="00F76510"/>
    <w:rsid w:val="00F81A95"/>
    <w:rsid w:val="00F81B85"/>
    <w:rsid w:val="00F85632"/>
    <w:rsid w:val="00F90BB0"/>
    <w:rsid w:val="00F94F58"/>
    <w:rsid w:val="00FA1542"/>
    <w:rsid w:val="00FA1F94"/>
    <w:rsid w:val="00FA7F3D"/>
    <w:rsid w:val="00FB11D6"/>
    <w:rsid w:val="00FB41CA"/>
    <w:rsid w:val="00FB5418"/>
    <w:rsid w:val="00FB5823"/>
    <w:rsid w:val="00FB5831"/>
    <w:rsid w:val="00FC0A93"/>
    <w:rsid w:val="00FD0CB2"/>
    <w:rsid w:val="00FD543A"/>
    <w:rsid w:val="00FD54E0"/>
    <w:rsid w:val="00FE58E6"/>
    <w:rsid w:val="00FE6329"/>
    <w:rsid w:val="00FE6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F8E7FB1"/>
  <w15:docId w15:val="{E99125A0-3184-4908-9D9E-2F88BA5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00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6BF"/>
    <w:rPr>
      <w:rFonts w:cs="Times New Roman"/>
      <w:color w:val="0000FF"/>
      <w:u w:val="single"/>
    </w:rPr>
  </w:style>
  <w:style w:type="character" w:styleId="FollowedHyperlink">
    <w:name w:val="FollowedHyperlink"/>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D176BF"/>
    <w:rPr>
      <w:rFonts w:cs="Times New Roman"/>
    </w:rPr>
  </w:style>
  <w:style w:type="paragraph" w:styleId="NoSpacing">
    <w:name w:val="No Spacing"/>
    <w:uiPriority w:val="99"/>
    <w:qFormat/>
    <w:rsid w:val="00FC0A93"/>
    <w:rPr>
      <w:sz w:val="22"/>
      <w:szCs w:val="22"/>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rPr>
  </w:style>
  <w:style w:type="character" w:customStyle="1" w:styleId="cipariChar">
    <w:name w:val="cipari Char"/>
    <w:link w:val="cipari"/>
    <w:uiPriority w:val="99"/>
    <w:locked/>
    <w:rsid w:val="00904C68"/>
    <w:rPr>
      <w:rFonts w:ascii="Times New Roman" w:hAnsi="Times New Roman"/>
      <w:sz w:val="20"/>
      <w:lang w:val="lv-LV"/>
    </w:rPr>
  </w:style>
  <w:style w:type="paragraph" w:customStyle="1" w:styleId="tv2132">
    <w:name w:val="tv2132"/>
    <w:basedOn w:val="Normal"/>
    <w:rsid w:val="001F607C"/>
    <w:pPr>
      <w:spacing w:after="0" w:line="360" w:lineRule="auto"/>
      <w:ind w:firstLine="300"/>
    </w:pPr>
    <w:rPr>
      <w:rFonts w:ascii="Times New Roman" w:eastAsia="Times New Roman" w:hAnsi="Times New Roman"/>
      <w:color w:val="414142"/>
      <w:sz w:val="20"/>
      <w:szCs w:val="20"/>
      <w:lang w:val="lv-LV" w:eastAsia="lv-LV"/>
    </w:rPr>
  </w:style>
  <w:style w:type="paragraph" w:styleId="CommentText">
    <w:name w:val="annotation text"/>
    <w:basedOn w:val="Normal"/>
    <w:link w:val="CommentTextChar"/>
    <w:uiPriority w:val="99"/>
    <w:semiHidden/>
    <w:unhideWhenUsed/>
    <w:rsid w:val="00D75E7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D75E7E"/>
    <w:rPr>
      <w:rFonts w:ascii="Times New Roman" w:eastAsia="Times New Roman" w:hAnsi="Times New Roman"/>
      <w:lang w:eastAsia="en-US"/>
    </w:rPr>
  </w:style>
  <w:style w:type="paragraph" w:styleId="Revision">
    <w:name w:val="Revision"/>
    <w:hidden/>
    <w:uiPriority w:val="99"/>
    <w:semiHidden/>
    <w:rsid w:val="00DC5584"/>
    <w:rPr>
      <w:sz w:val="22"/>
      <w:szCs w:val="22"/>
      <w:lang w:val="en-US" w:eastAsia="en-US"/>
    </w:rPr>
  </w:style>
  <w:style w:type="paragraph" w:customStyle="1" w:styleId="tvhtml">
    <w:name w:val="tv_html"/>
    <w:basedOn w:val="Normal"/>
    <w:rsid w:val="00C63108"/>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
    <w:name w:val="Body text_"/>
    <w:basedOn w:val="DefaultParagraphFont"/>
    <w:link w:val="BodyText1"/>
    <w:rsid w:val="002A40C1"/>
    <w:rPr>
      <w:rFonts w:ascii="Times New Roman" w:eastAsia="Times New Roman" w:hAnsi="Times New Roman"/>
      <w:sz w:val="21"/>
      <w:szCs w:val="21"/>
      <w:shd w:val="clear" w:color="auto" w:fill="FFFFFF"/>
    </w:rPr>
  </w:style>
  <w:style w:type="character" w:customStyle="1" w:styleId="Bodytext11pt">
    <w:name w:val="Body text + 11 pt"/>
    <w:aliases w:val="Italic"/>
    <w:basedOn w:val="Bodytext"/>
    <w:rsid w:val="002A40C1"/>
    <w:rPr>
      <w:rFonts w:ascii="Times New Roman" w:eastAsia="Times New Roman" w:hAnsi="Times New Roman"/>
      <w:i/>
      <w:iCs/>
      <w:color w:val="000000"/>
      <w:spacing w:val="0"/>
      <w:w w:val="100"/>
      <w:position w:val="0"/>
      <w:sz w:val="22"/>
      <w:szCs w:val="22"/>
      <w:shd w:val="clear" w:color="auto" w:fill="FFFFFF"/>
      <w:lang w:val="lv-LV" w:eastAsia="lv-LV" w:bidi="lv-LV"/>
    </w:rPr>
  </w:style>
  <w:style w:type="paragraph" w:customStyle="1" w:styleId="BodyText1">
    <w:name w:val="Body Text1"/>
    <w:basedOn w:val="Normal"/>
    <w:link w:val="Bodytext"/>
    <w:rsid w:val="002A40C1"/>
    <w:pPr>
      <w:widowControl w:val="0"/>
      <w:shd w:val="clear" w:color="auto" w:fill="FFFFFF"/>
      <w:spacing w:after="540" w:line="256" w:lineRule="exact"/>
      <w:ind w:hanging="360"/>
    </w:pPr>
    <w:rPr>
      <w:rFonts w:ascii="Times New Roman" w:eastAsia="Times New Roman" w:hAnsi="Times New Roman"/>
      <w:sz w:val="21"/>
      <w:szCs w:val="21"/>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444">
      <w:bodyDiv w:val="1"/>
      <w:marLeft w:val="0"/>
      <w:marRight w:val="0"/>
      <w:marTop w:val="0"/>
      <w:marBottom w:val="0"/>
      <w:divBdr>
        <w:top w:val="none" w:sz="0" w:space="0" w:color="auto"/>
        <w:left w:val="none" w:sz="0" w:space="0" w:color="auto"/>
        <w:bottom w:val="none" w:sz="0" w:space="0" w:color="auto"/>
        <w:right w:val="none" w:sz="0" w:space="0" w:color="auto"/>
      </w:divBdr>
    </w:div>
    <w:div w:id="631399940">
      <w:marLeft w:val="0"/>
      <w:marRight w:val="0"/>
      <w:marTop w:val="0"/>
      <w:marBottom w:val="0"/>
      <w:divBdr>
        <w:top w:val="none" w:sz="0" w:space="0" w:color="auto"/>
        <w:left w:val="none" w:sz="0" w:space="0" w:color="auto"/>
        <w:bottom w:val="none" w:sz="0" w:space="0" w:color="auto"/>
        <w:right w:val="none" w:sz="0" w:space="0" w:color="auto"/>
      </w:divBdr>
    </w:div>
    <w:div w:id="631399941">
      <w:marLeft w:val="0"/>
      <w:marRight w:val="0"/>
      <w:marTop w:val="0"/>
      <w:marBottom w:val="0"/>
      <w:divBdr>
        <w:top w:val="none" w:sz="0" w:space="0" w:color="auto"/>
        <w:left w:val="none" w:sz="0" w:space="0" w:color="auto"/>
        <w:bottom w:val="none" w:sz="0" w:space="0" w:color="auto"/>
        <w:right w:val="none" w:sz="0" w:space="0" w:color="auto"/>
      </w:divBdr>
    </w:div>
    <w:div w:id="631399942">
      <w:marLeft w:val="0"/>
      <w:marRight w:val="0"/>
      <w:marTop w:val="0"/>
      <w:marBottom w:val="0"/>
      <w:divBdr>
        <w:top w:val="none" w:sz="0" w:space="0" w:color="auto"/>
        <w:left w:val="none" w:sz="0" w:space="0" w:color="auto"/>
        <w:bottom w:val="none" w:sz="0" w:space="0" w:color="auto"/>
        <w:right w:val="none" w:sz="0" w:space="0" w:color="auto"/>
      </w:divBdr>
    </w:div>
    <w:div w:id="631399943">
      <w:marLeft w:val="45"/>
      <w:marRight w:val="45"/>
      <w:marTop w:val="90"/>
      <w:marBottom w:val="90"/>
      <w:divBdr>
        <w:top w:val="none" w:sz="0" w:space="0" w:color="auto"/>
        <w:left w:val="none" w:sz="0" w:space="0" w:color="auto"/>
        <w:bottom w:val="none" w:sz="0" w:space="0" w:color="auto"/>
        <w:right w:val="none" w:sz="0" w:space="0" w:color="auto"/>
      </w:divBdr>
      <w:divsChild>
        <w:div w:id="631399947">
          <w:marLeft w:val="0"/>
          <w:marRight w:val="0"/>
          <w:marTop w:val="240"/>
          <w:marBottom w:val="0"/>
          <w:divBdr>
            <w:top w:val="none" w:sz="0" w:space="0" w:color="auto"/>
            <w:left w:val="none" w:sz="0" w:space="0" w:color="auto"/>
            <w:bottom w:val="none" w:sz="0" w:space="0" w:color="auto"/>
            <w:right w:val="none" w:sz="0" w:space="0" w:color="auto"/>
          </w:divBdr>
        </w:div>
      </w:divsChild>
    </w:div>
    <w:div w:id="631399944">
      <w:marLeft w:val="0"/>
      <w:marRight w:val="0"/>
      <w:marTop w:val="0"/>
      <w:marBottom w:val="0"/>
      <w:divBdr>
        <w:top w:val="none" w:sz="0" w:space="0" w:color="auto"/>
        <w:left w:val="none" w:sz="0" w:space="0" w:color="auto"/>
        <w:bottom w:val="none" w:sz="0" w:space="0" w:color="auto"/>
        <w:right w:val="none" w:sz="0" w:space="0" w:color="auto"/>
      </w:divBdr>
    </w:div>
    <w:div w:id="631399945">
      <w:marLeft w:val="0"/>
      <w:marRight w:val="0"/>
      <w:marTop w:val="0"/>
      <w:marBottom w:val="0"/>
      <w:divBdr>
        <w:top w:val="none" w:sz="0" w:space="0" w:color="auto"/>
        <w:left w:val="none" w:sz="0" w:space="0" w:color="auto"/>
        <w:bottom w:val="none" w:sz="0" w:space="0" w:color="auto"/>
        <w:right w:val="none" w:sz="0" w:space="0" w:color="auto"/>
      </w:divBdr>
    </w:div>
    <w:div w:id="631399946">
      <w:marLeft w:val="0"/>
      <w:marRight w:val="0"/>
      <w:marTop w:val="0"/>
      <w:marBottom w:val="0"/>
      <w:divBdr>
        <w:top w:val="none" w:sz="0" w:space="0" w:color="auto"/>
        <w:left w:val="none" w:sz="0" w:space="0" w:color="auto"/>
        <w:bottom w:val="none" w:sz="0" w:space="0" w:color="auto"/>
        <w:right w:val="none" w:sz="0" w:space="0" w:color="auto"/>
      </w:divBdr>
    </w:div>
    <w:div w:id="631399949">
      <w:marLeft w:val="0"/>
      <w:marRight w:val="0"/>
      <w:marTop w:val="0"/>
      <w:marBottom w:val="0"/>
      <w:divBdr>
        <w:top w:val="none" w:sz="0" w:space="0" w:color="auto"/>
        <w:left w:val="none" w:sz="0" w:space="0" w:color="auto"/>
        <w:bottom w:val="none" w:sz="0" w:space="0" w:color="auto"/>
        <w:right w:val="none" w:sz="0" w:space="0" w:color="auto"/>
      </w:divBdr>
    </w:div>
    <w:div w:id="631399950">
      <w:marLeft w:val="0"/>
      <w:marRight w:val="0"/>
      <w:marTop w:val="0"/>
      <w:marBottom w:val="0"/>
      <w:divBdr>
        <w:top w:val="none" w:sz="0" w:space="0" w:color="auto"/>
        <w:left w:val="none" w:sz="0" w:space="0" w:color="auto"/>
        <w:bottom w:val="none" w:sz="0" w:space="0" w:color="auto"/>
        <w:right w:val="none" w:sz="0" w:space="0" w:color="auto"/>
      </w:divBdr>
    </w:div>
    <w:div w:id="631399951">
      <w:marLeft w:val="0"/>
      <w:marRight w:val="0"/>
      <w:marTop w:val="0"/>
      <w:marBottom w:val="0"/>
      <w:divBdr>
        <w:top w:val="none" w:sz="0" w:space="0" w:color="auto"/>
        <w:left w:val="none" w:sz="0" w:space="0" w:color="auto"/>
        <w:bottom w:val="none" w:sz="0" w:space="0" w:color="auto"/>
        <w:right w:val="none" w:sz="0" w:space="0" w:color="auto"/>
      </w:divBdr>
      <w:divsChild>
        <w:div w:id="631399948">
          <w:marLeft w:val="0"/>
          <w:marRight w:val="0"/>
          <w:marTop w:val="0"/>
          <w:marBottom w:val="0"/>
          <w:divBdr>
            <w:top w:val="none" w:sz="0" w:space="0" w:color="auto"/>
            <w:left w:val="none" w:sz="0" w:space="0" w:color="auto"/>
            <w:bottom w:val="none" w:sz="0" w:space="0" w:color="auto"/>
            <w:right w:val="none" w:sz="0" w:space="0" w:color="auto"/>
          </w:divBdr>
        </w:div>
      </w:divsChild>
    </w:div>
    <w:div w:id="631399952">
      <w:marLeft w:val="0"/>
      <w:marRight w:val="0"/>
      <w:marTop w:val="0"/>
      <w:marBottom w:val="0"/>
      <w:divBdr>
        <w:top w:val="none" w:sz="0" w:space="0" w:color="auto"/>
        <w:left w:val="none" w:sz="0" w:space="0" w:color="auto"/>
        <w:bottom w:val="none" w:sz="0" w:space="0" w:color="auto"/>
        <w:right w:val="none" w:sz="0" w:space="0" w:color="auto"/>
      </w:divBdr>
    </w:div>
    <w:div w:id="765272461">
      <w:bodyDiv w:val="1"/>
      <w:marLeft w:val="0"/>
      <w:marRight w:val="0"/>
      <w:marTop w:val="0"/>
      <w:marBottom w:val="0"/>
      <w:divBdr>
        <w:top w:val="none" w:sz="0" w:space="0" w:color="auto"/>
        <w:left w:val="none" w:sz="0" w:space="0" w:color="auto"/>
        <w:bottom w:val="none" w:sz="0" w:space="0" w:color="auto"/>
        <w:right w:val="none" w:sz="0" w:space="0" w:color="auto"/>
      </w:divBdr>
      <w:divsChild>
        <w:div w:id="41177194">
          <w:marLeft w:val="720"/>
          <w:marRight w:val="0"/>
          <w:marTop w:val="0"/>
          <w:marBottom w:val="0"/>
          <w:divBdr>
            <w:top w:val="none" w:sz="0" w:space="0" w:color="auto"/>
            <w:left w:val="none" w:sz="0" w:space="0" w:color="auto"/>
            <w:bottom w:val="none" w:sz="0" w:space="0" w:color="auto"/>
            <w:right w:val="none" w:sz="0" w:space="0" w:color="auto"/>
          </w:divBdr>
        </w:div>
        <w:div w:id="32731401">
          <w:marLeft w:val="0"/>
          <w:marRight w:val="0"/>
          <w:marTop w:val="0"/>
          <w:marBottom w:val="0"/>
          <w:divBdr>
            <w:top w:val="none" w:sz="0" w:space="0" w:color="auto"/>
            <w:left w:val="none" w:sz="0" w:space="0" w:color="auto"/>
            <w:bottom w:val="none" w:sz="0" w:space="0" w:color="auto"/>
            <w:right w:val="none" w:sz="0" w:space="0" w:color="auto"/>
          </w:divBdr>
        </w:div>
        <w:div w:id="230703697">
          <w:marLeft w:val="0"/>
          <w:marRight w:val="0"/>
          <w:marTop w:val="0"/>
          <w:marBottom w:val="0"/>
          <w:divBdr>
            <w:top w:val="none" w:sz="0" w:space="0" w:color="auto"/>
            <w:left w:val="none" w:sz="0" w:space="0" w:color="auto"/>
            <w:bottom w:val="none" w:sz="0" w:space="0" w:color="auto"/>
            <w:right w:val="none" w:sz="0" w:space="0" w:color="auto"/>
          </w:divBdr>
        </w:div>
        <w:div w:id="1116634783">
          <w:marLeft w:val="0"/>
          <w:marRight w:val="0"/>
          <w:marTop w:val="0"/>
          <w:marBottom w:val="0"/>
          <w:divBdr>
            <w:top w:val="none" w:sz="0" w:space="0" w:color="auto"/>
            <w:left w:val="none" w:sz="0" w:space="0" w:color="auto"/>
            <w:bottom w:val="none" w:sz="0" w:space="0" w:color="auto"/>
            <w:right w:val="none" w:sz="0" w:space="0" w:color="auto"/>
          </w:divBdr>
        </w:div>
        <w:div w:id="1137574388">
          <w:marLeft w:val="0"/>
          <w:marRight w:val="0"/>
          <w:marTop w:val="0"/>
          <w:marBottom w:val="0"/>
          <w:divBdr>
            <w:top w:val="none" w:sz="0" w:space="0" w:color="auto"/>
            <w:left w:val="none" w:sz="0" w:space="0" w:color="auto"/>
            <w:bottom w:val="none" w:sz="0" w:space="0" w:color="auto"/>
            <w:right w:val="none" w:sz="0" w:space="0" w:color="auto"/>
          </w:divBdr>
        </w:div>
        <w:div w:id="175330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andberg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ver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DBF2-9CB2-4C39-8408-04B63B3A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7337</Words>
  <Characters>4183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Paula Stradiņa Medicīnas vēstures muzeja reorganizāciju un tā struktūrvienības – filiāles ”Jēkaba Prīmaņa Anatomijas muzejs” nodošanu Rīgas Stradiņa universitātei</vt:lpstr>
      <vt:lpstr>Ministru kabineta noteikumu „Paula Stradiņa Medicīnas vēstures muzeja maksas pakalpojumu cenrādis” projekta sākotnējās (ex-ante) ietekmes novērtējuma ziņojums (anotācija)</vt:lpstr>
    </vt:vector>
  </TitlesOfParts>
  <Company>Veselības ministrija</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Paula Stradiņa Medicīnas vēstures muzeja reorganizāciju un tā struktūrvienības – filiāles ”Jēkaba Prīmaņa Anatomijas muzejs” nodošanu Rīgas Stradiņa universitātei</dc:title>
  <dc:subject>Anotācija</dc:subject>
  <dc:creator>Lāsma Zandberga</dc:creator>
  <dc:description>L.Zandberga, 67876041
Lasma.Zandberga@vm.gov.lv</dc:description>
  <cp:lastModifiedBy>Ieva Brūvere</cp:lastModifiedBy>
  <cp:revision>22</cp:revision>
  <cp:lastPrinted>2016-12-05T11:39:00Z</cp:lastPrinted>
  <dcterms:created xsi:type="dcterms:W3CDTF">2016-12-05T14:30:00Z</dcterms:created>
  <dcterms:modified xsi:type="dcterms:W3CDTF">2017-01-31T07:48:00Z</dcterms:modified>
</cp:coreProperties>
</file>