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59" w:rsidRPr="005B09D3" w:rsidRDefault="009B7359" w:rsidP="009B7359">
      <w:pPr>
        <w:jc w:val="center"/>
        <w:rPr>
          <w:b/>
          <w:szCs w:val="28"/>
          <w:lang w:val="lv-LV" w:eastAsia="lv-LV"/>
        </w:rPr>
      </w:pPr>
      <w:bookmarkStart w:id="0" w:name="OLE_LINK7"/>
      <w:bookmarkStart w:id="1" w:name="OLE_LINK8"/>
      <w:r w:rsidRPr="005B09D3">
        <w:rPr>
          <w:b/>
          <w:szCs w:val="28"/>
          <w:lang w:val="lv-LV" w:eastAsia="lv-LV"/>
        </w:rPr>
        <w:t xml:space="preserve">Ministru kabineta rīkojuma projekta </w:t>
      </w:r>
      <w:r w:rsidRPr="005B09D3">
        <w:rPr>
          <w:b/>
          <w:bCs/>
          <w:szCs w:val="28"/>
          <w:lang w:val="lv-LV" w:eastAsia="lv-LV"/>
        </w:rPr>
        <w:t>„</w:t>
      </w:r>
      <w:r w:rsidRPr="005B09D3">
        <w:rPr>
          <w:b/>
          <w:szCs w:val="28"/>
          <w:lang w:val="lv-LV" w:eastAsia="lv-LV"/>
        </w:rPr>
        <w:t xml:space="preserve"> Par pasākumiem Āfrikas cūku mēra izplatīšanās ierobežošanai</w:t>
      </w:r>
      <w:r w:rsidRPr="005B09D3">
        <w:rPr>
          <w:b/>
          <w:bCs/>
          <w:szCs w:val="28"/>
          <w:lang w:val="lv-LV" w:eastAsia="lv-LV"/>
        </w:rPr>
        <w:t>””</w:t>
      </w:r>
    </w:p>
    <w:p w:rsidR="009B7359" w:rsidRPr="005B09D3" w:rsidRDefault="009B7359" w:rsidP="009B7359">
      <w:pPr>
        <w:widowControl w:val="0"/>
        <w:jc w:val="center"/>
        <w:rPr>
          <w:b/>
          <w:bCs/>
          <w:szCs w:val="28"/>
          <w:lang w:val="lv-LV" w:eastAsia="lv-LV"/>
        </w:rPr>
      </w:pPr>
      <w:r w:rsidRPr="005B09D3">
        <w:rPr>
          <w:b/>
          <w:bCs/>
          <w:szCs w:val="28"/>
          <w:lang w:val="lv-LV" w:eastAsia="lv-LV"/>
        </w:rPr>
        <w:t>sākotnējās ietekmes novērtējuma ziņojums (anotācija)</w:t>
      </w:r>
    </w:p>
    <w:tbl>
      <w:tblPr>
        <w:tblW w:w="5143"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0"/>
        <w:gridCol w:w="2179"/>
        <w:gridCol w:w="89"/>
        <w:gridCol w:w="6662"/>
      </w:tblGrid>
      <w:tr w:rsidR="009B7359" w:rsidRPr="00B95693" w:rsidTr="00C455E1">
        <w:tc>
          <w:tcPr>
            <w:tcW w:w="5000" w:type="pct"/>
            <w:gridSpan w:val="4"/>
            <w:vAlign w:val="center"/>
          </w:tcPr>
          <w:p w:rsidR="009B7359" w:rsidRPr="00FD460E" w:rsidRDefault="009B7359" w:rsidP="00FA2113">
            <w:pPr>
              <w:pStyle w:val="naisf"/>
              <w:spacing w:before="0" w:beforeAutospacing="0" w:after="0" w:afterAutospacing="0"/>
              <w:jc w:val="center"/>
              <w:rPr>
                <w:b/>
                <w:bCs/>
                <w:lang w:val="lv-LV"/>
              </w:rPr>
            </w:pPr>
            <w:r w:rsidRPr="00FD460E">
              <w:rPr>
                <w:b/>
                <w:bCs/>
                <w:lang w:val="lv-LV"/>
              </w:rPr>
              <w:t>I. Tiesību akta projekta izstrādes nepieciešamība</w:t>
            </w:r>
          </w:p>
        </w:tc>
      </w:tr>
      <w:tr w:rsidR="009B7359" w:rsidRPr="005B09D3" w:rsidTr="00C455E1">
        <w:tc>
          <w:tcPr>
            <w:tcW w:w="209" w:type="pct"/>
          </w:tcPr>
          <w:p w:rsidR="009B7359" w:rsidRPr="00FD460E" w:rsidRDefault="009B7359" w:rsidP="00FA2113">
            <w:pPr>
              <w:pStyle w:val="naisf"/>
              <w:spacing w:before="0" w:beforeAutospacing="0" w:after="0" w:afterAutospacing="0"/>
              <w:rPr>
                <w:lang w:val="lv-LV"/>
              </w:rPr>
            </w:pPr>
            <w:r w:rsidRPr="00FD460E">
              <w:rPr>
                <w:lang w:val="lv-LV"/>
              </w:rPr>
              <w:t>1.</w:t>
            </w:r>
          </w:p>
        </w:tc>
        <w:tc>
          <w:tcPr>
            <w:tcW w:w="1169" w:type="pct"/>
          </w:tcPr>
          <w:p w:rsidR="009B7359" w:rsidRPr="00FD460E" w:rsidRDefault="009B7359" w:rsidP="00FA2113">
            <w:pPr>
              <w:pStyle w:val="naisf"/>
              <w:spacing w:before="0" w:beforeAutospacing="0" w:after="0" w:afterAutospacing="0"/>
              <w:rPr>
                <w:lang w:val="lv-LV"/>
              </w:rPr>
            </w:pPr>
            <w:r w:rsidRPr="00FD460E">
              <w:rPr>
                <w:lang w:val="lv-LV"/>
              </w:rPr>
              <w:t>Pamatojums</w:t>
            </w:r>
          </w:p>
        </w:tc>
        <w:tc>
          <w:tcPr>
            <w:tcW w:w="3622" w:type="pct"/>
            <w:gridSpan w:val="2"/>
          </w:tcPr>
          <w:p w:rsidR="009B7359" w:rsidRPr="00FD460E" w:rsidRDefault="009B7359" w:rsidP="009B7359">
            <w:pPr>
              <w:pStyle w:val="naisf"/>
              <w:spacing w:before="0" w:beforeAutospacing="0" w:after="0" w:afterAutospacing="0"/>
              <w:rPr>
                <w:lang w:val="lv-LV"/>
              </w:rPr>
            </w:pPr>
            <w:r w:rsidRPr="00FD460E">
              <w:rPr>
                <w:lang w:val="lv-LV"/>
              </w:rPr>
              <w:t>Ministru kabineta 201</w:t>
            </w:r>
            <w:r>
              <w:rPr>
                <w:lang w:val="lv-LV"/>
              </w:rPr>
              <w:t>7</w:t>
            </w:r>
            <w:r w:rsidRPr="00FD460E">
              <w:rPr>
                <w:lang w:val="lv-LV"/>
              </w:rPr>
              <w:t>.</w:t>
            </w:r>
            <w:r>
              <w:rPr>
                <w:lang w:val="lv-LV"/>
              </w:rPr>
              <w:t xml:space="preserve"> </w:t>
            </w:r>
            <w:r w:rsidRPr="00FD460E">
              <w:rPr>
                <w:lang w:val="lv-LV"/>
              </w:rPr>
              <w:t xml:space="preserve">gada </w:t>
            </w:r>
            <w:r>
              <w:rPr>
                <w:lang w:val="lv-LV"/>
              </w:rPr>
              <w:t>17</w:t>
            </w:r>
            <w:r w:rsidRPr="00FD460E">
              <w:rPr>
                <w:lang w:val="lv-LV"/>
              </w:rPr>
              <w:t>.</w:t>
            </w:r>
            <w:r>
              <w:rPr>
                <w:lang w:val="lv-LV"/>
              </w:rPr>
              <w:t xml:space="preserve"> janvāra</w:t>
            </w:r>
            <w:r w:rsidRPr="00FD460E">
              <w:rPr>
                <w:lang w:val="lv-LV"/>
              </w:rPr>
              <w:t xml:space="preserve"> rīkojum</w:t>
            </w:r>
            <w:r>
              <w:rPr>
                <w:lang w:val="lv-LV"/>
              </w:rPr>
              <w:t>s</w:t>
            </w:r>
            <w:r w:rsidRPr="00FD460E">
              <w:rPr>
                <w:lang w:val="lv-LV"/>
              </w:rPr>
              <w:t xml:space="preserve"> </w:t>
            </w:r>
            <w:proofErr w:type="spellStart"/>
            <w:r w:rsidRPr="00FD460E">
              <w:rPr>
                <w:lang w:val="lv-LV"/>
              </w:rPr>
              <w:t>Nr.</w:t>
            </w:r>
            <w:r>
              <w:rPr>
                <w:lang w:val="lv-LV"/>
              </w:rPr>
              <w:t>XXX</w:t>
            </w:r>
            <w:proofErr w:type="spellEnd"/>
            <w:r w:rsidRPr="00FD460E">
              <w:rPr>
                <w:lang w:val="lv-LV"/>
              </w:rPr>
              <w:t xml:space="preserve"> „Par ārkārtējās situācijas izsludināšanu”</w:t>
            </w:r>
            <w:r>
              <w:rPr>
                <w:lang w:val="lv-LV"/>
              </w:rPr>
              <w:t>.</w:t>
            </w:r>
          </w:p>
        </w:tc>
      </w:tr>
      <w:tr w:rsidR="009B7359" w:rsidRPr="005B09D3" w:rsidTr="00C455E1">
        <w:tc>
          <w:tcPr>
            <w:tcW w:w="209" w:type="pct"/>
          </w:tcPr>
          <w:p w:rsidR="009B7359" w:rsidRPr="00FD460E" w:rsidRDefault="009B7359" w:rsidP="00FA2113">
            <w:pPr>
              <w:pStyle w:val="naisf"/>
              <w:spacing w:before="0" w:beforeAutospacing="0" w:after="0" w:afterAutospacing="0"/>
              <w:rPr>
                <w:lang w:val="lv-LV"/>
              </w:rPr>
            </w:pPr>
            <w:r w:rsidRPr="00FD460E">
              <w:rPr>
                <w:lang w:val="lv-LV"/>
              </w:rPr>
              <w:t>2.</w:t>
            </w:r>
          </w:p>
        </w:tc>
        <w:tc>
          <w:tcPr>
            <w:tcW w:w="1169" w:type="pct"/>
          </w:tcPr>
          <w:p w:rsidR="009B7359" w:rsidRPr="00FD460E" w:rsidRDefault="009B7359" w:rsidP="00FA2113">
            <w:pPr>
              <w:pStyle w:val="naisf"/>
              <w:spacing w:before="0" w:beforeAutospacing="0" w:after="0" w:afterAutospacing="0"/>
              <w:rPr>
                <w:lang w:val="lv-LV"/>
              </w:rPr>
            </w:pPr>
            <w:r w:rsidRPr="00FD460E">
              <w:rPr>
                <w:lang w:val="lv-LV"/>
              </w:rPr>
              <w:t>Pašreizējā situācija un problēmas, kuru risināšanai tiesību akta projekts izstrādāts, tiesiskā regulējuma mērķis un būtība</w:t>
            </w:r>
          </w:p>
        </w:tc>
        <w:tc>
          <w:tcPr>
            <w:tcW w:w="3622" w:type="pct"/>
            <w:gridSpan w:val="2"/>
          </w:tcPr>
          <w:p w:rsidR="009B7359" w:rsidRPr="000C3337" w:rsidRDefault="009B7359" w:rsidP="00FA2113">
            <w:pPr>
              <w:pStyle w:val="naisf"/>
              <w:spacing w:before="0" w:beforeAutospacing="0" w:after="0" w:afterAutospacing="0"/>
              <w:rPr>
                <w:lang w:val="lv-LV"/>
              </w:rPr>
            </w:pPr>
            <w:r w:rsidRPr="000C3337">
              <w:rPr>
                <w:lang w:val="lv-LV"/>
              </w:rPr>
              <w:t>Ministru kabineta 2017. gada 16. janvāra Krīzes vadības padomes sēdē nolemts izsludināt ārkārtējo situāciju Ādažu, Krimuldas un Salaspils novados, jo 2017. gada 13. janvārī valsts zinātniskais institūts “BIOR” konstatēja Āfrikas cūku mēri (turpmāk – ĀCM) Krimuldas novada Krimuldas pagasta novietnē “</w:t>
            </w:r>
            <w:proofErr w:type="spellStart"/>
            <w:r w:rsidRPr="000C3337">
              <w:rPr>
                <w:lang w:val="lv-LV"/>
              </w:rPr>
              <w:t>Rukas</w:t>
            </w:r>
            <w:proofErr w:type="spellEnd"/>
            <w:r w:rsidRPr="000C3337">
              <w:rPr>
                <w:lang w:val="lv-LV"/>
              </w:rPr>
              <w:t xml:space="preserve">”.  Novietnē atrodas 5023 cūku sugas dzīvnieki. </w:t>
            </w:r>
          </w:p>
          <w:p w:rsidR="00FB7D00" w:rsidRPr="000C3337" w:rsidRDefault="00FB7D00" w:rsidP="00FB7D00">
            <w:pPr>
              <w:pStyle w:val="naisf"/>
              <w:spacing w:before="0" w:beforeAutospacing="0" w:after="0" w:afterAutospacing="0"/>
              <w:rPr>
                <w:lang w:val="lv-LV"/>
              </w:rPr>
            </w:pPr>
            <w:r w:rsidRPr="000C3337">
              <w:rPr>
                <w:lang w:val="lv-LV"/>
              </w:rPr>
              <w:t>Āfrikas cūku mēris ir vīrusu izraisīta (</w:t>
            </w:r>
            <w:proofErr w:type="spellStart"/>
            <w:r w:rsidRPr="000C3337">
              <w:rPr>
                <w:i/>
                <w:lang w:val="lv-LV"/>
              </w:rPr>
              <w:t>iridovīrusu</w:t>
            </w:r>
            <w:proofErr w:type="spellEnd"/>
            <w:r w:rsidRPr="000C3337">
              <w:rPr>
                <w:lang w:val="lv-LV"/>
              </w:rPr>
              <w:t xml:space="preserve"> ģints), ļoti lipīga un bīstama infekcijas slimība, kas skar cūku dzimtas dzīvniekus. Slimība cūkām nav ārstējama. Situāciju padara sliktāku tas, ka nav izstrādāta vakcīna, kas pasargātu no tālākas dzīvnieku inficēšanās un slimības masveida izplatīšanās, turklāt šīs slimības patoģenēze labvēlīgi ietekmē slimības nekontrolētu izplatīšanos, jo antivielas, kas veidojas pret vīrusu, nav vīrusu neitralizējošas. Āfrikas cūku mēris nekādā veidā nav bīstams cilvēkiem. Infekcijas avots ir slimās cūkas, bet mežacūkas ir vīrusa nēsātājas, kuras kopā ar </w:t>
            </w:r>
            <w:proofErr w:type="spellStart"/>
            <w:r w:rsidRPr="000C3337">
              <w:rPr>
                <w:i/>
                <w:lang w:val="lv-LV"/>
              </w:rPr>
              <w:t>Ornithodoros</w:t>
            </w:r>
            <w:proofErr w:type="spellEnd"/>
            <w:r w:rsidRPr="000C3337">
              <w:rPr>
                <w:i/>
                <w:lang w:val="lv-LV"/>
              </w:rPr>
              <w:t xml:space="preserve"> </w:t>
            </w:r>
            <w:r w:rsidRPr="000C3337">
              <w:rPr>
                <w:lang w:val="lv-LV"/>
              </w:rPr>
              <w:t xml:space="preserve">ģints ērcēm dabā veido vīrusa rezervuāru, tā vīrusam ļaujot saglabāties 10 – 12 gadus. </w:t>
            </w:r>
          </w:p>
          <w:p w:rsidR="009D2DF2" w:rsidRDefault="00FB7D00" w:rsidP="009D2DF2">
            <w:pPr>
              <w:pStyle w:val="Bezatstarpm"/>
              <w:jc w:val="both"/>
              <w:rPr>
                <w:rFonts w:ascii="Times New Roman" w:hAnsi="Times New Roman"/>
                <w:sz w:val="24"/>
                <w:szCs w:val="24"/>
              </w:rPr>
            </w:pPr>
            <w:r w:rsidRPr="000C3337">
              <w:rPr>
                <w:rFonts w:ascii="Times New Roman" w:hAnsi="Times New Roman"/>
                <w:sz w:val="24"/>
                <w:szCs w:val="24"/>
              </w:rPr>
              <w:t>Ievērojot ĀCM izplatīšanās draudus, dzīvnieku izcelsmes blakusproduktus (t.sk. dzīvnieku līķus) nepieciešams likvidēt pēc iespējas tuvāk ĀCM skartajam punktam. PVD ir izvērtējis blakusproduktu uzņēmēju un uzņēmumu atbilstību normatīvo aktu prasībām par dzīvnieku izcelsmes blakusproduktu apriti. Normatīvo aktu prasībām atbilstošajiem uzņēmumiem ir piešķirts PVD atzīšanas numurs. Ņemot vērā novietnē “</w:t>
            </w:r>
            <w:proofErr w:type="spellStart"/>
            <w:r w:rsidRPr="000C3337">
              <w:rPr>
                <w:rFonts w:ascii="Times New Roman" w:hAnsi="Times New Roman"/>
                <w:sz w:val="24"/>
                <w:szCs w:val="24"/>
              </w:rPr>
              <w:t>Rukas</w:t>
            </w:r>
            <w:proofErr w:type="spellEnd"/>
            <w:r w:rsidRPr="000C3337">
              <w:rPr>
                <w:rFonts w:ascii="Times New Roman" w:hAnsi="Times New Roman"/>
                <w:sz w:val="24"/>
                <w:szCs w:val="24"/>
              </w:rPr>
              <w:t>” esošo cūku sugas dzīvnieku skaitu</w:t>
            </w:r>
            <w:r w:rsidR="009D2DF2">
              <w:rPr>
                <w:rFonts w:ascii="Times New Roman" w:hAnsi="Times New Roman"/>
                <w:sz w:val="24"/>
                <w:szCs w:val="24"/>
              </w:rPr>
              <w:t>,</w:t>
            </w:r>
            <w:r w:rsidRPr="000C3337">
              <w:rPr>
                <w:rFonts w:ascii="Times New Roman" w:hAnsi="Times New Roman"/>
                <w:sz w:val="24"/>
                <w:szCs w:val="24"/>
              </w:rPr>
              <w:t xml:space="preserve"> esošo atzīto blakusproduktu pārstrādes un likvidēšanas iekārtu darbības kapacitāte var būt nepietiekama, tāpēc ir nepieciešams paredzēt cūku līķu sadedzināšanu sārtos.</w:t>
            </w:r>
            <w:r w:rsidRPr="000C3337">
              <w:rPr>
                <w:rFonts w:ascii="Times New Roman" w:hAnsi="Times New Roman"/>
                <w:color w:val="1F497D"/>
                <w:sz w:val="24"/>
                <w:szCs w:val="24"/>
              </w:rPr>
              <w:t xml:space="preserve"> </w:t>
            </w:r>
            <w:r w:rsidRPr="000C3337">
              <w:rPr>
                <w:rFonts w:ascii="Times New Roman" w:hAnsi="Times New Roman"/>
                <w:sz w:val="24"/>
                <w:szCs w:val="24"/>
              </w:rPr>
              <w:t xml:space="preserve">Konkrētā vieta nepieciešamības gadījumā tiks izvēlēta,  jo nav cita risinājuma, lai sasniegtu izvirzīto mērķi, un darbības īstenošana nepieciešama, lai nodrošinātu sevišķi svarīgu sabiedrības interešu ievērošanu  un nodrošinātu pilnīgu blakusproduktu likvidēšanu īsā termiņā. </w:t>
            </w:r>
          </w:p>
          <w:p w:rsidR="008C2C40" w:rsidRDefault="008C2C40" w:rsidP="009D2DF2">
            <w:pPr>
              <w:pStyle w:val="Bezatstarpm"/>
              <w:jc w:val="both"/>
              <w:rPr>
                <w:rFonts w:ascii="Times New Roman" w:hAnsi="Times New Roman"/>
                <w:sz w:val="24"/>
                <w:szCs w:val="24"/>
              </w:rPr>
            </w:pPr>
            <w:proofErr w:type="gramStart"/>
            <w:r w:rsidRPr="008C2C40">
              <w:rPr>
                <w:rFonts w:ascii="Times New Roman" w:hAnsi="Times New Roman"/>
                <w:sz w:val="24"/>
                <w:szCs w:val="24"/>
              </w:rPr>
              <w:t>Sadedzinot sārtā dzīvnieku izcelsmes blakusproduktus</w:t>
            </w:r>
            <w:proofErr w:type="gramEnd"/>
            <w:r w:rsidRPr="008C2C40">
              <w:rPr>
                <w:rFonts w:ascii="Times New Roman" w:hAnsi="Times New Roman"/>
                <w:sz w:val="24"/>
                <w:szCs w:val="24"/>
              </w:rPr>
              <w:t xml:space="preserve"> netiks piemēroti likuma „Par īpaši aizsargājamām dabas teritorijām” 43. panta ceturtajā līdz devītajā daļā un Ministru kabineta 2011. gada 19. aprīļa noteikumi Nr.300 „Kārtība, kādā novērtējama ietekme uz Eiropas nozīmes īpašu aizsargājamo dabas teritoriju (</w:t>
            </w:r>
            <w:proofErr w:type="spellStart"/>
            <w:r w:rsidRPr="008C2C40">
              <w:rPr>
                <w:rFonts w:ascii="Times New Roman" w:hAnsi="Times New Roman"/>
                <w:sz w:val="24"/>
                <w:szCs w:val="24"/>
              </w:rPr>
              <w:t>Natura</w:t>
            </w:r>
            <w:proofErr w:type="spellEnd"/>
            <w:r w:rsidRPr="008C2C40">
              <w:rPr>
                <w:rFonts w:ascii="Times New Roman" w:hAnsi="Times New Roman"/>
                <w:sz w:val="24"/>
                <w:szCs w:val="24"/>
              </w:rPr>
              <w:t xml:space="preserve"> 2000) noteiktais.</w:t>
            </w:r>
          </w:p>
          <w:p w:rsidR="000C3337" w:rsidRDefault="00FB7D00" w:rsidP="009D2DF2">
            <w:pPr>
              <w:pStyle w:val="Bezatstarpm"/>
              <w:jc w:val="both"/>
              <w:rPr>
                <w:rFonts w:ascii="Times New Roman" w:hAnsi="Times New Roman"/>
                <w:sz w:val="24"/>
              </w:rPr>
            </w:pPr>
            <w:r w:rsidRPr="009D2DF2">
              <w:rPr>
                <w:rFonts w:ascii="Times New Roman" w:hAnsi="Times New Roman"/>
                <w:sz w:val="24"/>
              </w:rPr>
              <w:t>Lai varētu operatīvi likvidēt dzīvnieku izcelsmes blakusproduktus, ir jāiesaista attiecīgo pašvaldību atbildīgās amatpersonas, kā arī Valsts vides dienests un Valsts ugunsdzēsības un glābšanas dienests.</w:t>
            </w:r>
          </w:p>
          <w:p w:rsidR="009D2DF2" w:rsidRPr="009D2DF2" w:rsidRDefault="009D2DF2" w:rsidP="009D2DF2">
            <w:pPr>
              <w:jc w:val="both"/>
              <w:rPr>
                <w:bCs/>
                <w:lang w:val="lv-LV"/>
              </w:rPr>
            </w:pPr>
            <w:r>
              <w:rPr>
                <w:bCs/>
                <w:lang w:val="lv-LV"/>
              </w:rPr>
              <w:t xml:space="preserve">Ņemot vērā to, ka tiek izsludināta ārkārtas situācija, tad </w:t>
            </w:r>
            <w:r w:rsidRPr="001C3D91">
              <w:rPr>
                <w:bCs/>
                <w:lang w:val="lv-LV"/>
              </w:rPr>
              <w:t>Pārtikas un veterinārajam dienestam</w:t>
            </w:r>
            <w:r>
              <w:rPr>
                <w:bCs/>
                <w:lang w:val="lv-LV"/>
              </w:rPr>
              <w:t xml:space="preserve"> s</w:t>
            </w:r>
            <w:r w:rsidRPr="001C3D91">
              <w:rPr>
                <w:bCs/>
                <w:lang w:val="lv-LV"/>
              </w:rPr>
              <w:t>askaņā ar Publisko iepirkuma likumu 3.</w:t>
            </w:r>
            <w:r>
              <w:rPr>
                <w:bCs/>
                <w:lang w:val="lv-LV"/>
              </w:rPr>
              <w:t xml:space="preserve"> </w:t>
            </w:r>
            <w:r w:rsidRPr="001C3D91">
              <w:rPr>
                <w:bCs/>
                <w:lang w:val="lv-LV"/>
              </w:rPr>
              <w:t xml:space="preserve">panta </w:t>
            </w:r>
            <w:r>
              <w:rPr>
                <w:bCs/>
                <w:lang w:val="lv-LV"/>
              </w:rPr>
              <w:t xml:space="preserve">trešās </w:t>
            </w:r>
            <w:r w:rsidRPr="001C3D91">
              <w:rPr>
                <w:bCs/>
                <w:lang w:val="lv-LV"/>
              </w:rPr>
              <w:t xml:space="preserve">daļas 2.punktu </w:t>
            </w:r>
            <w:r>
              <w:rPr>
                <w:bCs/>
                <w:lang w:val="lv-LV"/>
              </w:rPr>
              <w:t xml:space="preserve">tiks </w:t>
            </w:r>
            <w:r w:rsidRPr="001C3D91">
              <w:rPr>
                <w:bCs/>
                <w:lang w:val="lv-LV"/>
              </w:rPr>
              <w:t>atļaut</w:t>
            </w:r>
            <w:r>
              <w:rPr>
                <w:bCs/>
                <w:lang w:val="lv-LV"/>
              </w:rPr>
              <w:t>s</w:t>
            </w:r>
            <w:r w:rsidRPr="001C3D91">
              <w:rPr>
                <w:bCs/>
                <w:lang w:val="lv-LV"/>
              </w:rPr>
              <w:t xml:space="preserve"> bez iepirkuma procedūras </w:t>
            </w:r>
            <w:r w:rsidRPr="001C3D91">
              <w:rPr>
                <w:bCs/>
                <w:lang w:val="lv-LV"/>
              </w:rPr>
              <w:lastRenderedPageBreak/>
              <w:t xml:space="preserve">izsludināšanas nodrošināt dzīvnieku izcelsmes blakusproduktu likvidēšanu </w:t>
            </w:r>
            <w:r>
              <w:rPr>
                <w:bCs/>
                <w:lang w:val="lv-LV"/>
              </w:rPr>
              <w:t>SIA “</w:t>
            </w:r>
            <w:proofErr w:type="spellStart"/>
            <w:r>
              <w:rPr>
                <w:bCs/>
                <w:lang w:val="lv-LV"/>
              </w:rPr>
              <w:t>Grow</w:t>
            </w:r>
            <w:proofErr w:type="spellEnd"/>
            <w:r>
              <w:rPr>
                <w:bCs/>
                <w:lang w:val="lv-LV"/>
              </w:rPr>
              <w:t xml:space="preserve"> </w:t>
            </w:r>
            <w:proofErr w:type="spellStart"/>
            <w:r>
              <w:rPr>
                <w:bCs/>
                <w:lang w:val="lv-LV"/>
              </w:rPr>
              <w:t>Energy</w:t>
            </w:r>
            <w:proofErr w:type="spellEnd"/>
            <w:r>
              <w:rPr>
                <w:bCs/>
                <w:lang w:val="lv-LV"/>
              </w:rPr>
              <w:t xml:space="preserve">” </w:t>
            </w:r>
            <w:r w:rsidRPr="001C3D91">
              <w:rPr>
                <w:bCs/>
                <w:lang w:val="lv-LV"/>
              </w:rPr>
              <w:t>uzņēmumā</w:t>
            </w:r>
            <w:r>
              <w:rPr>
                <w:bCs/>
                <w:lang w:val="lv-LV"/>
              </w:rPr>
              <w:t xml:space="preserve">. </w:t>
            </w:r>
          </w:p>
        </w:tc>
      </w:tr>
      <w:tr w:rsidR="009B7359" w:rsidRPr="00FD460E" w:rsidTr="00C455E1">
        <w:tc>
          <w:tcPr>
            <w:tcW w:w="209" w:type="pct"/>
          </w:tcPr>
          <w:p w:rsidR="009B7359" w:rsidRPr="00FD460E" w:rsidRDefault="009B7359" w:rsidP="00FA2113">
            <w:pPr>
              <w:pStyle w:val="naisf"/>
              <w:spacing w:before="0" w:beforeAutospacing="0" w:after="0" w:afterAutospacing="0"/>
              <w:rPr>
                <w:lang w:val="lv-LV"/>
              </w:rPr>
            </w:pPr>
            <w:r w:rsidRPr="00FD460E">
              <w:rPr>
                <w:lang w:val="lv-LV"/>
              </w:rPr>
              <w:lastRenderedPageBreak/>
              <w:t>3.</w:t>
            </w:r>
          </w:p>
        </w:tc>
        <w:tc>
          <w:tcPr>
            <w:tcW w:w="1169" w:type="pct"/>
          </w:tcPr>
          <w:p w:rsidR="009B7359" w:rsidRPr="00FD460E" w:rsidRDefault="009B7359" w:rsidP="00FA2113">
            <w:pPr>
              <w:pStyle w:val="naisf"/>
              <w:spacing w:before="0" w:beforeAutospacing="0" w:after="0" w:afterAutospacing="0"/>
              <w:rPr>
                <w:lang w:val="lv-LV"/>
              </w:rPr>
            </w:pPr>
            <w:r w:rsidRPr="00FD460E">
              <w:rPr>
                <w:lang w:val="lv-LV"/>
              </w:rPr>
              <w:t>Projekta izstrādē iesaistītās institūcijas</w:t>
            </w:r>
          </w:p>
        </w:tc>
        <w:tc>
          <w:tcPr>
            <w:tcW w:w="3622" w:type="pct"/>
            <w:gridSpan w:val="2"/>
          </w:tcPr>
          <w:p w:rsidR="009B7359" w:rsidRPr="00FD460E" w:rsidRDefault="009B7359" w:rsidP="00FA2113">
            <w:pPr>
              <w:pStyle w:val="naisf"/>
              <w:spacing w:before="0" w:beforeAutospacing="0" w:after="0" w:afterAutospacing="0"/>
              <w:rPr>
                <w:lang w:val="lv-LV"/>
              </w:rPr>
            </w:pPr>
            <w:r w:rsidRPr="00FD460E">
              <w:rPr>
                <w:lang w:val="lv-LV"/>
              </w:rPr>
              <w:t>Pārtikas un veterinārais dienests.</w:t>
            </w:r>
          </w:p>
        </w:tc>
      </w:tr>
      <w:tr w:rsidR="009B7359" w:rsidRPr="00FD460E" w:rsidTr="00C455E1">
        <w:tc>
          <w:tcPr>
            <w:tcW w:w="209" w:type="pct"/>
          </w:tcPr>
          <w:p w:rsidR="009B7359" w:rsidRPr="00FD460E" w:rsidRDefault="009B7359" w:rsidP="00FA2113">
            <w:pPr>
              <w:pStyle w:val="naisf"/>
              <w:spacing w:before="0" w:beforeAutospacing="0" w:after="0" w:afterAutospacing="0"/>
              <w:rPr>
                <w:lang w:val="lv-LV"/>
              </w:rPr>
            </w:pPr>
            <w:r w:rsidRPr="00FD460E">
              <w:rPr>
                <w:lang w:val="lv-LV"/>
              </w:rPr>
              <w:t>4.</w:t>
            </w:r>
          </w:p>
        </w:tc>
        <w:tc>
          <w:tcPr>
            <w:tcW w:w="1169" w:type="pct"/>
          </w:tcPr>
          <w:p w:rsidR="009B7359" w:rsidRPr="00FD460E" w:rsidRDefault="009B7359" w:rsidP="00FA2113">
            <w:pPr>
              <w:pStyle w:val="naisf"/>
              <w:spacing w:before="0" w:beforeAutospacing="0" w:after="0" w:afterAutospacing="0"/>
              <w:rPr>
                <w:lang w:val="lv-LV"/>
              </w:rPr>
            </w:pPr>
            <w:r w:rsidRPr="00FD460E">
              <w:rPr>
                <w:lang w:val="lv-LV"/>
              </w:rPr>
              <w:t>Cita informācija</w:t>
            </w:r>
          </w:p>
        </w:tc>
        <w:tc>
          <w:tcPr>
            <w:tcW w:w="3622" w:type="pct"/>
            <w:gridSpan w:val="2"/>
          </w:tcPr>
          <w:p w:rsidR="009B7359" w:rsidRPr="00FD460E" w:rsidRDefault="009B7359" w:rsidP="00FA2113">
            <w:pPr>
              <w:pStyle w:val="naisf"/>
              <w:spacing w:before="0" w:beforeAutospacing="0" w:after="0" w:afterAutospacing="0"/>
              <w:rPr>
                <w:lang w:val="lv-LV"/>
              </w:rPr>
            </w:pPr>
            <w:r w:rsidRPr="00FD460E">
              <w:rPr>
                <w:lang w:val="lv-LV"/>
              </w:rPr>
              <w:t>Nav.</w:t>
            </w:r>
          </w:p>
        </w:tc>
      </w:tr>
      <w:tr w:rsidR="009B7359" w:rsidRPr="00FD460E" w:rsidTr="00C455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4"/>
            <w:tcBorders>
              <w:top w:val="outset" w:sz="6" w:space="0" w:color="auto"/>
              <w:left w:val="outset" w:sz="6" w:space="0" w:color="auto"/>
              <w:bottom w:val="outset" w:sz="6" w:space="0" w:color="auto"/>
              <w:right w:val="outset" w:sz="6" w:space="0" w:color="auto"/>
            </w:tcBorders>
          </w:tcPr>
          <w:p w:rsidR="009B7359" w:rsidRPr="00FD460E" w:rsidRDefault="009B7359" w:rsidP="00FA2113">
            <w:pPr>
              <w:pStyle w:val="naisf"/>
              <w:spacing w:before="0" w:beforeAutospacing="0" w:after="0" w:afterAutospacing="0"/>
              <w:rPr>
                <w:b/>
                <w:lang w:val="lv-LV"/>
              </w:rPr>
            </w:pPr>
            <w:r w:rsidRPr="00FD460E">
              <w:rPr>
                <w:b/>
                <w:lang w:val="lv-LV"/>
              </w:rPr>
              <w:t>II. Tiesību akta projekta ietekme uz sabiedrību,</w:t>
            </w:r>
            <w:r w:rsidRPr="00FD460E">
              <w:rPr>
                <w:b/>
                <w:bCs/>
                <w:lang w:val="lv-LV"/>
              </w:rPr>
              <w:t xml:space="preserve"> tautsaimniecības attīstību un administratīvo slogu</w:t>
            </w:r>
          </w:p>
        </w:tc>
      </w:tr>
      <w:tr w:rsidR="009B7359" w:rsidRPr="005B09D3" w:rsidTr="00C455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09" w:type="pct"/>
            <w:tcBorders>
              <w:top w:val="outset" w:sz="6" w:space="0" w:color="auto"/>
              <w:left w:val="outset" w:sz="6" w:space="0" w:color="auto"/>
              <w:right w:val="outset" w:sz="6" w:space="0" w:color="auto"/>
            </w:tcBorders>
          </w:tcPr>
          <w:p w:rsidR="009B7359" w:rsidRPr="00FD460E" w:rsidRDefault="009B7359" w:rsidP="00FA2113">
            <w:pPr>
              <w:pStyle w:val="naisf"/>
              <w:spacing w:before="0" w:beforeAutospacing="0" w:after="0" w:afterAutospacing="0"/>
              <w:rPr>
                <w:lang w:val="lv-LV"/>
              </w:rPr>
            </w:pPr>
            <w:r w:rsidRPr="00FD460E">
              <w:rPr>
                <w:lang w:val="lv-LV"/>
              </w:rPr>
              <w:t>1.</w:t>
            </w:r>
          </w:p>
        </w:tc>
        <w:tc>
          <w:tcPr>
            <w:tcW w:w="1217" w:type="pct"/>
            <w:gridSpan w:val="2"/>
            <w:tcBorders>
              <w:top w:val="outset" w:sz="6" w:space="0" w:color="auto"/>
              <w:left w:val="outset" w:sz="6" w:space="0" w:color="auto"/>
              <w:right w:val="outset" w:sz="6" w:space="0" w:color="auto"/>
            </w:tcBorders>
          </w:tcPr>
          <w:p w:rsidR="009B7359" w:rsidRPr="00FD460E" w:rsidRDefault="009B7359" w:rsidP="00FA2113">
            <w:pPr>
              <w:pStyle w:val="naisf"/>
              <w:spacing w:before="0" w:beforeAutospacing="0" w:after="0" w:afterAutospacing="0"/>
              <w:rPr>
                <w:lang w:val="lv-LV"/>
              </w:rPr>
            </w:pPr>
            <w:r w:rsidRPr="00FD460E">
              <w:rPr>
                <w:lang w:val="lv-LV"/>
              </w:rPr>
              <w:t>Sabiedrības mērķgrupas, kuras tiesiskais regulējums ietekmē vai varētu ietekmēt</w:t>
            </w:r>
          </w:p>
        </w:tc>
        <w:tc>
          <w:tcPr>
            <w:tcW w:w="3574" w:type="pct"/>
            <w:tcBorders>
              <w:top w:val="outset" w:sz="6" w:space="0" w:color="auto"/>
              <w:left w:val="outset" w:sz="6" w:space="0" w:color="auto"/>
              <w:right w:val="outset" w:sz="6" w:space="0" w:color="auto"/>
            </w:tcBorders>
          </w:tcPr>
          <w:p w:rsidR="009B7359" w:rsidRPr="00FD460E" w:rsidRDefault="00FD62CA" w:rsidP="00FA2113">
            <w:pPr>
              <w:pStyle w:val="naisf"/>
              <w:spacing w:before="0" w:beforeAutospacing="0" w:after="0" w:afterAutospacing="0"/>
              <w:rPr>
                <w:lang w:val="lv-LV"/>
              </w:rPr>
            </w:pPr>
            <w:r w:rsidRPr="00FD460E">
              <w:rPr>
                <w:lang w:val="lv-LV"/>
              </w:rPr>
              <w:t xml:space="preserve">Rīkojuma projekta tiesiskais regulējums attiecas uz visām personām, kuras dzīvo un uzturas </w:t>
            </w:r>
            <w:r>
              <w:rPr>
                <w:lang w:val="lv-LV"/>
              </w:rPr>
              <w:t>ĀCM ierobežojuma teritorijā</w:t>
            </w:r>
            <w:r w:rsidRPr="00FD460E">
              <w:rPr>
                <w:lang w:val="lv-LV"/>
              </w:rPr>
              <w:t>, kā arī uz tām personām, par kurām pastāv aizdomas, ka tās savā privātīpašumā tur nereģistrētus cūku sugas dzīvniekus.</w:t>
            </w:r>
          </w:p>
        </w:tc>
      </w:tr>
      <w:tr w:rsidR="00FD62CA" w:rsidRPr="009B7359" w:rsidTr="00C455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09" w:type="pct"/>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2.</w:t>
            </w:r>
          </w:p>
        </w:tc>
        <w:tc>
          <w:tcPr>
            <w:tcW w:w="1217" w:type="pct"/>
            <w:gridSpan w:val="2"/>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Tiesiskā regulējuma ietekme uz tautsaimniecību un administratīvo slogu</w:t>
            </w:r>
          </w:p>
        </w:tc>
        <w:tc>
          <w:tcPr>
            <w:tcW w:w="3574" w:type="pct"/>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Projekts šo jomu neskar.</w:t>
            </w:r>
          </w:p>
        </w:tc>
      </w:tr>
      <w:tr w:rsidR="00FD62CA" w:rsidRPr="00FD460E" w:rsidTr="00C455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09" w:type="pct"/>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3.</w:t>
            </w:r>
          </w:p>
        </w:tc>
        <w:tc>
          <w:tcPr>
            <w:tcW w:w="1217" w:type="pct"/>
            <w:gridSpan w:val="2"/>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Administratīvo izmaksu monetārs novērtējums</w:t>
            </w:r>
          </w:p>
        </w:tc>
        <w:tc>
          <w:tcPr>
            <w:tcW w:w="3574" w:type="pct"/>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Projekts šo jomu neskar.</w:t>
            </w:r>
          </w:p>
        </w:tc>
      </w:tr>
      <w:tr w:rsidR="00FD62CA" w:rsidRPr="00FD460E" w:rsidTr="00C455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09" w:type="pct"/>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4.</w:t>
            </w:r>
          </w:p>
        </w:tc>
        <w:tc>
          <w:tcPr>
            <w:tcW w:w="1217" w:type="pct"/>
            <w:gridSpan w:val="2"/>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Cita informācija</w:t>
            </w:r>
          </w:p>
        </w:tc>
        <w:tc>
          <w:tcPr>
            <w:tcW w:w="3574" w:type="pct"/>
            <w:tcBorders>
              <w:top w:val="outset" w:sz="6" w:space="0" w:color="auto"/>
              <w:left w:val="outset" w:sz="6" w:space="0" w:color="auto"/>
              <w:right w:val="outset" w:sz="6" w:space="0" w:color="auto"/>
            </w:tcBorders>
            <w:shd w:val="clear" w:color="auto" w:fill="auto"/>
          </w:tcPr>
          <w:p w:rsidR="00FD62CA" w:rsidRPr="00FD460E" w:rsidRDefault="00FD62CA" w:rsidP="00FD62CA">
            <w:pPr>
              <w:pStyle w:val="naisf"/>
              <w:spacing w:before="0" w:beforeAutospacing="0" w:after="0" w:afterAutospacing="0"/>
              <w:rPr>
                <w:lang w:val="lv-LV"/>
              </w:rPr>
            </w:pPr>
            <w:r w:rsidRPr="00FD460E">
              <w:rPr>
                <w:lang w:val="lv-LV"/>
              </w:rPr>
              <w:t>Nav.</w:t>
            </w:r>
          </w:p>
        </w:tc>
      </w:tr>
    </w:tbl>
    <w:p w:rsidR="009B7359" w:rsidRDefault="009B7359" w:rsidP="009B7359">
      <w:pPr>
        <w:pStyle w:val="naisf"/>
        <w:spacing w:before="0" w:beforeAutospacing="0" w:after="0" w:afterAutospacing="0"/>
        <w:rPr>
          <w:i/>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1131"/>
        <w:gridCol w:w="1450"/>
        <w:gridCol w:w="1450"/>
        <w:gridCol w:w="1450"/>
        <w:gridCol w:w="1450"/>
      </w:tblGrid>
      <w:tr w:rsidR="000C3337" w:rsidRPr="005B09D3" w:rsidTr="00661CED">
        <w:tc>
          <w:tcPr>
            <w:tcW w:w="9288" w:type="dxa"/>
            <w:gridSpan w:val="6"/>
          </w:tcPr>
          <w:p w:rsidR="000C3337" w:rsidRPr="000C3337" w:rsidRDefault="000C3337" w:rsidP="00661CED">
            <w:pPr>
              <w:jc w:val="center"/>
              <w:rPr>
                <w:lang w:val="lv-LV"/>
              </w:rPr>
            </w:pPr>
            <w:r w:rsidRPr="000C3337">
              <w:rPr>
                <w:lang w:val="lv-LV"/>
              </w:rPr>
              <w:t> </w:t>
            </w:r>
            <w:r w:rsidRPr="000C3337">
              <w:rPr>
                <w:b/>
                <w:bCs/>
                <w:lang w:val="lv-LV"/>
              </w:rPr>
              <w:t>III. Tiesību akta projekta ietekme uz valsts budžetu un pašvaldību budžetiem</w:t>
            </w:r>
          </w:p>
        </w:tc>
      </w:tr>
      <w:tr w:rsidR="000C3337" w:rsidTr="00661CED">
        <w:tc>
          <w:tcPr>
            <w:tcW w:w="2405" w:type="dxa"/>
            <w:vMerge w:val="restart"/>
          </w:tcPr>
          <w:p w:rsidR="000C3337" w:rsidRPr="000C3337" w:rsidRDefault="000C3337" w:rsidP="00661CED">
            <w:pPr>
              <w:jc w:val="center"/>
              <w:rPr>
                <w:lang w:val="lv-LV"/>
              </w:rPr>
            </w:pPr>
            <w:r w:rsidRPr="000C3337">
              <w:rPr>
                <w:b/>
                <w:bCs/>
                <w:lang w:val="lv-LV"/>
              </w:rPr>
              <w:t>Rādītāji</w:t>
            </w:r>
          </w:p>
        </w:tc>
        <w:tc>
          <w:tcPr>
            <w:tcW w:w="2563" w:type="dxa"/>
            <w:gridSpan w:val="2"/>
            <w:vMerge w:val="restart"/>
          </w:tcPr>
          <w:p w:rsidR="000C3337" w:rsidRDefault="000C3337" w:rsidP="00661CED">
            <w:pPr>
              <w:jc w:val="center"/>
            </w:pPr>
            <w:r>
              <w:rPr>
                <w:b/>
                <w:bCs/>
              </w:rPr>
              <w:t>2017</w:t>
            </w:r>
            <w:r w:rsidRPr="00802643">
              <w:rPr>
                <w:b/>
                <w:bCs/>
              </w:rPr>
              <w:t>.gads</w:t>
            </w:r>
          </w:p>
        </w:tc>
        <w:tc>
          <w:tcPr>
            <w:tcW w:w="4320" w:type="dxa"/>
            <w:gridSpan w:val="3"/>
          </w:tcPr>
          <w:p w:rsidR="000C3337" w:rsidRPr="000C3337" w:rsidRDefault="000C3337" w:rsidP="00661CED">
            <w:pPr>
              <w:tabs>
                <w:tab w:val="left" w:pos="3480"/>
              </w:tabs>
              <w:jc w:val="center"/>
              <w:rPr>
                <w:b/>
                <w:lang w:val="lv-LV"/>
              </w:rPr>
            </w:pPr>
            <w:r w:rsidRPr="000C3337">
              <w:rPr>
                <w:b/>
                <w:lang w:val="lv-LV"/>
              </w:rPr>
              <w:t>Turpmākie trīs gadi (</w:t>
            </w:r>
            <w:proofErr w:type="spellStart"/>
            <w:r w:rsidRPr="000C3337">
              <w:rPr>
                <w:b/>
                <w:lang w:val="lv-LV"/>
              </w:rPr>
              <w:t>euro</w:t>
            </w:r>
            <w:proofErr w:type="spellEnd"/>
            <w:r w:rsidRPr="000C3337">
              <w:rPr>
                <w:b/>
                <w:lang w:val="lv-LV"/>
              </w:rPr>
              <w:t>)</w:t>
            </w:r>
          </w:p>
        </w:tc>
      </w:tr>
      <w:tr w:rsidR="000C3337" w:rsidTr="00661CED">
        <w:tc>
          <w:tcPr>
            <w:tcW w:w="2405" w:type="dxa"/>
            <w:vMerge/>
          </w:tcPr>
          <w:p w:rsidR="000C3337" w:rsidRPr="000C3337" w:rsidRDefault="000C3337" w:rsidP="00661CED">
            <w:pPr>
              <w:jc w:val="both"/>
              <w:rPr>
                <w:lang w:val="lv-LV"/>
              </w:rPr>
            </w:pPr>
          </w:p>
        </w:tc>
        <w:tc>
          <w:tcPr>
            <w:tcW w:w="2563" w:type="dxa"/>
            <w:gridSpan w:val="2"/>
            <w:vMerge/>
          </w:tcPr>
          <w:p w:rsidR="000C3337" w:rsidRDefault="000C3337" w:rsidP="00661CED">
            <w:pPr>
              <w:jc w:val="both"/>
            </w:pPr>
          </w:p>
        </w:tc>
        <w:tc>
          <w:tcPr>
            <w:tcW w:w="1440" w:type="dxa"/>
          </w:tcPr>
          <w:p w:rsidR="000C3337" w:rsidRPr="00BE099C" w:rsidRDefault="000C3337" w:rsidP="00661CED">
            <w:pPr>
              <w:jc w:val="center"/>
            </w:pPr>
            <w:r>
              <w:rPr>
                <w:b/>
                <w:bCs/>
              </w:rPr>
              <w:t xml:space="preserve"> 2018</w:t>
            </w:r>
            <w:r w:rsidRPr="00BE099C">
              <w:rPr>
                <w:b/>
                <w:bCs/>
              </w:rPr>
              <w:t>.gads</w:t>
            </w:r>
          </w:p>
        </w:tc>
        <w:tc>
          <w:tcPr>
            <w:tcW w:w="1440" w:type="dxa"/>
          </w:tcPr>
          <w:p w:rsidR="000C3337" w:rsidRPr="00BE099C" w:rsidRDefault="000C3337" w:rsidP="00661CED">
            <w:pPr>
              <w:jc w:val="center"/>
            </w:pPr>
            <w:r w:rsidRPr="00BE099C">
              <w:rPr>
                <w:b/>
                <w:bCs/>
              </w:rPr>
              <w:t xml:space="preserve"> 201</w:t>
            </w:r>
            <w:r>
              <w:rPr>
                <w:b/>
                <w:bCs/>
              </w:rPr>
              <w:t>9</w:t>
            </w:r>
            <w:r w:rsidRPr="00BE099C">
              <w:rPr>
                <w:b/>
                <w:bCs/>
              </w:rPr>
              <w:t>.gads</w:t>
            </w:r>
          </w:p>
        </w:tc>
        <w:tc>
          <w:tcPr>
            <w:tcW w:w="1440" w:type="dxa"/>
          </w:tcPr>
          <w:p w:rsidR="000C3337" w:rsidRPr="00BE099C" w:rsidRDefault="000C3337" w:rsidP="00661CED">
            <w:pPr>
              <w:ind w:right="4"/>
              <w:jc w:val="center"/>
            </w:pPr>
            <w:r w:rsidRPr="00BE099C">
              <w:rPr>
                <w:b/>
                <w:bCs/>
              </w:rPr>
              <w:t xml:space="preserve"> 20</w:t>
            </w:r>
            <w:r>
              <w:rPr>
                <w:b/>
                <w:bCs/>
              </w:rPr>
              <w:t>20</w:t>
            </w:r>
            <w:r w:rsidRPr="00BE099C">
              <w:rPr>
                <w:b/>
                <w:bCs/>
              </w:rPr>
              <w:t>.gads</w:t>
            </w:r>
          </w:p>
        </w:tc>
      </w:tr>
      <w:tr w:rsidR="000C3337" w:rsidTr="00661CED">
        <w:tc>
          <w:tcPr>
            <w:tcW w:w="2405" w:type="dxa"/>
            <w:vMerge/>
          </w:tcPr>
          <w:p w:rsidR="000C3337" w:rsidRPr="000C3337" w:rsidRDefault="000C3337" w:rsidP="00661CED">
            <w:pPr>
              <w:jc w:val="both"/>
              <w:rPr>
                <w:lang w:val="lv-LV"/>
              </w:rPr>
            </w:pPr>
          </w:p>
        </w:tc>
        <w:tc>
          <w:tcPr>
            <w:tcW w:w="1123" w:type="dxa"/>
          </w:tcPr>
          <w:p w:rsidR="000C3337" w:rsidRPr="00BD2789" w:rsidRDefault="000C3337" w:rsidP="00661CED">
            <w:pPr>
              <w:jc w:val="both"/>
              <w:rPr>
                <w:lang w:val="lv-LV"/>
              </w:rPr>
            </w:pPr>
            <w:r>
              <w:t> </w:t>
            </w:r>
            <w:r w:rsidRPr="00BD2789">
              <w:rPr>
                <w:lang w:val="lv-LV"/>
              </w:rPr>
              <w:t>Saskaņā ar valsts budžetu kārtējam gadam</w:t>
            </w:r>
          </w:p>
        </w:tc>
        <w:tc>
          <w:tcPr>
            <w:tcW w:w="1440" w:type="dxa"/>
          </w:tcPr>
          <w:p w:rsidR="000C3337" w:rsidRPr="00E65D90" w:rsidRDefault="000C3337" w:rsidP="00661CED">
            <w:pPr>
              <w:ind w:left="-61"/>
              <w:jc w:val="both"/>
              <w:rPr>
                <w:lang w:val="lv-LV"/>
              </w:rPr>
            </w:pPr>
            <w:r w:rsidRPr="00E65D90">
              <w:rPr>
                <w:lang w:val="lv-LV"/>
              </w:rPr>
              <w:t> Izmaiņas kārtējā gadā, salīdzinot ar budžetu kārtējam gadam</w:t>
            </w:r>
          </w:p>
        </w:tc>
        <w:tc>
          <w:tcPr>
            <w:tcW w:w="1440" w:type="dxa"/>
          </w:tcPr>
          <w:p w:rsidR="000C3337" w:rsidRPr="00463E86" w:rsidRDefault="000C3337" w:rsidP="00661CED">
            <w:pPr>
              <w:ind w:left="-108"/>
              <w:jc w:val="both"/>
              <w:rPr>
                <w:lang w:val="lv-LV"/>
              </w:rPr>
            </w:pPr>
            <w:r w:rsidRPr="00463E86">
              <w:rPr>
                <w:lang w:val="lv-LV"/>
              </w:rPr>
              <w:t>Izmaiņas, salīdzinot ar kārtējo (n) gadu</w:t>
            </w:r>
          </w:p>
        </w:tc>
        <w:tc>
          <w:tcPr>
            <w:tcW w:w="1440" w:type="dxa"/>
          </w:tcPr>
          <w:p w:rsidR="000C3337" w:rsidRDefault="000C3337" w:rsidP="00661CED">
            <w:pPr>
              <w:tabs>
                <w:tab w:val="left" w:pos="0"/>
              </w:tabs>
              <w:ind w:right="-108"/>
              <w:jc w:val="both"/>
            </w:pPr>
            <w:proofErr w:type="spellStart"/>
            <w:r>
              <w:t>Izmaiņas</w:t>
            </w:r>
            <w:proofErr w:type="spellEnd"/>
            <w:r>
              <w:t xml:space="preserve">, </w:t>
            </w:r>
            <w:proofErr w:type="spellStart"/>
            <w:r>
              <w:t>salīdzinot</w:t>
            </w:r>
            <w:proofErr w:type="spellEnd"/>
            <w:r>
              <w:t xml:space="preserve"> </w:t>
            </w:r>
            <w:proofErr w:type="spellStart"/>
            <w:r>
              <w:t>ar</w:t>
            </w:r>
            <w:proofErr w:type="spellEnd"/>
            <w:r>
              <w:t xml:space="preserve"> </w:t>
            </w:r>
            <w:proofErr w:type="spellStart"/>
            <w:r>
              <w:t>kārtējo</w:t>
            </w:r>
            <w:proofErr w:type="spellEnd"/>
            <w:r>
              <w:t xml:space="preserve"> (n) </w:t>
            </w:r>
            <w:proofErr w:type="spellStart"/>
            <w:r>
              <w:t>gadu</w:t>
            </w:r>
            <w:proofErr w:type="spellEnd"/>
          </w:p>
        </w:tc>
        <w:tc>
          <w:tcPr>
            <w:tcW w:w="1440" w:type="dxa"/>
          </w:tcPr>
          <w:p w:rsidR="000C3337" w:rsidRDefault="000C3337" w:rsidP="00661CED">
            <w:pPr>
              <w:jc w:val="both"/>
            </w:pPr>
            <w:r>
              <w:t> </w:t>
            </w:r>
            <w:proofErr w:type="spellStart"/>
            <w:r>
              <w:t>Izmaiņas</w:t>
            </w:r>
            <w:proofErr w:type="spellEnd"/>
            <w:r>
              <w:t xml:space="preserve">, </w:t>
            </w:r>
            <w:proofErr w:type="spellStart"/>
            <w:r>
              <w:t>salīdzinot</w:t>
            </w:r>
            <w:proofErr w:type="spellEnd"/>
            <w:r>
              <w:t xml:space="preserve"> </w:t>
            </w:r>
            <w:proofErr w:type="spellStart"/>
            <w:r>
              <w:t>ar</w:t>
            </w:r>
            <w:proofErr w:type="spellEnd"/>
            <w:r>
              <w:t xml:space="preserve"> </w:t>
            </w:r>
            <w:proofErr w:type="spellStart"/>
            <w:r>
              <w:t>kārtējo</w:t>
            </w:r>
            <w:proofErr w:type="spellEnd"/>
            <w:r>
              <w:t xml:space="preserve"> (n) </w:t>
            </w:r>
            <w:proofErr w:type="spellStart"/>
            <w:r>
              <w:t>gadu</w:t>
            </w:r>
            <w:proofErr w:type="spellEnd"/>
          </w:p>
        </w:tc>
      </w:tr>
      <w:tr w:rsidR="000C3337" w:rsidTr="00661CED">
        <w:tc>
          <w:tcPr>
            <w:tcW w:w="2405" w:type="dxa"/>
          </w:tcPr>
          <w:p w:rsidR="000C3337" w:rsidRPr="000C3337" w:rsidRDefault="000C3337" w:rsidP="00661CED">
            <w:pPr>
              <w:jc w:val="center"/>
              <w:rPr>
                <w:lang w:val="lv-LV"/>
              </w:rPr>
            </w:pPr>
            <w:r w:rsidRPr="000C3337">
              <w:rPr>
                <w:lang w:val="lv-LV"/>
              </w:rPr>
              <w:t>1</w:t>
            </w:r>
          </w:p>
        </w:tc>
        <w:tc>
          <w:tcPr>
            <w:tcW w:w="1123" w:type="dxa"/>
          </w:tcPr>
          <w:p w:rsidR="000C3337" w:rsidRDefault="000C3337" w:rsidP="00661CED">
            <w:pPr>
              <w:jc w:val="center"/>
            </w:pPr>
            <w:r>
              <w:t>2</w:t>
            </w:r>
          </w:p>
        </w:tc>
        <w:tc>
          <w:tcPr>
            <w:tcW w:w="1440" w:type="dxa"/>
          </w:tcPr>
          <w:p w:rsidR="000C3337" w:rsidRDefault="000C3337" w:rsidP="00661CED">
            <w:pPr>
              <w:jc w:val="center"/>
            </w:pPr>
            <w:r>
              <w:t>3</w:t>
            </w:r>
          </w:p>
        </w:tc>
        <w:tc>
          <w:tcPr>
            <w:tcW w:w="1440" w:type="dxa"/>
          </w:tcPr>
          <w:p w:rsidR="000C3337" w:rsidRDefault="000C3337" w:rsidP="00661CED">
            <w:pPr>
              <w:jc w:val="center"/>
            </w:pPr>
            <w:r>
              <w:t>4</w:t>
            </w:r>
          </w:p>
        </w:tc>
        <w:tc>
          <w:tcPr>
            <w:tcW w:w="1440" w:type="dxa"/>
          </w:tcPr>
          <w:p w:rsidR="000C3337" w:rsidRDefault="000C3337" w:rsidP="00661CED">
            <w:pPr>
              <w:jc w:val="center"/>
            </w:pPr>
            <w:r>
              <w:t>5</w:t>
            </w:r>
          </w:p>
        </w:tc>
        <w:tc>
          <w:tcPr>
            <w:tcW w:w="1440" w:type="dxa"/>
          </w:tcPr>
          <w:p w:rsidR="000C3337" w:rsidRDefault="000C3337" w:rsidP="00661CED">
            <w:pPr>
              <w:jc w:val="center"/>
            </w:pPr>
            <w:r>
              <w:t>6</w:t>
            </w:r>
          </w:p>
        </w:tc>
      </w:tr>
      <w:tr w:rsidR="000C3337" w:rsidTr="00661CED">
        <w:tc>
          <w:tcPr>
            <w:tcW w:w="2405" w:type="dxa"/>
          </w:tcPr>
          <w:p w:rsidR="000C3337" w:rsidRPr="000C3337" w:rsidRDefault="000C3337" w:rsidP="00661CED">
            <w:pPr>
              <w:jc w:val="both"/>
              <w:rPr>
                <w:lang w:val="lv-LV"/>
              </w:rPr>
            </w:pPr>
            <w:r w:rsidRPr="000C3337">
              <w:rPr>
                <w:lang w:val="lv-LV"/>
              </w:rPr>
              <w:t>1. Budžeta ieņēmumi:</w:t>
            </w:r>
          </w:p>
        </w:tc>
        <w:tc>
          <w:tcPr>
            <w:tcW w:w="1123"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FA1F11"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1.1. valsts pamatbudžets, tai skaitā ieņēmumi no maksas pakalpo-</w:t>
            </w:r>
            <w:proofErr w:type="spellStart"/>
            <w:r w:rsidRPr="000C3337">
              <w:rPr>
                <w:lang w:val="lv-LV"/>
              </w:rPr>
              <w:t>jumiem</w:t>
            </w:r>
            <w:proofErr w:type="spellEnd"/>
            <w:r w:rsidRPr="000C3337">
              <w:rPr>
                <w:lang w:val="lv-LV"/>
              </w:rPr>
              <w:t xml:space="preserve"> un citi pašu ieņēmumi</w:t>
            </w:r>
          </w:p>
        </w:tc>
        <w:tc>
          <w:tcPr>
            <w:tcW w:w="1123"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1.2. valsts speciālais budžets</w:t>
            </w:r>
          </w:p>
        </w:tc>
        <w:tc>
          <w:tcPr>
            <w:tcW w:w="1123"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1.3. pašvaldību budžets</w:t>
            </w:r>
          </w:p>
        </w:tc>
        <w:tc>
          <w:tcPr>
            <w:tcW w:w="1123"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2. Budžeta izdevumi:</w:t>
            </w:r>
          </w:p>
        </w:tc>
        <w:tc>
          <w:tcPr>
            <w:tcW w:w="1123" w:type="dxa"/>
          </w:tcPr>
          <w:p w:rsidR="000C3337" w:rsidRDefault="000C3337" w:rsidP="00661CED">
            <w:pPr>
              <w:jc w:val="center"/>
            </w:pPr>
            <w:r>
              <w:t>0</w:t>
            </w:r>
          </w:p>
        </w:tc>
        <w:tc>
          <w:tcPr>
            <w:tcW w:w="1440" w:type="dxa"/>
          </w:tcPr>
          <w:p w:rsidR="000C3337" w:rsidRPr="009941DE" w:rsidRDefault="00F5347E" w:rsidP="000754BC">
            <w:pPr>
              <w:jc w:val="center"/>
            </w:pPr>
            <w:r>
              <w:t>1</w:t>
            </w:r>
            <w:r w:rsidR="000754BC">
              <w:t>24</w:t>
            </w:r>
            <w:r w:rsidR="00700DBB">
              <w:t xml:space="preserve"> </w:t>
            </w:r>
            <w:r w:rsidR="000754BC">
              <w:t>3</w:t>
            </w:r>
            <w:r w:rsidR="00700DBB">
              <w:t>00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2.1. valsts pamatbudžets</w:t>
            </w:r>
          </w:p>
        </w:tc>
        <w:tc>
          <w:tcPr>
            <w:tcW w:w="1123" w:type="dxa"/>
          </w:tcPr>
          <w:p w:rsidR="000C3337" w:rsidRDefault="000C3337" w:rsidP="00661CED">
            <w:pPr>
              <w:jc w:val="center"/>
            </w:pPr>
            <w:r>
              <w:t>0</w:t>
            </w:r>
          </w:p>
        </w:tc>
        <w:tc>
          <w:tcPr>
            <w:tcW w:w="1440" w:type="dxa"/>
          </w:tcPr>
          <w:p w:rsidR="000C3337" w:rsidRPr="009941DE" w:rsidRDefault="00F5347E" w:rsidP="000754BC">
            <w:pPr>
              <w:jc w:val="center"/>
            </w:pPr>
            <w:r>
              <w:t>1</w:t>
            </w:r>
            <w:r w:rsidR="000754BC">
              <w:t>24</w:t>
            </w:r>
            <w:r w:rsidR="00700DBB">
              <w:t xml:space="preserve"> </w:t>
            </w:r>
            <w:r w:rsidR="000754BC">
              <w:t>3</w:t>
            </w:r>
            <w:r w:rsidR="00700DBB">
              <w:t>00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lastRenderedPageBreak/>
              <w:t>2.2. valsts speciālais budžets</w:t>
            </w:r>
          </w:p>
        </w:tc>
        <w:tc>
          <w:tcPr>
            <w:tcW w:w="1123" w:type="dxa"/>
          </w:tcPr>
          <w:p w:rsidR="000C3337" w:rsidRDefault="000C3337" w:rsidP="00661CED">
            <w:pPr>
              <w:jc w:val="center"/>
            </w:pPr>
            <w:r>
              <w:t>0</w:t>
            </w:r>
          </w:p>
        </w:tc>
        <w:tc>
          <w:tcPr>
            <w:tcW w:w="1440" w:type="dxa"/>
          </w:tcPr>
          <w:p w:rsidR="000C3337" w:rsidRPr="009941DE" w:rsidRDefault="000C3337" w:rsidP="00661CED">
            <w:pPr>
              <w:jc w:val="center"/>
            </w:pPr>
            <w:r w:rsidRPr="009941DE">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2.3. pašvaldību budžets</w:t>
            </w:r>
          </w:p>
        </w:tc>
        <w:tc>
          <w:tcPr>
            <w:tcW w:w="1123" w:type="dxa"/>
          </w:tcPr>
          <w:p w:rsidR="000C3337" w:rsidRDefault="000C3337" w:rsidP="00661CED">
            <w:pPr>
              <w:jc w:val="center"/>
            </w:pPr>
            <w:r>
              <w:t>0</w:t>
            </w:r>
          </w:p>
        </w:tc>
        <w:tc>
          <w:tcPr>
            <w:tcW w:w="1440" w:type="dxa"/>
          </w:tcPr>
          <w:p w:rsidR="000C3337" w:rsidRPr="009941DE" w:rsidRDefault="000C3337" w:rsidP="00661CED">
            <w:pPr>
              <w:jc w:val="center"/>
            </w:pPr>
            <w:r w:rsidRPr="009941DE">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3. Finansiālā ietekme:</w:t>
            </w:r>
          </w:p>
        </w:tc>
        <w:tc>
          <w:tcPr>
            <w:tcW w:w="1123" w:type="dxa"/>
          </w:tcPr>
          <w:p w:rsidR="000C3337" w:rsidRDefault="000C3337" w:rsidP="00661CED">
            <w:pPr>
              <w:jc w:val="center"/>
            </w:pPr>
            <w:r>
              <w:t>0</w:t>
            </w:r>
          </w:p>
        </w:tc>
        <w:tc>
          <w:tcPr>
            <w:tcW w:w="1440" w:type="dxa"/>
          </w:tcPr>
          <w:p w:rsidR="000C3337" w:rsidRPr="009941DE" w:rsidRDefault="00700DBB" w:rsidP="000754BC">
            <w:pPr>
              <w:jc w:val="center"/>
            </w:pPr>
            <w:r>
              <w:t xml:space="preserve">- </w:t>
            </w:r>
            <w:r w:rsidR="00F5347E">
              <w:t>1</w:t>
            </w:r>
            <w:r w:rsidR="000754BC">
              <w:t>24</w:t>
            </w:r>
            <w:r>
              <w:t xml:space="preserve"> </w:t>
            </w:r>
            <w:r w:rsidR="000754BC">
              <w:t>3</w:t>
            </w:r>
            <w:r>
              <w:t>00</w:t>
            </w:r>
          </w:p>
        </w:tc>
        <w:tc>
          <w:tcPr>
            <w:tcW w:w="1440" w:type="dxa"/>
          </w:tcPr>
          <w:p w:rsidR="000C3337" w:rsidRDefault="00FA1F11"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3.1. valsts pamatbudžets</w:t>
            </w:r>
          </w:p>
        </w:tc>
        <w:tc>
          <w:tcPr>
            <w:tcW w:w="1123" w:type="dxa"/>
          </w:tcPr>
          <w:p w:rsidR="000C3337" w:rsidRDefault="000C3337" w:rsidP="00661CED">
            <w:pPr>
              <w:jc w:val="center"/>
            </w:pPr>
            <w:r>
              <w:t>0</w:t>
            </w:r>
          </w:p>
        </w:tc>
        <w:tc>
          <w:tcPr>
            <w:tcW w:w="1440" w:type="dxa"/>
          </w:tcPr>
          <w:p w:rsidR="000C3337" w:rsidRPr="009941DE" w:rsidRDefault="00700DBB" w:rsidP="000754BC">
            <w:pPr>
              <w:jc w:val="center"/>
            </w:pPr>
            <w:r>
              <w:t xml:space="preserve">- </w:t>
            </w:r>
            <w:r w:rsidR="00F5347E">
              <w:t>1</w:t>
            </w:r>
            <w:r w:rsidR="000754BC">
              <w:t>24</w:t>
            </w:r>
            <w:r w:rsidR="0077622C">
              <w:t xml:space="preserve"> </w:t>
            </w:r>
            <w:r w:rsidR="000754BC">
              <w:t>3</w:t>
            </w:r>
            <w:r w:rsidR="0077622C">
              <w:t>00</w:t>
            </w:r>
          </w:p>
        </w:tc>
        <w:tc>
          <w:tcPr>
            <w:tcW w:w="1440" w:type="dxa"/>
          </w:tcPr>
          <w:p w:rsidR="000C3337" w:rsidRDefault="00FA1F11"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3.2. speciālais budžets</w:t>
            </w:r>
          </w:p>
        </w:tc>
        <w:tc>
          <w:tcPr>
            <w:tcW w:w="1123" w:type="dxa"/>
          </w:tcPr>
          <w:p w:rsidR="000C3337" w:rsidRDefault="000C3337" w:rsidP="00661CED">
            <w:pPr>
              <w:jc w:val="center"/>
            </w:pPr>
            <w:r>
              <w:t>0</w:t>
            </w:r>
          </w:p>
        </w:tc>
        <w:tc>
          <w:tcPr>
            <w:tcW w:w="1440" w:type="dxa"/>
          </w:tcPr>
          <w:p w:rsidR="000C3337" w:rsidRPr="009941DE" w:rsidRDefault="000C3337" w:rsidP="00661CED">
            <w:pPr>
              <w:jc w:val="center"/>
            </w:pPr>
            <w:r w:rsidRPr="009941DE">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3.3. pašvaldību budžets</w:t>
            </w:r>
          </w:p>
        </w:tc>
        <w:tc>
          <w:tcPr>
            <w:tcW w:w="1123" w:type="dxa"/>
          </w:tcPr>
          <w:p w:rsidR="000C3337" w:rsidRDefault="000C3337" w:rsidP="00661CED">
            <w:pPr>
              <w:jc w:val="center"/>
            </w:pPr>
            <w:r>
              <w:t>0</w:t>
            </w:r>
          </w:p>
        </w:tc>
        <w:tc>
          <w:tcPr>
            <w:tcW w:w="1440" w:type="dxa"/>
          </w:tcPr>
          <w:p w:rsidR="000C3337" w:rsidRPr="009941DE" w:rsidRDefault="000C3337" w:rsidP="00661CED">
            <w:pPr>
              <w:jc w:val="center"/>
            </w:pPr>
            <w:r w:rsidRPr="009941DE">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vMerge w:val="restart"/>
          </w:tcPr>
          <w:p w:rsidR="000C3337" w:rsidRPr="000C3337" w:rsidRDefault="000C3337" w:rsidP="00661CED">
            <w:pPr>
              <w:jc w:val="both"/>
              <w:rPr>
                <w:lang w:val="lv-LV"/>
              </w:rPr>
            </w:pPr>
            <w:r w:rsidRPr="000C3337">
              <w:rPr>
                <w:lang w:val="lv-LV"/>
              </w:rPr>
              <w:t>4. Finanšu līdzekļi papildu izde</w:t>
            </w:r>
            <w:r w:rsidRPr="000C3337">
              <w:rPr>
                <w:lang w:val="lv-LV"/>
              </w:rPr>
              <w:softHyphen/>
              <w:t>vumu finansēšanai (kompensējošu izdevumu samazinājumu norāda ar "+" zīmi)</w:t>
            </w:r>
          </w:p>
        </w:tc>
        <w:tc>
          <w:tcPr>
            <w:tcW w:w="1123" w:type="dxa"/>
            <w:vMerge w:val="restart"/>
          </w:tcPr>
          <w:p w:rsidR="000C3337" w:rsidRDefault="000C3337" w:rsidP="00661CED">
            <w:pPr>
              <w:jc w:val="center"/>
            </w:pPr>
            <w:r>
              <w:t>X</w:t>
            </w:r>
          </w:p>
        </w:tc>
        <w:tc>
          <w:tcPr>
            <w:tcW w:w="1440" w:type="dxa"/>
          </w:tcPr>
          <w:p w:rsidR="000C3337" w:rsidRPr="009941DE" w:rsidRDefault="000C3337" w:rsidP="00661CED">
            <w:pPr>
              <w:jc w:val="center"/>
            </w:pPr>
            <w:r w:rsidRPr="009941DE">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vMerge/>
          </w:tcPr>
          <w:p w:rsidR="000C3337" w:rsidRPr="000C3337" w:rsidRDefault="000C3337" w:rsidP="00661CED">
            <w:pPr>
              <w:jc w:val="both"/>
              <w:rPr>
                <w:lang w:val="lv-LV"/>
              </w:rPr>
            </w:pPr>
          </w:p>
        </w:tc>
        <w:tc>
          <w:tcPr>
            <w:tcW w:w="1123" w:type="dxa"/>
            <w:vMerge/>
          </w:tcPr>
          <w:p w:rsidR="000C3337" w:rsidRDefault="000C3337" w:rsidP="00661CED">
            <w:pPr>
              <w:jc w:val="both"/>
            </w:pPr>
          </w:p>
        </w:tc>
        <w:tc>
          <w:tcPr>
            <w:tcW w:w="1440" w:type="dxa"/>
          </w:tcPr>
          <w:p w:rsidR="000C3337" w:rsidRPr="009941DE" w:rsidRDefault="000C3337" w:rsidP="00661CED">
            <w:pPr>
              <w:jc w:val="center"/>
            </w:pPr>
            <w:r w:rsidRPr="009941DE">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vMerge/>
          </w:tcPr>
          <w:p w:rsidR="000C3337" w:rsidRPr="000C3337" w:rsidRDefault="000C3337" w:rsidP="00661CED">
            <w:pPr>
              <w:jc w:val="both"/>
              <w:rPr>
                <w:lang w:val="lv-LV"/>
              </w:rPr>
            </w:pPr>
          </w:p>
        </w:tc>
        <w:tc>
          <w:tcPr>
            <w:tcW w:w="1123" w:type="dxa"/>
            <w:vMerge/>
          </w:tcPr>
          <w:p w:rsidR="000C3337" w:rsidRDefault="000C3337" w:rsidP="00661CED">
            <w:pPr>
              <w:jc w:val="both"/>
            </w:pPr>
          </w:p>
        </w:tc>
        <w:tc>
          <w:tcPr>
            <w:tcW w:w="1440" w:type="dxa"/>
          </w:tcPr>
          <w:p w:rsidR="000C3337" w:rsidRPr="009941DE" w:rsidRDefault="0077622C" w:rsidP="00FA1F11">
            <w:pPr>
              <w:jc w:val="center"/>
            </w:pPr>
            <w:r>
              <w:t xml:space="preserve">+ </w:t>
            </w:r>
            <w:r w:rsidR="00F5347E">
              <w:t>1</w:t>
            </w:r>
            <w:r w:rsidR="00FA1F11">
              <w:t>24</w:t>
            </w:r>
            <w:r>
              <w:t xml:space="preserve"> </w:t>
            </w:r>
            <w:r w:rsidR="00FA1F11">
              <w:t>3</w:t>
            </w:r>
            <w:r>
              <w:t>00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5. Precizēta finansiālā ietekme:</w:t>
            </w:r>
          </w:p>
        </w:tc>
        <w:tc>
          <w:tcPr>
            <w:tcW w:w="1123" w:type="dxa"/>
            <w:vMerge w:val="restart"/>
          </w:tcPr>
          <w:p w:rsidR="000C3337" w:rsidRDefault="000C3337" w:rsidP="00661CED">
            <w:pPr>
              <w:jc w:val="center"/>
            </w:pPr>
            <w:r>
              <w:t>X</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5.1. valsts pamatbudžets</w:t>
            </w:r>
          </w:p>
        </w:tc>
        <w:tc>
          <w:tcPr>
            <w:tcW w:w="1123" w:type="dxa"/>
            <w:vMerge/>
          </w:tcPr>
          <w:p w:rsidR="000C3337" w:rsidRDefault="000C3337" w:rsidP="00661CED">
            <w:pPr>
              <w:jc w:val="both"/>
            </w:pP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5.2. speciālais budžets</w:t>
            </w:r>
          </w:p>
        </w:tc>
        <w:tc>
          <w:tcPr>
            <w:tcW w:w="1123" w:type="dxa"/>
            <w:vMerge/>
          </w:tcPr>
          <w:p w:rsidR="000C3337" w:rsidRDefault="000C3337" w:rsidP="00661CED">
            <w:pPr>
              <w:jc w:val="both"/>
            </w:pP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Tr="00661CED">
        <w:tc>
          <w:tcPr>
            <w:tcW w:w="2405" w:type="dxa"/>
          </w:tcPr>
          <w:p w:rsidR="000C3337" w:rsidRPr="000C3337" w:rsidRDefault="000C3337" w:rsidP="00661CED">
            <w:pPr>
              <w:jc w:val="both"/>
              <w:rPr>
                <w:lang w:val="lv-LV"/>
              </w:rPr>
            </w:pPr>
            <w:r w:rsidRPr="000C3337">
              <w:rPr>
                <w:lang w:val="lv-LV"/>
              </w:rPr>
              <w:t> 5.3. pašvaldību budžets</w:t>
            </w:r>
          </w:p>
        </w:tc>
        <w:tc>
          <w:tcPr>
            <w:tcW w:w="1123" w:type="dxa"/>
            <w:vMerge/>
          </w:tcPr>
          <w:p w:rsidR="000C3337" w:rsidRDefault="000C3337" w:rsidP="00661CED">
            <w:pPr>
              <w:jc w:val="both"/>
            </w:pP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c>
          <w:tcPr>
            <w:tcW w:w="1440" w:type="dxa"/>
          </w:tcPr>
          <w:p w:rsidR="000C3337" w:rsidRDefault="000C3337" w:rsidP="00661CED">
            <w:pPr>
              <w:jc w:val="center"/>
            </w:pPr>
            <w:r>
              <w:t>0</w:t>
            </w:r>
          </w:p>
        </w:tc>
      </w:tr>
      <w:tr w:rsidR="000C3337" w:rsidRPr="005317BD" w:rsidTr="00661CED">
        <w:tc>
          <w:tcPr>
            <w:tcW w:w="2405" w:type="dxa"/>
          </w:tcPr>
          <w:p w:rsidR="000C3337" w:rsidRPr="000C3337" w:rsidRDefault="000C3337" w:rsidP="00661CED">
            <w:pPr>
              <w:jc w:val="both"/>
              <w:rPr>
                <w:lang w:val="lv-LV"/>
              </w:rPr>
            </w:pPr>
            <w:r w:rsidRPr="000C3337">
              <w:rPr>
                <w:lang w:val="lv-LV"/>
              </w:rPr>
              <w:t>6. Detalizēts ieņēmumu un izdevu</w:t>
            </w:r>
            <w:r w:rsidRPr="000C3337">
              <w:rPr>
                <w:lang w:val="lv-LV"/>
              </w:rPr>
              <w:softHyphen/>
              <w:t>mu aprēķins (ja nepieciešams, detalizētu ieņēmumu un izdevumu aprēķinu var pievienot anotācijas pielikumā):</w:t>
            </w:r>
          </w:p>
        </w:tc>
        <w:tc>
          <w:tcPr>
            <w:tcW w:w="6883" w:type="dxa"/>
            <w:gridSpan w:val="5"/>
          </w:tcPr>
          <w:p w:rsidR="00F5347E" w:rsidRDefault="005E7E26" w:rsidP="00F5347E">
            <w:pPr>
              <w:jc w:val="both"/>
              <w:rPr>
                <w:bCs/>
                <w:szCs w:val="28"/>
                <w:lang w:val="lv-LV"/>
              </w:rPr>
            </w:pPr>
            <w:r>
              <w:rPr>
                <w:lang w:val="lv-LV"/>
              </w:rPr>
              <w:t xml:space="preserve">Saskaņā ar PVD aptuvenajiem aprēķiniem novietnē, piespiedu kārtā nogalinot tur esošos cūku sugas dzīvniekus, radīsies aptuveni </w:t>
            </w:r>
            <w:r w:rsidR="00F5347E">
              <w:rPr>
                <w:lang w:val="lv-LV"/>
              </w:rPr>
              <w:t>50</w:t>
            </w:r>
            <w:r>
              <w:rPr>
                <w:lang w:val="lv-LV"/>
              </w:rPr>
              <w:t>0 tonnas dzīvnieku izcelsmes blakusproduktu. No tiem 4</w:t>
            </w:r>
            <w:r w:rsidR="00F5347E">
              <w:rPr>
                <w:lang w:val="lv-LV"/>
              </w:rPr>
              <w:t>5</w:t>
            </w:r>
            <w:r>
              <w:rPr>
                <w:lang w:val="lv-LV"/>
              </w:rPr>
              <w:t>0 tonnas plānots pārstrādāt SIA “</w:t>
            </w:r>
            <w:proofErr w:type="spellStart"/>
            <w:r>
              <w:rPr>
                <w:lang w:val="lv-LV"/>
              </w:rPr>
              <w:t>Grow</w:t>
            </w:r>
            <w:proofErr w:type="spellEnd"/>
            <w:r>
              <w:rPr>
                <w:lang w:val="lv-LV"/>
              </w:rPr>
              <w:t xml:space="preserve"> </w:t>
            </w:r>
            <w:proofErr w:type="spellStart"/>
            <w:r w:rsidRPr="000C3337">
              <w:rPr>
                <w:bCs/>
                <w:szCs w:val="28"/>
                <w:lang w:val="lv-LV"/>
              </w:rPr>
              <w:t>Energy</w:t>
            </w:r>
            <w:proofErr w:type="spellEnd"/>
            <w:r w:rsidRPr="000C3337">
              <w:rPr>
                <w:bCs/>
                <w:szCs w:val="28"/>
                <w:lang w:val="lv-LV"/>
              </w:rPr>
              <w:t>”</w:t>
            </w:r>
            <w:r>
              <w:rPr>
                <w:bCs/>
                <w:szCs w:val="28"/>
                <w:lang w:val="lv-LV"/>
              </w:rPr>
              <w:t xml:space="preserve"> un </w:t>
            </w:r>
            <w:r w:rsidR="00F5347E">
              <w:rPr>
                <w:bCs/>
                <w:szCs w:val="28"/>
                <w:lang w:val="lv-LV"/>
              </w:rPr>
              <w:t>5</w:t>
            </w:r>
            <w:r>
              <w:rPr>
                <w:bCs/>
                <w:szCs w:val="28"/>
                <w:lang w:val="lv-LV"/>
              </w:rPr>
              <w:t xml:space="preserve">0 tonnas </w:t>
            </w:r>
            <w:r w:rsidRPr="000C3337">
              <w:rPr>
                <w:bCs/>
                <w:szCs w:val="28"/>
                <w:lang w:val="lv-LV"/>
              </w:rPr>
              <w:t>Dienvidlatgales pārvaldes dzīvnieku izcelsmes blakusproduktu sadedzināšanas iekārt</w:t>
            </w:r>
            <w:r>
              <w:rPr>
                <w:bCs/>
                <w:szCs w:val="28"/>
                <w:lang w:val="lv-LV"/>
              </w:rPr>
              <w:t>ā</w:t>
            </w:r>
            <w:r w:rsidRPr="000C3337">
              <w:rPr>
                <w:bCs/>
                <w:szCs w:val="28"/>
                <w:lang w:val="lv-LV"/>
              </w:rPr>
              <w:t xml:space="preserve"> “</w:t>
            </w:r>
            <w:proofErr w:type="spellStart"/>
            <w:r w:rsidRPr="000C3337">
              <w:rPr>
                <w:bCs/>
                <w:szCs w:val="28"/>
                <w:lang w:val="lv-LV"/>
              </w:rPr>
              <w:t>Hurikan</w:t>
            </w:r>
            <w:proofErr w:type="spellEnd"/>
            <w:r w:rsidRPr="000C3337">
              <w:rPr>
                <w:bCs/>
                <w:szCs w:val="28"/>
                <w:lang w:val="lv-LV"/>
              </w:rPr>
              <w:t xml:space="preserve"> PRO 1000”</w:t>
            </w:r>
            <w:r>
              <w:rPr>
                <w:bCs/>
                <w:szCs w:val="28"/>
                <w:lang w:val="lv-LV"/>
              </w:rPr>
              <w:t>. SIA “</w:t>
            </w:r>
            <w:proofErr w:type="spellStart"/>
            <w:r>
              <w:rPr>
                <w:bCs/>
                <w:szCs w:val="28"/>
                <w:lang w:val="lv-LV"/>
              </w:rPr>
              <w:t>Grow</w:t>
            </w:r>
            <w:proofErr w:type="spellEnd"/>
            <w:r>
              <w:rPr>
                <w:bCs/>
                <w:szCs w:val="28"/>
                <w:lang w:val="lv-LV"/>
              </w:rPr>
              <w:t xml:space="preserve"> </w:t>
            </w:r>
            <w:proofErr w:type="spellStart"/>
            <w:r>
              <w:rPr>
                <w:bCs/>
                <w:szCs w:val="28"/>
                <w:lang w:val="lv-LV"/>
              </w:rPr>
              <w:t>Energy</w:t>
            </w:r>
            <w:proofErr w:type="spellEnd"/>
            <w:r>
              <w:rPr>
                <w:bCs/>
                <w:szCs w:val="28"/>
                <w:lang w:val="lv-LV"/>
              </w:rPr>
              <w:t xml:space="preserve">” 1 tonna dzīvnieku izcelsmes blakusproduktu pārstrāde izmaksā 230 </w:t>
            </w:r>
            <w:proofErr w:type="spellStart"/>
            <w:r w:rsidRPr="000C3337">
              <w:rPr>
                <w:bCs/>
                <w:i/>
                <w:szCs w:val="28"/>
                <w:lang w:val="lv-LV"/>
              </w:rPr>
              <w:t>euro</w:t>
            </w:r>
            <w:proofErr w:type="spellEnd"/>
            <w:r w:rsidR="00F5347E">
              <w:rPr>
                <w:bCs/>
                <w:i/>
                <w:szCs w:val="28"/>
                <w:lang w:val="lv-LV"/>
              </w:rPr>
              <w:t xml:space="preserve"> </w:t>
            </w:r>
            <w:proofErr w:type="gramStart"/>
            <w:r w:rsidR="00F5347E">
              <w:rPr>
                <w:bCs/>
                <w:szCs w:val="28"/>
                <w:lang w:val="lv-LV"/>
              </w:rPr>
              <w:t>(</w:t>
            </w:r>
            <w:proofErr w:type="gramEnd"/>
            <w:r w:rsidR="00F5347E">
              <w:rPr>
                <w:bCs/>
                <w:szCs w:val="28"/>
                <w:lang w:val="lv-LV"/>
              </w:rPr>
              <w:t>t.sk. par elektrību – 30</w:t>
            </w:r>
            <w:r w:rsidR="000754BC">
              <w:rPr>
                <w:bCs/>
                <w:szCs w:val="28"/>
                <w:lang w:val="lv-LV"/>
              </w:rPr>
              <w:t>,</w:t>
            </w:r>
            <w:r w:rsidR="00F5347E">
              <w:rPr>
                <w:bCs/>
                <w:szCs w:val="28"/>
                <w:lang w:val="lv-LV"/>
              </w:rPr>
              <w:t xml:space="preserve">00 </w:t>
            </w:r>
            <w:proofErr w:type="spellStart"/>
            <w:r w:rsidR="00F5347E" w:rsidRPr="00F5347E">
              <w:rPr>
                <w:bCs/>
                <w:i/>
                <w:szCs w:val="28"/>
                <w:lang w:val="lv-LV"/>
              </w:rPr>
              <w:t>euro</w:t>
            </w:r>
            <w:proofErr w:type="spellEnd"/>
            <w:r w:rsidR="00F5347E">
              <w:rPr>
                <w:bCs/>
                <w:szCs w:val="28"/>
                <w:lang w:val="lv-LV"/>
              </w:rPr>
              <w:t>, siltumenerģiju – 69</w:t>
            </w:r>
            <w:r w:rsidR="000754BC">
              <w:rPr>
                <w:bCs/>
                <w:szCs w:val="28"/>
                <w:lang w:val="lv-LV"/>
              </w:rPr>
              <w:t>,</w:t>
            </w:r>
            <w:r w:rsidR="00F5347E">
              <w:rPr>
                <w:bCs/>
                <w:szCs w:val="28"/>
                <w:lang w:val="lv-LV"/>
              </w:rPr>
              <w:t xml:space="preserve">30 </w:t>
            </w:r>
            <w:proofErr w:type="spellStart"/>
            <w:r w:rsidR="00F5347E" w:rsidRPr="00F5347E">
              <w:rPr>
                <w:bCs/>
                <w:i/>
                <w:szCs w:val="28"/>
                <w:lang w:val="lv-LV"/>
              </w:rPr>
              <w:t>euro</w:t>
            </w:r>
            <w:proofErr w:type="spellEnd"/>
            <w:r w:rsidR="00F5347E">
              <w:rPr>
                <w:bCs/>
                <w:szCs w:val="28"/>
                <w:lang w:val="lv-LV"/>
              </w:rPr>
              <w:t xml:space="preserve">, transportēšanu – </w:t>
            </w:r>
          </w:p>
          <w:p w:rsidR="000C3337" w:rsidRPr="00F5347E" w:rsidRDefault="00F5347E" w:rsidP="005317BD">
            <w:pPr>
              <w:jc w:val="both"/>
              <w:rPr>
                <w:lang w:val="lv-LV"/>
              </w:rPr>
            </w:pPr>
            <w:r>
              <w:rPr>
                <w:bCs/>
                <w:szCs w:val="28"/>
                <w:lang w:val="lv-LV"/>
              </w:rPr>
              <w:t>13</w:t>
            </w:r>
            <w:r w:rsidR="000754BC">
              <w:rPr>
                <w:bCs/>
                <w:szCs w:val="28"/>
                <w:lang w:val="lv-LV"/>
              </w:rPr>
              <w:t>,</w:t>
            </w:r>
            <w:r>
              <w:rPr>
                <w:bCs/>
                <w:szCs w:val="28"/>
                <w:lang w:val="lv-LV"/>
              </w:rPr>
              <w:t xml:space="preserve">53 </w:t>
            </w:r>
            <w:proofErr w:type="spellStart"/>
            <w:r w:rsidRPr="000754BC">
              <w:rPr>
                <w:bCs/>
                <w:i/>
                <w:szCs w:val="28"/>
                <w:lang w:val="lv-LV"/>
              </w:rPr>
              <w:t>euro</w:t>
            </w:r>
            <w:proofErr w:type="spellEnd"/>
            <w:r>
              <w:rPr>
                <w:bCs/>
                <w:szCs w:val="28"/>
                <w:lang w:val="lv-LV"/>
              </w:rPr>
              <w:t>, algām – 12</w:t>
            </w:r>
            <w:r w:rsidR="000754BC">
              <w:rPr>
                <w:bCs/>
                <w:szCs w:val="28"/>
                <w:lang w:val="lv-LV"/>
              </w:rPr>
              <w:t>,</w:t>
            </w:r>
            <w:r>
              <w:rPr>
                <w:bCs/>
                <w:szCs w:val="28"/>
                <w:lang w:val="lv-LV"/>
              </w:rPr>
              <w:t xml:space="preserve">22 </w:t>
            </w:r>
            <w:proofErr w:type="spellStart"/>
            <w:r w:rsidRPr="000754BC">
              <w:rPr>
                <w:bCs/>
                <w:i/>
                <w:szCs w:val="28"/>
                <w:lang w:val="lv-LV"/>
              </w:rPr>
              <w:t>euro</w:t>
            </w:r>
            <w:proofErr w:type="spellEnd"/>
            <w:r>
              <w:rPr>
                <w:bCs/>
                <w:szCs w:val="28"/>
                <w:lang w:val="lv-LV"/>
              </w:rPr>
              <w:t xml:space="preserve">, </w:t>
            </w:r>
            <w:r w:rsidR="000754BC">
              <w:rPr>
                <w:bCs/>
                <w:szCs w:val="28"/>
                <w:lang w:val="lv-LV"/>
              </w:rPr>
              <w:t xml:space="preserve">iekārtas ekspluatācijas izmaksas – 104,95 </w:t>
            </w:r>
            <w:proofErr w:type="spellStart"/>
            <w:r w:rsidR="000754BC" w:rsidRPr="000754BC">
              <w:rPr>
                <w:bCs/>
                <w:i/>
                <w:szCs w:val="28"/>
                <w:lang w:val="lv-LV"/>
              </w:rPr>
              <w:t>euro</w:t>
            </w:r>
            <w:proofErr w:type="spellEnd"/>
            <w:r w:rsidR="000754BC">
              <w:rPr>
                <w:bCs/>
                <w:szCs w:val="28"/>
                <w:lang w:val="lv-LV"/>
              </w:rPr>
              <w:t xml:space="preserve"> (t.sk. dezinfekcija – 4,53 </w:t>
            </w:r>
            <w:proofErr w:type="spellStart"/>
            <w:r w:rsidR="000754BC" w:rsidRPr="000754BC">
              <w:rPr>
                <w:bCs/>
                <w:i/>
                <w:szCs w:val="28"/>
                <w:lang w:val="lv-LV"/>
              </w:rPr>
              <w:t>euro</w:t>
            </w:r>
            <w:proofErr w:type="spellEnd"/>
            <w:r w:rsidR="000754BC">
              <w:rPr>
                <w:bCs/>
                <w:szCs w:val="28"/>
                <w:lang w:val="lv-LV"/>
              </w:rPr>
              <w:t xml:space="preserve">, 5,10 </w:t>
            </w:r>
            <w:proofErr w:type="spellStart"/>
            <w:r w:rsidR="000754BC" w:rsidRPr="000754BC">
              <w:rPr>
                <w:bCs/>
                <w:i/>
                <w:szCs w:val="28"/>
                <w:lang w:val="lv-LV"/>
              </w:rPr>
              <w:t>euro</w:t>
            </w:r>
            <w:proofErr w:type="spellEnd"/>
            <w:r w:rsidR="000754BC">
              <w:rPr>
                <w:bCs/>
                <w:szCs w:val="28"/>
                <w:lang w:val="lv-LV"/>
              </w:rPr>
              <w:t xml:space="preserve">, 5,14 </w:t>
            </w:r>
            <w:proofErr w:type="spellStart"/>
            <w:r w:rsidR="000754BC" w:rsidRPr="000754BC">
              <w:rPr>
                <w:bCs/>
                <w:i/>
                <w:szCs w:val="28"/>
                <w:lang w:val="lv-LV"/>
              </w:rPr>
              <w:t>euro</w:t>
            </w:r>
            <w:proofErr w:type="spellEnd"/>
            <w:r w:rsidR="000754BC">
              <w:rPr>
                <w:bCs/>
                <w:szCs w:val="28"/>
                <w:lang w:val="lv-LV"/>
              </w:rPr>
              <w:t xml:space="preserve">, utilizācijas rūpnīcas amortizācija – 85,58 </w:t>
            </w:r>
            <w:proofErr w:type="spellStart"/>
            <w:r w:rsidR="000754BC" w:rsidRPr="000754BC">
              <w:rPr>
                <w:bCs/>
                <w:i/>
                <w:szCs w:val="28"/>
                <w:lang w:val="lv-LV"/>
              </w:rPr>
              <w:t>euro</w:t>
            </w:r>
            <w:proofErr w:type="spellEnd"/>
            <w:r w:rsidR="000754BC">
              <w:rPr>
                <w:bCs/>
                <w:szCs w:val="28"/>
                <w:lang w:val="lv-LV"/>
              </w:rPr>
              <w:t xml:space="preserve"> un konteineru amortizācija – 4,60 </w:t>
            </w:r>
            <w:proofErr w:type="spellStart"/>
            <w:r w:rsidR="000754BC" w:rsidRPr="000754BC">
              <w:rPr>
                <w:bCs/>
                <w:i/>
                <w:szCs w:val="28"/>
                <w:lang w:val="lv-LV"/>
              </w:rPr>
              <w:t>euro</w:t>
            </w:r>
            <w:proofErr w:type="spellEnd"/>
            <w:r w:rsidR="000754BC">
              <w:rPr>
                <w:bCs/>
                <w:szCs w:val="28"/>
                <w:lang w:val="lv-LV"/>
              </w:rPr>
              <w:t>))</w:t>
            </w:r>
            <w:r w:rsidR="005E7E26">
              <w:rPr>
                <w:bCs/>
                <w:szCs w:val="28"/>
                <w:lang w:val="lv-LV"/>
              </w:rPr>
              <w:t>. Līdz ar to par 4</w:t>
            </w:r>
            <w:r>
              <w:rPr>
                <w:bCs/>
                <w:szCs w:val="28"/>
                <w:lang w:val="lv-LV"/>
              </w:rPr>
              <w:t>5</w:t>
            </w:r>
            <w:r w:rsidR="005E7E26">
              <w:rPr>
                <w:bCs/>
                <w:szCs w:val="28"/>
                <w:lang w:val="lv-LV"/>
              </w:rPr>
              <w:t>0 tonnu pārstrādi plānots SIA “</w:t>
            </w:r>
            <w:proofErr w:type="spellStart"/>
            <w:r w:rsidR="005E7E26">
              <w:rPr>
                <w:bCs/>
                <w:szCs w:val="28"/>
                <w:lang w:val="lv-LV"/>
              </w:rPr>
              <w:t>Grow</w:t>
            </w:r>
            <w:proofErr w:type="spellEnd"/>
            <w:r w:rsidR="005E7E26">
              <w:rPr>
                <w:bCs/>
                <w:szCs w:val="28"/>
                <w:lang w:val="lv-LV"/>
              </w:rPr>
              <w:t xml:space="preserve"> </w:t>
            </w:r>
            <w:proofErr w:type="spellStart"/>
            <w:r w:rsidR="005E7E26">
              <w:rPr>
                <w:bCs/>
                <w:szCs w:val="28"/>
                <w:lang w:val="lv-LV"/>
              </w:rPr>
              <w:t>Energy</w:t>
            </w:r>
            <w:proofErr w:type="spellEnd"/>
            <w:r w:rsidR="005E7E26">
              <w:rPr>
                <w:bCs/>
                <w:szCs w:val="28"/>
                <w:lang w:val="lv-LV"/>
              </w:rPr>
              <w:t xml:space="preserve">” samaksāt </w:t>
            </w:r>
            <w:r>
              <w:rPr>
                <w:bCs/>
                <w:szCs w:val="28"/>
                <w:lang w:val="lv-LV"/>
              </w:rPr>
              <w:t>103 500</w:t>
            </w:r>
            <w:r w:rsidR="005E7E26">
              <w:rPr>
                <w:bCs/>
                <w:szCs w:val="28"/>
                <w:lang w:val="lv-LV"/>
              </w:rPr>
              <w:t xml:space="preserve"> </w:t>
            </w:r>
            <w:proofErr w:type="spellStart"/>
            <w:r w:rsidR="005E7E26" w:rsidRPr="005E7E26">
              <w:rPr>
                <w:bCs/>
                <w:i/>
                <w:szCs w:val="28"/>
                <w:lang w:val="lv-LV"/>
              </w:rPr>
              <w:t>euro</w:t>
            </w:r>
            <w:proofErr w:type="spellEnd"/>
            <w:r w:rsidR="005E7E26">
              <w:rPr>
                <w:bCs/>
                <w:szCs w:val="28"/>
                <w:lang w:val="lv-LV"/>
              </w:rPr>
              <w:t xml:space="preserve">. </w:t>
            </w:r>
            <w:r w:rsidRPr="000C3337">
              <w:rPr>
                <w:bCs/>
                <w:szCs w:val="28"/>
                <w:lang w:val="lv-LV"/>
              </w:rPr>
              <w:t>Dienvidlatgales pārvaldes dzīvnieku izcelsmes blakusproduktu sadedzināšanas iekārt</w:t>
            </w:r>
            <w:r>
              <w:rPr>
                <w:bCs/>
                <w:szCs w:val="28"/>
                <w:lang w:val="lv-LV"/>
              </w:rPr>
              <w:t>ā</w:t>
            </w:r>
            <w:r w:rsidRPr="000C3337">
              <w:rPr>
                <w:bCs/>
                <w:szCs w:val="28"/>
                <w:lang w:val="lv-LV"/>
              </w:rPr>
              <w:t xml:space="preserve"> “</w:t>
            </w:r>
            <w:proofErr w:type="spellStart"/>
            <w:r w:rsidRPr="000C3337">
              <w:rPr>
                <w:bCs/>
                <w:szCs w:val="28"/>
                <w:lang w:val="lv-LV"/>
              </w:rPr>
              <w:t>Hurikan</w:t>
            </w:r>
            <w:proofErr w:type="spellEnd"/>
            <w:r w:rsidRPr="000C3337">
              <w:rPr>
                <w:bCs/>
                <w:szCs w:val="28"/>
                <w:lang w:val="lv-LV"/>
              </w:rPr>
              <w:t xml:space="preserve"> PRO 1000”</w:t>
            </w:r>
            <w:r>
              <w:rPr>
                <w:bCs/>
                <w:szCs w:val="28"/>
                <w:lang w:val="lv-LV"/>
              </w:rPr>
              <w:t xml:space="preserve"> 1 tonnas sadedzināšana izmaksā </w:t>
            </w:r>
            <w:r w:rsidR="000754BC">
              <w:rPr>
                <w:bCs/>
                <w:szCs w:val="28"/>
                <w:lang w:val="lv-LV"/>
              </w:rPr>
              <w:t>416</w:t>
            </w:r>
            <w:r>
              <w:rPr>
                <w:bCs/>
                <w:szCs w:val="28"/>
                <w:lang w:val="lv-LV"/>
              </w:rPr>
              <w:t xml:space="preserve"> </w:t>
            </w:r>
            <w:proofErr w:type="spellStart"/>
            <w:r w:rsidRPr="00F5347E">
              <w:rPr>
                <w:bCs/>
                <w:i/>
                <w:szCs w:val="28"/>
                <w:lang w:val="lv-LV"/>
              </w:rPr>
              <w:t>euro</w:t>
            </w:r>
            <w:proofErr w:type="spellEnd"/>
            <w:r w:rsidR="005317BD">
              <w:rPr>
                <w:bCs/>
                <w:i/>
                <w:szCs w:val="28"/>
                <w:lang w:val="lv-LV"/>
              </w:rPr>
              <w:t xml:space="preserve"> </w:t>
            </w:r>
            <w:proofErr w:type="gramStart"/>
            <w:r w:rsidR="005317BD">
              <w:rPr>
                <w:bCs/>
                <w:szCs w:val="28"/>
                <w:lang w:val="lv-LV"/>
              </w:rPr>
              <w:t>(</w:t>
            </w:r>
            <w:proofErr w:type="gramEnd"/>
            <w:r w:rsidR="005317BD">
              <w:rPr>
                <w:bCs/>
                <w:szCs w:val="28"/>
                <w:lang w:val="lv-LV"/>
              </w:rPr>
              <w:t xml:space="preserve">t.sk. </w:t>
            </w:r>
            <w:proofErr w:type="spellStart"/>
            <w:r w:rsidR="005317BD">
              <w:rPr>
                <w:bCs/>
                <w:szCs w:val="28"/>
                <w:lang w:val="lv-LV"/>
              </w:rPr>
              <w:t>Hurican</w:t>
            </w:r>
            <w:proofErr w:type="spellEnd"/>
            <w:r w:rsidR="005317BD">
              <w:rPr>
                <w:bCs/>
                <w:szCs w:val="28"/>
                <w:lang w:val="lv-LV"/>
              </w:rPr>
              <w:t xml:space="preserve"> PRO 1000” uzturēšana – 199,41 </w:t>
            </w:r>
            <w:proofErr w:type="spellStart"/>
            <w:r w:rsidR="005317BD" w:rsidRPr="005317BD">
              <w:rPr>
                <w:bCs/>
                <w:i/>
                <w:szCs w:val="28"/>
                <w:lang w:val="lv-LV"/>
              </w:rPr>
              <w:t>euro</w:t>
            </w:r>
            <w:proofErr w:type="spellEnd"/>
            <w:r w:rsidR="005317BD">
              <w:rPr>
                <w:bCs/>
                <w:szCs w:val="28"/>
                <w:lang w:val="lv-LV"/>
              </w:rPr>
              <w:t xml:space="preserve"> (t.sk. teritorijas noma, elektroenerģija, dīzeļdegviela, u.c.), algām – 156,16 </w:t>
            </w:r>
            <w:proofErr w:type="spellStart"/>
            <w:r w:rsidR="005317BD" w:rsidRPr="005317BD">
              <w:rPr>
                <w:bCs/>
                <w:i/>
                <w:szCs w:val="28"/>
                <w:lang w:val="lv-LV"/>
              </w:rPr>
              <w:t>euro</w:t>
            </w:r>
            <w:proofErr w:type="spellEnd"/>
            <w:r w:rsidR="005317BD">
              <w:rPr>
                <w:bCs/>
                <w:szCs w:val="28"/>
                <w:lang w:val="lv-LV"/>
              </w:rPr>
              <w:t xml:space="preserve"> (divu strādājošo nepārtraukts darbs, 7 dienas) un blakusproduktu transportēšana – 60,61 </w:t>
            </w:r>
            <w:proofErr w:type="spellStart"/>
            <w:r w:rsidR="005317BD" w:rsidRPr="005317BD">
              <w:rPr>
                <w:bCs/>
                <w:i/>
                <w:szCs w:val="28"/>
                <w:lang w:val="lv-LV"/>
              </w:rPr>
              <w:t>euro</w:t>
            </w:r>
            <w:proofErr w:type="spellEnd"/>
            <w:r w:rsidR="005317BD">
              <w:rPr>
                <w:bCs/>
                <w:szCs w:val="28"/>
                <w:lang w:val="lv-LV"/>
              </w:rPr>
              <w:t xml:space="preserve"> (ārpakalpojums)).</w:t>
            </w:r>
            <w:r>
              <w:rPr>
                <w:bCs/>
                <w:szCs w:val="28"/>
                <w:lang w:val="lv-LV"/>
              </w:rPr>
              <w:t xml:space="preserve"> Par 50 tonnu sadedzināšanu nepieciešami </w:t>
            </w:r>
            <w:r w:rsidR="000754BC">
              <w:rPr>
                <w:bCs/>
                <w:szCs w:val="28"/>
                <w:lang w:val="lv-LV"/>
              </w:rPr>
              <w:t>20 800</w:t>
            </w:r>
            <w:r>
              <w:rPr>
                <w:bCs/>
                <w:szCs w:val="28"/>
                <w:lang w:val="lv-LV"/>
              </w:rPr>
              <w:t xml:space="preserve"> </w:t>
            </w:r>
            <w:proofErr w:type="spellStart"/>
            <w:r w:rsidRPr="00F5347E">
              <w:rPr>
                <w:bCs/>
                <w:i/>
                <w:szCs w:val="28"/>
                <w:lang w:val="lv-LV"/>
              </w:rPr>
              <w:t>euro</w:t>
            </w:r>
            <w:proofErr w:type="spellEnd"/>
            <w:r>
              <w:rPr>
                <w:bCs/>
                <w:szCs w:val="28"/>
                <w:lang w:val="lv-LV"/>
              </w:rPr>
              <w:t>.</w:t>
            </w:r>
          </w:p>
        </w:tc>
      </w:tr>
      <w:tr w:rsidR="000C3337" w:rsidRPr="005317BD" w:rsidTr="00661CED">
        <w:tc>
          <w:tcPr>
            <w:tcW w:w="2405" w:type="dxa"/>
          </w:tcPr>
          <w:p w:rsidR="000C3337" w:rsidRPr="000C3337" w:rsidRDefault="000C3337" w:rsidP="00661CED">
            <w:pPr>
              <w:jc w:val="both"/>
              <w:rPr>
                <w:lang w:val="lv-LV"/>
              </w:rPr>
            </w:pPr>
            <w:r w:rsidRPr="000C3337">
              <w:rPr>
                <w:lang w:val="lv-LV"/>
              </w:rPr>
              <w:t>6.1. detalizēts ieņēmumu aprēķins</w:t>
            </w:r>
          </w:p>
        </w:tc>
        <w:tc>
          <w:tcPr>
            <w:tcW w:w="6883" w:type="dxa"/>
            <w:gridSpan w:val="5"/>
          </w:tcPr>
          <w:p w:rsidR="000C3337" w:rsidRPr="005317BD" w:rsidRDefault="000C3337" w:rsidP="00661CED">
            <w:pPr>
              <w:jc w:val="both"/>
              <w:rPr>
                <w:lang w:val="lv-LV"/>
              </w:rPr>
            </w:pPr>
          </w:p>
        </w:tc>
      </w:tr>
      <w:tr w:rsidR="000C3337" w:rsidRPr="005317BD" w:rsidTr="00661CED">
        <w:tc>
          <w:tcPr>
            <w:tcW w:w="2405" w:type="dxa"/>
          </w:tcPr>
          <w:p w:rsidR="000C3337" w:rsidRPr="000C3337" w:rsidRDefault="000C3337" w:rsidP="00661CED">
            <w:pPr>
              <w:jc w:val="both"/>
              <w:rPr>
                <w:lang w:val="lv-LV"/>
              </w:rPr>
            </w:pPr>
            <w:r w:rsidRPr="000C3337">
              <w:rPr>
                <w:lang w:val="lv-LV"/>
              </w:rPr>
              <w:t>6.2. detalizēts izdevumu aprēķins</w:t>
            </w:r>
          </w:p>
        </w:tc>
        <w:tc>
          <w:tcPr>
            <w:tcW w:w="6883" w:type="dxa"/>
            <w:gridSpan w:val="5"/>
          </w:tcPr>
          <w:p w:rsidR="000C3337" w:rsidRPr="005317BD" w:rsidRDefault="000C3337" w:rsidP="00661CED">
            <w:pPr>
              <w:jc w:val="both"/>
              <w:rPr>
                <w:lang w:val="lv-LV"/>
              </w:rPr>
            </w:pPr>
          </w:p>
        </w:tc>
      </w:tr>
      <w:tr w:rsidR="000C3337" w:rsidRPr="005B09D3" w:rsidTr="00661CED">
        <w:tc>
          <w:tcPr>
            <w:tcW w:w="2405" w:type="dxa"/>
          </w:tcPr>
          <w:p w:rsidR="000C3337" w:rsidRPr="000C3337" w:rsidRDefault="000C3337" w:rsidP="00661CED">
            <w:pPr>
              <w:jc w:val="both"/>
              <w:rPr>
                <w:lang w:val="lv-LV"/>
              </w:rPr>
            </w:pPr>
            <w:r w:rsidRPr="000C3337">
              <w:rPr>
                <w:lang w:val="lv-LV"/>
              </w:rPr>
              <w:t>7. Cita informācija</w:t>
            </w:r>
          </w:p>
        </w:tc>
        <w:tc>
          <w:tcPr>
            <w:tcW w:w="6883" w:type="dxa"/>
            <w:gridSpan w:val="5"/>
          </w:tcPr>
          <w:p w:rsidR="000C3337" w:rsidRPr="009D7A73" w:rsidRDefault="009D7A73" w:rsidP="009D7A73">
            <w:pPr>
              <w:jc w:val="both"/>
              <w:rPr>
                <w:bCs/>
                <w:color w:val="000000"/>
                <w:lang w:val="lv-LV"/>
              </w:rPr>
            </w:pPr>
            <w:r w:rsidRPr="009D7A73">
              <w:rPr>
                <w:bCs/>
                <w:color w:val="000000"/>
                <w:lang w:val="lv-LV"/>
              </w:rPr>
              <w:t>Dzīvnieku īpašniekam</w:t>
            </w:r>
            <w:r>
              <w:rPr>
                <w:bCs/>
                <w:color w:val="000000"/>
                <w:lang w:val="lv-LV"/>
              </w:rPr>
              <w:t xml:space="preserve"> saskaņā ar Veterinārmedicīnas likuma 35. panta pirmajā daļā noteikto ir tiesības saņemt kompensāciju par piespiedu kārtā nogalinātajiem dzīvniekiem un iznīcināto barību.  Precīzu </w:t>
            </w:r>
            <w:r>
              <w:rPr>
                <w:bCs/>
                <w:color w:val="000000"/>
                <w:lang w:val="lv-LV"/>
              </w:rPr>
              <w:lastRenderedPageBreak/>
              <w:t>kompensācijas apmēru šobrīd nav iespējams aprēķināt. Tas būs iespējams pēc tam, kad būs nogalināti visi novietnē esošie cūku sugas dzīvnieki un iznīcināta barība. Kompensācijas apmērs tiks aprēķināts saskaņā ar ministru kabineta 2005. gada 15. marta noteikumiem Nr.177 “Kārtība, kādā piešķir un dzīvnieku īpašnieks saņem kompensāciju par zaudējumiem, kas radušies valsts uzraudzībā esošās dzīvnieku infekcijas slimības vai epizootijas uzliesmojuma laikā”.</w:t>
            </w:r>
            <w:r w:rsidRPr="009D7A73">
              <w:rPr>
                <w:bCs/>
                <w:color w:val="000000"/>
                <w:lang w:val="lv-LV"/>
              </w:rPr>
              <w:t xml:space="preserve"> </w:t>
            </w:r>
          </w:p>
        </w:tc>
      </w:tr>
    </w:tbl>
    <w:p w:rsidR="000C3337" w:rsidRPr="009D7A73" w:rsidRDefault="000C3337" w:rsidP="009B7359">
      <w:pPr>
        <w:pStyle w:val="naisf"/>
        <w:spacing w:before="0" w:beforeAutospacing="0" w:after="0" w:afterAutospacing="0"/>
        <w:rPr>
          <w:i/>
          <w:lang w:val="lv-LV"/>
        </w:rPr>
      </w:pPr>
    </w:p>
    <w:p w:rsidR="009B7359" w:rsidRDefault="009B7359" w:rsidP="009B7359">
      <w:pPr>
        <w:pStyle w:val="naisf"/>
        <w:spacing w:before="0" w:beforeAutospacing="0" w:after="0" w:afterAutospacing="0"/>
        <w:rPr>
          <w:i/>
          <w:lang w:val="lv-LV"/>
        </w:rPr>
      </w:pPr>
      <w:r w:rsidRPr="00FD460E">
        <w:rPr>
          <w:i/>
          <w:lang w:val="lv-LV"/>
        </w:rPr>
        <w:t>Anotācijas IV, V un VI sadaļa – projekts šīs jomas neskar.</w:t>
      </w:r>
    </w:p>
    <w:p w:rsidR="009B7359" w:rsidRPr="00FD460E" w:rsidRDefault="009B7359" w:rsidP="009B7359">
      <w:pPr>
        <w:pStyle w:val="naisf"/>
        <w:spacing w:before="0" w:beforeAutospacing="0" w:after="0" w:afterAutospacing="0"/>
        <w:rPr>
          <w:i/>
          <w:lang w:val="lv-LV"/>
        </w:rPr>
      </w:pPr>
    </w:p>
    <w:tbl>
      <w:tblPr>
        <w:tblW w:w="514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97"/>
        <w:gridCol w:w="2676"/>
        <w:gridCol w:w="5945"/>
      </w:tblGrid>
      <w:tr w:rsidR="009B7359" w:rsidRPr="005B09D3" w:rsidTr="00C455E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b/>
                <w:bCs/>
                <w:lang w:val="lv-LV"/>
              </w:rPr>
            </w:pPr>
            <w:r w:rsidRPr="00FD460E">
              <w:rPr>
                <w:b/>
                <w:bCs/>
                <w:lang w:val="lv-LV"/>
              </w:rPr>
              <w:t>VII. Tiesību akta projekta izpildes nodrošināšana un tās ietekme uz institūcijām</w:t>
            </w:r>
          </w:p>
        </w:tc>
      </w:tr>
      <w:tr w:rsidR="009B7359" w:rsidRPr="00FD460E" w:rsidTr="00C455E1">
        <w:tc>
          <w:tcPr>
            <w:tcW w:w="374"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1.</w:t>
            </w:r>
          </w:p>
        </w:tc>
        <w:tc>
          <w:tcPr>
            <w:tcW w:w="1436"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Projekta izpildē iesaistītās institūcijas</w:t>
            </w:r>
          </w:p>
        </w:tc>
        <w:tc>
          <w:tcPr>
            <w:tcW w:w="3190" w:type="pct"/>
            <w:tcBorders>
              <w:top w:val="outset" w:sz="6" w:space="0" w:color="000000"/>
              <w:left w:val="outset" w:sz="6" w:space="0" w:color="000000"/>
              <w:bottom w:val="outset" w:sz="6" w:space="0" w:color="000000"/>
              <w:right w:val="outset" w:sz="6" w:space="0" w:color="000000"/>
            </w:tcBorders>
          </w:tcPr>
          <w:p w:rsidR="009B7359" w:rsidRPr="00FD460E" w:rsidRDefault="009B7359" w:rsidP="006E28DF">
            <w:pPr>
              <w:pStyle w:val="naisf"/>
              <w:spacing w:before="0" w:beforeAutospacing="0" w:after="0" w:afterAutospacing="0"/>
              <w:rPr>
                <w:lang w:val="lv-LV"/>
              </w:rPr>
            </w:pPr>
            <w:r w:rsidRPr="00FD460E">
              <w:rPr>
                <w:lang w:val="lv-LV"/>
              </w:rPr>
              <w:t>Pārtikas un veterinārais dienests.</w:t>
            </w:r>
          </w:p>
        </w:tc>
      </w:tr>
      <w:tr w:rsidR="009B7359" w:rsidRPr="00FD460E" w:rsidTr="00C455E1">
        <w:tc>
          <w:tcPr>
            <w:tcW w:w="374"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2.</w:t>
            </w:r>
          </w:p>
        </w:tc>
        <w:tc>
          <w:tcPr>
            <w:tcW w:w="1436"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 xml:space="preserve">Projekta izpildes ietekme uz pārvaldes funkcijām un institucionālo struktūru. </w:t>
            </w:r>
          </w:p>
          <w:p w:rsidR="009B7359" w:rsidRPr="00FD460E" w:rsidRDefault="009B7359" w:rsidP="00FA2113">
            <w:pPr>
              <w:pStyle w:val="naisf"/>
              <w:spacing w:before="0" w:beforeAutospacing="0" w:after="0" w:afterAutospacing="0"/>
              <w:rPr>
                <w:lang w:val="lv-LV"/>
              </w:rPr>
            </w:pPr>
            <w:r w:rsidRPr="00FD460E">
              <w:rPr>
                <w:lang w:val="lv-LV"/>
              </w:rPr>
              <w:t>Jaunu institūciju izveide, esošu institūciju likvidācija vai reorganizācija, to ietekme uz institūcijas cilvēkresursiem</w:t>
            </w:r>
          </w:p>
        </w:tc>
        <w:tc>
          <w:tcPr>
            <w:tcW w:w="3190"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Projekts šo jomu neskar.</w:t>
            </w:r>
          </w:p>
        </w:tc>
      </w:tr>
      <w:tr w:rsidR="009B7359" w:rsidRPr="00FD460E" w:rsidTr="00C455E1">
        <w:tc>
          <w:tcPr>
            <w:tcW w:w="374"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3.</w:t>
            </w:r>
          </w:p>
        </w:tc>
        <w:tc>
          <w:tcPr>
            <w:tcW w:w="1436"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Cita informācija</w:t>
            </w:r>
          </w:p>
        </w:tc>
        <w:tc>
          <w:tcPr>
            <w:tcW w:w="3190"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Nav.</w:t>
            </w:r>
          </w:p>
        </w:tc>
      </w:tr>
    </w:tbl>
    <w:p w:rsidR="009B7359" w:rsidRDefault="009B7359" w:rsidP="009B7359">
      <w:pPr>
        <w:pStyle w:val="naisf"/>
        <w:spacing w:before="0" w:beforeAutospacing="0" w:after="0" w:afterAutospacing="0"/>
        <w:rPr>
          <w:sz w:val="28"/>
          <w:szCs w:val="28"/>
          <w:lang w:val="lv-LV"/>
        </w:rPr>
      </w:pPr>
    </w:p>
    <w:p w:rsidR="005B09D3" w:rsidRDefault="005B09D3" w:rsidP="009B7359">
      <w:pPr>
        <w:pStyle w:val="naisf"/>
        <w:spacing w:before="0" w:beforeAutospacing="0" w:after="0" w:afterAutospacing="0"/>
        <w:rPr>
          <w:sz w:val="28"/>
          <w:szCs w:val="28"/>
          <w:lang w:val="lv-LV"/>
        </w:rPr>
      </w:pPr>
    </w:p>
    <w:p w:rsidR="009B7359" w:rsidRPr="00F74B08" w:rsidRDefault="009B7359" w:rsidP="009B7359">
      <w:pPr>
        <w:pStyle w:val="naisf"/>
        <w:spacing w:before="0" w:beforeAutospacing="0" w:after="0" w:afterAutospacing="0"/>
        <w:rPr>
          <w:szCs w:val="28"/>
          <w:lang w:val="lv-LV"/>
        </w:rPr>
      </w:pPr>
      <w:r w:rsidRPr="00F74B08">
        <w:rPr>
          <w:szCs w:val="28"/>
          <w:lang w:val="lv-LV"/>
        </w:rPr>
        <w:t>Zemkopības ministrs</w:t>
      </w:r>
      <w:r w:rsidRPr="00F74B08">
        <w:rPr>
          <w:szCs w:val="28"/>
          <w:lang w:val="lv-LV"/>
        </w:rPr>
        <w:tab/>
      </w:r>
      <w:r w:rsidRPr="00F74B08">
        <w:rPr>
          <w:szCs w:val="28"/>
          <w:lang w:val="lv-LV"/>
        </w:rPr>
        <w:tab/>
      </w:r>
      <w:r w:rsidR="00F74B08">
        <w:rPr>
          <w:szCs w:val="28"/>
          <w:lang w:val="lv-LV"/>
        </w:rPr>
        <w:tab/>
      </w:r>
      <w:r w:rsidR="00F74B08">
        <w:rPr>
          <w:szCs w:val="28"/>
          <w:lang w:val="lv-LV"/>
        </w:rPr>
        <w:tab/>
      </w:r>
      <w:r w:rsidRPr="00F74B08">
        <w:rPr>
          <w:szCs w:val="28"/>
          <w:lang w:val="lv-LV"/>
        </w:rPr>
        <w:tab/>
      </w:r>
      <w:r w:rsidRPr="00F74B08">
        <w:rPr>
          <w:szCs w:val="28"/>
          <w:lang w:val="lv-LV"/>
        </w:rPr>
        <w:tab/>
      </w:r>
      <w:r w:rsidRPr="00F74B08">
        <w:rPr>
          <w:szCs w:val="28"/>
          <w:lang w:val="lv-LV"/>
        </w:rPr>
        <w:tab/>
      </w:r>
      <w:r w:rsidRPr="00F74B08">
        <w:rPr>
          <w:szCs w:val="28"/>
          <w:lang w:val="lv-LV"/>
        </w:rPr>
        <w:tab/>
        <w:t>Jānis Dūklavs</w:t>
      </w:r>
    </w:p>
    <w:p w:rsidR="009B7359" w:rsidRDefault="009B7359"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B09D3" w:rsidRDefault="005B09D3" w:rsidP="009B7359">
      <w:pPr>
        <w:pStyle w:val="naisf"/>
        <w:spacing w:before="0" w:beforeAutospacing="0" w:after="0" w:afterAutospacing="0"/>
        <w:rPr>
          <w:sz w:val="20"/>
          <w:szCs w:val="20"/>
          <w:lang w:val="lv-LV"/>
        </w:rPr>
      </w:pPr>
    </w:p>
    <w:p w:rsidR="005B09D3" w:rsidRDefault="005B09D3"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Pr="00FD460E" w:rsidRDefault="005E7E26" w:rsidP="009B7359">
      <w:pPr>
        <w:pStyle w:val="naisf"/>
        <w:spacing w:before="0" w:beforeAutospacing="0" w:after="0" w:afterAutospacing="0"/>
        <w:rPr>
          <w:sz w:val="20"/>
          <w:szCs w:val="20"/>
          <w:lang w:val="lv-LV"/>
        </w:rPr>
      </w:pPr>
    </w:p>
    <w:p w:rsidR="005B09D3" w:rsidRDefault="005B09D3" w:rsidP="009B7359">
      <w:pPr>
        <w:pStyle w:val="naisf"/>
        <w:spacing w:before="0" w:beforeAutospacing="0" w:after="0" w:afterAutospacing="0"/>
        <w:rPr>
          <w:sz w:val="20"/>
          <w:szCs w:val="20"/>
          <w:lang w:val="lv-LV"/>
        </w:rPr>
      </w:pPr>
      <w:r>
        <w:rPr>
          <w:sz w:val="20"/>
          <w:szCs w:val="20"/>
          <w:lang w:val="lv-LV"/>
        </w:rPr>
        <w:t>17.01.2017. 10:54</w:t>
      </w:r>
    </w:p>
    <w:p w:rsidR="005B09D3" w:rsidRDefault="005B09D3" w:rsidP="009B7359">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1069</w:t>
      </w:r>
      <w:r>
        <w:rPr>
          <w:sz w:val="20"/>
          <w:szCs w:val="20"/>
          <w:lang w:val="lv-LV"/>
        </w:rPr>
        <w:fldChar w:fldCharType="end"/>
      </w:r>
    </w:p>
    <w:p w:rsidR="009B7359" w:rsidRPr="00FD460E" w:rsidRDefault="009B7359" w:rsidP="009B7359">
      <w:pPr>
        <w:pStyle w:val="naisf"/>
        <w:spacing w:before="0" w:beforeAutospacing="0" w:after="0" w:afterAutospacing="0"/>
        <w:rPr>
          <w:sz w:val="20"/>
          <w:szCs w:val="20"/>
          <w:lang w:val="lv-LV"/>
        </w:rPr>
      </w:pPr>
      <w:bookmarkStart w:id="2" w:name="_GoBack"/>
      <w:bookmarkEnd w:id="2"/>
      <w:r>
        <w:rPr>
          <w:sz w:val="20"/>
          <w:szCs w:val="20"/>
          <w:lang w:val="lv-LV"/>
        </w:rPr>
        <w:t>S.Vanaga</w:t>
      </w:r>
    </w:p>
    <w:p w:rsidR="009B7359" w:rsidRDefault="009B7359" w:rsidP="009B7359">
      <w:pPr>
        <w:pStyle w:val="naisf"/>
        <w:spacing w:before="0" w:beforeAutospacing="0" w:after="0" w:afterAutospacing="0"/>
        <w:rPr>
          <w:sz w:val="20"/>
          <w:szCs w:val="20"/>
          <w:lang w:val="lv-LV"/>
        </w:rPr>
      </w:pPr>
      <w:r w:rsidRPr="00FD460E">
        <w:rPr>
          <w:sz w:val="20"/>
          <w:szCs w:val="20"/>
          <w:lang w:val="lv-LV"/>
        </w:rPr>
        <w:t>67027</w:t>
      </w:r>
      <w:r>
        <w:rPr>
          <w:sz w:val="20"/>
          <w:szCs w:val="20"/>
          <w:lang w:val="lv-LV"/>
        </w:rPr>
        <w:t>363</w:t>
      </w:r>
      <w:r w:rsidRPr="00FD460E">
        <w:rPr>
          <w:sz w:val="20"/>
          <w:szCs w:val="20"/>
          <w:lang w:val="lv-LV"/>
        </w:rPr>
        <w:t xml:space="preserve">, </w:t>
      </w:r>
      <w:r w:rsidRPr="00070ED9">
        <w:rPr>
          <w:sz w:val="20"/>
          <w:szCs w:val="20"/>
          <w:lang w:val="lv-LV"/>
        </w:rPr>
        <w:t>Sanita.Vanaga@zm.gov.lv</w:t>
      </w:r>
      <w:r>
        <w:rPr>
          <w:sz w:val="20"/>
          <w:szCs w:val="20"/>
          <w:lang w:val="lv-LV"/>
        </w:rPr>
        <w:t xml:space="preserve"> </w:t>
      </w:r>
    </w:p>
    <w:p w:rsidR="00070ED9" w:rsidRPr="00070ED9" w:rsidRDefault="00070ED9" w:rsidP="00070ED9">
      <w:pPr>
        <w:pStyle w:val="Bezatstarpm"/>
        <w:rPr>
          <w:rFonts w:ascii="Times New Roman" w:hAnsi="Times New Roman"/>
          <w:sz w:val="20"/>
          <w:szCs w:val="20"/>
        </w:rPr>
      </w:pPr>
      <w:r w:rsidRPr="00070ED9">
        <w:rPr>
          <w:rFonts w:ascii="Times New Roman" w:hAnsi="Times New Roman"/>
          <w:sz w:val="20"/>
          <w:szCs w:val="20"/>
        </w:rPr>
        <w:t>L.Gurecka</w:t>
      </w:r>
    </w:p>
    <w:p w:rsidR="00070ED9" w:rsidRPr="005B09D3" w:rsidRDefault="00070ED9" w:rsidP="005B09D3">
      <w:pPr>
        <w:pStyle w:val="Bezatstarpm"/>
        <w:rPr>
          <w:rFonts w:ascii="Times New Roman" w:hAnsi="Times New Roman"/>
          <w:sz w:val="20"/>
          <w:szCs w:val="20"/>
        </w:rPr>
      </w:pPr>
      <w:r w:rsidRPr="00070ED9">
        <w:rPr>
          <w:rFonts w:ascii="Times New Roman" w:hAnsi="Times New Roman"/>
          <w:sz w:val="20"/>
          <w:szCs w:val="20"/>
        </w:rPr>
        <w:t xml:space="preserve">67027063, Linda.Gurecka@zm.gov.lv </w:t>
      </w:r>
    </w:p>
    <w:bookmarkEnd w:id="0"/>
    <w:bookmarkEnd w:id="1"/>
    <w:sectPr w:rsidR="00070ED9" w:rsidRPr="005B09D3" w:rsidSect="005B09D3">
      <w:headerReference w:type="even" r:id="rId6"/>
      <w:headerReference w:type="default" r:id="rId7"/>
      <w:footerReference w:type="default" r:id="rId8"/>
      <w:footerReference w:type="first" r:id="rId9"/>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59" w:rsidRDefault="009B7359" w:rsidP="009B7359">
      <w:r>
        <w:separator/>
      </w:r>
    </w:p>
  </w:endnote>
  <w:endnote w:type="continuationSeparator" w:id="0">
    <w:p w:rsidR="009B7359" w:rsidRDefault="009B7359" w:rsidP="009B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A8" w:rsidRPr="005226B5" w:rsidRDefault="005B09D3" w:rsidP="005226B5">
    <w:pPr>
      <w:pStyle w:val="Bezatstarpm"/>
      <w:jc w:val="both"/>
      <w:rPr>
        <w:rFonts w:ascii="Times New Roman" w:hAnsi="Times New Roman"/>
        <w:bCs/>
        <w:sz w:val="20"/>
        <w:szCs w:val="20"/>
        <w:lang w:eastAsia="lv-LV"/>
      </w:rPr>
    </w:pPr>
    <w:r w:rsidRPr="005B09D3">
      <w:rPr>
        <w:rFonts w:ascii="Times New Roman" w:hAnsi="Times New Roman"/>
        <w:sz w:val="20"/>
        <w:szCs w:val="20"/>
      </w:rPr>
      <w:t>ZManot_160117_ACMierob</w:t>
    </w:r>
    <w:r w:rsidR="006E28DF" w:rsidRPr="005226B5">
      <w:rPr>
        <w:rFonts w:ascii="Times New Roman" w:hAnsi="Times New Roman"/>
        <w:sz w:val="20"/>
        <w:szCs w:val="20"/>
      </w:rPr>
      <w:t xml:space="preserve">; Ministru kabineta rīkojuma projekta </w:t>
    </w:r>
    <w:r w:rsidR="006E28DF" w:rsidRPr="005226B5">
      <w:rPr>
        <w:rFonts w:ascii="Times New Roman" w:hAnsi="Times New Roman"/>
        <w:bCs/>
        <w:sz w:val="20"/>
        <w:szCs w:val="20"/>
        <w:lang w:eastAsia="lv-LV"/>
      </w:rPr>
      <w:t>„</w:t>
    </w:r>
    <w:r w:rsidR="006E28DF" w:rsidRPr="005226B5">
      <w:rPr>
        <w:rFonts w:ascii="Times New Roman" w:hAnsi="Times New Roman"/>
        <w:sz w:val="20"/>
        <w:szCs w:val="20"/>
        <w:lang w:eastAsia="lv-LV"/>
      </w:rPr>
      <w:t>Par pasākumiem Āfrikas cūku mēra izplatīšanās ierobežošanai</w:t>
    </w:r>
    <w:r w:rsidR="006E28DF" w:rsidRPr="005226B5">
      <w:rPr>
        <w:rFonts w:ascii="Times New Roman" w:hAnsi="Times New Roman"/>
        <w:bCs/>
        <w:sz w:val="20"/>
        <w:szCs w:val="20"/>
        <w:lang w:eastAsia="lv-LV"/>
      </w:rPr>
      <w:t>”</w:t>
    </w:r>
    <w:r w:rsidR="006E28DF">
      <w:rPr>
        <w:rFonts w:ascii="Times New Roman" w:hAnsi="Times New Roman"/>
        <w:bCs/>
        <w:sz w:val="20"/>
        <w:szCs w:val="20"/>
        <w:lang w:eastAsia="lv-LV"/>
      </w:rPr>
      <w:t xml:space="preserve"> </w:t>
    </w:r>
    <w:r w:rsidR="006E28DF" w:rsidRPr="005226B5">
      <w:rPr>
        <w:rFonts w:ascii="Times New Roman" w:hAnsi="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B5" w:rsidRPr="009B7359" w:rsidRDefault="005B09D3" w:rsidP="009B7359">
    <w:pPr>
      <w:pStyle w:val="Bezatstarpm"/>
      <w:jc w:val="both"/>
      <w:rPr>
        <w:rFonts w:ascii="Times New Roman" w:hAnsi="Times New Roman"/>
        <w:bCs/>
        <w:sz w:val="20"/>
        <w:szCs w:val="20"/>
        <w:lang w:eastAsia="lv-LV"/>
      </w:rPr>
    </w:pPr>
    <w:r w:rsidRPr="005B09D3">
      <w:rPr>
        <w:rFonts w:ascii="Times New Roman" w:hAnsi="Times New Roman"/>
        <w:sz w:val="20"/>
        <w:szCs w:val="20"/>
      </w:rPr>
      <w:t>ZManot_160117_ACMierob</w:t>
    </w:r>
    <w:r w:rsidR="009B7359" w:rsidRPr="005226B5">
      <w:rPr>
        <w:rFonts w:ascii="Times New Roman" w:hAnsi="Times New Roman"/>
        <w:sz w:val="20"/>
        <w:szCs w:val="20"/>
      </w:rPr>
      <w:t xml:space="preserve">; Ministru kabineta rīkojuma projekta </w:t>
    </w:r>
    <w:r w:rsidR="009B7359" w:rsidRPr="005226B5">
      <w:rPr>
        <w:rFonts w:ascii="Times New Roman" w:hAnsi="Times New Roman"/>
        <w:bCs/>
        <w:sz w:val="20"/>
        <w:szCs w:val="20"/>
        <w:lang w:eastAsia="lv-LV"/>
      </w:rPr>
      <w:t>„</w:t>
    </w:r>
    <w:r w:rsidR="009B7359" w:rsidRPr="005226B5">
      <w:rPr>
        <w:rFonts w:ascii="Times New Roman" w:hAnsi="Times New Roman"/>
        <w:sz w:val="20"/>
        <w:szCs w:val="20"/>
        <w:lang w:eastAsia="lv-LV"/>
      </w:rPr>
      <w:t>Par pasākumiem Āfrikas cūku mēra izplatīšanās ierobežošanai</w:t>
    </w:r>
    <w:r w:rsidR="009B7359" w:rsidRPr="005226B5">
      <w:rPr>
        <w:rFonts w:ascii="Times New Roman" w:hAnsi="Times New Roman"/>
        <w:bCs/>
        <w:sz w:val="20"/>
        <w:szCs w:val="20"/>
        <w:lang w:eastAsia="lv-LV"/>
      </w:rPr>
      <w:t>”</w:t>
    </w:r>
    <w:r w:rsidR="009B7359">
      <w:rPr>
        <w:rFonts w:ascii="Times New Roman" w:hAnsi="Times New Roman"/>
        <w:bCs/>
        <w:sz w:val="20"/>
        <w:szCs w:val="20"/>
        <w:lang w:eastAsia="lv-LV"/>
      </w:rPr>
      <w:t xml:space="preserve"> </w:t>
    </w:r>
    <w:r w:rsidR="009B7359" w:rsidRPr="005226B5">
      <w:rPr>
        <w:rFonts w:ascii="Times New Roman" w:hAnsi="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59" w:rsidRDefault="009B7359" w:rsidP="009B7359">
      <w:r>
        <w:separator/>
      </w:r>
    </w:p>
  </w:footnote>
  <w:footnote w:type="continuationSeparator" w:id="0">
    <w:p w:rsidR="009B7359" w:rsidRDefault="009B7359" w:rsidP="009B7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6E28D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7E52" w:rsidRDefault="005B09D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6E28D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B09D3">
      <w:rPr>
        <w:rStyle w:val="Lappusesnumurs"/>
        <w:noProof/>
      </w:rPr>
      <w:t>2</w:t>
    </w:r>
    <w:r>
      <w:rPr>
        <w:rStyle w:val="Lappusesnumurs"/>
      </w:rPr>
      <w:fldChar w:fldCharType="end"/>
    </w:r>
  </w:p>
  <w:p w:rsidR="00D27E52" w:rsidRDefault="005B09D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59"/>
    <w:rsid w:val="000022CC"/>
    <w:rsid w:val="00003471"/>
    <w:rsid w:val="00005DC7"/>
    <w:rsid w:val="00007A01"/>
    <w:rsid w:val="00007BB5"/>
    <w:rsid w:val="00012FA5"/>
    <w:rsid w:val="00016537"/>
    <w:rsid w:val="00023A20"/>
    <w:rsid w:val="000265E6"/>
    <w:rsid w:val="000276DB"/>
    <w:rsid w:val="00030A8A"/>
    <w:rsid w:val="0003432B"/>
    <w:rsid w:val="00034B44"/>
    <w:rsid w:val="00040718"/>
    <w:rsid w:val="0004075A"/>
    <w:rsid w:val="00040902"/>
    <w:rsid w:val="0004208F"/>
    <w:rsid w:val="00043F68"/>
    <w:rsid w:val="000441FF"/>
    <w:rsid w:val="000464A5"/>
    <w:rsid w:val="000511AD"/>
    <w:rsid w:val="0005157A"/>
    <w:rsid w:val="00054121"/>
    <w:rsid w:val="00055155"/>
    <w:rsid w:val="0005719B"/>
    <w:rsid w:val="00062683"/>
    <w:rsid w:val="00062849"/>
    <w:rsid w:val="00064041"/>
    <w:rsid w:val="000655DD"/>
    <w:rsid w:val="0006695C"/>
    <w:rsid w:val="00067A3E"/>
    <w:rsid w:val="00070ED9"/>
    <w:rsid w:val="000754BC"/>
    <w:rsid w:val="00075613"/>
    <w:rsid w:val="0007568D"/>
    <w:rsid w:val="00077DE5"/>
    <w:rsid w:val="00082036"/>
    <w:rsid w:val="00082B6D"/>
    <w:rsid w:val="000865BE"/>
    <w:rsid w:val="00086941"/>
    <w:rsid w:val="00086FF3"/>
    <w:rsid w:val="000948F2"/>
    <w:rsid w:val="0009580B"/>
    <w:rsid w:val="00097EDC"/>
    <w:rsid w:val="000A1193"/>
    <w:rsid w:val="000A3EC4"/>
    <w:rsid w:val="000A44BF"/>
    <w:rsid w:val="000A4D40"/>
    <w:rsid w:val="000A64CD"/>
    <w:rsid w:val="000B309B"/>
    <w:rsid w:val="000B5365"/>
    <w:rsid w:val="000B740F"/>
    <w:rsid w:val="000C17D2"/>
    <w:rsid w:val="000C1C7A"/>
    <w:rsid w:val="000C2635"/>
    <w:rsid w:val="000C3337"/>
    <w:rsid w:val="000C6CBF"/>
    <w:rsid w:val="000C7984"/>
    <w:rsid w:val="000C7DD2"/>
    <w:rsid w:val="000D06F0"/>
    <w:rsid w:val="000D18B0"/>
    <w:rsid w:val="000D34D3"/>
    <w:rsid w:val="000D3927"/>
    <w:rsid w:val="000D3D8B"/>
    <w:rsid w:val="000D72A2"/>
    <w:rsid w:val="000D7DF9"/>
    <w:rsid w:val="000E0D42"/>
    <w:rsid w:val="000E1FC2"/>
    <w:rsid w:val="000E5FC0"/>
    <w:rsid w:val="000E6C55"/>
    <w:rsid w:val="00104AEE"/>
    <w:rsid w:val="00104FAA"/>
    <w:rsid w:val="00105A87"/>
    <w:rsid w:val="001118EC"/>
    <w:rsid w:val="00120A64"/>
    <w:rsid w:val="0012628E"/>
    <w:rsid w:val="00132206"/>
    <w:rsid w:val="00132A95"/>
    <w:rsid w:val="00136B07"/>
    <w:rsid w:val="0013730D"/>
    <w:rsid w:val="00141BEE"/>
    <w:rsid w:val="00142A81"/>
    <w:rsid w:val="00143B67"/>
    <w:rsid w:val="00146C90"/>
    <w:rsid w:val="001519F9"/>
    <w:rsid w:val="00152291"/>
    <w:rsid w:val="00156A22"/>
    <w:rsid w:val="0015779B"/>
    <w:rsid w:val="00160D77"/>
    <w:rsid w:val="00161EB7"/>
    <w:rsid w:val="00170F75"/>
    <w:rsid w:val="00173224"/>
    <w:rsid w:val="001743BF"/>
    <w:rsid w:val="0017449B"/>
    <w:rsid w:val="001763DF"/>
    <w:rsid w:val="0017695F"/>
    <w:rsid w:val="00177991"/>
    <w:rsid w:val="0018140D"/>
    <w:rsid w:val="00181838"/>
    <w:rsid w:val="001822AD"/>
    <w:rsid w:val="001830EE"/>
    <w:rsid w:val="00183C3E"/>
    <w:rsid w:val="00187137"/>
    <w:rsid w:val="00190403"/>
    <w:rsid w:val="00193781"/>
    <w:rsid w:val="001A074C"/>
    <w:rsid w:val="001A09C2"/>
    <w:rsid w:val="001A12AA"/>
    <w:rsid w:val="001A5595"/>
    <w:rsid w:val="001B0335"/>
    <w:rsid w:val="001C7399"/>
    <w:rsid w:val="001D4790"/>
    <w:rsid w:val="001D77C9"/>
    <w:rsid w:val="001D78FA"/>
    <w:rsid w:val="001E0991"/>
    <w:rsid w:val="001E0A5A"/>
    <w:rsid w:val="001E3427"/>
    <w:rsid w:val="001F4682"/>
    <w:rsid w:val="001F5163"/>
    <w:rsid w:val="001F6DE0"/>
    <w:rsid w:val="00201900"/>
    <w:rsid w:val="0020707D"/>
    <w:rsid w:val="00212E51"/>
    <w:rsid w:val="00215BD0"/>
    <w:rsid w:val="002174D5"/>
    <w:rsid w:val="0022133F"/>
    <w:rsid w:val="00224A1C"/>
    <w:rsid w:val="00230584"/>
    <w:rsid w:val="00233082"/>
    <w:rsid w:val="00233D63"/>
    <w:rsid w:val="00236357"/>
    <w:rsid w:val="00240911"/>
    <w:rsid w:val="00242D0B"/>
    <w:rsid w:val="0024382B"/>
    <w:rsid w:val="00245A54"/>
    <w:rsid w:val="00252530"/>
    <w:rsid w:val="002646A7"/>
    <w:rsid w:val="00266ECA"/>
    <w:rsid w:val="002723C7"/>
    <w:rsid w:val="00285A15"/>
    <w:rsid w:val="00285C6C"/>
    <w:rsid w:val="00291F81"/>
    <w:rsid w:val="0029340D"/>
    <w:rsid w:val="00293F1A"/>
    <w:rsid w:val="00295ED4"/>
    <w:rsid w:val="00297363"/>
    <w:rsid w:val="0029751E"/>
    <w:rsid w:val="002A3AEC"/>
    <w:rsid w:val="002A41F2"/>
    <w:rsid w:val="002A6016"/>
    <w:rsid w:val="002A70EE"/>
    <w:rsid w:val="002B131A"/>
    <w:rsid w:val="002B39E0"/>
    <w:rsid w:val="002B4D46"/>
    <w:rsid w:val="002B578F"/>
    <w:rsid w:val="002C267B"/>
    <w:rsid w:val="002D36ED"/>
    <w:rsid w:val="002E103E"/>
    <w:rsid w:val="002E1934"/>
    <w:rsid w:val="002E410B"/>
    <w:rsid w:val="002E6B0F"/>
    <w:rsid w:val="002F0981"/>
    <w:rsid w:val="002F0F6E"/>
    <w:rsid w:val="002F10F8"/>
    <w:rsid w:val="002F43BC"/>
    <w:rsid w:val="002F7EAA"/>
    <w:rsid w:val="00302B4C"/>
    <w:rsid w:val="00304026"/>
    <w:rsid w:val="0030545D"/>
    <w:rsid w:val="00307EE4"/>
    <w:rsid w:val="003118DA"/>
    <w:rsid w:val="00313C3C"/>
    <w:rsid w:val="00315557"/>
    <w:rsid w:val="003219DE"/>
    <w:rsid w:val="00325A59"/>
    <w:rsid w:val="00327379"/>
    <w:rsid w:val="003300ED"/>
    <w:rsid w:val="003302EC"/>
    <w:rsid w:val="00334BEF"/>
    <w:rsid w:val="003415CB"/>
    <w:rsid w:val="0034298A"/>
    <w:rsid w:val="00346071"/>
    <w:rsid w:val="003470CB"/>
    <w:rsid w:val="00351252"/>
    <w:rsid w:val="00351939"/>
    <w:rsid w:val="00355E12"/>
    <w:rsid w:val="003566A6"/>
    <w:rsid w:val="00365E53"/>
    <w:rsid w:val="003674A9"/>
    <w:rsid w:val="00377644"/>
    <w:rsid w:val="00384C7B"/>
    <w:rsid w:val="00387587"/>
    <w:rsid w:val="00387C1B"/>
    <w:rsid w:val="003900A3"/>
    <w:rsid w:val="00393A46"/>
    <w:rsid w:val="003947A2"/>
    <w:rsid w:val="00394F15"/>
    <w:rsid w:val="003972A8"/>
    <w:rsid w:val="003A0DA1"/>
    <w:rsid w:val="003A16D8"/>
    <w:rsid w:val="003A262B"/>
    <w:rsid w:val="003A37E0"/>
    <w:rsid w:val="003A6A20"/>
    <w:rsid w:val="003B05F5"/>
    <w:rsid w:val="003B3E9F"/>
    <w:rsid w:val="003C722E"/>
    <w:rsid w:val="003D2C4B"/>
    <w:rsid w:val="003D4938"/>
    <w:rsid w:val="003D4D41"/>
    <w:rsid w:val="003D5C85"/>
    <w:rsid w:val="003D6997"/>
    <w:rsid w:val="003D755A"/>
    <w:rsid w:val="003E27CD"/>
    <w:rsid w:val="003E3289"/>
    <w:rsid w:val="003E3B13"/>
    <w:rsid w:val="003E46D4"/>
    <w:rsid w:val="003E51AC"/>
    <w:rsid w:val="003E6F19"/>
    <w:rsid w:val="003E7A39"/>
    <w:rsid w:val="003F3D0B"/>
    <w:rsid w:val="00400150"/>
    <w:rsid w:val="00400707"/>
    <w:rsid w:val="00402A29"/>
    <w:rsid w:val="00402B49"/>
    <w:rsid w:val="00404AF2"/>
    <w:rsid w:val="00405C7A"/>
    <w:rsid w:val="004177F0"/>
    <w:rsid w:val="004242D6"/>
    <w:rsid w:val="00424A31"/>
    <w:rsid w:val="00425D01"/>
    <w:rsid w:val="00427FF4"/>
    <w:rsid w:val="00431714"/>
    <w:rsid w:val="00432DBA"/>
    <w:rsid w:val="00435E09"/>
    <w:rsid w:val="004370C7"/>
    <w:rsid w:val="004371BD"/>
    <w:rsid w:val="00452784"/>
    <w:rsid w:val="004543FD"/>
    <w:rsid w:val="00463E86"/>
    <w:rsid w:val="00472651"/>
    <w:rsid w:val="004728B6"/>
    <w:rsid w:val="00474375"/>
    <w:rsid w:val="00477661"/>
    <w:rsid w:val="004820AB"/>
    <w:rsid w:val="0048214F"/>
    <w:rsid w:val="0048317E"/>
    <w:rsid w:val="004842F2"/>
    <w:rsid w:val="00485698"/>
    <w:rsid w:val="0048753B"/>
    <w:rsid w:val="004876A4"/>
    <w:rsid w:val="00492DD0"/>
    <w:rsid w:val="004935E6"/>
    <w:rsid w:val="00493D93"/>
    <w:rsid w:val="004A322B"/>
    <w:rsid w:val="004A3BB2"/>
    <w:rsid w:val="004A7279"/>
    <w:rsid w:val="004C4A7A"/>
    <w:rsid w:val="004C53F1"/>
    <w:rsid w:val="004C7A10"/>
    <w:rsid w:val="004D00FF"/>
    <w:rsid w:val="004D1127"/>
    <w:rsid w:val="004D2B20"/>
    <w:rsid w:val="004D3052"/>
    <w:rsid w:val="004D3E8B"/>
    <w:rsid w:val="004D48F9"/>
    <w:rsid w:val="004D4D2A"/>
    <w:rsid w:val="004E01A7"/>
    <w:rsid w:val="004E4D45"/>
    <w:rsid w:val="004F16A6"/>
    <w:rsid w:val="004F7B69"/>
    <w:rsid w:val="005047FE"/>
    <w:rsid w:val="00510BAC"/>
    <w:rsid w:val="00514D0B"/>
    <w:rsid w:val="00515411"/>
    <w:rsid w:val="00515882"/>
    <w:rsid w:val="005239E5"/>
    <w:rsid w:val="0052544D"/>
    <w:rsid w:val="0052725F"/>
    <w:rsid w:val="005317BD"/>
    <w:rsid w:val="00533D7D"/>
    <w:rsid w:val="00534AB2"/>
    <w:rsid w:val="005403CF"/>
    <w:rsid w:val="0054054A"/>
    <w:rsid w:val="005407DF"/>
    <w:rsid w:val="00540B33"/>
    <w:rsid w:val="00546DF4"/>
    <w:rsid w:val="0055587C"/>
    <w:rsid w:val="00557589"/>
    <w:rsid w:val="00557CD6"/>
    <w:rsid w:val="00562A34"/>
    <w:rsid w:val="00564E92"/>
    <w:rsid w:val="00570F5F"/>
    <w:rsid w:val="00573E71"/>
    <w:rsid w:val="00574A5F"/>
    <w:rsid w:val="00577870"/>
    <w:rsid w:val="005831E4"/>
    <w:rsid w:val="00585824"/>
    <w:rsid w:val="00585B30"/>
    <w:rsid w:val="00587914"/>
    <w:rsid w:val="00587943"/>
    <w:rsid w:val="00587A51"/>
    <w:rsid w:val="0059025D"/>
    <w:rsid w:val="00593A1B"/>
    <w:rsid w:val="00594466"/>
    <w:rsid w:val="005A015B"/>
    <w:rsid w:val="005A5A68"/>
    <w:rsid w:val="005A6154"/>
    <w:rsid w:val="005B09D3"/>
    <w:rsid w:val="005B22D2"/>
    <w:rsid w:val="005B26D0"/>
    <w:rsid w:val="005B2DEF"/>
    <w:rsid w:val="005B6031"/>
    <w:rsid w:val="005B7566"/>
    <w:rsid w:val="005C1C28"/>
    <w:rsid w:val="005C31E6"/>
    <w:rsid w:val="005C49D5"/>
    <w:rsid w:val="005C534F"/>
    <w:rsid w:val="005C61BA"/>
    <w:rsid w:val="005C6CB6"/>
    <w:rsid w:val="005D06E6"/>
    <w:rsid w:val="005D1414"/>
    <w:rsid w:val="005D6B09"/>
    <w:rsid w:val="005E068E"/>
    <w:rsid w:val="005E06B0"/>
    <w:rsid w:val="005E3476"/>
    <w:rsid w:val="005E4E2C"/>
    <w:rsid w:val="005E5330"/>
    <w:rsid w:val="005E5EF0"/>
    <w:rsid w:val="005E69FA"/>
    <w:rsid w:val="005E7E26"/>
    <w:rsid w:val="005F374B"/>
    <w:rsid w:val="005F4BC6"/>
    <w:rsid w:val="005F7E56"/>
    <w:rsid w:val="00602F6B"/>
    <w:rsid w:val="00604F56"/>
    <w:rsid w:val="00606F06"/>
    <w:rsid w:val="00611DF3"/>
    <w:rsid w:val="006156D1"/>
    <w:rsid w:val="00615D57"/>
    <w:rsid w:val="00616ED3"/>
    <w:rsid w:val="00620259"/>
    <w:rsid w:val="0062138C"/>
    <w:rsid w:val="006248E2"/>
    <w:rsid w:val="00626490"/>
    <w:rsid w:val="00627658"/>
    <w:rsid w:val="00634383"/>
    <w:rsid w:val="006351D8"/>
    <w:rsid w:val="00635845"/>
    <w:rsid w:val="00645296"/>
    <w:rsid w:val="00645A85"/>
    <w:rsid w:val="00650B7B"/>
    <w:rsid w:val="0065177B"/>
    <w:rsid w:val="00652796"/>
    <w:rsid w:val="006552DC"/>
    <w:rsid w:val="00655371"/>
    <w:rsid w:val="00670E7E"/>
    <w:rsid w:val="00672F60"/>
    <w:rsid w:val="006838F1"/>
    <w:rsid w:val="0068404C"/>
    <w:rsid w:val="00685467"/>
    <w:rsid w:val="00686CA7"/>
    <w:rsid w:val="00687789"/>
    <w:rsid w:val="0069165E"/>
    <w:rsid w:val="00692916"/>
    <w:rsid w:val="00692B56"/>
    <w:rsid w:val="00694EA7"/>
    <w:rsid w:val="006972F8"/>
    <w:rsid w:val="006978C9"/>
    <w:rsid w:val="006A317E"/>
    <w:rsid w:val="006A673D"/>
    <w:rsid w:val="006A72CE"/>
    <w:rsid w:val="006B0C07"/>
    <w:rsid w:val="006B0ECD"/>
    <w:rsid w:val="006B2E56"/>
    <w:rsid w:val="006B30FB"/>
    <w:rsid w:val="006B33D0"/>
    <w:rsid w:val="006B42B8"/>
    <w:rsid w:val="006B5869"/>
    <w:rsid w:val="006B5E08"/>
    <w:rsid w:val="006C3C64"/>
    <w:rsid w:val="006C71C2"/>
    <w:rsid w:val="006D0F7E"/>
    <w:rsid w:val="006D3DF9"/>
    <w:rsid w:val="006D56C8"/>
    <w:rsid w:val="006D748F"/>
    <w:rsid w:val="006E0644"/>
    <w:rsid w:val="006E0DF0"/>
    <w:rsid w:val="006E28DF"/>
    <w:rsid w:val="006E36E5"/>
    <w:rsid w:val="006E4D1F"/>
    <w:rsid w:val="006E6FC1"/>
    <w:rsid w:val="006F7A4A"/>
    <w:rsid w:val="00700DBB"/>
    <w:rsid w:val="00701CE0"/>
    <w:rsid w:val="00704F4C"/>
    <w:rsid w:val="0070644D"/>
    <w:rsid w:val="00713036"/>
    <w:rsid w:val="007134E7"/>
    <w:rsid w:val="007142A9"/>
    <w:rsid w:val="00715C6A"/>
    <w:rsid w:val="00717BF2"/>
    <w:rsid w:val="00720ED1"/>
    <w:rsid w:val="00727AEA"/>
    <w:rsid w:val="00727C84"/>
    <w:rsid w:val="00731DBD"/>
    <w:rsid w:val="00732DF7"/>
    <w:rsid w:val="007341B3"/>
    <w:rsid w:val="00736D9D"/>
    <w:rsid w:val="00743529"/>
    <w:rsid w:val="0075001A"/>
    <w:rsid w:val="00750384"/>
    <w:rsid w:val="00751B0A"/>
    <w:rsid w:val="00754B4F"/>
    <w:rsid w:val="00755CC0"/>
    <w:rsid w:val="007571CF"/>
    <w:rsid w:val="00757D14"/>
    <w:rsid w:val="007621E0"/>
    <w:rsid w:val="00767D06"/>
    <w:rsid w:val="0077622C"/>
    <w:rsid w:val="00777358"/>
    <w:rsid w:val="0077794A"/>
    <w:rsid w:val="00782F07"/>
    <w:rsid w:val="00783C6B"/>
    <w:rsid w:val="00787F9C"/>
    <w:rsid w:val="00790470"/>
    <w:rsid w:val="00795190"/>
    <w:rsid w:val="00796113"/>
    <w:rsid w:val="007973AC"/>
    <w:rsid w:val="007A029B"/>
    <w:rsid w:val="007A05E9"/>
    <w:rsid w:val="007A1ED8"/>
    <w:rsid w:val="007A30CE"/>
    <w:rsid w:val="007A52BA"/>
    <w:rsid w:val="007A7430"/>
    <w:rsid w:val="007B49CF"/>
    <w:rsid w:val="007C3087"/>
    <w:rsid w:val="007D2889"/>
    <w:rsid w:val="007D39CA"/>
    <w:rsid w:val="007D44A1"/>
    <w:rsid w:val="007D44AE"/>
    <w:rsid w:val="007D6F94"/>
    <w:rsid w:val="007E15B4"/>
    <w:rsid w:val="007E516D"/>
    <w:rsid w:val="007E66AB"/>
    <w:rsid w:val="007F1DF0"/>
    <w:rsid w:val="007F50B7"/>
    <w:rsid w:val="007F658A"/>
    <w:rsid w:val="007F7921"/>
    <w:rsid w:val="00805170"/>
    <w:rsid w:val="00810785"/>
    <w:rsid w:val="00811E3F"/>
    <w:rsid w:val="0081341F"/>
    <w:rsid w:val="00814B83"/>
    <w:rsid w:val="00815C8E"/>
    <w:rsid w:val="00816E6B"/>
    <w:rsid w:val="0082062E"/>
    <w:rsid w:val="0082155A"/>
    <w:rsid w:val="00823A75"/>
    <w:rsid w:val="008255BB"/>
    <w:rsid w:val="0083215A"/>
    <w:rsid w:val="008333E8"/>
    <w:rsid w:val="008336FF"/>
    <w:rsid w:val="008339A2"/>
    <w:rsid w:val="0083587B"/>
    <w:rsid w:val="008405D6"/>
    <w:rsid w:val="00842019"/>
    <w:rsid w:val="008430EE"/>
    <w:rsid w:val="00843D6E"/>
    <w:rsid w:val="00846B34"/>
    <w:rsid w:val="008575FD"/>
    <w:rsid w:val="00862E6B"/>
    <w:rsid w:val="0086440A"/>
    <w:rsid w:val="00871E07"/>
    <w:rsid w:val="008720D0"/>
    <w:rsid w:val="0087210F"/>
    <w:rsid w:val="00872810"/>
    <w:rsid w:val="008776E6"/>
    <w:rsid w:val="00877A3D"/>
    <w:rsid w:val="00885E26"/>
    <w:rsid w:val="0089158C"/>
    <w:rsid w:val="008949C0"/>
    <w:rsid w:val="008A0AA1"/>
    <w:rsid w:val="008A2C86"/>
    <w:rsid w:val="008A54C2"/>
    <w:rsid w:val="008A7183"/>
    <w:rsid w:val="008B2236"/>
    <w:rsid w:val="008B500D"/>
    <w:rsid w:val="008B5D37"/>
    <w:rsid w:val="008B6F4C"/>
    <w:rsid w:val="008B7505"/>
    <w:rsid w:val="008B7E32"/>
    <w:rsid w:val="008C118B"/>
    <w:rsid w:val="008C2496"/>
    <w:rsid w:val="008C2C40"/>
    <w:rsid w:val="008D2A81"/>
    <w:rsid w:val="008E15CF"/>
    <w:rsid w:val="008E1F90"/>
    <w:rsid w:val="008E4558"/>
    <w:rsid w:val="008F1B1C"/>
    <w:rsid w:val="008F22A8"/>
    <w:rsid w:val="008F6771"/>
    <w:rsid w:val="009018B4"/>
    <w:rsid w:val="009018BB"/>
    <w:rsid w:val="0090552F"/>
    <w:rsid w:val="009126D8"/>
    <w:rsid w:val="009152B6"/>
    <w:rsid w:val="00916C35"/>
    <w:rsid w:val="00920041"/>
    <w:rsid w:val="009243EE"/>
    <w:rsid w:val="00924984"/>
    <w:rsid w:val="0092534A"/>
    <w:rsid w:val="00931E49"/>
    <w:rsid w:val="00932B8A"/>
    <w:rsid w:val="00934975"/>
    <w:rsid w:val="00934AB1"/>
    <w:rsid w:val="00937D47"/>
    <w:rsid w:val="00940577"/>
    <w:rsid w:val="00942D6C"/>
    <w:rsid w:val="009453E4"/>
    <w:rsid w:val="00945F41"/>
    <w:rsid w:val="009460F0"/>
    <w:rsid w:val="00952F69"/>
    <w:rsid w:val="0095376B"/>
    <w:rsid w:val="00955C00"/>
    <w:rsid w:val="00956000"/>
    <w:rsid w:val="009617BC"/>
    <w:rsid w:val="00961883"/>
    <w:rsid w:val="00961C00"/>
    <w:rsid w:val="00961C3F"/>
    <w:rsid w:val="009663ED"/>
    <w:rsid w:val="00970613"/>
    <w:rsid w:val="00971D1D"/>
    <w:rsid w:val="0097380B"/>
    <w:rsid w:val="009763B2"/>
    <w:rsid w:val="00980A90"/>
    <w:rsid w:val="00982AB1"/>
    <w:rsid w:val="00983389"/>
    <w:rsid w:val="00992934"/>
    <w:rsid w:val="009935B5"/>
    <w:rsid w:val="0099640A"/>
    <w:rsid w:val="009A0071"/>
    <w:rsid w:val="009A2886"/>
    <w:rsid w:val="009A7D72"/>
    <w:rsid w:val="009B2129"/>
    <w:rsid w:val="009B3F2D"/>
    <w:rsid w:val="009B6E9A"/>
    <w:rsid w:val="009B6F34"/>
    <w:rsid w:val="009B7359"/>
    <w:rsid w:val="009B7C27"/>
    <w:rsid w:val="009D2DF2"/>
    <w:rsid w:val="009D723F"/>
    <w:rsid w:val="009D7A73"/>
    <w:rsid w:val="009E2864"/>
    <w:rsid w:val="009E3E8F"/>
    <w:rsid w:val="009F348F"/>
    <w:rsid w:val="009F49EC"/>
    <w:rsid w:val="00A04918"/>
    <w:rsid w:val="00A10A3B"/>
    <w:rsid w:val="00A10BC6"/>
    <w:rsid w:val="00A11A60"/>
    <w:rsid w:val="00A201FA"/>
    <w:rsid w:val="00A2473B"/>
    <w:rsid w:val="00A25608"/>
    <w:rsid w:val="00A2699A"/>
    <w:rsid w:val="00A26D48"/>
    <w:rsid w:val="00A27F8C"/>
    <w:rsid w:val="00A32F70"/>
    <w:rsid w:val="00A335C9"/>
    <w:rsid w:val="00A35B4D"/>
    <w:rsid w:val="00A4010C"/>
    <w:rsid w:val="00A434EF"/>
    <w:rsid w:val="00A47D19"/>
    <w:rsid w:val="00A5052F"/>
    <w:rsid w:val="00A5151A"/>
    <w:rsid w:val="00A571B1"/>
    <w:rsid w:val="00A617B0"/>
    <w:rsid w:val="00A63E7C"/>
    <w:rsid w:val="00A652DB"/>
    <w:rsid w:val="00A67C41"/>
    <w:rsid w:val="00A7051F"/>
    <w:rsid w:val="00A71F5B"/>
    <w:rsid w:val="00A778D3"/>
    <w:rsid w:val="00A82223"/>
    <w:rsid w:val="00A83A28"/>
    <w:rsid w:val="00A869DE"/>
    <w:rsid w:val="00A916F2"/>
    <w:rsid w:val="00A96210"/>
    <w:rsid w:val="00A9622F"/>
    <w:rsid w:val="00A973F9"/>
    <w:rsid w:val="00AA006E"/>
    <w:rsid w:val="00AA3137"/>
    <w:rsid w:val="00AA501E"/>
    <w:rsid w:val="00AA5522"/>
    <w:rsid w:val="00AA7F87"/>
    <w:rsid w:val="00AB04D0"/>
    <w:rsid w:val="00AB2BA8"/>
    <w:rsid w:val="00AC2230"/>
    <w:rsid w:val="00AC6907"/>
    <w:rsid w:val="00AC713F"/>
    <w:rsid w:val="00AC71EA"/>
    <w:rsid w:val="00AD17CB"/>
    <w:rsid w:val="00AD1E80"/>
    <w:rsid w:val="00AD3063"/>
    <w:rsid w:val="00AD508A"/>
    <w:rsid w:val="00AE199C"/>
    <w:rsid w:val="00AE371F"/>
    <w:rsid w:val="00AE4710"/>
    <w:rsid w:val="00AE47EB"/>
    <w:rsid w:val="00AF3674"/>
    <w:rsid w:val="00AF3A04"/>
    <w:rsid w:val="00AF4562"/>
    <w:rsid w:val="00B0595A"/>
    <w:rsid w:val="00B067A6"/>
    <w:rsid w:val="00B07F4D"/>
    <w:rsid w:val="00B1049C"/>
    <w:rsid w:val="00B1066D"/>
    <w:rsid w:val="00B10C4C"/>
    <w:rsid w:val="00B15108"/>
    <w:rsid w:val="00B20B94"/>
    <w:rsid w:val="00B32D0C"/>
    <w:rsid w:val="00B33FC0"/>
    <w:rsid w:val="00B4012F"/>
    <w:rsid w:val="00B4053B"/>
    <w:rsid w:val="00B4126C"/>
    <w:rsid w:val="00B418B5"/>
    <w:rsid w:val="00B50A68"/>
    <w:rsid w:val="00B570C3"/>
    <w:rsid w:val="00B606A5"/>
    <w:rsid w:val="00B6397C"/>
    <w:rsid w:val="00B65913"/>
    <w:rsid w:val="00B67459"/>
    <w:rsid w:val="00B679D6"/>
    <w:rsid w:val="00B72F6B"/>
    <w:rsid w:val="00B731F0"/>
    <w:rsid w:val="00B73CF5"/>
    <w:rsid w:val="00B8272F"/>
    <w:rsid w:val="00B83175"/>
    <w:rsid w:val="00B83A8B"/>
    <w:rsid w:val="00B83FA8"/>
    <w:rsid w:val="00B904E5"/>
    <w:rsid w:val="00B946FF"/>
    <w:rsid w:val="00BA250E"/>
    <w:rsid w:val="00BA3B82"/>
    <w:rsid w:val="00BA7EBB"/>
    <w:rsid w:val="00BB3CE9"/>
    <w:rsid w:val="00BB4782"/>
    <w:rsid w:val="00BC09DC"/>
    <w:rsid w:val="00BC40B4"/>
    <w:rsid w:val="00BC5E70"/>
    <w:rsid w:val="00BC6D57"/>
    <w:rsid w:val="00BD0A8E"/>
    <w:rsid w:val="00BD135C"/>
    <w:rsid w:val="00BD2789"/>
    <w:rsid w:val="00BD716B"/>
    <w:rsid w:val="00BE4E9C"/>
    <w:rsid w:val="00BE75CE"/>
    <w:rsid w:val="00BF00BB"/>
    <w:rsid w:val="00BF0920"/>
    <w:rsid w:val="00BF40B5"/>
    <w:rsid w:val="00BF4678"/>
    <w:rsid w:val="00C010E8"/>
    <w:rsid w:val="00C0257A"/>
    <w:rsid w:val="00C02CA3"/>
    <w:rsid w:val="00C03EEC"/>
    <w:rsid w:val="00C13F3E"/>
    <w:rsid w:val="00C13F44"/>
    <w:rsid w:val="00C16F32"/>
    <w:rsid w:val="00C24767"/>
    <w:rsid w:val="00C27BB0"/>
    <w:rsid w:val="00C315EF"/>
    <w:rsid w:val="00C3478F"/>
    <w:rsid w:val="00C35A7C"/>
    <w:rsid w:val="00C36ED6"/>
    <w:rsid w:val="00C404F1"/>
    <w:rsid w:val="00C41085"/>
    <w:rsid w:val="00C43C35"/>
    <w:rsid w:val="00C455E1"/>
    <w:rsid w:val="00C46327"/>
    <w:rsid w:val="00C4646D"/>
    <w:rsid w:val="00C4744B"/>
    <w:rsid w:val="00C50A9C"/>
    <w:rsid w:val="00C52C8A"/>
    <w:rsid w:val="00C566C6"/>
    <w:rsid w:val="00C6324B"/>
    <w:rsid w:val="00C64BD6"/>
    <w:rsid w:val="00C64F57"/>
    <w:rsid w:val="00C663AA"/>
    <w:rsid w:val="00C70A01"/>
    <w:rsid w:val="00C73464"/>
    <w:rsid w:val="00C73F60"/>
    <w:rsid w:val="00C7461B"/>
    <w:rsid w:val="00C74B20"/>
    <w:rsid w:val="00C7647B"/>
    <w:rsid w:val="00C807C2"/>
    <w:rsid w:val="00C81772"/>
    <w:rsid w:val="00C845BE"/>
    <w:rsid w:val="00C84B3B"/>
    <w:rsid w:val="00C84E19"/>
    <w:rsid w:val="00C90F10"/>
    <w:rsid w:val="00C92ED1"/>
    <w:rsid w:val="00C9446B"/>
    <w:rsid w:val="00C95EE2"/>
    <w:rsid w:val="00C97429"/>
    <w:rsid w:val="00C97B38"/>
    <w:rsid w:val="00CA255B"/>
    <w:rsid w:val="00CB20AD"/>
    <w:rsid w:val="00CB525B"/>
    <w:rsid w:val="00CC4520"/>
    <w:rsid w:val="00CC48EA"/>
    <w:rsid w:val="00CC4CC6"/>
    <w:rsid w:val="00CC551E"/>
    <w:rsid w:val="00CD338C"/>
    <w:rsid w:val="00CD701D"/>
    <w:rsid w:val="00CD7F48"/>
    <w:rsid w:val="00CE7CB4"/>
    <w:rsid w:val="00CF04E1"/>
    <w:rsid w:val="00CF1C2D"/>
    <w:rsid w:val="00CF4FFA"/>
    <w:rsid w:val="00D00D2C"/>
    <w:rsid w:val="00D016B1"/>
    <w:rsid w:val="00D02DC7"/>
    <w:rsid w:val="00D03270"/>
    <w:rsid w:val="00D03733"/>
    <w:rsid w:val="00D03A67"/>
    <w:rsid w:val="00D0553E"/>
    <w:rsid w:val="00D12439"/>
    <w:rsid w:val="00D15FB5"/>
    <w:rsid w:val="00D162B0"/>
    <w:rsid w:val="00D175A4"/>
    <w:rsid w:val="00D21A80"/>
    <w:rsid w:val="00D231BA"/>
    <w:rsid w:val="00D26595"/>
    <w:rsid w:val="00D30D14"/>
    <w:rsid w:val="00D32A48"/>
    <w:rsid w:val="00D32D85"/>
    <w:rsid w:val="00D3669F"/>
    <w:rsid w:val="00D3746C"/>
    <w:rsid w:val="00D40066"/>
    <w:rsid w:val="00D404F5"/>
    <w:rsid w:val="00D4331D"/>
    <w:rsid w:val="00D43613"/>
    <w:rsid w:val="00D45950"/>
    <w:rsid w:val="00D45B2A"/>
    <w:rsid w:val="00D504A3"/>
    <w:rsid w:val="00D5095C"/>
    <w:rsid w:val="00D604AB"/>
    <w:rsid w:val="00D60F75"/>
    <w:rsid w:val="00D67720"/>
    <w:rsid w:val="00D72DFC"/>
    <w:rsid w:val="00D753DA"/>
    <w:rsid w:val="00D81771"/>
    <w:rsid w:val="00D82045"/>
    <w:rsid w:val="00D85034"/>
    <w:rsid w:val="00D862FF"/>
    <w:rsid w:val="00D8672C"/>
    <w:rsid w:val="00D87662"/>
    <w:rsid w:val="00D94445"/>
    <w:rsid w:val="00D95D1B"/>
    <w:rsid w:val="00D962B0"/>
    <w:rsid w:val="00D96AAA"/>
    <w:rsid w:val="00DA40E8"/>
    <w:rsid w:val="00DA6802"/>
    <w:rsid w:val="00DB4060"/>
    <w:rsid w:val="00DB592C"/>
    <w:rsid w:val="00DB7C89"/>
    <w:rsid w:val="00DC0293"/>
    <w:rsid w:val="00DC4427"/>
    <w:rsid w:val="00DC704E"/>
    <w:rsid w:val="00DE058B"/>
    <w:rsid w:val="00DE587E"/>
    <w:rsid w:val="00DE5FFF"/>
    <w:rsid w:val="00DE72EF"/>
    <w:rsid w:val="00DF110C"/>
    <w:rsid w:val="00DF13BC"/>
    <w:rsid w:val="00DF1DE1"/>
    <w:rsid w:val="00DF5920"/>
    <w:rsid w:val="00E02289"/>
    <w:rsid w:val="00E02664"/>
    <w:rsid w:val="00E02DE9"/>
    <w:rsid w:val="00E0464A"/>
    <w:rsid w:val="00E0638C"/>
    <w:rsid w:val="00E10DA7"/>
    <w:rsid w:val="00E1360E"/>
    <w:rsid w:val="00E1394D"/>
    <w:rsid w:val="00E1432E"/>
    <w:rsid w:val="00E26BE0"/>
    <w:rsid w:val="00E27575"/>
    <w:rsid w:val="00E27E22"/>
    <w:rsid w:val="00E33328"/>
    <w:rsid w:val="00E34F79"/>
    <w:rsid w:val="00E37A56"/>
    <w:rsid w:val="00E4179F"/>
    <w:rsid w:val="00E433BF"/>
    <w:rsid w:val="00E43C43"/>
    <w:rsid w:val="00E4416E"/>
    <w:rsid w:val="00E44B60"/>
    <w:rsid w:val="00E45BB0"/>
    <w:rsid w:val="00E46453"/>
    <w:rsid w:val="00E51107"/>
    <w:rsid w:val="00E512F6"/>
    <w:rsid w:val="00E5532B"/>
    <w:rsid w:val="00E56193"/>
    <w:rsid w:val="00E57799"/>
    <w:rsid w:val="00E61327"/>
    <w:rsid w:val="00E65D90"/>
    <w:rsid w:val="00E8005A"/>
    <w:rsid w:val="00E809CD"/>
    <w:rsid w:val="00E83C2B"/>
    <w:rsid w:val="00E84212"/>
    <w:rsid w:val="00E877AD"/>
    <w:rsid w:val="00E90101"/>
    <w:rsid w:val="00E94D2A"/>
    <w:rsid w:val="00E96B16"/>
    <w:rsid w:val="00EA1E40"/>
    <w:rsid w:val="00EA7250"/>
    <w:rsid w:val="00EB00EF"/>
    <w:rsid w:val="00EB3C4B"/>
    <w:rsid w:val="00EC568A"/>
    <w:rsid w:val="00ED19EB"/>
    <w:rsid w:val="00ED3023"/>
    <w:rsid w:val="00ED518B"/>
    <w:rsid w:val="00ED7DDB"/>
    <w:rsid w:val="00EE1422"/>
    <w:rsid w:val="00EE29A5"/>
    <w:rsid w:val="00EE6DF5"/>
    <w:rsid w:val="00EF5C4C"/>
    <w:rsid w:val="00EF5CBA"/>
    <w:rsid w:val="00EF6595"/>
    <w:rsid w:val="00EF6DE3"/>
    <w:rsid w:val="00F0308B"/>
    <w:rsid w:val="00F03BE7"/>
    <w:rsid w:val="00F03D47"/>
    <w:rsid w:val="00F04DD8"/>
    <w:rsid w:val="00F06E4D"/>
    <w:rsid w:val="00F10CC0"/>
    <w:rsid w:val="00F1417D"/>
    <w:rsid w:val="00F142DC"/>
    <w:rsid w:val="00F1667A"/>
    <w:rsid w:val="00F16F00"/>
    <w:rsid w:val="00F22629"/>
    <w:rsid w:val="00F233A4"/>
    <w:rsid w:val="00F270F1"/>
    <w:rsid w:val="00F27C86"/>
    <w:rsid w:val="00F3056D"/>
    <w:rsid w:val="00F31EFA"/>
    <w:rsid w:val="00F3417D"/>
    <w:rsid w:val="00F34E82"/>
    <w:rsid w:val="00F358E8"/>
    <w:rsid w:val="00F36CD4"/>
    <w:rsid w:val="00F417D7"/>
    <w:rsid w:val="00F4209F"/>
    <w:rsid w:val="00F43341"/>
    <w:rsid w:val="00F45D51"/>
    <w:rsid w:val="00F504D1"/>
    <w:rsid w:val="00F513FF"/>
    <w:rsid w:val="00F525F6"/>
    <w:rsid w:val="00F5347E"/>
    <w:rsid w:val="00F54BAE"/>
    <w:rsid w:val="00F609FA"/>
    <w:rsid w:val="00F7110D"/>
    <w:rsid w:val="00F726AB"/>
    <w:rsid w:val="00F7388E"/>
    <w:rsid w:val="00F749C1"/>
    <w:rsid w:val="00F74B08"/>
    <w:rsid w:val="00F75DEF"/>
    <w:rsid w:val="00F80A20"/>
    <w:rsid w:val="00F82A7B"/>
    <w:rsid w:val="00F8464A"/>
    <w:rsid w:val="00F86A3A"/>
    <w:rsid w:val="00F90CB0"/>
    <w:rsid w:val="00F9493B"/>
    <w:rsid w:val="00F94A76"/>
    <w:rsid w:val="00F97750"/>
    <w:rsid w:val="00F97F31"/>
    <w:rsid w:val="00FA08BC"/>
    <w:rsid w:val="00FA1F11"/>
    <w:rsid w:val="00FA2C9C"/>
    <w:rsid w:val="00FA728C"/>
    <w:rsid w:val="00FA7651"/>
    <w:rsid w:val="00FB142C"/>
    <w:rsid w:val="00FB1FE9"/>
    <w:rsid w:val="00FB3111"/>
    <w:rsid w:val="00FB68A6"/>
    <w:rsid w:val="00FB7D00"/>
    <w:rsid w:val="00FC3CE8"/>
    <w:rsid w:val="00FD233D"/>
    <w:rsid w:val="00FD57F3"/>
    <w:rsid w:val="00FD62CA"/>
    <w:rsid w:val="00FE1715"/>
    <w:rsid w:val="00FE5EBC"/>
    <w:rsid w:val="00FE7B44"/>
    <w:rsid w:val="00FF0B99"/>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40D5A-F8F7-4D06-9083-515523BA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7359"/>
    <w:rPr>
      <w:sz w:val="24"/>
      <w:szCs w:val="24"/>
      <w:lang w:val="en-GB"/>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paragraph" w:customStyle="1" w:styleId="naisf">
    <w:name w:val="naisf"/>
    <w:basedOn w:val="Parasts"/>
    <w:rsid w:val="009B7359"/>
    <w:pPr>
      <w:spacing w:before="100" w:beforeAutospacing="1" w:after="100" w:afterAutospacing="1"/>
      <w:jc w:val="both"/>
    </w:pPr>
    <w:rPr>
      <w:rFonts w:eastAsia="Arial Unicode MS"/>
    </w:rPr>
  </w:style>
  <w:style w:type="paragraph" w:styleId="Galvene">
    <w:name w:val="header"/>
    <w:basedOn w:val="Parasts"/>
    <w:link w:val="GalveneRakstz"/>
    <w:rsid w:val="009B7359"/>
    <w:pPr>
      <w:tabs>
        <w:tab w:val="center" w:pos="4153"/>
        <w:tab w:val="right" w:pos="8306"/>
      </w:tabs>
    </w:pPr>
  </w:style>
  <w:style w:type="character" w:customStyle="1" w:styleId="GalveneRakstz">
    <w:name w:val="Galvene Rakstz."/>
    <w:basedOn w:val="Noklusjumarindkopasfonts"/>
    <w:link w:val="Galvene"/>
    <w:rsid w:val="009B7359"/>
    <w:rPr>
      <w:sz w:val="24"/>
      <w:szCs w:val="24"/>
      <w:lang w:val="en-GB"/>
    </w:rPr>
  </w:style>
  <w:style w:type="character" w:styleId="Lappusesnumurs">
    <w:name w:val="page number"/>
    <w:basedOn w:val="Noklusjumarindkopasfonts"/>
    <w:rsid w:val="009B7359"/>
  </w:style>
  <w:style w:type="character" w:styleId="Hipersaite">
    <w:name w:val="Hyperlink"/>
    <w:basedOn w:val="Noklusjumarindkopasfonts"/>
    <w:rsid w:val="009B7359"/>
    <w:rPr>
      <w:color w:val="0000FF"/>
      <w:u w:val="single"/>
    </w:rPr>
  </w:style>
  <w:style w:type="paragraph" w:styleId="Bezatstarpm">
    <w:name w:val="No Spacing"/>
    <w:qFormat/>
    <w:rsid w:val="009B7359"/>
    <w:rPr>
      <w:rFonts w:ascii="Calibri" w:eastAsia="Calibri" w:hAnsi="Calibri"/>
      <w:sz w:val="22"/>
      <w:szCs w:val="22"/>
      <w:lang w:val="lv-LV"/>
    </w:rPr>
  </w:style>
  <w:style w:type="paragraph" w:styleId="Kjene">
    <w:name w:val="footer"/>
    <w:basedOn w:val="Parasts"/>
    <w:link w:val="KjeneRakstz"/>
    <w:uiPriority w:val="99"/>
    <w:unhideWhenUsed/>
    <w:rsid w:val="009B7359"/>
    <w:pPr>
      <w:tabs>
        <w:tab w:val="center" w:pos="4680"/>
        <w:tab w:val="right" w:pos="9360"/>
      </w:tabs>
    </w:pPr>
  </w:style>
  <w:style w:type="character" w:customStyle="1" w:styleId="KjeneRakstz">
    <w:name w:val="Kājene Rakstz."/>
    <w:basedOn w:val="Noklusjumarindkopasfonts"/>
    <w:link w:val="Kjene"/>
    <w:uiPriority w:val="99"/>
    <w:rsid w:val="009B7359"/>
    <w:rPr>
      <w:sz w:val="24"/>
      <w:szCs w:val="24"/>
      <w:lang w:val="en-GB"/>
    </w:rPr>
  </w:style>
  <w:style w:type="paragraph" w:styleId="Sarakstarindkopa">
    <w:name w:val="List Paragraph"/>
    <w:basedOn w:val="Parasts"/>
    <w:uiPriority w:val="34"/>
    <w:qFormat/>
    <w:rsid w:val="00700DBB"/>
    <w:pPr>
      <w:ind w:left="720"/>
      <w:contextualSpacing/>
    </w:pPr>
  </w:style>
  <w:style w:type="paragraph" w:styleId="Balonteksts">
    <w:name w:val="Balloon Text"/>
    <w:basedOn w:val="Parasts"/>
    <w:link w:val="BalontekstsRakstz"/>
    <w:uiPriority w:val="99"/>
    <w:semiHidden/>
    <w:unhideWhenUsed/>
    <w:rsid w:val="00700DB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0DB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1091</Words>
  <Characters>6942</Characters>
  <Application>Microsoft Office Word</Application>
  <DocSecurity>0</DocSecurity>
  <Lines>385</Lines>
  <Paragraphs>211</Paragraphs>
  <ScaleCrop>false</ScaleCrop>
  <HeadingPairs>
    <vt:vector size="2" baseType="variant">
      <vt:variant>
        <vt:lpstr>Nosaukums</vt:lpstr>
      </vt:variant>
      <vt:variant>
        <vt:i4>1</vt:i4>
      </vt:variant>
    </vt:vector>
  </HeadingPairs>
  <TitlesOfParts>
    <vt:vector size="1" baseType="lpstr">
      <vt:lpstr/>
    </vt:vector>
  </TitlesOfParts>
  <Company>Zemkopibas Ministrija</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Vanaga</dc:creator>
  <cp:keywords/>
  <dc:description/>
  <cp:lastModifiedBy>Sanita Žagare</cp:lastModifiedBy>
  <cp:revision>21</cp:revision>
  <cp:lastPrinted>2017-01-16T14:08:00Z</cp:lastPrinted>
  <dcterms:created xsi:type="dcterms:W3CDTF">2017-01-16T10:37:00Z</dcterms:created>
  <dcterms:modified xsi:type="dcterms:W3CDTF">2017-01-17T08:54:00Z</dcterms:modified>
</cp:coreProperties>
</file>