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992C" w14:textId="77777777" w:rsidR="006B0FFC" w:rsidRPr="00BF5644" w:rsidRDefault="006E0CE7" w:rsidP="00BF5644">
      <w:pPr>
        <w:spacing w:after="0" w:line="240" w:lineRule="auto"/>
        <w:jc w:val="center"/>
        <w:outlineLvl w:val="3"/>
        <w:rPr>
          <w:rFonts w:eastAsia="Times New Roman"/>
          <w:b/>
          <w:bCs/>
          <w:sz w:val="22"/>
          <w:lang w:eastAsia="lv-LV"/>
        </w:rPr>
      </w:pPr>
      <w:bookmarkStart w:id="0" w:name="OLE_LINK1"/>
      <w:bookmarkStart w:id="1" w:name="OLE_LINK2"/>
      <w:bookmarkStart w:id="2" w:name="_GoBack"/>
      <w:bookmarkEnd w:id="2"/>
      <w:r w:rsidRPr="00BF5644">
        <w:rPr>
          <w:rFonts w:eastAsia="Times New Roman"/>
          <w:b/>
          <w:bCs/>
          <w:sz w:val="22"/>
          <w:lang w:eastAsia="lv-LV"/>
        </w:rPr>
        <w:t>Ministru kabineta noteikumu projekta</w:t>
      </w:r>
      <w:r w:rsidR="006B0FFC" w:rsidRPr="00BF5644">
        <w:rPr>
          <w:rFonts w:eastAsia="Times New Roman"/>
          <w:b/>
          <w:bCs/>
          <w:sz w:val="22"/>
          <w:lang w:eastAsia="lv-LV"/>
        </w:rPr>
        <w:t xml:space="preserve"> „</w:t>
      </w:r>
      <w:r w:rsidR="0039270E" w:rsidRPr="0039270E">
        <w:rPr>
          <w:rFonts w:eastAsia="Times New Roman"/>
          <w:b/>
          <w:bCs/>
          <w:sz w:val="22"/>
          <w:lang w:eastAsia="lv-LV"/>
        </w:rPr>
        <w:t>Noteikumi par</w:t>
      </w:r>
      <w:r w:rsidR="00E812A9">
        <w:rPr>
          <w:rFonts w:eastAsia="Times New Roman"/>
          <w:b/>
          <w:bCs/>
          <w:sz w:val="22"/>
          <w:lang w:eastAsia="lv-LV"/>
        </w:rPr>
        <w:t xml:space="preserve"> kārtību un apmēru, kādā tiek veiktas iemaksas</w:t>
      </w:r>
      <w:r w:rsidR="0039270E" w:rsidRPr="0039270E">
        <w:rPr>
          <w:rFonts w:eastAsia="Times New Roman"/>
          <w:b/>
          <w:bCs/>
          <w:sz w:val="22"/>
          <w:lang w:eastAsia="lv-LV"/>
        </w:rPr>
        <w:t xml:space="preserve"> </w:t>
      </w:r>
      <w:r w:rsidR="00E812A9" w:rsidRPr="00E812A9">
        <w:rPr>
          <w:rFonts w:eastAsia="Times New Roman"/>
          <w:b/>
          <w:bCs/>
          <w:sz w:val="22"/>
          <w:lang w:eastAsia="lv-LV"/>
        </w:rPr>
        <w:t xml:space="preserve">energoefektivitātes fondā </w:t>
      </w:r>
      <w:r w:rsidR="00884BE4" w:rsidRPr="00884BE4">
        <w:rPr>
          <w:rFonts w:eastAsia="Times New Roman"/>
          <w:b/>
          <w:bCs/>
          <w:sz w:val="22"/>
          <w:lang w:eastAsia="lv-LV"/>
        </w:rPr>
        <w:t>obligātā enerģijas ietaupījuma mērķa sasniegšanai</w:t>
      </w:r>
      <w:r w:rsidR="00884BE4">
        <w:rPr>
          <w:rFonts w:eastAsia="Times New Roman"/>
          <w:b/>
          <w:bCs/>
          <w:sz w:val="22"/>
          <w:lang w:eastAsia="lv-LV"/>
        </w:rPr>
        <w:t xml:space="preserve"> un kārtību, kādā tiek </w:t>
      </w:r>
      <w:r w:rsidR="00884BE4" w:rsidRPr="00884BE4">
        <w:rPr>
          <w:rFonts w:eastAsia="Times New Roman"/>
          <w:b/>
          <w:bCs/>
          <w:sz w:val="22"/>
          <w:lang w:eastAsia="lv-LV"/>
        </w:rPr>
        <w:t>izm</w:t>
      </w:r>
      <w:r w:rsidR="00884BE4">
        <w:rPr>
          <w:rFonts w:eastAsia="Times New Roman"/>
          <w:b/>
          <w:bCs/>
          <w:sz w:val="22"/>
          <w:lang w:eastAsia="lv-LV"/>
        </w:rPr>
        <w:t>antoti</w:t>
      </w:r>
      <w:r w:rsidR="00884BE4" w:rsidRPr="00884BE4">
        <w:rPr>
          <w:rFonts w:eastAsia="Times New Roman"/>
          <w:b/>
          <w:bCs/>
          <w:sz w:val="22"/>
          <w:lang w:eastAsia="lv-LV"/>
        </w:rPr>
        <w:t xml:space="preserve"> ene</w:t>
      </w:r>
      <w:r w:rsidR="00884BE4">
        <w:rPr>
          <w:rFonts w:eastAsia="Times New Roman"/>
          <w:b/>
          <w:bCs/>
          <w:sz w:val="22"/>
          <w:lang w:eastAsia="lv-LV"/>
        </w:rPr>
        <w:t>rgoefektivitātes fonda līdzekļi</w:t>
      </w:r>
      <w:r w:rsidR="00A64077" w:rsidRPr="00BF5644">
        <w:rPr>
          <w:rFonts w:eastAsia="Times New Roman"/>
          <w:b/>
          <w:bCs/>
          <w:sz w:val="22"/>
          <w:lang w:eastAsia="lv-LV"/>
        </w:rPr>
        <w:t>”</w:t>
      </w:r>
      <w:r w:rsidR="006B0FFC" w:rsidRPr="00BF5644">
        <w:rPr>
          <w:rFonts w:eastAsia="Times New Roman"/>
          <w:b/>
          <w:bCs/>
          <w:sz w:val="22"/>
          <w:lang w:eastAsia="lv-LV"/>
        </w:rPr>
        <w:t xml:space="preserve"> 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BF5644" w14:paraId="4430E6BF" w14:textId="77777777"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3187DCDD" w14:textId="77777777"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 Tiesību akta projekta izstrādes nepieciešamība</w:t>
            </w:r>
          </w:p>
        </w:tc>
      </w:tr>
      <w:tr w:rsidR="004305E9" w:rsidRPr="00BF5644" w14:paraId="7404DEBC"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23110CC6"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14:paraId="6023C42C"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14:paraId="5729A752" w14:textId="77777777" w:rsidR="00130164" w:rsidRPr="00BF5644" w:rsidRDefault="009E5C35" w:rsidP="00871C44">
            <w:pPr>
              <w:pStyle w:val="doc-ti"/>
              <w:spacing w:before="0" w:after="0"/>
              <w:jc w:val="both"/>
              <w:rPr>
                <w:b w:val="0"/>
                <w:color w:val="000000" w:themeColor="text1"/>
                <w:sz w:val="22"/>
                <w:szCs w:val="22"/>
              </w:rPr>
            </w:pPr>
            <w:r>
              <w:rPr>
                <w:b w:val="0"/>
                <w:color w:val="000000" w:themeColor="text1"/>
                <w:sz w:val="22"/>
                <w:szCs w:val="22"/>
              </w:rPr>
              <w:t xml:space="preserve">Ministru kabineta noteikumu projekts (turpmāk – noteikumu projekts) izstrādāts, pamatojoties uz </w:t>
            </w:r>
            <w:r w:rsidR="00871C44">
              <w:rPr>
                <w:b w:val="0"/>
                <w:color w:val="000000" w:themeColor="text1"/>
                <w:sz w:val="22"/>
                <w:szCs w:val="22"/>
              </w:rPr>
              <w:t>Energoefek</w:t>
            </w:r>
            <w:r>
              <w:rPr>
                <w:b w:val="0"/>
                <w:color w:val="000000" w:themeColor="text1"/>
                <w:sz w:val="22"/>
                <w:szCs w:val="22"/>
              </w:rPr>
              <w:t>tivitātes likuma 6.panta astoto daļu un 7.panta sesto daļu</w:t>
            </w:r>
            <w:r w:rsidR="00871C44">
              <w:rPr>
                <w:b w:val="0"/>
                <w:color w:val="000000" w:themeColor="text1"/>
                <w:sz w:val="22"/>
                <w:szCs w:val="22"/>
              </w:rPr>
              <w:t xml:space="preserve">  </w:t>
            </w:r>
          </w:p>
        </w:tc>
      </w:tr>
      <w:tr w:rsidR="006B0FFC" w:rsidRPr="00BF5644" w14:paraId="6FB9F0D5" w14:textId="77777777" w:rsidTr="008E4214">
        <w:trPr>
          <w:trHeight w:val="5263"/>
        </w:trPr>
        <w:tc>
          <w:tcPr>
            <w:tcW w:w="221" w:type="pct"/>
            <w:tcBorders>
              <w:top w:val="outset" w:sz="6" w:space="0" w:color="000000"/>
              <w:left w:val="outset" w:sz="6" w:space="0" w:color="000000"/>
              <w:bottom w:val="outset" w:sz="6" w:space="0" w:color="000000"/>
              <w:right w:val="outset" w:sz="6" w:space="0" w:color="000000"/>
            </w:tcBorders>
            <w:hideMark/>
          </w:tcPr>
          <w:p w14:paraId="79E1CC5A"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14:paraId="666994D9" w14:textId="77777777" w:rsidR="009F69CE" w:rsidRDefault="006B0FFC" w:rsidP="00BF5644">
            <w:pPr>
              <w:spacing w:after="0" w:line="240" w:lineRule="auto"/>
              <w:rPr>
                <w:rFonts w:eastAsia="Times New Roman"/>
                <w:sz w:val="22"/>
                <w:lang w:eastAsia="lv-LV"/>
              </w:rPr>
            </w:pPr>
            <w:r w:rsidRPr="00BF5644">
              <w:rPr>
                <w:rFonts w:eastAsia="Times New Roman"/>
                <w:sz w:val="22"/>
                <w:lang w:eastAsia="lv-LV"/>
              </w:rPr>
              <w:t>Pašreizējā situācija un problēmas</w:t>
            </w:r>
            <w:r w:rsidR="008067DE" w:rsidRPr="00BF5644">
              <w:rPr>
                <w:rFonts w:eastAsia="Times New Roman"/>
                <w:sz w:val="22"/>
                <w:lang w:eastAsia="lv-LV"/>
              </w:rPr>
              <w:t>, kuru risināšanai tiesību akta projekts izstrādāts, tiesiskā regulējuma mērķis un būtība</w:t>
            </w:r>
          </w:p>
          <w:p w14:paraId="7B804848" w14:textId="77777777" w:rsidR="009F69CE" w:rsidRPr="009F69CE" w:rsidRDefault="009F69CE" w:rsidP="009F69CE">
            <w:pPr>
              <w:rPr>
                <w:rFonts w:eastAsia="Times New Roman"/>
                <w:sz w:val="22"/>
                <w:lang w:eastAsia="lv-LV"/>
              </w:rPr>
            </w:pPr>
          </w:p>
          <w:p w14:paraId="0361F13D" w14:textId="77777777" w:rsidR="009F69CE" w:rsidRPr="009F69CE" w:rsidRDefault="009F69CE" w:rsidP="009F69CE">
            <w:pPr>
              <w:rPr>
                <w:rFonts w:eastAsia="Times New Roman"/>
                <w:sz w:val="22"/>
                <w:lang w:eastAsia="lv-LV"/>
              </w:rPr>
            </w:pPr>
          </w:p>
          <w:p w14:paraId="5F706708" w14:textId="77777777" w:rsidR="009F69CE" w:rsidRPr="009F69CE" w:rsidRDefault="009F69CE" w:rsidP="009F69CE">
            <w:pPr>
              <w:rPr>
                <w:rFonts w:eastAsia="Times New Roman"/>
                <w:sz w:val="22"/>
                <w:lang w:eastAsia="lv-LV"/>
              </w:rPr>
            </w:pPr>
          </w:p>
          <w:p w14:paraId="762D8EBF" w14:textId="77777777" w:rsidR="009F69CE" w:rsidRPr="009F69CE" w:rsidRDefault="009F69CE" w:rsidP="009F69CE">
            <w:pPr>
              <w:rPr>
                <w:rFonts w:eastAsia="Times New Roman"/>
                <w:sz w:val="22"/>
                <w:lang w:eastAsia="lv-LV"/>
              </w:rPr>
            </w:pPr>
          </w:p>
          <w:p w14:paraId="4CCA245B" w14:textId="77777777" w:rsidR="009F69CE" w:rsidRPr="009F69CE" w:rsidRDefault="009F69CE" w:rsidP="009F69CE">
            <w:pPr>
              <w:rPr>
                <w:rFonts w:eastAsia="Times New Roman"/>
                <w:sz w:val="22"/>
                <w:lang w:eastAsia="lv-LV"/>
              </w:rPr>
            </w:pPr>
          </w:p>
          <w:p w14:paraId="01E1915A" w14:textId="77777777" w:rsidR="009F69CE" w:rsidRPr="009F69CE" w:rsidRDefault="009F69CE" w:rsidP="009F69CE">
            <w:pPr>
              <w:rPr>
                <w:rFonts w:eastAsia="Times New Roman"/>
                <w:sz w:val="22"/>
                <w:lang w:eastAsia="lv-LV"/>
              </w:rPr>
            </w:pPr>
          </w:p>
          <w:p w14:paraId="4591D873" w14:textId="77777777" w:rsidR="009F69CE" w:rsidRPr="009F69CE" w:rsidRDefault="009F69CE" w:rsidP="009F69CE">
            <w:pPr>
              <w:rPr>
                <w:rFonts w:eastAsia="Times New Roman"/>
                <w:sz w:val="22"/>
                <w:lang w:eastAsia="lv-LV"/>
              </w:rPr>
            </w:pPr>
          </w:p>
          <w:p w14:paraId="07299ACF" w14:textId="77777777" w:rsidR="009F69CE" w:rsidRPr="009F69CE" w:rsidRDefault="009F69CE" w:rsidP="009F69CE">
            <w:pPr>
              <w:rPr>
                <w:rFonts w:eastAsia="Times New Roman"/>
                <w:sz w:val="22"/>
                <w:lang w:eastAsia="lv-LV"/>
              </w:rPr>
            </w:pPr>
          </w:p>
          <w:p w14:paraId="6224B84F" w14:textId="77777777" w:rsidR="009F69CE" w:rsidRPr="009F69CE" w:rsidRDefault="009F69CE" w:rsidP="009F69CE">
            <w:pPr>
              <w:rPr>
                <w:rFonts w:eastAsia="Times New Roman"/>
                <w:sz w:val="22"/>
                <w:lang w:eastAsia="lv-LV"/>
              </w:rPr>
            </w:pPr>
          </w:p>
          <w:p w14:paraId="35BFA8FC" w14:textId="77777777" w:rsidR="009F69CE" w:rsidRPr="009F69CE" w:rsidRDefault="009F69CE" w:rsidP="009F69CE">
            <w:pPr>
              <w:rPr>
                <w:rFonts w:eastAsia="Times New Roman"/>
                <w:sz w:val="22"/>
                <w:lang w:eastAsia="lv-LV"/>
              </w:rPr>
            </w:pPr>
          </w:p>
          <w:p w14:paraId="14C28FCF" w14:textId="77777777" w:rsidR="009F69CE" w:rsidRPr="009F69CE" w:rsidRDefault="009F69CE" w:rsidP="009F69CE">
            <w:pPr>
              <w:rPr>
                <w:rFonts w:eastAsia="Times New Roman"/>
                <w:sz w:val="22"/>
                <w:lang w:eastAsia="lv-LV"/>
              </w:rPr>
            </w:pPr>
          </w:p>
          <w:p w14:paraId="0713BDE3" w14:textId="77777777" w:rsidR="009F69CE" w:rsidRDefault="009F69CE" w:rsidP="009F69CE">
            <w:pPr>
              <w:rPr>
                <w:rFonts w:eastAsia="Times New Roman"/>
                <w:sz w:val="22"/>
                <w:lang w:eastAsia="lv-LV"/>
              </w:rPr>
            </w:pPr>
          </w:p>
          <w:p w14:paraId="1B685E19" w14:textId="77777777" w:rsidR="006B0FFC" w:rsidRPr="009F69CE" w:rsidRDefault="006B0FFC" w:rsidP="009F69CE">
            <w:pPr>
              <w:jc w:val="center"/>
              <w:rPr>
                <w:rFonts w:eastAsia="Times New Roman"/>
                <w:sz w:val="22"/>
                <w:lang w:eastAsia="lv-LV"/>
              </w:rPr>
            </w:pPr>
          </w:p>
        </w:tc>
        <w:tc>
          <w:tcPr>
            <w:tcW w:w="3676" w:type="pct"/>
            <w:tcBorders>
              <w:top w:val="outset" w:sz="6" w:space="0" w:color="000000"/>
              <w:left w:val="outset" w:sz="6" w:space="0" w:color="000000"/>
              <w:bottom w:val="outset" w:sz="6" w:space="0" w:color="000000"/>
              <w:right w:val="outset" w:sz="6" w:space="0" w:color="000000"/>
            </w:tcBorders>
            <w:hideMark/>
          </w:tcPr>
          <w:p w14:paraId="0DEE9424" w14:textId="54E59863" w:rsidR="009459DE" w:rsidRDefault="001133F9" w:rsidP="009459DE">
            <w:pPr>
              <w:pStyle w:val="naiskr"/>
              <w:spacing w:before="0" w:beforeAutospacing="0" w:after="0" w:afterAutospacing="0"/>
              <w:jc w:val="both"/>
              <w:rPr>
                <w:sz w:val="22"/>
                <w:szCs w:val="22"/>
              </w:rPr>
            </w:pPr>
            <w:r>
              <w:rPr>
                <w:sz w:val="22"/>
                <w:szCs w:val="22"/>
              </w:rPr>
              <w:t xml:space="preserve">      </w:t>
            </w:r>
            <w:r w:rsidR="009459DE" w:rsidRPr="009459DE">
              <w:rPr>
                <w:sz w:val="22"/>
                <w:szCs w:val="22"/>
              </w:rPr>
              <w:t>Energoefektivitātes likums (turpmāk – likums), kurš nosaka  energoefektivitātes plānošanas un uzraudzības prasības, paredz vairākus energoefektivitātes u</w:t>
            </w:r>
            <w:r w:rsidR="009459DE">
              <w:rPr>
                <w:sz w:val="22"/>
                <w:szCs w:val="22"/>
              </w:rPr>
              <w:t xml:space="preserve">zlabošanas politikas pasākumus. </w:t>
            </w:r>
            <w:r w:rsidR="009459DE" w:rsidRPr="009459DE">
              <w:rPr>
                <w:sz w:val="22"/>
                <w:szCs w:val="22"/>
              </w:rPr>
              <w:t>Pirmkārt, likums ievieš energoefektivitātes pienāk</w:t>
            </w:r>
            <w:r w:rsidR="009459DE">
              <w:rPr>
                <w:sz w:val="22"/>
                <w:szCs w:val="22"/>
              </w:rPr>
              <w:t xml:space="preserve">uma shēmu (turpmāk – EPS). EPS </w:t>
            </w:r>
            <w:r w:rsidR="009459DE" w:rsidRPr="009459DE">
              <w:rPr>
                <w:sz w:val="22"/>
                <w:szCs w:val="22"/>
              </w:rPr>
              <w:t>ietvaros atbildīgajām pusēm – enerģijas sadales un enerģijas mazumtirdzniecības komersantiem</w:t>
            </w:r>
            <w:r w:rsidR="006B4475">
              <w:rPr>
                <w:sz w:val="22"/>
                <w:szCs w:val="22"/>
              </w:rPr>
              <w:t>,</w:t>
            </w:r>
            <w:r w:rsidR="009459DE" w:rsidRPr="009459DE">
              <w:rPr>
                <w:sz w:val="22"/>
                <w:szCs w:val="22"/>
              </w:rPr>
              <w:t xml:space="preserve"> ir noteikts </w:t>
            </w:r>
            <w:r w:rsidR="002051A4">
              <w:rPr>
                <w:sz w:val="22"/>
                <w:szCs w:val="22"/>
              </w:rPr>
              <w:t xml:space="preserve">pienākums ietaupīt noteiktu enerģijas apjomu,  </w:t>
            </w:r>
            <w:r w:rsidR="006B4475">
              <w:rPr>
                <w:sz w:val="22"/>
                <w:szCs w:val="22"/>
              </w:rPr>
              <w:t>enerģijas gala patērētāj</w:t>
            </w:r>
            <w:r w:rsidR="002051A4">
              <w:rPr>
                <w:sz w:val="22"/>
                <w:szCs w:val="22"/>
              </w:rPr>
              <w:t xml:space="preserve">os, nodrošinot valsts </w:t>
            </w:r>
            <w:r w:rsidR="002051A4" w:rsidRPr="002051A4">
              <w:rPr>
                <w:sz w:val="22"/>
                <w:szCs w:val="22"/>
              </w:rPr>
              <w:t>obligāt</w:t>
            </w:r>
            <w:r w:rsidR="002051A4">
              <w:rPr>
                <w:sz w:val="22"/>
                <w:szCs w:val="22"/>
              </w:rPr>
              <w:t>ā</w:t>
            </w:r>
            <w:r w:rsidR="002051A4" w:rsidRPr="002051A4">
              <w:rPr>
                <w:sz w:val="22"/>
                <w:szCs w:val="22"/>
              </w:rPr>
              <w:t xml:space="preserve"> </w:t>
            </w:r>
            <w:r w:rsidR="00240894">
              <w:rPr>
                <w:sz w:val="22"/>
                <w:szCs w:val="22"/>
              </w:rPr>
              <w:t xml:space="preserve">uzkrātā (kumulatīvā) </w:t>
            </w:r>
            <w:r w:rsidR="002051A4" w:rsidRPr="002051A4">
              <w:rPr>
                <w:sz w:val="22"/>
                <w:szCs w:val="22"/>
              </w:rPr>
              <w:t>enerģijas galapatēriņa ietaupījuma mērķ</w:t>
            </w:r>
            <w:r w:rsidR="002051A4">
              <w:rPr>
                <w:sz w:val="22"/>
                <w:szCs w:val="22"/>
              </w:rPr>
              <w:t>a</w:t>
            </w:r>
            <w:r w:rsidR="002051A4" w:rsidRPr="002051A4">
              <w:rPr>
                <w:sz w:val="22"/>
                <w:szCs w:val="22"/>
              </w:rPr>
              <w:t xml:space="preserve"> 2014.–2020. gadam (turpmāk – obligātais mērķis)</w:t>
            </w:r>
            <w:r w:rsidR="002051A4">
              <w:rPr>
                <w:sz w:val="22"/>
                <w:szCs w:val="22"/>
              </w:rPr>
              <w:t xml:space="preserve"> </w:t>
            </w:r>
            <w:r w:rsidR="001D4362">
              <w:rPr>
                <w:sz w:val="22"/>
                <w:szCs w:val="22"/>
              </w:rPr>
              <w:t xml:space="preserve">noteiktas daļas </w:t>
            </w:r>
            <w:r w:rsidR="002051A4">
              <w:rPr>
                <w:sz w:val="22"/>
                <w:szCs w:val="22"/>
              </w:rPr>
              <w:t xml:space="preserve">sasniegšanu. </w:t>
            </w:r>
            <w:r w:rsidR="009459DE" w:rsidRPr="009459DE">
              <w:rPr>
                <w:sz w:val="22"/>
                <w:szCs w:val="22"/>
              </w:rPr>
              <w:t>Otrkārt, likums paredz valsts un pašvaldības energoefektivitātes fonda izveidi kā  energoefektivitātes pasākumu veicināšanas un obligātā enerģijas ietaupījuma m</w:t>
            </w:r>
            <w:r w:rsidR="009459DE">
              <w:rPr>
                <w:sz w:val="22"/>
                <w:szCs w:val="22"/>
              </w:rPr>
              <w:t>ērķa sasniegšanas instrumentu.</w:t>
            </w:r>
          </w:p>
          <w:p w14:paraId="14B5DF41" w14:textId="52B192C3" w:rsidR="009459DE" w:rsidRDefault="009459DE" w:rsidP="009459DE">
            <w:pPr>
              <w:pStyle w:val="naiskr"/>
              <w:spacing w:before="0" w:beforeAutospacing="0" w:after="0" w:afterAutospacing="0"/>
              <w:jc w:val="both"/>
              <w:rPr>
                <w:sz w:val="22"/>
                <w:szCs w:val="22"/>
              </w:rPr>
            </w:pPr>
            <w:r>
              <w:rPr>
                <w:sz w:val="22"/>
                <w:szCs w:val="22"/>
              </w:rPr>
              <w:t xml:space="preserve">      </w:t>
            </w:r>
            <w:r w:rsidRPr="009459DE">
              <w:rPr>
                <w:sz w:val="22"/>
                <w:szCs w:val="22"/>
              </w:rPr>
              <w:t xml:space="preserve">EPS atbildīgajām pusēm </w:t>
            </w:r>
            <w:r>
              <w:rPr>
                <w:sz w:val="22"/>
                <w:szCs w:val="22"/>
              </w:rPr>
              <w:t>(turpmāk – EPS k</w:t>
            </w:r>
            <w:r w:rsidRPr="009459DE">
              <w:rPr>
                <w:sz w:val="22"/>
                <w:szCs w:val="22"/>
              </w:rPr>
              <w:t>omersantiem</w:t>
            </w:r>
            <w:r>
              <w:rPr>
                <w:sz w:val="22"/>
                <w:szCs w:val="22"/>
              </w:rPr>
              <w:t xml:space="preserve">) </w:t>
            </w:r>
            <w:r w:rsidRPr="009459DE">
              <w:rPr>
                <w:sz w:val="22"/>
                <w:szCs w:val="22"/>
              </w:rPr>
              <w:t>likums paredz  i</w:t>
            </w:r>
            <w:r w:rsidR="00DA0525">
              <w:rPr>
                <w:sz w:val="22"/>
                <w:szCs w:val="22"/>
              </w:rPr>
              <w:t>espēju  izpildīt savu pienākumu</w:t>
            </w:r>
            <w:r w:rsidRPr="009459DE">
              <w:rPr>
                <w:sz w:val="22"/>
                <w:szCs w:val="22"/>
              </w:rPr>
              <w:t>, veicot iemaksas pēc savas izvēles valsts vai pašvaldības energoefektivitātes fondā atbilstoši tai noteiktajam enerģijas ietaupījuma pienākuma apjomam (turpmāk — pienākuma apjoms). Atbildīgajai pusei noteikto pienākuma apjomu samazina proporcionāli veikto iemaksu apmēram. Valsts vai pašvaldība, kuras fondā atbildīgā puse veikusi iemaksu, turpmāk nodrošina enerģijas ietaupījumu atbilstoši atbildīgās puses pienākuma apjomam, par kuru ir veikta iemaksa. Tādējādi  ar atbildīgo pušu veiktajām iemaksām attiecīgajā energoefektivitātes fondā  un šo fondu līdzekļiem ir iespējams realizēt konkrētus energoefektivitātes pasākumus, kuros jāietaupa attiecīgais enerģijas apjoms. Attiecīgi  likum</w:t>
            </w:r>
            <w:r>
              <w:rPr>
                <w:sz w:val="22"/>
                <w:szCs w:val="22"/>
              </w:rPr>
              <w:t>ā</w:t>
            </w:r>
            <w:r w:rsidRPr="009459DE">
              <w:rPr>
                <w:sz w:val="22"/>
                <w:szCs w:val="22"/>
              </w:rPr>
              <w:t xml:space="preserve"> paredzētajam deleģēj</w:t>
            </w:r>
            <w:r>
              <w:rPr>
                <w:sz w:val="22"/>
                <w:szCs w:val="22"/>
              </w:rPr>
              <w:t xml:space="preserve">umam noteikumu projekts nosaka </w:t>
            </w:r>
            <w:r w:rsidRPr="009459DE">
              <w:rPr>
                <w:sz w:val="22"/>
                <w:szCs w:val="22"/>
              </w:rPr>
              <w:t xml:space="preserve">kārtību un apmēru iemaksu veikšanai valsts vai pašvaldības energoefektivitātes fondā, kā </w:t>
            </w:r>
            <w:r>
              <w:rPr>
                <w:sz w:val="22"/>
                <w:szCs w:val="22"/>
              </w:rPr>
              <w:t xml:space="preserve">arī </w:t>
            </w:r>
            <w:r w:rsidRPr="009459DE">
              <w:rPr>
                <w:sz w:val="22"/>
                <w:szCs w:val="22"/>
              </w:rPr>
              <w:t xml:space="preserve">kārtību, kādā Attīstības finanšu institūcija izmanto valsts energoefektivitātes fonda līdzekļus un sniedz pārskatu par to izmantošanu. </w:t>
            </w:r>
          </w:p>
          <w:p w14:paraId="2042809B" w14:textId="77777777" w:rsidR="00540C69" w:rsidRDefault="00A2353A" w:rsidP="00AD3BC9">
            <w:pPr>
              <w:pStyle w:val="naiskr"/>
              <w:spacing w:before="0" w:beforeAutospacing="0" w:after="0" w:afterAutospacing="0"/>
              <w:ind w:right="-1"/>
              <w:jc w:val="both"/>
              <w:rPr>
                <w:sz w:val="22"/>
                <w:szCs w:val="22"/>
              </w:rPr>
            </w:pPr>
            <w:r>
              <w:rPr>
                <w:sz w:val="22"/>
                <w:szCs w:val="22"/>
              </w:rPr>
              <w:t xml:space="preserve">      </w:t>
            </w:r>
            <w:r w:rsidR="009E5C35">
              <w:rPr>
                <w:sz w:val="22"/>
                <w:szCs w:val="22"/>
              </w:rPr>
              <w:t>Atbilstoši likumā noteiktajam regulējumam</w:t>
            </w:r>
            <w:r w:rsidR="008F19F3">
              <w:rPr>
                <w:sz w:val="22"/>
                <w:szCs w:val="22"/>
              </w:rPr>
              <w:t xml:space="preserve"> attiecībā uz</w:t>
            </w:r>
            <w:r w:rsidR="0083408B">
              <w:rPr>
                <w:sz w:val="22"/>
                <w:szCs w:val="22"/>
              </w:rPr>
              <w:t xml:space="preserve"> </w:t>
            </w:r>
            <w:r w:rsidR="008F19F3" w:rsidRPr="008F19F3">
              <w:rPr>
                <w:sz w:val="22"/>
                <w:szCs w:val="22"/>
              </w:rPr>
              <w:t>Attīstības finanšu institūcija</w:t>
            </w:r>
            <w:r w:rsidR="008F19F3">
              <w:rPr>
                <w:sz w:val="22"/>
                <w:szCs w:val="22"/>
              </w:rPr>
              <w:t>s darbību, noteikumu projekts paredz, ka</w:t>
            </w:r>
            <w:r w:rsidR="008F19F3" w:rsidRPr="008F19F3">
              <w:rPr>
                <w:sz w:val="22"/>
                <w:szCs w:val="22"/>
              </w:rPr>
              <w:t xml:space="preserve"> </w:t>
            </w:r>
            <w:r w:rsidR="0083408B">
              <w:rPr>
                <w:sz w:val="22"/>
                <w:szCs w:val="22"/>
              </w:rPr>
              <w:t xml:space="preserve">valsts energoefektivitātes fonda </w:t>
            </w:r>
            <w:r w:rsidR="00EB041B">
              <w:rPr>
                <w:sz w:val="22"/>
                <w:szCs w:val="22"/>
              </w:rPr>
              <w:t>pārvaldītā</w:t>
            </w:r>
            <w:r w:rsidR="00F8648B">
              <w:rPr>
                <w:sz w:val="22"/>
                <w:szCs w:val="22"/>
              </w:rPr>
              <w:t xml:space="preserve">js </w:t>
            </w:r>
            <w:r w:rsidR="00EB041B">
              <w:rPr>
                <w:sz w:val="22"/>
                <w:szCs w:val="22"/>
              </w:rPr>
              <w:t>ir</w:t>
            </w:r>
            <w:r w:rsidR="0083408B">
              <w:rPr>
                <w:sz w:val="22"/>
                <w:szCs w:val="22"/>
              </w:rPr>
              <w:t xml:space="preserve"> </w:t>
            </w:r>
            <w:r w:rsidR="0083408B" w:rsidRPr="0083408B">
              <w:rPr>
                <w:sz w:val="22"/>
                <w:szCs w:val="22"/>
              </w:rPr>
              <w:t>akciju sabiedrība “Attīst</w:t>
            </w:r>
            <w:r w:rsidR="0083408B">
              <w:rPr>
                <w:sz w:val="22"/>
                <w:szCs w:val="22"/>
              </w:rPr>
              <w:t>ības finanšu institūcija Altum” (tu</w:t>
            </w:r>
            <w:r w:rsidR="009107B2">
              <w:rPr>
                <w:sz w:val="22"/>
                <w:szCs w:val="22"/>
              </w:rPr>
              <w:t>r</w:t>
            </w:r>
            <w:r w:rsidR="0083408B">
              <w:rPr>
                <w:sz w:val="22"/>
                <w:szCs w:val="22"/>
              </w:rPr>
              <w:t>pmāk – A</w:t>
            </w:r>
            <w:r w:rsidR="00C679C2">
              <w:rPr>
                <w:sz w:val="22"/>
                <w:szCs w:val="22"/>
              </w:rPr>
              <w:t>ltum</w:t>
            </w:r>
            <w:r w:rsidR="00F8648B">
              <w:rPr>
                <w:sz w:val="22"/>
                <w:szCs w:val="22"/>
              </w:rPr>
              <w:t xml:space="preserve">). </w:t>
            </w:r>
            <w:r w:rsidR="009107B2">
              <w:rPr>
                <w:sz w:val="22"/>
                <w:szCs w:val="22"/>
              </w:rPr>
              <w:t>Tādējādi</w:t>
            </w:r>
            <w:r w:rsidR="0083408B">
              <w:rPr>
                <w:sz w:val="22"/>
                <w:szCs w:val="22"/>
              </w:rPr>
              <w:t xml:space="preserve"> noteikumu pro</w:t>
            </w:r>
            <w:r w:rsidR="009107B2">
              <w:rPr>
                <w:sz w:val="22"/>
                <w:szCs w:val="22"/>
              </w:rPr>
              <w:t>jekt</w:t>
            </w:r>
            <w:r w:rsidR="00C679C2">
              <w:rPr>
                <w:sz w:val="22"/>
                <w:szCs w:val="22"/>
              </w:rPr>
              <w:t>s reglamentē kārtību, kādā Altum</w:t>
            </w:r>
            <w:r w:rsidR="009107B2">
              <w:rPr>
                <w:sz w:val="22"/>
                <w:szCs w:val="22"/>
              </w:rPr>
              <w:t xml:space="preserve"> </w:t>
            </w:r>
            <w:r w:rsidR="00BE76BE">
              <w:rPr>
                <w:sz w:val="22"/>
                <w:szCs w:val="22"/>
              </w:rPr>
              <w:t xml:space="preserve">uztur un </w:t>
            </w:r>
            <w:r w:rsidR="009107B2" w:rsidRPr="009107B2">
              <w:rPr>
                <w:sz w:val="22"/>
                <w:szCs w:val="22"/>
              </w:rPr>
              <w:t>izmanto valsts energo</w:t>
            </w:r>
            <w:r w:rsidR="00BE76BE">
              <w:rPr>
                <w:sz w:val="22"/>
                <w:szCs w:val="22"/>
              </w:rPr>
              <w:t>efektivitātes fonda līdzekļus, kā arī</w:t>
            </w:r>
            <w:r w:rsidR="009107B2" w:rsidRPr="009107B2">
              <w:rPr>
                <w:sz w:val="22"/>
                <w:szCs w:val="22"/>
              </w:rPr>
              <w:t xml:space="preserve"> sniedz pārskatu par to izmantošanu. </w:t>
            </w:r>
            <w:r w:rsidR="0083408B">
              <w:rPr>
                <w:sz w:val="22"/>
                <w:szCs w:val="22"/>
              </w:rPr>
              <w:t>Savukārt</w:t>
            </w:r>
            <w:r w:rsidR="009107B2">
              <w:rPr>
                <w:sz w:val="22"/>
                <w:szCs w:val="22"/>
              </w:rPr>
              <w:t xml:space="preserve"> attiecībā uz </w:t>
            </w:r>
            <w:r w:rsidR="009107B2" w:rsidRPr="009107B2">
              <w:rPr>
                <w:sz w:val="22"/>
                <w:szCs w:val="22"/>
              </w:rPr>
              <w:t>pašva</w:t>
            </w:r>
            <w:r w:rsidR="009107B2">
              <w:rPr>
                <w:sz w:val="22"/>
                <w:szCs w:val="22"/>
              </w:rPr>
              <w:t>ldības energoefektivitātes fonda izveidi,</w:t>
            </w:r>
            <w:r w:rsidR="009107B2" w:rsidRPr="009107B2">
              <w:rPr>
                <w:sz w:val="22"/>
                <w:szCs w:val="22"/>
              </w:rPr>
              <w:t xml:space="preserve"> </w:t>
            </w:r>
            <w:r w:rsidR="009E5C35">
              <w:rPr>
                <w:sz w:val="22"/>
                <w:szCs w:val="22"/>
              </w:rPr>
              <w:t>noteikumu projekts</w:t>
            </w:r>
            <w:r w:rsidR="009107B2">
              <w:rPr>
                <w:sz w:val="22"/>
                <w:szCs w:val="22"/>
              </w:rPr>
              <w:t>, ievērojot likum</w:t>
            </w:r>
            <w:r w:rsidR="005B7AE8">
              <w:rPr>
                <w:sz w:val="22"/>
                <w:szCs w:val="22"/>
              </w:rPr>
              <w:t xml:space="preserve">ā noteikto, paredz pašvaldību kā </w:t>
            </w:r>
            <w:r w:rsidR="005B7AE8" w:rsidRPr="005B7AE8">
              <w:rPr>
                <w:sz w:val="22"/>
                <w:szCs w:val="22"/>
              </w:rPr>
              <w:t>pašvaldības energoefektivitātes fonda</w:t>
            </w:r>
            <w:r w:rsidR="00BE76BE">
              <w:rPr>
                <w:sz w:val="22"/>
                <w:szCs w:val="22"/>
              </w:rPr>
              <w:t xml:space="preserve"> </w:t>
            </w:r>
            <w:r w:rsidR="00AD3BC9">
              <w:rPr>
                <w:sz w:val="22"/>
                <w:szCs w:val="22"/>
              </w:rPr>
              <w:t xml:space="preserve">veidotāju un </w:t>
            </w:r>
            <w:r w:rsidR="00BE76BE">
              <w:rPr>
                <w:sz w:val="22"/>
                <w:szCs w:val="22"/>
              </w:rPr>
              <w:t>turētāju</w:t>
            </w:r>
            <w:r w:rsidR="00540C69">
              <w:rPr>
                <w:sz w:val="22"/>
                <w:szCs w:val="22"/>
              </w:rPr>
              <w:t>.</w:t>
            </w:r>
          </w:p>
          <w:p w14:paraId="324C726E" w14:textId="1830E2A5" w:rsidR="00ED7801" w:rsidRDefault="009459DE" w:rsidP="00AD3BC9">
            <w:pPr>
              <w:pStyle w:val="naiskr"/>
              <w:spacing w:before="0" w:beforeAutospacing="0" w:after="0" w:afterAutospacing="0"/>
              <w:ind w:right="-1"/>
              <w:jc w:val="both"/>
              <w:rPr>
                <w:sz w:val="22"/>
                <w:szCs w:val="22"/>
              </w:rPr>
            </w:pPr>
            <w:r>
              <w:rPr>
                <w:sz w:val="22"/>
                <w:szCs w:val="22"/>
              </w:rPr>
              <w:t xml:space="preserve">      </w:t>
            </w:r>
            <w:r w:rsidR="00ED7801">
              <w:rPr>
                <w:sz w:val="22"/>
                <w:szCs w:val="22"/>
              </w:rPr>
              <w:t xml:space="preserve">No </w:t>
            </w:r>
            <w:r w:rsidR="00ED7801" w:rsidRPr="00ED7801">
              <w:rPr>
                <w:sz w:val="22"/>
                <w:szCs w:val="22"/>
              </w:rPr>
              <w:t>Energoefe</w:t>
            </w:r>
            <w:r w:rsidR="00ED7801">
              <w:rPr>
                <w:sz w:val="22"/>
                <w:szCs w:val="22"/>
              </w:rPr>
              <w:t xml:space="preserve">ktivitātes likuma 6.panta astotās daļas izriet, ka </w:t>
            </w:r>
            <w:r w:rsidR="0044199C">
              <w:rPr>
                <w:sz w:val="22"/>
                <w:szCs w:val="22"/>
              </w:rPr>
              <w:t xml:space="preserve">EPS </w:t>
            </w:r>
            <w:r w:rsidR="001D4362">
              <w:rPr>
                <w:sz w:val="22"/>
                <w:szCs w:val="22"/>
              </w:rPr>
              <w:t>komersants</w:t>
            </w:r>
            <w:r w:rsidR="00ED7801">
              <w:rPr>
                <w:sz w:val="22"/>
                <w:szCs w:val="22"/>
              </w:rPr>
              <w:t xml:space="preserve"> var izpildīt savu pienākumu, veicot iemaksas pēc savas izvēlēs valsts vai pašvaldības energoefektivitātes fondā atbilstoši tai noteiktajam enerģijas galapatēriņa ietaupījuma pienākuma apjomam (turpmāk – pienākuma apjoms). Savukārt valsts vai pašvaldība, kuras fondā</w:t>
            </w:r>
            <w:r w:rsidR="001D4362">
              <w:rPr>
                <w:sz w:val="22"/>
                <w:szCs w:val="22"/>
              </w:rPr>
              <w:t xml:space="preserve"> EPS komersants veicis</w:t>
            </w:r>
            <w:r w:rsidR="00ED7801">
              <w:rPr>
                <w:sz w:val="22"/>
                <w:szCs w:val="22"/>
              </w:rPr>
              <w:t xml:space="preserve"> iemaksu, nodrošina enerģijas ietaupījumu atbilstoši atbildīgās puses pienākuma apjomam, par kuru veikta iemaksa. </w:t>
            </w:r>
            <w:r w:rsidR="00EB17B6" w:rsidRPr="00EB17B6">
              <w:rPr>
                <w:sz w:val="22"/>
                <w:szCs w:val="22"/>
              </w:rPr>
              <w:t xml:space="preserve">Lai valsts vai pašvaldības fonds varētu nodrošināt attiecīga enerģijas apjoma ietaupīšanu, </w:t>
            </w:r>
            <w:r w:rsidR="001D4362">
              <w:rPr>
                <w:sz w:val="22"/>
                <w:szCs w:val="22"/>
              </w:rPr>
              <w:t>EPS komersanta</w:t>
            </w:r>
            <w:r w:rsidR="00ED7801">
              <w:rPr>
                <w:sz w:val="22"/>
                <w:szCs w:val="22"/>
              </w:rPr>
              <w:t xml:space="preserve"> iemaksai </w:t>
            </w:r>
            <w:r w:rsidR="00E83777">
              <w:rPr>
                <w:sz w:val="22"/>
                <w:szCs w:val="22"/>
              </w:rPr>
              <w:t xml:space="preserve">energoefektivitātes </w:t>
            </w:r>
            <w:r w:rsidR="00ED7801">
              <w:rPr>
                <w:sz w:val="22"/>
                <w:szCs w:val="22"/>
              </w:rPr>
              <w:t xml:space="preserve">fondā </w:t>
            </w:r>
            <w:r w:rsidR="00411FD4">
              <w:rPr>
                <w:sz w:val="22"/>
                <w:szCs w:val="22"/>
              </w:rPr>
              <w:t xml:space="preserve">ir </w:t>
            </w:r>
            <w:r w:rsidR="00ED7801">
              <w:rPr>
                <w:sz w:val="22"/>
                <w:szCs w:val="22"/>
              </w:rPr>
              <w:t xml:space="preserve">jābūt līdzvērtīgai ieguldījumiem, kuri būtu nepieciešami, lai izpildītu </w:t>
            </w:r>
            <w:r w:rsidR="00411FD4">
              <w:rPr>
                <w:sz w:val="22"/>
                <w:szCs w:val="22"/>
              </w:rPr>
              <w:t>noteikto pienākumu</w:t>
            </w:r>
            <w:r w:rsidR="001875B0">
              <w:rPr>
                <w:sz w:val="22"/>
                <w:szCs w:val="22"/>
              </w:rPr>
              <w:t xml:space="preserve"> </w:t>
            </w:r>
            <w:r w:rsidR="00411FD4">
              <w:rPr>
                <w:sz w:val="22"/>
                <w:szCs w:val="22"/>
              </w:rPr>
              <w:t xml:space="preserve"> </w:t>
            </w:r>
            <w:r w:rsidR="001875B0">
              <w:rPr>
                <w:sz w:val="22"/>
                <w:szCs w:val="22"/>
              </w:rPr>
              <w:t>(</w:t>
            </w:r>
            <w:r w:rsidR="001875B0" w:rsidRPr="001875B0">
              <w:rPr>
                <w:sz w:val="22"/>
                <w:szCs w:val="22"/>
              </w:rPr>
              <w:t xml:space="preserve">attiecīgā ietaupījuma </w:t>
            </w:r>
            <w:r w:rsidR="001875B0" w:rsidRPr="001875B0">
              <w:rPr>
                <w:sz w:val="22"/>
                <w:szCs w:val="22"/>
              </w:rPr>
              <w:lastRenderedPageBreak/>
              <w:t>sasniegšanai</w:t>
            </w:r>
            <w:r w:rsidR="001875B0">
              <w:rPr>
                <w:sz w:val="22"/>
                <w:szCs w:val="22"/>
              </w:rPr>
              <w:t xml:space="preserve">) </w:t>
            </w:r>
            <w:r w:rsidR="00411FD4">
              <w:rPr>
                <w:sz w:val="22"/>
                <w:szCs w:val="22"/>
              </w:rPr>
              <w:t>un</w:t>
            </w:r>
            <w:r w:rsidR="00411FD4" w:rsidRPr="00411FD4">
              <w:rPr>
                <w:sz w:val="22"/>
                <w:szCs w:val="22"/>
              </w:rPr>
              <w:t xml:space="preserve"> </w:t>
            </w:r>
            <w:r w:rsidR="001875B0">
              <w:rPr>
                <w:sz w:val="22"/>
                <w:szCs w:val="22"/>
              </w:rPr>
              <w:t xml:space="preserve">energoefektivitātes </w:t>
            </w:r>
            <w:r w:rsidR="00411FD4" w:rsidRPr="00411FD4">
              <w:rPr>
                <w:sz w:val="22"/>
                <w:szCs w:val="22"/>
              </w:rPr>
              <w:t xml:space="preserve">fonda administrators spētu veikt </w:t>
            </w:r>
            <w:r w:rsidR="00411FD4">
              <w:rPr>
                <w:sz w:val="22"/>
                <w:szCs w:val="22"/>
              </w:rPr>
              <w:t>energoefektivitātes</w:t>
            </w:r>
            <w:r w:rsidR="00411FD4" w:rsidRPr="00411FD4">
              <w:rPr>
                <w:sz w:val="22"/>
                <w:szCs w:val="22"/>
              </w:rPr>
              <w:t xml:space="preserve"> pasākumus </w:t>
            </w:r>
            <w:r w:rsidR="001D4362">
              <w:rPr>
                <w:sz w:val="22"/>
                <w:szCs w:val="22"/>
              </w:rPr>
              <w:t>EPS komersanta</w:t>
            </w:r>
            <w:r w:rsidR="00411FD4" w:rsidRPr="00411FD4">
              <w:rPr>
                <w:sz w:val="22"/>
                <w:szCs w:val="22"/>
              </w:rPr>
              <w:t xml:space="preserve"> vietā.</w:t>
            </w:r>
            <w:r w:rsidR="001875B0">
              <w:t xml:space="preserve"> </w:t>
            </w:r>
          </w:p>
          <w:p w14:paraId="39CEC1AD" w14:textId="7B26F810" w:rsidR="00D774AA" w:rsidRDefault="00540C69" w:rsidP="0053144C">
            <w:pPr>
              <w:pStyle w:val="naiskr"/>
              <w:spacing w:before="0" w:beforeAutospacing="0" w:after="0" w:afterAutospacing="0"/>
              <w:ind w:right="-1"/>
              <w:jc w:val="both"/>
              <w:rPr>
                <w:sz w:val="22"/>
                <w:szCs w:val="22"/>
              </w:rPr>
            </w:pPr>
            <w:r>
              <w:rPr>
                <w:sz w:val="22"/>
                <w:szCs w:val="22"/>
              </w:rPr>
              <w:t xml:space="preserve">       </w:t>
            </w:r>
            <w:r w:rsidR="001D4362">
              <w:rPr>
                <w:sz w:val="22"/>
                <w:szCs w:val="22"/>
              </w:rPr>
              <w:t xml:space="preserve">Ņemot vērā to, ka uzņēmumos ir energoefektivitātes potenciāls, kura apguve veicinātu to modernizāciju un konkurētspēju, </w:t>
            </w:r>
            <w:r w:rsidR="0033089E">
              <w:rPr>
                <w:sz w:val="22"/>
                <w:szCs w:val="22"/>
              </w:rPr>
              <w:t xml:space="preserve"> </w:t>
            </w:r>
            <w:r w:rsidR="00A53222">
              <w:rPr>
                <w:sz w:val="22"/>
                <w:szCs w:val="22"/>
              </w:rPr>
              <w:t>energoefektivitātes</w:t>
            </w:r>
            <w:r w:rsidR="00D774AA">
              <w:rPr>
                <w:sz w:val="22"/>
                <w:szCs w:val="22"/>
              </w:rPr>
              <w:t xml:space="preserve"> fonda</w:t>
            </w:r>
            <w:r w:rsidR="0033089E">
              <w:rPr>
                <w:sz w:val="22"/>
                <w:szCs w:val="22"/>
              </w:rPr>
              <w:t xml:space="preserve"> atbalsta programma</w:t>
            </w:r>
            <w:r w:rsidR="001D4362">
              <w:rPr>
                <w:sz w:val="22"/>
                <w:szCs w:val="22"/>
              </w:rPr>
              <w:t xml:space="preserve">s būtu jāvērš </w:t>
            </w:r>
            <w:r w:rsidR="0033089E">
              <w:rPr>
                <w:sz w:val="22"/>
                <w:szCs w:val="22"/>
              </w:rPr>
              <w:t xml:space="preserve"> uz </w:t>
            </w:r>
            <w:r w:rsidR="00AC5BC3">
              <w:rPr>
                <w:sz w:val="22"/>
                <w:szCs w:val="22"/>
              </w:rPr>
              <w:t>rūpniecības nozares komersantiem (mazie</w:t>
            </w:r>
            <w:r w:rsidR="00C11285">
              <w:rPr>
                <w:sz w:val="22"/>
                <w:szCs w:val="22"/>
              </w:rPr>
              <w:t>, vid</w:t>
            </w:r>
            <w:r w:rsidR="00AC5BC3">
              <w:rPr>
                <w:sz w:val="22"/>
                <w:szCs w:val="22"/>
              </w:rPr>
              <w:t>ējie</w:t>
            </w:r>
            <w:r w:rsidR="00C11285">
              <w:rPr>
                <w:sz w:val="22"/>
                <w:szCs w:val="22"/>
              </w:rPr>
              <w:t xml:space="preserve"> uzņ</w:t>
            </w:r>
            <w:r w:rsidR="00AC5BC3">
              <w:rPr>
                <w:sz w:val="22"/>
                <w:szCs w:val="22"/>
              </w:rPr>
              <w:t>ēmumi), atbalstot tos energoefektivitātes pasākumu veikšanā.</w:t>
            </w:r>
            <w:r w:rsidR="00C11285">
              <w:rPr>
                <w:sz w:val="22"/>
                <w:szCs w:val="22"/>
              </w:rPr>
              <w:t xml:space="preserve"> </w:t>
            </w:r>
          </w:p>
          <w:p w14:paraId="4BE8C9E9" w14:textId="1729D91C" w:rsidR="005041E3" w:rsidRDefault="00D774AA" w:rsidP="0053144C">
            <w:pPr>
              <w:pStyle w:val="naiskr"/>
              <w:spacing w:before="0" w:beforeAutospacing="0" w:after="0" w:afterAutospacing="0"/>
              <w:ind w:right="-1"/>
              <w:jc w:val="both"/>
              <w:rPr>
                <w:sz w:val="22"/>
                <w:szCs w:val="22"/>
              </w:rPr>
            </w:pPr>
            <w:r>
              <w:rPr>
                <w:sz w:val="22"/>
                <w:szCs w:val="22"/>
              </w:rPr>
              <w:t xml:space="preserve">       </w:t>
            </w:r>
            <w:r w:rsidR="005041E3">
              <w:rPr>
                <w:sz w:val="22"/>
                <w:szCs w:val="22"/>
              </w:rPr>
              <w:t>N</w:t>
            </w:r>
            <w:r w:rsidR="00F24086">
              <w:rPr>
                <w:sz w:val="22"/>
                <w:szCs w:val="22"/>
              </w:rPr>
              <w:t>oteikumu projekts</w:t>
            </w:r>
            <w:r w:rsidR="00AE239A">
              <w:rPr>
                <w:sz w:val="22"/>
                <w:szCs w:val="22"/>
              </w:rPr>
              <w:t xml:space="preserve"> </w:t>
            </w:r>
            <w:r w:rsidR="005041E3">
              <w:rPr>
                <w:sz w:val="22"/>
                <w:szCs w:val="22"/>
              </w:rPr>
              <w:t xml:space="preserve">nosaka </w:t>
            </w:r>
            <w:r w:rsidR="00AE239A">
              <w:rPr>
                <w:sz w:val="22"/>
                <w:szCs w:val="22"/>
              </w:rPr>
              <w:t>a</w:t>
            </w:r>
            <w:r w:rsidR="008F19F3">
              <w:rPr>
                <w:sz w:val="22"/>
                <w:szCs w:val="22"/>
              </w:rPr>
              <w:t>tbild</w:t>
            </w:r>
            <w:r w:rsidR="00AE239A">
              <w:rPr>
                <w:sz w:val="22"/>
                <w:szCs w:val="22"/>
              </w:rPr>
              <w:t>īgai</w:t>
            </w:r>
            <w:r w:rsidR="00D91CA6">
              <w:rPr>
                <w:sz w:val="22"/>
                <w:szCs w:val="22"/>
              </w:rPr>
              <w:t xml:space="preserve"> pusei </w:t>
            </w:r>
            <w:r w:rsidR="00C103DF">
              <w:rPr>
                <w:sz w:val="22"/>
                <w:szCs w:val="22"/>
              </w:rPr>
              <w:t xml:space="preserve">energoefektivitātes fondā </w:t>
            </w:r>
            <w:r w:rsidR="00725A59">
              <w:rPr>
                <w:sz w:val="22"/>
                <w:szCs w:val="22"/>
              </w:rPr>
              <w:t>veicamo</w:t>
            </w:r>
            <w:r w:rsidR="002D0DED">
              <w:rPr>
                <w:sz w:val="22"/>
                <w:szCs w:val="22"/>
              </w:rPr>
              <w:t xml:space="preserve"> iemaks</w:t>
            </w:r>
            <w:r w:rsidR="00725A59">
              <w:rPr>
                <w:sz w:val="22"/>
                <w:szCs w:val="22"/>
              </w:rPr>
              <w:t xml:space="preserve">u par 1 MWh ietaupījumu </w:t>
            </w:r>
            <w:r w:rsidR="004356D2">
              <w:rPr>
                <w:sz w:val="22"/>
                <w:szCs w:val="22"/>
              </w:rPr>
              <w:t>7</w:t>
            </w:r>
            <w:r w:rsidR="003135B1">
              <w:rPr>
                <w:sz w:val="22"/>
                <w:szCs w:val="22"/>
              </w:rPr>
              <w:t>0</w:t>
            </w:r>
            <w:r w:rsidR="00006D5D">
              <w:rPr>
                <w:sz w:val="22"/>
                <w:szCs w:val="22"/>
              </w:rPr>
              <w:t>,</w:t>
            </w:r>
            <w:r w:rsidR="00A92EF0">
              <w:rPr>
                <w:sz w:val="22"/>
                <w:szCs w:val="22"/>
              </w:rPr>
              <w:t>00</w:t>
            </w:r>
            <w:r w:rsidR="0053144C">
              <w:rPr>
                <w:sz w:val="22"/>
                <w:szCs w:val="22"/>
              </w:rPr>
              <w:t xml:space="preserve"> euro </w:t>
            </w:r>
            <w:r w:rsidR="00FF290D">
              <w:rPr>
                <w:sz w:val="22"/>
                <w:szCs w:val="22"/>
              </w:rPr>
              <w:t>apmērā, kas attiecīgi tiek reizināts ar</w:t>
            </w:r>
            <w:r w:rsidR="002D0DED">
              <w:rPr>
                <w:sz w:val="22"/>
                <w:szCs w:val="22"/>
              </w:rPr>
              <w:t xml:space="preserve"> </w:t>
            </w:r>
            <w:r w:rsidR="000711B6">
              <w:rPr>
                <w:sz w:val="22"/>
                <w:szCs w:val="22"/>
              </w:rPr>
              <w:t>EPS komersantam</w:t>
            </w:r>
            <w:r w:rsidR="00FF290D">
              <w:rPr>
                <w:sz w:val="22"/>
                <w:szCs w:val="22"/>
              </w:rPr>
              <w:t xml:space="preserve"> noteikto</w:t>
            </w:r>
            <w:r w:rsidR="002D0DED" w:rsidRPr="002D0DED">
              <w:rPr>
                <w:sz w:val="22"/>
                <w:szCs w:val="22"/>
              </w:rPr>
              <w:t xml:space="preserve"> </w:t>
            </w:r>
            <w:r w:rsidR="00FF290D">
              <w:rPr>
                <w:sz w:val="22"/>
                <w:szCs w:val="22"/>
              </w:rPr>
              <w:t>pienākuma apjomu</w:t>
            </w:r>
            <w:r w:rsidR="006D43ED">
              <w:rPr>
                <w:sz w:val="22"/>
                <w:szCs w:val="22"/>
              </w:rPr>
              <w:t>.</w:t>
            </w:r>
          </w:p>
          <w:p w14:paraId="3C96D519" w14:textId="77777777" w:rsidR="00902318" w:rsidRDefault="005041E3" w:rsidP="0053144C">
            <w:pPr>
              <w:pStyle w:val="naiskr"/>
              <w:spacing w:before="0" w:beforeAutospacing="0" w:after="0" w:afterAutospacing="0"/>
              <w:ind w:right="-1"/>
              <w:jc w:val="both"/>
              <w:rPr>
                <w:sz w:val="22"/>
                <w:szCs w:val="22"/>
              </w:rPr>
            </w:pPr>
            <w:r>
              <w:rPr>
                <w:sz w:val="22"/>
                <w:szCs w:val="22"/>
              </w:rPr>
              <w:t xml:space="preserve">       </w:t>
            </w:r>
            <w:r w:rsidR="00C01265">
              <w:rPr>
                <w:sz w:val="22"/>
                <w:szCs w:val="22"/>
              </w:rPr>
              <w:t xml:space="preserve">Nosakot </w:t>
            </w:r>
            <w:r w:rsidR="00C11285">
              <w:rPr>
                <w:sz w:val="22"/>
                <w:szCs w:val="22"/>
              </w:rPr>
              <w:t xml:space="preserve">energoefektivitātes </w:t>
            </w:r>
            <w:r w:rsidR="00C01265">
              <w:rPr>
                <w:sz w:val="22"/>
                <w:szCs w:val="22"/>
              </w:rPr>
              <w:t xml:space="preserve">fonda iemaksu, ir ņemta </w:t>
            </w:r>
            <w:r w:rsidR="00902318" w:rsidRPr="00902318">
              <w:rPr>
                <w:sz w:val="22"/>
                <w:szCs w:val="22"/>
              </w:rPr>
              <w:t>vērā līdzšinējā pieredze energoefektivitātes pasākumu veikšanā. Kā viens no ievērojamākajiem līdzšinējiem valsts pasākumiem šajā jomā vērtējams Klimata pārmaiņu finanšu instruments</w:t>
            </w:r>
            <w:r w:rsidR="0033089E">
              <w:t xml:space="preserve"> (turpmāk – </w:t>
            </w:r>
            <w:r w:rsidR="0033089E" w:rsidRPr="0033089E">
              <w:rPr>
                <w:sz w:val="22"/>
                <w:szCs w:val="22"/>
              </w:rPr>
              <w:t>KPFI</w:t>
            </w:r>
            <w:r w:rsidR="0033089E">
              <w:rPr>
                <w:sz w:val="22"/>
                <w:szCs w:val="22"/>
              </w:rPr>
              <w:t xml:space="preserve">) </w:t>
            </w:r>
            <w:r w:rsidR="00A53222">
              <w:rPr>
                <w:sz w:val="22"/>
                <w:szCs w:val="22"/>
              </w:rPr>
              <w:t>.</w:t>
            </w:r>
          </w:p>
          <w:p w14:paraId="3F1F6849" w14:textId="761345B4" w:rsidR="00C11285" w:rsidRDefault="004356D2" w:rsidP="000711B6">
            <w:pPr>
              <w:pStyle w:val="naiskr"/>
              <w:spacing w:after="0"/>
              <w:ind w:right="-1"/>
              <w:jc w:val="both"/>
              <w:rPr>
                <w:sz w:val="22"/>
              </w:rPr>
            </w:pPr>
            <w:r w:rsidRPr="00644E14">
              <w:rPr>
                <w:sz w:val="22"/>
                <w:szCs w:val="22"/>
              </w:rPr>
              <w:t xml:space="preserve">Lai novērtētu līdzšinējās ietaupījumu izmaksas, ir ņemts vērā </w:t>
            </w:r>
            <w:r>
              <w:rPr>
                <w:sz w:val="22"/>
                <w:szCs w:val="22"/>
              </w:rPr>
              <w:t xml:space="preserve"> </w:t>
            </w:r>
            <w:r w:rsidRPr="00644E14">
              <w:rPr>
                <w:sz w:val="22"/>
                <w:szCs w:val="22"/>
              </w:rPr>
              <w:t xml:space="preserve">Ekonomikas ministrijas veiktais </w:t>
            </w:r>
            <w:r w:rsidR="000711B6" w:rsidRPr="000711B6">
              <w:rPr>
                <w:sz w:val="22"/>
                <w:szCs w:val="22"/>
              </w:rPr>
              <w:t>Apstrādes rūpniecības nozares energoefektivitātes paaugstināšanas finanšu pieejamības Ex ante izvērtējums</w:t>
            </w:r>
            <w:r w:rsidR="000711B6">
              <w:rPr>
                <w:sz w:val="22"/>
                <w:szCs w:val="22"/>
              </w:rPr>
              <w:t xml:space="preserve"> </w:t>
            </w:r>
            <w:r w:rsidR="000711B6" w:rsidRPr="000711B6">
              <w:rPr>
                <w:sz w:val="22"/>
                <w:szCs w:val="22"/>
              </w:rPr>
              <w:t>2014. - 2020. gada Eiropas Savienības fondu</w:t>
            </w:r>
            <w:r w:rsidR="000711B6">
              <w:rPr>
                <w:sz w:val="22"/>
                <w:szCs w:val="22"/>
              </w:rPr>
              <w:t xml:space="preserve"> </w:t>
            </w:r>
            <w:r w:rsidR="000711B6" w:rsidRPr="000711B6">
              <w:rPr>
                <w:sz w:val="22"/>
                <w:szCs w:val="22"/>
              </w:rPr>
              <w:t>plānošanas periodam</w:t>
            </w:r>
            <w:r w:rsidR="000711B6">
              <w:rPr>
                <w:sz w:val="22"/>
                <w:szCs w:val="22"/>
              </w:rPr>
              <w:t>.</w:t>
            </w:r>
            <w:r w:rsidR="00D774AA">
              <w:rPr>
                <w:sz w:val="22"/>
                <w:szCs w:val="22"/>
              </w:rPr>
              <w:t>, kurā atspoguļots</w:t>
            </w:r>
            <w:r w:rsidR="00F24086">
              <w:rPr>
                <w:sz w:val="22"/>
                <w:szCs w:val="22"/>
              </w:rPr>
              <w:t xml:space="preserve"> </w:t>
            </w:r>
            <w:r w:rsidR="0086387C" w:rsidRPr="00644E14">
              <w:rPr>
                <w:sz w:val="22"/>
              </w:rPr>
              <w:t>enerģijas ietaupījumu izmaksas, pamatojoties uz līdz šim Latvijā realizēto ēku energoefektivitātes programmu rezultātiem</w:t>
            </w:r>
            <w:r w:rsidR="00640B18" w:rsidRPr="00644E14">
              <w:rPr>
                <w:sz w:val="22"/>
              </w:rPr>
              <w:t>.</w:t>
            </w:r>
            <w:r w:rsidR="0086387C" w:rsidRPr="00644E14">
              <w:rPr>
                <w:sz w:val="22"/>
              </w:rPr>
              <w:t xml:space="preserve"> </w:t>
            </w:r>
            <w:r w:rsidR="00A92EF0">
              <w:rPr>
                <w:sz w:val="22"/>
              </w:rPr>
              <w:t xml:space="preserve">  </w:t>
            </w:r>
            <w:r w:rsidR="000711B6">
              <w:rPr>
                <w:sz w:val="22"/>
              </w:rPr>
              <w:t xml:space="preserve">Saskaņā ar minēto izvērtējumu </w:t>
            </w:r>
            <w:r w:rsidR="00DA0525">
              <w:rPr>
                <w:sz w:val="22"/>
              </w:rPr>
              <w:t>viszemāk</w:t>
            </w:r>
            <w:r w:rsidR="000711B6">
              <w:rPr>
                <w:sz w:val="22"/>
              </w:rPr>
              <w:t>ās</w:t>
            </w:r>
            <w:r w:rsidR="00A92EF0" w:rsidRPr="00A92EF0">
              <w:rPr>
                <w:sz w:val="22"/>
              </w:rPr>
              <w:t xml:space="preserve"> ietaupījuma izmaks</w:t>
            </w:r>
            <w:r w:rsidR="000711B6">
              <w:rPr>
                <w:sz w:val="22"/>
              </w:rPr>
              <w:t>as</w:t>
            </w:r>
            <w:r w:rsidR="00A92EF0" w:rsidRPr="00A92EF0">
              <w:rPr>
                <w:sz w:val="22"/>
              </w:rPr>
              <w:t xml:space="preserve"> veido </w:t>
            </w:r>
            <w:r w:rsidR="0033089E" w:rsidRPr="0033089E">
              <w:rPr>
                <w:sz w:val="22"/>
              </w:rPr>
              <w:t xml:space="preserve">KPFI </w:t>
            </w:r>
            <w:r w:rsidR="0033089E">
              <w:rPr>
                <w:sz w:val="22"/>
              </w:rPr>
              <w:t xml:space="preserve">finansēti </w:t>
            </w:r>
            <w:r w:rsidR="00A92EF0" w:rsidRPr="00A92EF0">
              <w:rPr>
                <w:sz w:val="22"/>
              </w:rPr>
              <w:t>projektu konkursi “Kompleksi risinājumi siltumnīcefekta gāzu emisiju samazināšanai” un “Kompleksi risinājumi siltumnīcefekta gāzu emisijas samazināšanai ražošanas ēkās”</w:t>
            </w:r>
            <w:r w:rsidR="00240894">
              <w:rPr>
                <w:sz w:val="22"/>
              </w:rPr>
              <w:t>, kā arī ir analizēts atbalstam plānoto projektu dzīves laiks.</w:t>
            </w:r>
          </w:p>
          <w:p w14:paraId="32F09A74" w14:textId="78017504" w:rsidR="00F31560" w:rsidRDefault="0033089E" w:rsidP="006C454C">
            <w:pPr>
              <w:pStyle w:val="naiskr"/>
              <w:spacing w:before="0" w:beforeAutospacing="0" w:after="0" w:afterAutospacing="0"/>
              <w:jc w:val="both"/>
              <w:rPr>
                <w:sz w:val="22"/>
              </w:rPr>
            </w:pPr>
            <w:r>
              <w:rPr>
                <w:sz w:val="22"/>
              </w:rPr>
              <w:t>Ex</w:t>
            </w:r>
            <w:r w:rsidR="000B34B1">
              <w:rPr>
                <w:sz w:val="22"/>
              </w:rPr>
              <w:t>-</w:t>
            </w:r>
            <w:r w:rsidR="00DA0525">
              <w:rPr>
                <w:sz w:val="22"/>
              </w:rPr>
              <w:t xml:space="preserve"> ante izvērtējumā norādīts</w:t>
            </w:r>
            <w:r w:rsidR="00120398">
              <w:rPr>
                <w:sz w:val="22"/>
              </w:rPr>
              <w:t xml:space="preserve">, ka </w:t>
            </w:r>
            <w:r w:rsidR="00C11285" w:rsidRPr="00C11285">
              <w:rPr>
                <w:sz w:val="22"/>
              </w:rPr>
              <w:t xml:space="preserve">1 MWh enerģijas </w:t>
            </w:r>
            <w:r w:rsidR="00120398">
              <w:rPr>
                <w:sz w:val="22"/>
              </w:rPr>
              <w:t xml:space="preserve">ietaupījuma </w:t>
            </w:r>
            <w:r w:rsidR="00C11285">
              <w:rPr>
                <w:sz w:val="22"/>
              </w:rPr>
              <w:t xml:space="preserve">vidējas izmaksas  </w:t>
            </w:r>
            <w:r w:rsidR="00120398">
              <w:rPr>
                <w:sz w:val="22"/>
              </w:rPr>
              <w:t xml:space="preserve">KPFI </w:t>
            </w:r>
            <w:r w:rsidR="009D6516">
              <w:rPr>
                <w:sz w:val="22"/>
              </w:rPr>
              <w:t xml:space="preserve">rūpniecības ēku </w:t>
            </w:r>
            <w:r w:rsidR="00120398">
              <w:rPr>
                <w:sz w:val="22"/>
              </w:rPr>
              <w:t>programm</w:t>
            </w:r>
            <w:r w:rsidR="00240894">
              <w:rPr>
                <w:sz w:val="22"/>
              </w:rPr>
              <w:t>ā</w:t>
            </w:r>
            <w:r w:rsidR="00120398">
              <w:rPr>
                <w:sz w:val="22"/>
              </w:rPr>
              <w:t xml:space="preserve"> ir </w:t>
            </w:r>
            <w:r w:rsidR="009D6516">
              <w:rPr>
                <w:sz w:val="22"/>
              </w:rPr>
              <w:t>685</w:t>
            </w:r>
            <w:r w:rsidR="00120398">
              <w:rPr>
                <w:sz w:val="22"/>
              </w:rPr>
              <w:t xml:space="preserve"> euro</w:t>
            </w:r>
            <w:r w:rsidR="00240894">
              <w:rPr>
                <w:sz w:val="22"/>
              </w:rPr>
              <w:t xml:space="preserve">/MWh, kā arī tiek pamatots, ka plānojot atbalstu, tiek pieņemts projektu dzīves laiks 5 gadi. </w:t>
            </w:r>
          </w:p>
          <w:p w14:paraId="53622297" w14:textId="77777777" w:rsidR="00F31560" w:rsidRDefault="00F31560" w:rsidP="006C454C">
            <w:pPr>
              <w:pStyle w:val="naiskr"/>
              <w:spacing w:before="0" w:beforeAutospacing="0" w:after="0" w:afterAutospacing="0"/>
              <w:jc w:val="both"/>
              <w:rPr>
                <w:sz w:val="22"/>
              </w:rPr>
            </w:pPr>
          </w:p>
          <w:p w14:paraId="05531692" w14:textId="2D28A72F" w:rsidR="00DF174A" w:rsidRDefault="00240894" w:rsidP="006C454C">
            <w:pPr>
              <w:pStyle w:val="naiskr"/>
              <w:spacing w:before="0" w:beforeAutospacing="0" w:after="0" w:afterAutospacing="0"/>
              <w:jc w:val="both"/>
              <w:rPr>
                <w:sz w:val="22"/>
              </w:rPr>
            </w:pPr>
            <w:r>
              <w:rPr>
                <w:sz w:val="22"/>
              </w:rPr>
              <w:t xml:space="preserve">Ņemot vērā to, ka obligātā mērķa sasniegšana nodrošināma, uzkrājot  (kumulējot) ietaupījumus pasākumu dzīves laikā, vienas uzkrāto enerģijas ietaupījumu izmaksas vērtētas kā  </w:t>
            </w:r>
            <w:r w:rsidR="009D6516">
              <w:rPr>
                <w:sz w:val="22"/>
              </w:rPr>
              <w:t>685</w:t>
            </w:r>
            <w:r>
              <w:rPr>
                <w:sz w:val="22"/>
              </w:rPr>
              <w:t>/5=1</w:t>
            </w:r>
            <w:r w:rsidR="009D6516">
              <w:rPr>
                <w:sz w:val="22"/>
              </w:rPr>
              <w:t>37</w:t>
            </w:r>
            <w:r>
              <w:rPr>
                <w:sz w:val="22"/>
              </w:rPr>
              <w:t xml:space="preserve"> euro/MWh</w:t>
            </w:r>
            <w:r w:rsidR="00AF41F0">
              <w:rPr>
                <w:sz w:val="22"/>
              </w:rPr>
              <w:t xml:space="preserve"> un </w:t>
            </w:r>
            <w:r>
              <w:rPr>
                <w:sz w:val="22"/>
              </w:rPr>
              <w:t>vidēj</w:t>
            </w:r>
            <w:r w:rsidR="00AF41F0">
              <w:rPr>
                <w:sz w:val="22"/>
              </w:rPr>
              <w:t>ā</w:t>
            </w:r>
            <w:r>
              <w:rPr>
                <w:sz w:val="22"/>
              </w:rPr>
              <w:t xml:space="preserve"> atbalsta intensitāt</w:t>
            </w:r>
            <w:r w:rsidR="00AF41F0">
              <w:rPr>
                <w:sz w:val="22"/>
              </w:rPr>
              <w:t>e</w:t>
            </w:r>
            <w:r>
              <w:rPr>
                <w:sz w:val="22"/>
              </w:rPr>
              <w:t xml:space="preserve"> </w:t>
            </w:r>
            <w:r w:rsidR="00AF41F0">
              <w:rPr>
                <w:sz w:val="22"/>
              </w:rPr>
              <w:t xml:space="preserve">ap </w:t>
            </w:r>
            <w:r w:rsidR="009D6516">
              <w:rPr>
                <w:sz w:val="22"/>
              </w:rPr>
              <w:t>5</w:t>
            </w:r>
            <w:r>
              <w:rPr>
                <w:sz w:val="22"/>
              </w:rPr>
              <w:t>0%</w:t>
            </w:r>
            <w:r w:rsidR="00AF41F0">
              <w:rPr>
                <w:sz w:val="22"/>
              </w:rPr>
              <w:t>.</w:t>
            </w:r>
            <w:r w:rsidR="00DF174A">
              <w:rPr>
                <w:sz w:val="22"/>
              </w:rPr>
              <w:t xml:space="preserve"> </w:t>
            </w:r>
            <w:r w:rsidR="00DF174A" w:rsidRPr="00DF174A">
              <w:rPr>
                <w:sz w:val="22"/>
              </w:rPr>
              <w:t xml:space="preserve">Līdz ar to EPS </w:t>
            </w:r>
            <w:r w:rsidR="005673F8">
              <w:rPr>
                <w:sz w:val="22"/>
              </w:rPr>
              <w:t>komersanta</w:t>
            </w:r>
            <w:r w:rsidR="00DF174A" w:rsidRPr="00DF174A">
              <w:rPr>
                <w:sz w:val="22"/>
              </w:rPr>
              <w:t xml:space="preserve"> iemaksa energoefektivitātes fondā tiek pielīdzināta</w:t>
            </w:r>
            <w:r w:rsidR="00725A59">
              <w:rPr>
                <w:sz w:val="22"/>
              </w:rPr>
              <w:t xml:space="preserve"> 1 MWh ietaupījuma izmaksai</w:t>
            </w:r>
            <w:r w:rsidR="00DF174A" w:rsidRPr="00DF174A">
              <w:rPr>
                <w:sz w:val="22"/>
              </w:rPr>
              <w:t xml:space="preserve">, t.i., </w:t>
            </w:r>
            <w:r w:rsidR="00DF174A" w:rsidRPr="00F31560">
              <w:rPr>
                <w:b/>
                <w:sz w:val="22"/>
              </w:rPr>
              <w:t>70,00 euro</w:t>
            </w:r>
            <w:r w:rsidR="00DF174A" w:rsidRPr="00DF174A">
              <w:rPr>
                <w:sz w:val="22"/>
              </w:rPr>
              <w:t xml:space="preserve">, kas uzskatāms par nepieciešamo ieguldījumu, lai izpildītu noteikto pienākuma apjomu.   </w:t>
            </w:r>
          </w:p>
          <w:p w14:paraId="5F959AC1" w14:textId="77777777" w:rsidR="009D6516" w:rsidRDefault="009D6516" w:rsidP="006C454C">
            <w:pPr>
              <w:pStyle w:val="naiskr"/>
              <w:spacing w:before="0" w:beforeAutospacing="0" w:after="0" w:afterAutospacing="0"/>
              <w:jc w:val="both"/>
              <w:rPr>
                <w:sz w:val="22"/>
              </w:rPr>
            </w:pPr>
          </w:p>
          <w:p w14:paraId="431DF7D8" w14:textId="3D642485" w:rsidR="00640B18" w:rsidRPr="00646597" w:rsidRDefault="009D6516" w:rsidP="00DA0525">
            <w:pPr>
              <w:pStyle w:val="naiskr"/>
              <w:spacing w:before="0" w:beforeAutospacing="0" w:after="0" w:afterAutospacing="0"/>
              <w:jc w:val="both"/>
              <w:rPr>
                <w:sz w:val="22"/>
              </w:rPr>
            </w:pPr>
            <w:r w:rsidRPr="009D6516">
              <w:rPr>
                <w:sz w:val="22"/>
              </w:rPr>
              <w:t>Ņemot vērā Eiropas Komisijas 2014. gada 17. jūnija Regulas (ES) Nr.651/2014, ar ko noteiktas atbalsta kategorijas atzīst par saderīgām ar iekšējo tirgu, piemērojot Līguma 107. un 108. pantu (Eiropas Savienības Vēstnesis, 2014. gada 26. jūnijs, Nr. L 187)  38. pantu, pamata atbalsta intensitāte nepārsniedz 30 % no attiecināmajām izmaksām, kuru var paaugstināt par 20% atbalstam, ko piešķir maziem uzņēmumiem, un par 10% atbalstam, ko piešķir vidējiem uzņēmumiem. Tādējādi tiek pieņemts, ka energoefektivitātes fonda maksimāli pieļaujamā atbalsta intensitāte ir 50% no finansējamā projekta kopējām attiecināmajām izmaksām.</w:t>
            </w:r>
          </w:p>
        </w:tc>
      </w:tr>
      <w:tr w:rsidR="006B0FFC" w:rsidRPr="00BF5644" w14:paraId="34F361E9"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4B5913A3" w14:textId="77777777" w:rsidR="006B0FFC" w:rsidRPr="00BF5644" w:rsidRDefault="00D774AA" w:rsidP="00BF5644">
            <w:pPr>
              <w:spacing w:after="0" w:line="240" w:lineRule="auto"/>
              <w:rPr>
                <w:rFonts w:eastAsia="Times New Roman"/>
                <w:sz w:val="22"/>
                <w:lang w:eastAsia="lv-LV"/>
              </w:rPr>
            </w:pPr>
            <w:r>
              <w:rPr>
                <w:rFonts w:eastAsia="Times New Roman"/>
                <w:sz w:val="22"/>
                <w:lang w:eastAsia="lv-LV"/>
              </w:rPr>
              <w:lastRenderedPageBreak/>
              <w:t xml:space="preserve">  </w:t>
            </w:r>
          </w:p>
        </w:tc>
        <w:tc>
          <w:tcPr>
            <w:tcW w:w="1103" w:type="pct"/>
            <w:tcBorders>
              <w:top w:val="outset" w:sz="6" w:space="0" w:color="000000"/>
              <w:left w:val="outset" w:sz="6" w:space="0" w:color="000000"/>
              <w:bottom w:val="outset" w:sz="6" w:space="0" w:color="000000"/>
              <w:right w:val="outset" w:sz="6" w:space="0" w:color="000000"/>
            </w:tcBorders>
            <w:hideMark/>
          </w:tcPr>
          <w:p w14:paraId="33534296" w14:textId="77777777"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14:paraId="1C2E3D53" w14:textId="77777777" w:rsidR="006B0FFC" w:rsidRPr="00BF5644" w:rsidRDefault="00A46613" w:rsidP="00B5242F">
            <w:pPr>
              <w:spacing w:after="0" w:line="240" w:lineRule="auto"/>
              <w:rPr>
                <w:rFonts w:eastAsia="Times New Roman"/>
                <w:sz w:val="22"/>
                <w:lang w:eastAsia="lv-LV"/>
              </w:rPr>
            </w:pPr>
            <w:r>
              <w:rPr>
                <w:rFonts w:eastAsia="Times New Roman"/>
                <w:sz w:val="22"/>
                <w:lang w:eastAsia="lv-LV"/>
              </w:rPr>
              <w:t>AS</w:t>
            </w:r>
            <w:r w:rsidRPr="00A46613">
              <w:rPr>
                <w:rFonts w:eastAsia="Times New Roman"/>
                <w:sz w:val="22"/>
                <w:lang w:eastAsia="lv-LV"/>
              </w:rPr>
              <w:t xml:space="preserve"> “Attīstības finanšu institūcija Altum”</w:t>
            </w:r>
          </w:p>
        </w:tc>
      </w:tr>
      <w:tr w:rsidR="006B0FFC" w:rsidRPr="00BF5644" w14:paraId="15DC71CF"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7FFE96E" w14:textId="77777777"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14:paraId="2FAB0D3C"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14:paraId="50277C68" w14:textId="77777777" w:rsidR="006B0FFC" w:rsidRPr="00BF5644" w:rsidRDefault="00785CE4" w:rsidP="00BF5644">
            <w:pPr>
              <w:spacing w:after="0" w:line="240" w:lineRule="auto"/>
              <w:jc w:val="both"/>
              <w:rPr>
                <w:rFonts w:eastAsia="Times New Roman"/>
                <w:sz w:val="22"/>
                <w:lang w:eastAsia="lv-LV"/>
              </w:rPr>
            </w:pPr>
            <w:r>
              <w:rPr>
                <w:rFonts w:eastAsia="Times New Roman"/>
                <w:sz w:val="22"/>
                <w:lang w:eastAsia="lv-LV"/>
              </w:rPr>
              <w:t>Nav.</w:t>
            </w:r>
          </w:p>
        </w:tc>
      </w:tr>
    </w:tbl>
    <w:p w14:paraId="4506C560" w14:textId="77777777" w:rsidR="0043467C" w:rsidRPr="00BF5644" w:rsidRDefault="006B0FFC" w:rsidP="00BF5644">
      <w:pPr>
        <w:spacing w:after="0" w:line="240" w:lineRule="auto"/>
        <w:rPr>
          <w:rFonts w:eastAsia="Times New Roman"/>
          <w:sz w:val="22"/>
          <w:lang w:eastAsia="lv-LV"/>
        </w:rPr>
      </w:pPr>
      <w:r w:rsidRPr="00BF5644">
        <w:rPr>
          <w:rFonts w:eastAsia="Times New Roman"/>
          <w:sz w:val="22"/>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BF5644" w14:paraId="2C0FD325" w14:textId="77777777"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FCED00A" w14:textId="77777777"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II. Tiesību akta projekta ietekme uz sabiedrību</w:t>
            </w:r>
            <w:r w:rsidR="0011147C" w:rsidRPr="00BF5644">
              <w:rPr>
                <w:b/>
                <w:color w:val="000000" w:themeColor="text1"/>
                <w:sz w:val="22"/>
              </w:rPr>
              <w:t>, tautsaimniecības attīstību un administratīvo slogu</w:t>
            </w:r>
          </w:p>
        </w:tc>
      </w:tr>
      <w:tr w:rsidR="006B0FFC" w:rsidRPr="00BF5644" w14:paraId="0CA9C565"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623FF2A"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14:paraId="5E00EE75"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Sabiedrības mērķgrupa</w:t>
            </w:r>
            <w:r w:rsidR="00FE5879" w:rsidRPr="00BF5644">
              <w:rPr>
                <w:rFonts w:eastAsia="Times New Roman"/>
                <w:sz w:val="22"/>
                <w:lang w:eastAsia="lv-LV"/>
              </w:rPr>
              <w:t xml:space="preserve">s, kuras </w:t>
            </w:r>
            <w:r w:rsidR="00FE5879" w:rsidRPr="00BF5644">
              <w:rPr>
                <w:rFonts w:eastAsia="Times New Roman"/>
                <w:sz w:val="22"/>
                <w:lang w:eastAsia="lv-LV"/>
              </w:rPr>
              <w:lastRenderedPageBreak/>
              <w:t>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14:paraId="64C8F69D" w14:textId="31145823" w:rsidR="00F6680B" w:rsidRPr="00BF5644" w:rsidRDefault="007660B7" w:rsidP="00B902F2">
            <w:pPr>
              <w:spacing w:after="0" w:line="240" w:lineRule="auto"/>
              <w:jc w:val="both"/>
              <w:rPr>
                <w:rFonts w:eastAsia="Times New Roman"/>
                <w:sz w:val="22"/>
                <w:lang w:eastAsia="lv-LV"/>
              </w:rPr>
            </w:pPr>
            <w:r>
              <w:rPr>
                <w:rFonts w:eastAsia="Times New Roman"/>
                <w:sz w:val="22"/>
                <w:lang w:eastAsia="lv-LV"/>
              </w:rPr>
              <w:lastRenderedPageBreak/>
              <w:t>Komersanti, ka</w:t>
            </w:r>
            <w:r w:rsidR="0083408B" w:rsidRPr="0083408B">
              <w:rPr>
                <w:rFonts w:eastAsia="Times New Roman"/>
                <w:sz w:val="22"/>
                <w:lang w:eastAsia="lv-LV"/>
              </w:rPr>
              <w:t>m ir saistoša valsts energoefektivitātes pienākuma shēma</w:t>
            </w:r>
          </w:p>
        </w:tc>
      </w:tr>
      <w:tr w:rsidR="006B0FFC" w:rsidRPr="00BF5644" w14:paraId="4F5E74AD"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68067DCB"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102" w:type="pct"/>
            <w:tcBorders>
              <w:top w:val="outset" w:sz="6" w:space="0" w:color="000000"/>
              <w:left w:val="outset" w:sz="6" w:space="0" w:color="000000"/>
              <w:bottom w:val="outset" w:sz="6" w:space="0" w:color="000000"/>
              <w:right w:val="outset" w:sz="6" w:space="0" w:color="000000"/>
            </w:tcBorders>
            <w:hideMark/>
          </w:tcPr>
          <w:p w14:paraId="5C14C73C" w14:textId="77777777"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14:paraId="242C379E" w14:textId="77777777" w:rsidR="006B0FFC" w:rsidRPr="00BF5644" w:rsidRDefault="007A7698" w:rsidP="00233176">
            <w:pPr>
              <w:spacing w:after="0" w:line="240" w:lineRule="auto"/>
              <w:jc w:val="both"/>
              <w:rPr>
                <w:rFonts w:eastAsia="Times New Roman"/>
                <w:sz w:val="22"/>
                <w:lang w:eastAsia="lv-LV"/>
              </w:rPr>
            </w:pPr>
            <w:r w:rsidRPr="00BF5644">
              <w:rPr>
                <w:rFonts w:eastAsia="Times New Roman"/>
                <w:sz w:val="22"/>
                <w:lang w:eastAsia="lv-LV"/>
              </w:rPr>
              <w:t xml:space="preserve">Ministru kabineta noteikumu projekta </w:t>
            </w:r>
            <w:r w:rsidRPr="00BF5644">
              <w:rPr>
                <w:sz w:val="22"/>
              </w:rPr>
              <w:t>ieviešanas rezultātā tiks radīti apstākļi energoefektivitātes paaugstināšanai, kas veicinās primārās enerģijas patēriņa samazināšanos un līdz ar to arī</w:t>
            </w:r>
            <w:r w:rsidR="00740658" w:rsidRPr="00BF5644">
              <w:rPr>
                <w:sz w:val="22"/>
              </w:rPr>
              <w:t xml:space="preserve"> </w:t>
            </w:r>
            <w:r w:rsidRPr="00BF5644">
              <w:rPr>
                <w:sz w:val="22"/>
              </w:rPr>
              <w:t>samazināsies valsts atkarība no importējamiem energoresursiem.</w:t>
            </w:r>
          </w:p>
        </w:tc>
      </w:tr>
      <w:tr w:rsidR="006B0FFC" w:rsidRPr="00BF5644" w14:paraId="614AE7B5"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5AEE73D"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14:paraId="51E9F98F" w14:textId="77777777"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14:paraId="1817BA18" w14:textId="77777777" w:rsidR="006B0FFC" w:rsidRPr="00BF5644" w:rsidRDefault="0011586C" w:rsidP="00BF5644">
            <w:pPr>
              <w:spacing w:after="0" w:line="240" w:lineRule="auto"/>
              <w:jc w:val="both"/>
              <w:rPr>
                <w:rFonts w:eastAsia="Times New Roman"/>
                <w:sz w:val="22"/>
                <w:lang w:eastAsia="lv-LV"/>
              </w:rPr>
            </w:pPr>
            <w:r w:rsidRPr="00BF5644">
              <w:rPr>
                <w:rFonts w:eastAsia="Times New Roman"/>
                <w:sz w:val="22"/>
                <w:lang w:eastAsia="lv-LV"/>
              </w:rPr>
              <w:t>Projekts šo jomu neskar.</w:t>
            </w:r>
          </w:p>
        </w:tc>
      </w:tr>
      <w:tr w:rsidR="006B0FFC" w:rsidRPr="00BF5644" w14:paraId="06E4AB76"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11A8056A" w14:textId="77777777"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14:paraId="75E4743E"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14:paraId="584C6C54" w14:textId="77777777"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Nav</w:t>
            </w:r>
            <w:r w:rsidR="00FF7CCE" w:rsidRPr="00BF5644">
              <w:rPr>
                <w:rFonts w:eastAsia="Times New Roman"/>
                <w:sz w:val="22"/>
                <w:lang w:eastAsia="lv-LV"/>
              </w:rPr>
              <w:t>.</w:t>
            </w:r>
          </w:p>
        </w:tc>
      </w:tr>
    </w:tbl>
    <w:p w14:paraId="0D927249" w14:textId="77777777" w:rsidR="00A72B00" w:rsidRDefault="00A72B00" w:rsidP="00BF5644">
      <w:pPr>
        <w:spacing w:after="0" w:line="240" w:lineRule="auto"/>
        <w:rPr>
          <w:rFonts w:eastAsia="Times New Roman"/>
          <w:sz w:val="22"/>
          <w:lang w:eastAsia="lv-LV"/>
        </w:rPr>
      </w:pPr>
    </w:p>
    <w:p w14:paraId="463718A3" w14:textId="77777777" w:rsidR="000C2BC9" w:rsidRDefault="000C2BC9" w:rsidP="00BF5644">
      <w:pPr>
        <w:spacing w:after="0" w:line="240" w:lineRule="auto"/>
        <w:rPr>
          <w:rFonts w:eastAsia="Times New Roman"/>
          <w:sz w:val="22"/>
          <w:lang w:eastAsia="lv-LV"/>
        </w:rPr>
      </w:pPr>
    </w:p>
    <w:tbl>
      <w:tblPr>
        <w:tblW w:w="5323"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431"/>
        <w:gridCol w:w="1027"/>
        <w:gridCol w:w="1215"/>
        <w:gridCol w:w="1215"/>
        <w:gridCol w:w="1136"/>
        <w:gridCol w:w="1616"/>
      </w:tblGrid>
      <w:tr w:rsidR="00D11C7A" w:rsidRPr="0023425B" w14:paraId="33B38990" w14:textId="77777777" w:rsidTr="00D11C7A">
        <w:tc>
          <w:tcPr>
            <w:tcW w:w="5000" w:type="pct"/>
            <w:gridSpan w:val="6"/>
            <w:tcBorders>
              <w:top w:val="outset" w:sz="6" w:space="0" w:color="000000"/>
              <w:bottom w:val="outset" w:sz="6" w:space="0" w:color="000000"/>
            </w:tcBorders>
          </w:tcPr>
          <w:p w14:paraId="4AB8EEF2" w14:textId="77777777" w:rsidR="00D11C7A" w:rsidRPr="00D11C7A" w:rsidRDefault="00D11C7A" w:rsidP="00AE239A">
            <w:pPr>
              <w:pStyle w:val="NormalWeb"/>
              <w:jc w:val="center"/>
              <w:rPr>
                <w:rFonts w:ascii="Times New Roman" w:hAnsi="Times New Roman" w:cs="Times New Roman"/>
                <w:b/>
                <w:bCs/>
              </w:rPr>
            </w:pPr>
            <w:r w:rsidRPr="00D11C7A">
              <w:rPr>
                <w:rFonts w:ascii="Times New Roman" w:hAnsi="Times New Roman" w:cs="Times New Roman"/>
                <w:b/>
                <w:bCs/>
              </w:rPr>
              <w:t>III. Tiesību akta projekta ietekme uz valsts budžetu un pašvaldību budžetiem</w:t>
            </w:r>
          </w:p>
        </w:tc>
      </w:tr>
      <w:tr w:rsidR="00D11C7A" w:rsidRPr="0023425B" w14:paraId="01902C16" w14:textId="77777777" w:rsidTr="00D11C7A">
        <w:tc>
          <w:tcPr>
            <w:tcW w:w="1780" w:type="pct"/>
            <w:vMerge w:val="restart"/>
            <w:tcBorders>
              <w:top w:val="outset" w:sz="6" w:space="0" w:color="000000"/>
              <w:bottom w:val="outset" w:sz="6" w:space="0" w:color="000000"/>
              <w:right w:val="outset" w:sz="6" w:space="0" w:color="000000"/>
            </w:tcBorders>
            <w:vAlign w:val="center"/>
          </w:tcPr>
          <w:p w14:paraId="09B13661" w14:textId="77777777" w:rsidR="00D11C7A" w:rsidRPr="00D11C7A" w:rsidRDefault="00D11C7A" w:rsidP="00AE239A">
            <w:pPr>
              <w:pStyle w:val="NormalWeb"/>
              <w:jc w:val="center"/>
              <w:rPr>
                <w:rFonts w:ascii="Times New Roman" w:hAnsi="Times New Roman" w:cs="Times New Roman"/>
                <w:b/>
                <w:bCs/>
              </w:rPr>
            </w:pPr>
            <w:r w:rsidRPr="00D11C7A">
              <w:rPr>
                <w:rFonts w:ascii="Times New Roman" w:hAnsi="Times New Roman" w:cs="Times New Roman"/>
                <w:b/>
                <w:bCs/>
              </w:rPr>
              <w:t>Rādītāji</w:t>
            </w:r>
          </w:p>
        </w:tc>
        <w:tc>
          <w:tcPr>
            <w:tcW w:w="116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6E7FCB47" w14:textId="0A7DBA5A"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2017</w:t>
            </w:r>
            <w:r w:rsidR="00D11C7A" w:rsidRPr="00D11C7A">
              <w:rPr>
                <w:rFonts w:ascii="Times New Roman" w:hAnsi="Times New Roman" w:cs="Times New Roman"/>
                <w:b/>
                <w:bCs/>
              </w:rPr>
              <w:t>.gads</w:t>
            </w:r>
          </w:p>
        </w:tc>
        <w:tc>
          <w:tcPr>
            <w:tcW w:w="2057" w:type="pct"/>
            <w:gridSpan w:val="3"/>
            <w:tcBorders>
              <w:top w:val="outset" w:sz="6" w:space="0" w:color="000000"/>
              <w:left w:val="outset" w:sz="6" w:space="0" w:color="000000"/>
              <w:bottom w:val="outset" w:sz="6" w:space="0" w:color="000000"/>
            </w:tcBorders>
            <w:vAlign w:val="center"/>
          </w:tcPr>
          <w:p w14:paraId="37A64ACB" w14:textId="77777777" w:rsidR="00D11C7A" w:rsidRPr="00D11C7A" w:rsidRDefault="00D11C7A" w:rsidP="00AE239A">
            <w:pPr>
              <w:pStyle w:val="NormalWeb"/>
              <w:jc w:val="center"/>
              <w:rPr>
                <w:rFonts w:ascii="Times New Roman" w:hAnsi="Times New Roman" w:cs="Times New Roman"/>
              </w:rPr>
            </w:pPr>
            <w:r w:rsidRPr="00D11C7A">
              <w:rPr>
                <w:rFonts w:ascii="Times New Roman" w:hAnsi="Times New Roman" w:cs="Times New Roman"/>
              </w:rPr>
              <w:t>Turpmākie trīs gadi (</w:t>
            </w:r>
            <w:r w:rsidRPr="00D11C7A">
              <w:rPr>
                <w:rFonts w:ascii="Times New Roman" w:hAnsi="Times New Roman" w:cs="Times New Roman"/>
                <w:i/>
              </w:rPr>
              <w:t>euro</w:t>
            </w:r>
            <w:r w:rsidRPr="00D11C7A">
              <w:rPr>
                <w:rFonts w:ascii="Times New Roman" w:hAnsi="Times New Roman" w:cs="Times New Roman"/>
              </w:rPr>
              <w:t>)</w:t>
            </w:r>
          </w:p>
        </w:tc>
      </w:tr>
      <w:tr w:rsidR="00D11C7A" w:rsidRPr="0023425B" w14:paraId="68007114" w14:textId="77777777" w:rsidTr="00D11C7A">
        <w:tc>
          <w:tcPr>
            <w:tcW w:w="1780" w:type="pct"/>
            <w:vMerge/>
            <w:tcBorders>
              <w:top w:val="outset" w:sz="6" w:space="0" w:color="000000"/>
              <w:bottom w:val="outset" w:sz="6" w:space="0" w:color="000000"/>
              <w:right w:val="outset" w:sz="6" w:space="0" w:color="000000"/>
            </w:tcBorders>
            <w:vAlign w:val="center"/>
          </w:tcPr>
          <w:p w14:paraId="12F7EF68" w14:textId="77777777" w:rsidR="00D11C7A" w:rsidRPr="00D11C7A" w:rsidRDefault="00D11C7A" w:rsidP="00AE239A">
            <w:pPr>
              <w:rPr>
                <w:b/>
                <w:bCs/>
              </w:rPr>
            </w:pPr>
          </w:p>
        </w:tc>
        <w:tc>
          <w:tcPr>
            <w:tcW w:w="1163" w:type="pct"/>
            <w:gridSpan w:val="2"/>
            <w:vMerge/>
            <w:tcBorders>
              <w:top w:val="outset" w:sz="6" w:space="0" w:color="000000"/>
              <w:left w:val="outset" w:sz="6" w:space="0" w:color="000000"/>
              <w:bottom w:val="outset" w:sz="6" w:space="0" w:color="000000"/>
              <w:right w:val="outset" w:sz="6" w:space="0" w:color="000000"/>
            </w:tcBorders>
            <w:vAlign w:val="center"/>
          </w:tcPr>
          <w:p w14:paraId="4CA83116" w14:textId="77777777" w:rsidR="00D11C7A" w:rsidRPr="00D11C7A" w:rsidRDefault="00D11C7A" w:rsidP="00AE239A">
            <w:pPr>
              <w:rPr>
                <w:b/>
                <w:bCs/>
              </w:rPr>
            </w:pPr>
          </w:p>
        </w:tc>
        <w:tc>
          <w:tcPr>
            <w:tcW w:w="630" w:type="pct"/>
            <w:tcBorders>
              <w:top w:val="outset" w:sz="6" w:space="0" w:color="000000"/>
              <w:left w:val="outset" w:sz="6" w:space="0" w:color="000000"/>
              <w:bottom w:val="outset" w:sz="6" w:space="0" w:color="000000"/>
              <w:right w:val="outset" w:sz="6" w:space="0" w:color="000000"/>
            </w:tcBorders>
            <w:vAlign w:val="center"/>
          </w:tcPr>
          <w:p w14:paraId="6B700932" w14:textId="2C721BA4"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2018</w:t>
            </w:r>
          </w:p>
        </w:tc>
        <w:tc>
          <w:tcPr>
            <w:tcW w:w="589" w:type="pct"/>
            <w:tcBorders>
              <w:top w:val="outset" w:sz="6" w:space="0" w:color="000000"/>
              <w:left w:val="outset" w:sz="6" w:space="0" w:color="000000"/>
              <w:bottom w:val="outset" w:sz="6" w:space="0" w:color="000000"/>
              <w:right w:val="outset" w:sz="6" w:space="0" w:color="000000"/>
            </w:tcBorders>
            <w:vAlign w:val="center"/>
          </w:tcPr>
          <w:p w14:paraId="441DB069" w14:textId="4A8CD308"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2019</w:t>
            </w:r>
          </w:p>
        </w:tc>
        <w:tc>
          <w:tcPr>
            <w:tcW w:w="837" w:type="pct"/>
            <w:tcBorders>
              <w:top w:val="outset" w:sz="6" w:space="0" w:color="000000"/>
              <w:left w:val="outset" w:sz="6" w:space="0" w:color="000000"/>
              <w:bottom w:val="outset" w:sz="6" w:space="0" w:color="000000"/>
            </w:tcBorders>
            <w:vAlign w:val="center"/>
          </w:tcPr>
          <w:p w14:paraId="42057FB1" w14:textId="720E3BF0" w:rsidR="00D11C7A" w:rsidRPr="00D11C7A" w:rsidRDefault="00DA0525" w:rsidP="00AE239A">
            <w:pPr>
              <w:pStyle w:val="NormalWeb"/>
              <w:jc w:val="center"/>
              <w:rPr>
                <w:rFonts w:ascii="Times New Roman" w:hAnsi="Times New Roman" w:cs="Times New Roman"/>
                <w:b/>
                <w:bCs/>
              </w:rPr>
            </w:pPr>
            <w:r>
              <w:rPr>
                <w:rFonts w:ascii="Times New Roman" w:hAnsi="Times New Roman" w:cs="Times New Roman"/>
                <w:b/>
                <w:bCs/>
              </w:rPr>
              <w:t>2020</w:t>
            </w:r>
          </w:p>
        </w:tc>
      </w:tr>
      <w:tr w:rsidR="00D11C7A" w:rsidRPr="00DA18B0" w14:paraId="133E14AD" w14:textId="77777777" w:rsidTr="00D11C7A">
        <w:tc>
          <w:tcPr>
            <w:tcW w:w="1780" w:type="pct"/>
            <w:vMerge/>
            <w:tcBorders>
              <w:top w:val="outset" w:sz="6" w:space="0" w:color="000000"/>
              <w:bottom w:val="outset" w:sz="6" w:space="0" w:color="000000"/>
              <w:right w:val="outset" w:sz="6" w:space="0" w:color="000000"/>
            </w:tcBorders>
            <w:vAlign w:val="center"/>
          </w:tcPr>
          <w:p w14:paraId="73FF0CEA" w14:textId="77777777" w:rsidR="00D11C7A" w:rsidRPr="00DA18B0" w:rsidRDefault="00D11C7A" w:rsidP="00AE239A">
            <w:pPr>
              <w:rPr>
                <w:b/>
                <w:bCs/>
                <w:sz w:val="22"/>
              </w:rPr>
            </w:pPr>
          </w:p>
        </w:tc>
        <w:tc>
          <w:tcPr>
            <w:tcW w:w="533" w:type="pct"/>
            <w:tcBorders>
              <w:top w:val="outset" w:sz="6" w:space="0" w:color="000000"/>
              <w:left w:val="outset" w:sz="6" w:space="0" w:color="000000"/>
              <w:bottom w:val="outset" w:sz="6" w:space="0" w:color="000000"/>
              <w:right w:val="outset" w:sz="6" w:space="0" w:color="000000"/>
            </w:tcBorders>
            <w:vAlign w:val="center"/>
          </w:tcPr>
          <w:p w14:paraId="1A9F687E"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Saskaņā ar valsts budžetu kārtējam gadam</w:t>
            </w:r>
          </w:p>
        </w:tc>
        <w:tc>
          <w:tcPr>
            <w:tcW w:w="630" w:type="pct"/>
            <w:tcBorders>
              <w:top w:val="outset" w:sz="6" w:space="0" w:color="000000"/>
              <w:left w:val="outset" w:sz="6" w:space="0" w:color="000000"/>
              <w:bottom w:val="outset" w:sz="6" w:space="0" w:color="000000"/>
              <w:right w:val="outset" w:sz="6" w:space="0" w:color="000000"/>
            </w:tcBorders>
            <w:vAlign w:val="center"/>
          </w:tcPr>
          <w:p w14:paraId="70786A6F"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Izmaiņas kārtējā gadā, salīdzinot ar budžetu kārtējam gadam</w:t>
            </w:r>
          </w:p>
        </w:tc>
        <w:tc>
          <w:tcPr>
            <w:tcW w:w="630" w:type="pct"/>
            <w:tcBorders>
              <w:top w:val="outset" w:sz="6" w:space="0" w:color="000000"/>
              <w:left w:val="outset" w:sz="6" w:space="0" w:color="000000"/>
              <w:bottom w:val="outset" w:sz="6" w:space="0" w:color="000000"/>
              <w:right w:val="outset" w:sz="6" w:space="0" w:color="000000"/>
            </w:tcBorders>
            <w:vAlign w:val="center"/>
          </w:tcPr>
          <w:p w14:paraId="56981B29"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Izmaiņas, salīdzinot ar kārtējo (n) gadu</w:t>
            </w:r>
          </w:p>
        </w:tc>
        <w:tc>
          <w:tcPr>
            <w:tcW w:w="589" w:type="pct"/>
            <w:tcBorders>
              <w:top w:val="outset" w:sz="6" w:space="0" w:color="000000"/>
              <w:left w:val="outset" w:sz="6" w:space="0" w:color="000000"/>
              <w:bottom w:val="outset" w:sz="6" w:space="0" w:color="000000"/>
              <w:right w:val="outset" w:sz="6" w:space="0" w:color="000000"/>
            </w:tcBorders>
            <w:vAlign w:val="center"/>
          </w:tcPr>
          <w:p w14:paraId="2456D108"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Izmaiņas, salīdzinot ar kārtējo (n) gadu</w:t>
            </w:r>
          </w:p>
        </w:tc>
        <w:tc>
          <w:tcPr>
            <w:tcW w:w="837" w:type="pct"/>
            <w:tcBorders>
              <w:top w:val="outset" w:sz="6" w:space="0" w:color="000000"/>
              <w:left w:val="outset" w:sz="6" w:space="0" w:color="000000"/>
              <w:bottom w:val="outset" w:sz="6" w:space="0" w:color="000000"/>
            </w:tcBorders>
            <w:vAlign w:val="center"/>
          </w:tcPr>
          <w:p w14:paraId="319DF148"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Izmaiņas, salīdzinot ar kārtējo (n) gadu</w:t>
            </w:r>
          </w:p>
        </w:tc>
      </w:tr>
      <w:tr w:rsidR="00D11C7A" w:rsidRPr="00DA18B0" w14:paraId="20838E78" w14:textId="77777777" w:rsidTr="00D11C7A">
        <w:trPr>
          <w:trHeight w:val="112"/>
        </w:trPr>
        <w:tc>
          <w:tcPr>
            <w:tcW w:w="1780" w:type="pct"/>
            <w:tcBorders>
              <w:top w:val="outset" w:sz="6" w:space="0" w:color="000000"/>
              <w:bottom w:val="outset" w:sz="6" w:space="0" w:color="000000"/>
              <w:right w:val="outset" w:sz="6" w:space="0" w:color="000000"/>
            </w:tcBorders>
            <w:vAlign w:val="center"/>
          </w:tcPr>
          <w:p w14:paraId="4FABE931"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1</w:t>
            </w:r>
          </w:p>
        </w:tc>
        <w:tc>
          <w:tcPr>
            <w:tcW w:w="533" w:type="pct"/>
            <w:tcBorders>
              <w:top w:val="outset" w:sz="6" w:space="0" w:color="000000"/>
              <w:left w:val="outset" w:sz="6" w:space="0" w:color="000000"/>
              <w:bottom w:val="outset" w:sz="6" w:space="0" w:color="000000"/>
              <w:right w:val="outset" w:sz="6" w:space="0" w:color="000000"/>
            </w:tcBorders>
            <w:vAlign w:val="center"/>
          </w:tcPr>
          <w:p w14:paraId="111DED6C"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2</w:t>
            </w:r>
          </w:p>
        </w:tc>
        <w:tc>
          <w:tcPr>
            <w:tcW w:w="630" w:type="pct"/>
            <w:tcBorders>
              <w:top w:val="outset" w:sz="6" w:space="0" w:color="000000"/>
              <w:left w:val="outset" w:sz="6" w:space="0" w:color="000000"/>
              <w:bottom w:val="outset" w:sz="6" w:space="0" w:color="000000"/>
              <w:right w:val="outset" w:sz="6" w:space="0" w:color="000000"/>
            </w:tcBorders>
            <w:vAlign w:val="center"/>
          </w:tcPr>
          <w:p w14:paraId="4429FBEF"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3</w:t>
            </w:r>
          </w:p>
        </w:tc>
        <w:tc>
          <w:tcPr>
            <w:tcW w:w="630" w:type="pct"/>
            <w:tcBorders>
              <w:top w:val="outset" w:sz="6" w:space="0" w:color="000000"/>
              <w:left w:val="outset" w:sz="6" w:space="0" w:color="000000"/>
              <w:bottom w:val="outset" w:sz="6" w:space="0" w:color="000000"/>
              <w:right w:val="outset" w:sz="6" w:space="0" w:color="000000"/>
            </w:tcBorders>
            <w:vAlign w:val="center"/>
          </w:tcPr>
          <w:p w14:paraId="19B2E667"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4</w:t>
            </w:r>
          </w:p>
        </w:tc>
        <w:tc>
          <w:tcPr>
            <w:tcW w:w="589" w:type="pct"/>
            <w:tcBorders>
              <w:top w:val="outset" w:sz="6" w:space="0" w:color="000000"/>
              <w:left w:val="outset" w:sz="6" w:space="0" w:color="000000"/>
              <w:bottom w:val="outset" w:sz="6" w:space="0" w:color="000000"/>
              <w:right w:val="outset" w:sz="6" w:space="0" w:color="000000"/>
            </w:tcBorders>
            <w:vAlign w:val="center"/>
          </w:tcPr>
          <w:p w14:paraId="7F3DCA71"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5</w:t>
            </w:r>
          </w:p>
        </w:tc>
        <w:tc>
          <w:tcPr>
            <w:tcW w:w="837" w:type="pct"/>
            <w:tcBorders>
              <w:top w:val="outset" w:sz="6" w:space="0" w:color="000000"/>
              <w:left w:val="outset" w:sz="6" w:space="0" w:color="000000"/>
              <w:bottom w:val="outset" w:sz="6" w:space="0" w:color="000000"/>
            </w:tcBorders>
            <w:vAlign w:val="center"/>
          </w:tcPr>
          <w:p w14:paraId="008C46C4"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6</w:t>
            </w:r>
          </w:p>
        </w:tc>
      </w:tr>
      <w:tr w:rsidR="00D11C7A" w:rsidRPr="00DA18B0" w14:paraId="34F618B9" w14:textId="77777777" w:rsidTr="00D11C7A">
        <w:tc>
          <w:tcPr>
            <w:tcW w:w="1780" w:type="pct"/>
            <w:tcBorders>
              <w:top w:val="outset" w:sz="6" w:space="0" w:color="000000"/>
              <w:bottom w:val="outset" w:sz="6" w:space="0" w:color="000000"/>
              <w:right w:val="outset" w:sz="6" w:space="0" w:color="000000"/>
            </w:tcBorders>
          </w:tcPr>
          <w:p w14:paraId="71FD4D16"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1. Budžeta ieņēmumi:</w:t>
            </w:r>
          </w:p>
        </w:tc>
        <w:tc>
          <w:tcPr>
            <w:tcW w:w="533" w:type="pct"/>
            <w:tcBorders>
              <w:top w:val="outset" w:sz="6" w:space="0" w:color="000000"/>
              <w:left w:val="outset" w:sz="6" w:space="0" w:color="000000"/>
              <w:bottom w:val="outset" w:sz="6" w:space="0" w:color="000000"/>
              <w:right w:val="outset" w:sz="6" w:space="0" w:color="000000"/>
            </w:tcBorders>
          </w:tcPr>
          <w:p w14:paraId="1D8332E1"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4D439091"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340DF8AC" w14:textId="77777777" w:rsidR="00D11C7A" w:rsidRPr="00DA18B0" w:rsidRDefault="00972D54" w:rsidP="00AE239A">
            <w:pPr>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1709AAD7" w14:textId="77777777" w:rsidR="00D11C7A" w:rsidRPr="00DA18B0" w:rsidRDefault="00972D54" w:rsidP="00AE239A">
            <w:pPr>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68EBB11A" w14:textId="77777777" w:rsidR="00D11C7A" w:rsidRPr="00DA18B0" w:rsidRDefault="00972D54" w:rsidP="00AE239A">
            <w:pPr>
              <w:jc w:val="center"/>
              <w:rPr>
                <w:sz w:val="22"/>
              </w:rPr>
            </w:pPr>
            <w:r w:rsidRPr="00DA18B0">
              <w:rPr>
                <w:sz w:val="22"/>
              </w:rPr>
              <w:t>0</w:t>
            </w:r>
          </w:p>
        </w:tc>
      </w:tr>
      <w:tr w:rsidR="00D11C7A" w:rsidRPr="00DA18B0" w14:paraId="2193D7B5" w14:textId="77777777" w:rsidTr="00D11C7A">
        <w:tc>
          <w:tcPr>
            <w:tcW w:w="1780" w:type="pct"/>
            <w:tcBorders>
              <w:top w:val="outset" w:sz="6" w:space="0" w:color="000000"/>
              <w:bottom w:val="outset" w:sz="6" w:space="0" w:color="000000"/>
              <w:right w:val="outset" w:sz="6" w:space="0" w:color="000000"/>
            </w:tcBorders>
          </w:tcPr>
          <w:p w14:paraId="601F48B9"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1.1. valsts pamatbudžets, tai skaitā ieņēmumi no maksas pakalpo-jumiem un citi pašu ieņēmumi</w:t>
            </w:r>
          </w:p>
        </w:tc>
        <w:tc>
          <w:tcPr>
            <w:tcW w:w="533" w:type="pct"/>
            <w:tcBorders>
              <w:top w:val="outset" w:sz="6" w:space="0" w:color="000000"/>
              <w:left w:val="outset" w:sz="6" w:space="0" w:color="000000"/>
              <w:bottom w:val="outset" w:sz="6" w:space="0" w:color="000000"/>
              <w:right w:val="outset" w:sz="6" w:space="0" w:color="000000"/>
            </w:tcBorders>
          </w:tcPr>
          <w:p w14:paraId="2B35C10B"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483B82AF"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2E115C8D" w14:textId="77777777" w:rsidR="00D11C7A" w:rsidRPr="00DA18B0" w:rsidRDefault="00972D54" w:rsidP="00AE239A">
            <w:pPr>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6B18530E" w14:textId="77777777" w:rsidR="00D11C7A" w:rsidRPr="00DA18B0" w:rsidRDefault="00972D54" w:rsidP="00AE239A">
            <w:pPr>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1F372504" w14:textId="77777777" w:rsidR="00D11C7A" w:rsidRPr="00DA18B0" w:rsidRDefault="00972D54" w:rsidP="00AE239A">
            <w:pPr>
              <w:jc w:val="center"/>
              <w:rPr>
                <w:sz w:val="22"/>
              </w:rPr>
            </w:pPr>
            <w:r w:rsidRPr="00DA18B0">
              <w:rPr>
                <w:sz w:val="22"/>
              </w:rPr>
              <w:t>0</w:t>
            </w:r>
          </w:p>
        </w:tc>
      </w:tr>
      <w:tr w:rsidR="00D11C7A" w:rsidRPr="00DA18B0" w14:paraId="24BB917B" w14:textId="77777777" w:rsidTr="00D11C7A">
        <w:tc>
          <w:tcPr>
            <w:tcW w:w="1780" w:type="pct"/>
            <w:tcBorders>
              <w:top w:val="outset" w:sz="6" w:space="0" w:color="000000"/>
              <w:bottom w:val="outset" w:sz="6" w:space="0" w:color="000000"/>
              <w:right w:val="outset" w:sz="6" w:space="0" w:color="000000"/>
            </w:tcBorders>
          </w:tcPr>
          <w:p w14:paraId="3FC6F8A5"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1.2. valsts speciālais budžets</w:t>
            </w:r>
          </w:p>
        </w:tc>
        <w:tc>
          <w:tcPr>
            <w:tcW w:w="533" w:type="pct"/>
            <w:tcBorders>
              <w:top w:val="outset" w:sz="6" w:space="0" w:color="000000"/>
              <w:left w:val="outset" w:sz="6" w:space="0" w:color="000000"/>
              <w:bottom w:val="outset" w:sz="6" w:space="0" w:color="000000"/>
              <w:right w:val="outset" w:sz="6" w:space="0" w:color="000000"/>
            </w:tcBorders>
          </w:tcPr>
          <w:p w14:paraId="4F3DAD21" w14:textId="77777777" w:rsidR="00D11C7A" w:rsidRPr="00DA18B0" w:rsidRDefault="00D11C7A" w:rsidP="00AE239A">
            <w:pPr>
              <w:spacing w:line="270" w:lineRule="atLeast"/>
              <w:jc w:val="center"/>
              <w:rPr>
                <w:b/>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C27A701"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683E86EF" w14:textId="77777777" w:rsidR="00D11C7A" w:rsidRPr="00DA18B0" w:rsidRDefault="00D11C7A" w:rsidP="00AE239A">
            <w:pPr>
              <w:spacing w:line="270" w:lineRule="atLeast"/>
              <w:jc w:val="center"/>
              <w:rPr>
                <w:b/>
                <w:bCs/>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41CB7A28" w14:textId="77777777" w:rsidR="00D11C7A" w:rsidRPr="00DA18B0" w:rsidRDefault="00D11C7A" w:rsidP="00AE239A">
            <w:pPr>
              <w:spacing w:line="270" w:lineRule="atLeast"/>
              <w:jc w:val="center"/>
              <w:rPr>
                <w:b/>
                <w:bCs/>
                <w:sz w:val="22"/>
              </w:rPr>
            </w:pPr>
            <w:r w:rsidRPr="00DA18B0">
              <w:rPr>
                <w:sz w:val="22"/>
              </w:rPr>
              <w:t>0</w:t>
            </w:r>
          </w:p>
        </w:tc>
        <w:tc>
          <w:tcPr>
            <w:tcW w:w="837" w:type="pct"/>
            <w:tcBorders>
              <w:top w:val="outset" w:sz="6" w:space="0" w:color="000000"/>
              <w:left w:val="outset" w:sz="6" w:space="0" w:color="000000"/>
              <w:bottom w:val="outset" w:sz="6" w:space="0" w:color="000000"/>
            </w:tcBorders>
          </w:tcPr>
          <w:p w14:paraId="361A299F" w14:textId="77777777" w:rsidR="00D11C7A" w:rsidRPr="00DA18B0" w:rsidRDefault="00D11C7A" w:rsidP="00AE239A">
            <w:pPr>
              <w:spacing w:line="270" w:lineRule="atLeast"/>
              <w:jc w:val="center"/>
              <w:rPr>
                <w:b/>
                <w:bCs/>
                <w:sz w:val="22"/>
              </w:rPr>
            </w:pPr>
            <w:r w:rsidRPr="00DA18B0">
              <w:rPr>
                <w:sz w:val="22"/>
              </w:rPr>
              <w:t>0</w:t>
            </w:r>
          </w:p>
        </w:tc>
      </w:tr>
      <w:tr w:rsidR="00D11C7A" w:rsidRPr="00DA18B0" w14:paraId="50A59831" w14:textId="77777777" w:rsidTr="00D11C7A">
        <w:tc>
          <w:tcPr>
            <w:tcW w:w="1780" w:type="pct"/>
            <w:tcBorders>
              <w:top w:val="outset" w:sz="6" w:space="0" w:color="000000"/>
              <w:bottom w:val="outset" w:sz="6" w:space="0" w:color="000000"/>
              <w:right w:val="outset" w:sz="6" w:space="0" w:color="000000"/>
            </w:tcBorders>
          </w:tcPr>
          <w:p w14:paraId="4AC8D18F"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1.3.pašvaldību budžets</w:t>
            </w:r>
          </w:p>
        </w:tc>
        <w:tc>
          <w:tcPr>
            <w:tcW w:w="533" w:type="pct"/>
            <w:tcBorders>
              <w:top w:val="outset" w:sz="6" w:space="0" w:color="000000"/>
              <w:left w:val="outset" w:sz="6" w:space="0" w:color="000000"/>
              <w:bottom w:val="outset" w:sz="6" w:space="0" w:color="000000"/>
              <w:right w:val="outset" w:sz="6" w:space="0" w:color="000000"/>
            </w:tcBorders>
          </w:tcPr>
          <w:p w14:paraId="151C256E"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73D4B590"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424655E4"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1F59D9FB" w14:textId="77777777" w:rsidR="00D11C7A" w:rsidRPr="00DA18B0" w:rsidRDefault="00D11C7A" w:rsidP="00AE239A">
            <w:pPr>
              <w:spacing w:line="270" w:lineRule="atLeast"/>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550C36F8" w14:textId="77777777" w:rsidR="00D11C7A" w:rsidRPr="00DA18B0" w:rsidRDefault="00D11C7A" w:rsidP="00AE239A">
            <w:pPr>
              <w:spacing w:line="270" w:lineRule="atLeast"/>
              <w:jc w:val="center"/>
              <w:rPr>
                <w:sz w:val="22"/>
              </w:rPr>
            </w:pPr>
            <w:r w:rsidRPr="00DA18B0">
              <w:rPr>
                <w:sz w:val="22"/>
              </w:rPr>
              <w:t>0</w:t>
            </w:r>
          </w:p>
        </w:tc>
      </w:tr>
      <w:tr w:rsidR="00D11C7A" w:rsidRPr="00DA18B0" w14:paraId="3EF68E94" w14:textId="77777777" w:rsidTr="00D11C7A">
        <w:tc>
          <w:tcPr>
            <w:tcW w:w="1780" w:type="pct"/>
            <w:tcBorders>
              <w:top w:val="outset" w:sz="6" w:space="0" w:color="000000"/>
              <w:bottom w:val="outset" w:sz="6" w:space="0" w:color="000000"/>
              <w:right w:val="outset" w:sz="6" w:space="0" w:color="000000"/>
            </w:tcBorders>
          </w:tcPr>
          <w:p w14:paraId="7BCC704E"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2. Budžeta izdevumi:</w:t>
            </w:r>
          </w:p>
        </w:tc>
        <w:tc>
          <w:tcPr>
            <w:tcW w:w="533" w:type="pct"/>
            <w:tcBorders>
              <w:top w:val="outset" w:sz="6" w:space="0" w:color="000000"/>
              <w:left w:val="outset" w:sz="6" w:space="0" w:color="000000"/>
              <w:bottom w:val="outset" w:sz="6" w:space="0" w:color="000000"/>
              <w:right w:val="outset" w:sz="6" w:space="0" w:color="000000"/>
            </w:tcBorders>
          </w:tcPr>
          <w:p w14:paraId="6CFD5EBD"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4F2862FC"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5B6A2DCB" w14:textId="77777777" w:rsidR="00D11C7A" w:rsidRPr="00DA18B0" w:rsidRDefault="000C2BC9" w:rsidP="00AE239A">
            <w:pPr>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136BB332" w14:textId="77777777" w:rsidR="00D11C7A" w:rsidRPr="00DA18B0" w:rsidRDefault="000C2BC9" w:rsidP="00AE239A">
            <w:pPr>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25C62E9A" w14:textId="77777777" w:rsidR="00D11C7A" w:rsidRPr="00DA18B0" w:rsidRDefault="000C2BC9" w:rsidP="00AE239A">
            <w:pPr>
              <w:jc w:val="center"/>
              <w:rPr>
                <w:sz w:val="22"/>
              </w:rPr>
            </w:pPr>
            <w:r w:rsidRPr="00DA18B0">
              <w:rPr>
                <w:sz w:val="22"/>
              </w:rPr>
              <w:t>0</w:t>
            </w:r>
          </w:p>
        </w:tc>
      </w:tr>
      <w:tr w:rsidR="00D11C7A" w:rsidRPr="00DA18B0" w14:paraId="3BE27AA8" w14:textId="77777777" w:rsidTr="00D11C7A">
        <w:tc>
          <w:tcPr>
            <w:tcW w:w="1780" w:type="pct"/>
            <w:tcBorders>
              <w:top w:val="outset" w:sz="6" w:space="0" w:color="000000"/>
              <w:bottom w:val="outset" w:sz="6" w:space="0" w:color="000000"/>
              <w:right w:val="outset" w:sz="6" w:space="0" w:color="000000"/>
            </w:tcBorders>
          </w:tcPr>
          <w:p w14:paraId="13C8AC4B"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2.1. valsts pamatbudžets</w:t>
            </w:r>
          </w:p>
        </w:tc>
        <w:tc>
          <w:tcPr>
            <w:tcW w:w="533" w:type="pct"/>
            <w:tcBorders>
              <w:top w:val="outset" w:sz="6" w:space="0" w:color="000000"/>
              <w:left w:val="outset" w:sz="6" w:space="0" w:color="000000"/>
              <w:bottom w:val="outset" w:sz="6" w:space="0" w:color="000000"/>
              <w:right w:val="outset" w:sz="6" w:space="0" w:color="000000"/>
            </w:tcBorders>
          </w:tcPr>
          <w:p w14:paraId="14867BA3"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641CD26"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2567CF5F" w14:textId="77777777" w:rsidR="00D11C7A" w:rsidRPr="00DA18B0" w:rsidRDefault="000C2BC9" w:rsidP="00AE239A">
            <w:pPr>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1A8B3B91" w14:textId="77777777" w:rsidR="00D11C7A" w:rsidRPr="00DA18B0" w:rsidRDefault="000C2BC9" w:rsidP="00AE239A">
            <w:pPr>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6A78EB29" w14:textId="77777777" w:rsidR="00D11C7A" w:rsidRPr="00DA18B0" w:rsidRDefault="000C2BC9" w:rsidP="00AE239A">
            <w:pPr>
              <w:jc w:val="center"/>
              <w:rPr>
                <w:sz w:val="22"/>
              </w:rPr>
            </w:pPr>
            <w:r w:rsidRPr="00DA18B0">
              <w:rPr>
                <w:sz w:val="22"/>
              </w:rPr>
              <w:t>0</w:t>
            </w:r>
          </w:p>
        </w:tc>
      </w:tr>
      <w:tr w:rsidR="00D11C7A" w:rsidRPr="00DA18B0" w14:paraId="4CB27584" w14:textId="77777777" w:rsidTr="00D11C7A">
        <w:tc>
          <w:tcPr>
            <w:tcW w:w="1780" w:type="pct"/>
            <w:tcBorders>
              <w:top w:val="outset" w:sz="6" w:space="0" w:color="000000"/>
              <w:bottom w:val="outset" w:sz="6" w:space="0" w:color="000000"/>
              <w:right w:val="outset" w:sz="6" w:space="0" w:color="000000"/>
            </w:tcBorders>
          </w:tcPr>
          <w:p w14:paraId="7A88550C"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2.2. valsts speciālais budžets</w:t>
            </w:r>
          </w:p>
        </w:tc>
        <w:tc>
          <w:tcPr>
            <w:tcW w:w="533" w:type="pct"/>
            <w:tcBorders>
              <w:top w:val="outset" w:sz="6" w:space="0" w:color="000000"/>
              <w:left w:val="outset" w:sz="6" w:space="0" w:color="000000"/>
              <w:bottom w:val="outset" w:sz="6" w:space="0" w:color="000000"/>
              <w:right w:val="outset" w:sz="6" w:space="0" w:color="000000"/>
            </w:tcBorders>
          </w:tcPr>
          <w:p w14:paraId="5B339B47"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65D8DE9D"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4BE1157C"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150217D5" w14:textId="77777777" w:rsidR="00D11C7A" w:rsidRPr="00DA18B0" w:rsidRDefault="00D11C7A" w:rsidP="00AE239A">
            <w:pPr>
              <w:spacing w:line="270" w:lineRule="atLeast"/>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0C58FB6E" w14:textId="77777777" w:rsidR="00D11C7A" w:rsidRPr="00DA18B0" w:rsidRDefault="00D11C7A" w:rsidP="00AE239A">
            <w:pPr>
              <w:spacing w:line="270" w:lineRule="atLeast"/>
              <w:jc w:val="center"/>
              <w:rPr>
                <w:sz w:val="22"/>
              </w:rPr>
            </w:pPr>
            <w:r w:rsidRPr="00DA18B0">
              <w:rPr>
                <w:sz w:val="22"/>
              </w:rPr>
              <w:t>0</w:t>
            </w:r>
          </w:p>
        </w:tc>
      </w:tr>
      <w:tr w:rsidR="00D11C7A" w:rsidRPr="00DA18B0" w14:paraId="2D336BC7" w14:textId="77777777" w:rsidTr="00D11C7A">
        <w:tc>
          <w:tcPr>
            <w:tcW w:w="1780" w:type="pct"/>
            <w:tcBorders>
              <w:top w:val="outset" w:sz="6" w:space="0" w:color="000000"/>
              <w:bottom w:val="outset" w:sz="6" w:space="0" w:color="000000"/>
              <w:right w:val="outset" w:sz="6" w:space="0" w:color="000000"/>
            </w:tcBorders>
          </w:tcPr>
          <w:p w14:paraId="75531886"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2.3.pašvaldību budžets</w:t>
            </w:r>
          </w:p>
        </w:tc>
        <w:tc>
          <w:tcPr>
            <w:tcW w:w="533" w:type="pct"/>
            <w:tcBorders>
              <w:top w:val="outset" w:sz="6" w:space="0" w:color="000000"/>
              <w:left w:val="outset" w:sz="6" w:space="0" w:color="000000"/>
              <w:bottom w:val="outset" w:sz="6" w:space="0" w:color="000000"/>
              <w:right w:val="outset" w:sz="6" w:space="0" w:color="000000"/>
            </w:tcBorders>
          </w:tcPr>
          <w:p w14:paraId="0FE0C924"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3D911251"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17875A9"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05468BC5" w14:textId="77777777" w:rsidR="00D11C7A" w:rsidRPr="00DA18B0" w:rsidRDefault="00D11C7A" w:rsidP="00AE239A">
            <w:pPr>
              <w:spacing w:line="270" w:lineRule="atLeast"/>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7E6CC0F5" w14:textId="77777777" w:rsidR="00D11C7A" w:rsidRPr="00DA18B0" w:rsidRDefault="00D11C7A" w:rsidP="00AE239A">
            <w:pPr>
              <w:spacing w:line="270" w:lineRule="atLeast"/>
              <w:jc w:val="center"/>
              <w:rPr>
                <w:sz w:val="22"/>
              </w:rPr>
            </w:pPr>
            <w:r w:rsidRPr="00DA18B0">
              <w:rPr>
                <w:sz w:val="22"/>
              </w:rPr>
              <w:t>0</w:t>
            </w:r>
          </w:p>
        </w:tc>
      </w:tr>
      <w:tr w:rsidR="00D11C7A" w:rsidRPr="00DA18B0" w14:paraId="16760E87" w14:textId="77777777" w:rsidTr="00D11C7A">
        <w:tc>
          <w:tcPr>
            <w:tcW w:w="1780" w:type="pct"/>
            <w:tcBorders>
              <w:top w:val="outset" w:sz="6" w:space="0" w:color="000000"/>
              <w:bottom w:val="outset" w:sz="6" w:space="0" w:color="000000"/>
              <w:right w:val="outset" w:sz="6" w:space="0" w:color="000000"/>
            </w:tcBorders>
          </w:tcPr>
          <w:p w14:paraId="28BA73C2"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3. Finansiālā ietekme:</w:t>
            </w:r>
          </w:p>
        </w:tc>
        <w:tc>
          <w:tcPr>
            <w:tcW w:w="533" w:type="pct"/>
            <w:tcBorders>
              <w:top w:val="outset" w:sz="6" w:space="0" w:color="000000"/>
              <w:left w:val="outset" w:sz="6" w:space="0" w:color="000000"/>
              <w:bottom w:val="outset" w:sz="6" w:space="0" w:color="000000"/>
              <w:right w:val="outset" w:sz="6" w:space="0" w:color="000000"/>
            </w:tcBorders>
          </w:tcPr>
          <w:p w14:paraId="13F79160"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1B90D6AF"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1E88C401"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7FD41853"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outset" w:sz="6" w:space="0" w:color="000000"/>
            </w:tcBorders>
          </w:tcPr>
          <w:p w14:paraId="06B630AD"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0BB0EB10" w14:textId="77777777" w:rsidTr="00D11C7A">
        <w:tc>
          <w:tcPr>
            <w:tcW w:w="1780" w:type="pct"/>
            <w:tcBorders>
              <w:top w:val="outset" w:sz="6" w:space="0" w:color="000000"/>
              <w:bottom w:val="outset" w:sz="6" w:space="0" w:color="000000"/>
              <w:right w:val="outset" w:sz="6" w:space="0" w:color="000000"/>
            </w:tcBorders>
          </w:tcPr>
          <w:p w14:paraId="4A1814ED"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3.1. valsts pamatbudžets</w:t>
            </w:r>
          </w:p>
        </w:tc>
        <w:tc>
          <w:tcPr>
            <w:tcW w:w="533" w:type="pct"/>
            <w:tcBorders>
              <w:top w:val="outset" w:sz="6" w:space="0" w:color="000000"/>
              <w:left w:val="outset" w:sz="6" w:space="0" w:color="000000"/>
              <w:bottom w:val="outset" w:sz="6" w:space="0" w:color="000000"/>
              <w:right w:val="outset" w:sz="6" w:space="0" w:color="000000"/>
            </w:tcBorders>
          </w:tcPr>
          <w:p w14:paraId="18E7B7AB"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C7DE05C"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5414D69A"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3E79C017"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outset" w:sz="6" w:space="0" w:color="000000"/>
            </w:tcBorders>
          </w:tcPr>
          <w:p w14:paraId="5FCB0CA4"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5C9702A8" w14:textId="77777777" w:rsidTr="00D11C7A">
        <w:tc>
          <w:tcPr>
            <w:tcW w:w="1780" w:type="pct"/>
            <w:tcBorders>
              <w:top w:val="outset" w:sz="6" w:space="0" w:color="000000"/>
              <w:bottom w:val="outset" w:sz="6" w:space="0" w:color="000000"/>
              <w:right w:val="outset" w:sz="6" w:space="0" w:color="000000"/>
            </w:tcBorders>
          </w:tcPr>
          <w:p w14:paraId="1D36857A"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3.2. speciālais budžets</w:t>
            </w:r>
          </w:p>
        </w:tc>
        <w:tc>
          <w:tcPr>
            <w:tcW w:w="533" w:type="pct"/>
            <w:tcBorders>
              <w:top w:val="outset" w:sz="6" w:space="0" w:color="000000"/>
              <w:left w:val="outset" w:sz="6" w:space="0" w:color="000000"/>
              <w:bottom w:val="outset" w:sz="6" w:space="0" w:color="000000"/>
              <w:right w:val="outset" w:sz="6" w:space="0" w:color="000000"/>
            </w:tcBorders>
          </w:tcPr>
          <w:p w14:paraId="4FAB69CB"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7E066DBB"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57AC88BB" w14:textId="77777777" w:rsidR="00D11C7A" w:rsidRPr="00DA18B0" w:rsidRDefault="00D11C7A" w:rsidP="00AE239A">
            <w:pPr>
              <w:spacing w:line="270" w:lineRule="atLeast"/>
              <w:jc w:val="center"/>
              <w:rPr>
                <w:bCs/>
                <w:sz w:val="22"/>
              </w:rPr>
            </w:pPr>
            <w:r w:rsidRPr="00DA18B0">
              <w:rPr>
                <w:bCs/>
                <w:sz w:val="22"/>
              </w:rPr>
              <w:t>0</w:t>
            </w:r>
          </w:p>
        </w:tc>
        <w:tc>
          <w:tcPr>
            <w:tcW w:w="589" w:type="pct"/>
            <w:tcBorders>
              <w:top w:val="outset" w:sz="6" w:space="0" w:color="000000"/>
              <w:left w:val="outset" w:sz="6" w:space="0" w:color="000000"/>
              <w:bottom w:val="outset" w:sz="6" w:space="0" w:color="000000"/>
              <w:right w:val="outset" w:sz="6" w:space="0" w:color="000000"/>
            </w:tcBorders>
          </w:tcPr>
          <w:p w14:paraId="11065A0F"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outset" w:sz="6" w:space="0" w:color="000000"/>
            </w:tcBorders>
          </w:tcPr>
          <w:p w14:paraId="3BB9A90C"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664DD45B" w14:textId="77777777" w:rsidTr="00D11C7A">
        <w:tc>
          <w:tcPr>
            <w:tcW w:w="1780" w:type="pct"/>
            <w:tcBorders>
              <w:top w:val="outset" w:sz="6" w:space="0" w:color="000000"/>
              <w:bottom w:val="outset" w:sz="6" w:space="0" w:color="000000"/>
              <w:right w:val="outset" w:sz="6" w:space="0" w:color="000000"/>
            </w:tcBorders>
          </w:tcPr>
          <w:p w14:paraId="284DC3F2"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3.3.pašvaldību budžets</w:t>
            </w:r>
          </w:p>
        </w:tc>
        <w:tc>
          <w:tcPr>
            <w:tcW w:w="533" w:type="pct"/>
            <w:tcBorders>
              <w:top w:val="outset" w:sz="6" w:space="0" w:color="000000"/>
              <w:left w:val="outset" w:sz="6" w:space="0" w:color="000000"/>
              <w:bottom w:val="outset" w:sz="6" w:space="0" w:color="000000"/>
              <w:right w:val="outset" w:sz="6" w:space="0" w:color="000000"/>
            </w:tcBorders>
          </w:tcPr>
          <w:p w14:paraId="4A62D762" w14:textId="77777777" w:rsidR="00D11C7A" w:rsidRPr="00DA18B0" w:rsidRDefault="00D11C7A" w:rsidP="00AE239A">
            <w:pPr>
              <w:spacing w:line="270" w:lineRule="atLeast"/>
              <w:jc w:val="center"/>
              <w:rPr>
                <w:bCs/>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4CED947B"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outset" w:sz="6" w:space="0" w:color="000000"/>
              <w:right w:val="outset" w:sz="6" w:space="0" w:color="000000"/>
            </w:tcBorders>
          </w:tcPr>
          <w:p w14:paraId="51661045" w14:textId="77777777" w:rsidR="00D11C7A" w:rsidRPr="00DA18B0" w:rsidRDefault="00D11C7A" w:rsidP="00AE239A">
            <w:pPr>
              <w:spacing w:line="270" w:lineRule="atLeast"/>
              <w:jc w:val="center"/>
              <w:rPr>
                <w:bCs/>
                <w:sz w:val="22"/>
              </w:rPr>
            </w:pPr>
            <w:r w:rsidRPr="00DA18B0">
              <w:rPr>
                <w:bCs/>
                <w:sz w:val="22"/>
              </w:rPr>
              <w:t>0</w:t>
            </w:r>
          </w:p>
        </w:tc>
        <w:tc>
          <w:tcPr>
            <w:tcW w:w="589" w:type="pct"/>
            <w:tcBorders>
              <w:top w:val="outset" w:sz="6" w:space="0" w:color="000000"/>
              <w:left w:val="outset" w:sz="6" w:space="0" w:color="000000"/>
              <w:bottom w:val="outset" w:sz="6" w:space="0" w:color="000000"/>
              <w:right w:val="outset" w:sz="6" w:space="0" w:color="000000"/>
            </w:tcBorders>
          </w:tcPr>
          <w:p w14:paraId="538AFBE2"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outset" w:sz="6" w:space="0" w:color="000000"/>
            </w:tcBorders>
          </w:tcPr>
          <w:p w14:paraId="15EDFE9F"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7EF9021A" w14:textId="77777777" w:rsidTr="00D11C7A">
        <w:trPr>
          <w:trHeight w:val="1372"/>
        </w:trPr>
        <w:tc>
          <w:tcPr>
            <w:tcW w:w="1780" w:type="pct"/>
            <w:tcBorders>
              <w:top w:val="outset" w:sz="6" w:space="0" w:color="000000"/>
              <w:bottom w:val="outset" w:sz="6" w:space="0" w:color="000000"/>
              <w:right w:val="outset" w:sz="6" w:space="0" w:color="000000"/>
            </w:tcBorders>
          </w:tcPr>
          <w:p w14:paraId="52D8828C"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lastRenderedPageBreak/>
              <w:t>4. Finanšu līdzekļi papildu izdevumu finansēšanai (kompensējošu izdevumu samazinājumu norāda ar "+" zīmi)</w:t>
            </w:r>
          </w:p>
        </w:tc>
        <w:tc>
          <w:tcPr>
            <w:tcW w:w="533" w:type="pct"/>
            <w:tcBorders>
              <w:top w:val="outset" w:sz="6" w:space="0" w:color="000000"/>
              <w:left w:val="outset" w:sz="6" w:space="0" w:color="000000"/>
              <w:bottom w:val="outset" w:sz="6" w:space="0" w:color="000000"/>
              <w:right w:val="outset" w:sz="6" w:space="0" w:color="000000"/>
            </w:tcBorders>
          </w:tcPr>
          <w:p w14:paraId="57150661"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X</w:t>
            </w:r>
          </w:p>
        </w:tc>
        <w:tc>
          <w:tcPr>
            <w:tcW w:w="630" w:type="pct"/>
            <w:tcBorders>
              <w:top w:val="outset" w:sz="6" w:space="0" w:color="000000"/>
              <w:left w:val="outset" w:sz="6" w:space="0" w:color="000000"/>
              <w:bottom w:val="nil"/>
              <w:right w:val="outset" w:sz="6" w:space="0" w:color="000000"/>
            </w:tcBorders>
          </w:tcPr>
          <w:p w14:paraId="5CA2A90E" w14:textId="77777777" w:rsidR="00D11C7A" w:rsidRPr="00DA18B0" w:rsidRDefault="00D11C7A" w:rsidP="00AE239A">
            <w:pPr>
              <w:spacing w:line="270" w:lineRule="atLeast"/>
              <w:jc w:val="center"/>
              <w:rPr>
                <w:bCs/>
                <w:sz w:val="22"/>
              </w:rPr>
            </w:pPr>
            <w:r w:rsidRPr="00DA18B0">
              <w:rPr>
                <w:bCs/>
                <w:sz w:val="22"/>
              </w:rPr>
              <w:t>0</w:t>
            </w:r>
          </w:p>
        </w:tc>
        <w:tc>
          <w:tcPr>
            <w:tcW w:w="630" w:type="pct"/>
            <w:tcBorders>
              <w:top w:val="outset" w:sz="6" w:space="0" w:color="000000"/>
              <w:left w:val="outset" w:sz="6" w:space="0" w:color="000000"/>
              <w:bottom w:val="nil"/>
              <w:right w:val="outset" w:sz="6" w:space="0" w:color="000000"/>
            </w:tcBorders>
          </w:tcPr>
          <w:p w14:paraId="673C548D" w14:textId="77777777" w:rsidR="00D11C7A" w:rsidRPr="00DA18B0" w:rsidRDefault="00D11C7A" w:rsidP="00AE239A">
            <w:pPr>
              <w:spacing w:line="270" w:lineRule="atLeast"/>
              <w:jc w:val="center"/>
              <w:rPr>
                <w:bCs/>
                <w:sz w:val="22"/>
              </w:rPr>
            </w:pPr>
            <w:r w:rsidRPr="00DA18B0">
              <w:rPr>
                <w:bCs/>
                <w:sz w:val="22"/>
              </w:rPr>
              <w:t>0</w:t>
            </w:r>
          </w:p>
        </w:tc>
        <w:tc>
          <w:tcPr>
            <w:tcW w:w="589" w:type="pct"/>
            <w:tcBorders>
              <w:top w:val="outset" w:sz="6" w:space="0" w:color="000000"/>
              <w:left w:val="outset" w:sz="6" w:space="0" w:color="000000"/>
              <w:bottom w:val="nil"/>
              <w:right w:val="outset" w:sz="6" w:space="0" w:color="000000"/>
            </w:tcBorders>
          </w:tcPr>
          <w:p w14:paraId="10849698"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nil"/>
            </w:tcBorders>
          </w:tcPr>
          <w:p w14:paraId="4991F1E0"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4EEFD2FC" w14:textId="77777777" w:rsidTr="00D11C7A">
        <w:tc>
          <w:tcPr>
            <w:tcW w:w="1780" w:type="pct"/>
            <w:tcBorders>
              <w:top w:val="outset" w:sz="6" w:space="0" w:color="000000"/>
              <w:bottom w:val="outset" w:sz="6" w:space="0" w:color="000000"/>
              <w:right w:val="outset" w:sz="6" w:space="0" w:color="000000"/>
            </w:tcBorders>
          </w:tcPr>
          <w:p w14:paraId="31D29695"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5. Precizēta finansiālā ietekme:</w:t>
            </w:r>
          </w:p>
        </w:tc>
        <w:tc>
          <w:tcPr>
            <w:tcW w:w="533" w:type="pct"/>
            <w:vMerge w:val="restart"/>
            <w:tcBorders>
              <w:top w:val="outset" w:sz="6" w:space="0" w:color="000000"/>
              <w:left w:val="outset" w:sz="6" w:space="0" w:color="000000"/>
              <w:right w:val="outset" w:sz="6" w:space="0" w:color="000000"/>
            </w:tcBorders>
          </w:tcPr>
          <w:p w14:paraId="76E7A4C6" w14:textId="77777777" w:rsidR="00D11C7A" w:rsidRPr="00DA18B0" w:rsidRDefault="00D11C7A" w:rsidP="00AE239A">
            <w:pPr>
              <w:pStyle w:val="NormalWeb"/>
              <w:jc w:val="center"/>
              <w:rPr>
                <w:rFonts w:ascii="Times New Roman" w:hAnsi="Times New Roman" w:cs="Times New Roman"/>
                <w:sz w:val="22"/>
                <w:szCs w:val="22"/>
              </w:rPr>
            </w:pPr>
            <w:r w:rsidRPr="00DA18B0">
              <w:rPr>
                <w:rFonts w:ascii="Times New Roman" w:hAnsi="Times New Roman" w:cs="Times New Roman"/>
                <w:sz w:val="22"/>
                <w:szCs w:val="22"/>
              </w:rPr>
              <w:t>X</w:t>
            </w:r>
          </w:p>
        </w:tc>
        <w:tc>
          <w:tcPr>
            <w:tcW w:w="630" w:type="pct"/>
            <w:tcBorders>
              <w:top w:val="outset" w:sz="6" w:space="0" w:color="000000"/>
              <w:left w:val="outset" w:sz="6" w:space="0" w:color="000000"/>
              <w:bottom w:val="outset" w:sz="6" w:space="0" w:color="000000"/>
              <w:right w:val="outset" w:sz="6" w:space="0" w:color="000000"/>
            </w:tcBorders>
          </w:tcPr>
          <w:p w14:paraId="2FA9272F"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750F53E" w14:textId="77777777" w:rsidR="00D11C7A" w:rsidRPr="00DA18B0" w:rsidRDefault="00D11C7A" w:rsidP="00AE239A">
            <w:pPr>
              <w:spacing w:line="270" w:lineRule="atLeast"/>
              <w:jc w:val="center"/>
              <w:rPr>
                <w:bCs/>
                <w:sz w:val="22"/>
              </w:rPr>
            </w:pPr>
            <w:r w:rsidRPr="00DA18B0">
              <w:rPr>
                <w:bCs/>
                <w:sz w:val="22"/>
              </w:rPr>
              <w:t>0</w:t>
            </w:r>
          </w:p>
        </w:tc>
        <w:tc>
          <w:tcPr>
            <w:tcW w:w="589" w:type="pct"/>
            <w:tcBorders>
              <w:top w:val="outset" w:sz="6" w:space="0" w:color="000000"/>
              <w:left w:val="outset" w:sz="6" w:space="0" w:color="000000"/>
              <w:bottom w:val="outset" w:sz="6" w:space="0" w:color="000000"/>
              <w:right w:val="outset" w:sz="6" w:space="0" w:color="000000"/>
            </w:tcBorders>
          </w:tcPr>
          <w:p w14:paraId="47DD03B8"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outset" w:sz="6" w:space="0" w:color="000000"/>
            </w:tcBorders>
          </w:tcPr>
          <w:p w14:paraId="04E48C87"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048629A1" w14:textId="77777777" w:rsidTr="00D11C7A">
        <w:tc>
          <w:tcPr>
            <w:tcW w:w="1780" w:type="pct"/>
            <w:tcBorders>
              <w:top w:val="outset" w:sz="6" w:space="0" w:color="000000"/>
              <w:bottom w:val="outset" w:sz="6" w:space="0" w:color="000000"/>
              <w:right w:val="outset" w:sz="6" w:space="0" w:color="000000"/>
            </w:tcBorders>
          </w:tcPr>
          <w:p w14:paraId="617DF35F"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5.1. valsts pamatbudžets</w:t>
            </w:r>
          </w:p>
        </w:tc>
        <w:tc>
          <w:tcPr>
            <w:tcW w:w="533" w:type="pct"/>
            <w:vMerge/>
            <w:tcBorders>
              <w:left w:val="outset" w:sz="6" w:space="0" w:color="000000"/>
              <w:right w:val="outset" w:sz="6" w:space="0" w:color="000000"/>
            </w:tcBorders>
          </w:tcPr>
          <w:p w14:paraId="37EE7DF2" w14:textId="77777777" w:rsidR="00D11C7A" w:rsidRPr="00DA18B0" w:rsidRDefault="00D11C7A" w:rsidP="00AE239A">
            <w:pPr>
              <w:pStyle w:val="NormalWeb"/>
              <w:jc w:val="center"/>
              <w:rPr>
                <w:sz w:val="22"/>
                <w:szCs w:val="22"/>
              </w:rPr>
            </w:pPr>
          </w:p>
        </w:tc>
        <w:tc>
          <w:tcPr>
            <w:tcW w:w="630" w:type="pct"/>
            <w:tcBorders>
              <w:top w:val="outset" w:sz="6" w:space="0" w:color="000000"/>
              <w:left w:val="outset" w:sz="6" w:space="0" w:color="000000"/>
              <w:bottom w:val="outset" w:sz="6" w:space="0" w:color="000000"/>
              <w:right w:val="outset" w:sz="6" w:space="0" w:color="000000"/>
            </w:tcBorders>
          </w:tcPr>
          <w:p w14:paraId="53627F1C"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4B338FB" w14:textId="77777777" w:rsidR="00D11C7A" w:rsidRPr="00DA18B0" w:rsidRDefault="00D11C7A" w:rsidP="00AE239A">
            <w:pPr>
              <w:spacing w:line="270" w:lineRule="atLeast"/>
              <w:jc w:val="center"/>
              <w:rPr>
                <w:bCs/>
                <w:sz w:val="22"/>
              </w:rPr>
            </w:pPr>
            <w:r w:rsidRPr="00DA18B0">
              <w:rPr>
                <w:bCs/>
                <w:sz w:val="22"/>
              </w:rPr>
              <w:t>0</w:t>
            </w:r>
          </w:p>
        </w:tc>
        <w:tc>
          <w:tcPr>
            <w:tcW w:w="589" w:type="pct"/>
            <w:tcBorders>
              <w:top w:val="outset" w:sz="6" w:space="0" w:color="000000"/>
              <w:left w:val="outset" w:sz="6" w:space="0" w:color="000000"/>
              <w:bottom w:val="outset" w:sz="6" w:space="0" w:color="000000"/>
              <w:right w:val="outset" w:sz="6" w:space="0" w:color="000000"/>
            </w:tcBorders>
          </w:tcPr>
          <w:p w14:paraId="6A9DA68F" w14:textId="77777777" w:rsidR="00D11C7A" w:rsidRPr="00DA18B0" w:rsidRDefault="00D11C7A" w:rsidP="00AE239A">
            <w:pPr>
              <w:spacing w:line="270" w:lineRule="atLeast"/>
              <w:jc w:val="center"/>
              <w:rPr>
                <w:bCs/>
                <w:sz w:val="22"/>
              </w:rPr>
            </w:pPr>
            <w:r w:rsidRPr="00DA18B0">
              <w:rPr>
                <w:bCs/>
                <w:sz w:val="22"/>
              </w:rPr>
              <w:t>0</w:t>
            </w:r>
          </w:p>
        </w:tc>
        <w:tc>
          <w:tcPr>
            <w:tcW w:w="837" w:type="pct"/>
            <w:tcBorders>
              <w:top w:val="outset" w:sz="6" w:space="0" w:color="000000"/>
              <w:left w:val="outset" w:sz="6" w:space="0" w:color="000000"/>
              <w:bottom w:val="outset" w:sz="6" w:space="0" w:color="000000"/>
            </w:tcBorders>
          </w:tcPr>
          <w:p w14:paraId="3D0BB0B0" w14:textId="77777777" w:rsidR="00D11C7A" w:rsidRPr="00DA18B0" w:rsidRDefault="00D11C7A" w:rsidP="00AE239A">
            <w:pPr>
              <w:spacing w:line="270" w:lineRule="atLeast"/>
              <w:jc w:val="center"/>
              <w:rPr>
                <w:bCs/>
                <w:sz w:val="22"/>
              </w:rPr>
            </w:pPr>
            <w:r w:rsidRPr="00DA18B0">
              <w:rPr>
                <w:bCs/>
                <w:sz w:val="22"/>
              </w:rPr>
              <w:t>0</w:t>
            </w:r>
          </w:p>
        </w:tc>
      </w:tr>
      <w:tr w:rsidR="00D11C7A" w:rsidRPr="00DA18B0" w14:paraId="3A7D13C6" w14:textId="77777777" w:rsidTr="00D11C7A">
        <w:tc>
          <w:tcPr>
            <w:tcW w:w="1780" w:type="pct"/>
            <w:tcBorders>
              <w:top w:val="outset" w:sz="6" w:space="0" w:color="000000"/>
              <w:bottom w:val="outset" w:sz="6" w:space="0" w:color="000000"/>
              <w:right w:val="outset" w:sz="6" w:space="0" w:color="000000"/>
            </w:tcBorders>
          </w:tcPr>
          <w:p w14:paraId="29F7C93A"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5.2. speciālais budžets</w:t>
            </w:r>
          </w:p>
        </w:tc>
        <w:tc>
          <w:tcPr>
            <w:tcW w:w="533" w:type="pct"/>
            <w:vMerge/>
            <w:tcBorders>
              <w:left w:val="outset" w:sz="6" w:space="0" w:color="000000"/>
              <w:right w:val="outset" w:sz="6" w:space="0" w:color="000000"/>
            </w:tcBorders>
          </w:tcPr>
          <w:p w14:paraId="21EF7157" w14:textId="77777777" w:rsidR="00D11C7A" w:rsidRPr="00DA18B0" w:rsidRDefault="00D11C7A" w:rsidP="00AE239A">
            <w:pPr>
              <w:spacing w:line="270" w:lineRule="atLeast"/>
              <w:jc w:val="center"/>
              <w:rPr>
                <w:sz w:val="22"/>
              </w:rPr>
            </w:pPr>
          </w:p>
        </w:tc>
        <w:tc>
          <w:tcPr>
            <w:tcW w:w="630" w:type="pct"/>
            <w:tcBorders>
              <w:top w:val="outset" w:sz="6" w:space="0" w:color="000000"/>
              <w:left w:val="outset" w:sz="6" w:space="0" w:color="000000"/>
              <w:bottom w:val="outset" w:sz="6" w:space="0" w:color="000000"/>
              <w:right w:val="outset" w:sz="6" w:space="0" w:color="000000"/>
            </w:tcBorders>
          </w:tcPr>
          <w:p w14:paraId="79DBE414"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03C9CC6E"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6FB4407F" w14:textId="77777777" w:rsidR="00D11C7A" w:rsidRPr="00DA18B0" w:rsidRDefault="00D11C7A" w:rsidP="00AE239A">
            <w:pPr>
              <w:spacing w:line="270" w:lineRule="atLeast"/>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711B2C3D" w14:textId="77777777" w:rsidR="00D11C7A" w:rsidRPr="00DA18B0" w:rsidRDefault="00D11C7A" w:rsidP="00AE239A">
            <w:pPr>
              <w:spacing w:line="270" w:lineRule="atLeast"/>
              <w:jc w:val="center"/>
              <w:rPr>
                <w:sz w:val="22"/>
              </w:rPr>
            </w:pPr>
            <w:r w:rsidRPr="00DA18B0">
              <w:rPr>
                <w:sz w:val="22"/>
              </w:rPr>
              <w:t>0</w:t>
            </w:r>
          </w:p>
        </w:tc>
      </w:tr>
      <w:tr w:rsidR="00D11C7A" w:rsidRPr="00DA18B0" w14:paraId="1CBD7BD9" w14:textId="77777777" w:rsidTr="00D11C7A">
        <w:tc>
          <w:tcPr>
            <w:tcW w:w="1780" w:type="pct"/>
            <w:tcBorders>
              <w:top w:val="outset" w:sz="6" w:space="0" w:color="000000"/>
              <w:bottom w:val="outset" w:sz="6" w:space="0" w:color="000000"/>
              <w:right w:val="outset" w:sz="6" w:space="0" w:color="000000"/>
            </w:tcBorders>
          </w:tcPr>
          <w:p w14:paraId="6B6C7742"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5.3.pašvaldību budžets</w:t>
            </w:r>
          </w:p>
        </w:tc>
        <w:tc>
          <w:tcPr>
            <w:tcW w:w="533" w:type="pct"/>
            <w:vMerge/>
            <w:tcBorders>
              <w:left w:val="outset" w:sz="6" w:space="0" w:color="000000"/>
              <w:bottom w:val="outset" w:sz="6" w:space="0" w:color="000000"/>
              <w:right w:val="outset" w:sz="6" w:space="0" w:color="000000"/>
            </w:tcBorders>
          </w:tcPr>
          <w:p w14:paraId="3B280122" w14:textId="77777777" w:rsidR="00D11C7A" w:rsidRPr="00DA18B0" w:rsidRDefault="00D11C7A" w:rsidP="00AE239A">
            <w:pPr>
              <w:spacing w:line="270" w:lineRule="atLeast"/>
              <w:jc w:val="center"/>
              <w:rPr>
                <w:sz w:val="22"/>
              </w:rPr>
            </w:pPr>
          </w:p>
        </w:tc>
        <w:tc>
          <w:tcPr>
            <w:tcW w:w="630" w:type="pct"/>
            <w:tcBorders>
              <w:top w:val="outset" w:sz="6" w:space="0" w:color="000000"/>
              <w:left w:val="outset" w:sz="6" w:space="0" w:color="000000"/>
              <w:bottom w:val="outset" w:sz="6" w:space="0" w:color="000000"/>
              <w:right w:val="outset" w:sz="6" w:space="0" w:color="000000"/>
            </w:tcBorders>
          </w:tcPr>
          <w:p w14:paraId="08C04D65" w14:textId="77777777" w:rsidR="00D11C7A" w:rsidRPr="00DA18B0" w:rsidRDefault="00D11C7A" w:rsidP="00AE239A">
            <w:pPr>
              <w:spacing w:line="270" w:lineRule="atLeast"/>
              <w:jc w:val="center"/>
              <w:rPr>
                <w:sz w:val="22"/>
              </w:rPr>
            </w:pPr>
            <w:r w:rsidRPr="00DA18B0">
              <w:rPr>
                <w:sz w:val="22"/>
              </w:rPr>
              <w:t>0</w:t>
            </w:r>
          </w:p>
        </w:tc>
        <w:tc>
          <w:tcPr>
            <w:tcW w:w="630" w:type="pct"/>
            <w:tcBorders>
              <w:top w:val="outset" w:sz="6" w:space="0" w:color="000000"/>
              <w:left w:val="outset" w:sz="6" w:space="0" w:color="000000"/>
              <w:bottom w:val="outset" w:sz="6" w:space="0" w:color="000000"/>
              <w:right w:val="outset" w:sz="6" w:space="0" w:color="000000"/>
            </w:tcBorders>
          </w:tcPr>
          <w:p w14:paraId="5465DF93" w14:textId="77777777" w:rsidR="00D11C7A" w:rsidRPr="00DA18B0" w:rsidRDefault="00D11C7A" w:rsidP="00AE239A">
            <w:pPr>
              <w:spacing w:line="270" w:lineRule="atLeast"/>
              <w:jc w:val="center"/>
              <w:rPr>
                <w:sz w:val="22"/>
              </w:rPr>
            </w:pPr>
            <w:r w:rsidRPr="00DA18B0">
              <w:rPr>
                <w:sz w:val="22"/>
              </w:rPr>
              <w:t>0</w:t>
            </w:r>
          </w:p>
        </w:tc>
        <w:tc>
          <w:tcPr>
            <w:tcW w:w="589" w:type="pct"/>
            <w:tcBorders>
              <w:top w:val="outset" w:sz="6" w:space="0" w:color="000000"/>
              <w:left w:val="outset" w:sz="6" w:space="0" w:color="000000"/>
              <w:bottom w:val="outset" w:sz="6" w:space="0" w:color="000000"/>
              <w:right w:val="outset" w:sz="6" w:space="0" w:color="000000"/>
            </w:tcBorders>
          </w:tcPr>
          <w:p w14:paraId="633EF9F8" w14:textId="77777777" w:rsidR="00D11C7A" w:rsidRPr="00DA18B0" w:rsidRDefault="00D11C7A" w:rsidP="00AE239A">
            <w:pPr>
              <w:spacing w:line="270" w:lineRule="atLeast"/>
              <w:jc w:val="center"/>
              <w:rPr>
                <w:sz w:val="22"/>
              </w:rPr>
            </w:pPr>
            <w:r w:rsidRPr="00DA18B0">
              <w:rPr>
                <w:sz w:val="22"/>
              </w:rPr>
              <w:t>0</w:t>
            </w:r>
          </w:p>
        </w:tc>
        <w:tc>
          <w:tcPr>
            <w:tcW w:w="837" w:type="pct"/>
            <w:tcBorders>
              <w:top w:val="outset" w:sz="6" w:space="0" w:color="000000"/>
              <w:left w:val="outset" w:sz="6" w:space="0" w:color="000000"/>
              <w:bottom w:val="outset" w:sz="6" w:space="0" w:color="000000"/>
            </w:tcBorders>
          </w:tcPr>
          <w:p w14:paraId="02088AB2" w14:textId="77777777" w:rsidR="00D11C7A" w:rsidRPr="00DA18B0" w:rsidRDefault="00D11C7A" w:rsidP="00AE239A">
            <w:pPr>
              <w:spacing w:line="270" w:lineRule="atLeast"/>
              <w:jc w:val="center"/>
              <w:rPr>
                <w:sz w:val="22"/>
              </w:rPr>
            </w:pPr>
            <w:r w:rsidRPr="00DA18B0">
              <w:rPr>
                <w:sz w:val="22"/>
              </w:rPr>
              <w:t>0</w:t>
            </w:r>
          </w:p>
        </w:tc>
      </w:tr>
      <w:tr w:rsidR="00D11C7A" w:rsidRPr="0023425B" w14:paraId="1E925B9B" w14:textId="77777777" w:rsidTr="00D11C7A">
        <w:trPr>
          <w:trHeight w:val="346"/>
        </w:trPr>
        <w:tc>
          <w:tcPr>
            <w:tcW w:w="1780" w:type="pct"/>
            <w:tcBorders>
              <w:top w:val="outset" w:sz="6" w:space="0" w:color="000000"/>
              <w:right w:val="outset" w:sz="6" w:space="0" w:color="000000"/>
            </w:tcBorders>
          </w:tcPr>
          <w:p w14:paraId="2C44FB9E"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6. Detalizēts ieņēmumu un izdevumu aprēķins (ja nepieciešams, detalizētu ieņēmumu un izdevumu aprēķinu var pievienot anotācijas pielikumā):</w:t>
            </w:r>
          </w:p>
        </w:tc>
        <w:tc>
          <w:tcPr>
            <w:tcW w:w="3220" w:type="pct"/>
            <w:gridSpan w:val="5"/>
            <w:vMerge w:val="restart"/>
            <w:tcBorders>
              <w:top w:val="outset" w:sz="6" w:space="0" w:color="000000"/>
              <w:left w:val="outset" w:sz="6" w:space="0" w:color="000000"/>
            </w:tcBorders>
          </w:tcPr>
          <w:p w14:paraId="6D75A753" w14:textId="2153D06F" w:rsidR="000C2BC9" w:rsidRPr="00DA18B0" w:rsidRDefault="00A35D04" w:rsidP="000C2BC9">
            <w:pPr>
              <w:spacing w:after="0" w:line="240" w:lineRule="auto"/>
              <w:jc w:val="both"/>
              <w:rPr>
                <w:sz w:val="22"/>
              </w:rPr>
            </w:pPr>
            <w:r w:rsidRPr="00DA18B0">
              <w:rPr>
                <w:sz w:val="22"/>
              </w:rPr>
              <w:t xml:space="preserve"> Valsts energoefektivitātes fonds</w:t>
            </w:r>
            <w:r w:rsidR="00BF2C66" w:rsidRPr="00DA18B0">
              <w:rPr>
                <w:sz w:val="22"/>
              </w:rPr>
              <w:t>, kurš ne tikai atbalstītu valsts iniciatīvas</w:t>
            </w:r>
            <w:r w:rsidRPr="00DA18B0">
              <w:rPr>
                <w:sz w:val="22"/>
              </w:rPr>
              <w:t xml:space="preserve"> </w:t>
            </w:r>
            <w:r w:rsidR="00BF2C66" w:rsidRPr="00DA18B0">
              <w:rPr>
                <w:sz w:val="22"/>
              </w:rPr>
              <w:t>energoefektivitātes jomā, bet saņemtu EPS komersantu</w:t>
            </w:r>
            <w:r w:rsidRPr="00DA18B0">
              <w:rPr>
                <w:sz w:val="22"/>
              </w:rPr>
              <w:t xml:space="preserve"> iemaksas, ja tie nevēlas veikt </w:t>
            </w:r>
            <w:r w:rsidR="00BF2C66" w:rsidRPr="00DA18B0">
              <w:rPr>
                <w:sz w:val="22"/>
              </w:rPr>
              <w:t xml:space="preserve">pasākumus EPS pienākuma izpildei, </w:t>
            </w:r>
            <w:r w:rsidRPr="00DA18B0">
              <w:rPr>
                <w:sz w:val="22"/>
              </w:rPr>
              <w:t xml:space="preserve">līdz šim </w:t>
            </w:r>
            <w:r w:rsidR="00BF2C66" w:rsidRPr="00DA18B0">
              <w:rPr>
                <w:sz w:val="22"/>
              </w:rPr>
              <w:t>nav izveidots</w:t>
            </w:r>
            <w:r w:rsidRPr="00DA18B0">
              <w:rPr>
                <w:sz w:val="22"/>
              </w:rPr>
              <w:t xml:space="preserve">. Līdz ar to </w:t>
            </w:r>
            <w:r w:rsidR="00BF2C66" w:rsidRPr="00DA18B0">
              <w:rPr>
                <w:sz w:val="22"/>
              </w:rPr>
              <w:t>nav iespējams prognozēt ietekmi uz valsts bud</w:t>
            </w:r>
            <w:r w:rsidRPr="00DA18B0">
              <w:rPr>
                <w:sz w:val="22"/>
              </w:rPr>
              <w:t>žeta ieņēmumiem</w:t>
            </w:r>
            <w:r w:rsidR="00D0251F" w:rsidRPr="00DA18B0">
              <w:rPr>
                <w:sz w:val="22"/>
              </w:rPr>
              <w:t xml:space="preserve">. </w:t>
            </w:r>
            <w:r w:rsidR="000C2BC9" w:rsidRPr="00DA18B0">
              <w:rPr>
                <w:sz w:val="22"/>
              </w:rPr>
              <w:t xml:space="preserve">Valsts budžeta ieņēmumi nav prognozējami arī tādu apsvērumu dēļ, ka uz šo brīdi nav zināma tā </w:t>
            </w:r>
            <w:r w:rsidR="00B72D29" w:rsidRPr="00DA18B0">
              <w:rPr>
                <w:sz w:val="22"/>
              </w:rPr>
              <w:t>EPS komersantu</w:t>
            </w:r>
            <w:r w:rsidR="000C2BC9" w:rsidRPr="00DA18B0">
              <w:rPr>
                <w:sz w:val="22"/>
              </w:rPr>
              <w:t xml:space="preserve"> daļa, kas pilnā apmērā nevarēs sasniegt tām paredzamo enerģijas ietaupījumu mērķi ar pašu īstenotiem pasākumiem, kā arī nav zināms par kādu atlikušo MWh apjomu </w:t>
            </w:r>
            <w:r w:rsidR="0006585C" w:rsidRPr="00DA18B0">
              <w:rPr>
                <w:sz w:val="22"/>
              </w:rPr>
              <w:t xml:space="preserve">(atbildīgai pusei noteiktā pienākumu apjomu) </w:t>
            </w:r>
            <w:r w:rsidR="005673F8">
              <w:rPr>
                <w:sz w:val="22"/>
              </w:rPr>
              <w:t xml:space="preserve">EPS komersanti izvēlēsies </w:t>
            </w:r>
            <w:r w:rsidR="000C2BC9" w:rsidRPr="00DA18B0">
              <w:rPr>
                <w:sz w:val="22"/>
              </w:rPr>
              <w:t>veikt iemaksas energoefektivitātes fondā.</w:t>
            </w:r>
          </w:p>
          <w:p w14:paraId="55A10D91" w14:textId="0DD1BF7C" w:rsidR="00D11C7A" w:rsidRPr="00DA18B0" w:rsidRDefault="00D0251F" w:rsidP="005673F8">
            <w:pPr>
              <w:spacing w:after="0" w:line="240" w:lineRule="auto"/>
              <w:jc w:val="both"/>
              <w:rPr>
                <w:sz w:val="22"/>
              </w:rPr>
            </w:pPr>
            <w:r w:rsidRPr="00DA18B0">
              <w:rPr>
                <w:sz w:val="22"/>
              </w:rPr>
              <w:t xml:space="preserve">Tāpat nav iespējams </w:t>
            </w:r>
            <w:r w:rsidR="00BF2C66" w:rsidRPr="00DA18B0">
              <w:rPr>
                <w:sz w:val="22"/>
              </w:rPr>
              <w:t xml:space="preserve">prognozēt </w:t>
            </w:r>
            <w:r w:rsidR="00B72D29" w:rsidRPr="00DA18B0">
              <w:rPr>
                <w:sz w:val="22"/>
              </w:rPr>
              <w:t>ietekmi uz pašvaldības budžetu</w:t>
            </w:r>
            <w:r w:rsidR="003D1591" w:rsidRPr="00DA18B0">
              <w:rPr>
                <w:sz w:val="22"/>
              </w:rPr>
              <w:t xml:space="preserve">, jo </w:t>
            </w:r>
            <w:r w:rsidR="005673F8">
              <w:rPr>
                <w:sz w:val="22"/>
              </w:rPr>
              <w:t xml:space="preserve">pašlaik neviena pašvaldība nav sniegusi oficiālu informāciju </w:t>
            </w:r>
            <w:r w:rsidR="005A4C0A" w:rsidRPr="00DA18B0">
              <w:rPr>
                <w:sz w:val="22"/>
              </w:rPr>
              <w:t xml:space="preserve"> </w:t>
            </w:r>
            <w:r w:rsidR="00B025B8" w:rsidRPr="00DA18B0">
              <w:rPr>
                <w:sz w:val="22"/>
              </w:rPr>
              <w:t xml:space="preserve">par to, </w:t>
            </w:r>
            <w:r w:rsidR="005673F8">
              <w:rPr>
                <w:sz w:val="22"/>
              </w:rPr>
              <w:t xml:space="preserve">ka tā </w:t>
            </w:r>
            <w:r w:rsidR="000C2BC9" w:rsidRPr="00DA18B0">
              <w:rPr>
                <w:sz w:val="22"/>
              </w:rPr>
              <w:t xml:space="preserve"> plāno energoefektivitātes fonda izveido</w:t>
            </w:r>
            <w:r w:rsidR="0006585C" w:rsidRPr="00DA18B0">
              <w:rPr>
                <w:sz w:val="22"/>
              </w:rPr>
              <w:t>šanu. A</w:t>
            </w:r>
            <w:r w:rsidR="000C2BC9" w:rsidRPr="00DA18B0">
              <w:rPr>
                <w:sz w:val="22"/>
              </w:rPr>
              <w:t xml:space="preserve">ttiecīgi nav zināms, vai </w:t>
            </w:r>
            <w:r w:rsidR="00DF4A7D" w:rsidRPr="00DA18B0">
              <w:rPr>
                <w:sz w:val="22"/>
              </w:rPr>
              <w:t>un cik</w:t>
            </w:r>
            <w:r w:rsidR="000C2BC9" w:rsidRPr="00DA18B0">
              <w:rPr>
                <w:sz w:val="22"/>
              </w:rPr>
              <w:t xml:space="preserve"> EPS komersanti</w:t>
            </w:r>
            <w:r w:rsidR="00B72D29" w:rsidRPr="00DA18B0">
              <w:rPr>
                <w:sz w:val="22"/>
              </w:rPr>
              <w:t xml:space="preserve"> un par kādu pienākuma apjomu</w:t>
            </w:r>
            <w:r w:rsidR="000C2BC9" w:rsidRPr="00DA18B0">
              <w:rPr>
                <w:sz w:val="22"/>
              </w:rPr>
              <w:t xml:space="preserve"> būs gatavi</w:t>
            </w:r>
            <w:r w:rsidR="00B72D29" w:rsidRPr="00DA18B0">
              <w:rPr>
                <w:sz w:val="22"/>
              </w:rPr>
              <w:t xml:space="preserve"> veikt iemaksas pašvaldības energoefektivitātes fondā, ņemot vērā, ka likuma ievaros EPS komersantiem</w:t>
            </w:r>
            <w:r w:rsidR="0006585C" w:rsidRPr="00DA18B0">
              <w:rPr>
                <w:sz w:val="22"/>
              </w:rPr>
              <w:t xml:space="preserve"> pastāv izvēles iespējas, kurā valsts vai pašvaldības fondā tie veiks iemaksas. </w:t>
            </w:r>
          </w:p>
        </w:tc>
      </w:tr>
      <w:tr w:rsidR="00D11C7A" w:rsidRPr="0023425B" w14:paraId="3B6EC560" w14:textId="77777777" w:rsidTr="00D11C7A">
        <w:trPr>
          <w:trHeight w:val="345"/>
        </w:trPr>
        <w:tc>
          <w:tcPr>
            <w:tcW w:w="1780" w:type="pct"/>
            <w:tcBorders>
              <w:top w:val="outset" w:sz="6" w:space="0" w:color="000000"/>
              <w:right w:val="outset" w:sz="6" w:space="0" w:color="000000"/>
            </w:tcBorders>
          </w:tcPr>
          <w:p w14:paraId="6FD0FA4F"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6.1. Detalizēts ieņēmumu aprēķins</w:t>
            </w:r>
          </w:p>
        </w:tc>
        <w:tc>
          <w:tcPr>
            <w:tcW w:w="3220" w:type="pct"/>
            <w:gridSpan w:val="5"/>
            <w:vMerge/>
            <w:tcBorders>
              <w:left w:val="outset" w:sz="6" w:space="0" w:color="000000"/>
            </w:tcBorders>
          </w:tcPr>
          <w:p w14:paraId="3F1FA0F6" w14:textId="77777777" w:rsidR="00D11C7A" w:rsidRPr="00071019" w:rsidRDefault="00D11C7A" w:rsidP="00AE239A">
            <w:pPr>
              <w:jc w:val="both"/>
            </w:pPr>
          </w:p>
        </w:tc>
      </w:tr>
      <w:tr w:rsidR="00D11C7A" w:rsidRPr="0023425B" w14:paraId="63354760" w14:textId="77777777" w:rsidTr="000C2BC9">
        <w:trPr>
          <w:trHeight w:val="2025"/>
        </w:trPr>
        <w:tc>
          <w:tcPr>
            <w:tcW w:w="1780" w:type="pct"/>
            <w:tcBorders>
              <w:top w:val="outset" w:sz="6" w:space="0" w:color="000000"/>
              <w:bottom w:val="outset" w:sz="6" w:space="0" w:color="000000"/>
              <w:right w:val="outset" w:sz="6" w:space="0" w:color="000000"/>
            </w:tcBorders>
          </w:tcPr>
          <w:p w14:paraId="2396BCB5"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6.2. Detalizēts izdevumu aprēķins</w:t>
            </w:r>
          </w:p>
        </w:tc>
        <w:tc>
          <w:tcPr>
            <w:tcW w:w="3220" w:type="pct"/>
            <w:gridSpan w:val="5"/>
            <w:vMerge/>
            <w:tcBorders>
              <w:left w:val="outset" w:sz="6" w:space="0" w:color="000000"/>
              <w:bottom w:val="outset" w:sz="6" w:space="0" w:color="000000"/>
            </w:tcBorders>
            <w:vAlign w:val="center"/>
          </w:tcPr>
          <w:p w14:paraId="68D23482" w14:textId="77777777" w:rsidR="00D11C7A" w:rsidRPr="0023425B" w:rsidRDefault="00D11C7A" w:rsidP="00AE239A"/>
        </w:tc>
      </w:tr>
      <w:tr w:rsidR="00D11C7A" w:rsidRPr="0023425B" w14:paraId="25BF77AA" w14:textId="77777777" w:rsidTr="00D11C7A">
        <w:tc>
          <w:tcPr>
            <w:tcW w:w="1780" w:type="pct"/>
            <w:tcBorders>
              <w:top w:val="outset" w:sz="6" w:space="0" w:color="000000"/>
              <w:bottom w:val="outset" w:sz="6" w:space="0" w:color="000000"/>
              <w:right w:val="outset" w:sz="6" w:space="0" w:color="000000"/>
            </w:tcBorders>
          </w:tcPr>
          <w:p w14:paraId="0E001A26" w14:textId="77777777" w:rsidR="00D11C7A" w:rsidRPr="00DA18B0" w:rsidRDefault="00D11C7A" w:rsidP="00AE239A">
            <w:pPr>
              <w:pStyle w:val="NormalWeb"/>
              <w:rPr>
                <w:rFonts w:ascii="Times New Roman" w:hAnsi="Times New Roman" w:cs="Times New Roman"/>
                <w:sz w:val="22"/>
                <w:szCs w:val="22"/>
              </w:rPr>
            </w:pPr>
            <w:r w:rsidRPr="00DA18B0">
              <w:rPr>
                <w:rFonts w:ascii="Times New Roman" w:hAnsi="Times New Roman" w:cs="Times New Roman"/>
                <w:sz w:val="22"/>
                <w:szCs w:val="22"/>
              </w:rPr>
              <w:t>7. Cita informācija</w:t>
            </w:r>
          </w:p>
        </w:tc>
        <w:tc>
          <w:tcPr>
            <w:tcW w:w="3220" w:type="pct"/>
            <w:gridSpan w:val="5"/>
            <w:tcBorders>
              <w:top w:val="outset" w:sz="6" w:space="0" w:color="000000"/>
              <w:left w:val="outset" w:sz="6" w:space="0" w:color="000000"/>
              <w:bottom w:val="outset" w:sz="6" w:space="0" w:color="000000"/>
            </w:tcBorders>
          </w:tcPr>
          <w:p w14:paraId="34F7E957" w14:textId="77777777" w:rsidR="00D11C7A" w:rsidRPr="009901D1" w:rsidRDefault="00F56F2F" w:rsidP="005673F8">
            <w:pPr>
              <w:spacing w:after="0" w:line="240" w:lineRule="auto"/>
              <w:jc w:val="both"/>
            </w:pPr>
            <w:r w:rsidRPr="00F56F2F">
              <w:t>Iemaksu valsts energoefektivitātes fondā atbildīgā puse</w:t>
            </w:r>
            <w:r w:rsidR="005673F8">
              <w:t xml:space="preserve"> (</w:t>
            </w:r>
            <w:r w:rsidR="005673F8" w:rsidRPr="005673F8">
              <w:t>EPS komersants</w:t>
            </w:r>
            <w:r w:rsidR="005673F8">
              <w:t>)</w:t>
            </w:r>
            <w:r w:rsidRPr="00F56F2F">
              <w:t xml:space="preserve"> ieskaita valsts pamatbudžetā šim mērķim izveidotai Ekonomikas ministrijas budžeta programmai/apakšprogrammai atvērtajā valsts pamatbudžeta izdevumu kontā Valsts kasē un uzskaita kā iestādes citus pašu ieņēmumus. Attiecīgo budžeta programmu administrē Ekonomikas ministrija.</w:t>
            </w:r>
            <w:r w:rsidR="00D11C7A" w:rsidRPr="008513AC">
              <w:t xml:space="preserve"> </w:t>
            </w:r>
          </w:p>
        </w:tc>
      </w:tr>
    </w:tbl>
    <w:p w14:paraId="3D5E6C0E" w14:textId="77777777" w:rsidR="00646597" w:rsidRDefault="00646597" w:rsidP="00BF5644">
      <w:pPr>
        <w:spacing w:after="0" w:line="240" w:lineRule="auto"/>
        <w:rPr>
          <w:rFonts w:eastAsia="Times New Roman"/>
          <w:sz w:val="22"/>
          <w:lang w:eastAsia="lv-LV"/>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C9402F" w:rsidRPr="00C9402F" w14:paraId="20B3C869" w14:textId="77777777" w:rsidTr="009D6516">
        <w:trPr>
          <w:jc w:val="center"/>
        </w:trPr>
        <w:tc>
          <w:tcPr>
            <w:tcW w:w="9638" w:type="dxa"/>
            <w:gridSpan w:val="3"/>
          </w:tcPr>
          <w:p w14:paraId="6A6430DF" w14:textId="77777777" w:rsidR="00C9402F" w:rsidRPr="00C9402F" w:rsidRDefault="00C9402F" w:rsidP="00C9402F">
            <w:pPr>
              <w:spacing w:after="0" w:line="240" w:lineRule="auto"/>
              <w:jc w:val="center"/>
              <w:rPr>
                <w:rFonts w:eastAsia="Times New Roman"/>
                <w:b/>
                <w:bCs/>
                <w:sz w:val="22"/>
                <w:lang w:eastAsia="lv-LV"/>
              </w:rPr>
            </w:pPr>
            <w:r w:rsidRPr="00C9402F">
              <w:rPr>
                <w:rFonts w:eastAsia="Times New Roman"/>
                <w:b/>
                <w:bCs/>
                <w:sz w:val="22"/>
                <w:lang w:eastAsia="lv-LV"/>
              </w:rPr>
              <w:t>VI. Sabiedrības līdzdalība un šīs līdzdalības rezultāti</w:t>
            </w:r>
          </w:p>
        </w:tc>
      </w:tr>
      <w:tr w:rsidR="00C9402F" w:rsidRPr="00C9402F" w14:paraId="5B0A3DFB" w14:textId="77777777" w:rsidTr="009D6516">
        <w:trPr>
          <w:trHeight w:val="553"/>
          <w:jc w:val="center"/>
        </w:trPr>
        <w:tc>
          <w:tcPr>
            <w:tcW w:w="425" w:type="dxa"/>
          </w:tcPr>
          <w:p w14:paraId="2C1C1F1D" w14:textId="77777777"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1.</w:t>
            </w:r>
          </w:p>
        </w:tc>
        <w:tc>
          <w:tcPr>
            <w:tcW w:w="2361" w:type="dxa"/>
          </w:tcPr>
          <w:p w14:paraId="4DE27380" w14:textId="77777777" w:rsidR="00C9402F" w:rsidRPr="00DA18B0" w:rsidRDefault="00C9402F" w:rsidP="0006585C">
            <w:pPr>
              <w:spacing w:after="0" w:line="240" w:lineRule="auto"/>
              <w:rPr>
                <w:rFonts w:eastAsia="Times New Roman"/>
                <w:sz w:val="22"/>
                <w:lang w:eastAsia="lv-LV"/>
              </w:rPr>
            </w:pPr>
            <w:r w:rsidRPr="00DA18B0">
              <w:rPr>
                <w:rFonts w:eastAsia="Times New Roman"/>
                <w:sz w:val="22"/>
                <w:lang w:eastAsia="lv-LV"/>
              </w:rPr>
              <w:t>Plānotās sabiedrības līdzdalības un komunikācijas aktivitātes saistībā ar projektu</w:t>
            </w:r>
          </w:p>
        </w:tc>
        <w:tc>
          <w:tcPr>
            <w:tcW w:w="6852" w:type="dxa"/>
          </w:tcPr>
          <w:p w14:paraId="0375D8C9" w14:textId="77777777" w:rsidR="00C9402F" w:rsidRPr="00DA18B0" w:rsidRDefault="00C9402F" w:rsidP="0006585C">
            <w:pPr>
              <w:spacing w:after="0" w:line="240" w:lineRule="auto"/>
              <w:jc w:val="both"/>
              <w:rPr>
                <w:rFonts w:eastAsia="Times New Roman"/>
                <w:iCs/>
                <w:sz w:val="22"/>
                <w:lang w:eastAsia="lv-LV"/>
              </w:rPr>
            </w:pPr>
            <w:r w:rsidRPr="00DA18B0">
              <w:rPr>
                <w:rFonts w:eastAsia="Times New Roman"/>
                <w:bCs/>
                <w:sz w:val="22"/>
                <w:lang w:eastAsia="lv-LV"/>
              </w:rPr>
              <w:t xml:space="preserve">Lai stiprinātu sabiedrības līdzdalības iespējas, 2 nedēļas </w:t>
            </w:r>
            <w:r w:rsidRPr="00DA18B0">
              <w:rPr>
                <w:rFonts w:eastAsia="Times New Roman"/>
                <w:iCs/>
                <w:sz w:val="22"/>
                <w:lang w:eastAsia="lv-LV"/>
              </w:rPr>
              <w:t>pirms noteikumu projekta izsludināšanas Valsts sekretāru sanāksmē tas tika publicēts Ekonomikas ministrijas mājas lapā.</w:t>
            </w:r>
          </w:p>
        </w:tc>
      </w:tr>
      <w:tr w:rsidR="00C9402F" w:rsidRPr="00C9402F" w14:paraId="3C27BAC2" w14:textId="77777777" w:rsidTr="009D6516">
        <w:trPr>
          <w:trHeight w:val="339"/>
          <w:jc w:val="center"/>
        </w:trPr>
        <w:tc>
          <w:tcPr>
            <w:tcW w:w="425" w:type="dxa"/>
          </w:tcPr>
          <w:p w14:paraId="32F8B168" w14:textId="77777777"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2.</w:t>
            </w:r>
          </w:p>
        </w:tc>
        <w:tc>
          <w:tcPr>
            <w:tcW w:w="2361" w:type="dxa"/>
          </w:tcPr>
          <w:p w14:paraId="09BAB9DA" w14:textId="77777777" w:rsidR="00C9402F" w:rsidRPr="00DA18B0" w:rsidRDefault="00C9402F" w:rsidP="0006585C">
            <w:pPr>
              <w:spacing w:after="0" w:line="240" w:lineRule="auto"/>
              <w:rPr>
                <w:rFonts w:eastAsia="Times New Roman"/>
                <w:sz w:val="22"/>
                <w:lang w:eastAsia="lv-LV"/>
              </w:rPr>
            </w:pPr>
            <w:r w:rsidRPr="00DA18B0">
              <w:rPr>
                <w:rFonts w:eastAsia="Times New Roman"/>
                <w:sz w:val="22"/>
                <w:lang w:eastAsia="lv-LV"/>
              </w:rPr>
              <w:t xml:space="preserve">Sabiedrības līdzdalība projekta izstrādē </w:t>
            </w:r>
          </w:p>
        </w:tc>
        <w:tc>
          <w:tcPr>
            <w:tcW w:w="6852" w:type="dxa"/>
          </w:tcPr>
          <w:p w14:paraId="5B789638" w14:textId="77777777" w:rsidR="00C9402F" w:rsidRPr="00DA18B0" w:rsidRDefault="00C9402F" w:rsidP="0006585C">
            <w:pPr>
              <w:spacing w:after="0" w:line="240" w:lineRule="auto"/>
              <w:jc w:val="both"/>
              <w:rPr>
                <w:rFonts w:eastAsia="Times New Roman"/>
                <w:sz w:val="22"/>
                <w:lang w:eastAsia="lv-LV"/>
              </w:rPr>
            </w:pPr>
            <w:r w:rsidRPr="00DA18B0">
              <w:rPr>
                <w:rFonts w:eastAsia="Times New Roman"/>
                <w:iCs/>
                <w:sz w:val="22"/>
                <w:lang w:eastAsia="lv-LV"/>
              </w:rPr>
              <w:t>Pēc Noteikumu projekta izsludināšanas Valsts sekretāru sanāksmē, sabiedrības turpmāka līdzdalība tiks nodrošināta atbilstoši Ministru kabineta kārtības rullī noteiktajai kārtībai.</w:t>
            </w:r>
          </w:p>
        </w:tc>
      </w:tr>
      <w:tr w:rsidR="00C9402F" w:rsidRPr="00C9402F" w14:paraId="40EBDE0F" w14:textId="77777777" w:rsidTr="009D6516">
        <w:trPr>
          <w:trHeight w:val="375"/>
          <w:jc w:val="center"/>
        </w:trPr>
        <w:tc>
          <w:tcPr>
            <w:tcW w:w="425" w:type="dxa"/>
          </w:tcPr>
          <w:p w14:paraId="5B348B34" w14:textId="77777777"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3.</w:t>
            </w:r>
          </w:p>
        </w:tc>
        <w:tc>
          <w:tcPr>
            <w:tcW w:w="2361" w:type="dxa"/>
          </w:tcPr>
          <w:p w14:paraId="09CD24DB" w14:textId="77777777" w:rsidR="00C9402F" w:rsidRPr="00DA18B0" w:rsidRDefault="00C9402F" w:rsidP="0006585C">
            <w:pPr>
              <w:spacing w:after="0" w:line="240" w:lineRule="auto"/>
              <w:rPr>
                <w:rFonts w:eastAsia="Times New Roman"/>
                <w:sz w:val="22"/>
                <w:lang w:eastAsia="lv-LV"/>
              </w:rPr>
            </w:pPr>
            <w:r w:rsidRPr="00DA18B0">
              <w:rPr>
                <w:rFonts w:eastAsia="Times New Roman"/>
                <w:sz w:val="22"/>
                <w:lang w:eastAsia="lv-LV"/>
              </w:rPr>
              <w:t xml:space="preserve">Sabiedrības līdzdalības rezultāti </w:t>
            </w:r>
          </w:p>
        </w:tc>
        <w:tc>
          <w:tcPr>
            <w:tcW w:w="6852" w:type="dxa"/>
          </w:tcPr>
          <w:p w14:paraId="1E0BACAB" w14:textId="77777777" w:rsidR="00C9402F" w:rsidRPr="00DA18B0" w:rsidRDefault="00C9402F" w:rsidP="0006585C">
            <w:pPr>
              <w:spacing w:after="0" w:line="240" w:lineRule="auto"/>
              <w:jc w:val="both"/>
              <w:rPr>
                <w:rFonts w:eastAsia="Times New Roman"/>
                <w:sz w:val="22"/>
                <w:lang w:eastAsia="lv-LV"/>
              </w:rPr>
            </w:pPr>
          </w:p>
        </w:tc>
      </w:tr>
      <w:tr w:rsidR="00C9402F" w:rsidRPr="00C9402F" w14:paraId="1841B7D4" w14:textId="77777777" w:rsidTr="009D6516">
        <w:trPr>
          <w:trHeight w:val="476"/>
          <w:jc w:val="center"/>
        </w:trPr>
        <w:tc>
          <w:tcPr>
            <w:tcW w:w="425" w:type="dxa"/>
          </w:tcPr>
          <w:p w14:paraId="33B2B94C" w14:textId="77777777" w:rsidR="00C9402F" w:rsidRPr="00DA18B0" w:rsidRDefault="00C9402F" w:rsidP="00C9402F">
            <w:pPr>
              <w:spacing w:after="0" w:line="240" w:lineRule="auto"/>
              <w:rPr>
                <w:rFonts w:eastAsia="Times New Roman"/>
                <w:bCs/>
                <w:sz w:val="22"/>
                <w:lang w:eastAsia="lv-LV"/>
              </w:rPr>
            </w:pPr>
            <w:r w:rsidRPr="00DA18B0">
              <w:rPr>
                <w:rFonts w:eastAsia="Times New Roman"/>
                <w:bCs/>
                <w:sz w:val="22"/>
                <w:lang w:eastAsia="lv-LV"/>
              </w:rPr>
              <w:t>4.</w:t>
            </w:r>
          </w:p>
        </w:tc>
        <w:tc>
          <w:tcPr>
            <w:tcW w:w="2361" w:type="dxa"/>
          </w:tcPr>
          <w:p w14:paraId="6A7B55E6" w14:textId="77777777" w:rsidR="00C9402F" w:rsidRPr="00DA18B0" w:rsidRDefault="00C9402F" w:rsidP="00C9402F">
            <w:pPr>
              <w:spacing w:after="0" w:line="240" w:lineRule="auto"/>
              <w:rPr>
                <w:rFonts w:eastAsia="Times New Roman"/>
                <w:sz w:val="22"/>
                <w:lang w:eastAsia="lv-LV"/>
              </w:rPr>
            </w:pPr>
            <w:r w:rsidRPr="00DA18B0">
              <w:rPr>
                <w:rFonts w:eastAsia="Times New Roman"/>
                <w:sz w:val="22"/>
                <w:lang w:eastAsia="lv-LV"/>
              </w:rPr>
              <w:t>Cita informācija</w:t>
            </w:r>
          </w:p>
        </w:tc>
        <w:tc>
          <w:tcPr>
            <w:tcW w:w="6852" w:type="dxa"/>
          </w:tcPr>
          <w:p w14:paraId="189B48BA" w14:textId="77777777" w:rsidR="00C9402F" w:rsidRPr="00DA18B0" w:rsidRDefault="00C9402F" w:rsidP="00C9402F">
            <w:pPr>
              <w:spacing w:after="0" w:line="240" w:lineRule="auto"/>
              <w:rPr>
                <w:rFonts w:eastAsia="Times New Roman"/>
                <w:iCs/>
                <w:sz w:val="22"/>
                <w:lang w:eastAsia="lv-LV"/>
              </w:rPr>
            </w:pPr>
            <w:r w:rsidRPr="00DA18B0">
              <w:rPr>
                <w:rFonts w:eastAsia="Times New Roman"/>
                <w:sz w:val="22"/>
                <w:lang w:eastAsia="lv-LV"/>
              </w:rPr>
              <w:t>Nav.</w:t>
            </w:r>
          </w:p>
        </w:tc>
      </w:tr>
    </w:tbl>
    <w:p w14:paraId="2C35F298" w14:textId="77777777" w:rsidR="00AD23F8" w:rsidRDefault="00AD23F8" w:rsidP="00BF5644">
      <w:pPr>
        <w:spacing w:after="0" w:line="240" w:lineRule="auto"/>
        <w:rPr>
          <w:rFonts w:eastAsia="Times New Roman"/>
          <w:sz w:val="22"/>
          <w:lang w:eastAsia="lv-LV"/>
        </w:rPr>
      </w:pPr>
    </w:p>
    <w:p w14:paraId="2CA87C00" w14:textId="77777777" w:rsidR="00C9402F" w:rsidRPr="00BF5644" w:rsidRDefault="00C9402F" w:rsidP="00646597">
      <w:pPr>
        <w:spacing w:after="0" w:line="240" w:lineRule="auto"/>
        <w:rPr>
          <w:sz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7"/>
        <w:gridCol w:w="2608"/>
        <w:gridCol w:w="5985"/>
      </w:tblGrid>
      <w:tr w:rsidR="008C5955" w:rsidRPr="00BF5644" w14:paraId="4ABBAAA1" w14:textId="77777777" w:rsidTr="0006585C">
        <w:tc>
          <w:tcPr>
            <w:tcW w:w="5000" w:type="pct"/>
            <w:gridSpan w:val="3"/>
            <w:tcBorders>
              <w:top w:val="outset" w:sz="6" w:space="0" w:color="000000"/>
              <w:left w:val="outset" w:sz="6" w:space="0" w:color="000000"/>
              <w:bottom w:val="outset" w:sz="6" w:space="0" w:color="000000"/>
              <w:right w:val="outset" w:sz="6" w:space="0" w:color="000000"/>
            </w:tcBorders>
            <w:hideMark/>
          </w:tcPr>
          <w:p w14:paraId="56A9CA1D" w14:textId="77777777" w:rsidR="008C5955" w:rsidRPr="00BF5644" w:rsidRDefault="008C5955" w:rsidP="00BF5644">
            <w:pPr>
              <w:spacing w:after="0" w:line="240" w:lineRule="auto"/>
              <w:jc w:val="center"/>
              <w:rPr>
                <w:rFonts w:eastAsia="Times New Roman"/>
                <w:b/>
                <w:bCs/>
                <w:sz w:val="22"/>
                <w:lang w:eastAsia="lv-LV"/>
              </w:rPr>
            </w:pPr>
            <w:r w:rsidRPr="00BF5644">
              <w:rPr>
                <w:rFonts w:eastAsia="Times New Roman"/>
                <w:b/>
                <w:bCs/>
                <w:sz w:val="22"/>
                <w:lang w:eastAsia="lv-LV"/>
              </w:rPr>
              <w:lastRenderedPageBreak/>
              <w:t>VII. Tiesību akta projekta izpildes nodrošināšana un tās ietekme uz institūcijām</w:t>
            </w:r>
          </w:p>
        </w:tc>
      </w:tr>
      <w:tr w:rsidR="008C5955" w:rsidRPr="00BF5644" w14:paraId="08C4EDAC" w14:textId="77777777" w:rsidTr="0006585C">
        <w:tc>
          <w:tcPr>
            <w:tcW w:w="506" w:type="pct"/>
            <w:tcBorders>
              <w:top w:val="outset" w:sz="6" w:space="0" w:color="000000"/>
              <w:left w:val="outset" w:sz="6" w:space="0" w:color="000000"/>
              <w:bottom w:val="outset" w:sz="6" w:space="0" w:color="000000"/>
              <w:right w:val="outset" w:sz="6" w:space="0" w:color="000000"/>
            </w:tcBorders>
            <w:hideMark/>
          </w:tcPr>
          <w:p w14:paraId="1C8DB224" w14:textId="77777777"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1.</w:t>
            </w:r>
          </w:p>
        </w:tc>
        <w:tc>
          <w:tcPr>
            <w:tcW w:w="1364" w:type="pct"/>
            <w:tcBorders>
              <w:top w:val="outset" w:sz="6" w:space="0" w:color="000000"/>
              <w:left w:val="outset" w:sz="6" w:space="0" w:color="000000"/>
              <w:bottom w:val="outset" w:sz="6" w:space="0" w:color="000000"/>
              <w:right w:val="outset" w:sz="6" w:space="0" w:color="000000"/>
            </w:tcBorders>
            <w:hideMark/>
          </w:tcPr>
          <w:p w14:paraId="02F7C5C8" w14:textId="77777777"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Projekta izpildē iesaistītās institūcijas</w:t>
            </w:r>
          </w:p>
        </w:tc>
        <w:tc>
          <w:tcPr>
            <w:tcW w:w="3130" w:type="pct"/>
            <w:tcBorders>
              <w:top w:val="outset" w:sz="6" w:space="0" w:color="000000"/>
              <w:left w:val="outset" w:sz="6" w:space="0" w:color="000000"/>
              <w:bottom w:val="outset" w:sz="6" w:space="0" w:color="000000"/>
              <w:right w:val="outset" w:sz="6" w:space="0" w:color="000000"/>
            </w:tcBorders>
            <w:hideMark/>
          </w:tcPr>
          <w:p w14:paraId="766B2DB2" w14:textId="77777777" w:rsidR="008C5955" w:rsidRPr="00DA18B0" w:rsidRDefault="00AC0433" w:rsidP="00BF5644">
            <w:pPr>
              <w:spacing w:after="0" w:line="240" w:lineRule="auto"/>
              <w:jc w:val="both"/>
              <w:rPr>
                <w:rFonts w:eastAsia="Times New Roman"/>
                <w:sz w:val="22"/>
                <w:lang w:eastAsia="lv-LV"/>
              </w:rPr>
            </w:pPr>
            <w:r w:rsidRPr="00AC0433">
              <w:rPr>
                <w:rFonts w:eastAsia="Times New Roman"/>
                <w:sz w:val="22"/>
                <w:lang w:eastAsia="lv-LV"/>
              </w:rPr>
              <w:t>AS “Attīstības finanšu institūcija Altum”</w:t>
            </w:r>
          </w:p>
        </w:tc>
      </w:tr>
      <w:tr w:rsidR="008C5955" w:rsidRPr="00BF5644" w14:paraId="27721E66" w14:textId="77777777" w:rsidTr="0006585C">
        <w:tc>
          <w:tcPr>
            <w:tcW w:w="506" w:type="pct"/>
            <w:tcBorders>
              <w:top w:val="outset" w:sz="6" w:space="0" w:color="000000"/>
              <w:left w:val="outset" w:sz="6" w:space="0" w:color="000000"/>
              <w:bottom w:val="outset" w:sz="6" w:space="0" w:color="000000"/>
              <w:right w:val="outset" w:sz="6" w:space="0" w:color="000000"/>
            </w:tcBorders>
            <w:hideMark/>
          </w:tcPr>
          <w:p w14:paraId="05DE882D" w14:textId="77777777"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2.</w:t>
            </w:r>
          </w:p>
        </w:tc>
        <w:tc>
          <w:tcPr>
            <w:tcW w:w="1364" w:type="pct"/>
            <w:tcBorders>
              <w:top w:val="outset" w:sz="6" w:space="0" w:color="000000"/>
              <w:left w:val="outset" w:sz="6" w:space="0" w:color="000000"/>
              <w:bottom w:val="outset" w:sz="6" w:space="0" w:color="000000"/>
              <w:right w:val="outset" w:sz="6" w:space="0" w:color="000000"/>
            </w:tcBorders>
            <w:hideMark/>
          </w:tcPr>
          <w:p w14:paraId="451ACBA9" w14:textId="77777777" w:rsidR="008067DE" w:rsidRPr="00DA18B0" w:rsidRDefault="008067DE" w:rsidP="00BF5644">
            <w:pPr>
              <w:spacing w:after="0" w:line="240" w:lineRule="auto"/>
              <w:rPr>
                <w:rFonts w:eastAsia="Times New Roman"/>
                <w:sz w:val="22"/>
                <w:lang w:eastAsia="lv-LV"/>
              </w:rPr>
            </w:pPr>
            <w:r w:rsidRPr="00DA18B0">
              <w:rPr>
                <w:rFonts w:eastAsia="Times New Roman"/>
                <w:sz w:val="22"/>
                <w:lang w:eastAsia="lv-LV"/>
              </w:rPr>
              <w:t>Projekta izpildes ietekme uz pārvaldes funkcijām un institucionālo struktūru.</w:t>
            </w:r>
          </w:p>
          <w:p w14:paraId="3003FDC5" w14:textId="77777777" w:rsidR="008C5955" w:rsidRPr="00DA18B0" w:rsidRDefault="008067DE" w:rsidP="00BF5644">
            <w:pPr>
              <w:shd w:val="clear" w:color="auto" w:fill="FFFFFF"/>
              <w:spacing w:after="0" w:line="240" w:lineRule="auto"/>
              <w:rPr>
                <w:rFonts w:eastAsia="Times New Roman"/>
                <w:sz w:val="22"/>
                <w:lang w:eastAsia="lv-LV"/>
              </w:rPr>
            </w:pPr>
            <w:r w:rsidRPr="00DA18B0">
              <w:rPr>
                <w:rFonts w:eastAsia="Times New Roman"/>
                <w:sz w:val="22"/>
                <w:lang w:eastAsia="lv-LV"/>
              </w:rPr>
              <w:t>Jaunu institūciju izveide, esošu institūciju likvidācija vai reorganizācija, to ietekme uz institūcijas cilvēkresursiem</w:t>
            </w:r>
          </w:p>
        </w:tc>
        <w:tc>
          <w:tcPr>
            <w:tcW w:w="3130" w:type="pct"/>
            <w:tcBorders>
              <w:top w:val="outset" w:sz="6" w:space="0" w:color="000000"/>
              <w:left w:val="outset" w:sz="6" w:space="0" w:color="000000"/>
              <w:bottom w:val="outset" w:sz="6" w:space="0" w:color="000000"/>
              <w:right w:val="outset" w:sz="6" w:space="0" w:color="000000"/>
            </w:tcBorders>
            <w:hideMark/>
          </w:tcPr>
          <w:p w14:paraId="242B2D35" w14:textId="77777777" w:rsidR="00B204BC" w:rsidRPr="00DA18B0" w:rsidRDefault="00526229" w:rsidP="00BF5644">
            <w:pPr>
              <w:spacing w:after="0" w:line="240" w:lineRule="auto"/>
              <w:jc w:val="both"/>
              <w:rPr>
                <w:rFonts w:eastAsia="Times New Roman"/>
                <w:sz w:val="22"/>
                <w:u w:val="single"/>
                <w:lang w:eastAsia="lv-LV"/>
              </w:rPr>
            </w:pPr>
            <w:r w:rsidRPr="00DA18B0">
              <w:rPr>
                <w:color w:val="000000" w:themeColor="text1"/>
                <w:sz w:val="22"/>
              </w:rPr>
              <w:t>Jaunas valsts institūcijas netiks radītas, kā arī netiks paplašinātas esošo institūciju funkcijas.</w:t>
            </w:r>
          </w:p>
        </w:tc>
      </w:tr>
      <w:tr w:rsidR="008C5955" w:rsidRPr="00BF5644" w14:paraId="18497E40" w14:textId="77777777" w:rsidTr="0006585C">
        <w:tc>
          <w:tcPr>
            <w:tcW w:w="506" w:type="pct"/>
            <w:tcBorders>
              <w:top w:val="outset" w:sz="6" w:space="0" w:color="000000"/>
              <w:left w:val="outset" w:sz="6" w:space="0" w:color="000000"/>
              <w:bottom w:val="outset" w:sz="6" w:space="0" w:color="000000"/>
              <w:right w:val="outset" w:sz="6" w:space="0" w:color="000000"/>
            </w:tcBorders>
            <w:hideMark/>
          </w:tcPr>
          <w:p w14:paraId="60050838" w14:textId="77777777" w:rsidR="008C5955" w:rsidRPr="00DA18B0" w:rsidRDefault="008067DE" w:rsidP="00BF5644">
            <w:pPr>
              <w:spacing w:after="0" w:line="240" w:lineRule="auto"/>
              <w:rPr>
                <w:rFonts w:eastAsia="Times New Roman"/>
                <w:sz w:val="22"/>
                <w:lang w:eastAsia="lv-LV"/>
              </w:rPr>
            </w:pPr>
            <w:r w:rsidRPr="00DA18B0">
              <w:rPr>
                <w:rFonts w:eastAsia="Times New Roman"/>
                <w:sz w:val="22"/>
                <w:lang w:eastAsia="lv-LV"/>
              </w:rPr>
              <w:t>3</w:t>
            </w:r>
            <w:r w:rsidR="008C5955" w:rsidRPr="00DA18B0">
              <w:rPr>
                <w:rFonts w:eastAsia="Times New Roman"/>
                <w:sz w:val="22"/>
                <w:lang w:eastAsia="lv-LV"/>
              </w:rPr>
              <w:t>.</w:t>
            </w:r>
          </w:p>
        </w:tc>
        <w:tc>
          <w:tcPr>
            <w:tcW w:w="1364" w:type="pct"/>
            <w:tcBorders>
              <w:top w:val="outset" w:sz="6" w:space="0" w:color="000000"/>
              <w:left w:val="outset" w:sz="6" w:space="0" w:color="000000"/>
              <w:bottom w:val="outset" w:sz="6" w:space="0" w:color="000000"/>
              <w:right w:val="outset" w:sz="6" w:space="0" w:color="000000"/>
            </w:tcBorders>
            <w:hideMark/>
          </w:tcPr>
          <w:p w14:paraId="3C192C07" w14:textId="77777777" w:rsidR="008C5955" w:rsidRPr="00DA18B0" w:rsidRDefault="008C5955" w:rsidP="00BF5644">
            <w:pPr>
              <w:spacing w:after="0" w:line="240" w:lineRule="auto"/>
              <w:rPr>
                <w:rFonts w:eastAsia="Times New Roman"/>
                <w:sz w:val="22"/>
                <w:lang w:eastAsia="lv-LV"/>
              </w:rPr>
            </w:pPr>
            <w:r w:rsidRPr="00DA18B0">
              <w:rPr>
                <w:rFonts w:eastAsia="Times New Roman"/>
                <w:sz w:val="22"/>
                <w:lang w:eastAsia="lv-LV"/>
              </w:rPr>
              <w:t>Cita informācija</w:t>
            </w:r>
          </w:p>
        </w:tc>
        <w:tc>
          <w:tcPr>
            <w:tcW w:w="3130" w:type="pct"/>
            <w:tcBorders>
              <w:top w:val="outset" w:sz="6" w:space="0" w:color="000000"/>
              <w:left w:val="outset" w:sz="6" w:space="0" w:color="000000"/>
              <w:bottom w:val="outset" w:sz="6" w:space="0" w:color="000000"/>
              <w:right w:val="outset" w:sz="6" w:space="0" w:color="000000"/>
            </w:tcBorders>
            <w:hideMark/>
          </w:tcPr>
          <w:p w14:paraId="2CBAE0A9" w14:textId="77777777" w:rsidR="008C5955" w:rsidRPr="00DA18B0" w:rsidRDefault="00526229" w:rsidP="00BF5644">
            <w:pPr>
              <w:spacing w:after="0" w:line="240" w:lineRule="auto"/>
              <w:rPr>
                <w:rFonts w:eastAsia="Times New Roman"/>
                <w:sz w:val="22"/>
                <w:lang w:eastAsia="lv-LV"/>
              </w:rPr>
            </w:pPr>
            <w:r w:rsidRPr="00DA18B0">
              <w:rPr>
                <w:color w:val="000000" w:themeColor="text1"/>
                <w:sz w:val="22"/>
              </w:rPr>
              <w:t>Normatīvā akta izpilde tiks nodrošināta esošo valsts institūciju funkciju ietvaros.</w:t>
            </w:r>
          </w:p>
        </w:tc>
      </w:tr>
    </w:tbl>
    <w:p w14:paraId="567D2255" w14:textId="77777777" w:rsidR="00BE28AA" w:rsidRPr="00D16DAD" w:rsidRDefault="008122FC" w:rsidP="00D16DAD">
      <w:pPr>
        <w:spacing w:after="0" w:line="240" w:lineRule="auto"/>
        <w:jc w:val="center"/>
        <w:rPr>
          <w:i/>
          <w:sz w:val="28"/>
        </w:rPr>
      </w:pPr>
      <w:r>
        <w:rPr>
          <w:i/>
          <w:sz w:val="28"/>
        </w:rPr>
        <w:t>Anotācijas</w:t>
      </w:r>
      <w:r w:rsidR="00BE28AA" w:rsidRPr="00D16DAD">
        <w:rPr>
          <w:i/>
          <w:sz w:val="28"/>
        </w:rPr>
        <w:t xml:space="preserve"> IV </w:t>
      </w:r>
      <w:r w:rsidRPr="00D16DAD">
        <w:rPr>
          <w:i/>
          <w:sz w:val="28"/>
        </w:rPr>
        <w:t xml:space="preserve">un </w:t>
      </w:r>
      <w:r>
        <w:rPr>
          <w:i/>
          <w:sz w:val="28"/>
        </w:rPr>
        <w:t xml:space="preserve">V </w:t>
      </w:r>
      <w:r w:rsidR="00BE28AA" w:rsidRPr="00D16DAD">
        <w:rPr>
          <w:i/>
          <w:sz w:val="28"/>
        </w:rPr>
        <w:t>sadaļa – projekts šīs jomas neskar.</w:t>
      </w:r>
    </w:p>
    <w:p w14:paraId="199B02DA" w14:textId="77777777" w:rsidR="00D37098" w:rsidRDefault="00D37098" w:rsidP="00BF5644">
      <w:pPr>
        <w:suppressLineNumbers/>
        <w:spacing w:after="0" w:line="240" w:lineRule="auto"/>
        <w:rPr>
          <w:color w:val="000000"/>
          <w:sz w:val="28"/>
        </w:rPr>
      </w:pPr>
    </w:p>
    <w:p w14:paraId="6AC93537" w14:textId="77777777" w:rsidR="00D37098" w:rsidRDefault="00D37098" w:rsidP="00BF5644">
      <w:pPr>
        <w:suppressLineNumbers/>
        <w:spacing w:after="0" w:line="240" w:lineRule="auto"/>
        <w:rPr>
          <w:color w:val="000000"/>
          <w:sz w:val="28"/>
        </w:rPr>
      </w:pPr>
    </w:p>
    <w:p w14:paraId="440B7EE2" w14:textId="77777777" w:rsidR="00D37098" w:rsidRDefault="00D37098" w:rsidP="00BF5644">
      <w:pPr>
        <w:suppressLineNumbers/>
        <w:spacing w:after="0" w:line="240" w:lineRule="auto"/>
        <w:rPr>
          <w:color w:val="000000"/>
          <w:sz w:val="28"/>
        </w:rPr>
      </w:pPr>
    </w:p>
    <w:p w14:paraId="080F8058" w14:textId="77777777"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Ministru prezidents</w:t>
      </w:r>
      <w:r w:rsidRPr="00CA6DCE">
        <w:rPr>
          <w:rFonts w:eastAsia="Times New Roman"/>
          <w:color w:val="000000"/>
          <w:sz w:val="28"/>
          <w:szCs w:val="28"/>
          <w:lang w:eastAsia="lv-LV"/>
        </w:rPr>
        <w:tab/>
      </w:r>
      <w:r>
        <w:rPr>
          <w:rFonts w:eastAsia="Times New Roman"/>
          <w:color w:val="000000"/>
          <w:sz w:val="28"/>
          <w:szCs w:val="28"/>
          <w:lang w:eastAsia="lv-LV"/>
        </w:rPr>
        <w:t xml:space="preserve">                                                               </w:t>
      </w:r>
      <w:r w:rsidRPr="00CA6DCE">
        <w:rPr>
          <w:rFonts w:eastAsia="Times New Roman"/>
          <w:color w:val="000000"/>
          <w:sz w:val="28"/>
          <w:szCs w:val="28"/>
          <w:lang w:eastAsia="lv-LV"/>
        </w:rPr>
        <w:t>M.Kučinskis</w:t>
      </w:r>
    </w:p>
    <w:p w14:paraId="55BB5415" w14:textId="77777777" w:rsidR="00CA6DCE" w:rsidRDefault="00CA6DCE" w:rsidP="00CA6DCE">
      <w:pPr>
        <w:spacing w:after="0" w:line="240" w:lineRule="auto"/>
        <w:rPr>
          <w:rFonts w:eastAsia="Times New Roman"/>
          <w:color w:val="000000"/>
          <w:sz w:val="28"/>
          <w:szCs w:val="28"/>
          <w:lang w:eastAsia="lv-LV"/>
        </w:rPr>
      </w:pPr>
    </w:p>
    <w:p w14:paraId="0E95989A" w14:textId="77777777" w:rsidR="00CA6DCE" w:rsidRDefault="00CA6DCE" w:rsidP="00CA6DCE">
      <w:pPr>
        <w:spacing w:after="0" w:line="240" w:lineRule="auto"/>
        <w:rPr>
          <w:rFonts w:eastAsia="Times New Roman"/>
          <w:color w:val="000000"/>
          <w:sz w:val="28"/>
          <w:szCs w:val="28"/>
          <w:lang w:eastAsia="lv-LV"/>
        </w:rPr>
      </w:pPr>
    </w:p>
    <w:p w14:paraId="1C0BFFCC" w14:textId="77777777"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Ministru prezidenta biedrs,</w:t>
      </w:r>
    </w:p>
    <w:p w14:paraId="13610343" w14:textId="77777777"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ekonomikas ministrs</w:t>
      </w:r>
      <w:r w:rsidRPr="00CA6DCE">
        <w:rPr>
          <w:rFonts w:eastAsia="Times New Roman"/>
          <w:color w:val="000000"/>
          <w:sz w:val="28"/>
          <w:szCs w:val="28"/>
          <w:lang w:eastAsia="lv-LV"/>
        </w:rPr>
        <w:tab/>
      </w:r>
      <w:r w:rsidRPr="00CA6DCE">
        <w:rPr>
          <w:rFonts w:eastAsia="Times New Roman"/>
          <w:color w:val="000000"/>
          <w:sz w:val="28"/>
          <w:szCs w:val="28"/>
          <w:lang w:eastAsia="lv-LV"/>
        </w:rPr>
        <w:tab/>
      </w:r>
      <w:r w:rsidRPr="00CA6DCE">
        <w:rPr>
          <w:rFonts w:eastAsia="Times New Roman"/>
          <w:color w:val="000000"/>
          <w:sz w:val="28"/>
          <w:szCs w:val="28"/>
          <w:lang w:eastAsia="lv-LV"/>
        </w:rPr>
        <w:tab/>
      </w:r>
      <w:r>
        <w:rPr>
          <w:rFonts w:eastAsia="Times New Roman"/>
          <w:color w:val="000000"/>
          <w:sz w:val="28"/>
          <w:szCs w:val="28"/>
          <w:lang w:eastAsia="lv-LV"/>
        </w:rPr>
        <w:t xml:space="preserve">                                          </w:t>
      </w:r>
      <w:r w:rsidRPr="00CA6DCE">
        <w:rPr>
          <w:rFonts w:eastAsia="Times New Roman"/>
          <w:color w:val="000000"/>
          <w:sz w:val="28"/>
          <w:szCs w:val="28"/>
          <w:lang w:eastAsia="lv-LV"/>
        </w:rPr>
        <w:t>A.Ašeradens</w:t>
      </w:r>
    </w:p>
    <w:p w14:paraId="0BC6E621" w14:textId="77777777" w:rsidR="00CA6DCE" w:rsidRDefault="00CA6DCE" w:rsidP="00CA6DCE">
      <w:pPr>
        <w:spacing w:after="0" w:line="240" w:lineRule="auto"/>
        <w:rPr>
          <w:rFonts w:eastAsia="Times New Roman"/>
          <w:color w:val="000000"/>
          <w:sz w:val="28"/>
          <w:szCs w:val="28"/>
          <w:lang w:eastAsia="lv-LV"/>
        </w:rPr>
      </w:pPr>
    </w:p>
    <w:p w14:paraId="687729B9" w14:textId="77777777"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Iesniedzējs:</w:t>
      </w:r>
    </w:p>
    <w:p w14:paraId="3E887EB7" w14:textId="77777777" w:rsidR="00CA6DCE" w:rsidRPr="00CA6DCE" w:rsidRDefault="00CA6DCE" w:rsidP="00CA6DCE">
      <w:pPr>
        <w:spacing w:after="0" w:line="240" w:lineRule="auto"/>
        <w:rPr>
          <w:rFonts w:eastAsia="Times New Roman"/>
          <w:color w:val="000000"/>
          <w:sz w:val="28"/>
          <w:szCs w:val="28"/>
          <w:lang w:eastAsia="lv-LV"/>
        </w:rPr>
      </w:pPr>
      <w:r w:rsidRPr="00CA6DCE">
        <w:rPr>
          <w:rFonts w:eastAsia="Times New Roman"/>
          <w:color w:val="000000"/>
          <w:sz w:val="28"/>
          <w:szCs w:val="28"/>
          <w:lang w:eastAsia="lv-LV"/>
        </w:rPr>
        <w:t>Ministru prezidenta biedrs,</w:t>
      </w:r>
    </w:p>
    <w:p w14:paraId="15720A86" w14:textId="77777777" w:rsidR="00345F61" w:rsidRDefault="00CA6DCE" w:rsidP="00CA6DCE">
      <w:pPr>
        <w:spacing w:after="0" w:line="240" w:lineRule="auto"/>
        <w:rPr>
          <w:bCs/>
          <w:color w:val="000000"/>
          <w:sz w:val="28"/>
          <w:szCs w:val="28"/>
        </w:rPr>
      </w:pPr>
      <w:r w:rsidRPr="00CA6DCE">
        <w:rPr>
          <w:rFonts w:eastAsia="Times New Roman"/>
          <w:color w:val="000000"/>
          <w:sz w:val="28"/>
          <w:szCs w:val="28"/>
          <w:lang w:eastAsia="lv-LV"/>
        </w:rPr>
        <w:t>ekonomikas ministrs</w:t>
      </w:r>
      <w:r w:rsidRPr="00CA6DCE">
        <w:rPr>
          <w:rFonts w:eastAsia="Times New Roman"/>
          <w:color w:val="000000"/>
          <w:sz w:val="28"/>
          <w:szCs w:val="28"/>
          <w:lang w:eastAsia="lv-LV"/>
        </w:rPr>
        <w:tab/>
      </w:r>
      <w:r w:rsidRPr="00CA6DCE">
        <w:rPr>
          <w:rFonts w:eastAsia="Times New Roman"/>
          <w:color w:val="000000"/>
          <w:sz w:val="28"/>
          <w:szCs w:val="28"/>
          <w:lang w:eastAsia="lv-LV"/>
        </w:rPr>
        <w:tab/>
      </w:r>
      <w:r>
        <w:rPr>
          <w:rFonts w:eastAsia="Times New Roman"/>
          <w:color w:val="000000"/>
          <w:sz w:val="28"/>
          <w:szCs w:val="28"/>
          <w:lang w:eastAsia="lv-LV"/>
        </w:rPr>
        <w:t xml:space="preserve">                                                    </w:t>
      </w:r>
      <w:r w:rsidRPr="00CA6DCE">
        <w:rPr>
          <w:rFonts w:eastAsia="Times New Roman"/>
          <w:color w:val="000000"/>
          <w:sz w:val="28"/>
          <w:szCs w:val="28"/>
          <w:lang w:eastAsia="lv-LV"/>
        </w:rPr>
        <w:t>A.Ašeradens</w:t>
      </w:r>
    </w:p>
    <w:p w14:paraId="530A7A90" w14:textId="77777777" w:rsidR="00345F61" w:rsidRDefault="00345F61" w:rsidP="00345F61">
      <w:pPr>
        <w:spacing w:after="0" w:line="240" w:lineRule="auto"/>
        <w:rPr>
          <w:bCs/>
          <w:color w:val="000000"/>
          <w:sz w:val="28"/>
          <w:szCs w:val="28"/>
        </w:rPr>
      </w:pPr>
    </w:p>
    <w:p w14:paraId="0B760457" w14:textId="622AC446" w:rsidR="00540B69" w:rsidRPr="00540B69" w:rsidRDefault="00345F61" w:rsidP="00F872CA">
      <w:pPr>
        <w:spacing w:after="0"/>
        <w:rPr>
          <w:color w:val="000000"/>
          <w:sz w:val="28"/>
          <w:szCs w:val="28"/>
        </w:rPr>
      </w:pPr>
      <w:r w:rsidRPr="00B939C8">
        <w:rPr>
          <w:bCs/>
          <w:color w:val="000000"/>
          <w:sz w:val="28"/>
          <w:szCs w:val="28"/>
        </w:rPr>
        <w:t xml:space="preserve">Vīza: </w:t>
      </w:r>
      <w:r>
        <w:rPr>
          <w:bCs/>
          <w:color w:val="000000"/>
          <w:sz w:val="28"/>
          <w:szCs w:val="28"/>
        </w:rPr>
        <w:br/>
      </w:r>
      <w:r w:rsidR="00540B69">
        <w:rPr>
          <w:color w:val="000000"/>
          <w:sz w:val="28"/>
          <w:szCs w:val="28"/>
        </w:rPr>
        <w:t>v</w:t>
      </w:r>
      <w:r w:rsidR="00F872CA">
        <w:rPr>
          <w:color w:val="000000"/>
          <w:sz w:val="28"/>
          <w:szCs w:val="28"/>
        </w:rPr>
        <w:t>alsts sekretārs                                                                               J.Stinka</w:t>
      </w:r>
    </w:p>
    <w:p w14:paraId="49912AC9" w14:textId="77777777" w:rsidR="00FB6320" w:rsidRDefault="00FB6320" w:rsidP="003466BC">
      <w:pPr>
        <w:rPr>
          <w:sz w:val="22"/>
        </w:rPr>
      </w:pPr>
    </w:p>
    <w:p w14:paraId="61234F2A" w14:textId="77777777" w:rsidR="00CA6DCE" w:rsidRDefault="00CA6DCE" w:rsidP="00BF5644">
      <w:pPr>
        <w:spacing w:after="0" w:line="240" w:lineRule="auto"/>
        <w:rPr>
          <w:sz w:val="22"/>
        </w:rPr>
      </w:pPr>
    </w:p>
    <w:p w14:paraId="22A0D88C" w14:textId="77777777" w:rsidR="00CA6DCE" w:rsidRDefault="00CA6DCE" w:rsidP="00BF5644">
      <w:pPr>
        <w:spacing w:after="0" w:line="240" w:lineRule="auto"/>
        <w:rPr>
          <w:sz w:val="22"/>
        </w:rPr>
      </w:pPr>
    </w:p>
    <w:p w14:paraId="0FA047FB" w14:textId="77777777" w:rsidR="00CA6DCE" w:rsidRDefault="00CA6DCE" w:rsidP="00BF5644">
      <w:pPr>
        <w:spacing w:after="0" w:line="240" w:lineRule="auto"/>
        <w:rPr>
          <w:sz w:val="22"/>
        </w:rPr>
      </w:pPr>
    </w:p>
    <w:p w14:paraId="12F628DA" w14:textId="77777777" w:rsidR="00CA6DCE" w:rsidRDefault="00CA6DCE" w:rsidP="00BF5644">
      <w:pPr>
        <w:spacing w:after="0" w:line="240" w:lineRule="auto"/>
        <w:rPr>
          <w:sz w:val="22"/>
        </w:rPr>
      </w:pPr>
    </w:p>
    <w:p w14:paraId="0889DD4F" w14:textId="77777777" w:rsidR="00CA6DCE" w:rsidRDefault="00CA6DCE" w:rsidP="00BF5644">
      <w:pPr>
        <w:spacing w:after="0" w:line="240" w:lineRule="auto"/>
        <w:rPr>
          <w:sz w:val="22"/>
        </w:rPr>
      </w:pPr>
    </w:p>
    <w:p w14:paraId="2BFBD653" w14:textId="77777777" w:rsidR="00CC2F7C" w:rsidRDefault="00CC2F7C" w:rsidP="00BF5644">
      <w:pPr>
        <w:spacing w:after="0" w:line="240" w:lineRule="auto"/>
        <w:rPr>
          <w:sz w:val="22"/>
        </w:rPr>
      </w:pPr>
    </w:p>
    <w:p w14:paraId="7759F196" w14:textId="77777777" w:rsidR="00CC2F7C" w:rsidRDefault="00CC2F7C" w:rsidP="00BF5644">
      <w:pPr>
        <w:spacing w:after="0" w:line="240" w:lineRule="auto"/>
        <w:rPr>
          <w:sz w:val="22"/>
        </w:rPr>
      </w:pPr>
    </w:p>
    <w:p w14:paraId="5095F39D" w14:textId="77777777" w:rsidR="00CC2F7C" w:rsidRDefault="00CC2F7C" w:rsidP="00BF5644">
      <w:pPr>
        <w:spacing w:after="0" w:line="240" w:lineRule="auto"/>
        <w:rPr>
          <w:sz w:val="22"/>
        </w:rPr>
      </w:pPr>
    </w:p>
    <w:p w14:paraId="23AFAC12" w14:textId="77777777" w:rsidR="00CC2F7C" w:rsidRDefault="00CC2F7C" w:rsidP="00BF5644">
      <w:pPr>
        <w:spacing w:after="0" w:line="240" w:lineRule="auto"/>
        <w:rPr>
          <w:sz w:val="22"/>
        </w:rPr>
      </w:pPr>
    </w:p>
    <w:p w14:paraId="256906CE" w14:textId="77777777" w:rsidR="00CC2F7C" w:rsidRDefault="00CC2F7C" w:rsidP="00BF5644">
      <w:pPr>
        <w:spacing w:after="0" w:line="240" w:lineRule="auto"/>
        <w:rPr>
          <w:sz w:val="22"/>
        </w:rPr>
      </w:pPr>
    </w:p>
    <w:p w14:paraId="3794E67A" w14:textId="77777777" w:rsidR="00CC2F7C" w:rsidRDefault="00CC2F7C" w:rsidP="00BF5644">
      <w:pPr>
        <w:spacing w:after="0" w:line="240" w:lineRule="auto"/>
        <w:rPr>
          <w:sz w:val="22"/>
        </w:rPr>
      </w:pPr>
    </w:p>
    <w:p w14:paraId="665A9CFA" w14:textId="77777777" w:rsidR="00CA6DCE" w:rsidRPr="00BF5644" w:rsidRDefault="00CA6DCE" w:rsidP="00BF5644">
      <w:pPr>
        <w:spacing w:after="0" w:line="240" w:lineRule="auto"/>
        <w:rPr>
          <w:sz w:val="22"/>
        </w:rPr>
      </w:pPr>
    </w:p>
    <w:p w14:paraId="5425CE6B" w14:textId="77777777" w:rsidR="007660B7" w:rsidRDefault="007660B7" w:rsidP="00BF5644">
      <w:pPr>
        <w:spacing w:after="0" w:line="240" w:lineRule="auto"/>
        <w:rPr>
          <w:sz w:val="20"/>
        </w:rPr>
      </w:pPr>
      <w:r>
        <w:rPr>
          <w:sz w:val="20"/>
        </w:rPr>
        <w:t>27.01.2017 16:10</w:t>
      </w:r>
    </w:p>
    <w:p w14:paraId="1C443E0F" w14:textId="496CC586" w:rsidR="00FB6320" w:rsidRPr="003D57F8" w:rsidRDefault="00FB6320" w:rsidP="00BF5644">
      <w:pPr>
        <w:spacing w:after="0" w:line="240" w:lineRule="auto"/>
        <w:rPr>
          <w:sz w:val="20"/>
        </w:rPr>
      </w:pPr>
      <w:r w:rsidRPr="003D57F8">
        <w:rPr>
          <w:sz w:val="20"/>
        </w:rPr>
        <w:fldChar w:fldCharType="begin"/>
      </w:r>
      <w:r w:rsidRPr="003D57F8">
        <w:rPr>
          <w:sz w:val="20"/>
        </w:rPr>
        <w:instrText xml:space="preserve"> NUMWORDS   \* MERGEFORMAT </w:instrText>
      </w:r>
      <w:r w:rsidRPr="003D57F8">
        <w:rPr>
          <w:sz w:val="20"/>
        </w:rPr>
        <w:fldChar w:fldCharType="separate"/>
      </w:r>
      <w:r w:rsidR="009C3979">
        <w:rPr>
          <w:noProof/>
          <w:sz w:val="20"/>
        </w:rPr>
        <w:t>1490</w:t>
      </w:r>
      <w:r w:rsidRPr="003D57F8">
        <w:rPr>
          <w:sz w:val="20"/>
        </w:rPr>
        <w:fldChar w:fldCharType="end"/>
      </w:r>
    </w:p>
    <w:p w14:paraId="010D807F" w14:textId="77777777" w:rsidR="005B5050" w:rsidRPr="005B5050" w:rsidRDefault="00813C32" w:rsidP="005B5050">
      <w:pPr>
        <w:spacing w:after="0" w:line="240" w:lineRule="auto"/>
        <w:rPr>
          <w:rFonts w:eastAsia="Times New Roman"/>
          <w:sz w:val="20"/>
        </w:rPr>
      </w:pPr>
      <w:r>
        <w:rPr>
          <w:rFonts w:eastAsia="Times New Roman"/>
          <w:sz w:val="20"/>
        </w:rPr>
        <w:t>I.Grīnberga</w:t>
      </w:r>
      <w:r w:rsidR="005B5050" w:rsidRPr="005B5050">
        <w:rPr>
          <w:rFonts w:eastAsia="Times New Roman"/>
          <w:sz w:val="20"/>
        </w:rPr>
        <w:t xml:space="preserve">, </w:t>
      </w:r>
    </w:p>
    <w:p w14:paraId="7E0740B4" w14:textId="77777777" w:rsidR="005B5050" w:rsidRPr="005B5050" w:rsidRDefault="005B5050" w:rsidP="005B5050">
      <w:pPr>
        <w:spacing w:after="0" w:line="240" w:lineRule="auto"/>
        <w:rPr>
          <w:rFonts w:eastAsia="Times New Roman"/>
          <w:sz w:val="20"/>
        </w:rPr>
      </w:pPr>
      <w:r w:rsidRPr="005B5050">
        <w:rPr>
          <w:rFonts w:eastAsia="Times New Roman"/>
          <w:sz w:val="20"/>
        </w:rPr>
        <w:t>67013</w:t>
      </w:r>
      <w:r w:rsidR="00813C32">
        <w:rPr>
          <w:rFonts w:eastAsia="Times New Roman"/>
          <w:sz w:val="20"/>
        </w:rPr>
        <w:t>231</w:t>
      </w:r>
      <w:r w:rsidRPr="005B5050">
        <w:rPr>
          <w:rFonts w:eastAsia="Times New Roman"/>
          <w:sz w:val="20"/>
        </w:rPr>
        <w:t xml:space="preserve"> </w:t>
      </w:r>
    </w:p>
    <w:p w14:paraId="774A3EE9" w14:textId="77777777" w:rsidR="005B5050" w:rsidRPr="005B5050" w:rsidRDefault="00867E96" w:rsidP="005B5050">
      <w:pPr>
        <w:spacing w:after="0" w:line="240" w:lineRule="auto"/>
        <w:rPr>
          <w:rFonts w:eastAsia="Times New Roman"/>
          <w:sz w:val="20"/>
        </w:rPr>
      </w:pPr>
      <w:hyperlink r:id="rId8" w:history="1">
        <w:r w:rsidR="00813C32" w:rsidRPr="0010396F">
          <w:rPr>
            <w:rStyle w:val="Hyperlink"/>
            <w:rFonts w:eastAsia="Times New Roman"/>
            <w:sz w:val="20"/>
          </w:rPr>
          <w:t>Ilze.Grinberga@em.gov.lv</w:t>
        </w:r>
      </w:hyperlink>
    </w:p>
    <w:p w14:paraId="765C703F" w14:textId="387524C2" w:rsidR="007660B7" w:rsidRDefault="007660B7" w:rsidP="005B5050">
      <w:pPr>
        <w:spacing w:after="0" w:line="240" w:lineRule="auto"/>
        <w:rPr>
          <w:rFonts w:eastAsia="Times New Roman"/>
          <w:color w:val="000000"/>
          <w:sz w:val="22"/>
          <w:lang w:eastAsia="lv-LV"/>
        </w:rPr>
      </w:pPr>
    </w:p>
    <w:p w14:paraId="010FEA84" w14:textId="5AA47ABB" w:rsidR="006924F0" w:rsidRPr="007660B7" w:rsidRDefault="007660B7" w:rsidP="007660B7">
      <w:pPr>
        <w:tabs>
          <w:tab w:val="left" w:pos="2505"/>
        </w:tabs>
        <w:rPr>
          <w:rFonts w:eastAsia="Times New Roman"/>
          <w:sz w:val="22"/>
          <w:lang w:eastAsia="lv-LV"/>
        </w:rPr>
      </w:pPr>
      <w:r>
        <w:rPr>
          <w:rFonts w:eastAsia="Times New Roman"/>
          <w:sz w:val="22"/>
          <w:lang w:eastAsia="lv-LV"/>
        </w:rPr>
        <w:tab/>
      </w:r>
    </w:p>
    <w:sectPr w:rsidR="006924F0" w:rsidRPr="007660B7" w:rsidSect="00BE28AA">
      <w:headerReference w:type="default" r:id="rId9"/>
      <w:footerReference w:type="default" r:id="rId10"/>
      <w:footerReference w:type="first" r:id="rId11"/>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5A0E" w14:textId="77777777" w:rsidR="00867E96" w:rsidRDefault="00867E96" w:rsidP="009B7B04">
      <w:pPr>
        <w:spacing w:after="0" w:line="240" w:lineRule="auto"/>
      </w:pPr>
      <w:r>
        <w:separator/>
      </w:r>
    </w:p>
  </w:endnote>
  <w:endnote w:type="continuationSeparator" w:id="0">
    <w:p w14:paraId="71AC58B2" w14:textId="77777777" w:rsidR="00867E96" w:rsidRDefault="00867E96"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D7B0" w14:textId="272472ED" w:rsidR="009D6516" w:rsidRPr="0064074A" w:rsidRDefault="009D6516"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6F5B72">
      <w:rPr>
        <w:rFonts w:eastAsia="Times New Roman"/>
        <w:noProof/>
        <w:sz w:val="18"/>
        <w:szCs w:val="18"/>
      </w:rPr>
      <w:t>EMAnot_</w:t>
    </w:r>
    <w:r w:rsidR="007660B7">
      <w:rPr>
        <w:rFonts w:eastAsia="Times New Roman"/>
        <w:noProof/>
        <w:sz w:val="18"/>
        <w:szCs w:val="18"/>
      </w:rPr>
      <w:t>270117_EEfondi</w:t>
    </w:r>
    <w:r w:rsidR="006F5B72">
      <w:rPr>
        <w:rFonts w:eastAsia="Times New Roman"/>
        <w:noProof/>
        <w:sz w:val="18"/>
        <w:szCs w:val="18"/>
      </w:rPr>
      <w:t>.docx</w:t>
    </w:r>
    <w:r w:rsidRPr="0064074A">
      <w:rPr>
        <w:rFonts w:eastAsia="Times New Roman"/>
        <w:sz w:val="18"/>
        <w:szCs w:val="18"/>
      </w:rPr>
      <w:fldChar w:fldCharType="end"/>
    </w:r>
    <w:r w:rsidR="007660B7">
      <w:rPr>
        <w:rFonts w:eastAsia="Times New Roman"/>
        <w:sz w:val="18"/>
        <w:szCs w:val="18"/>
      </w:rPr>
      <w:t>.</w:t>
    </w:r>
    <w:r w:rsidRPr="0064074A">
      <w:rPr>
        <w:rFonts w:eastAsia="Times New Roman"/>
        <w:sz w:val="18"/>
        <w:szCs w:val="18"/>
      </w:rPr>
      <w:t xml:space="preserve">; </w:t>
    </w:r>
    <w:r w:rsidRPr="00A46613">
      <w:rPr>
        <w:rFonts w:eastAsia="Times New Roman"/>
        <w:sz w:val="18"/>
        <w:szCs w:val="18"/>
      </w:rPr>
      <w:t>Ministru kabineta noteikumu projekta „Noteikumi par kārtību un apmēru, kādā tiek veiktas iemaksas energoefektivitātes fondā obligātā enerģijas ietaupījuma mērķa sasniegšanai un kārtību, kādā tiek izmantoti energoefektivitātes fonda līdzekļi”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6722" w14:textId="656490CA" w:rsidR="009D6516" w:rsidRPr="0064074A" w:rsidRDefault="009D6516"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6F5B72">
      <w:rPr>
        <w:rFonts w:eastAsia="Times New Roman"/>
        <w:noProof/>
        <w:sz w:val="18"/>
        <w:szCs w:val="18"/>
      </w:rPr>
      <w:t>EMAnot_190716_EEfondi (005)_ap.docx</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58530" w14:textId="77777777" w:rsidR="00867E96" w:rsidRDefault="00867E96" w:rsidP="009B7B04">
      <w:pPr>
        <w:spacing w:after="0" w:line="240" w:lineRule="auto"/>
      </w:pPr>
      <w:r>
        <w:separator/>
      </w:r>
    </w:p>
  </w:footnote>
  <w:footnote w:type="continuationSeparator" w:id="0">
    <w:p w14:paraId="6AAFFA4B" w14:textId="77777777" w:rsidR="00867E96" w:rsidRDefault="00867E96" w:rsidP="009B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E06BE" w14:textId="77777777" w:rsidR="009D6516" w:rsidRDefault="009D6516">
    <w:pPr>
      <w:pStyle w:val="Header"/>
      <w:jc w:val="center"/>
    </w:pPr>
    <w:r>
      <w:fldChar w:fldCharType="begin"/>
    </w:r>
    <w:r>
      <w:instrText xml:space="preserve"> PAGE   \* MERGEFORMAT </w:instrText>
    </w:r>
    <w:r>
      <w:fldChar w:fldCharType="separate"/>
    </w:r>
    <w:r w:rsidR="00C90287">
      <w:rPr>
        <w:noProof/>
      </w:rPr>
      <w:t>4</w:t>
    </w:r>
    <w:r>
      <w:rPr>
        <w:noProof/>
      </w:rPr>
      <w:fldChar w:fldCharType="end"/>
    </w:r>
  </w:p>
  <w:p w14:paraId="76959697" w14:textId="77777777" w:rsidR="009D6516" w:rsidRDefault="009D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A802BD"/>
    <w:multiLevelType w:val="hybridMultilevel"/>
    <w:tmpl w:val="773484C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7D5DB4"/>
    <w:multiLevelType w:val="hybridMultilevel"/>
    <w:tmpl w:val="63562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8"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
  </w:num>
  <w:num w:numId="3">
    <w:abstractNumId w:val="31"/>
  </w:num>
  <w:num w:numId="4">
    <w:abstractNumId w:val="9"/>
  </w:num>
  <w:num w:numId="5">
    <w:abstractNumId w:val="0"/>
  </w:num>
  <w:num w:numId="6">
    <w:abstractNumId w:val="16"/>
  </w:num>
  <w:num w:numId="7">
    <w:abstractNumId w:val="12"/>
  </w:num>
  <w:num w:numId="8">
    <w:abstractNumId w:val="38"/>
  </w:num>
  <w:num w:numId="9">
    <w:abstractNumId w:val="23"/>
  </w:num>
  <w:num w:numId="10">
    <w:abstractNumId w:val="3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8"/>
  </w:num>
  <w:num w:numId="14">
    <w:abstractNumId w:val="41"/>
  </w:num>
  <w:num w:numId="15">
    <w:abstractNumId w:val="29"/>
  </w:num>
  <w:num w:numId="16">
    <w:abstractNumId w:val="5"/>
  </w:num>
  <w:num w:numId="17">
    <w:abstractNumId w:val="21"/>
  </w:num>
  <w:num w:numId="18">
    <w:abstractNumId w:val="27"/>
  </w:num>
  <w:num w:numId="19">
    <w:abstractNumId w:val="10"/>
  </w:num>
  <w:num w:numId="20">
    <w:abstractNumId w:val="34"/>
  </w:num>
  <w:num w:numId="21">
    <w:abstractNumId w:val="1"/>
  </w:num>
  <w:num w:numId="22">
    <w:abstractNumId w:val="19"/>
  </w:num>
  <w:num w:numId="23">
    <w:abstractNumId w:val="32"/>
  </w:num>
  <w:num w:numId="24">
    <w:abstractNumId w:val="25"/>
  </w:num>
  <w:num w:numId="25">
    <w:abstractNumId w:val="2"/>
  </w:num>
  <w:num w:numId="26">
    <w:abstractNumId w:val="24"/>
  </w:num>
  <w:num w:numId="27">
    <w:abstractNumId w:val="7"/>
  </w:num>
  <w:num w:numId="28">
    <w:abstractNumId w:val="28"/>
  </w:num>
  <w:num w:numId="29">
    <w:abstractNumId w:val="17"/>
  </w:num>
  <w:num w:numId="30">
    <w:abstractNumId w:val="14"/>
  </w:num>
  <w:num w:numId="31">
    <w:abstractNumId w:val="13"/>
  </w:num>
  <w:num w:numId="32">
    <w:abstractNumId w:val="8"/>
  </w:num>
  <w:num w:numId="33">
    <w:abstractNumId w:val="15"/>
  </w:num>
  <w:num w:numId="34">
    <w:abstractNumId w:val="30"/>
  </w:num>
  <w:num w:numId="35">
    <w:abstractNumId w:val="36"/>
  </w:num>
  <w:num w:numId="36">
    <w:abstractNumId w:val="26"/>
  </w:num>
  <w:num w:numId="37">
    <w:abstractNumId w:val="4"/>
  </w:num>
  <w:num w:numId="38">
    <w:abstractNumId w:val="22"/>
  </w:num>
  <w:num w:numId="39">
    <w:abstractNumId w:val="3"/>
  </w:num>
  <w:num w:numId="40">
    <w:abstractNumId w:val="11"/>
  </w:num>
  <w:num w:numId="41">
    <w:abstractNumId w:val="20"/>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D5D"/>
    <w:rsid w:val="00006EDE"/>
    <w:rsid w:val="000075C0"/>
    <w:rsid w:val="000104A1"/>
    <w:rsid w:val="00010770"/>
    <w:rsid w:val="00010993"/>
    <w:rsid w:val="000113B4"/>
    <w:rsid w:val="0001166F"/>
    <w:rsid w:val="00011D36"/>
    <w:rsid w:val="00011EE1"/>
    <w:rsid w:val="00012A38"/>
    <w:rsid w:val="000138B5"/>
    <w:rsid w:val="00013A46"/>
    <w:rsid w:val="00013E4E"/>
    <w:rsid w:val="00014AAD"/>
    <w:rsid w:val="00014C07"/>
    <w:rsid w:val="000164EE"/>
    <w:rsid w:val="000167BE"/>
    <w:rsid w:val="00016DF8"/>
    <w:rsid w:val="0002008F"/>
    <w:rsid w:val="00020CE9"/>
    <w:rsid w:val="00022E55"/>
    <w:rsid w:val="000231E2"/>
    <w:rsid w:val="00023A5A"/>
    <w:rsid w:val="00023BE7"/>
    <w:rsid w:val="00023E3E"/>
    <w:rsid w:val="00024F24"/>
    <w:rsid w:val="000255B1"/>
    <w:rsid w:val="00025CC1"/>
    <w:rsid w:val="00025CF5"/>
    <w:rsid w:val="00025D35"/>
    <w:rsid w:val="00026170"/>
    <w:rsid w:val="00027286"/>
    <w:rsid w:val="00027EE5"/>
    <w:rsid w:val="00030114"/>
    <w:rsid w:val="000309C8"/>
    <w:rsid w:val="00030A47"/>
    <w:rsid w:val="00030B20"/>
    <w:rsid w:val="0003133C"/>
    <w:rsid w:val="00031D95"/>
    <w:rsid w:val="00032F64"/>
    <w:rsid w:val="00033143"/>
    <w:rsid w:val="0003379C"/>
    <w:rsid w:val="000340DB"/>
    <w:rsid w:val="0003532E"/>
    <w:rsid w:val="0003542F"/>
    <w:rsid w:val="00035F54"/>
    <w:rsid w:val="00036136"/>
    <w:rsid w:val="00037D94"/>
    <w:rsid w:val="0004014B"/>
    <w:rsid w:val="00040328"/>
    <w:rsid w:val="0004050D"/>
    <w:rsid w:val="00040722"/>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585C"/>
    <w:rsid w:val="00066816"/>
    <w:rsid w:val="00066D44"/>
    <w:rsid w:val="000711B6"/>
    <w:rsid w:val="00071B1D"/>
    <w:rsid w:val="00071DD8"/>
    <w:rsid w:val="000720EA"/>
    <w:rsid w:val="00072FBA"/>
    <w:rsid w:val="000743F0"/>
    <w:rsid w:val="00074D4B"/>
    <w:rsid w:val="0007514F"/>
    <w:rsid w:val="000813A3"/>
    <w:rsid w:val="00083295"/>
    <w:rsid w:val="00084269"/>
    <w:rsid w:val="0008576F"/>
    <w:rsid w:val="00086E26"/>
    <w:rsid w:val="00087B06"/>
    <w:rsid w:val="000906E4"/>
    <w:rsid w:val="00091297"/>
    <w:rsid w:val="00091470"/>
    <w:rsid w:val="000935D8"/>
    <w:rsid w:val="00094544"/>
    <w:rsid w:val="00094834"/>
    <w:rsid w:val="00095B7F"/>
    <w:rsid w:val="0009653E"/>
    <w:rsid w:val="00097D48"/>
    <w:rsid w:val="00097F15"/>
    <w:rsid w:val="000A3BC0"/>
    <w:rsid w:val="000A3BFC"/>
    <w:rsid w:val="000A41FD"/>
    <w:rsid w:val="000A6B9D"/>
    <w:rsid w:val="000A7C66"/>
    <w:rsid w:val="000B1552"/>
    <w:rsid w:val="000B1918"/>
    <w:rsid w:val="000B1C29"/>
    <w:rsid w:val="000B1EDB"/>
    <w:rsid w:val="000B1F27"/>
    <w:rsid w:val="000B34B1"/>
    <w:rsid w:val="000B525A"/>
    <w:rsid w:val="000B5629"/>
    <w:rsid w:val="000B5A6E"/>
    <w:rsid w:val="000B639F"/>
    <w:rsid w:val="000B64A6"/>
    <w:rsid w:val="000B65A6"/>
    <w:rsid w:val="000B7E67"/>
    <w:rsid w:val="000C0416"/>
    <w:rsid w:val="000C0855"/>
    <w:rsid w:val="000C25C8"/>
    <w:rsid w:val="000C25D1"/>
    <w:rsid w:val="000C2949"/>
    <w:rsid w:val="000C2BC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393A"/>
    <w:rsid w:val="00103D80"/>
    <w:rsid w:val="00105B68"/>
    <w:rsid w:val="00105C5E"/>
    <w:rsid w:val="00106157"/>
    <w:rsid w:val="00106A5A"/>
    <w:rsid w:val="001076C4"/>
    <w:rsid w:val="00107BE2"/>
    <w:rsid w:val="0011147C"/>
    <w:rsid w:val="0011238E"/>
    <w:rsid w:val="0011328A"/>
    <w:rsid w:val="001133F9"/>
    <w:rsid w:val="00113648"/>
    <w:rsid w:val="00113800"/>
    <w:rsid w:val="00113BE9"/>
    <w:rsid w:val="001145EC"/>
    <w:rsid w:val="00114621"/>
    <w:rsid w:val="00114AE0"/>
    <w:rsid w:val="0011586C"/>
    <w:rsid w:val="001166FF"/>
    <w:rsid w:val="00120398"/>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10CC"/>
    <w:rsid w:val="001313F0"/>
    <w:rsid w:val="0013153E"/>
    <w:rsid w:val="00132CD9"/>
    <w:rsid w:val="00132FC9"/>
    <w:rsid w:val="00133FD7"/>
    <w:rsid w:val="00135C62"/>
    <w:rsid w:val="00135F3B"/>
    <w:rsid w:val="0013681E"/>
    <w:rsid w:val="00137A81"/>
    <w:rsid w:val="00137C44"/>
    <w:rsid w:val="001400F5"/>
    <w:rsid w:val="00140276"/>
    <w:rsid w:val="00141035"/>
    <w:rsid w:val="00141DBB"/>
    <w:rsid w:val="00141ECA"/>
    <w:rsid w:val="00142EA3"/>
    <w:rsid w:val="00142F86"/>
    <w:rsid w:val="001430B6"/>
    <w:rsid w:val="00144640"/>
    <w:rsid w:val="00147923"/>
    <w:rsid w:val="00150742"/>
    <w:rsid w:val="00150CF7"/>
    <w:rsid w:val="00151F11"/>
    <w:rsid w:val="001531D1"/>
    <w:rsid w:val="00153472"/>
    <w:rsid w:val="001535AB"/>
    <w:rsid w:val="001535AF"/>
    <w:rsid w:val="001557A1"/>
    <w:rsid w:val="0015651C"/>
    <w:rsid w:val="001578B4"/>
    <w:rsid w:val="0016064A"/>
    <w:rsid w:val="00160C02"/>
    <w:rsid w:val="00160DD8"/>
    <w:rsid w:val="00161052"/>
    <w:rsid w:val="00161D54"/>
    <w:rsid w:val="0016554F"/>
    <w:rsid w:val="00165858"/>
    <w:rsid w:val="00165BBE"/>
    <w:rsid w:val="00165E5F"/>
    <w:rsid w:val="00166A86"/>
    <w:rsid w:val="00167018"/>
    <w:rsid w:val="00167CA1"/>
    <w:rsid w:val="001717E7"/>
    <w:rsid w:val="0017301E"/>
    <w:rsid w:val="001730F2"/>
    <w:rsid w:val="001761A5"/>
    <w:rsid w:val="00176475"/>
    <w:rsid w:val="00176E54"/>
    <w:rsid w:val="00176FCB"/>
    <w:rsid w:val="001771EE"/>
    <w:rsid w:val="0017744F"/>
    <w:rsid w:val="00177746"/>
    <w:rsid w:val="0018075B"/>
    <w:rsid w:val="00182AE2"/>
    <w:rsid w:val="00182D6A"/>
    <w:rsid w:val="00182ED3"/>
    <w:rsid w:val="00183320"/>
    <w:rsid w:val="0018371E"/>
    <w:rsid w:val="001859B8"/>
    <w:rsid w:val="00185CA4"/>
    <w:rsid w:val="0018690E"/>
    <w:rsid w:val="0018710D"/>
    <w:rsid w:val="001875B0"/>
    <w:rsid w:val="0019635D"/>
    <w:rsid w:val="00196F61"/>
    <w:rsid w:val="00197DD2"/>
    <w:rsid w:val="00197FB6"/>
    <w:rsid w:val="001A05E2"/>
    <w:rsid w:val="001A2D78"/>
    <w:rsid w:val="001A2E55"/>
    <w:rsid w:val="001A3979"/>
    <w:rsid w:val="001A483D"/>
    <w:rsid w:val="001A5755"/>
    <w:rsid w:val="001A6441"/>
    <w:rsid w:val="001A72E8"/>
    <w:rsid w:val="001A7DD6"/>
    <w:rsid w:val="001A7FE3"/>
    <w:rsid w:val="001B0CB1"/>
    <w:rsid w:val="001B1380"/>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362"/>
    <w:rsid w:val="001D44FC"/>
    <w:rsid w:val="001D4AC5"/>
    <w:rsid w:val="001D516A"/>
    <w:rsid w:val="001D5992"/>
    <w:rsid w:val="001D617D"/>
    <w:rsid w:val="001D66DF"/>
    <w:rsid w:val="001D73D3"/>
    <w:rsid w:val="001E0A30"/>
    <w:rsid w:val="001E11FC"/>
    <w:rsid w:val="001E1505"/>
    <w:rsid w:val="001E1B84"/>
    <w:rsid w:val="001E2D82"/>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6FAE"/>
    <w:rsid w:val="001F721B"/>
    <w:rsid w:val="001F7CB1"/>
    <w:rsid w:val="00200C9C"/>
    <w:rsid w:val="002015C8"/>
    <w:rsid w:val="00201E76"/>
    <w:rsid w:val="00202CD9"/>
    <w:rsid w:val="002034D0"/>
    <w:rsid w:val="002035BD"/>
    <w:rsid w:val="0020486C"/>
    <w:rsid w:val="0020497A"/>
    <w:rsid w:val="002051A4"/>
    <w:rsid w:val="00205434"/>
    <w:rsid w:val="00205F4C"/>
    <w:rsid w:val="0020683E"/>
    <w:rsid w:val="0021136F"/>
    <w:rsid w:val="00212F42"/>
    <w:rsid w:val="0021307E"/>
    <w:rsid w:val="002138F2"/>
    <w:rsid w:val="0021439D"/>
    <w:rsid w:val="0021526F"/>
    <w:rsid w:val="0021687E"/>
    <w:rsid w:val="0021736C"/>
    <w:rsid w:val="00220331"/>
    <w:rsid w:val="002211E9"/>
    <w:rsid w:val="00221FAE"/>
    <w:rsid w:val="002223C4"/>
    <w:rsid w:val="0022251F"/>
    <w:rsid w:val="002229B7"/>
    <w:rsid w:val="00222A8D"/>
    <w:rsid w:val="00222C90"/>
    <w:rsid w:val="0022302F"/>
    <w:rsid w:val="002251C1"/>
    <w:rsid w:val="00226826"/>
    <w:rsid w:val="00226DEE"/>
    <w:rsid w:val="002277B9"/>
    <w:rsid w:val="00227865"/>
    <w:rsid w:val="00227CB6"/>
    <w:rsid w:val="002312FB"/>
    <w:rsid w:val="00233176"/>
    <w:rsid w:val="002334BA"/>
    <w:rsid w:val="00234144"/>
    <w:rsid w:val="0023640E"/>
    <w:rsid w:val="002370EA"/>
    <w:rsid w:val="00237D1F"/>
    <w:rsid w:val="00240894"/>
    <w:rsid w:val="00240D2C"/>
    <w:rsid w:val="002416C1"/>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59BA"/>
    <w:rsid w:val="0025644C"/>
    <w:rsid w:val="002569EC"/>
    <w:rsid w:val="002616FA"/>
    <w:rsid w:val="00262E92"/>
    <w:rsid w:val="002631B1"/>
    <w:rsid w:val="00264A3B"/>
    <w:rsid w:val="002667C1"/>
    <w:rsid w:val="00267929"/>
    <w:rsid w:val="002704E2"/>
    <w:rsid w:val="002730F9"/>
    <w:rsid w:val="002732B1"/>
    <w:rsid w:val="0027395B"/>
    <w:rsid w:val="00273FFB"/>
    <w:rsid w:val="002740C4"/>
    <w:rsid w:val="002769D0"/>
    <w:rsid w:val="00276F75"/>
    <w:rsid w:val="0027720D"/>
    <w:rsid w:val="00281287"/>
    <w:rsid w:val="002815E6"/>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1DF"/>
    <w:rsid w:val="0029674D"/>
    <w:rsid w:val="00296790"/>
    <w:rsid w:val="00296AD3"/>
    <w:rsid w:val="00297275"/>
    <w:rsid w:val="002A090E"/>
    <w:rsid w:val="002A0C64"/>
    <w:rsid w:val="002A101B"/>
    <w:rsid w:val="002A181A"/>
    <w:rsid w:val="002A1D86"/>
    <w:rsid w:val="002A2898"/>
    <w:rsid w:val="002A2FFE"/>
    <w:rsid w:val="002A3702"/>
    <w:rsid w:val="002A39F0"/>
    <w:rsid w:val="002A458A"/>
    <w:rsid w:val="002A47D3"/>
    <w:rsid w:val="002A4817"/>
    <w:rsid w:val="002A50D9"/>
    <w:rsid w:val="002A5DD0"/>
    <w:rsid w:val="002A64D0"/>
    <w:rsid w:val="002A748C"/>
    <w:rsid w:val="002A7AB3"/>
    <w:rsid w:val="002B0CD8"/>
    <w:rsid w:val="002B0E13"/>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0DED"/>
    <w:rsid w:val="002D19F7"/>
    <w:rsid w:val="002D1AA4"/>
    <w:rsid w:val="002D234E"/>
    <w:rsid w:val="002D2734"/>
    <w:rsid w:val="002D2D1E"/>
    <w:rsid w:val="002D2DCD"/>
    <w:rsid w:val="002D3171"/>
    <w:rsid w:val="002D39D1"/>
    <w:rsid w:val="002D4187"/>
    <w:rsid w:val="002D475E"/>
    <w:rsid w:val="002D536C"/>
    <w:rsid w:val="002D5F19"/>
    <w:rsid w:val="002D6555"/>
    <w:rsid w:val="002D6B3C"/>
    <w:rsid w:val="002D7BEF"/>
    <w:rsid w:val="002D7D99"/>
    <w:rsid w:val="002E0129"/>
    <w:rsid w:val="002E0C7E"/>
    <w:rsid w:val="002E15B0"/>
    <w:rsid w:val="002E248E"/>
    <w:rsid w:val="002E2CBB"/>
    <w:rsid w:val="002E5EE7"/>
    <w:rsid w:val="002E677F"/>
    <w:rsid w:val="002E68D5"/>
    <w:rsid w:val="002E7103"/>
    <w:rsid w:val="002E713F"/>
    <w:rsid w:val="002F1B4C"/>
    <w:rsid w:val="002F2234"/>
    <w:rsid w:val="002F29EA"/>
    <w:rsid w:val="002F5680"/>
    <w:rsid w:val="002F6A27"/>
    <w:rsid w:val="002F7667"/>
    <w:rsid w:val="00300096"/>
    <w:rsid w:val="00300DD4"/>
    <w:rsid w:val="003018A3"/>
    <w:rsid w:val="00301ACA"/>
    <w:rsid w:val="0030376F"/>
    <w:rsid w:val="00304542"/>
    <w:rsid w:val="00305EC7"/>
    <w:rsid w:val="00306704"/>
    <w:rsid w:val="003074DF"/>
    <w:rsid w:val="00307738"/>
    <w:rsid w:val="00311BE4"/>
    <w:rsid w:val="00311EBE"/>
    <w:rsid w:val="00312956"/>
    <w:rsid w:val="003135B1"/>
    <w:rsid w:val="003153F5"/>
    <w:rsid w:val="00315E1E"/>
    <w:rsid w:val="0031680D"/>
    <w:rsid w:val="00316D64"/>
    <w:rsid w:val="00316ED2"/>
    <w:rsid w:val="00316F8E"/>
    <w:rsid w:val="00316FC9"/>
    <w:rsid w:val="00317954"/>
    <w:rsid w:val="00320124"/>
    <w:rsid w:val="00321006"/>
    <w:rsid w:val="0032171F"/>
    <w:rsid w:val="00322F14"/>
    <w:rsid w:val="0032332E"/>
    <w:rsid w:val="00323C6F"/>
    <w:rsid w:val="00324ADC"/>
    <w:rsid w:val="00324FC9"/>
    <w:rsid w:val="0032548C"/>
    <w:rsid w:val="00327564"/>
    <w:rsid w:val="0032781C"/>
    <w:rsid w:val="00327BCE"/>
    <w:rsid w:val="0033089E"/>
    <w:rsid w:val="003328A2"/>
    <w:rsid w:val="003331F3"/>
    <w:rsid w:val="00333522"/>
    <w:rsid w:val="00333576"/>
    <w:rsid w:val="00334C68"/>
    <w:rsid w:val="003369D0"/>
    <w:rsid w:val="003370B2"/>
    <w:rsid w:val="00340C07"/>
    <w:rsid w:val="0034102A"/>
    <w:rsid w:val="00341CC6"/>
    <w:rsid w:val="00341E2F"/>
    <w:rsid w:val="00344486"/>
    <w:rsid w:val="003449EC"/>
    <w:rsid w:val="003454FC"/>
    <w:rsid w:val="00345F61"/>
    <w:rsid w:val="003466BC"/>
    <w:rsid w:val="00346AA3"/>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345A"/>
    <w:rsid w:val="0037425B"/>
    <w:rsid w:val="003748F1"/>
    <w:rsid w:val="003751AD"/>
    <w:rsid w:val="0037576B"/>
    <w:rsid w:val="00380018"/>
    <w:rsid w:val="0038100D"/>
    <w:rsid w:val="00381EFE"/>
    <w:rsid w:val="003820E0"/>
    <w:rsid w:val="00382820"/>
    <w:rsid w:val="00383969"/>
    <w:rsid w:val="003843FF"/>
    <w:rsid w:val="003849FB"/>
    <w:rsid w:val="00385432"/>
    <w:rsid w:val="00386483"/>
    <w:rsid w:val="00386885"/>
    <w:rsid w:val="00390428"/>
    <w:rsid w:val="00390A1E"/>
    <w:rsid w:val="00390A50"/>
    <w:rsid w:val="00390ABC"/>
    <w:rsid w:val="0039270E"/>
    <w:rsid w:val="00393225"/>
    <w:rsid w:val="00394524"/>
    <w:rsid w:val="00394A40"/>
    <w:rsid w:val="00394C5E"/>
    <w:rsid w:val="00394FB6"/>
    <w:rsid w:val="00395504"/>
    <w:rsid w:val="00395B1B"/>
    <w:rsid w:val="00396059"/>
    <w:rsid w:val="00396C3D"/>
    <w:rsid w:val="00397DBA"/>
    <w:rsid w:val="00397F3F"/>
    <w:rsid w:val="003A0D48"/>
    <w:rsid w:val="003A23D9"/>
    <w:rsid w:val="003A3AFF"/>
    <w:rsid w:val="003A5FC7"/>
    <w:rsid w:val="003A6186"/>
    <w:rsid w:val="003A634B"/>
    <w:rsid w:val="003A68B5"/>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C639F"/>
    <w:rsid w:val="003D01CD"/>
    <w:rsid w:val="003D0797"/>
    <w:rsid w:val="003D1591"/>
    <w:rsid w:val="003D1647"/>
    <w:rsid w:val="003D191A"/>
    <w:rsid w:val="003D1B0D"/>
    <w:rsid w:val="003D25D8"/>
    <w:rsid w:val="003D28AD"/>
    <w:rsid w:val="003D2942"/>
    <w:rsid w:val="003D3AC0"/>
    <w:rsid w:val="003D4845"/>
    <w:rsid w:val="003D57F8"/>
    <w:rsid w:val="003D7EA1"/>
    <w:rsid w:val="003E052B"/>
    <w:rsid w:val="003E198A"/>
    <w:rsid w:val="003E2C39"/>
    <w:rsid w:val="003E3A67"/>
    <w:rsid w:val="003E5459"/>
    <w:rsid w:val="003E56E9"/>
    <w:rsid w:val="003E7391"/>
    <w:rsid w:val="003E7B92"/>
    <w:rsid w:val="003F0210"/>
    <w:rsid w:val="003F052D"/>
    <w:rsid w:val="003F1C0E"/>
    <w:rsid w:val="003F2240"/>
    <w:rsid w:val="003F2D1D"/>
    <w:rsid w:val="003F4854"/>
    <w:rsid w:val="003F563B"/>
    <w:rsid w:val="003F609E"/>
    <w:rsid w:val="003F672B"/>
    <w:rsid w:val="003F69C9"/>
    <w:rsid w:val="003F7FBF"/>
    <w:rsid w:val="00400B94"/>
    <w:rsid w:val="00401350"/>
    <w:rsid w:val="004024DB"/>
    <w:rsid w:val="00402800"/>
    <w:rsid w:val="00404216"/>
    <w:rsid w:val="00405218"/>
    <w:rsid w:val="00405E54"/>
    <w:rsid w:val="00406492"/>
    <w:rsid w:val="00406954"/>
    <w:rsid w:val="004071D3"/>
    <w:rsid w:val="004078DC"/>
    <w:rsid w:val="004106C3"/>
    <w:rsid w:val="004108A7"/>
    <w:rsid w:val="00411FD0"/>
    <w:rsid w:val="00411FD4"/>
    <w:rsid w:val="00412A32"/>
    <w:rsid w:val="00414A18"/>
    <w:rsid w:val="00414B37"/>
    <w:rsid w:val="00415638"/>
    <w:rsid w:val="00415840"/>
    <w:rsid w:val="004159D3"/>
    <w:rsid w:val="00415B9C"/>
    <w:rsid w:val="00416C4B"/>
    <w:rsid w:val="00416CC4"/>
    <w:rsid w:val="0041714B"/>
    <w:rsid w:val="00420B9C"/>
    <w:rsid w:val="00420DB9"/>
    <w:rsid w:val="00422BA2"/>
    <w:rsid w:val="00426298"/>
    <w:rsid w:val="0042638D"/>
    <w:rsid w:val="00426945"/>
    <w:rsid w:val="004305E9"/>
    <w:rsid w:val="00431CEC"/>
    <w:rsid w:val="0043378F"/>
    <w:rsid w:val="00434360"/>
    <w:rsid w:val="0043467C"/>
    <w:rsid w:val="004353D0"/>
    <w:rsid w:val="004356D2"/>
    <w:rsid w:val="00436B55"/>
    <w:rsid w:val="00436FEC"/>
    <w:rsid w:val="00437446"/>
    <w:rsid w:val="00437C82"/>
    <w:rsid w:val="00440511"/>
    <w:rsid w:val="0044199C"/>
    <w:rsid w:val="00442017"/>
    <w:rsid w:val="00442BDE"/>
    <w:rsid w:val="00443323"/>
    <w:rsid w:val="00443C2A"/>
    <w:rsid w:val="00444733"/>
    <w:rsid w:val="00450291"/>
    <w:rsid w:val="004508B3"/>
    <w:rsid w:val="004520E9"/>
    <w:rsid w:val="0045388B"/>
    <w:rsid w:val="004540E4"/>
    <w:rsid w:val="00455F7E"/>
    <w:rsid w:val="00456F15"/>
    <w:rsid w:val="00457A1E"/>
    <w:rsid w:val="004600B7"/>
    <w:rsid w:val="00461991"/>
    <w:rsid w:val="00461DDA"/>
    <w:rsid w:val="00463A30"/>
    <w:rsid w:val="0046418D"/>
    <w:rsid w:val="004641B5"/>
    <w:rsid w:val="004653FD"/>
    <w:rsid w:val="0046554B"/>
    <w:rsid w:val="00466470"/>
    <w:rsid w:val="00466844"/>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39A5"/>
    <w:rsid w:val="00485876"/>
    <w:rsid w:val="00486484"/>
    <w:rsid w:val="00486591"/>
    <w:rsid w:val="00487903"/>
    <w:rsid w:val="00491FA7"/>
    <w:rsid w:val="00492A2E"/>
    <w:rsid w:val="00492C2F"/>
    <w:rsid w:val="00493252"/>
    <w:rsid w:val="00493953"/>
    <w:rsid w:val="00493EF8"/>
    <w:rsid w:val="004950C0"/>
    <w:rsid w:val="00496C01"/>
    <w:rsid w:val="00497019"/>
    <w:rsid w:val="0049779A"/>
    <w:rsid w:val="004A19ED"/>
    <w:rsid w:val="004A3F46"/>
    <w:rsid w:val="004A42AD"/>
    <w:rsid w:val="004A48F5"/>
    <w:rsid w:val="004A4D1A"/>
    <w:rsid w:val="004A5020"/>
    <w:rsid w:val="004A586A"/>
    <w:rsid w:val="004A635E"/>
    <w:rsid w:val="004A6B42"/>
    <w:rsid w:val="004A7F64"/>
    <w:rsid w:val="004B1A9B"/>
    <w:rsid w:val="004B29AF"/>
    <w:rsid w:val="004B2C1D"/>
    <w:rsid w:val="004B2E79"/>
    <w:rsid w:val="004B5716"/>
    <w:rsid w:val="004B63D8"/>
    <w:rsid w:val="004B6589"/>
    <w:rsid w:val="004B68FC"/>
    <w:rsid w:val="004B7521"/>
    <w:rsid w:val="004C0779"/>
    <w:rsid w:val="004C126B"/>
    <w:rsid w:val="004C2013"/>
    <w:rsid w:val="004C25D9"/>
    <w:rsid w:val="004C3462"/>
    <w:rsid w:val="004C50D8"/>
    <w:rsid w:val="004C63FC"/>
    <w:rsid w:val="004C66D9"/>
    <w:rsid w:val="004C68A0"/>
    <w:rsid w:val="004C717B"/>
    <w:rsid w:val="004D0261"/>
    <w:rsid w:val="004D0A07"/>
    <w:rsid w:val="004D0C51"/>
    <w:rsid w:val="004D13E4"/>
    <w:rsid w:val="004D3400"/>
    <w:rsid w:val="004D444F"/>
    <w:rsid w:val="004D5AED"/>
    <w:rsid w:val="004E1492"/>
    <w:rsid w:val="004E15BC"/>
    <w:rsid w:val="004E3615"/>
    <w:rsid w:val="004E420C"/>
    <w:rsid w:val="004E434D"/>
    <w:rsid w:val="004E4E0A"/>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4D9D"/>
    <w:rsid w:val="004F517F"/>
    <w:rsid w:val="004F51A4"/>
    <w:rsid w:val="004F66BC"/>
    <w:rsid w:val="004F6953"/>
    <w:rsid w:val="004F7295"/>
    <w:rsid w:val="004F7E5D"/>
    <w:rsid w:val="005015E3"/>
    <w:rsid w:val="005022B8"/>
    <w:rsid w:val="00503CC7"/>
    <w:rsid w:val="005041E3"/>
    <w:rsid w:val="005048E6"/>
    <w:rsid w:val="005051D7"/>
    <w:rsid w:val="005054BF"/>
    <w:rsid w:val="00507641"/>
    <w:rsid w:val="00513702"/>
    <w:rsid w:val="00513F14"/>
    <w:rsid w:val="005148CD"/>
    <w:rsid w:val="005158D0"/>
    <w:rsid w:val="005158D1"/>
    <w:rsid w:val="005165C9"/>
    <w:rsid w:val="00516C2B"/>
    <w:rsid w:val="00520505"/>
    <w:rsid w:val="00520C54"/>
    <w:rsid w:val="00520C85"/>
    <w:rsid w:val="00521F70"/>
    <w:rsid w:val="005220E3"/>
    <w:rsid w:val="0052366A"/>
    <w:rsid w:val="005255A3"/>
    <w:rsid w:val="00525600"/>
    <w:rsid w:val="0052572B"/>
    <w:rsid w:val="00526229"/>
    <w:rsid w:val="0052659B"/>
    <w:rsid w:val="005269AB"/>
    <w:rsid w:val="00526F95"/>
    <w:rsid w:val="005271F9"/>
    <w:rsid w:val="0053144C"/>
    <w:rsid w:val="005322B1"/>
    <w:rsid w:val="00534066"/>
    <w:rsid w:val="0053425E"/>
    <w:rsid w:val="00535809"/>
    <w:rsid w:val="005360D2"/>
    <w:rsid w:val="00540B3C"/>
    <w:rsid w:val="00540B69"/>
    <w:rsid w:val="00540C69"/>
    <w:rsid w:val="00541231"/>
    <w:rsid w:val="00541238"/>
    <w:rsid w:val="0054131D"/>
    <w:rsid w:val="0054139D"/>
    <w:rsid w:val="005417C6"/>
    <w:rsid w:val="00541C9C"/>
    <w:rsid w:val="00542D7E"/>
    <w:rsid w:val="00543951"/>
    <w:rsid w:val="00543BA3"/>
    <w:rsid w:val="00543C05"/>
    <w:rsid w:val="00544956"/>
    <w:rsid w:val="00545410"/>
    <w:rsid w:val="00545998"/>
    <w:rsid w:val="00545A90"/>
    <w:rsid w:val="00545F60"/>
    <w:rsid w:val="00546720"/>
    <w:rsid w:val="0054673E"/>
    <w:rsid w:val="00546ECC"/>
    <w:rsid w:val="00547686"/>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4DB6"/>
    <w:rsid w:val="0056638E"/>
    <w:rsid w:val="005666B1"/>
    <w:rsid w:val="005673F8"/>
    <w:rsid w:val="0057004A"/>
    <w:rsid w:val="00572AF5"/>
    <w:rsid w:val="00573B80"/>
    <w:rsid w:val="00575847"/>
    <w:rsid w:val="005758C3"/>
    <w:rsid w:val="00575936"/>
    <w:rsid w:val="00575D1F"/>
    <w:rsid w:val="00576E1B"/>
    <w:rsid w:val="005770CB"/>
    <w:rsid w:val="005809C4"/>
    <w:rsid w:val="00580E8E"/>
    <w:rsid w:val="00581119"/>
    <w:rsid w:val="0058144E"/>
    <w:rsid w:val="00581736"/>
    <w:rsid w:val="00581C7B"/>
    <w:rsid w:val="005825E7"/>
    <w:rsid w:val="0058336C"/>
    <w:rsid w:val="0058411E"/>
    <w:rsid w:val="00584677"/>
    <w:rsid w:val="005851FA"/>
    <w:rsid w:val="00585937"/>
    <w:rsid w:val="00590439"/>
    <w:rsid w:val="0059088A"/>
    <w:rsid w:val="00591783"/>
    <w:rsid w:val="005919B0"/>
    <w:rsid w:val="005928AB"/>
    <w:rsid w:val="0059368F"/>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50"/>
    <w:rsid w:val="005A4266"/>
    <w:rsid w:val="005A46AA"/>
    <w:rsid w:val="005A4C0A"/>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050"/>
    <w:rsid w:val="005B5BBA"/>
    <w:rsid w:val="005B7113"/>
    <w:rsid w:val="005B7874"/>
    <w:rsid w:val="005B7AE8"/>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249A"/>
    <w:rsid w:val="005D2B9F"/>
    <w:rsid w:val="005D5D89"/>
    <w:rsid w:val="005D6CFD"/>
    <w:rsid w:val="005D78F2"/>
    <w:rsid w:val="005E047E"/>
    <w:rsid w:val="005E094C"/>
    <w:rsid w:val="005E13B8"/>
    <w:rsid w:val="005E2D73"/>
    <w:rsid w:val="005E3ECA"/>
    <w:rsid w:val="005E40C5"/>
    <w:rsid w:val="005E4221"/>
    <w:rsid w:val="005E462C"/>
    <w:rsid w:val="005E4CBF"/>
    <w:rsid w:val="005E6FC7"/>
    <w:rsid w:val="005F0280"/>
    <w:rsid w:val="005F03DC"/>
    <w:rsid w:val="005F081F"/>
    <w:rsid w:val="005F1AE3"/>
    <w:rsid w:val="005F2482"/>
    <w:rsid w:val="005F2C11"/>
    <w:rsid w:val="005F3454"/>
    <w:rsid w:val="005F3849"/>
    <w:rsid w:val="005F4079"/>
    <w:rsid w:val="005F4505"/>
    <w:rsid w:val="005F481F"/>
    <w:rsid w:val="005F6BA5"/>
    <w:rsid w:val="005F7674"/>
    <w:rsid w:val="005F7C18"/>
    <w:rsid w:val="0060007C"/>
    <w:rsid w:val="00601061"/>
    <w:rsid w:val="006019C3"/>
    <w:rsid w:val="00602D8F"/>
    <w:rsid w:val="006030AD"/>
    <w:rsid w:val="006041EA"/>
    <w:rsid w:val="006042AA"/>
    <w:rsid w:val="00604853"/>
    <w:rsid w:val="00607E06"/>
    <w:rsid w:val="00610BAF"/>
    <w:rsid w:val="00611366"/>
    <w:rsid w:val="006131EF"/>
    <w:rsid w:val="00614D48"/>
    <w:rsid w:val="00615683"/>
    <w:rsid w:val="0061698B"/>
    <w:rsid w:val="006204DF"/>
    <w:rsid w:val="0062074B"/>
    <w:rsid w:val="00621606"/>
    <w:rsid w:val="00622CDF"/>
    <w:rsid w:val="00622E53"/>
    <w:rsid w:val="006242C9"/>
    <w:rsid w:val="006245F1"/>
    <w:rsid w:val="00624894"/>
    <w:rsid w:val="00624A91"/>
    <w:rsid w:val="00624A94"/>
    <w:rsid w:val="00630196"/>
    <w:rsid w:val="0063063D"/>
    <w:rsid w:val="006316AE"/>
    <w:rsid w:val="00632A4A"/>
    <w:rsid w:val="00633628"/>
    <w:rsid w:val="00633D1F"/>
    <w:rsid w:val="00634E11"/>
    <w:rsid w:val="00634E4B"/>
    <w:rsid w:val="00634E51"/>
    <w:rsid w:val="00635277"/>
    <w:rsid w:val="006361D7"/>
    <w:rsid w:val="006366AC"/>
    <w:rsid w:val="00636E0E"/>
    <w:rsid w:val="00637EFE"/>
    <w:rsid w:val="0064074A"/>
    <w:rsid w:val="00640B18"/>
    <w:rsid w:val="00642AA1"/>
    <w:rsid w:val="00642D31"/>
    <w:rsid w:val="00643097"/>
    <w:rsid w:val="006439FD"/>
    <w:rsid w:val="00643B47"/>
    <w:rsid w:val="00644553"/>
    <w:rsid w:val="00644719"/>
    <w:rsid w:val="00644E14"/>
    <w:rsid w:val="00645DE5"/>
    <w:rsid w:val="00646597"/>
    <w:rsid w:val="006476F8"/>
    <w:rsid w:val="00647F34"/>
    <w:rsid w:val="006504A3"/>
    <w:rsid w:val="006539AB"/>
    <w:rsid w:val="00654967"/>
    <w:rsid w:val="00654EED"/>
    <w:rsid w:val="00656DAA"/>
    <w:rsid w:val="006628CC"/>
    <w:rsid w:val="00662D0A"/>
    <w:rsid w:val="00663B37"/>
    <w:rsid w:val="00663F86"/>
    <w:rsid w:val="00664D51"/>
    <w:rsid w:val="00670556"/>
    <w:rsid w:val="006707C5"/>
    <w:rsid w:val="00671126"/>
    <w:rsid w:val="006713CF"/>
    <w:rsid w:val="006727D4"/>
    <w:rsid w:val="00672AAC"/>
    <w:rsid w:val="006745A9"/>
    <w:rsid w:val="006747D0"/>
    <w:rsid w:val="00675B69"/>
    <w:rsid w:val="0067613F"/>
    <w:rsid w:val="00676244"/>
    <w:rsid w:val="00676728"/>
    <w:rsid w:val="00677300"/>
    <w:rsid w:val="00682094"/>
    <w:rsid w:val="0068240D"/>
    <w:rsid w:val="00683CE5"/>
    <w:rsid w:val="00684FA6"/>
    <w:rsid w:val="00686051"/>
    <w:rsid w:val="00686358"/>
    <w:rsid w:val="00686D6F"/>
    <w:rsid w:val="00687A2D"/>
    <w:rsid w:val="00690159"/>
    <w:rsid w:val="006905A7"/>
    <w:rsid w:val="0069089B"/>
    <w:rsid w:val="00690CA2"/>
    <w:rsid w:val="00690FF2"/>
    <w:rsid w:val="006911E9"/>
    <w:rsid w:val="00691265"/>
    <w:rsid w:val="00691456"/>
    <w:rsid w:val="00691CB6"/>
    <w:rsid w:val="00691E2B"/>
    <w:rsid w:val="006924F0"/>
    <w:rsid w:val="0069264E"/>
    <w:rsid w:val="00692D5A"/>
    <w:rsid w:val="00693F60"/>
    <w:rsid w:val="00694B8D"/>
    <w:rsid w:val="00695236"/>
    <w:rsid w:val="0069557B"/>
    <w:rsid w:val="00696490"/>
    <w:rsid w:val="006969D4"/>
    <w:rsid w:val="006976D8"/>
    <w:rsid w:val="0069777E"/>
    <w:rsid w:val="0069784E"/>
    <w:rsid w:val="00697F9E"/>
    <w:rsid w:val="006A0BDB"/>
    <w:rsid w:val="006A270C"/>
    <w:rsid w:val="006A39CD"/>
    <w:rsid w:val="006A4A39"/>
    <w:rsid w:val="006A506C"/>
    <w:rsid w:val="006A5208"/>
    <w:rsid w:val="006A53C8"/>
    <w:rsid w:val="006A5C75"/>
    <w:rsid w:val="006A6BBF"/>
    <w:rsid w:val="006A72E7"/>
    <w:rsid w:val="006A7DC5"/>
    <w:rsid w:val="006B0008"/>
    <w:rsid w:val="006B0306"/>
    <w:rsid w:val="006B0FFC"/>
    <w:rsid w:val="006B1CD6"/>
    <w:rsid w:val="006B3B59"/>
    <w:rsid w:val="006B3F5E"/>
    <w:rsid w:val="006B3F9D"/>
    <w:rsid w:val="006B4475"/>
    <w:rsid w:val="006B488F"/>
    <w:rsid w:val="006B4B50"/>
    <w:rsid w:val="006B512B"/>
    <w:rsid w:val="006B6D69"/>
    <w:rsid w:val="006B7739"/>
    <w:rsid w:val="006C196D"/>
    <w:rsid w:val="006C3F8D"/>
    <w:rsid w:val="006C454C"/>
    <w:rsid w:val="006C470C"/>
    <w:rsid w:val="006C54C5"/>
    <w:rsid w:val="006C62BE"/>
    <w:rsid w:val="006C6711"/>
    <w:rsid w:val="006C6A19"/>
    <w:rsid w:val="006C6CED"/>
    <w:rsid w:val="006C78AF"/>
    <w:rsid w:val="006D0841"/>
    <w:rsid w:val="006D09A8"/>
    <w:rsid w:val="006D2341"/>
    <w:rsid w:val="006D2352"/>
    <w:rsid w:val="006D2FA7"/>
    <w:rsid w:val="006D43ED"/>
    <w:rsid w:val="006D587E"/>
    <w:rsid w:val="006D5A05"/>
    <w:rsid w:val="006D6B59"/>
    <w:rsid w:val="006D6CDF"/>
    <w:rsid w:val="006D77C1"/>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5B72"/>
    <w:rsid w:val="006F6147"/>
    <w:rsid w:val="006F7627"/>
    <w:rsid w:val="00701479"/>
    <w:rsid w:val="007022A5"/>
    <w:rsid w:val="00702BEB"/>
    <w:rsid w:val="00702CD0"/>
    <w:rsid w:val="00703602"/>
    <w:rsid w:val="00703A2D"/>
    <w:rsid w:val="00704315"/>
    <w:rsid w:val="007048C6"/>
    <w:rsid w:val="00705B77"/>
    <w:rsid w:val="00705F71"/>
    <w:rsid w:val="00706260"/>
    <w:rsid w:val="00706366"/>
    <w:rsid w:val="00712117"/>
    <w:rsid w:val="007122E2"/>
    <w:rsid w:val="007126DF"/>
    <w:rsid w:val="007132CD"/>
    <w:rsid w:val="007145FB"/>
    <w:rsid w:val="007162FB"/>
    <w:rsid w:val="00716399"/>
    <w:rsid w:val="007169FA"/>
    <w:rsid w:val="00716BF2"/>
    <w:rsid w:val="0071749C"/>
    <w:rsid w:val="00717AFB"/>
    <w:rsid w:val="00717E47"/>
    <w:rsid w:val="0072076D"/>
    <w:rsid w:val="007208E3"/>
    <w:rsid w:val="007212FC"/>
    <w:rsid w:val="00721385"/>
    <w:rsid w:val="007213BF"/>
    <w:rsid w:val="00721D6C"/>
    <w:rsid w:val="00722292"/>
    <w:rsid w:val="00722BA1"/>
    <w:rsid w:val="00723488"/>
    <w:rsid w:val="0072474B"/>
    <w:rsid w:val="00725A59"/>
    <w:rsid w:val="00726F76"/>
    <w:rsid w:val="00727084"/>
    <w:rsid w:val="00727A95"/>
    <w:rsid w:val="00730573"/>
    <w:rsid w:val="00730A80"/>
    <w:rsid w:val="00731B1B"/>
    <w:rsid w:val="007328CD"/>
    <w:rsid w:val="00732E78"/>
    <w:rsid w:val="007338A6"/>
    <w:rsid w:val="00733BD4"/>
    <w:rsid w:val="007343C8"/>
    <w:rsid w:val="0073472D"/>
    <w:rsid w:val="0073493B"/>
    <w:rsid w:val="00734F8B"/>
    <w:rsid w:val="007353ED"/>
    <w:rsid w:val="00735BE1"/>
    <w:rsid w:val="00736861"/>
    <w:rsid w:val="00737668"/>
    <w:rsid w:val="00740658"/>
    <w:rsid w:val="00742CA4"/>
    <w:rsid w:val="007438AA"/>
    <w:rsid w:val="00743A9B"/>
    <w:rsid w:val="007445B3"/>
    <w:rsid w:val="00744DA8"/>
    <w:rsid w:val="00745491"/>
    <w:rsid w:val="007457EC"/>
    <w:rsid w:val="007477B9"/>
    <w:rsid w:val="007538E8"/>
    <w:rsid w:val="007543B0"/>
    <w:rsid w:val="007551B1"/>
    <w:rsid w:val="00756D8B"/>
    <w:rsid w:val="0076019C"/>
    <w:rsid w:val="007625B9"/>
    <w:rsid w:val="00763CE2"/>
    <w:rsid w:val="00764FA0"/>
    <w:rsid w:val="00765DB0"/>
    <w:rsid w:val="007660B7"/>
    <w:rsid w:val="00766E6E"/>
    <w:rsid w:val="0076742D"/>
    <w:rsid w:val="00767E18"/>
    <w:rsid w:val="00771F88"/>
    <w:rsid w:val="00772115"/>
    <w:rsid w:val="007726D3"/>
    <w:rsid w:val="0077292D"/>
    <w:rsid w:val="00773FCE"/>
    <w:rsid w:val="00774955"/>
    <w:rsid w:val="00775115"/>
    <w:rsid w:val="007759E9"/>
    <w:rsid w:val="00776A25"/>
    <w:rsid w:val="007809E8"/>
    <w:rsid w:val="0078269C"/>
    <w:rsid w:val="00782A7F"/>
    <w:rsid w:val="00782B4A"/>
    <w:rsid w:val="00784A4C"/>
    <w:rsid w:val="00784AF3"/>
    <w:rsid w:val="00785CE4"/>
    <w:rsid w:val="00786D0E"/>
    <w:rsid w:val="00790CA9"/>
    <w:rsid w:val="007914BC"/>
    <w:rsid w:val="00792184"/>
    <w:rsid w:val="00793181"/>
    <w:rsid w:val="0079319B"/>
    <w:rsid w:val="00793B56"/>
    <w:rsid w:val="007940D1"/>
    <w:rsid w:val="0079437A"/>
    <w:rsid w:val="00795D43"/>
    <w:rsid w:val="00795F28"/>
    <w:rsid w:val="00795F79"/>
    <w:rsid w:val="0079648E"/>
    <w:rsid w:val="00797A23"/>
    <w:rsid w:val="00797BD7"/>
    <w:rsid w:val="00797C1F"/>
    <w:rsid w:val="00797F43"/>
    <w:rsid w:val="007A0659"/>
    <w:rsid w:val="007A1161"/>
    <w:rsid w:val="007A1452"/>
    <w:rsid w:val="007A2104"/>
    <w:rsid w:val="007A215E"/>
    <w:rsid w:val="007A2DDF"/>
    <w:rsid w:val="007A3AF8"/>
    <w:rsid w:val="007A49E8"/>
    <w:rsid w:val="007A63D9"/>
    <w:rsid w:val="007A6E38"/>
    <w:rsid w:val="007A71CE"/>
    <w:rsid w:val="007A762D"/>
    <w:rsid w:val="007A7698"/>
    <w:rsid w:val="007B00C3"/>
    <w:rsid w:val="007B04E6"/>
    <w:rsid w:val="007B0A12"/>
    <w:rsid w:val="007B0BA5"/>
    <w:rsid w:val="007B1177"/>
    <w:rsid w:val="007B1375"/>
    <w:rsid w:val="007B16AE"/>
    <w:rsid w:val="007B241D"/>
    <w:rsid w:val="007B2741"/>
    <w:rsid w:val="007B3ED4"/>
    <w:rsid w:val="007B4DE8"/>
    <w:rsid w:val="007B4F21"/>
    <w:rsid w:val="007B50E0"/>
    <w:rsid w:val="007B51A0"/>
    <w:rsid w:val="007B7FDD"/>
    <w:rsid w:val="007C0C34"/>
    <w:rsid w:val="007C0E92"/>
    <w:rsid w:val="007C0EAA"/>
    <w:rsid w:val="007C0FEE"/>
    <w:rsid w:val="007C13CA"/>
    <w:rsid w:val="007C1C32"/>
    <w:rsid w:val="007C2CA9"/>
    <w:rsid w:val="007C3DE8"/>
    <w:rsid w:val="007C45CD"/>
    <w:rsid w:val="007C4CF1"/>
    <w:rsid w:val="007C500B"/>
    <w:rsid w:val="007C7A6B"/>
    <w:rsid w:val="007D0858"/>
    <w:rsid w:val="007D0D88"/>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A11"/>
    <w:rsid w:val="007E62CF"/>
    <w:rsid w:val="007E6799"/>
    <w:rsid w:val="007E6CF4"/>
    <w:rsid w:val="007E7A6B"/>
    <w:rsid w:val="007E7D9F"/>
    <w:rsid w:val="007F030B"/>
    <w:rsid w:val="007F032B"/>
    <w:rsid w:val="007F1908"/>
    <w:rsid w:val="007F2DE5"/>
    <w:rsid w:val="007F4E96"/>
    <w:rsid w:val="007F53F7"/>
    <w:rsid w:val="007F5BA6"/>
    <w:rsid w:val="007F5C68"/>
    <w:rsid w:val="007F766E"/>
    <w:rsid w:val="007F771D"/>
    <w:rsid w:val="007F7A43"/>
    <w:rsid w:val="0080070C"/>
    <w:rsid w:val="00801D91"/>
    <w:rsid w:val="00802D22"/>
    <w:rsid w:val="00804514"/>
    <w:rsid w:val="00804AC2"/>
    <w:rsid w:val="008059FF"/>
    <w:rsid w:val="00805BE9"/>
    <w:rsid w:val="008063E0"/>
    <w:rsid w:val="008067DE"/>
    <w:rsid w:val="008111C6"/>
    <w:rsid w:val="00811818"/>
    <w:rsid w:val="00811D54"/>
    <w:rsid w:val="008122FC"/>
    <w:rsid w:val="00812E8B"/>
    <w:rsid w:val="0081389E"/>
    <w:rsid w:val="00813C32"/>
    <w:rsid w:val="008146D7"/>
    <w:rsid w:val="008153FD"/>
    <w:rsid w:val="00815789"/>
    <w:rsid w:val="008160ED"/>
    <w:rsid w:val="008172EC"/>
    <w:rsid w:val="00817414"/>
    <w:rsid w:val="0082182A"/>
    <w:rsid w:val="00821B58"/>
    <w:rsid w:val="00821CCF"/>
    <w:rsid w:val="00821DE1"/>
    <w:rsid w:val="00822549"/>
    <w:rsid w:val="008237E6"/>
    <w:rsid w:val="00825086"/>
    <w:rsid w:val="00825632"/>
    <w:rsid w:val="00825B58"/>
    <w:rsid w:val="00825E20"/>
    <w:rsid w:val="008272AC"/>
    <w:rsid w:val="00827F2D"/>
    <w:rsid w:val="008311E6"/>
    <w:rsid w:val="008313D5"/>
    <w:rsid w:val="00831460"/>
    <w:rsid w:val="008319EF"/>
    <w:rsid w:val="00831BB4"/>
    <w:rsid w:val="00832476"/>
    <w:rsid w:val="008325F1"/>
    <w:rsid w:val="008327A0"/>
    <w:rsid w:val="0083408B"/>
    <w:rsid w:val="008342EA"/>
    <w:rsid w:val="008352B1"/>
    <w:rsid w:val="008358D2"/>
    <w:rsid w:val="0083712C"/>
    <w:rsid w:val="00837386"/>
    <w:rsid w:val="00837AD5"/>
    <w:rsid w:val="00840CF9"/>
    <w:rsid w:val="00840DF2"/>
    <w:rsid w:val="00841352"/>
    <w:rsid w:val="0084277E"/>
    <w:rsid w:val="0084297D"/>
    <w:rsid w:val="00842CC9"/>
    <w:rsid w:val="008446AD"/>
    <w:rsid w:val="00845BD0"/>
    <w:rsid w:val="00846A23"/>
    <w:rsid w:val="00847ADC"/>
    <w:rsid w:val="00850B83"/>
    <w:rsid w:val="00851DC2"/>
    <w:rsid w:val="008530DE"/>
    <w:rsid w:val="00853871"/>
    <w:rsid w:val="00854368"/>
    <w:rsid w:val="00854DC7"/>
    <w:rsid w:val="008566A9"/>
    <w:rsid w:val="0085676B"/>
    <w:rsid w:val="00857983"/>
    <w:rsid w:val="0086020E"/>
    <w:rsid w:val="00860790"/>
    <w:rsid w:val="00860795"/>
    <w:rsid w:val="008609A8"/>
    <w:rsid w:val="008620FE"/>
    <w:rsid w:val="0086227D"/>
    <w:rsid w:val="00862497"/>
    <w:rsid w:val="00862F9A"/>
    <w:rsid w:val="0086387C"/>
    <w:rsid w:val="008648DA"/>
    <w:rsid w:val="00865F72"/>
    <w:rsid w:val="00867E96"/>
    <w:rsid w:val="008706B6"/>
    <w:rsid w:val="00870BFD"/>
    <w:rsid w:val="00870CBC"/>
    <w:rsid w:val="00870CC5"/>
    <w:rsid w:val="008714DD"/>
    <w:rsid w:val="00871C44"/>
    <w:rsid w:val="00871D7E"/>
    <w:rsid w:val="00872AF8"/>
    <w:rsid w:val="008733B8"/>
    <w:rsid w:val="00873E3F"/>
    <w:rsid w:val="00874168"/>
    <w:rsid w:val="00874562"/>
    <w:rsid w:val="00874994"/>
    <w:rsid w:val="00874BD2"/>
    <w:rsid w:val="008753CF"/>
    <w:rsid w:val="008753D8"/>
    <w:rsid w:val="008757BC"/>
    <w:rsid w:val="008769BF"/>
    <w:rsid w:val="0087734D"/>
    <w:rsid w:val="008800D0"/>
    <w:rsid w:val="00881776"/>
    <w:rsid w:val="00881D7D"/>
    <w:rsid w:val="00881F4F"/>
    <w:rsid w:val="00882174"/>
    <w:rsid w:val="0088233B"/>
    <w:rsid w:val="00882B48"/>
    <w:rsid w:val="00883C18"/>
    <w:rsid w:val="00884BE4"/>
    <w:rsid w:val="00885241"/>
    <w:rsid w:val="00885743"/>
    <w:rsid w:val="008861C0"/>
    <w:rsid w:val="00886246"/>
    <w:rsid w:val="0088699C"/>
    <w:rsid w:val="0088792E"/>
    <w:rsid w:val="00887D1E"/>
    <w:rsid w:val="00890ACD"/>
    <w:rsid w:val="00890EA3"/>
    <w:rsid w:val="00891031"/>
    <w:rsid w:val="0089124D"/>
    <w:rsid w:val="00892B8A"/>
    <w:rsid w:val="0089571B"/>
    <w:rsid w:val="00895750"/>
    <w:rsid w:val="00896D41"/>
    <w:rsid w:val="0089707F"/>
    <w:rsid w:val="008A06D1"/>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A7DEB"/>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1043"/>
    <w:rsid w:val="008C107A"/>
    <w:rsid w:val="008C2FC7"/>
    <w:rsid w:val="008C33F1"/>
    <w:rsid w:val="008C4749"/>
    <w:rsid w:val="008C4FAF"/>
    <w:rsid w:val="008C5955"/>
    <w:rsid w:val="008D0878"/>
    <w:rsid w:val="008D0982"/>
    <w:rsid w:val="008D0E95"/>
    <w:rsid w:val="008D15F0"/>
    <w:rsid w:val="008D5711"/>
    <w:rsid w:val="008D5883"/>
    <w:rsid w:val="008D5926"/>
    <w:rsid w:val="008D7C15"/>
    <w:rsid w:val="008E117C"/>
    <w:rsid w:val="008E1D77"/>
    <w:rsid w:val="008E31B6"/>
    <w:rsid w:val="008E4214"/>
    <w:rsid w:val="008E4DF4"/>
    <w:rsid w:val="008E4DFC"/>
    <w:rsid w:val="008E5D39"/>
    <w:rsid w:val="008E6888"/>
    <w:rsid w:val="008E69E2"/>
    <w:rsid w:val="008E7BFC"/>
    <w:rsid w:val="008F0038"/>
    <w:rsid w:val="008F01E1"/>
    <w:rsid w:val="008F055B"/>
    <w:rsid w:val="008F0859"/>
    <w:rsid w:val="008F0F4F"/>
    <w:rsid w:val="008F19F3"/>
    <w:rsid w:val="008F221F"/>
    <w:rsid w:val="008F254C"/>
    <w:rsid w:val="008F3E79"/>
    <w:rsid w:val="008F541B"/>
    <w:rsid w:val="008F7E63"/>
    <w:rsid w:val="00900F25"/>
    <w:rsid w:val="00901352"/>
    <w:rsid w:val="00901C31"/>
    <w:rsid w:val="00902318"/>
    <w:rsid w:val="00902E77"/>
    <w:rsid w:val="0090359D"/>
    <w:rsid w:val="00905EA1"/>
    <w:rsid w:val="0090632B"/>
    <w:rsid w:val="0090646C"/>
    <w:rsid w:val="009074C0"/>
    <w:rsid w:val="00910137"/>
    <w:rsid w:val="009101A9"/>
    <w:rsid w:val="009101D2"/>
    <w:rsid w:val="009107B2"/>
    <w:rsid w:val="009109C9"/>
    <w:rsid w:val="0091219F"/>
    <w:rsid w:val="00914396"/>
    <w:rsid w:val="009155FF"/>
    <w:rsid w:val="00916347"/>
    <w:rsid w:val="0091669E"/>
    <w:rsid w:val="009201A7"/>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0B6E"/>
    <w:rsid w:val="009326D6"/>
    <w:rsid w:val="00933836"/>
    <w:rsid w:val="00933994"/>
    <w:rsid w:val="00933B04"/>
    <w:rsid w:val="00934436"/>
    <w:rsid w:val="00935231"/>
    <w:rsid w:val="00935422"/>
    <w:rsid w:val="00935572"/>
    <w:rsid w:val="00935C2C"/>
    <w:rsid w:val="009368BE"/>
    <w:rsid w:val="00936BA6"/>
    <w:rsid w:val="00937026"/>
    <w:rsid w:val="009404E3"/>
    <w:rsid w:val="009405AF"/>
    <w:rsid w:val="009407E6"/>
    <w:rsid w:val="00943FCD"/>
    <w:rsid w:val="009459DE"/>
    <w:rsid w:val="00945BF6"/>
    <w:rsid w:val="00945CA0"/>
    <w:rsid w:val="00946313"/>
    <w:rsid w:val="009467A3"/>
    <w:rsid w:val="009473D5"/>
    <w:rsid w:val="009502E7"/>
    <w:rsid w:val="00950503"/>
    <w:rsid w:val="00950877"/>
    <w:rsid w:val="00950DEF"/>
    <w:rsid w:val="009516D9"/>
    <w:rsid w:val="00951868"/>
    <w:rsid w:val="00952F2E"/>
    <w:rsid w:val="00953911"/>
    <w:rsid w:val="00953B22"/>
    <w:rsid w:val="00954D12"/>
    <w:rsid w:val="00955F37"/>
    <w:rsid w:val="0095669A"/>
    <w:rsid w:val="00957F6B"/>
    <w:rsid w:val="00960201"/>
    <w:rsid w:val="00960A3F"/>
    <w:rsid w:val="00961812"/>
    <w:rsid w:val="00961828"/>
    <w:rsid w:val="00962C1F"/>
    <w:rsid w:val="00963135"/>
    <w:rsid w:val="00963708"/>
    <w:rsid w:val="0096380D"/>
    <w:rsid w:val="00965529"/>
    <w:rsid w:val="0096761E"/>
    <w:rsid w:val="00967745"/>
    <w:rsid w:val="00970835"/>
    <w:rsid w:val="00970B33"/>
    <w:rsid w:val="009723AE"/>
    <w:rsid w:val="00972735"/>
    <w:rsid w:val="00972D54"/>
    <w:rsid w:val="00973117"/>
    <w:rsid w:val="009736BE"/>
    <w:rsid w:val="00973A20"/>
    <w:rsid w:val="0097705F"/>
    <w:rsid w:val="00977B6D"/>
    <w:rsid w:val="009807D8"/>
    <w:rsid w:val="00982BC9"/>
    <w:rsid w:val="00984421"/>
    <w:rsid w:val="009849EE"/>
    <w:rsid w:val="00984ABC"/>
    <w:rsid w:val="00984BCA"/>
    <w:rsid w:val="00985A05"/>
    <w:rsid w:val="00990150"/>
    <w:rsid w:val="0099179D"/>
    <w:rsid w:val="00992099"/>
    <w:rsid w:val="0099289C"/>
    <w:rsid w:val="00993DCD"/>
    <w:rsid w:val="00995415"/>
    <w:rsid w:val="009972F3"/>
    <w:rsid w:val="00997EB1"/>
    <w:rsid w:val="00997F38"/>
    <w:rsid w:val="009A08A1"/>
    <w:rsid w:val="009A1FEC"/>
    <w:rsid w:val="009A2791"/>
    <w:rsid w:val="009A3FCC"/>
    <w:rsid w:val="009A6284"/>
    <w:rsid w:val="009A634F"/>
    <w:rsid w:val="009A70D9"/>
    <w:rsid w:val="009A70DD"/>
    <w:rsid w:val="009A719D"/>
    <w:rsid w:val="009B0A31"/>
    <w:rsid w:val="009B11CE"/>
    <w:rsid w:val="009B14FE"/>
    <w:rsid w:val="009B1F18"/>
    <w:rsid w:val="009B2126"/>
    <w:rsid w:val="009B3939"/>
    <w:rsid w:val="009B3D89"/>
    <w:rsid w:val="009B3EA6"/>
    <w:rsid w:val="009B450B"/>
    <w:rsid w:val="009B71E9"/>
    <w:rsid w:val="009B7453"/>
    <w:rsid w:val="009B7B04"/>
    <w:rsid w:val="009C18AC"/>
    <w:rsid w:val="009C2432"/>
    <w:rsid w:val="009C3979"/>
    <w:rsid w:val="009C3B71"/>
    <w:rsid w:val="009C472E"/>
    <w:rsid w:val="009C4F66"/>
    <w:rsid w:val="009C58BB"/>
    <w:rsid w:val="009C6201"/>
    <w:rsid w:val="009C6343"/>
    <w:rsid w:val="009C677B"/>
    <w:rsid w:val="009D159D"/>
    <w:rsid w:val="009D22B1"/>
    <w:rsid w:val="009D2995"/>
    <w:rsid w:val="009D3857"/>
    <w:rsid w:val="009D54CA"/>
    <w:rsid w:val="009D5C29"/>
    <w:rsid w:val="009D649F"/>
    <w:rsid w:val="009D6516"/>
    <w:rsid w:val="009D657A"/>
    <w:rsid w:val="009D7307"/>
    <w:rsid w:val="009E0B4B"/>
    <w:rsid w:val="009E0E68"/>
    <w:rsid w:val="009E0F57"/>
    <w:rsid w:val="009E3523"/>
    <w:rsid w:val="009E4583"/>
    <w:rsid w:val="009E52E4"/>
    <w:rsid w:val="009E5C35"/>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BEC"/>
    <w:rsid w:val="00A019EF"/>
    <w:rsid w:val="00A04471"/>
    <w:rsid w:val="00A04878"/>
    <w:rsid w:val="00A04EB2"/>
    <w:rsid w:val="00A04F00"/>
    <w:rsid w:val="00A07F81"/>
    <w:rsid w:val="00A1148A"/>
    <w:rsid w:val="00A11EF8"/>
    <w:rsid w:val="00A12D0A"/>
    <w:rsid w:val="00A145EE"/>
    <w:rsid w:val="00A14637"/>
    <w:rsid w:val="00A14B53"/>
    <w:rsid w:val="00A14C79"/>
    <w:rsid w:val="00A150F2"/>
    <w:rsid w:val="00A16148"/>
    <w:rsid w:val="00A1626E"/>
    <w:rsid w:val="00A17E34"/>
    <w:rsid w:val="00A17F85"/>
    <w:rsid w:val="00A20888"/>
    <w:rsid w:val="00A20CAF"/>
    <w:rsid w:val="00A2353A"/>
    <w:rsid w:val="00A238FB"/>
    <w:rsid w:val="00A23B8E"/>
    <w:rsid w:val="00A24479"/>
    <w:rsid w:val="00A25CF4"/>
    <w:rsid w:val="00A26B29"/>
    <w:rsid w:val="00A26DCC"/>
    <w:rsid w:val="00A27A4A"/>
    <w:rsid w:val="00A30952"/>
    <w:rsid w:val="00A32179"/>
    <w:rsid w:val="00A3544A"/>
    <w:rsid w:val="00A35D04"/>
    <w:rsid w:val="00A361F3"/>
    <w:rsid w:val="00A36E3E"/>
    <w:rsid w:val="00A36EBB"/>
    <w:rsid w:val="00A3725D"/>
    <w:rsid w:val="00A4156F"/>
    <w:rsid w:val="00A41AB6"/>
    <w:rsid w:val="00A42463"/>
    <w:rsid w:val="00A426EE"/>
    <w:rsid w:val="00A43389"/>
    <w:rsid w:val="00A43453"/>
    <w:rsid w:val="00A435B8"/>
    <w:rsid w:val="00A44489"/>
    <w:rsid w:val="00A4501F"/>
    <w:rsid w:val="00A4655E"/>
    <w:rsid w:val="00A46613"/>
    <w:rsid w:val="00A46D39"/>
    <w:rsid w:val="00A4761F"/>
    <w:rsid w:val="00A51438"/>
    <w:rsid w:val="00A51617"/>
    <w:rsid w:val="00A51A6E"/>
    <w:rsid w:val="00A52987"/>
    <w:rsid w:val="00A53222"/>
    <w:rsid w:val="00A5382D"/>
    <w:rsid w:val="00A53F26"/>
    <w:rsid w:val="00A55C47"/>
    <w:rsid w:val="00A60963"/>
    <w:rsid w:val="00A62B58"/>
    <w:rsid w:val="00A63102"/>
    <w:rsid w:val="00A639ED"/>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64FB"/>
    <w:rsid w:val="00A80E0C"/>
    <w:rsid w:val="00A813B3"/>
    <w:rsid w:val="00A82EDE"/>
    <w:rsid w:val="00A85598"/>
    <w:rsid w:val="00A85E01"/>
    <w:rsid w:val="00A90822"/>
    <w:rsid w:val="00A90946"/>
    <w:rsid w:val="00A9224B"/>
    <w:rsid w:val="00A92EF0"/>
    <w:rsid w:val="00A93B4D"/>
    <w:rsid w:val="00A9677C"/>
    <w:rsid w:val="00AA01AB"/>
    <w:rsid w:val="00AA035A"/>
    <w:rsid w:val="00AA122C"/>
    <w:rsid w:val="00AA1B83"/>
    <w:rsid w:val="00AA3BC8"/>
    <w:rsid w:val="00AA4822"/>
    <w:rsid w:val="00AA6294"/>
    <w:rsid w:val="00AA64D6"/>
    <w:rsid w:val="00AA7768"/>
    <w:rsid w:val="00AA7ED8"/>
    <w:rsid w:val="00AB0C32"/>
    <w:rsid w:val="00AB1619"/>
    <w:rsid w:val="00AB32CA"/>
    <w:rsid w:val="00AB32F5"/>
    <w:rsid w:val="00AB365C"/>
    <w:rsid w:val="00AB4D23"/>
    <w:rsid w:val="00AB4EDE"/>
    <w:rsid w:val="00AC03EE"/>
    <w:rsid w:val="00AC0433"/>
    <w:rsid w:val="00AC0930"/>
    <w:rsid w:val="00AC35F0"/>
    <w:rsid w:val="00AC4422"/>
    <w:rsid w:val="00AC4686"/>
    <w:rsid w:val="00AC47F8"/>
    <w:rsid w:val="00AC5BC3"/>
    <w:rsid w:val="00AC763C"/>
    <w:rsid w:val="00AC77E6"/>
    <w:rsid w:val="00AD0C4C"/>
    <w:rsid w:val="00AD1565"/>
    <w:rsid w:val="00AD23F8"/>
    <w:rsid w:val="00AD321E"/>
    <w:rsid w:val="00AD3332"/>
    <w:rsid w:val="00AD36EC"/>
    <w:rsid w:val="00AD3BC9"/>
    <w:rsid w:val="00AD42E6"/>
    <w:rsid w:val="00AD5309"/>
    <w:rsid w:val="00AD5ADA"/>
    <w:rsid w:val="00AD6A4E"/>
    <w:rsid w:val="00AD7CCF"/>
    <w:rsid w:val="00AE1063"/>
    <w:rsid w:val="00AE16D0"/>
    <w:rsid w:val="00AE239A"/>
    <w:rsid w:val="00AE2857"/>
    <w:rsid w:val="00AE2A72"/>
    <w:rsid w:val="00AE3305"/>
    <w:rsid w:val="00AE3EDF"/>
    <w:rsid w:val="00AE4C4B"/>
    <w:rsid w:val="00AE5162"/>
    <w:rsid w:val="00AE70C2"/>
    <w:rsid w:val="00AF001C"/>
    <w:rsid w:val="00AF0986"/>
    <w:rsid w:val="00AF36E5"/>
    <w:rsid w:val="00AF3938"/>
    <w:rsid w:val="00AF41F0"/>
    <w:rsid w:val="00AF491F"/>
    <w:rsid w:val="00AF4DBA"/>
    <w:rsid w:val="00AF54D6"/>
    <w:rsid w:val="00AF584D"/>
    <w:rsid w:val="00AF688A"/>
    <w:rsid w:val="00AF6913"/>
    <w:rsid w:val="00AF6ACB"/>
    <w:rsid w:val="00AF7F43"/>
    <w:rsid w:val="00B00C1B"/>
    <w:rsid w:val="00B01346"/>
    <w:rsid w:val="00B01868"/>
    <w:rsid w:val="00B01E91"/>
    <w:rsid w:val="00B025B8"/>
    <w:rsid w:val="00B02B09"/>
    <w:rsid w:val="00B02D59"/>
    <w:rsid w:val="00B031DC"/>
    <w:rsid w:val="00B037B4"/>
    <w:rsid w:val="00B03BDC"/>
    <w:rsid w:val="00B0437C"/>
    <w:rsid w:val="00B043D8"/>
    <w:rsid w:val="00B04B6C"/>
    <w:rsid w:val="00B05359"/>
    <w:rsid w:val="00B10C86"/>
    <w:rsid w:val="00B10F28"/>
    <w:rsid w:val="00B12914"/>
    <w:rsid w:val="00B1334D"/>
    <w:rsid w:val="00B13EC5"/>
    <w:rsid w:val="00B162A9"/>
    <w:rsid w:val="00B166B7"/>
    <w:rsid w:val="00B16C23"/>
    <w:rsid w:val="00B171F1"/>
    <w:rsid w:val="00B17369"/>
    <w:rsid w:val="00B177AC"/>
    <w:rsid w:val="00B204BC"/>
    <w:rsid w:val="00B204D6"/>
    <w:rsid w:val="00B20F1D"/>
    <w:rsid w:val="00B215EA"/>
    <w:rsid w:val="00B21C64"/>
    <w:rsid w:val="00B234B8"/>
    <w:rsid w:val="00B26839"/>
    <w:rsid w:val="00B268C8"/>
    <w:rsid w:val="00B26A4F"/>
    <w:rsid w:val="00B27854"/>
    <w:rsid w:val="00B30223"/>
    <w:rsid w:val="00B30370"/>
    <w:rsid w:val="00B3111E"/>
    <w:rsid w:val="00B31539"/>
    <w:rsid w:val="00B31954"/>
    <w:rsid w:val="00B31BEB"/>
    <w:rsid w:val="00B327D5"/>
    <w:rsid w:val="00B33D86"/>
    <w:rsid w:val="00B3511E"/>
    <w:rsid w:val="00B368B3"/>
    <w:rsid w:val="00B3738C"/>
    <w:rsid w:val="00B37DE2"/>
    <w:rsid w:val="00B411FC"/>
    <w:rsid w:val="00B43311"/>
    <w:rsid w:val="00B43A11"/>
    <w:rsid w:val="00B4639A"/>
    <w:rsid w:val="00B4661E"/>
    <w:rsid w:val="00B46FA5"/>
    <w:rsid w:val="00B47529"/>
    <w:rsid w:val="00B50779"/>
    <w:rsid w:val="00B50A72"/>
    <w:rsid w:val="00B50E36"/>
    <w:rsid w:val="00B513DB"/>
    <w:rsid w:val="00B5242F"/>
    <w:rsid w:val="00B524E9"/>
    <w:rsid w:val="00B525DF"/>
    <w:rsid w:val="00B52890"/>
    <w:rsid w:val="00B54245"/>
    <w:rsid w:val="00B546E9"/>
    <w:rsid w:val="00B54785"/>
    <w:rsid w:val="00B555A7"/>
    <w:rsid w:val="00B561ED"/>
    <w:rsid w:val="00B56E46"/>
    <w:rsid w:val="00B570B5"/>
    <w:rsid w:val="00B572CB"/>
    <w:rsid w:val="00B60AE5"/>
    <w:rsid w:val="00B60C40"/>
    <w:rsid w:val="00B61E8B"/>
    <w:rsid w:val="00B621C4"/>
    <w:rsid w:val="00B624CA"/>
    <w:rsid w:val="00B633BD"/>
    <w:rsid w:val="00B638C4"/>
    <w:rsid w:val="00B639F5"/>
    <w:rsid w:val="00B6631F"/>
    <w:rsid w:val="00B66E4A"/>
    <w:rsid w:val="00B677E3"/>
    <w:rsid w:val="00B7279E"/>
    <w:rsid w:val="00B72D29"/>
    <w:rsid w:val="00B75D5B"/>
    <w:rsid w:val="00B76CB0"/>
    <w:rsid w:val="00B77129"/>
    <w:rsid w:val="00B77E9E"/>
    <w:rsid w:val="00B80614"/>
    <w:rsid w:val="00B80BEF"/>
    <w:rsid w:val="00B80C12"/>
    <w:rsid w:val="00B80E86"/>
    <w:rsid w:val="00B82151"/>
    <w:rsid w:val="00B82A0B"/>
    <w:rsid w:val="00B849A9"/>
    <w:rsid w:val="00B84D7F"/>
    <w:rsid w:val="00B8500C"/>
    <w:rsid w:val="00B860B2"/>
    <w:rsid w:val="00B868E7"/>
    <w:rsid w:val="00B87580"/>
    <w:rsid w:val="00B87811"/>
    <w:rsid w:val="00B878CA"/>
    <w:rsid w:val="00B87944"/>
    <w:rsid w:val="00B900E9"/>
    <w:rsid w:val="00B902F2"/>
    <w:rsid w:val="00B91007"/>
    <w:rsid w:val="00B9141F"/>
    <w:rsid w:val="00B9202C"/>
    <w:rsid w:val="00B9249B"/>
    <w:rsid w:val="00B93AE0"/>
    <w:rsid w:val="00B943BE"/>
    <w:rsid w:val="00B9442A"/>
    <w:rsid w:val="00B945D0"/>
    <w:rsid w:val="00B9581C"/>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4C1D"/>
    <w:rsid w:val="00BA756A"/>
    <w:rsid w:val="00BA7906"/>
    <w:rsid w:val="00BB04E8"/>
    <w:rsid w:val="00BB05CF"/>
    <w:rsid w:val="00BB158C"/>
    <w:rsid w:val="00BB194C"/>
    <w:rsid w:val="00BB1F4E"/>
    <w:rsid w:val="00BB2B41"/>
    <w:rsid w:val="00BB2F3F"/>
    <w:rsid w:val="00BC0C6A"/>
    <w:rsid w:val="00BC2EEE"/>
    <w:rsid w:val="00BC3716"/>
    <w:rsid w:val="00BC3E67"/>
    <w:rsid w:val="00BC4CC1"/>
    <w:rsid w:val="00BC507E"/>
    <w:rsid w:val="00BC639F"/>
    <w:rsid w:val="00BC65D5"/>
    <w:rsid w:val="00BC7004"/>
    <w:rsid w:val="00BD0334"/>
    <w:rsid w:val="00BD178B"/>
    <w:rsid w:val="00BD1A10"/>
    <w:rsid w:val="00BD3063"/>
    <w:rsid w:val="00BD3893"/>
    <w:rsid w:val="00BD42D6"/>
    <w:rsid w:val="00BD4A65"/>
    <w:rsid w:val="00BD5556"/>
    <w:rsid w:val="00BD5F46"/>
    <w:rsid w:val="00BD659B"/>
    <w:rsid w:val="00BD75C8"/>
    <w:rsid w:val="00BD7B39"/>
    <w:rsid w:val="00BE0D07"/>
    <w:rsid w:val="00BE1239"/>
    <w:rsid w:val="00BE1A08"/>
    <w:rsid w:val="00BE2325"/>
    <w:rsid w:val="00BE2755"/>
    <w:rsid w:val="00BE28AA"/>
    <w:rsid w:val="00BE2B8E"/>
    <w:rsid w:val="00BE2D82"/>
    <w:rsid w:val="00BE36CA"/>
    <w:rsid w:val="00BE37D7"/>
    <w:rsid w:val="00BE39EF"/>
    <w:rsid w:val="00BE5088"/>
    <w:rsid w:val="00BE5708"/>
    <w:rsid w:val="00BE5861"/>
    <w:rsid w:val="00BE5A80"/>
    <w:rsid w:val="00BE7173"/>
    <w:rsid w:val="00BE726A"/>
    <w:rsid w:val="00BE76BE"/>
    <w:rsid w:val="00BF1B41"/>
    <w:rsid w:val="00BF2C66"/>
    <w:rsid w:val="00BF31B3"/>
    <w:rsid w:val="00BF34EF"/>
    <w:rsid w:val="00BF4BF0"/>
    <w:rsid w:val="00BF5049"/>
    <w:rsid w:val="00BF5644"/>
    <w:rsid w:val="00BF5932"/>
    <w:rsid w:val="00BF5A6F"/>
    <w:rsid w:val="00BF63EC"/>
    <w:rsid w:val="00BF7366"/>
    <w:rsid w:val="00C00C5D"/>
    <w:rsid w:val="00C00CF4"/>
    <w:rsid w:val="00C01265"/>
    <w:rsid w:val="00C02744"/>
    <w:rsid w:val="00C045D9"/>
    <w:rsid w:val="00C04EC1"/>
    <w:rsid w:val="00C050E7"/>
    <w:rsid w:val="00C103DF"/>
    <w:rsid w:val="00C1078F"/>
    <w:rsid w:val="00C10958"/>
    <w:rsid w:val="00C11285"/>
    <w:rsid w:val="00C1204B"/>
    <w:rsid w:val="00C133E7"/>
    <w:rsid w:val="00C14314"/>
    <w:rsid w:val="00C20A52"/>
    <w:rsid w:val="00C20DDC"/>
    <w:rsid w:val="00C20E06"/>
    <w:rsid w:val="00C2251B"/>
    <w:rsid w:val="00C22CA6"/>
    <w:rsid w:val="00C22DD2"/>
    <w:rsid w:val="00C2437D"/>
    <w:rsid w:val="00C2458F"/>
    <w:rsid w:val="00C25AB8"/>
    <w:rsid w:val="00C27D60"/>
    <w:rsid w:val="00C312D6"/>
    <w:rsid w:val="00C326F9"/>
    <w:rsid w:val="00C3321F"/>
    <w:rsid w:val="00C3395A"/>
    <w:rsid w:val="00C33DFB"/>
    <w:rsid w:val="00C35087"/>
    <w:rsid w:val="00C35C44"/>
    <w:rsid w:val="00C36EF4"/>
    <w:rsid w:val="00C3724B"/>
    <w:rsid w:val="00C403B6"/>
    <w:rsid w:val="00C41FD1"/>
    <w:rsid w:val="00C44396"/>
    <w:rsid w:val="00C44B2C"/>
    <w:rsid w:val="00C45198"/>
    <w:rsid w:val="00C451BE"/>
    <w:rsid w:val="00C454E3"/>
    <w:rsid w:val="00C45ECA"/>
    <w:rsid w:val="00C46ED4"/>
    <w:rsid w:val="00C46F6D"/>
    <w:rsid w:val="00C4711B"/>
    <w:rsid w:val="00C50140"/>
    <w:rsid w:val="00C5057B"/>
    <w:rsid w:val="00C50636"/>
    <w:rsid w:val="00C50A02"/>
    <w:rsid w:val="00C518E5"/>
    <w:rsid w:val="00C51D27"/>
    <w:rsid w:val="00C52FFE"/>
    <w:rsid w:val="00C53914"/>
    <w:rsid w:val="00C53D03"/>
    <w:rsid w:val="00C542D3"/>
    <w:rsid w:val="00C549D2"/>
    <w:rsid w:val="00C562FE"/>
    <w:rsid w:val="00C615DF"/>
    <w:rsid w:val="00C62648"/>
    <w:rsid w:val="00C64CAE"/>
    <w:rsid w:val="00C67214"/>
    <w:rsid w:val="00C679C2"/>
    <w:rsid w:val="00C711B7"/>
    <w:rsid w:val="00C711EC"/>
    <w:rsid w:val="00C72AEB"/>
    <w:rsid w:val="00C73B1E"/>
    <w:rsid w:val="00C744A0"/>
    <w:rsid w:val="00C74829"/>
    <w:rsid w:val="00C75174"/>
    <w:rsid w:val="00C754A8"/>
    <w:rsid w:val="00C7565D"/>
    <w:rsid w:val="00C76862"/>
    <w:rsid w:val="00C775A9"/>
    <w:rsid w:val="00C77A90"/>
    <w:rsid w:val="00C77EC9"/>
    <w:rsid w:val="00C80A79"/>
    <w:rsid w:val="00C812CC"/>
    <w:rsid w:val="00C81A9E"/>
    <w:rsid w:val="00C81EE7"/>
    <w:rsid w:val="00C825D4"/>
    <w:rsid w:val="00C8265D"/>
    <w:rsid w:val="00C84198"/>
    <w:rsid w:val="00C846ED"/>
    <w:rsid w:val="00C84A61"/>
    <w:rsid w:val="00C8525E"/>
    <w:rsid w:val="00C861FF"/>
    <w:rsid w:val="00C86AEB"/>
    <w:rsid w:val="00C90287"/>
    <w:rsid w:val="00C9035D"/>
    <w:rsid w:val="00C90591"/>
    <w:rsid w:val="00C907C4"/>
    <w:rsid w:val="00C91638"/>
    <w:rsid w:val="00C91ECB"/>
    <w:rsid w:val="00C92E77"/>
    <w:rsid w:val="00C931F1"/>
    <w:rsid w:val="00C93653"/>
    <w:rsid w:val="00C9402F"/>
    <w:rsid w:val="00C944F7"/>
    <w:rsid w:val="00C9454D"/>
    <w:rsid w:val="00C948F5"/>
    <w:rsid w:val="00C94A29"/>
    <w:rsid w:val="00C95028"/>
    <w:rsid w:val="00C9516A"/>
    <w:rsid w:val="00C95514"/>
    <w:rsid w:val="00C95FF9"/>
    <w:rsid w:val="00C961A6"/>
    <w:rsid w:val="00C979A8"/>
    <w:rsid w:val="00C97CE1"/>
    <w:rsid w:val="00CA0426"/>
    <w:rsid w:val="00CA06D4"/>
    <w:rsid w:val="00CA0AA8"/>
    <w:rsid w:val="00CA1F00"/>
    <w:rsid w:val="00CA3DC7"/>
    <w:rsid w:val="00CA575E"/>
    <w:rsid w:val="00CA5D20"/>
    <w:rsid w:val="00CA67D0"/>
    <w:rsid w:val="00CA6DCE"/>
    <w:rsid w:val="00CA744B"/>
    <w:rsid w:val="00CA7DDF"/>
    <w:rsid w:val="00CB1287"/>
    <w:rsid w:val="00CB17D0"/>
    <w:rsid w:val="00CB2448"/>
    <w:rsid w:val="00CB2EB4"/>
    <w:rsid w:val="00CB3667"/>
    <w:rsid w:val="00CB4EDF"/>
    <w:rsid w:val="00CB60B7"/>
    <w:rsid w:val="00CB6110"/>
    <w:rsid w:val="00CC007F"/>
    <w:rsid w:val="00CC2F7C"/>
    <w:rsid w:val="00CC36FD"/>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527A"/>
    <w:rsid w:val="00CE5BC5"/>
    <w:rsid w:val="00CE5FD3"/>
    <w:rsid w:val="00CE60BD"/>
    <w:rsid w:val="00CE7941"/>
    <w:rsid w:val="00CE7A96"/>
    <w:rsid w:val="00CF0178"/>
    <w:rsid w:val="00CF0B6A"/>
    <w:rsid w:val="00CF193D"/>
    <w:rsid w:val="00CF3DF1"/>
    <w:rsid w:val="00CF3EC6"/>
    <w:rsid w:val="00CF4148"/>
    <w:rsid w:val="00CF483B"/>
    <w:rsid w:val="00CF48D4"/>
    <w:rsid w:val="00CF517F"/>
    <w:rsid w:val="00CF5432"/>
    <w:rsid w:val="00CF7096"/>
    <w:rsid w:val="00CF78EB"/>
    <w:rsid w:val="00D00196"/>
    <w:rsid w:val="00D00979"/>
    <w:rsid w:val="00D01093"/>
    <w:rsid w:val="00D02208"/>
    <w:rsid w:val="00D0251F"/>
    <w:rsid w:val="00D02882"/>
    <w:rsid w:val="00D02CEC"/>
    <w:rsid w:val="00D02E1A"/>
    <w:rsid w:val="00D039F4"/>
    <w:rsid w:val="00D044D0"/>
    <w:rsid w:val="00D0474F"/>
    <w:rsid w:val="00D051F1"/>
    <w:rsid w:val="00D05678"/>
    <w:rsid w:val="00D07CA6"/>
    <w:rsid w:val="00D10CE5"/>
    <w:rsid w:val="00D10EBD"/>
    <w:rsid w:val="00D114BC"/>
    <w:rsid w:val="00D11C7A"/>
    <w:rsid w:val="00D14113"/>
    <w:rsid w:val="00D167A4"/>
    <w:rsid w:val="00D16DAD"/>
    <w:rsid w:val="00D20650"/>
    <w:rsid w:val="00D206EB"/>
    <w:rsid w:val="00D215CE"/>
    <w:rsid w:val="00D21E03"/>
    <w:rsid w:val="00D23564"/>
    <w:rsid w:val="00D23AA2"/>
    <w:rsid w:val="00D25F9F"/>
    <w:rsid w:val="00D27A16"/>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363E"/>
    <w:rsid w:val="00D5372E"/>
    <w:rsid w:val="00D54C18"/>
    <w:rsid w:val="00D57509"/>
    <w:rsid w:val="00D57DB4"/>
    <w:rsid w:val="00D6028C"/>
    <w:rsid w:val="00D60F53"/>
    <w:rsid w:val="00D6137A"/>
    <w:rsid w:val="00D6144A"/>
    <w:rsid w:val="00D61789"/>
    <w:rsid w:val="00D63160"/>
    <w:rsid w:val="00D63309"/>
    <w:rsid w:val="00D64A83"/>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4AA"/>
    <w:rsid w:val="00D7760A"/>
    <w:rsid w:val="00D8175B"/>
    <w:rsid w:val="00D82BB5"/>
    <w:rsid w:val="00D8342F"/>
    <w:rsid w:val="00D84A4A"/>
    <w:rsid w:val="00D85888"/>
    <w:rsid w:val="00D868AA"/>
    <w:rsid w:val="00D87131"/>
    <w:rsid w:val="00D87411"/>
    <w:rsid w:val="00D87B77"/>
    <w:rsid w:val="00D903E7"/>
    <w:rsid w:val="00D905A1"/>
    <w:rsid w:val="00D90B39"/>
    <w:rsid w:val="00D91335"/>
    <w:rsid w:val="00D91A05"/>
    <w:rsid w:val="00D91CA6"/>
    <w:rsid w:val="00D92276"/>
    <w:rsid w:val="00D93E9E"/>
    <w:rsid w:val="00D94A55"/>
    <w:rsid w:val="00D94EBF"/>
    <w:rsid w:val="00D9513B"/>
    <w:rsid w:val="00D959AC"/>
    <w:rsid w:val="00D96B7E"/>
    <w:rsid w:val="00D97D12"/>
    <w:rsid w:val="00DA0525"/>
    <w:rsid w:val="00DA18B0"/>
    <w:rsid w:val="00DA1977"/>
    <w:rsid w:val="00DA3620"/>
    <w:rsid w:val="00DA36BD"/>
    <w:rsid w:val="00DA3D9B"/>
    <w:rsid w:val="00DA3F08"/>
    <w:rsid w:val="00DA4117"/>
    <w:rsid w:val="00DA4325"/>
    <w:rsid w:val="00DA737A"/>
    <w:rsid w:val="00DB0250"/>
    <w:rsid w:val="00DB1355"/>
    <w:rsid w:val="00DB153E"/>
    <w:rsid w:val="00DB1EBD"/>
    <w:rsid w:val="00DB2943"/>
    <w:rsid w:val="00DB34A3"/>
    <w:rsid w:val="00DB4024"/>
    <w:rsid w:val="00DB49B9"/>
    <w:rsid w:val="00DB50DC"/>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5C49"/>
    <w:rsid w:val="00DD621C"/>
    <w:rsid w:val="00DD7916"/>
    <w:rsid w:val="00DE23E2"/>
    <w:rsid w:val="00DE2F15"/>
    <w:rsid w:val="00DE428F"/>
    <w:rsid w:val="00DE5659"/>
    <w:rsid w:val="00DE722B"/>
    <w:rsid w:val="00DE7FDD"/>
    <w:rsid w:val="00DF0B1B"/>
    <w:rsid w:val="00DF1020"/>
    <w:rsid w:val="00DF174A"/>
    <w:rsid w:val="00DF44D9"/>
    <w:rsid w:val="00DF48FF"/>
    <w:rsid w:val="00DF4A7D"/>
    <w:rsid w:val="00DF6482"/>
    <w:rsid w:val="00DF6C81"/>
    <w:rsid w:val="00E00028"/>
    <w:rsid w:val="00E002A3"/>
    <w:rsid w:val="00E007A1"/>
    <w:rsid w:val="00E00D71"/>
    <w:rsid w:val="00E00E43"/>
    <w:rsid w:val="00E014C2"/>
    <w:rsid w:val="00E02D33"/>
    <w:rsid w:val="00E046FE"/>
    <w:rsid w:val="00E0533D"/>
    <w:rsid w:val="00E05A5C"/>
    <w:rsid w:val="00E05BC6"/>
    <w:rsid w:val="00E06F63"/>
    <w:rsid w:val="00E07378"/>
    <w:rsid w:val="00E074FC"/>
    <w:rsid w:val="00E10A07"/>
    <w:rsid w:val="00E11F79"/>
    <w:rsid w:val="00E12941"/>
    <w:rsid w:val="00E1355B"/>
    <w:rsid w:val="00E1638A"/>
    <w:rsid w:val="00E16A40"/>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4FA"/>
    <w:rsid w:val="00E34B47"/>
    <w:rsid w:val="00E34E31"/>
    <w:rsid w:val="00E35F07"/>
    <w:rsid w:val="00E36AED"/>
    <w:rsid w:val="00E37011"/>
    <w:rsid w:val="00E37E03"/>
    <w:rsid w:val="00E40147"/>
    <w:rsid w:val="00E40849"/>
    <w:rsid w:val="00E409DC"/>
    <w:rsid w:val="00E414E5"/>
    <w:rsid w:val="00E42B39"/>
    <w:rsid w:val="00E432C4"/>
    <w:rsid w:val="00E43A9F"/>
    <w:rsid w:val="00E44B8B"/>
    <w:rsid w:val="00E475FE"/>
    <w:rsid w:val="00E51738"/>
    <w:rsid w:val="00E51942"/>
    <w:rsid w:val="00E52910"/>
    <w:rsid w:val="00E52F1E"/>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1B41"/>
    <w:rsid w:val="00E72066"/>
    <w:rsid w:val="00E72954"/>
    <w:rsid w:val="00E72BE3"/>
    <w:rsid w:val="00E739A2"/>
    <w:rsid w:val="00E74146"/>
    <w:rsid w:val="00E7549A"/>
    <w:rsid w:val="00E759A6"/>
    <w:rsid w:val="00E75E98"/>
    <w:rsid w:val="00E763AD"/>
    <w:rsid w:val="00E7681B"/>
    <w:rsid w:val="00E77168"/>
    <w:rsid w:val="00E7754B"/>
    <w:rsid w:val="00E812A9"/>
    <w:rsid w:val="00E8149D"/>
    <w:rsid w:val="00E8208F"/>
    <w:rsid w:val="00E82A91"/>
    <w:rsid w:val="00E830DD"/>
    <w:rsid w:val="00E836E4"/>
    <w:rsid w:val="00E83777"/>
    <w:rsid w:val="00E83FCA"/>
    <w:rsid w:val="00E84BE6"/>
    <w:rsid w:val="00E876D7"/>
    <w:rsid w:val="00E87962"/>
    <w:rsid w:val="00E87EEA"/>
    <w:rsid w:val="00E90624"/>
    <w:rsid w:val="00E9062C"/>
    <w:rsid w:val="00E92CD3"/>
    <w:rsid w:val="00E931F0"/>
    <w:rsid w:val="00E93E80"/>
    <w:rsid w:val="00E94598"/>
    <w:rsid w:val="00E94607"/>
    <w:rsid w:val="00E95699"/>
    <w:rsid w:val="00E96F78"/>
    <w:rsid w:val="00E9732E"/>
    <w:rsid w:val="00EA00E5"/>
    <w:rsid w:val="00EA0802"/>
    <w:rsid w:val="00EA0B78"/>
    <w:rsid w:val="00EA13AA"/>
    <w:rsid w:val="00EA195C"/>
    <w:rsid w:val="00EA2CA1"/>
    <w:rsid w:val="00EA2FC5"/>
    <w:rsid w:val="00EA359B"/>
    <w:rsid w:val="00EA46D9"/>
    <w:rsid w:val="00EA4B7F"/>
    <w:rsid w:val="00EA5100"/>
    <w:rsid w:val="00EA550D"/>
    <w:rsid w:val="00EA6911"/>
    <w:rsid w:val="00EB03E5"/>
    <w:rsid w:val="00EB041B"/>
    <w:rsid w:val="00EB067D"/>
    <w:rsid w:val="00EB17B6"/>
    <w:rsid w:val="00EB1A24"/>
    <w:rsid w:val="00EB1BA1"/>
    <w:rsid w:val="00EB29F7"/>
    <w:rsid w:val="00EB334C"/>
    <w:rsid w:val="00EB3B2E"/>
    <w:rsid w:val="00EB41D4"/>
    <w:rsid w:val="00EB4859"/>
    <w:rsid w:val="00EB4A77"/>
    <w:rsid w:val="00EB6AE6"/>
    <w:rsid w:val="00EB7E70"/>
    <w:rsid w:val="00EC0816"/>
    <w:rsid w:val="00EC1BC3"/>
    <w:rsid w:val="00EC243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D58"/>
    <w:rsid w:val="00ED6D87"/>
    <w:rsid w:val="00ED7801"/>
    <w:rsid w:val="00EE0265"/>
    <w:rsid w:val="00EE041E"/>
    <w:rsid w:val="00EE0702"/>
    <w:rsid w:val="00EE0C81"/>
    <w:rsid w:val="00EE2852"/>
    <w:rsid w:val="00EE4560"/>
    <w:rsid w:val="00EE5547"/>
    <w:rsid w:val="00EE5C82"/>
    <w:rsid w:val="00EE7FCD"/>
    <w:rsid w:val="00EE7FEA"/>
    <w:rsid w:val="00EF03C7"/>
    <w:rsid w:val="00EF0DEA"/>
    <w:rsid w:val="00EF1C4C"/>
    <w:rsid w:val="00EF1D9D"/>
    <w:rsid w:val="00EF3835"/>
    <w:rsid w:val="00EF4420"/>
    <w:rsid w:val="00EF4975"/>
    <w:rsid w:val="00EF5542"/>
    <w:rsid w:val="00EF5B5A"/>
    <w:rsid w:val="00EF62F0"/>
    <w:rsid w:val="00EF6B1A"/>
    <w:rsid w:val="00EF7020"/>
    <w:rsid w:val="00F01FCE"/>
    <w:rsid w:val="00F02EC3"/>
    <w:rsid w:val="00F04C77"/>
    <w:rsid w:val="00F06117"/>
    <w:rsid w:val="00F06923"/>
    <w:rsid w:val="00F10341"/>
    <w:rsid w:val="00F1082D"/>
    <w:rsid w:val="00F11A04"/>
    <w:rsid w:val="00F13B15"/>
    <w:rsid w:val="00F13BFA"/>
    <w:rsid w:val="00F15829"/>
    <w:rsid w:val="00F17805"/>
    <w:rsid w:val="00F2164B"/>
    <w:rsid w:val="00F21749"/>
    <w:rsid w:val="00F21CDB"/>
    <w:rsid w:val="00F221D2"/>
    <w:rsid w:val="00F2302B"/>
    <w:rsid w:val="00F23121"/>
    <w:rsid w:val="00F23923"/>
    <w:rsid w:val="00F24086"/>
    <w:rsid w:val="00F251A5"/>
    <w:rsid w:val="00F265CD"/>
    <w:rsid w:val="00F26DE3"/>
    <w:rsid w:val="00F26F74"/>
    <w:rsid w:val="00F274D7"/>
    <w:rsid w:val="00F30961"/>
    <w:rsid w:val="00F31560"/>
    <w:rsid w:val="00F31837"/>
    <w:rsid w:val="00F31A28"/>
    <w:rsid w:val="00F31C3E"/>
    <w:rsid w:val="00F34CAA"/>
    <w:rsid w:val="00F34F5E"/>
    <w:rsid w:val="00F358A2"/>
    <w:rsid w:val="00F35B24"/>
    <w:rsid w:val="00F3715D"/>
    <w:rsid w:val="00F37B8D"/>
    <w:rsid w:val="00F41448"/>
    <w:rsid w:val="00F417F1"/>
    <w:rsid w:val="00F4241F"/>
    <w:rsid w:val="00F42709"/>
    <w:rsid w:val="00F43378"/>
    <w:rsid w:val="00F4415E"/>
    <w:rsid w:val="00F44602"/>
    <w:rsid w:val="00F45B9E"/>
    <w:rsid w:val="00F46424"/>
    <w:rsid w:val="00F47390"/>
    <w:rsid w:val="00F47415"/>
    <w:rsid w:val="00F5090A"/>
    <w:rsid w:val="00F50D39"/>
    <w:rsid w:val="00F52158"/>
    <w:rsid w:val="00F52A21"/>
    <w:rsid w:val="00F54064"/>
    <w:rsid w:val="00F5406B"/>
    <w:rsid w:val="00F5451D"/>
    <w:rsid w:val="00F54B4D"/>
    <w:rsid w:val="00F55BEF"/>
    <w:rsid w:val="00F55DD4"/>
    <w:rsid w:val="00F56F2F"/>
    <w:rsid w:val="00F57CD8"/>
    <w:rsid w:val="00F605A1"/>
    <w:rsid w:val="00F60E7E"/>
    <w:rsid w:val="00F61426"/>
    <w:rsid w:val="00F62CBA"/>
    <w:rsid w:val="00F63034"/>
    <w:rsid w:val="00F64218"/>
    <w:rsid w:val="00F647D8"/>
    <w:rsid w:val="00F6680B"/>
    <w:rsid w:val="00F66A0C"/>
    <w:rsid w:val="00F67059"/>
    <w:rsid w:val="00F6780A"/>
    <w:rsid w:val="00F701FE"/>
    <w:rsid w:val="00F710AE"/>
    <w:rsid w:val="00F71110"/>
    <w:rsid w:val="00F721EF"/>
    <w:rsid w:val="00F72261"/>
    <w:rsid w:val="00F73E05"/>
    <w:rsid w:val="00F7414C"/>
    <w:rsid w:val="00F74B60"/>
    <w:rsid w:val="00F75B82"/>
    <w:rsid w:val="00F765ED"/>
    <w:rsid w:val="00F7673D"/>
    <w:rsid w:val="00F778F9"/>
    <w:rsid w:val="00F805E0"/>
    <w:rsid w:val="00F80BFB"/>
    <w:rsid w:val="00F82B02"/>
    <w:rsid w:val="00F834C3"/>
    <w:rsid w:val="00F835AF"/>
    <w:rsid w:val="00F83BEC"/>
    <w:rsid w:val="00F856DE"/>
    <w:rsid w:val="00F85FB0"/>
    <w:rsid w:val="00F860A0"/>
    <w:rsid w:val="00F8648B"/>
    <w:rsid w:val="00F872CA"/>
    <w:rsid w:val="00F90A4B"/>
    <w:rsid w:val="00F90CBB"/>
    <w:rsid w:val="00F90E18"/>
    <w:rsid w:val="00F91645"/>
    <w:rsid w:val="00F92DFA"/>
    <w:rsid w:val="00F95DB3"/>
    <w:rsid w:val="00F96070"/>
    <w:rsid w:val="00F965C2"/>
    <w:rsid w:val="00F96682"/>
    <w:rsid w:val="00F96791"/>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3F62"/>
    <w:rsid w:val="00FB48F9"/>
    <w:rsid w:val="00FB5EB3"/>
    <w:rsid w:val="00FB6320"/>
    <w:rsid w:val="00FB7E4F"/>
    <w:rsid w:val="00FC08FD"/>
    <w:rsid w:val="00FC30DB"/>
    <w:rsid w:val="00FC56D1"/>
    <w:rsid w:val="00FC5FEB"/>
    <w:rsid w:val="00FC7646"/>
    <w:rsid w:val="00FC7CB0"/>
    <w:rsid w:val="00FD1A97"/>
    <w:rsid w:val="00FD512E"/>
    <w:rsid w:val="00FD6919"/>
    <w:rsid w:val="00FD6A7E"/>
    <w:rsid w:val="00FD6CCD"/>
    <w:rsid w:val="00FD7085"/>
    <w:rsid w:val="00FD7134"/>
    <w:rsid w:val="00FE0026"/>
    <w:rsid w:val="00FE14A1"/>
    <w:rsid w:val="00FE193A"/>
    <w:rsid w:val="00FE2197"/>
    <w:rsid w:val="00FE3708"/>
    <w:rsid w:val="00FE3B90"/>
    <w:rsid w:val="00FE3F21"/>
    <w:rsid w:val="00FE4742"/>
    <w:rsid w:val="00FE4ABA"/>
    <w:rsid w:val="00FE5879"/>
    <w:rsid w:val="00FE75EA"/>
    <w:rsid w:val="00FF14D9"/>
    <w:rsid w:val="00FF1A63"/>
    <w:rsid w:val="00FF1BF1"/>
    <w:rsid w:val="00FF290D"/>
    <w:rsid w:val="00FF2A0D"/>
    <w:rsid w:val="00FF30FC"/>
    <w:rsid w:val="00FF333E"/>
    <w:rsid w:val="00FF34EE"/>
    <w:rsid w:val="00FF4589"/>
    <w:rsid w:val="00FF4B76"/>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1B73"/>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nhideWhenUsed/>
    <w:rsid w:val="009B7453"/>
    <w:rPr>
      <w:sz w:val="20"/>
      <w:szCs w:val="20"/>
    </w:rPr>
  </w:style>
  <w:style w:type="character" w:customStyle="1" w:styleId="CommentTextChar">
    <w:name w:val="Comment Text Char"/>
    <w:link w:val="CommentText"/>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styleId="Revision">
    <w:name w:val="Revision"/>
    <w:hidden/>
    <w:uiPriority w:val="99"/>
    <w:semiHidden/>
    <w:rsid w:val="00DA0525"/>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226066827">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B245-7FB7-43B4-A5CC-E5685A63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7854</Words>
  <Characters>4478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12308</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Ilze Grīnberga</cp:lastModifiedBy>
  <cp:revision>2</cp:revision>
  <cp:lastPrinted>2016-10-24T06:01:00Z</cp:lastPrinted>
  <dcterms:created xsi:type="dcterms:W3CDTF">2017-01-30T11:09:00Z</dcterms:created>
  <dcterms:modified xsi:type="dcterms:W3CDTF">2017-01-30T11:09:00Z</dcterms:modified>
</cp:coreProperties>
</file>