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A9028" w14:textId="77777777" w:rsidR="00082640" w:rsidRPr="003D3179" w:rsidRDefault="00082640" w:rsidP="00082640">
      <w:pPr>
        <w:jc w:val="center"/>
        <w:rPr>
          <w:rFonts w:eastAsia="Times New Roman" w:cs="Times New Roman"/>
          <w:b/>
          <w:sz w:val="26"/>
          <w:szCs w:val="26"/>
          <w:lang w:eastAsia="lv-LV"/>
        </w:rPr>
      </w:pPr>
      <w:bookmarkStart w:id="0" w:name="OLE_LINK4"/>
      <w:bookmarkStart w:id="1" w:name="OLE_LINK3"/>
      <w:bookmarkStart w:id="2" w:name="OLE_LINK2"/>
      <w:bookmarkStart w:id="3" w:name="OLE_LINK1"/>
      <w:r w:rsidRPr="003D3179">
        <w:rPr>
          <w:rFonts w:eastAsia="Times New Roman" w:cs="Times New Roman"/>
          <w:b/>
          <w:sz w:val="26"/>
          <w:szCs w:val="26"/>
          <w:lang w:eastAsia="lv-LV"/>
        </w:rPr>
        <w:t xml:space="preserve">Likumprojekta </w:t>
      </w:r>
      <w:r w:rsidR="00643522" w:rsidRPr="003D3179">
        <w:rPr>
          <w:rFonts w:eastAsia="Times New Roman" w:cs="Times New Roman"/>
          <w:b/>
          <w:sz w:val="26"/>
          <w:szCs w:val="26"/>
          <w:lang w:eastAsia="lv-LV"/>
        </w:rPr>
        <w:t>“</w:t>
      </w:r>
      <w:r w:rsidRPr="003D3179">
        <w:rPr>
          <w:rFonts w:eastAsia="Times New Roman" w:cs="Times New Roman"/>
          <w:b/>
          <w:sz w:val="26"/>
          <w:szCs w:val="26"/>
          <w:lang w:eastAsia="lv-LV"/>
        </w:rPr>
        <w:t>Grozījum</w:t>
      </w:r>
      <w:r w:rsidR="00601BA4" w:rsidRPr="003D3179">
        <w:rPr>
          <w:rFonts w:eastAsia="Times New Roman" w:cs="Times New Roman"/>
          <w:b/>
          <w:sz w:val="26"/>
          <w:szCs w:val="26"/>
          <w:lang w:eastAsia="lv-LV"/>
        </w:rPr>
        <w:t>i</w:t>
      </w:r>
      <w:r w:rsidR="00643522" w:rsidRPr="003D3179">
        <w:rPr>
          <w:rFonts w:eastAsia="Times New Roman" w:cs="Times New Roman"/>
          <w:b/>
          <w:sz w:val="26"/>
          <w:szCs w:val="26"/>
          <w:lang w:eastAsia="lv-LV"/>
        </w:rPr>
        <w:t xml:space="preserve"> likumā “</w:t>
      </w:r>
      <w:r w:rsidR="00D70A5F" w:rsidRPr="003D3179">
        <w:rPr>
          <w:b/>
          <w:sz w:val="26"/>
          <w:szCs w:val="26"/>
        </w:rPr>
        <w:t>Par bīstamo iekārtu tehnisko uzraudzību</w:t>
      </w:r>
      <w:r w:rsidRPr="003D3179">
        <w:rPr>
          <w:rFonts w:eastAsia="Times New Roman" w:cs="Times New Roman"/>
          <w:b/>
          <w:sz w:val="26"/>
          <w:szCs w:val="26"/>
          <w:lang w:eastAsia="lv-LV"/>
        </w:rPr>
        <w:t xml:space="preserve">”” </w:t>
      </w:r>
      <w:bookmarkEnd w:id="0"/>
      <w:bookmarkEnd w:id="1"/>
      <w:r w:rsidRPr="003D3179">
        <w:rPr>
          <w:rFonts w:eastAsia="Times New Roman" w:cs="Times New Roman"/>
          <w:b/>
          <w:sz w:val="26"/>
          <w:szCs w:val="26"/>
          <w:lang w:eastAsia="lv-LV"/>
        </w:rPr>
        <w:t>sākotnējās ietekmes novērtējuma ziņojums</w:t>
      </w:r>
      <w:bookmarkEnd w:id="2"/>
      <w:bookmarkEnd w:id="3"/>
    </w:p>
    <w:p w14:paraId="40A8F4BF" w14:textId="77777777" w:rsidR="00082640" w:rsidRPr="003D3179" w:rsidRDefault="00082640" w:rsidP="00587FC4">
      <w:pPr>
        <w:spacing w:after="120"/>
        <w:jc w:val="center"/>
        <w:outlineLvl w:val="0"/>
        <w:rPr>
          <w:rFonts w:eastAsia="Times New Roman" w:cs="Times New Roman"/>
          <w:b/>
          <w:sz w:val="26"/>
          <w:szCs w:val="26"/>
          <w:lang w:eastAsia="lv-LV"/>
        </w:rPr>
      </w:pPr>
      <w:r w:rsidRPr="003D3179">
        <w:rPr>
          <w:rFonts w:eastAsia="Times New Roman" w:cs="Times New Roman"/>
          <w:b/>
          <w:sz w:val="26"/>
          <w:szCs w:val="26"/>
          <w:lang w:eastAsia="lv-LV"/>
        </w:rPr>
        <w:t>(anotācija)</w:t>
      </w:r>
    </w:p>
    <w:tbl>
      <w:tblPr>
        <w:tblW w:w="5467"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22"/>
        <w:gridCol w:w="2164"/>
        <w:gridCol w:w="6378"/>
      </w:tblGrid>
      <w:tr w:rsidR="00082640" w:rsidRPr="003D3179" w14:paraId="2BD163CC" w14:textId="77777777" w:rsidTr="004D0B36">
        <w:trPr>
          <w:trHeight w:val="324"/>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2CC20F4A" w14:textId="77777777" w:rsidR="00082640" w:rsidRPr="003D3179" w:rsidRDefault="00082640" w:rsidP="00E3648F">
            <w:pPr>
              <w:spacing w:before="100" w:beforeAutospacing="1" w:after="100" w:afterAutospacing="1"/>
              <w:jc w:val="center"/>
              <w:rPr>
                <w:rFonts w:eastAsia="Times New Roman" w:cs="Times New Roman"/>
                <w:b/>
                <w:bCs/>
                <w:sz w:val="26"/>
                <w:szCs w:val="26"/>
                <w:lang w:eastAsia="lv-LV"/>
              </w:rPr>
            </w:pPr>
            <w:r w:rsidRPr="003D3179">
              <w:rPr>
                <w:rFonts w:eastAsia="Times New Roman" w:cs="Times New Roman"/>
                <w:b/>
                <w:bCs/>
                <w:sz w:val="26"/>
                <w:szCs w:val="26"/>
                <w:lang w:eastAsia="lv-LV"/>
              </w:rPr>
              <w:t>I. Tiesību akta projekta izstrādes nepieciešamība</w:t>
            </w:r>
          </w:p>
        </w:tc>
      </w:tr>
      <w:tr w:rsidR="00082640" w:rsidRPr="003D3179" w14:paraId="4A7DD577" w14:textId="77777777" w:rsidTr="00180CDB">
        <w:trPr>
          <w:trHeight w:val="324"/>
          <w:tblCellSpacing w:w="15" w:type="dxa"/>
        </w:trPr>
        <w:tc>
          <w:tcPr>
            <w:tcW w:w="477" w:type="dxa"/>
            <w:tcBorders>
              <w:top w:val="outset" w:sz="6" w:space="0" w:color="auto"/>
              <w:left w:val="outset" w:sz="6" w:space="0" w:color="auto"/>
              <w:bottom w:val="outset" w:sz="6" w:space="0" w:color="auto"/>
              <w:right w:val="outset" w:sz="6" w:space="0" w:color="auto"/>
            </w:tcBorders>
            <w:hideMark/>
          </w:tcPr>
          <w:p w14:paraId="1AEE61C1" w14:textId="77777777" w:rsidR="00082640" w:rsidRPr="003D3179" w:rsidRDefault="00082640" w:rsidP="00E3648F">
            <w:pPr>
              <w:spacing w:before="100" w:beforeAutospacing="1" w:after="100" w:afterAutospacing="1"/>
              <w:jc w:val="center"/>
              <w:rPr>
                <w:rFonts w:eastAsia="Times New Roman" w:cs="Times New Roman"/>
                <w:sz w:val="26"/>
                <w:szCs w:val="26"/>
                <w:lang w:eastAsia="lv-LV"/>
              </w:rPr>
            </w:pPr>
            <w:r w:rsidRPr="003D3179">
              <w:rPr>
                <w:rFonts w:eastAsia="Times New Roman" w:cs="Times New Roman"/>
                <w:sz w:val="26"/>
                <w:szCs w:val="26"/>
                <w:lang w:eastAsia="lv-LV"/>
              </w:rPr>
              <w:t>1.</w:t>
            </w:r>
          </w:p>
        </w:tc>
        <w:tc>
          <w:tcPr>
            <w:tcW w:w="2134" w:type="dxa"/>
            <w:tcBorders>
              <w:top w:val="outset" w:sz="6" w:space="0" w:color="auto"/>
              <w:left w:val="outset" w:sz="6" w:space="0" w:color="auto"/>
              <w:bottom w:val="outset" w:sz="6" w:space="0" w:color="auto"/>
              <w:right w:val="outset" w:sz="6" w:space="0" w:color="auto"/>
            </w:tcBorders>
            <w:hideMark/>
          </w:tcPr>
          <w:p w14:paraId="4628D805"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Pamatojums</w:t>
            </w:r>
          </w:p>
        </w:tc>
        <w:tc>
          <w:tcPr>
            <w:tcW w:w="6333" w:type="dxa"/>
            <w:tcBorders>
              <w:top w:val="outset" w:sz="6" w:space="0" w:color="auto"/>
              <w:left w:val="outset" w:sz="6" w:space="0" w:color="auto"/>
              <w:bottom w:val="outset" w:sz="6" w:space="0" w:color="auto"/>
              <w:right w:val="outset" w:sz="6" w:space="0" w:color="auto"/>
            </w:tcBorders>
            <w:hideMark/>
          </w:tcPr>
          <w:p w14:paraId="27F4066B" w14:textId="77777777" w:rsidR="00082640" w:rsidRPr="003D3179" w:rsidRDefault="00643522" w:rsidP="00643522">
            <w:pPr>
              <w:ind w:firstLine="340"/>
              <w:jc w:val="both"/>
              <w:rPr>
                <w:rFonts w:eastAsia="Times New Roman" w:cs="Times New Roman"/>
                <w:sz w:val="26"/>
                <w:szCs w:val="26"/>
                <w:lang w:eastAsia="lv-LV"/>
              </w:rPr>
            </w:pPr>
            <w:r w:rsidRPr="003D3179">
              <w:rPr>
                <w:rFonts w:eastAsia="Times New Roman" w:cs="Times New Roman"/>
                <w:sz w:val="26"/>
                <w:szCs w:val="26"/>
                <w:lang w:eastAsia="lv-LV"/>
              </w:rPr>
              <w:t>Likumprojekts “</w:t>
            </w:r>
            <w:r w:rsidR="00D70A5F" w:rsidRPr="003D3179">
              <w:rPr>
                <w:rFonts w:eastAsia="Times New Roman" w:cs="Times New Roman"/>
                <w:sz w:val="26"/>
                <w:szCs w:val="26"/>
                <w:lang w:eastAsia="lv-LV"/>
              </w:rPr>
              <w:t xml:space="preserve">Grozījumi likumā </w:t>
            </w:r>
            <w:r w:rsidRPr="003D3179">
              <w:rPr>
                <w:rFonts w:eastAsia="Times New Roman" w:cs="Times New Roman"/>
                <w:sz w:val="26"/>
                <w:szCs w:val="26"/>
                <w:lang w:eastAsia="lv-LV"/>
              </w:rPr>
              <w:t>“</w:t>
            </w:r>
            <w:r w:rsidR="00D70A5F" w:rsidRPr="003D3179">
              <w:rPr>
                <w:rFonts w:eastAsia="Times New Roman" w:cs="Times New Roman"/>
                <w:sz w:val="26"/>
                <w:szCs w:val="26"/>
                <w:lang w:eastAsia="lv-LV"/>
              </w:rPr>
              <w:t>Par bīstamo iekārtu tehnisko uzraudzību”</w:t>
            </w:r>
            <w:r w:rsidRPr="003D3179">
              <w:rPr>
                <w:rFonts w:eastAsia="Times New Roman" w:cs="Times New Roman"/>
                <w:sz w:val="26"/>
                <w:szCs w:val="26"/>
                <w:lang w:eastAsia="lv-LV"/>
              </w:rPr>
              <w:t>”</w:t>
            </w:r>
            <w:r w:rsidR="00D70A5F" w:rsidRPr="003D3179">
              <w:rPr>
                <w:rFonts w:eastAsia="Times New Roman" w:cs="Times New Roman"/>
                <w:sz w:val="26"/>
                <w:szCs w:val="26"/>
                <w:lang w:eastAsia="lv-LV"/>
              </w:rPr>
              <w:t xml:space="preserve"> </w:t>
            </w:r>
            <w:r w:rsidR="00082640" w:rsidRPr="003D3179">
              <w:rPr>
                <w:rFonts w:eastAsia="Times New Roman" w:cs="Times New Roman"/>
                <w:sz w:val="26"/>
                <w:szCs w:val="26"/>
                <w:lang w:eastAsia="lv-LV"/>
              </w:rPr>
              <w:t xml:space="preserve">(turpmāk – </w:t>
            </w:r>
            <w:r w:rsidR="00426835" w:rsidRPr="003D3179">
              <w:rPr>
                <w:rFonts w:eastAsia="Times New Roman" w:cs="Times New Roman"/>
                <w:sz w:val="26"/>
                <w:szCs w:val="26"/>
                <w:lang w:eastAsia="lv-LV"/>
              </w:rPr>
              <w:t>L</w:t>
            </w:r>
            <w:r w:rsidR="00082640" w:rsidRPr="003D3179">
              <w:rPr>
                <w:rFonts w:eastAsia="Times New Roman" w:cs="Times New Roman"/>
                <w:sz w:val="26"/>
                <w:szCs w:val="26"/>
                <w:lang w:eastAsia="lv-LV"/>
              </w:rPr>
              <w:t>ikumprojekts) izstrādāts:</w:t>
            </w:r>
          </w:p>
          <w:p w14:paraId="57A6FF1A" w14:textId="0619AF99" w:rsidR="00082640" w:rsidRPr="003D3179" w:rsidRDefault="00082640" w:rsidP="00A81A48">
            <w:pPr>
              <w:pStyle w:val="ListParagraph"/>
              <w:numPr>
                <w:ilvl w:val="0"/>
                <w:numId w:val="8"/>
              </w:numPr>
              <w:spacing w:after="0" w:line="240" w:lineRule="auto"/>
              <w:jc w:val="both"/>
              <w:rPr>
                <w:rFonts w:ascii="Times New Roman" w:hAnsi="Times New Roman" w:cs="Times New Roman"/>
                <w:bCs/>
                <w:sz w:val="26"/>
                <w:szCs w:val="26"/>
                <w:shd w:val="clear" w:color="auto" w:fill="FFFFFF"/>
              </w:rPr>
            </w:pPr>
            <w:r w:rsidRPr="003D3179">
              <w:rPr>
                <w:rFonts w:ascii="Times New Roman" w:eastAsia="Times New Roman" w:hAnsi="Times New Roman" w:cs="Times New Roman"/>
                <w:sz w:val="26"/>
                <w:szCs w:val="26"/>
                <w:lang w:eastAsia="lv-LV"/>
              </w:rPr>
              <w:t xml:space="preserve">lai izpildītu ar </w:t>
            </w:r>
            <w:r w:rsidRPr="003D3179">
              <w:rPr>
                <w:rFonts w:ascii="Times New Roman" w:hAnsi="Times New Roman" w:cs="Times New Roman"/>
                <w:sz w:val="26"/>
                <w:szCs w:val="26"/>
              </w:rPr>
              <w:t>Ministru kabineta 2014.gada 22.aprīļa protokola Nr.24 26.§ “</w:t>
            </w:r>
            <w:r w:rsidRPr="003D3179">
              <w:rPr>
                <w:rFonts w:ascii="Times New Roman" w:hAnsi="Times New Roman" w:cs="Times New Roman"/>
                <w:bCs/>
                <w:sz w:val="26"/>
                <w:szCs w:val="26"/>
                <w:shd w:val="clear" w:color="auto" w:fill="FFFFFF"/>
              </w:rPr>
              <w:t>Informatīvais</w:t>
            </w:r>
            <w:r w:rsidR="004D0B36" w:rsidRPr="003D3179">
              <w:rPr>
                <w:rFonts w:ascii="Times New Roman" w:hAnsi="Times New Roman" w:cs="Times New Roman"/>
                <w:bCs/>
                <w:sz w:val="26"/>
                <w:szCs w:val="26"/>
                <w:shd w:val="clear" w:color="auto" w:fill="FFFFFF"/>
              </w:rPr>
              <w:t xml:space="preserve"> </w:t>
            </w:r>
            <w:r w:rsidRPr="003D3179">
              <w:rPr>
                <w:rFonts w:ascii="Times New Roman" w:hAnsi="Times New Roman" w:cs="Times New Roman"/>
                <w:bCs/>
                <w:sz w:val="26"/>
                <w:szCs w:val="26"/>
                <w:shd w:val="clear" w:color="auto" w:fill="FFFFFF"/>
              </w:rPr>
              <w:t>ziņojums “Nozaru administratīvo pārkāpumu kodifikācijas ieviešanas sistēma”” TA-775 uzliktās saistības;</w:t>
            </w:r>
          </w:p>
          <w:p w14:paraId="3C95662E" w14:textId="3009E16C" w:rsidR="00082640" w:rsidRPr="003D3179" w:rsidRDefault="00082640" w:rsidP="00B85326">
            <w:pPr>
              <w:pStyle w:val="ListParagraph"/>
              <w:numPr>
                <w:ilvl w:val="0"/>
                <w:numId w:val="8"/>
              </w:numPr>
              <w:spacing w:after="0" w:line="240" w:lineRule="auto"/>
              <w:jc w:val="both"/>
              <w:rPr>
                <w:rFonts w:eastAsia="Times New Roman" w:cs="Times New Roman"/>
                <w:sz w:val="26"/>
                <w:szCs w:val="26"/>
                <w:lang w:eastAsia="lv-LV"/>
              </w:rPr>
            </w:pPr>
            <w:r w:rsidRPr="003D3179">
              <w:rPr>
                <w:rFonts w:ascii="Times New Roman" w:hAnsi="Times New Roman" w:cs="Times New Roman"/>
                <w:bCs/>
                <w:sz w:val="26"/>
                <w:szCs w:val="26"/>
                <w:shd w:val="clear" w:color="auto" w:fill="FFFFFF"/>
              </w:rPr>
              <w:t>lai izpildītu ar Ministru kabineta 2013.gada 4.februāra rīkojum</w:t>
            </w:r>
            <w:r w:rsidR="00B85326">
              <w:rPr>
                <w:rFonts w:ascii="Times New Roman" w:hAnsi="Times New Roman" w:cs="Times New Roman"/>
                <w:bCs/>
                <w:sz w:val="26"/>
                <w:szCs w:val="26"/>
                <w:shd w:val="clear" w:color="auto" w:fill="FFFFFF"/>
              </w:rPr>
              <w:t>a</w:t>
            </w:r>
            <w:r w:rsidRPr="003D3179">
              <w:rPr>
                <w:rFonts w:ascii="Times New Roman" w:hAnsi="Times New Roman" w:cs="Times New Roman"/>
                <w:bCs/>
                <w:sz w:val="26"/>
                <w:szCs w:val="26"/>
                <w:shd w:val="clear" w:color="auto" w:fill="FFFFFF"/>
              </w:rPr>
              <w:t xml:space="preserve"> Nr.38 (prot. Nr.5 30.§) “Par Administratīvo sodu sistēmas attīstības</w:t>
            </w:r>
            <w:r w:rsidR="00426835" w:rsidRPr="003D3179">
              <w:rPr>
                <w:rFonts w:ascii="Times New Roman" w:hAnsi="Times New Roman" w:cs="Times New Roman"/>
                <w:bCs/>
                <w:sz w:val="26"/>
                <w:szCs w:val="26"/>
                <w:shd w:val="clear" w:color="auto" w:fill="FFFFFF"/>
              </w:rPr>
              <w:t xml:space="preserve"> koncepciju” uzliktās saistības</w:t>
            </w:r>
            <w:r w:rsidR="00426835" w:rsidRPr="003D3179">
              <w:rPr>
                <w:rFonts w:cs="Times New Roman"/>
                <w:bCs/>
                <w:sz w:val="26"/>
                <w:szCs w:val="26"/>
                <w:shd w:val="clear" w:color="auto" w:fill="FFFFFF"/>
              </w:rPr>
              <w:t>.</w:t>
            </w:r>
          </w:p>
        </w:tc>
      </w:tr>
      <w:tr w:rsidR="00082640" w:rsidRPr="003D3179" w14:paraId="69A5AB7B" w14:textId="77777777" w:rsidTr="00180CDB">
        <w:trPr>
          <w:trHeight w:val="20"/>
          <w:tblCellSpacing w:w="15" w:type="dxa"/>
        </w:trPr>
        <w:tc>
          <w:tcPr>
            <w:tcW w:w="477" w:type="dxa"/>
            <w:tcBorders>
              <w:top w:val="outset" w:sz="6" w:space="0" w:color="auto"/>
              <w:left w:val="outset" w:sz="6" w:space="0" w:color="auto"/>
              <w:bottom w:val="outset" w:sz="6" w:space="0" w:color="auto"/>
              <w:right w:val="outset" w:sz="6" w:space="0" w:color="auto"/>
            </w:tcBorders>
            <w:hideMark/>
          </w:tcPr>
          <w:p w14:paraId="58731F81" w14:textId="77777777" w:rsidR="00082640" w:rsidRPr="003D3179" w:rsidRDefault="00082640" w:rsidP="00643522">
            <w:pPr>
              <w:spacing w:before="100" w:beforeAutospacing="1" w:after="100" w:afterAutospacing="1"/>
              <w:jc w:val="center"/>
              <w:rPr>
                <w:rFonts w:eastAsia="Times New Roman" w:cs="Times New Roman"/>
                <w:sz w:val="26"/>
                <w:szCs w:val="26"/>
                <w:lang w:eastAsia="lv-LV"/>
              </w:rPr>
            </w:pPr>
            <w:r w:rsidRPr="003D3179">
              <w:rPr>
                <w:rFonts w:eastAsia="Times New Roman" w:cs="Times New Roman"/>
                <w:sz w:val="26"/>
                <w:szCs w:val="26"/>
                <w:lang w:eastAsia="lv-LV"/>
              </w:rPr>
              <w:t>2.</w:t>
            </w:r>
          </w:p>
        </w:tc>
        <w:tc>
          <w:tcPr>
            <w:tcW w:w="2134" w:type="dxa"/>
            <w:tcBorders>
              <w:top w:val="outset" w:sz="6" w:space="0" w:color="auto"/>
              <w:left w:val="outset" w:sz="6" w:space="0" w:color="auto"/>
              <w:bottom w:val="outset" w:sz="6" w:space="0" w:color="auto"/>
              <w:right w:val="outset" w:sz="6" w:space="0" w:color="auto"/>
            </w:tcBorders>
            <w:hideMark/>
          </w:tcPr>
          <w:p w14:paraId="538C7992"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Pašreizējā situācija un problēmas, kuru risināšanai tiesību akta projekts izstrādāts, tiesiskā regulējuma mērķis un būtība</w:t>
            </w:r>
          </w:p>
        </w:tc>
        <w:tc>
          <w:tcPr>
            <w:tcW w:w="6333" w:type="dxa"/>
            <w:tcBorders>
              <w:top w:val="outset" w:sz="6" w:space="0" w:color="auto"/>
              <w:left w:val="outset" w:sz="6" w:space="0" w:color="auto"/>
              <w:bottom w:val="outset" w:sz="6" w:space="0" w:color="auto"/>
              <w:right w:val="outset" w:sz="6" w:space="0" w:color="auto"/>
            </w:tcBorders>
            <w:hideMark/>
          </w:tcPr>
          <w:p w14:paraId="4F20AA7C" w14:textId="2C007B8C" w:rsidR="008F7D22" w:rsidRPr="003D3179" w:rsidRDefault="008F7D22" w:rsidP="0002704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sz w:val="26"/>
                <w:szCs w:val="26"/>
                <w:lang w:val="lv-LV"/>
              </w:rPr>
            </w:pPr>
            <w:r w:rsidRPr="003D3179">
              <w:rPr>
                <w:sz w:val="26"/>
                <w:szCs w:val="26"/>
                <w:lang w:val="lv-LV"/>
              </w:rPr>
              <w:t xml:space="preserve">2014.gada 22.aprīlī Ministru kabinetā tika apstiprināts informatīvais ziņojums “Nozaru administratīvo pārkāpumu kodifikācijas ieviešanas sistēma” (prot.nr.24, 26§), saskaņā </w:t>
            </w:r>
            <w:r w:rsidR="00394C7C">
              <w:rPr>
                <w:sz w:val="26"/>
                <w:szCs w:val="26"/>
                <w:lang w:val="lv-LV"/>
              </w:rPr>
              <w:t>ar kuru informatīvā ziņojuma 1.</w:t>
            </w:r>
            <w:r w:rsidRPr="003D3179">
              <w:rPr>
                <w:sz w:val="26"/>
                <w:szCs w:val="26"/>
                <w:lang w:val="lv-LV"/>
              </w:rPr>
              <w:t>pielikumā minētajām atbildīgajām ministrijām ir pienākums to kompetencē esošajos nozares likumos izstrādāt grozījumus, lai tajos tiktu ietverti administratīvie pārkāpumi un kompetentās iestādes par administratīvo sodu piemērošanu, pamatojoties uz to, ka spēku zaudēs Latvijas Administratīvo pārkāpumu kodekss (turpmāk – LAPK).</w:t>
            </w:r>
          </w:p>
          <w:p w14:paraId="333925B9" w14:textId="2924DCE6" w:rsidR="009B0137" w:rsidRPr="003D3179" w:rsidRDefault="00082640" w:rsidP="00B34F7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bCs/>
                <w:sz w:val="26"/>
                <w:szCs w:val="26"/>
                <w:lang w:val="lv-LV" w:eastAsia="lv-LV"/>
              </w:rPr>
            </w:pPr>
            <w:r w:rsidRPr="003D3179">
              <w:rPr>
                <w:bCs/>
                <w:sz w:val="26"/>
                <w:szCs w:val="26"/>
                <w:shd w:val="clear" w:color="auto" w:fill="FFFFFF"/>
                <w:lang w:val="lv-LV"/>
              </w:rPr>
              <w:t>L</w:t>
            </w:r>
            <w:r w:rsidRPr="003D3179">
              <w:rPr>
                <w:sz w:val="26"/>
                <w:szCs w:val="26"/>
                <w:lang w:val="lv-LV"/>
              </w:rPr>
              <w:t>ikumprojekta galvenā būtība ir papildināt</w:t>
            </w:r>
            <w:r w:rsidRPr="003D3179">
              <w:rPr>
                <w:bCs/>
                <w:sz w:val="26"/>
                <w:szCs w:val="26"/>
                <w:lang w:val="lv-LV" w:eastAsia="lv-LV"/>
              </w:rPr>
              <w:t xml:space="preserve"> spēkā esošo normatīvo regulējumu tādā apmērā, cik tas nepieciešams, lai pārņemtu </w:t>
            </w:r>
            <w:r w:rsidR="00610260">
              <w:rPr>
                <w:bCs/>
                <w:sz w:val="26"/>
                <w:szCs w:val="26"/>
                <w:lang w:val="lv-LV" w:eastAsia="lv-LV"/>
              </w:rPr>
              <w:t>LAPK</w:t>
            </w:r>
            <w:r w:rsidRPr="003D3179">
              <w:rPr>
                <w:bCs/>
                <w:sz w:val="26"/>
                <w:szCs w:val="26"/>
                <w:lang w:val="lv-LV" w:eastAsia="lv-LV"/>
              </w:rPr>
              <w:t xml:space="preserve"> </w:t>
            </w:r>
            <w:r w:rsidR="007F3231" w:rsidRPr="003D3179">
              <w:rPr>
                <w:bCs/>
                <w:sz w:val="26"/>
                <w:szCs w:val="26"/>
                <w:lang w:val="lv-LV" w:eastAsia="lv-LV"/>
              </w:rPr>
              <w:t>tiesību normas</w:t>
            </w:r>
            <w:r w:rsidRPr="003D3179">
              <w:rPr>
                <w:bCs/>
                <w:sz w:val="26"/>
                <w:szCs w:val="26"/>
                <w:lang w:val="lv-LV" w:eastAsia="lv-LV"/>
              </w:rPr>
              <w:t>.</w:t>
            </w:r>
            <w:r w:rsidR="00B34F75" w:rsidRPr="003D3179">
              <w:rPr>
                <w:bCs/>
                <w:sz w:val="26"/>
                <w:szCs w:val="26"/>
                <w:lang w:val="lv-LV" w:eastAsia="lv-LV"/>
              </w:rPr>
              <w:t xml:space="preserve"> Likumprojekts izstrādāts, lai iekļautu likumā “Par bīstamo iekārtu tehnisko uzraudzību”</w:t>
            </w:r>
            <w:r w:rsidR="00AC1BC8">
              <w:rPr>
                <w:bCs/>
                <w:sz w:val="26"/>
                <w:szCs w:val="26"/>
                <w:lang w:val="lv-LV" w:eastAsia="lv-LV"/>
              </w:rPr>
              <w:t xml:space="preserve"> (turpmāk – Likums)</w:t>
            </w:r>
            <w:r w:rsidR="00B34F75" w:rsidRPr="003D3179">
              <w:rPr>
                <w:bCs/>
                <w:sz w:val="26"/>
                <w:szCs w:val="26"/>
                <w:lang w:val="lv-LV" w:eastAsia="lv-LV"/>
              </w:rPr>
              <w:t xml:space="preserve"> administratīvos pārkāpumus bīstamo iekārtu tehniskās uzraudzības jomā, kas noteikti LAPK, kā arī lai noteiktu </w:t>
            </w:r>
            <w:r w:rsidR="009B0137" w:rsidRPr="003D3179">
              <w:rPr>
                <w:bCs/>
                <w:sz w:val="26"/>
                <w:szCs w:val="26"/>
                <w:lang w:val="lv-LV" w:eastAsia="lv-LV"/>
              </w:rPr>
              <w:t>kompetento iestādi, kas var piemērot administratīvo</w:t>
            </w:r>
            <w:r w:rsidR="00B34F75" w:rsidRPr="003D3179">
              <w:rPr>
                <w:bCs/>
                <w:sz w:val="26"/>
                <w:szCs w:val="26"/>
                <w:lang w:val="lv-LV" w:eastAsia="lv-LV"/>
              </w:rPr>
              <w:t>s sodus.</w:t>
            </w:r>
          </w:p>
          <w:p w14:paraId="3268F968" w14:textId="29906BF3" w:rsidR="00C76E90" w:rsidRPr="003D3179" w:rsidRDefault="00AC1BC8" w:rsidP="00C76E9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40"/>
              <w:rPr>
                <w:bCs/>
                <w:sz w:val="26"/>
                <w:szCs w:val="26"/>
                <w:highlight w:val="yellow"/>
                <w:lang w:val="lv-LV" w:eastAsia="lv-LV"/>
              </w:rPr>
            </w:pPr>
            <w:r>
              <w:rPr>
                <w:bCs/>
                <w:sz w:val="26"/>
                <w:szCs w:val="26"/>
                <w:lang w:val="lv-LV" w:eastAsia="lv-LV"/>
              </w:rPr>
              <w:t xml:space="preserve">Likumprojekts papildina </w:t>
            </w:r>
            <w:r w:rsidR="00610260">
              <w:rPr>
                <w:bCs/>
                <w:sz w:val="26"/>
                <w:szCs w:val="26"/>
                <w:lang w:val="lv-LV" w:eastAsia="lv-LV"/>
              </w:rPr>
              <w:t xml:space="preserve">Likumu </w:t>
            </w:r>
            <w:r w:rsidR="00A13325" w:rsidRPr="003D3179">
              <w:rPr>
                <w:bCs/>
                <w:sz w:val="26"/>
                <w:szCs w:val="26"/>
                <w:lang w:val="lv-LV" w:eastAsia="lv-LV"/>
              </w:rPr>
              <w:t>ar jaunu VII</w:t>
            </w:r>
            <w:r w:rsidR="00E327E8">
              <w:rPr>
                <w:bCs/>
                <w:sz w:val="26"/>
                <w:szCs w:val="26"/>
                <w:lang w:val="lv-LV" w:eastAsia="lv-LV"/>
              </w:rPr>
              <w:t>I</w:t>
            </w:r>
            <w:r w:rsidR="00A13325" w:rsidRPr="003D3179">
              <w:rPr>
                <w:bCs/>
                <w:sz w:val="26"/>
                <w:szCs w:val="26"/>
                <w:lang w:val="lv-LV" w:eastAsia="lv-LV"/>
              </w:rPr>
              <w:t xml:space="preserve"> nodaļu: “</w:t>
            </w:r>
            <w:r w:rsidR="00C76E90" w:rsidRPr="003D3179">
              <w:rPr>
                <w:bCs/>
                <w:sz w:val="26"/>
                <w:szCs w:val="26"/>
                <w:lang w:val="lv-LV" w:eastAsia="lv-LV"/>
              </w:rPr>
              <w:t>Administratīvā atbildība bīstamo iekārtu tehniskās uzraudzības jomā un</w:t>
            </w:r>
            <w:r w:rsidR="00587FC4" w:rsidRPr="003D3179">
              <w:rPr>
                <w:bCs/>
                <w:sz w:val="26"/>
                <w:szCs w:val="26"/>
                <w:lang w:val="lv-LV" w:eastAsia="lv-LV"/>
              </w:rPr>
              <w:t xml:space="preserve"> kompetence sodu piemērošanā”, kas sastāv no diviem jauniem pantiem. Likumprojekts </w:t>
            </w:r>
            <w:r>
              <w:rPr>
                <w:bCs/>
                <w:sz w:val="26"/>
                <w:szCs w:val="26"/>
                <w:lang w:val="lv-LV" w:eastAsia="lv-LV"/>
              </w:rPr>
              <w:t>papildina L</w:t>
            </w:r>
            <w:r w:rsidR="00C76E90" w:rsidRPr="003D3179">
              <w:rPr>
                <w:bCs/>
                <w:sz w:val="26"/>
                <w:szCs w:val="26"/>
                <w:lang w:val="lv-LV" w:eastAsia="lv-LV"/>
              </w:rPr>
              <w:t xml:space="preserve">ikumu ar 22.pantu, nosakot </w:t>
            </w:r>
            <w:r w:rsidR="00480CCA" w:rsidRPr="003D3179">
              <w:rPr>
                <w:bCs/>
                <w:sz w:val="26"/>
                <w:szCs w:val="26"/>
                <w:lang w:val="lv-LV" w:eastAsia="lv-LV"/>
              </w:rPr>
              <w:t>administratīvo atbildību par šādiem pārkāpumiem</w:t>
            </w:r>
            <w:r w:rsidR="00C76E90" w:rsidRPr="003D3179">
              <w:rPr>
                <w:bCs/>
                <w:sz w:val="26"/>
                <w:szCs w:val="26"/>
                <w:lang w:val="lv-LV" w:eastAsia="lv-LV"/>
              </w:rPr>
              <w:t>:</w:t>
            </w:r>
          </w:p>
          <w:p w14:paraId="0034E466" w14:textId="77777777" w:rsidR="00C76E90" w:rsidRPr="003D3179" w:rsidRDefault="00C76E90" w:rsidP="00C76E9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bCs/>
                <w:sz w:val="26"/>
                <w:szCs w:val="26"/>
                <w:lang w:val="lv-LV" w:eastAsia="lv-LV"/>
              </w:rPr>
            </w:pPr>
            <w:r w:rsidRPr="003D3179">
              <w:rPr>
                <w:bCs/>
                <w:sz w:val="26"/>
                <w:szCs w:val="26"/>
                <w:lang w:val="lv-LV" w:eastAsia="lv-LV"/>
              </w:rPr>
              <w:t>1) par bīstamo iekārtu tehnisko uzraudzību regulējošo normatīvo aktu pārkāpšanu;</w:t>
            </w:r>
          </w:p>
          <w:p w14:paraId="082AD9D3" w14:textId="77777777" w:rsidR="00C76E90" w:rsidRPr="003D3179" w:rsidRDefault="00C76E90" w:rsidP="00C76E9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bCs/>
                <w:sz w:val="26"/>
                <w:szCs w:val="26"/>
                <w:lang w:val="lv-LV" w:eastAsia="lv-LV"/>
              </w:rPr>
            </w:pPr>
            <w:r w:rsidRPr="003D3179">
              <w:rPr>
                <w:bCs/>
                <w:sz w:val="26"/>
                <w:szCs w:val="26"/>
                <w:lang w:val="lv-LV" w:eastAsia="lv-LV"/>
              </w:rPr>
              <w:t>2) par nereģistrētas bīstamās iekārtas lietošanu;</w:t>
            </w:r>
          </w:p>
          <w:p w14:paraId="6EF3330A" w14:textId="77777777" w:rsidR="00C76E90" w:rsidRPr="003D3179" w:rsidRDefault="00C76E90" w:rsidP="00C76E9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bCs/>
                <w:sz w:val="26"/>
                <w:szCs w:val="26"/>
                <w:lang w:val="lv-LV" w:eastAsia="lv-LV"/>
              </w:rPr>
            </w:pPr>
            <w:r w:rsidRPr="003D3179">
              <w:rPr>
                <w:bCs/>
                <w:sz w:val="26"/>
                <w:szCs w:val="26"/>
                <w:lang w:val="lv-LV" w:eastAsia="lv-LV"/>
              </w:rPr>
              <w:t>3) par bīstamo iekārtu tehnisko uzraudzību regulējošo normatīvo aktu pārkāpumiem, kas rada tiešus draudus personu drošībai un veselībai;</w:t>
            </w:r>
          </w:p>
          <w:p w14:paraId="4D23F2A2" w14:textId="240A44EB" w:rsidR="00C76E90" w:rsidRDefault="00E327E8" w:rsidP="00C76E9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bCs/>
                <w:sz w:val="26"/>
                <w:szCs w:val="26"/>
                <w:lang w:val="lv-LV" w:eastAsia="lv-LV"/>
              </w:rPr>
            </w:pPr>
            <w:r>
              <w:rPr>
                <w:bCs/>
                <w:sz w:val="26"/>
                <w:szCs w:val="26"/>
                <w:lang w:val="lv-LV" w:eastAsia="lv-LV"/>
              </w:rPr>
              <w:lastRenderedPageBreak/>
              <w:t>4</w:t>
            </w:r>
            <w:r w:rsidR="00C76E90" w:rsidRPr="003D3179">
              <w:rPr>
                <w:bCs/>
                <w:sz w:val="26"/>
                <w:szCs w:val="26"/>
                <w:lang w:val="lv-LV" w:eastAsia="lv-LV"/>
              </w:rPr>
              <w:t>) par neziņošanu normatīvajos aktos noteiktajām institūcijām, ja not</w:t>
            </w:r>
            <w:r>
              <w:rPr>
                <w:bCs/>
                <w:sz w:val="26"/>
                <w:szCs w:val="26"/>
                <w:lang w:val="lv-LV" w:eastAsia="lv-LV"/>
              </w:rPr>
              <w:t>ikusi bīstamās iekārtas avārija.</w:t>
            </w:r>
          </w:p>
          <w:p w14:paraId="3902B1BB" w14:textId="4B72960C" w:rsidR="00E327E8" w:rsidRDefault="00E327E8" w:rsidP="00C76E9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bCs/>
                <w:sz w:val="26"/>
                <w:szCs w:val="26"/>
                <w:lang w:val="lv-LV" w:eastAsia="lv-LV"/>
              </w:rPr>
            </w:pPr>
            <w:r w:rsidRPr="00E327E8">
              <w:rPr>
                <w:bCs/>
                <w:sz w:val="26"/>
                <w:szCs w:val="26"/>
                <w:lang w:val="lv-LV" w:eastAsia="lv-LV"/>
              </w:rPr>
              <w:t>Likumprojektā noteiktā</w:t>
            </w:r>
            <w:r>
              <w:rPr>
                <w:bCs/>
                <w:sz w:val="26"/>
                <w:szCs w:val="26"/>
                <w:lang w:val="lv-LV" w:eastAsia="lv-LV"/>
              </w:rPr>
              <w:t xml:space="preserve"> administratīvā atbildība par 22</w:t>
            </w:r>
            <w:r w:rsidRPr="00E327E8">
              <w:rPr>
                <w:bCs/>
                <w:sz w:val="26"/>
                <w:szCs w:val="26"/>
                <w:lang w:val="lv-LV" w:eastAsia="lv-LV"/>
              </w:rPr>
              <w:t>.pantā minētajiem pārkāpumiem ir attiecināma uz Likuma un uz šādu uz Likuma pamata izdoto Ministru kabineta noteikumu prasību neievērošanu:</w:t>
            </w:r>
          </w:p>
          <w:p w14:paraId="64DB7BF7" w14:textId="0D25A4C1" w:rsidR="00AC1BC8" w:rsidRDefault="00AC1BC8" w:rsidP="00AC1BC8">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Pr>
                <w:bCs/>
                <w:sz w:val="26"/>
                <w:szCs w:val="26"/>
                <w:lang w:val="lv-LV" w:eastAsia="lv-LV"/>
              </w:rPr>
              <w:t>Ministru kabineta 2011.gada 28.jūnija noteikumi Nr.500 “</w:t>
            </w:r>
            <w:r w:rsidRPr="00AC1BC8">
              <w:rPr>
                <w:bCs/>
                <w:sz w:val="26"/>
                <w:szCs w:val="26"/>
                <w:lang w:val="lv-LV" w:eastAsia="lv-LV"/>
              </w:rPr>
              <w:t>Noteikumi par transportējamām spiedieniekārtām</w:t>
            </w:r>
            <w:r>
              <w:rPr>
                <w:bCs/>
                <w:sz w:val="26"/>
                <w:szCs w:val="26"/>
                <w:lang w:val="lv-LV" w:eastAsia="lv-LV"/>
              </w:rPr>
              <w:t>”;</w:t>
            </w:r>
          </w:p>
          <w:p w14:paraId="5C620619" w14:textId="09DD62D8" w:rsidR="00AC1BC8" w:rsidRDefault="00AC1BC8" w:rsidP="00AC1BC8">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sidRPr="00AC1BC8">
              <w:rPr>
                <w:bCs/>
                <w:sz w:val="26"/>
                <w:szCs w:val="26"/>
                <w:lang w:val="lv-LV" w:eastAsia="lv-LV"/>
              </w:rPr>
              <w:t>Ministru kabineta 201</w:t>
            </w:r>
            <w:r>
              <w:rPr>
                <w:bCs/>
                <w:sz w:val="26"/>
                <w:szCs w:val="26"/>
                <w:lang w:val="lv-LV" w:eastAsia="lv-LV"/>
              </w:rPr>
              <w:t>0.gada 20</w:t>
            </w:r>
            <w:r w:rsidRPr="00AC1BC8">
              <w:rPr>
                <w:bCs/>
                <w:sz w:val="26"/>
                <w:szCs w:val="26"/>
                <w:lang w:val="lv-LV" w:eastAsia="lv-LV"/>
              </w:rPr>
              <w:t>.</w:t>
            </w:r>
            <w:r>
              <w:rPr>
                <w:bCs/>
                <w:sz w:val="26"/>
                <w:szCs w:val="26"/>
                <w:lang w:val="lv-LV" w:eastAsia="lv-LV"/>
              </w:rPr>
              <w:t>jīlija</w:t>
            </w:r>
            <w:r w:rsidRPr="00AC1BC8">
              <w:rPr>
                <w:bCs/>
                <w:sz w:val="26"/>
                <w:szCs w:val="26"/>
                <w:lang w:val="lv-LV" w:eastAsia="lv-LV"/>
              </w:rPr>
              <w:t xml:space="preserve"> noteikumi Nr.</w:t>
            </w:r>
            <w:r>
              <w:rPr>
                <w:bCs/>
                <w:sz w:val="26"/>
                <w:szCs w:val="26"/>
                <w:lang w:val="lv-LV" w:eastAsia="lv-LV"/>
              </w:rPr>
              <w:t>636</w:t>
            </w:r>
            <w:r w:rsidRPr="00AC1BC8">
              <w:rPr>
                <w:bCs/>
                <w:sz w:val="26"/>
                <w:szCs w:val="26"/>
                <w:lang w:val="lv-LV" w:eastAsia="lv-LV"/>
              </w:rPr>
              <w:t xml:space="preserve"> “Noteikumi par cilvēku pārvietošanai paredzēto eskalatoru un konveijeru tehnisko uzraudzību”</w:t>
            </w:r>
            <w:r>
              <w:rPr>
                <w:bCs/>
                <w:sz w:val="26"/>
                <w:szCs w:val="26"/>
                <w:lang w:val="lv-LV" w:eastAsia="lv-LV"/>
              </w:rPr>
              <w:t>;</w:t>
            </w:r>
          </w:p>
          <w:p w14:paraId="782E4100" w14:textId="38D7765A" w:rsidR="00AC1BC8" w:rsidRDefault="00AC1BC8" w:rsidP="00AC1BC8">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Pr>
                <w:bCs/>
                <w:sz w:val="26"/>
                <w:szCs w:val="26"/>
                <w:lang w:val="lv-LV" w:eastAsia="lv-LV"/>
              </w:rPr>
              <w:t>Ministru kabineta 2010.gada 2</w:t>
            </w:r>
            <w:r w:rsidRPr="00AC1BC8">
              <w:rPr>
                <w:bCs/>
                <w:sz w:val="26"/>
                <w:szCs w:val="26"/>
                <w:lang w:val="lv-LV" w:eastAsia="lv-LV"/>
              </w:rPr>
              <w:t>.</w:t>
            </w:r>
            <w:r>
              <w:rPr>
                <w:bCs/>
                <w:sz w:val="26"/>
                <w:szCs w:val="26"/>
                <w:lang w:val="lv-LV" w:eastAsia="lv-LV"/>
              </w:rPr>
              <w:t>marta</w:t>
            </w:r>
            <w:r w:rsidRPr="00AC1BC8">
              <w:rPr>
                <w:bCs/>
                <w:sz w:val="26"/>
                <w:szCs w:val="26"/>
                <w:lang w:val="lv-LV" w:eastAsia="lv-LV"/>
              </w:rPr>
              <w:t xml:space="preserve"> noteikumi Nr.</w:t>
            </w:r>
            <w:r>
              <w:rPr>
                <w:bCs/>
                <w:sz w:val="26"/>
                <w:szCs w:val="26"/>
                <w:lang w:val="lv-LV" w:eastAsia="lv-LV"/>
              </w:rPr>
              <w:t>195</w:t>
            </w:r>
            <w:r w:rsidRPr="00AC1BC8">
              <w:rPr>
                <w:bCs/>
                <w:sz w:val="26"/>
                <w:szCs w:val="26"/>
                <w:lang w:val="lv-LV" w:eastAsia="lv-LV"/>
              </w:rPr>
              <w:t xml:space="preserve"> “Liftu drošības un tehniskās uzraudzības noteikumi”;</w:t>
            </w:r>
          </w:p>
          <w:p w14:paraId="3CE41D28" w14:textId="162F4335" w:rsidR="00AC1BC8" w:rsidRDefault="00AC1BC8" w:rsidP="00AC1BC8">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Pr>
                <w:bCs/>
                <w:sz w:val="26"/>
                <w:szCs w:val="26"/>
                <w:lang w:val="lv-LV" w:eastAsia="lv-LV"/>
              </w:rPr>
              <w:t>Ministru kabineta 2010.gada 16</w:t>
            </w:r>
            <w:r w:rsidRPr="00AC1BC8">
              <w:rPr>
                <w:bCs/>
                <w:sz w:val="26"/>
                <w:szCs w:val="26"/>
                <w:lang w:val="lv-LV" w:eastAsia="lv-LV"/>
              </w:rPr>
              <w:t>.</w:t>
            </w:r>
            <w:r>
              <w:rPr>
                <w:bCs/>
                <w:sz w:val="26"/>
                <w:szCs w:val="26"/>
                <w:lang w:val="lv-LV" w:eastAsia="lv-LV"/>
              </w:rPr>
              <w:t>februāra</w:t>
            </w:r>
            <w:r w:rsidRPr="00AC1BC8">
              <w:rPr>
                <w:bCs/>
                <w:sz w:val="26"/>
                <w:szCs w:val="26"/>
                <w:lang w:val="lv-LV" w:eastAsia="lv-LV"/>
              </w:rPr>
              <w:t xml:space="preserve"> noteikumi Nr.</w:t>
            </w:r>
            <w:r>
              <w:rPr>
                <w:bCs/>
                <w:sz w:val="26"/>
                <w:szCs w:val="26"/>
                <w:lang w:val="lv-LV" w:eastAsia="lv-LV"/>
              </w:rPr>
              <w:t>138</w:t>
            </w:r>
            <w:r w:rsidRPr="00AC1BC8">
              <w:rPr>
                <w:bCs/>
                <w:sz w:val="26"/>
                <w:szCs w:val="26"/>
                <w:lang w:val="lv-LV" w:eastAsia="lv-LV"/>
              </w:rPr>
              <w:t xml:space="preserve"> “Noteikumi par katliekārtu tehnisko uzraudzību”;</w:t>
            </w:r>
          </w:p>
          <w:p w14:paraId="2E31F763" w14:textId="63CE4A51" w:rsidR="00AC1BC8" w:rsidRDefault="00AC1BC8" w:rsidP="00AC1BC8">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sidRPr="00AC1BC8">
              <w:rPr>
                <w:bCs/>
                <w:sz w:val="26"/>
                <w:szCs w:val="26"/>
                <w:lang w:val="lv-LV" w:eastAsia="lv-LV"/>
              </w:rPr>
              <w:t>Ministru kabineta 2010.g</w:t>
            </w:r>
            <w:r>
              <w:rPr>
                <w:bCs/>
                <w:sz w:val="26"/>
                <w:szCs w:val="26"/>
                <w:lang w:val="lv-LV" w:eastAsia="lv-LV"/>
              </w:rPr>
              <w:t>ada 16.februāra noteikumi Nr.137</w:t>
            </w:r>
            <w:r w:rsidRPr="00AC1BC8">
              <w:rPr>
                <w:bCs/>
                <w:sz w:val="26"/>
                <w:szCs w:val="26"/>
                <w:lang w:val="lv-LV" w:eastAsia="lv-LV"/>
              </w:rPr>
              <w:t xml:space="preserve"> “Cilvēku celšanai paredzēto pacēlāju tehniskās uzraudzības kārtība”;</w:t>
            </w:r>
          </w:p>
          <w:p w14:paraId="7C05F7B0" w14:textId="154DBD9D" w:rsidR="00AC1BC8" w:rsidRDefault="00AC1BC8" w:rsidP="00AC1BC8">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sidRPr="00AC1BC8">
              <w:rPr>
                <w:bCs/>
                <w:sz w:val="26"/>
                <w:szCs w:val="26"/>
                <w:lang w:val="lv-LV" w:eastAsia="lv-LV"/>
              </w:rPr>
              <w:t>Ministru kabineta 2010.gada 16.februāra noteikumi Nr.13</w:t>
            </w:r>
            <w:r>
              <w:rPr>
                <w:bCs/>
                <w:sz w:val="26"/>
                <w:szCs w:val="26"/>
                <w:lang w:val="lv-LV" w:eastAsia="lv-LV"/>
              </w:rPr>
              <w:t>6</w:t>
            </w:r>
            <w:r w:rsidRPr="00AC1BC8">
              <w:rPr>
                <w:bCs/>
                <w:sz w:val="26"/>
                <w:szCs w:val="26"/>
                <w:lang w:val="lv-LV" w:eastAsia="lv-LV"/>
              </w:rPr>
              <w:t xml:space="preserve"> “Publisko atrakciju iekārtu drošības prasības un tehniskās uzraudzības kārtība”;</w:t>
            </w:r>
          </w:p>
          <w:p w14:paraId="626FEF7F" w14:textId="0C32E709" w:rsidR="00AC1BC8" w:rsidRDefault="00AC1BC8" w:rsidP="00AC1BC8">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Pr>
                <w:bCs/>
                <w:sz w:val="26"/>
                <w:szCs w:val="26"/>
                <w:lang w:val="lv-LV" w:eastAsia="lv-LV"/>
              </w:rPr>
              <w:t>Ministru kabineta 2010.gada 9.februāra noteikumi Nr.113</w:t>
            </w:r>
            <w:r w:rsidRPr="00AC1BC8">
              <w:rPr>
                <w:bCs/>
                <w:sz w:val="26"/>
                <w:szCs w:val="26"/>
                <w:lang w:val="lv-LV" w:eastAsia="lv-LV"/>
              </w:rPr>
              <w:t xml:space="preserve"> “Kravas celtņu tehniskās uzraudzības kārtība”;</w:t>
            </w:r>
          </w:p>
          <w:p w14:paraId="17D5F43A" w14:textId="1CA4BBF1" w:rsidR="00AC1BC8" w:rsidRDefault="00AC1BC8" w:rsidP="00AC1BC8">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Pr>
                <w:bCs/>
                <w:sz w:val="26"/>
                <w:szCs w:val="26"/>
                <w:lang w:val="lv-LV" w:eastAsia="lv-LV"/>
              </w:rPr>
              <w:t>Ministru kabineta 2009</w:t>
            </w:r>
            <w:r w:rsidRPr="00AC1BC8">
              <w:rPr>
                <w:bCs/>
                <w:sz w:val="26"/>
                <w:szCs w:val="26"/>
                <w:lang w:val="lv-LV" w:eastAsia="lv-LV"/>
              </w:rPr>
              <w:t xml:space="preserve">.gada </w:t>
            </w:r>
            <w:r>
              <w:rPr>
                <w:bCs/>
                <w:sz w:val="26"/>
                <w:szCs w:val="26"/>
                <w:lang w:val="lv-LV" w:eastAsia="lv-LV"/>
              </w:rPr>
              <w:t>17</w:t>
            </w:r>
            <w:r w:rsidRPr="00AC1BC8">
              <w:rPr>
                <w:bCs/>
                <w:sz w:val="26"/>
                <w:szCs w:val="26"/>
                <w:lang w:val="lv-LV" w:eastAsia="lv-LV"/>
              </w:rPr>
              <w:t>.</w:t>
            </w:r>
            <w:r>
              <w:rPr>
                <w:bCs/>
                <w:sz w:val="26"/>
                <w:szCs w:val="26"/>
                <w:lang w:val="lv-LV" w:eastAsia="lv-LV"/>
              </w:rPr>
              <w:t>novembra</w:t>
            </w:r>
            <w:r w:rsidRPr="00AC1BC8">
              <w:rPr>
                <w:bCs/>
                <w:sz w:val="26"/>
                <w:szCs w:val="26"/>
                <w:lang w:val="lv-LV" w:eastAsia="lv-LV"/>
              </w:rPr>
              <w:t xml:space="preserve"> noteikumi Nr.</w:t>
            </w:r>
            <w:r>
              <w:rPr>
                <w:bCs/>
                <w:sz w:val="26"/>
                <w:szCs w:val="26"/>
                <w:lang w:val="lv-LV" w:eastAsia="lv-LV"/>
              </w:rPr>
              <w:t>1320</w:t>
            </w:r>
            <w:r w:rsidRPr="00AC1BC8">
              <w:rPr>
                <w:bCs/>
                <w:sz w:val="26"/>
                <w:szCs w:val="26"/>
                <w:lang w:val="lv-LV" w:eastAsia="lv-LV"/>
              </w:rPr>
              <w:t xml:space="preserve"> “Noteikumi par bīstamo iekārtu reģistrāciju”;</w:t>
            </w:r>
          </w:p>
          <w:p w14:paraId="76CAD514" w14:textId="4442A69B" w:rsidR="00AC1BC8" w:rsidRDefault="00AC1BC8" w:rsidP="00AC1BC8">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sidRPr="00AC1BC8">
              <w:rPr>
                <w:bCs/>
                <w:sz w:val="26"/>
                <w:szCs w:val="26"/>
                <w:lang w:val="lv-LV" w:eastAsia="lv-LV"/>
              </w:rPr>
              <w:t xml:space="preserve">Ministru kabineta 2009.gada </w:t>
            </w:r>
            <w:r>
              <w:rPr>
                <w:bCs/>
                <w:sz w:val="26"/>
                <w:szCs w:val="26"/>
                <w:lang w:val="lv-LV" w:eastAsia="lv-LV"/>
              </w:rPr>
              <w:t>25.augusta</w:t>
            </w:r>
            <w:r w:rsidRPr="00AC1BC8">
              <w:rPr>
                <w:bCs/>
                <w:sz w:val="26"/>
                <w:szCs w:val="26"/>
                <w:lang w:val="lv-LV" w:eastAsia="lv-LV"/>
              </w:rPr>
              <w:t xml:space="preserve"> noteikumi Nr.</w:t>
            </w:r>
            <w:r>
              <w:rPr>
                <w:bCs/>
                <w:sz w:val="26"/>
                <w:szCs w:val="26"/>
                <w:lang w:val="lv-LV" w:eastAsia="lv-LV"/>
              </w:rPr>
              <w:t>953</w:t>
            </w:r>
            <w:r w:rsidRPr="00AC1BC8">
              <w:rPr>
                <w:bCs/>
                <w:sz w:val="26"/>
                <w:szCs w:val="26"/>
                <w:lang w:val="lv-LV" w:eastAsia="lv-LV"/>
              </w:rPr>
              <w:t xml:space="preserve"> “Sašķidrinātās naftas gāzes balonu uzpildes staciju tehniskās uzraudzības kārtība”;</w:t>
            </w:r>
          </w:p>
          <w:p w14:paraId="4BFE65AB" w14:textId="56560635" w:rsidR="00AC1BC8" w:rsidRDefault="00AC1BC8" w:rsidP="00AC1BC8">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sidRPr="00AC1BC8">
              <w:rPr>
                <w:bCs/>
                <w:sz w:val="26"/>
                <w:szCs w:val="26"/>
                <w:lang w:val="lv-LV" w:eastAsia="lv-LV"/>
              </w:rPr>
              <w:t xml:space="preserve">Ministru kabineta 2009.gada </w:t>
            </w:r>
            <w:r>
              <w:rPr>
                <w:bCs/>
                <w:sz w:val="26"/>
                <w:szCs w:val="26"/>
                <w:lang w:val="lv-LV" w:eastAsia="lv-LV"/>
              </w:rPr>
              <w:t>17.jūnija</w:t>
            </w:r>
            <w:r w:rsidRPr="00AC1BC8">
              <w:rPr>
                <w:bCs/>
                <w:sz w:val="26"/>
                <w:szCs w:val="26"/>
                <w:lang w:val="lv-LV" w:eastAsia="lv-LV"/>
              </w:rPr>
              <w:t xml:space="preserve"> noteikumi Nr.</w:t>
            </w:r>
            <w:r>
              <w:rPr>
                <w:bCs/>
                <w:sz w:val="26"/>
                <w:szCs w:val="26"/>
                <w:lang w:val="lv-LV" w:eastAsia="lv-LV"/>
              </w:rPr>
              <w:t>538</w:t>
            </w:r>
            <w:r w:rsidRPr="00AC1BC8">
              <w:rPr>
                <w:bCs/>
                <w:sz w:val="26"/>
                <w:szCs w:val="26"/>
                <w:lang w:val="lv-LV" w:eastAsia="lv-LV"/>
              </w:rPr>
              <w:t xml:space="preserve"> “Autotransporta līdzekļu cisternu bīstamo kravu pārvadāšanai tehniskās uzraudzības kārtība”;</w:t>
            </w:r>
          </w:p>
          <w:p w14:paraId="3D38FBB7" w14:textId="52897CE2" w:rsidR="00AC1BC8" w:rsidRDefault="00AC1BC8" w:rsidP="00AC1BC8">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sidRPr="00AC1BC8">
              <w:rPr>
                <w:bCs/>
                <w:sz w:val="26"/>
                <w:szCs w:val="26"/>
                <w:lang w:val="lv-LV" w:eastAsia="lv-LV"/>
              </w:rPr>
              <w:t>Ministru kabineta 200</w:t>
            </w:r>
            <w:r>
              <w:rPr>
                <w:bCs/>
                <w:sz w:val="26"/>
                <w:szCs w:val="26"/>
                <w:lang w:val="lv-LV" w:eastAsia="lv-LV"/>
              </w:rPr>
              <w:t>8</w:t>
            </w:r>
            <w:r w:rsidRPr="00AC1BC8">
              <w:rPr>
                <w:bCs/>
                <w:sz w:val="26"/>
                <w:szCs w:val="26"/>
                <w:lang w:val="lv-LV" w:eastAsia="lv-LV"/>
              </w:rPr>
              <w:t xml:space="preserve">.gada </w:t>
            </w:r>
            <w:r>
              <w:rPr>
                <w:bCs/>
                <w:sz w:val="26"/>
                <w:szCs w:val="26"/>
                <w:lang w:val="lv-LV" w:eastAsia="lv-LV"/>
              </w:rPr>
              <w:t>14.jūlija</w:t>
            </w:r>
            <w:r w:rsidRPr="00AC1BC8">
              <w:rPr>
                <w:bCs/>
                <w:sz w:val="26"/>
                <w:szCs w:val="26"/>
                <w:lang w:val="lv-LV" w:eastAsia="lv-LV"/>
              </w:rPr>
              <w:t xml:space="preserve"> noteikumi Nr.</w:t>
            </w:r>
            <w:r>
              <w:rPr>
                <w:bCs/>
                <w:sz w:val="26"/>
                <w:szCs w:val="26"/>
                <w:lang w:val="lv-LV" w:eastAsia="lv-LV"/>
              </w:rPr>
              <w:t>535</w:t>
            </w:r>
            <w:r w:rsidRPr="00AC1BC8">
              <w:rPr>
                <w:bCs/>
                <w:sz w:val="26"/>
                <w:szCs w:val="26"/>
                <w:lang w:val="lv-LV" w:eastAsia="lv-LV"/>
              </w:rPr>
              <w:t xml:space="preserve"> “Bīstamo iekārtu avāriju izmeklēšanas kārtība”;</w:t>
            </w:r>
          </w:p>
          <w:p w14:paraId="7F88DD6A" w14:textId="133292A8" w:rsidR="00AC1BC8" w:rsidRDefault="00AC1BC8" w:rsidP="00AC1BC8">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Pr>
                <w:bCs/>
                <w:sz w:val="26"/>
                <w:szCs w:val="26"/>
                <w:lang w:val="lv-LV" w:eastAsia="lv-LV"/>
              </w:rPr>
              <w:t>Ministru kabineta 2007</w:t>
            </w:r>
            <w:r w:rsidRPr="00AC1BC8">
              <w:rPr>
                <w:bCs/>
                <w:sz w:val="26"/>
                <w:szCs w:val="26"/>
                <w:lang w:val="lv-LV" w:eastAsia="lv-LV"/>
              </w:rPr>
              <w:t>.gada 14.</w:t>
            </w:r>
            <w:r>
              <w:rPr>
                <w:bCs/>
                <w:sz w:val="26"/>
                <w:szCs w:val="26"/>
                <w:lang w:val="lv-LV" w:eastAsia="lv-LV"/>
              </w:rPr>
              <w:t>augusta noteikumi Nr.55</w:t>
            </w:r>
            <w:r w:rsidRPr="00AC1BC8">
              <w:rPr>
                <w:bCs/>
                <w:sz w:val="26"/>
                <w:szCs w:val="26"/>
                <w:lang w:val="lv-LV" w:eastAsia="lv-LV"/>
              </w:rPr>
              <w:t>5 “Trošu ceļu iekārtu tehniskās uzraudzības kārtība”;</w:t>
            </w:r>
          </w:p>
          <w:p w14:paraId="1630E08B" w14:textId="3B459772" w:rsidR="00AC1BC8" w:rsidRDefault="00FC27FB" w:rsidP="00FC27FB">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sidRPr="00FC27FB">
              <w:rPr>
                <w:bCs/>
                <w:sz w:val="26"/>
                <w:szCs w:val="26"/>
                <w:lang w:val="lv-LV" w:eastAsia="lv-LV"/>
              </w:rPr>
              <w:lastRenderedPageBreak/>
              <w:t>Ministru kabineta 200</w:t>
            </w:r>
            <w:r>
              <w:rPr>
                <w:bCs/>
                <w:sz w:val="26"/>
                <w:szCs w:val="26"/>
                <w:lang w:val="lv-LV" w:eastAsia="lv-LV"/>
              </w:rPr>
              <w:t>6</w:t>
            </w:r>
            <w:r w:rsidRPr="00FC27FB">
              <w:rPr>
                <w:bCs/>
                <w:sz w:val="26"/>
                <w:szCs w:val="26"/>
                <w:lang w:val="lv-LV" w:eastAsia="lv-LV"/>
              </w:rPr>
              <w:t>.gada 14.</w:t>
            </w:r>
            <w:r>
              <w:rPr>
                <w:bCs/>
                <w:sz w:val="26"/>
                <w:szCs w:val="26"/>
                <w:lang w:val="lv-LV" w:eastAsia="lv-LV"/>
              </w:rPr>
              <w:t>februāra</w:t>
            </w:r>
            <w:r w:rsidRPr="00FC27FB">
              <w:rPr>
                <w:bCs/>
                <w:sz w:val="26"/>
                <w:szCs w:val="26"/>
                <w:lang w:val="lv-LV" w:eastAsia="lv-LV"/>
              </w:rPr>
              <w:t xml:space="preserve"> noteikumi Nr.</w:t>
            </w:r>
            <w:r>
              <w:rPr>
                <w:bCs/>
                <w:sz w:val="26"/>
                <w:szCs w:val="26"/>
                <w:lang w:val="lv-LV" w:eastAsia="lv-LV"/>
              </w:rPr>
              <w:t>124</w:t>
            </w:r>
            <w:r w:rsidRPr="00FC27FB">
              <w:rPr>
                <w:bCs/>
                <w:sz w:val="26"/>
                <w:szCs w:val="26"/>
                <w:lang w:val="lv-LV" w:eastAsia="lv-LV"/>
              </w:rPr>
              <w:t xml:space="preserve"> “Noteikumi par bīstamo iekārtu pārbaudes zīmi”;</w:t>
            </w:r>
          </w:p>
          <w:p w14:paraId="77CFC35B" w14:textId="560225ED" w:rsidR="00FC27FB" w:rsidRDefault="00FC27FB" w:rsidP="00FC27FB">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Pr>
                <w:bCs/>
                <w:sz w:val="26"/>
                <w:szCs w:val="26"/>
                <w:lang w:val="lv-LV" w:eastAsia="lv-LV"/>
              </w:rPr>
              <w:t>Ministru kabineta 2003.gada 16</w:t>
            </w:r>
            <w:r w:rsidRPr="00FC27FB">
              <w:rPr>
                <w:bCs/>
                <w:sz w:val="26"/>
                <w:szCs w:val="26"/>
                <w:lang w:val="lv-LV" w:eastAsia="lv-LV"/>
              </w:rPr>
              <w:t>.</w:t>
            </w:r>
            <w:r>
              <w:rPr>
                <w:bCs/>
                <w:sz w:val="26"/>
                <w:szCs w:val="26"/>
                <w:lang w:val="lv-LV" w:eastAsia="lv-LV"/>
              </w:rPr>
              <w:t>septembra</w:t>
            </w:r>
            <w:r w:rsidRPr="00FC27FB">
              <w:rPr>
                <w:bCs/>
                <w:sz w:val="26"/>
                <w:szCs w:val="26"/>
                <w:lang w:val="lv-LV" w:eastAsia="lv-LV"/>
              </w:rPr>
              <w:t xml:space="preserve"> noteikumi Nr.</w:t>
            </w:r>
            <w:r>
              <w:rPr>
                <w:bCs/>
                <w:sz w:val="26"/>
                <w:szCs w:val="26"/>
                <w:lang w:val="lv-LV" w:eastAsia="lv-LV"/>
              </w:rPr>
              <w:t>518</w:t>
            </w:r>
            <w:r w:rsidRPr="00FC27FB">
              <w:rPr>
                <w:bCs/>
                <w:sz w:val="26"/>
                <w:szCs w:val="26"/>
                <w:lang w:val="lv-LV" w:eastAsia="lv-LV"/>
              </w:rPr>
              <w:t xml:space="preserve"> “Spiedieniekārtu kompleksu tehniskās uzraudzības kārtība”;</w:t>
            </w:r>
          </w:p>
          <w:p w14:paraId="2B75DC0D" w14:textId="0E6F45BB" w:rsidR="00FC27FB" w:rsidRDefault="00FC27FB" w:rsidP="00FC27FB">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Pr>
                <w:bCs/>
                <w:sz w:val="26"/>
                <w:szCs w:val="26"/>
                <w:lang w:val="lv-LV" w:eastAsia="lv-LV"/>
              </w:rPr>
              <w:t>Ministru kabineta 2002</w:t>
            </w:r>
            <w:r w:rsidRPr="00FC27FB">
              <w:rPr>
                <w:bCs/>
                <w:sz w:val="26"/>
                <w:szCs w:val="26"/>
                <w:lang w:val="lv-LV" w:eastAsia="lv-LV"/>
              </w:rPr>
              <w:t xml:space="preserve">.gada </w:t>
            </w:r>
            <w:r>
              <w:rPr>
                <w:bCs/>
                <w:sz w:val="26"/>
                <w:szCs w:val="26"/>
                <w:lang w:val="lv-LV" w:eastAsia="lv-LV"/>
              </w:rPr>
              <w:t>23.aprīļa</w:t>
            </w:r>
            <w:r w:rsidRPr="00FC27FB">
              <w:rPr>
                <w:bCs/>
                <w:sz w:val="26"/>
                <w:szCs w:val="26"/>
                <w:lang w:val="lv-LV" w:eastAsia="lv-LV"/>
              </w:rPr>
              <w:t xml:space="preserve"> noteikumi Nr.</w:t>
            </w:r>
            <w:r>
              <w:rPr>
                <w:bCs/>
                <w:sz w:val="26"/>
                <w:szCs w:val="26"/>
                <w:lang w:val="lv-LV" w:eastAsia="lv-LV"/>
              </w:rPr>
              <w:t>164</w:t>
            </w:r>
            <w:r w:rsidRPr="00FC27FB">
              <w:rPr>
                <w:bCs/>
                <w:sz w:val="26"/>
                <w:szCs w:val="26"/>
                <w:lang w:val="lv-LV" w:eastAsia="lv-LV"/>
              </w:rPr>
              <w:t xml:space="preserve"> “Prasības maģistrālajiem cauruļvadiem un maģistrālo cauruļvadu tehniskās uzraudzības kārtība”;</w:t>
            </w:r>
          </w:p>
          <w:p w14:paraId="5DD2C517" w14:textId="7E766692" w:rsidR="00FC27FB" w:rsidRDefault="00FC27FB" w:rsidP="00FC27FB">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sidRPr="00FC27FB">
              <w:rPr>
                <w:bCs/>
                <w:sz w:val="26"/>
                <w:szCs w:val="26"/>
                <w:lang w:val="lv-LV" w:eastAsia="lv-LV"/>
              </w:rPr>
              <w:t>Ministru kabineta 200</w:t>
            </w:r>
            <w:r>
              <w:rPr>
                <w:bCs/>
                <w:sz w:val="26"/>
                <w:szCs w:val="26"/>
                <w:lang w:val="lv-LV" w:eastAsia="lv-LV"/>
              </w:rPr>
              <w:t>1</w:t>
            </w:r>
            <w:r w:rsidRPr="00FC27FB">
              <w:rPr>
                <w:bCs/>
                <w:sz w:val="26"/>
                <w:szCs w:val="26"/>
                <w:lang w:val="lv-LV" w:eastAsia="lv-LV"/>
              </w:rPr>
              <w:t xml:space="preserve">.gada </w:t>
            </w:r>
            <w:r>
              <w:rPr>
                <w:bCs/>
                <w:sz w:val="26"/>
                <w:szCs w:val="26"/>
                <w:lang w:val="lv-LV" w:eastAsia="lv-LV"/>
              </w:rPr>
              <w:t>28.augusta</w:t>
            </w:r>
            <w:r w:rsidRPr="00FC27FB">
              <w:rPr>
                <w:bCs/>
                <w:sz w:val="26"/>
                <w:szCs w:val="26"/>
                <w:lang w:val="lv-LV" w:eastAsia="lv-LV"/>
              </w:rPr>
              <w:t xml:space="preserve"> noteikumi Nr.</w:t>
            </w:r>
            <w:r>
              <w:rPr>
                <w:bCs/>
                <w:sz w:val="26"/>
                <w:szCs w:val="26"/>
                <w:lang w:val="lv-LV" w:eastAsia="lv-LV"/>
              </w:rPr>
              <w:t>384</w:t>
            </w:r>
            <w:r w:rsidRPr="00FC27FB">
              <w:rPr>
                <w:bCs/>
                <w:sz w:val="26"/>
                <w:szCs w:val="26"/>
                <w:lang w:val="lv-LV" w:eastAsia="lv-LV"/>
              </w:rPr>
              <w:t xml:space="preserve"> “Bīstamu vielu uzglabāšanas rezervuāru tehniskās uzraudzības kārtība”;</w:t>
            </w:r>
          </w:p>
          <w:p w14:paraId="1F49EECB" w14:textId="5BFAB335" w:rsidR="00FC27FB" w:rsidRDefault="00FC27FB" w:rsidP="00FC27FB">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sidRPr="00FC27FB">
              <w:rPr>
                <w:bCs/>
                <w:sz w:val="26"/>
                <w:szCs w:val="26"/>
                <w:lang w:val="lv-LV" w:eastAsia="lv-LV"/>
              </w:rPr>
              <w:t xml:space="preserve">Ministru kabineta 2001.gada </w:t>
            </w:r>
            <w:r>
              <w:rPr>
                <w:bCs/>
                <w:sz w:val="26"/>
                <w:szCs w:val="26"/>
                <w:lang w:val="lv-LV" w:eastAsia="lv-LV"/>
              </w:rPr>
              <w:t>23</w:t>
            </w:r>
            <w:r w:rsidRPr="00FC27FB">
              <w:rPr>
                <w:bCs/>
                <w:sz w:val="26"/>
                <w:szCs w:val="26"/>
                <w:lang w:val="lv-LV" w:eastAsia="lv-LV"/>
              </w:rPr>
              <w:t>.augusta noteikumi Nr.</w:t>
            </w:r>
            <w:r>
              <w:rPr>
                <w:bCs/>
                <w:sz w:val="26"/>
                <w:szCs w:val="26"/>
                <w:lang w:val="lv-LV" w:eastAsia="lv-LV"/>
              </w:rPr>
              <w:t>3</w:t>
            </w:r>
            <w:r w:rsidR="00BA504B">
              <w:rPr>
                <w:bCs/>
                <w:sz w:val="26"/>
                <w:szCs w:val="26"/>
                <w:lang w:val="lv-LV" w:eastAsia="lv-LV"/>
              </w:rPr>
              <w:t>7</w:t>
            </w:r>
            <w:r>
              <w:rPr>
                <w:bCs/>
                <w:sz w:val="26"/>
                <w:szCs w:val="26"/>
                <w:lang w:val="lv-LV" w:eastAsia="lv-LV"/>
              </w:rPr>
              <w:t>7</w:t>
            </w:r>
            <w:r w:rsidRPr="00FC27FB">
              <w:rPr>
                <w:bCs/>
                <w:sz w:val="26"/>
                <w:szCs w:val="26"/>
                <w:lang w:val="lv-LV" w:eastAsia="lv-LV"/>
              </w:rPr>
              <w:t xml:space="preserve"> “Prasības tērauda velmēšanas iekārtām un iekārtu tehniskās uzraudzības kārtība”;</w:t>
            </w:r>
          </w:p>
          <w:p w14:paraId="74CEB067" w14:textId="7DAFA3C7" w:rsidR="00FC27FB" w:rsidRDefault="00FC27FB" w:rsidP="00FC27FB">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Pr>
                <w:bCs/>
                <w:sz w:val="26"/>
                <w:szCs w:val="26"/>
                <w:lang w:val="lv-LV" w:eastAsia="lv-LV"/>
              </w:rPr>
              <w:t>Ministru kabineta 2000</w:t>
            </w:r>
            <w:r w:rsidRPr="00FC27FB">
              <w:rPr>
                <w:bCs/>
                <w:sz w:val="26"/>
                <w:szCs w:val="26"/>
                <w:lang w:val="lv-LV" w:eastAsia="lv-LV"/>
              </w:rPr>
              <w:t xml:space="preserve">.gada </w:t>
            </w:r>
            <w:r>
              <w:rPr>
                <w:bCs/>
                <w:sz w:val="26"/>
                <w:szCs w:val="26"/>
                <w:lang w:val="lv-LV" w:eastAsia="lv-LV"/>
              </w:rPr>
              <w:t>7.novembra</w:t>
            </w:r>
            <w:r w:rsidRPr="00FC27FB">
              <w:rPr>
                <w:bCs/>
                <w:sz w:val="26"/>
                <w:szCs w:val="26"/>
                <w:lang w:val="lv-LV" w:eastAsia="lv-LV"/>
              </w:rPr>
              <w:t xml:space="preserve"> noteikumi Nr.</w:t>
            </w:r>
            <w:r>
              <w:rPr>
                <w:bCs/>
                <w:sz w:val="26"/>
                <w:szCs w:val="26"/>
                <w:lang w:val="lv-LV" w:eastAsia="lv-LV"/>
              </w:rPr>
              <w:t>384</w:t>
            </w:r>
            <w:r w:rsidRPr="00FC27FB">
              <w:rPr>
                <w:bCs/>
                <w:sz w:val="26"/>
                <w:szCs w:val="26"/>
                <w:lang w:val="lv-LV" w:eastAsia="lv-LV"/>
              </w:rPr>
              <w:t xml:space="preserve"> “Noteikumi par bīstamajām iekārtām”;</w:t>
            </w:r>
          </w:p>
          <w:p w14:paraId="562AFF87" w14:textId="78F66D25" w:rsidR="00FC27FB" w:rsidRDefault="00FC27FB" w:rsidP="00FC27FB">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Pr>
                <w:bCs/>
                <w:sz w:val="26"/>
                <w:szCs w:val="26"/>
                <w:lang w:val="lv-LV" w:eastAsia="lv-LV"/>
              </w:rPr>
              <w:t>Ministru kabineta 2001</w:t>
            </w:r>
            <w:r w:rsidRPr="00FC27FB">
              <w:rPr>
                <w:bCs/>
                <w:sz w:val="26"/>
                <w:szCs w:val="26"/>
                <w:lang w:val="lv-LV" w:eastAsia="lv-LV"/>
              </w:rPr>
              <w:t xml:space="preserve">.gada </w:t>
            </w:r>
            <w:r>
              <w:rPr>
                <w:bCs/>
                <w:sz w:val="26"/>
                <w:szCs w:val="26"/>
                <w:lang w:val="lv-LV" w:eastAsia="lv-LV"/>
              </w:rPr>
              <w:t>2</w:t>
            </w:r>
            <w:r w:rsidRPr="00FC27FB">
              <w:rPr>
                <w:bCs/>
                <w:sz w:val="26"/>
                <w:szCs w:val="26"/>
                <w:lang w:val="lv-LV" w:eastAsia="lv-LV"/>
              </w:rPr>
              <w:t>7.</w:t>
            </w:r>
            <w:r>
              <w:rPr>
                <w:bCs/>
                <w:sz w:val="26"/>
                <w:szCs w:val="26"/>
                <w:lang w:val="lv-LV" w:eastAsia="lv-LV"/>
              </w:rPr>
              <w:t>februāra</w:t>
            </w:r>
            <w:r w:rsidRPr="00FC27FB">
              <w:rPr>
                <w:bCs/>
                <w:sz w:val="26"/>
                <w:szCs w:val="26"/>
                <w:lang w:val="lv-LV" w:eastAsia="lv-LV"/>
              </w:rPr>
              <w:t xml:space="preserve"> noteikumi Nr.</w:t>
            </w:r>
            <w:r>
              <w:rPr>
                <w:bCs/>
                <w:sz w:val="26"/>
                <w:szCs w:val="26"/>
                <w:lang w:val="lv-LV" w:eastAsia="lv-LV"/>
              </w:rPr>
              <w:t>87</w:t>
            </w:r>
            <w:r w:rsidRPr="00FC27FB">
              <w:rPr>
                <w:bCs/>
                <w:sz w:val="26"/>
                <w:szCs w:val="26"/>
                <w:lang w:val="lv-LV" w:eastAsia="lv-LV"/>
              </w:rPr>
              <w:t xml:space="preserve"> “Prasības tērauda kausēšanas iekārtām un iekārtu tehniskās uzraudzības kārtība”;</w:t>
            </w:r>
          </w:p>
          <w:p w14:paraId="20C6241F" w14:textId="62C1C8E7" w:rsidR="00FC27FB" w:rsidRDefault="00FC27FB" w:rsidP="00FC27FB">
            <w:pPr>
              <w:pStyle w:val="BodyTextInden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 w:val="26"/>
                <w:szCs w:val="26"/>
                <w:lang w:val="lv-LV" w:eastAsia="lv-LV"/>
              </w:rPr>
            </w:pPr>
            <w:r w:rsidRPr="00FC27FB">
              <w:rPr>
                <w:bCs/>
                <w:sz w:val="26"/>
                <w:szCs w:val="26"/>
                <w:lang w:val="lv-LV" w:eastAsia="lv-LV"/>
              </w:rPr>
              <w:t xml:space="preserve">Ministru kabineta 2001.gada </w:t>
            </w:r>
            <w:r>
              <w:rPr>
                <w:bCs/>
                <w:sz w:val="26"/>
                <w:szCs w:val="26"/>
                <w:lang w:val="lv-LV" w:eastAsia="lv-LV"/>
              </w:rPr>
              <w:t>20</w:t>
            </w:r>
            <w:r w:rsidRPr="00FC27FB">
              <w:rPr>
                <w:bCs/>
                <w:sz w:val="26"/>
                <w:szCs w:val="26"/>
                <w:lang w:val="lv-LV" w:eastAsia="lv-LV"/>
              </w:rPr>
              <w:t>.februāra noteikumi Nr.</w:t>
            </w:r>
            <w:r>
              <w:rPr>
                <w:bCs/>
                <w:sz w:val="26"/>
                <w:szCs w:val="26"/>
                <w:lang w:val="lv-LV" w:eastAsia="lv-LV"/>
              </w:rPr>
              <w:t>74</w:t>
            </w:r>
            <w:r w:rsidRPr="00FC27FB">
              <w:rPr>
                <w:bCs/>
                <w:sz w:val="26"/>
                <w:szCs w:val="26"/>
                <w:lang w:val="lv-LV" w:eastAsia="lv-LV"/>
              </w:rPr>
              <w:t xml:space="preserve"> “Prasības degvielas uzpildes staciju tehnoloģiskajām iekārtām un iekārtu</w:t>
            </w:r>
            <w:r w:rsidR="00480CCA">
              <w:rPr>
                <w:bCs/>
                <w:sz w:val="26"/>
                <w:szCs w:val="26"/>
                <w:lang w:val="lv-LV" w:eastAsia="lv-LV"/>
              </w:rPr>
              <w:t xml:space="preserve"> tehniskās uzraudzības kārtība”.</w:t>
            </w:r>
          </w:p>
          <w:p w14:paraId="3F453E8E" w14:textId="73DED805" w:rsidR="00480CCA" w:rsidRDefault="00480CCA" w:rsidP="00E0318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60"/>
              <w:rPr>
                <w:bCs/>
                <w:sz w:val="26"/>
                <w:szCs w:val="26"/>
                <w:lang w:val="lv-LV" w:eastAsia="lv-LV"/>
              </w:rPr>
            </w:pPr>
            <w:r>
              <w:rPr>
                <w:bCs/>
                <w:sz w:val="26"/>
                <w:szCs w:val="26"/>
                <w:lang w:val="lv-LV" w:eastAsia="lv-LV"/>
              </w:rPr>
              <w:t xml:space="preserve">Administratīvā atbildība par </w:t>
            </w:r>
            <w:r w:rsidRPr="00480CCA">
              <w:rPr>
                <w:bCs/>
                <w:sz w:val="26"/>
                <w:szCs w:val="26"/>
                <w:lang w:val="lv-LV" w:eastAsia="lv-LV"/>
              </w:rPr>
              <w:t>bīstamo iekārtu tehnisko uzraudzību regu</w:t>
            </w:r>
            <w:r>
              <w:rPr>
                <w:bCs/>
                <w:sz w:val="26"/>
                <w:szCs w:val="26"/>
                <w:lang w:val="lv-LV" w:eastAsia="lv-LV"/>
              </w:rPr>
              <w:t xml:space="preserve">lējošo normatīvo aktu pārkāpumiem </w:t>
            </w:r>
            <w:r w:rsidR="00E03186">
              <w:rPr>
                <w:bCs/>
                <w:sz w:val="26"/>
                <w:szCs w:val="26"/>
                <w:lang w:val="lv-LV" w:eastAsia="lv-LV"/>
              </w:rPr>
              <w:t xml:space="preserve">var atšķirties </w:t>
            </w:r>
            <w:r>
              <w:rPr>
                <w:bCs/>
                <w:sz w:val="26"/>
                <w:szCs w:val="26"/>
                <w:lang w:val="lv-LV" w:eastAsia="lv-LV"/>
              </w:rPr>
              <w:t xml:space="preserve">izejot no pārkāpuma </w:t>
            </w:r>
            <w:r w:rsidR="00E03186">
              <w:rPr>
                <w:bCs/>
                <w:sz w:val="26"/>
                <w:szCs w:val="26"/>
                <w:lang w:val="lv-LV" w:eastAsia="lv-LV"/>
              </w:rPr>
              <w:t xml:space="preserve">rakstura un būtības. Pārkāpumi var būt saistīti ar </w:t>
            </w:r>
            <w:r w:rsidR="00EE3DDA">
              <w:rPr>
                <w:bCs/>
                <w:sz w:val="26"/>
                <w:szCs w:val="26"/>
                <w:lang w:val="lv-LV" w:eastAsia="lv-LV"/>
              </w:rPr>
              <w:t>bīstamo iekārtu dokumentācijas un marķējuma ne</w:t>
            </w:r>
            <w:r w:rsidR="00E03186" w:rsidRPr="00E03186">
              <w:rPr>
                <w:bCs/>
                <w:sz w:val="26"/>
                <w:szCs w:val="26"/>
                <w:lang w:val="lv-LV" w:eastAsia="lv-LV"/>
              </w:rPr>
              <w:t xml:space="preserve">atbilstību </w:t>
            </w:r>
            <w:r w:rsidR="00EE3DDA">
              <w:rPr>
                <w:bCs/>
                <w:sz w:val="26"/>
                <w:szCs w:val="26"/>
                <w:lang w:val="lv-LV" w:eastAsia="lv-LV"/>
              </w:rPr>
              <w:t xml:space="preserve">noteiktajām prasībām (22.panta pirmā daļa), kas nerada tiešus draudus </w:t>
            </w:r>
            <w:r w:rsidR="00EE3DDA" w:rsidRPr="00EE3DDA">
              <w:rPr>
                <w:bCs/>
                <w:sz w:val="26"/>
                <w:szCs w:val="26"/>
                <w:lang w:val="lv-LV" w:eastAsia="lv-LV"/>
              </w:rPr>
              <w:t>personu drošībai un veselībai</w:t>
            </w:r>
            <w:r w:rsidR="00EE3DDA">
              <w:rPr>
                <w:bCs/>
                <w:sz w:val="26"/>
                <w:szCs w:val="26"/>
                <w:lang w:val="lv-LV" w:eastAsia="lv-LV"/>
              </w:rPr>
              <w:t>. Savukārt 22.panta treš</w:t>
            </w:r>
            <w:r w:rsidR="008F0CB0">
              <w:rPr>
                <w:bCs/>
                <w:sz w:val="26"/>
                <w:szCs w:val="26"/>
                <w:lang w:val="lv-LV" w:eastAsia="lv-LV"/>
              </w:rPr>
              <w:t>aj</w:t>
            </w:r>
            <w:r w:rsidR="00EE3DDA">
              <w:rPr>
                <w:bCs/>
                <w:sz w:val="26"/>
                <w:szCs w:val="26"/>
                <w:lang w:val="lv-LV" w:eastAsia="lv-LV"/>
              </w:rPr>
              <w:t>ā daļā noteiktā administratīvā atbildībā būs piemērojama tādiem pārkāpumiem, kas var radīt tiešus draud</w:t>
            </w:r>
            <w:r>
              <w:rPr>
                <w:bCs/>
                <w:sz w:val="26"/>
                <w:szCs w:val="26"/>
                <w:lang w:val="lv-LV" w:eastAsia="lv-LV"/>
              </w:rPr>
              <w:t xml:space="preserve">us personu drošībai un </w:t>
            </w:r>
            <w:r w:rsidR="00EE3DDA">
              <w:rPr>
                <w:bCs/>
                <w:sz w:val="26"/>
                <w:szCs w:val="26"/>
                <w:lang w:val="lv-LV" w:eastAsia="lv-LV"/>
              </w:rPr>
              <w:t>veselībai. Līdz ar to 22.pantā skaidri noteikta un izdalīta administratīvā atbildība par dažāda veida bīstamo iekārtu lietošanas un uzturēšanas pārkāpumiem.</w:t>
            </w:r>
          </w:p>
          <w:p w14:paraId="1ADF7E78" w14:textId="5DCFBC57" w:rsidR="002C7357" w:rsidRDefault="00C03B86" w:rsidP="00480CC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60"/>
              <w:rPr>
                <w:bCs/>
                <w:sz w:val="26"/>
                <w:szCs w:val="26"/>
                <w:lang w:val="lv-LV" w:eastAsia="lv-LV"/>
              </w:rPr>
            </w:pPr>
            <w:r>
              <w:rPr>
                <w:bCs/>
                <w:sz w:val="26"/>
                <w:szCs w:val="26"/>
                <w:lang w:val="lv-LV" w:eastAsia="lv-LV"/>
              </w:rPr>
              <w:t xml:space="preserve">Ņemot vērā, ka Likuma 1.panta </w:t>
            </w:r>
            <w:r w:rsidR="000F37B4">
              <w:rPr>
                <w:bCs/>
                <w:sz w:val="26"/>
                <w:szCs w:val="26"/>
                <w:lang w:val="lv-LV" w:eastAsia="lv-LV"/>
              </w:rPr>
              <w:t>2</w:t>
            </w:r>
            <w:r>
              <w:rPr>
                <w:bCs/>
                <w:sz w:val="26"/>
                <w:szCs w:val="26"/>
                <w:lang w:val="lv-LV" w:eastAsia="lv-LV"/>
              </w:rPr>
              <w:t>.punktā ir noteikts speciāl</w:t>
            </w:r>
            <w:r w:rsidR="00D266CE">
              <w:rPr>
                <w:bCs/>
                <w:sz w:val="26"/>
                <w:szCs w:val="26"/>
                <w:lang w:val="lv-LV" w:eastAsia="lv-LV"/>
              </w:rPr>
              <w:t>ai</w:t>
            </w:r>
            <w:r>
              <w:rPr>
                <w:bCs/>
                <w:sz w:val="26"/>
                <w:szCs w:val="26"/>
                <w:lang w:val="lv-LV" w:eastAsia="lv-LV"/>
              </w:rPr>
              <w:t>s tiesību subjekts -</w:t>
            </w:r>
            <w:r w:rsidR="00E03186">
              <w:rPr>
                <w:bCs/>
                <w:sz w:val="26"/>
                <w:szCs w:val="26"/>
                <w:lang w:val="lv-LV" w:eastAsia="lv-LV"/>
              </w:rPr>
              <w:t xml:space="preserve"> bīstamās iekārtas valdītājs, tad attiecībā uz pārkāpumi</w:t>
            </w:r>
            <w:r>
              <w:rPr>
                <w:bCs/>
                <w:sz w:val="26"/>
                <w:szCs w:val="26"/>
                <w:lang w:val="lv-LV" w:eastAsia="lv-LV"/>
              </w:rPr>
              <w:t xml:space="preserve">em, kas minēti </w:t>
            </w:r>
            <w:r w:rsidR="002C7357">
              <w:rPr>
                <w:bCs/>
                <w:sz w:val="26"/>
                <w:szCs w:val="26"/>
                <w:lang w:val="lv-LV" w:eastAsia="lv-LV"/>
              </w:rPr>
              <w:t>22.panta pirm</w:t>
            </w:r>
            <w:r w:rsidR="00D266CE">
              <w:rPr>
                <w:bCs/>
                <w:sz w:val="26"/>
                <w:szCs w:val="26"/>
                <w:lang w:val="lv-LV" w:eastAsia="lv-LV"/>
              </w:rPr>
              <w:t>aj</w:t>
            </w:r>
            <w:r w:rsidR="002C7357">
              <w:rPr>
                <w:bCs/>
                <w:sz w:val="26"/>
                <w:szCs w:val="26"/>
                <w:lang w:val="lv-LV" w:eastAsia="lv-LV"/>
              </w:rPr>
              <w:t xml:space="preserve">ā daļā tiek noteikts plašāks pie atbildības saucamo personu loks, nekā to paredz termins bīstamo iekārtu valdītājs (fiziskās un juridiskās personas, kas pārbauda bīstamās iekārtas). </w:t>
            </w:r>
          </w:p>
          <w:p w14:paraId="407FEEBC" w14:textId="1BD8A84A" w:rsidR="00E03186" w:rsidRPr="003D3179" w:rsidRDefault="002C7357" w:rsidP="00480CC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60"/>
              <w:rPr>
                <w:bCs/>
                <w:sz w:val="26"/>
                <w:szCs w:val="26"/>
                <w:lang w:val="lv-LV" w:eastAsia="lv-LV"/>
              </w:rPr>
            </w:pPr>
            <w:r>
              <w:rPr>
                <w:bCs/>
                <w:sz w:val="26"/>
                <w:szCs w:val="26"/>
                <w:lang w:val="lv-LV" w:eastAsia="lv-LV"/>
              </w:rPr>
              <w:t>Savukārt</w:t>
            </w:r>
            <w:r w:rsidR="00B50EC8">
              <w:rPr>
                <w:bCs/>
                <w:sz w:val="26"/>
                <w:szCs w:val="26"/>
                <w:lang w:val="lv-LV" w:eastAsia="lv-LV"/>
              </w:rPr>
              <w:t xml:space="preserve"> attiecībā uz </w:t>
            </w:r>
            <w:r w:rsidR="00B94FF3">
              <w:rPr>
                <w:bCs/>
                <w:sz w:val="26"/>
                <w:szCs w:val="26"/>
                <w:lang w:val="lv-LV" w:eastAsia="lv-LV"/>
              </w:rPr>
              <w:t>L</w:t>
            </w:r>
            <w:r>
              <w:rPr>
                <w:bCs/>
                <w:sz w:val="26"/>
                <w:szCs w:val="26"/>
                <w:lang w:val="lv-LV" w:eastAsia="lv-LV"/>
              </w:rPr>
              <w:t xml:space="preserve">ikumprojekta </w:t>
            </w:r>
            <w:r w:rsidR="00C03B86">
              <w:rPr>
                <w:bCs/>
                <w:sz w:val="26"/>
                <w:szCs w:val="26"/>
                <w:lang w:val="lv-LV" w:eastAsia="lv-LV"/>
              </w:rPr>
              <w:t>22.</w:t>
            </w:r>
            <w:r w:rsidR="00B50EC8">
              <w:rPr>
                <w:bCs/>
                <w:sz w:val="26"/>
                <w:szCs w:val="26"/>
                <w:lang w:val="lv-LV" w:eastAsia="lv-LV"/>
              </w:rPr>
              <w:t>panta otro, trešo un ceturto</w:t>
            </w:r>
            <w:r w:rsidR="00C03B86">
              <w:rPr>
                <w:bCs/>
                <w:sz w:val="26"/>
                <w:szCs w:val="26"/>
                <w:lang w:val="lv-LV" w:eastAsia="lv-LV"/>
              </w:rPr>
              <w:t xml:space="preserve"> daļ</w:t>
            </w:r>
            <w:r w:rsidR="00C37616">
              <w:rPr>
                <w:bCs/>
                <w:sz w:val="26"/>
                <w:szCs w:val="26"/>
                <w:lang w:val="lv-LV" w:eastAsia="lv-LV"/>
              </w:rPr>
              <w:t>u</w:t>
            </w:r>
            <w:r w:rsidR="00C03B86">
              <w:rPr>
                <w:bCs/>
                <w:sz w:val="26"/>
                <w:szCs w:val="26"/>
                <w:lang w:val="lv-LV" w:eastAsia="lv-LV"/>
              </w:rPr>
              <w:t xml:space="preserve"> ir skaidri noteikts, ka </w:t>
            </w:r>
            <w:r>
              <w:rPr>
                <w:bCs/>
                <w:sz w:val="26"/>
                <w:szCs w:val="26"/>
                <w:lang w:val="lv-LV" w:eastAsia="lv-LV"/>
              </w:rPr>
              <w:t>pie administratīvas</w:t>
            </w:r>
            <w:r w:rsidR="00C03B86">
              <w:rPr>
                <w:bCs/>
                <w:sz w:val="26"/>
                <w:szCs w:val="26"/>
                <w:lang w:val="lv-LV" w:eastAsia="lv-LV"/>
              </w:rPr>
              <w:t xml:space="preserve"> </w:t>
            </w:r>
            <w:r w:rsidR="00C03B86">
              <w:rPr>
                <w:bCs/>
                <w:sz w:val="26"/>
                <w:szCs w:val="26"/>
                <w:lang w:val="lv-LV" w:eastAsia="lv-LV"/>
              </w:rPr>
              <w:lastRenderedPageBreak/>
              <w:t>atbildība</w:t>
            </w:r>
            <w:r>
              <w:rPr>
                <w:bCs/>
                <w:sz w:val="26"/>
                <w:szCs w:val="26"/>
                <w:lang w:val="lv-LV" w:eastAsia="lv-LV"/>
              </w:rPr>
              <w:t>s</w:t>
            </w:r>
            <w:r w:rsidR="00C03B86">
              <w:rPr>
                <w:bCs/>
                <w:sz w:val="26"/>
                <w:szCs w:val="26"/>
                <w:lang w:val="lv-LV" w:eastAsia="lv-LV"/>
              </w:rPr>
              <w:t xml:space="preserve"> </w:t>
            </w:r>
            <w:r>
              <w:rPr>
                <w:bCs/>
                <w:sz w:val="26"/>
                <w:szCs w:val="26"/>
                <w:lang w:val="lv-LV" w:eastAsia="lv-LV"/>
              </w:rPr>
              <w:t xml:space="preserve">par šāda veida pārkāpumiem tiek saukts </w:t>
            </w:r>
            <w:r w:rsidR="00B94FF3">
              <w:rPr>
                <w:bCs/>
                <w:sz w:val="26"/>
                <w:szCs w:val="26"/>
                <w:lang w:val="lv-LV" w:eastAsia="lv-LV"/>
              </w:rPr>
              <w:t>L</w:t>
            </w:r>
            <w:r>
              <w:rPr>
                <w:bCs/>
                <w:sz w:val="26"/>
                <w:szCs w:val="26"/>
                <w:lang w:val="lv-LV" w:eastAsia="lv-LV"/>
              </w:rPr>
              <w:t>ikumā un saistošajos noteikumos noteiktais speciālais</w:t>
            </w:r>
            <w:r w:rsidR="00E03186">
              <w:rPr>
                <w:bCs/>
                <w:sz w:val="26"/>
                <w:szCs w:val="26"/>
                <w:lang w:val="lv-LV" w:eastAsia="lv-LV"/>
              </w:rPr>
              <w:t xml:space="preserve"> su</w:t>
            </w:r>
            <w:r>
              <w:rPr>
                <w:bCs/>
                <w:sz w:val="26"/>
                <w:szCs w:val="26"/>
                <w:lang w:val="lv-LV" w:eastAsia="lv-LV"/>
              </w:rPr>
              <w:t>bjekts – bīstamo iekārtu valdītājs.</w:t>
            </w:r>
          </w:p>
          <w:p w14:paraId="21DA0167" w14:textId="71C2B187" w:rsidR="00587FC4" w:rsidRDefault="00FC27FB" w:rsidP="003A414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bCs/>
                <w:sz w:val="26"/>
                <w:szCs w:val="26"/>
                <w:lang w:val="lv-LV" w:eastAsia="lv-LV"/>
              </w:rPr>
            </w:pPr>
            <w:r>
              <w:rPr>
                <w:bCs/>
                <w:sz w:val="26"/>
                <w:szCs w:val="26"/>
                <w:lang w:val="lv-LV" w:eastAsia="lv-LV"/>
              </w:rPr>
              <w:t xml:space="preserve">Vienlaikus </w:t>
            </w:r>
            <w:r w:rsidR="001E56DA">
              <w:rPr>
                <w:bCs/>
                <w:sz w:val="26"/>
                <w:szCs w:val="26"/>
                <w:lang w:val="lv-LV" w:eastAsia="lv-LV"/>
              </w:rPr>
              <w:t>L</w:t>
            </w:r>
            <w:r>
              <w:rPr>
                <w:bCs/>
                <w:sz w:val="26"/>
                <w:szCs w:val="26"/>
                <w:lang w:val="lv-LV" w:eastAsia="lv-LV"/>
              </w:rPr>
              <w:t>ikumprojekts papildina L</w:t>
            </w:r>
            <w:r w:rsidR="00587FC4" w:rsidRPr="003D3179">
              <w:rPr>
                <w:bCs/>
                <w:sz w:val="26"/>
                <w:szCs w:val="26"/>
                <w:lang w:val="lv-LV" w:eastAsia="lv-LV"/>
              </w:rPr>
              <w:t xml:space="preserve">ikumu ar </w:t>
            </w:r>
            <w:r w:rsidR="00610260">
              <w:rPr>
                <w:bCs/>
                <w:sz w:val="26"/>
                <w:szCs w:val="26"/>
                <w:lang w:val="lv-LV" w:eastAsia="lv-LV"/>
              </w:rPr>
              <w:t>23.pantu, nosakot, ka atbildīgā</w:t>
            </w:r>
            <w:r w:rsidR="00587FC4" w:rsidRPr="003D3179">
              <w:rPr>
                <w:bCs/>
                <w:sz w:val="26"/>
                <w:szCs w:val="26"/>
                <w:lang w:val="lv-LV" w:eastAsia="lv-LV"/>
              </w:rPr>
              <w:t xml:space="preserve"> iestāde</w:t>
            </w:r>
            <w:r w:rsidR="00610260">
              <w:rPr>
                <w:bCs/>
                <w:sz w:val="26"/>
                <w:szCs w:val="26"/>
                <w:lang w:val="lv-LV" w:eastAsia="lv-LV"/>
              </w:rPr>
              <w:t>, kura ir tiesīga</w:t>
            </w:r>
            <w:r w:rsidR="00587FC4" w:rsidRPr="003D3179">
              <w:rPr>
                <w:bCs/>
                <w:sz w:val="26"/>
                <w:szCs w:val="26"/>
                <w:lang w:val="lv-LV" w:eastAsia="lv-LV"/>
              </w:rPr>
              <w:t xml:space="preserve"> savas kompetences ietvaros piemērot administratīvos sodus par administratīvajiem pārkāpumiem bīstamo iekārtu tehniskās uzraudzības jomā</w:t>
            </w:r>
            <w:r w:rsidR="0056674F">
              <w:rPr>
                <w:bCs/>
                <w:sz w:val="26"/>
                <w:szCs w:val="26"/>
                <w:lang w:val="lv-LV" w:eastAsia="lv-LV"/>
              </w:rPr>
              <w:t>,</w:t>
            </w:r>
            <w:r w:rsidR="00587FC4" w:rsidRPr="003D3179">
              <w:rPr>
                <w:bCs/>
                <w:sz w:val="26"/>
                <w:szCs w:val="26"/>
                <w:lang w:val="lv-LV" w:eastAsia="lv-LV"/>
              </w:rPr>
              <w:t xml:space="preserve"> ir Patērētāju tiesību aizsardzības centrs (turpmāk – PTAC).</w:t>
            </w:r>
          </w:p>
          <w:p w14:paraId="20C238BC" w14:textId="1BC6031B" w:rsidR="00F273A7" w:rsidRDefault="00F273A7" w:rsidP="003A414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bCs/>
                <w:sz w:val="26"/>
                <w:szCs w:val="26"/>
                <w:lang w:val="lv-LV" w:eastAsia="lv-LV"/>
              </w:rPr>
            </w:pPr>
            <w:r w:rsidRPr="00F273A7">
              <w:rPr>
                <w:bCs/>
                <w:sz w:val="26"/>
                <w:szCs w:val="26"/>
                <w:lang w:val="lv-LV" w:eastAsia="lv-LV"/>
              </w:rPr>
              <w:t xml:space="preserve">PTAC šobrīd ir tiesīgs izskatīt administratīvo pārkāpumu lietas un piemērot administratīvos sodus par administratīvajiem pārkāpumiem </w:t>
            </w:r>
            <w:r w:rsidR="00610260">
              <w:rPr>
                <w:bCs/>
                <w:sz w:val="26"/>
                <w:szCs w:val="26"/>
                <w:lang w:val="lv-LV" w:eastAsia="lv-LV"/>
              </w:rPr>
              <w:t xml:space="preserve">bīstamo iekārtu uzraudzības </w:t>
            </w:r>
            <w:r>
              <w:rPr>
                <w:bCs/>
                <w:sz w:val="26"/>
                <w:szCs w:val="26"/>
                <w:lang w:val="lv-LV" w:eastAsia="lv-LV"/>
              </w:rPr>
              <w:t>jomā saskaņā ar LAPK 90</w:t>
            </w:r>
            <w:r w:rsidRPr="00F273A7">
              <w:rPr>
                <w:bCs/>
                <w:sz w:val="26"/>
                <w:szCs w:val="26"/>
                <w:lang w:val="lv-LV" w:eastAsia="lv-LV"/>
              </w:rPr>
              <w:t>.pantu un šādu administratīvo sodu piemērošana</w:t>
            </w:r>
            <w:r w:rsidR="00610260">
              <w:rPr>
                <w:bCs/>
                <w:sz w:val="26"/>
                <w:szCs w:val="26"/>
                <w:lang w:val="lv-LV" w:eastAsia="lv-LV"/>
              </w:rPr>
              <w:t>s</w:t>
            </w:r>
            <w:r w:rsidRPr="00F273A7">
              <w:rPr>
                <w:bCs/>
                <w:sz w:val="26"/>
                <w:szCs w:val="26"/>
                <w:lang w:val="lv-LV" w:eastAsia="lv-LV"/>
              </w:rPr>
              <w:t xml:space="preserve"> mehānisms ir efektīvs </w:t>
            </w:r>
            <w:r>
              <w:rPr>
                <w:bCs/>
                <w:sz w:val="26"/>
                <w:szCs w:val="26"/>
                <w:lang w:val="lv-LV" w:eastAsia="lv-LV"/>
              </w:rPr>
              <w:t>bīstamo iekārtu tehniskās uzraudzības</w:t>
            </w:r>
            <w:r w:rsidRPr="00F273A7">
              <w:rPr>
                <w:bCs/>
                <w:sz w:val="26"/>
                <w:szCs w:val="26"/>
                <w:lang w:val="lv-LV" w:eastAsia="lv-LV"/>
              </w:rPr>
              <w:t xml:space="preserve"> jomas kontrolei un uzraudzībai.</w:t>
            </w:r>
          </w:p>
          <w:p w14:paraId="57BA307F" w14:textId="15671DA0" w:rsidR="00F273A7" w:rsidRDefault="00F273A7" w:rsidP="003A414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bCs/>
                <w:sz w:val="26"/>
                <w:szCs w:val="26"/>
                <w:lang w:val="lv-LV" w:eastAsia="lv-LV"/>
              </w:rPr>
            </w:pPr>
            <w:r w:rsidRPr="00F273A7">
              <w:rPr>
                <w:bCs/>
                <w:sz w:val="26"/>
                <w:szCs w:val="26"/>
                <w:lang w:val="lv-LV" w:eastAsia="lv-LV"/>
              </w:rPr>
              <w:t xml:space="preserve">Īstenojot </w:t>
            </w:r>
            <w:r>
              <w:rPr>
                <w:bCs/>
                <w:sz w:val="26"/>
                <w:szCs w:val="26"/>
                <w:lang w:val="lv-LV" w:eastAsia="lv-LV"/>
              </w:rPr>
              <w:t>bīstamo iekārtu</w:t>
            </w:r>
            <w:r w:rsidRPr="00F273A7">
              <w:rPr>
                <w:bCs/>
                <w:sz w:val="26"/>
                <w:szCs w:val="26"/>
                <w:lang w:val="lv-LV" w:eastAsia="lv-LV"/>
              </w:rPr>
              <w:t xml:space="preserve"> </w:t>
            </w:r>
            <w:r w:rsidR="00D438A0">
              <w:rPr>
                <w:bCs/>
                <w:sz w:val="26"/>
                <w:szCs w:val="26"/>
                <w:lang w:val="lv-LV" w:eastAsia="lv-LV"/>
              </w:rPr>
              <w:t xml:space="preserve">tehnisko </w:t>
            </w:r>
            <w:r w:rsidRPr="00F273A7">
              <w:rPr>
                <w:bCs/>
                <w:sz w:val="26"/>
                <w:szCs w:val="26"/>
                <w:lang w:val="lv-LV" w:eastAsia="lv-LV"/>
              </w:rPr>
              <w:t>uzraudzību, PTAC amatpersonu veikto pārbaužu ietvaros konstatētais tiek atspoguļots pārbaužu aktos, kuros rakstveidā tiek nostiprinātas ziņas par faktiem, kas nepieciešamības gadījumā lietas virzības gaitā kalpo par vienu no pierādīšanas līdzekļiem LAPK izpratnē. Turklāt PTAC lietas virzības gaitā praksē nošķir pārkāpumu veidus – formālas neatbilstības un neatbilstības pamatprasībām, tādējādi lietvedība netiek uzsākta par formālām neatbilstībām.</w:t>
            </w:r>
          </w:p>
          <w:p w14:paraId="17EDFC0A" w14:textId="3124DB93" w:rsidR="00F273A7" w:rsidRPr="003D3179" w:rsidRDefault="00F273A7" w:rsidP="003A414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bCs/>
                <w:sz w:val="26"/>
                <w:szCs w:val="26"/>
                <w:lang w:val="lv-LV" w:eastAsia="lv-LV"/>
              </w:rPr>
            </w:pPr>
            <w:r w:rsidRPr="00F273A7">
              <w:rPr>
                <w:bCs/>
                <w:sz w:val="26"/>
                <w:szCs w:val="26"/>
                <w:lang w:val="lv-LV" w:eastAsia="lv-LV"/>
              </w:rPr>
              <w:t xml:space="preserve">PTAC pārbaužu akti nav pārsūdzami Administratīvā procesa likuma (turpmāk – APL) ietvaros. Pretējā gadījumā, ja PTAC pārbaužu akti būtu pārsūdzami APL kārtībā, tas ievērojami apgrūtinātu PTAC efektīvu </w:t>
            </w:r>
            <w:r>
              <w:rPr>
                <w:bCs/>
                <w:sz w:val="26"/>
                <w:szCs w:val="26"/>
                <w:lang w:val="lv-LV" w:eastAsia="lv-LV"/>
              </w:rPr>
              <w:t>bīstamo iekārtu tehniskās</w:t>
            </w:r>
            <w:r w:rsidRPr="00F273A7">
              <w:rPr>
                <w:bCs/>
                <w:sz w:val="26"/>
                <w:szCs w:val="26"/>
                <w:lang w:val="lv-LV" w:eastAsia="lv-LV"/>
              </w:rPr>
              <w:t xml:space="preserve"> uzraudzības veikšanu un kontroli, kam sekotu ilgi un gari tiesvedības procesi, attiecīgi patērējot arī daudz cilvēkresursu, jo papildus būtu jāveic arī administratīvo aktu labprātīgas izpildes kontrole. Turklāt administratīvā akta izdošana, ar kuru tā adresātam tiek uzlikts pienākums veikt tikai noteiktas tiesiskas darbības, nepiemērojot soda naudu par konkrēto pārkāpumu, nav efektīvs līdzeklis bīstamo iekārtu tehniskās uzraudzības un kontroles veikšanai. Savukārt LAPK ietvaros vienlaicīgi ar administratīvā soda uzlikšanu izpildās arī citi nozīmīgi kritēriji, proti, pie administratīvās atbildības sauktajai personai ir pienākums novērst administratīvā pārkāpuma sekas vai nodarīto kaitējumu, kā arī izpildīt pienākumu, par kura nepildīšanu persona ir sodīta. Līdz ar to vienlaikus tiek realizēta gan sodošā funkcija, uzliekot naudas sodu, gan arī audzinošā funkcija, lai persona neizdarītu jaunus pārkāpumus. Administratīvo pārkāpumu sastāvi bīstamo iekārtu tehniskās </w:t>
            </w:r>
            <w:r w:rsidRPr="00F273A7">
              <w:rPr>
                <w:bCs/>
                <w:sz w:val="26"/>
                <w:szCs w:val="26"/>
                <w:lang w:val="lv-LV" w:eastAsia="lv-LV"/>
              </w:rPr>
              <w:lastRenderedPageBreak/>
              <w:t>uzraudzības jomā ir samērā vienkārši un tūlītēji konstatējami.</w:t>
            </w:r>
          </w:p>
          <w:p w14:paraId="01A2B6B3" w14:textId="77777777" w:rsidR="00DB7065" w:rsidRDefault="0074502A" w:rsidP="00A1332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sz w:val="26"/>
                <w:szCs w:val="26"/>
                <w:lang w:val="lv-LV" w:eastAsia="lv-LV"/>
              </w:rPr>
            </w:pPr>
            <w:r w:rsidRPr="003D3179">
              <w:rPr>
                <w:color w:val="000000" w:themeColor="text1"/>
                <w:sz w:val="26"/>
                <w:szCs w:val="26"/>
                <w:lang w:val="lv-LV"/>
              </w:rPr>
              <w:t>Attiecīgi Likumprojektā tiek paredzēts par minētajiem pārkāpumiem izteikt brīdinājumu vai noteikt naudas sodu fiziskajām personām</w:t>
            </w:r>
            <w:r w:rsidR="00181FBC" w:rsidRPr="003D3179">
              <w:rPr>
                <w:color w:val="000000" w:themeColor="text1"/>
                <w:sz w:val="26"/>
                <w:szCs w:val="26"/>
                <w:lang w:val="lv-LV"/>
              </w:rPr>
              <w:t>, bīstamās iekārtas valdītāj</w:t>
            </w:r>
            <w:r w:rsidR="00A13325" w:rsidRPr="003D3179">
              <w:rPr>
                <w:color w:val="000000" w:themeColor="text1"/>
                <w:sz w:val="26"/>
                <w:szCs w:val="26"/>
                <w:lang w:val="lv-LV"/>
              </w:rPr>
              <w:t>ie</w:t>
            </w:r>
            <w:r w:rsidR="00181FBC" w:rsidRPr="003D3179">
              <w:rPr>
                <w:color w:val="000000" w:themeColor="text1"/>
                <w:sz w:val="26"/>
                <w:szCs w:val="26"/>
                <w:lang w:val="lv-LV"/>
              </w:rPr>
              <w:t>m, kā arī j</w:t>
            </w:r>
            <w:r w:rsidRPr="003D3179">
              <w:rPr>
                <w:color w:val="000000" w:themeColor="text1"/>
                <w:sz w:val="26"/>
                <w:szCs w:val="26"/>
                <w:lang w:val="lv-LV"/>
              </w:rPr>
              <w:t xml:space="preserve">uridiskām </w:t>
            </w:r>
            <w:r w:rsidR="00181FBC" w:rsidRPr="003D3179">
              <w:rPr>
                <w:color w:val="000000" w:themeColor="text1"/>
                <w:sz w:val="26"/>
                <w:szCs w:val="26"/>
                <w:lang w:val="lv-LV"/>
              </w:rPr>
              <w:t xml:space="preserve">personām. </w:t>
            </w:r>
            <w:r w:rsidR="008449EA" w:rsidRPr="003D3179">
              <w:rPr>
                <w:sz w:val="26"/>
                <w:szCs w:val="26"/>
                <w:lang w:val="lv-LV" w:eastAsia="lv-LV"/>
              </w:rPr>
              <w:t xml:space="preserve">Ņemot vērā likumprojekta “Administratīvo pārkāpumu procesa likums” (reģ.nr. 16/Lp12) plānoto regulējumu, naudas sods par administratīvajiem pārkāpumiem ir izteikts naudas </w:t>
            </w:r>
            <w:r w:rsidR="00610260">
              <w:rPr>
                <w:sz w:val="26"/>
                <w:szCs w:val="26"/>
                <w:lang w:val="lv-LV" w:eastAsia="lv-LV"/>
              </w:rPr>
              <w:t xml:space="preserve">soda </w:t>
            </w:r>
            <w:r w:rsidR="008449EA" w:rsidRPr="003D3179">
              <w:rPr>
                <w:sz w:val="26"/>
                <w:szCs w:val="26"/>
                <w:lang w:val="lv-LV" w:eastAsia="lv-LV"/>
              </w:rPr>
              <w:t xml:space="preserve">vienībās (saskaņā ar likumprojektu vienas naudas soda vienības vērtība ir pieci </w:t>
            </w:r>
            <w:r w:rsidR="008449EA" w:rsidRPr="005C202B">
              <w:rPr>
                <w:i/>
                <w:sz w:val="26"/>
                <w:szCs w:val="26"/>
                <w:lang w:val="lv-LV" w:eastAsia="lv-LV"/>
              </w:rPr>
              <w:t>euro</w:t>
            </w:r>
            <w:r w:rsidR="008449EA" w:rsidRPr="003D3179">
              <w:rPr>
                <w:sz w:val="26"/>
                <w:szCs w:val="26"/>
                <w:lang w:val="lv-LV" w:eastAsia="lv-LV"/>
              </w:rPr>
              <w:t>).</w:t>
            </w:r>
          </w:p>
          <w:p w14:paraId="33558152" w14:textId="72AB527E" w:rsidR="008A7EA0" w:rsidRDefault="008A7EA0" w:rsidP="00A1332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sz w:val="26"/>
                <w:szCs w:val="26"/>
                <w:lang w:val="lv-LV" w:eastAsia="lv-LV"/>
              </w:rPr>
            </w:pPr>
            <w:r>
              <w:rPr>
                <w:sz w:val="26"/>
                <w:szCs w:val="26"/>
                <w:lang w:val="lv-LV" w:eastAsia="lv-LV"/>
              </w:rPr>
              <w:t xml:space="preserve">Papildus </w:t>
            </w:r>
            <w:r w:rsidR="00160385">
              <w:rPr>
                <w:sz w:val="26"/>
                <w:szCs w:val="26"/>
                <w:lang w:val="lv-LV" w:eastAsia="lv-LV"/>
              </w:rPr>
              <w:t>L</w:t>
            </w:r>
            <w:r>
              <w:rPr>
                <w:sz w:val="26"/>
                <w:szCs w:val="26"/>
                <w:lang w:val="lv-LV" w:eastAsia="lv-LV"/>
              </w:rPr>
              <w:t xml:space="preserve">ikumprojekts paredz izslēgt </w:t>
            </w:r>
            <w:r w:rsidR="00160385">
              <w:rPr>
                <w:sz w:val="26"/>
                <w:szCs w:val="26"/>
                <w:lang w:val="lv-LV" w:eastAsia="lv-LV"/>
              </w:rPr>
              <w:t xml:space="preserve">Likuma </w:t>
            </w:r>
            <w:r>
              <w:rPr>
                <w:sz w:val="26"/>
                <w:szCs w:val="26"/>
                <w:lang w:val="lv-LV" w:eastAsia="lv-LV"/>
              </w:rPr>
              <w:t>4.pantu, kas</w:t>
            </w:r>
            <w:r w:rsidR="00D10466">
              <w:rPr>
                <w:sz w:val="26"/>
                <w:szCs w:val="26"/>
                <w:lang w:val="lv-LV" w:eastAsia="lv-LV"/>
              </w:rPr>
              <w:t xml:space="preserve"> nosaka pienākumu</w:t>
            </w:r>
            <w:r>
              <w:rPr>
                <w:sz w:val="26"/>
                <w:szCs w:val="26"/>
                <w:lang w:val="lv-LV" w:eastAsia="lv-LV"/>
              </w:rPr>
              <w:t xml:space="preserve"> </w:t>
            </w:r>
            <w:r w:rsidR="00D10466">
              <w:rPr>
                <w:sz w:val="26"/>
                <w:szCs w:val="26"/>
                <w:lang w:val="lv-LV" w:eastAsia="lv-LV"/>
              </w:rPr>
              <w:t>p</w:t>
            </w:r>
            <w:r w:rsidR="003546A7" w:rsidRPr="003546A7">
              <w:rPr>
                <w:sz w:val="26"/>
                <w:szCs w:val="26"/>
                <w:lang w:val="lv-LV" w:eastAsia="lv-LV"/>
              </w:rPr>
              <w:t xml:space="preserve">ersonām, kuras savā komercdarbībā veic bīstamo iekārtu montāžu, remontu, tehnisko apkopi un modernizāciju, 10 darba dienu laikā paziņot </w:t>
            </w:r>
            <w:r w:rsidR="00723958">
              <w:rPr>
                <w:sz w:val="26"/>
                <w:szCs w:val="26"/>
                <w:lang w:val="lv-LV" w:eastAsia="lv-LV"/>
              </w:rPr>
              <w:t xml:space="preserve">PTAC </w:t>
            </w:r>
            <w:r w:rsidR="003546A7" w:rsidRPr="003546A7">
              <w:rPr>
                <w:sz w:val="26"/>
                <w:szCs w:val="26"/>
                <w:lang w:val="lv-LV" w:eastAsia="lv-LV"/>
              </w:rPr>
              <w:t>par komercdarbības uzsākšanu un izbeigšanu šajā jomā.</w:t>
            </w:r>
            <w:r w:rsidR="00D10466">
              <w:rPr>
                <w:sz w:val="26"/>
                <w:szCs w:val="26"/>
                <w:lang w:val="lv-LV" w:eastAsia="lv-LV"/>
              </w:rPr>
              <w:t xml:space="preserve"> </w:t>
            </w:r>
            <w:r w:rsidR="00511A39">
              <w:rPr>
                <w:sz w:val="26"/>
                <w:szCs w:val="26"/>
                <w:lang w:val="lv-LV" w:eastAsia="lv-LV"/>
              </w:rPr>
              <w:t>Šād</w:t>
            </w:r>
            <w:r w:rsidR="00026464">
              <w:rPr>
                <w:sz w:val="26"/>
                <w:szCs w:val="26"/>
                <w:lang w:val="lv-LV" w:eastAsia="lv-LV"/>
              </w:rPr>
              <w:t>as</w:t>
            </w:r>
            <w:r w:rsidR="00723958">
              <w:rPr>
                <w:sz w:val="26"/>
                <w:szCs w:val="26"/>
                <w:lang w:val="lv-LV" w:eastAsia="lv-LV"/>
              </w:rPr>
              <w:t xml:space="preserve"> normas izslēgšana no Likuma </w:t>
            </w:r>
            <w:r w:rsidR="00511A39">
              <w:rPr>
                <w:sz w:val="26"/>
                <w:szCs w:val="26"/>
                <w:lang w:val="lv-LV" w:eastAsia="lv-LV"/>
              </w:rPr>
              <w:t>saistīta ar to, ka</w:t>
            </w:r>
            <w:r w:rsidR="00D10466">
              <w:rPr>
                <w:sz w:val="26"/>
                <w:szCs w:val="26"/>
                <w:lang w:val="lv-LV" w:eastAsia="lv-LV"/>
              </w:rPr>
              <w:t xml:space="preserve"> </w:t>
            </w:r>
            <w:r w:rsidR="00723958">
              <w:rPr>
                <w:sz w:val="26"/>
                <w:szCs w:val="26"/>
                <w:lang w:val="lv-LV" w:eastAsia="lv-LV"/>
              </w:rPr>
              <w:t xml:space="preserve">PTAC </w:t>
            </w:r>
            <w:r w:rsidR="00026464">
              <w:rPr>
                <w:sz w:val="26"/>
                <w:szCs w:val="26"/>
                <w:lang w:val="lv-LV" w:eastAsia="lv-LV"/>
              </w:rPr>
              <w:t xml:space="preserve">savas kompetences ietvaros atsevišķi neizvērtē </w:t>
            </w:r>
            <w:r w:rsidR="001D6675">
              <w:rPr>
                <w:sz w:val="26"/>
                <w:szCs w:val="26"/>
                <w:lang w:val="lv-LV" w:eastAsia="lv-LV"/>
              </w:rPr>
              <w:t xml:space="preserve">šādu sniegto </w:t>
            </w:r>
            <w:r w:rsidR="00026464">
              <w:rPr>
                <w:sz w:val="26"/>
                <w:szCs w:val="26"/>
                <w:lang w:val="lv-LV" w:eastAsia="lv-LV"/>
              </w:rPr>
              <w:t>informāciju par komercdarbīb</w:t>
            </w:r>
            <w:r w:rsidR="001D6675">
              <w:rPr>
                <w:sz w:val="26"/>
                <w:szCs w:val="26"/>
                <w:lang w:val="lv-LV" w:eastAsia="lv-LV"/>
              </w:rPr>
              <w:t xml:space="preserve">as uzsākšanu un </w:t>
            </w:r>
            <w:r w:rsidR="009816AF">
              <w:rPr>
                <w:sz w:val="26"/>
                <w:szCs w:val="26"/>
                <w:lang w:val="lv-LV" w:eastAsia="lv-LV"/>
              </w:rPr>
              <w:t>iz</w:t>
            </w:r>
            <w:r w:rsidR="001D6675">
              <w:rPr>
                <w:sz w:val="26"/>
                <w:szCs w:val="26"/>
                <w:lang w:val="lv-LV" w:eastAsia="lv-LV"/>
              </w:rPr>
              <w:t xml:space="preserve">beigšanu. </w:t>
            </w:r>
            <w:r w:rsidR="00511A39">
              <w:rPr>
                <w:sz w:val="26"/>
                <w:szCs w:val="26"/>
                <w:lang w:val="lv-LV" w:eastAsia="lv-LV"/>
              </w:rPr>
              <w:t xml:space="preserve">Līdz ar to </w:t>
            </w:r>
            <w:r w:rsidR="00D10466">
              <w:rPr>
                <w:sz w:val="26"/>
                <w:szCs w:val="26"/>
                <w:lang w:val="lv-LV" w:eastAsia="lv-LV"/>
              </w:rPr>
              <w:t>ti</w:t>
            </w:r>
            <w:r w:rsidR="001D6675">
              <w:rPr>
                <w:sz w:val="26"/>
                <w:szCs w:val="26"/>
                <w:lang w:val="lv-LV" w:eastAsia="lv-LV"/>
              </w:rPr>
              <w:t>ks</w:t>
            </w:r>
            <w:r w:rsidR="00D10466">
              <w:rPr>
                <w:sz w:val="26"/>
                <w:szCs w:val="26"/>
                <w:lang w:val="lv-LV" w:eastAsia="lv-LV"/>
              </w:rPr>
              <w:t xml:space="preserve"> samazināts administratīvais slogs personām, kas veic </w:t>
            </w:r>
            <w:r w:rsidR="00511A39">
              <w:rPr>
                <w:sz w:val="26"/>
                <w:szCs w:val="26"/>
                <w:lang w:val="lv-LV" w:eastAsia="lv-LV"/>
              </w:rPr>
              <w:t xml:space="preserve">šādu </w:t>
            </w:r>
            <w:r w:rsidR="00D10466">
              <w:rPr>
                <w:sz w:val="26"/>
                <w:szCs w:val="26"/>
                <w:lang w:val="lv-LV" w:eastAsia="lv-LV"/>
              </w:rPr>
              <w:t>komercdarbību.</w:t>
            </w:r>
          </w:p>
          <w:p w14:paraId="5ADB5E33" w14:textId="2FD6FE0D" w:rsidR="005F3147" w:rsidRDefault="005F3147" w:rsidP="005F314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40"/>
              <w:rPr>
                <w:sz w:val="26"/>
                <w:szCs w:val="26"/>
                <w:lang w:val="lv-LV" w:eastAsia="lv-LV"/>
              </w:rPr>
            </w:pPr>
            <w:r>
              <w:rPr>
                <w:sz w:val="26"/>
                <w:szCs w:val="26"/>
                <w:lang w:val="lv-LV" w:eastAsia="lv-LV"/>
              </w:rPr>
              <w:t xml:space="preserve">Ievērojot to, ka </w:t>
            </w:r>
            <w:r w:rsidRPr="005F3147">
              <w:rPr>
                <w:sz w:val="26"/>
                <w:szCs w:val="26"/>
                <w:lang w:val="lv-LV" w:eastAsia="lv-LV"/>
              </w:rPr>
              <w:t>Min</w:t>
            </w:r>
            <w:r>
              <w:rPr>
                <w:sz w:val="26"/>
                <w:szCs w:val="26"/>
                <w:lang w:val="lv-LV" w:eastAsia="lv-LV"/>
              </w:rPr>
              <w:t>istru kabineta 2010.gada 18.maija</w:t>
            </w:r>
            <w:r w:rsidRPr="005F3147">
              <w:rPr>
                <w:sz w:val="26"/>
                <w:szCs w:val="26"/>
                <w:lang w:val="lv-LV" w:eastAsia="lv-LV"/>
              </w:rPr>
              <w:t xml:space="preserve"> </w:t>
            </w:r>
            <w:r>
              <w:rPr>
                <w:sz w:val="26"/>
                <w:szCs w:val="26"/>
                <w:lang w:val="lv-LV" w:eastAsia="lv-LV"/>
              </w:rPr>
              <w:t>noteikumos Nr.445 “</w:t>
            </w:r>
            <w:r w:rsidRPr="005F3147">
              <w:rPr>
                <w:sz w:val="26"/>
                <w:szCs w:val="26"/>
                <w:lang w:val="lv-LV" w:eastAsia="lv-LV"/>
              </w:rPr>
              <w:t>Noteikumi par nacionālo akreditācijas institūciju</w:t>
            </w:r>
            <w:r>
              <w:rPr>
                <w:sz w:val="26"/>
                <w:szCs w:val="26"/>
                <w:lang w:val="lv-LV" w:eastAsia="lv-LV"/>
              </w:rPr>
              <w:t xml:space="preserve">” ir noteikts, ka </w:t>
            </w:r>
            <w:r w:rsidRPr="005F3147">
              <w:rPr>
                <w:sz w:val="26"/>
                <w:szCs w:val="26"/>
                <w:lang w:val="lv-LV" w:eastAsia="lv-LV"/>
              </w:rPr>
              <w:t>Nacionālās akreditācijas institūcijas funkcijas un uzdevumus veic sabie</w:t>
            </w:r>
            <w:r>
              <w:rPr>
                <w:sz w:val="26"/>
                <w:szCs w:val="26"/>
                <w:lang w:val="lv-LV" w:eastAsia="lv-LV"/>
              </w:rPr>
              <w:t>drības ar ierobežotu atbildību “</w:t>
            </w:r>
            <w:r w:rsidRPr="005F3147">
              <w:rPr>
                <w:sz w:val="26"/>
                <w:szCs w:val="26"/>
                <w:lang w:val="lv-LV" w:eastAsia="lv-LV"/>
              </w:rPr>
              <w:t>Standartizācijas, akreditācijas un metroloģijas centrs</w:t>
            </w:r>
            <w:r>
              <w:rPr>
                <w:sz w:val="26"/>
                <w:szCs w:val="26"/>
                <w:lang w:val="lv-LV" w:eastAsia="lv-LV"/>
              </w:rPr>
              <w:t>”</w:t>
            </w:r>
            <w:r w:rsidRPr="005F3147">
              <w:rPr>
                <w:sz w:val="26"/>
                <w:szCs w:val="26"/>
                <w:lang w:val="lv-LV" w:eastAsia="lv-LV"/>
              </w:rPr>
              <w:t xml:space="preserve"> struktūrvienība – Latvijas Nacionālais akreditācijas birojs</w:t>
            </w:r>
            <w:r w:rsidR="007B6F9F">
              <w:rPr>
                <w:sz w:val="26"/>
                <w:szCs w:val="26"/>
                <w:lang w:val="lv-LV" w:eastAsia="lv-LV"/>
              </w:rPr>
              <w:t>,</w:t>
            </w:r>
            <w:r w:rsidR="00516ECB">
              <w:rPr>
                <w:sz w:val="26"/>
                <w:szCs w:val="26"/>
                <w:lang w:val="lv-LV" w:eastAsia="lv-LV"/>
              </w:rPr>
              <w:t xml:space="preserve"> vairāk nav nepieciešams atkārtoti Likumā noteikt, kur</w:t>
            </w:r>
            <w:r w:rsidR="007B6F9F">
              <w:rPr>
                <w:sz w:val="26"/>
                <w:szCs w:val="26"/>
                <w:lang w:val="lv-LV" w:eastAsia="lv-LV"/>
              </w:rPr>
              <w:t>a</w:t>
            </w:r>
            <w:r w:rsidR="00516ECB">
              <w:rPr>
                <w:sz w:val="26"/>
                <w:szCs w:val="26"/>
                <w:lang w:val="lv-LV" w:eastAsia="lv-LV"/>
              </w:rPr>
              <w:t xml:space="preserve"> sabiedrība</w:t>
            </w:r>
            <w:r w:rsidR="00130A9E">
              <w:rPr>
                <w:sz w:val="26"/>
                <w:szCs w:val="26"/>
                <w:lang w:val="lv-LV" w:eastAsia="lv-LV"/>
              </w:rPr>
              <w:t xml:space="preserve"> ar ierobežotu atbildību</w:t>
            </w:r>
            <w:r w:rsidR="00516ECB">
              <w:rPr>
                <w:sz w:val="26"/>
                <w:szCs w:val="26"/>
                <w:lang w:val="lv-LV" w:eastAsia="lv-LV"/>
              </w:rPr>
              <w:t xml:space="preserve"> ir tiesīga veikt inspic</w:t>
            </w:r>
            <w:r w:rsidR="00F5548A">
              <w:rPr>
                <w:sz w:val="26"/>
                <w:szCs w:val="26"/>
                <w:lang w:val="lv-LV" w:eastAsia="lv-LV"/>
              </w:rPr>
              <w:t>ēšanas institūciju akreditācij</w:t>
            </w:r>
            <w:r w:rsidR="007B6F9F">
              <w:rPr>
                <w:sz w:val="26"/>
                <w:szCs w:val="26"/>
                <w:lang w:val="lv-LV" w:eastAsia="lv-LV"/>
              </w:rPr>
              <w:t>u</w:t>
            </w:r>
            <w:r w:rsidR="00F5548A">
              <w:rPr>
                <w:sz w:val="26"/>
                <w:szCs w:val="26"/>
                <w:lang w:val="lv-LV" w:eastAsia="lv-LV"/>
              </w:rPr>
              <w:t>, tādejādi tiks novērsta</w:t>
            </w:r>
            <w:r w:rsidR="00F5548A" w:rsidRPr="00E9143A">
              <w:rPr>
                <w:sz w:val="26"/>
                <w:szCs w:val="26"/>
                <w:lang w:val="lv-LV" w:eastAsia="lv-LV"/>
              </w:rPr>
              <w:t xml:space="preserve"> </w:t>
            </w:r>
            <w:r w:rsidR="00F5548A">
              <w:rPr>
                <w:sz w:val="26"/>
                <w:szCs w:val="26"/>
                <w:lang w:val="lv-LV" w:eastAsia="lv-LV"/>
              </w:rPr>
              <w:t>normatīvo aktu prasību dublēšan</w:t>
            </w:r>
            <w:r w:rsidR="00EB212E">
              <w:rPr>
                <w:sz w:val="26"/>
                <w:szCs w:val="26"/>
                <w:lang w:val="lv-LV" w:eastAsia="lv-LV"/>
              </w:rPr>
              <w:t>ā</w:t>
            </w:r>
            <w:r w:rsidR="00F5548A">
              <w:rPr>
                <w:sz w:val="26"/>
                <w:szCs w:val="26"/>
                <w:lang w:val="lv-LV" w:eastAsia="lv-LV"/>
              </w:rPr>
              <w:t xml:space="preserve">s. </w:t>
            </w:r>
            <w:r w:rsidR="00F5548A" w:rsidRPr="00F5548A">
              <w:rPr>
                <w:sz w:val="26"/>
                <w:szCs w:val="26"/>
                <w:lang w:val="lv-LV" w:eastAsia="lv-LV"/>
              </w:rPr>
              <w:t>Līdz ar to nepieciešams precizēt Likuma 7.pant</w:t>
            </w:r>
            <w:r w:rsidR="007A4843">
              <w:rPr>
                <w:sz w:val="26"/>
                <w:szCs w:val="26"/>
                <w:lang w:val="lv-LV" w:eastAsia="lv-LV"/>
              </w:rPr>
              <w:t>a</w:t>
            </w:r>
            <w:r w:rsidR="00F5548A" w:rsidRPr="00F5548A">
              <w:rPr>
                <w:sz w:val="26"/>
                <w:szCs w:val="26"/>
                <w:lang w:val="lv-LV" w:eastAsia="lv-LV"/>
              </w:rPr>
              <w:t xml:space="preserve"> pirm</w:t>
            </w:r>
            <w:r w:rsidR="009C76E7">
              <w:rPr>
                <w:sz w:val="26"/>
                <w:szCs w:val="26"/>
                <w:lang w:val="lv-LV" w:eastAsia="lv-LV"/>
              </w:rPr>
              <w:t>aj</w:t>
            </w:r>
            <w:r w:rsidR="00F5548A" w:rsidRPr="00F5548A">
              <w:rPr>
                <w:sz w:val="26"/>
                <w:szCs w:val="26"/>
                <w:lang w:val="lv-LV" w:eastAsia="lv-LV"/>
              </w:rPr>
              <w:t>ā teikumā noteikto, ka šādas tiesības ir paredzētas nacionālajai akreditācijas instit</w:t>
            </w:r>
            <w:r w:rsidR="00F5548A">
              <w:rPr>
                <w:sz w:val="26"/>
                <w:szCs w:val="26"/>
                <w:lang w:val="lv-LV" w:eastAsia="lv-LV"/>
              </w:rPr>
              <w:t>ūcijai.</w:t>
            </w:r>
            <w:r w:rsidR="00BC4554">
              <w:rPr>
                <w:sz w:val="26"/>
                <w:szCs w:val="26"/>
                <w:lang w:val="lv-LV" w:eastAsia="lv-LV"/>
              </w:rPr>
              <w:t xml:space="preserve"> </w:t>
            </w:r>
            <w:r>
              <w:rPr>
                <w:sz w:val="26"/>
                <w:szCs w:val="26"/>
                <w:lang w:val="lv-LV" w:eastAsia="lv-LV"/>
              </w:rPr>
              <w:t>Kā arī</w:t>
            </w:r>
            <w:r w:rsidR="007A4843">
              <w:rPr>
                <w:sz w:val="26"/>
                <w:szCs w:val="26"/>
                <w:lang w:val="lv-LV" w:eastAsia="lv-LV"/>
              </w:rPr>
              <w:t>,</w:t>
            </w:r>
            <w:r>
              <w:rPr>
                <w:sz w:val="26"/>
                <w:szCs w:val="26"/>
                <w:lang w:val="lv-LV" w:eastAsia="lv-LV"/>
              </w:rPr>
              <w:t xml:space="preserve"> ņemot vērā, ka </w:t>
            </w:r>
            <w:r w:rsidRPr="005F3147">
              <w:rPr>
                <w:sz w:val="26"/>
                <w:szCs w:val="26"/>
                <w:lang w:val="lv-LV" w:eastAsia="lv-LV"/>
              </w:rPr>
              <w:t>Ekonomikas ministrija vairs nepublicē</w:t>
            </w:r>
            <w:r>
              <w:rPr>
                <w:sz w:val="26"/>
                <w:szCs w:val="26"/>
                <w:lang w:val="lv-LV" w:eastAsia="lv-LV"/>
              </w:rPr>
              <w:t xml:space="preserve"> laikrakstā “Latvijas Vēstnesis” informāciju par inspicēšanas institūcijām, ir nepieciešams svītrot Likuma 7.panta otro teikumu.</w:t>
            </w:r>
          </w:p>
          <w:p w14:paraId="43748F2E" w14:textId="7CFDCE0F" w:rsidR="003546A7" w:rsidRPr="003D3179" w:rsidRDefault="003546A7" w:rsidP="00BA025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40"/>
              <w:rPr>
                <w:sz w:val="26"/>
                <w:szCs w:val="26"/>
                <w:lang w:val="lv-LV" w:eastAsia="lv-LV"/>
              </w:rPr>
            </w:pPr>
            <w:r>
              <w:rPr>
                <w:sz w:val="26"/>
                <w:szCs w:val="26"/>
                <w:lang w:val="lv-LV" w:eastAsia="lv-LV"/>
              </w:rPr>
              <w:t xml:space="preserve">Ņemot vērā, ka </w:t>
            </w:r>
            <w:r w:rsidR="004B5D93">
              <w:rPr>
                <w:sz w:val="26"/>
                <w:szCs w:val="26"/>
                <w:lang w:val="lv-LV" w:eastAsia="lv-LV"/>
              </w:rPr>
              <w:t xml:space="preserve">praksē </w:t>
            </w:r>
            <w:r w:rsidR="00412E0E">
              <w:rPr>
                <w:sz w:val="26"/>
                <w:szCs w:val="26"/>
                <w:lang w:val="lv-LV" w:eastAsia="lv-LV"/>
              </w:rPr>
              <w:t>informācija par bīstamo</w:t>
            </w:r>
            <w:r>
              <w:rPr>
                <w:sz w:val="26"/>
                <w:szCs w:val="26"/>
                <w:lang w:val="lv-LV" w:eastAsia="lv-LV"/>
              </w:rPr>
              <w:t xml:space="preserve"> iekārt</w:t>
            </w:r>
            <w:r w:rsidR="00412E0E">
              <w:rPr>
                <w:sz w:val="26"/>
                <w:szCs w:val="26"/>
                <w:lang w:val="lv-LV" w:eastAsia="lv-LV"/>
              </w:rPr>
              <w:t>u</w:t>
            </w:r>
            <w:r w:rsidR="004B5D93">
              <w:rPr>
                <w:sz w:val="26"/>
                <w:szCs w:val="26"/>
                <w:lang w:val="lv-LV" w:eastAsia="lv-LV"/>
              </w:rPr>
              <w:t xml:space="preserve"> </w:t>
            </w:r>
            <w:r w:rsidR="00412E0E">
              <w:rPr>
                <w:sz w:val="26"/>
                <w:szCs w:val="26"/>
                <w:lang w:val="lv-LV" w:eastAsia="lv-LV"/>
              </w:rPr>
              <w:t>pārbaudēm</w:t>
            </w:r>
            <w:r w:rsidR="004B5D93">
              <w:rPr>
                <w:sz w:val="26"/>
                <w:szCs w:val="26"/>
                <w:lang w:val="lv-LV" w:eastAsia="lv-LV"/>
              </w:rPr>
              <w:t xml:space="preserve"> </w:t>
            </w:r>
            <w:r w:rsidR="00412E0E">
              <w:rPr>
                <w:sz w:val="26"/>
                <w:szCs w:val="26"/>
                <w:lang w:val="lv-LV" w:eastAsia="lv-LV"/>
              </w:rPr>
              <w:t xml:space="preserve">tiek ierakstīta </w:t>
            </w:r>
            <w:r>
              <w:rPr>
                <w:sz w:val="26"/>
                <w:szCs w:val="26"/>
                <w:lang w:val="lv-LV" w:eastAsia="lv-LV"/>
              </w:rPr>
              <w:t>bīstamo iekārtu reģistrā</w:t>
            </w:r>
            <w:r w:rsidR="007B6F9F">
              <w:rPr>
                <w:sz w:val="26"/>
                <w:szCs w:val="26"/>
                <w:lang w:val="lv-LV" w:eastAsia="lv-LV"/>
              </w:rPr>
              <w:t>,</w:t>
            </w:r>
            <w:r>
              <w:rPr>
                <w:sz w:val="26"/>
                <w:szCs w:val="26"/>
                <w:lang w:val="lv-LV" w:eastAsia="lv-LV"/>
              </w:rPr>
              <w:t xml:space="preserve"> ir nepieciešams precizēt Likuma 11.pantā </w:t>
            </w:r>
            <w:r w:rsidR="00263D42">
              <w:rPr>
                <w:sz w:val="26"/>
                <w:szCs w:val="26"/>
                <w:lang w:val="lv-LV" w:eastAsia="lv-LV"/>
              </w:rPr>
              <w:t xml:space="preserve">pašreiz </w:t>
            </w:r>
            <w:r>
              <w:rPr>
                <w:sz w:val="26"/>
                <w:szCs w:val="26"/>
                <w:lang w:val="lv-LV" w:eastAsia="lv-LV"/>
              </w:rPr>
              <w:t>noteikto</w:t>
            </w:r>
            <w:r w:rsidR="00535F47">
              <w:rPr>
                <w:sz w:val="26"/>
                <w:szCs w:val="26"/>
                <w:lang w:val="lv-LV" w:eastAsia="lv-LV"/>
              </w:rPr>
              <w:t xml:space="preserve"> prasību</w:t>
            </w:r>
            <w:r w:rsidR="00412E0E">
              <w:rPr>
                <w:sz w:val="26"/>
                <w:szCs w:val="26"/>
                <w:lang w:val="lv-LV" w:eastAsia="lv-LV"/>
              </w:rPr>
              <w:t xml:space="preserve"> </w:t>
            </w:r>
            <w:r w:rsidR="00B26F58">
              <w:rPr>
                <w:sz w:val="26"/>
                <w:szCs w:val="26"/>
                <w:lang w:val="lv-LV" w:eastAsia="lv-LV"/>
              </w:rPr>
              <w:t xml:space="preserve">informāciju par </w:t>
            </w:r>
            <w:r w:rsidR="00412E0E">
              <w:rPr>
                <w:sz w:val="26"/>
                <w:szCs w:val="26"/>
                <w:lang w:val="lv-LV" w:eastAsia="lv-LV"/>
              </w:rPr>
              <w:t>bīstamo iekārtu pārbaud</w:t>
            </w:r>
            <w:r w:rsidR="00B26F58">
              <w:rPr>
                <w:sz w:val="26"/>
                <w:szCs w:val="26"/>
                <w:lang w:val="lv-LV" w:eastAsia="lv-LV"/>
              </w:rPr>
              <w:t>i</w:t>
            </w:r>
            <w:r w:rsidR="00535F47">
              <w:rPr>
                <w:sz w:val="26"/>
                <w:szCs w:val="26"/>
                <w:lang w:val="lv-LV" w:eastAsia="lv-LV"/>
              </w:rPr>
              <w:t xml:space="preserve"> ierakstīt bīstam</w:t>
            </w:r>
            <w:r w:rsidR="00B26F58">
              <w:rPr>
                <w:sz w:val="26"/>
                <w:szCs w:val="26"/>
                <w:lang w:val="lv-LV" w:eastAsia="lv-LV"/>
              </w:rPr>
              <w:t>ās</w:t>
            </w:r>
            <w:r w:rsidR="00535F47">
              <w:rPr>
                <w:sz w:val="26"/>
                <w:szCs w:val="26"/>
                <w:lang w:val="lv-LV" w:eastAsia="lv-LV"/>
              </w:rPr>
              <w:t xml:space="preserve"> iekārt</w:t>
            </w:r>
            <w:r w:rsidR="00B26F58">
              <w:rPr>
                <w:sz w:val="26"/>
                <w:szCs w:val="26"/>
                <w:lang w:val="lv-LV" w:eastAsia="lv-LV"/>
              </w:rPr>
              <w:t>as</w:t>
            </w:r>
            <w:r w:rsidR="00535F47">
              <w:rPr>
                <w:sz w:val="26"/>
                <w:szCs w:val="26"/>
                <w:lang w:val="lv-LV" w:eastAsia="lv-LV"/>
              </w:rPr>
              <w:t xml:space="preserve"> pasē.</w:t>
            </w:r>
            <w:r>
              <w:rPr>
                <w:sz w:val="26"/>
                <w:szCs w:val="26"/>
                <w:lang w:val="lv-LV" w:eastAsia="lv-LV"/>
              </w:rPr>
              <w:t xml:space="preserve"> </w:t>
            </w:r>
            <w:r w:rsidR="003F3A1C">
              <w:rPr>
                <w:sz w:val="26"/>
                <w:szCs w:val="26"/>
                <w:lang w:val="lv-LV" w:eastAsia="lv-LV"/>
              </w:rPr>
              <w:t xml:space="preserve">Līdz ar šo precizējumu </w:t>
            </w:r>
            <w:r>
              <w:rPr>
                <w:sz w:val="26"/>
                <w:szCs w:val="26"/>
                <w:lang w:val="lv-LV" w:eastAsia="lv-LV"/>
              </w:rPr>
              <w:t>turpmāk i</w:t>
            </w:r>
            <w:r w:rsidRPr="003546A7">
              <w:rPr>
                <w:sz w:val="26"/>
                <w:szCs w:val="26"/>
                <w:lang w:val="lv-LV" w:eastAsia="lv-LV"/>
              </w:rPr>
              <w:t>nformācij</w:t>
            </w:r>
            <w:r>
              <w:rPr>
                <w:sz w:val="26"/>
                <w:szCs w:val="26"/>
                <w:lang w:val="lv-LV" w:eastAsia="lv-LV"/>
              </w:rPr>
              <w:t>a</w:t>
            </w:r>
            <w:r w:rsidRPr="003546A7">
              <w:rPr>
                <w:sz w:val="26"/>
                <w:szCs w:val="26"/>
                <w:lang w:val="lv-LV" w:eastAsia="lv-LV"/>
              </w:rPr>
              <w:t xml:space="preserve"> par bīstamās iekārtas pārbaud</w:t>
            </w:r>
            <w:r w:rsidR="00412E0E">
              <w:rPr>
                <w:sz w:val="26"/>
                <w:szCs w:val="26"/>
                <w:lang w:val="lv-LV" w:eastAsia="lv-LV"/>
              </w:rPr>
              <w:t>ēm</w:t>
            </w:r>
            <w:r w:rsidR="003F3A1C">
              <w:rPr>
                <w:sz w:val="26"/>
                <w:szCs w:val="26"/>
                <w:lang w:val="lv-LV" w:eastAsia="lv-LV"/>
              </w:rPr>
              <w:t xml:space="preserve"> būs</w:t>
            </w:r>
            <w:r>
              <w:rPr>
                <w:sz w:val="26"/>
                <w:szCs w:val="26"/>
                <w:lang w:val="lv-LV" w:eastAsia="lv-LV"/>
              </w:rPr>
              <w:t xml:space="preserve"> ierakstāma</w:t>
            </w:r>
            <w:r w:rsidR="009474C2">
              <w:rPr>
                <w:sz w:val="26"/>
                <w:szCs w:val="26"/>
                <w:lang w:val="lv-LV" w:eastAsia="lv-LV"/>
              </w:rPr>
              <w:t xml:space="preserve"> bīstamo iekārtu</w:t>
            </w:r>
            <w:r w:rsidRPr="003546A7">
              <w:rPr>
                <w:sz w:val="26"/>
                <w:szCs w:val="26"/>
                <w:lang w:val="lv-LV" w:eastAsia="lv-LV"/>
              </w:rPr>
              <w:t xml:space="preserve"> </w:t>
            </w:r>
            <w:r>
              <w:rPr>
                <w:sz w:val="26"/>
                <w:szCs w:val="26"/>
                <w:lang w:val="lv-LV" w:eastAsia="lv-LV"/>
              </w:rPr>
              <w:t>reģistrā.</w:t>
            </w:r>
          </w:p>
        </w:tc>
      </w:tr>
      <w:tr w:rsidR="00082640" w:rsidRPr="003D3179" w14:paraId="2245D900" w14:textId="77777777" w:rsidTr="00180CDB">
        <w:trPr>
          <w:trHeight w:val="372"/>
          <w:tblCellSpacing w:w="15" w:type="dxa"/>
        </w:trPr>
        <w:tc>
          <w:tcPr>
            <w:tcW w:w="477" w:type="dxa"/>
            <w:tcBorders>
              <w:top w:val="outset" w:sz="6" w:space="0" w:color="auto"/>
              <w:left w:val="outset" w:sz="6" w:space="0" w:color="auto"/>
              <w:bottom w:val="outset" w:sz="6" w:space="0" w:color="auto"/>
              <w:right w:val="outset" w:sz="6" w:space="0" w:color="auto"/>
            </w:tcBorders>
            <w:hideMark/>
          </w:tcPr>
          <w:p w14:paraId="13B06A5F" w14:textId="5E7D91FE" w:rsidR="00082640" w:rsidRPr="003D3179" w:rsidRDefault="00082640" w:rsidP="00E3648F">
            <w:pPr>
              <w:spacing w:before="100" w:beforeAutospacing="1" w:after="100" w:afterAutospacing="1"/>
              <w:jc w:val="center"/>
              <w:rPr>
                <w:rFonts w:eastAsia="Times New Roman" w:cs="Times New Roman"/>
                <w:sz w:val="26"/>
                <w:szCs w:val="26"/>
                <w:lang w:eastAsia="lv-LV"/>
              </w:rPr>
            </w:pPr>
            <w:r w:rsidRPr="003D3179">
              <w:rPr>
                <w:rFonts w:eastAsia="Times New Roman" w:cs="Times New Roman"/>
                <w:sz w:val="26"/>
                <w:szCs w:val="26"/>
                <w:lang w:eastAsia="lv-LV"/>
              </w:rPr>
              <w:lastRenderedPageBreak/>
              <w:t>3.</w:t>
            </w:r>
          </w:p>
        </w:tc>
        <w:tc>
          <w:tcPr>
            <w:tcW w:w="2134" w:type="dxa"/>
            <w:tcBorders>
              <w:top w:val="outset" w:sz="6" w:space="0" w:color="auto"/>
              <w:left w:val="outset" w:sz="6" w:space="0" w:color="auto"/>
              <w:bottom w:val="outset" w:sz="6" w:space="0" w:color="auto"/>
              <w:right w:val="outset" w:sz="6" w:space="0" w:color="auto"/>
            </w:tcBorders>
            <w:hideMark/>
          </w:tcPr>
          <w:p w14:paraId="71ED8C6F"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Projekta izstrādē iesaistītās institūcijas</w:t>
            </w:r>
          </w:p>
        </w:tc>
        <w:tc>
          <w:tcPr>
            <w:tcW w:w="6333" w:type="dxa"/>
            <w:tcBorders>
              <w:top w:val="outset" w:sz="6" w:space="0" w:color="auto"/>
              <w:left w:val="outset" w:sz="6" w:space="0" w:color="auto"/>
              <w:bottom w:val="outset" w:sz="6" w:space="0" w:color="auto"/>
              <w:right w:val="outset" w:sz="6" w:space="0" w:color="auto"/>
            </w:tcBorders>
            <w:hideMark/>
          </w:tcPr>
          <w:p w14:paraId="41317AEE" w14:textId="42C9615B" w:rsidR="00082640" w:rsidRPr="003D3179" w:rsidRDefault="00A017A7" w:rsidP="00DF036A">
            <w:pPr>
              <w:widowControl w:val="0"/>
              <w:suppressAutoHyphens/>
              <w:autoSpaceDE w:val="0"/>
              <w:autoSpaceDN w:val="0"/>
              <w:adjustRightInd w:val="0"/>
              <w:ind w:firstLine="340"/>
              <w:jc w:val="both"/>
              <w:rPr>
                <w:rFonts w:eastAsia="Calibri" w:cs="Times New Roman"/>
                <w:sz w:val="26"/>
                <w:szCs w:val="26"/>
              </w:rPr>
            </w:pPr>
            <w:r w:rsidRPr="003D3179">
              <w:rPr>
                <w:rFonts w:eastAsia="Calibri" w:cs="Times New Roman"/>
                <w:sz w:val="26"/>
                <w:szCs w:val="26"/>
              </w:rPr>
              <w:t>Likumprojekts ir izstrādāts sadarbībā ar Patērētāju tiesību aizsardzības centru un nosūtīts saskaņošanai Latvijas Darba devēju konfederācijai, Latvijas Tirdzniecības un rūpniecības kamerai. Saskaņā ar Ministru kabineta 2014.gada 22.aprīļa protokollēmuma “Informatīvais ziņojums “Nozaru administratīvo pārkāpumu kodifikācijas ieviešanas sistēma”” (TA-775) (prot. nr.24 26.§) 3.punktu likumprojekts nosūtīts izskatīšanai Tieslietu ministrijas Latvijas Administratīvo pārkāpumu kodeksa pastāvīgajā darba grupā.</w:t>
            </w:r>
          </w:p>
        </w:tc>
      </w:tr>
      <w:tr w:rsidR="00082640" w:rsidRPr="003D3179" w14:paraId="4B5267B7" w14:textId="77777777" w:rsidTr="00180CDB">
        <w:trPr>
          <w:tblCellSpacing w:w="15" w:type="dxa"/>
        </w:trPr>
        <w:tc>
          <w:tcPr>
            <w:tcW w:w="477" w:type="dxa"/>
            <w:tcBorders>
              <w:top w:val="outset" w:sz="6" w:space="0" w:color="auto"/>
              <w:left w:val="outset" w:sz="6" w:space="0" w:color="auto"/>
              <w:bottom w:val="outset" w:sz="6" w:space="0" w:color="auto"/>
              <w:right w:val="outset" w:sz="6" w:space="0" w:color="auto"/>
            </w:tcBorders>
            <w:hideMark/>
          </w:tcPr>
          <w:p w14:paraId="6CA294FD" w14:textId="77777777" w:rsidR="00082640" w:rsidRPr="003D3179" w:rsidRDefault="00082640" w:rsidP="00E3648F">
            <w:pPr>
              <w:spacing w:before="100" w:beforeAutospacing="1" w:after="100" w:afterAutospacing="1"/>
              <w:jc w:val="center"/>
              <w:rPr>
                <w:rFonts w:eastAsia="Times New Roman" w:cs="Times New Roman"/>
                <w:sz w:val="26"/>
                <w:szCs w:val="26"/>
                <w:lang w:eastAsia="lv-LV"/>
              </w:rPr>
            </w:pPr>
            <w:r w:rsidRPr="003D3179">
              <w:rPr>
                <w:rFonts w:eastAsia="Times New Roman" w:cs="Times New Roman"/>
                <w:sz w:val="26"/>
                <w:szCs w:val="26"/>
                <w:lang w:eastAsia="lv-LV"/>
              </w:rPr>
              <w:t>4.</w:t>
            </w:r>
          </w:p>
        </w:tc>
        <w:tc>
          <w:tcPr>
            <w:tcW w:w="2134" w:type="dxa"/>
            <w:tcBorders>
              <w:top w:val="outset" w:sz="6" w:space="0" w:color="auto"/>
              <w:left w:val="outset" w:sz="6" w:space="0" w:color="auto"/>
              <w:bottom w:val="outset" w:sz="6" w:space="0" w:color="auto"/>
              <w:right w:val="outset" w:sz="6" w:space="0" w:color="auto"/>
            </w:tcBorders>
            <w:hideMark/>
          </w:tcPr>
          <w:p w14:paraId="343A8C65"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Cita informācija</w:t>
            </w:r>
          </w:p>
        </w:tc>
        <w:tc>
          <w:tcPr>
            <w:tcW w:w="6333" w:type="dxa"/>
            <w:tcBorders>
              <w:top w:val="outset" w:sz="6" w:space="0" w:color="auto"/>
              <w:left w:val="outset" w:sz="6" w:space="0" w:color="auto"/>
              <w:bottom w:val="outset" w:sz="6" w:space="0" w:color="auto"/>
              <w:right w:val="outset" w:sz="6" w:space="0" w:color="auto"/>
            </w:tcBorders>
            <w:hideMark/>
          </w:tcPr>
          <w:p w14:paraId="4528DA7B" w14:textId="081C5A85" w:rsidR="00082640" w:rsidRPr="003D3179" w:rsidRDefault="00510DBE" w:rsidP="00CE56D4">
            <w:pPr>
              <w:spacing w:before="100" w:beforeAutospacing="1" w:after="100" w:afterAutospacing="1"/>
              <w:jc w:val="both"/>
              <w:rPr>
                <w:rFonts w:eastAsia="Times New Roman" w:cs="Times New Roman"/>
                <w:sz w:val="26"/>
                <w:szCs w:val="26"/>
                <w:lang w:eastAsia="lv-LV"/>
              </w:rPr>
            </w:pPr>
            <w:r w:rsidRPr="00510DBE">
              <w:rPr>
                <w:rFonts w:eastAsia="Times New Roman" w:cs="Times New Roman"/>
                <w:sz w:val="26"/>
                <w:szCs w:val="26"/>
                <w:lang w:eastAsia="lv-LV"/>
              </w:rPr>
              <w:t>Likumprojekts sas</w:t>
            </w:r>
            <w:r w:rsidR="00EA3D43">
              <w:rPr>
                <w:rFonts w:eastAsia="Times New Roman" w:cs="Times New Roman"/>
                <w:sz w:val="26"/>
                <w:szCs w:val="26"/>
                <w:lang w:eastAsia="lv-LV"/>
              </w:rPr>
              <w:t>kaņā ar Ministru kabineta 2014.gada 22.</w:t>
            </w:r>
            <w:r w:rsidR="00A100F0">
              <w:rPr>
                <w:rFonts w:eastAsia="Times New Roman" w:cs="Times New Roman"/>
                <w:sz w:val="26"/>
                <w:szCs w:val="26"/>
                <w:lang w:eastAsia="lv-LV"/>
              </w:rPr>
              <w:t>aprīļa sēdes protokola Nr.24 26.</w:t>
            </w:r>
            <w:r w:rsidRPr="00510DBE">
              <w:rPr>
                <w:rFonts w:eastAsia="Times New Roman" w:cs="Times New Roman"/>
                <w:sz w:val="26"/>
                <w:szCs w:val="26"/>
                <w:lang w:eastAsia="lv-LV"/>
              </w:rPr>
              <w:t xml:space="preserve">§ </w:t>
            </w:r>
            <w:r w:rsidR="00A100F0" w:rsidRPr="00A100F0">
              <w:rPr>
                <w:rFonts w:eastAsia="Times New Roman" w:cs="Times New Roman"/>
                <w:sz w:val="26"/>
                <w:szCs w:val="26"/>
                <w:lang w:eastAsia="lv-LV"/>
              </w:rPr>
              <w:t>“</w:t>
            </w:r>
            <w:r w:rsidRPr="00510DBE">
              <w:rPr>
                <w:rFonts w:eastAsia="Times New Roman" w:cs="Times New Roman"/>
                <w:sz w:val="26"/>
                <w:szCs w:val="26"/>
                <w:lang w:eastAsia="lv-LV"/>
              </w:rPr>
              <w:t xml:space="preserve">Informatīvais ziņojums </w:t>
            </w:r>
            <w:r w:rsidR="00822F82" w:rsidRPr="00822F82">
              <w:rPr>
                <w:rFonts w:eastAsia="Times New Roman" w:cs="Times New Roman"/>
                <w:sz w:val="26"/>
                <w:szCs w:val="26"/>
                <w:lang w:eastAsia="lv-LV"/>
              </w:rPr>
              <w:t>“</w:t>
            </w:r>
            <w:r w:rsidRPr="00510DBE">
              <w:rPr>
                <w:rFonts w:eastAsia="Times New Roman" w:cs="Times New Roman"/>
                <w:sz w:val="26"/>
                <w:szCs w:val="26"/>
                <w:lang w:eastAsia="lv-LV"/>
              </w:rPr>
              <w:t>Nozaru administratīvo pārkāpumu kodifikācijas ieviešanas sistēma</w:t>
            </w:r>
            <w:r w:rsidR="001C46C0" w:rsidRPr="001C46C0">
              <w:rPr>
                <w:rFonts w:eastAsia="Times New Roman" w:cs="Times New Roman"/>
                <w:sz w:val="26"/>
                <w:szCs w:val="26"/>
                <w:lang w:eastAsia="lv-LV"/>
              </w:rPr>
              <w:t>””</w:t>
            </w:r>
            <w:r w:rsidR="001C46C0">
              <w:rPr>
                <w:rFonts w:eastAsia="Times New Roman" w:cs="Times New Roman"/>
                <w:sz w:val="26"/>
                <w:szCs w:val="26"/>
                <w:lang w:eastAsia="lv-LV"/>
              </w:rPr>
              <w:t xml:space="preserve"> </w:t>
            </w:r>
            <w:r w:rsidRPr="00510DBE">
              <w:rPr>
                <w:rFonts w:eastAsia="Times New Roman" w:cs="Times New Roman"/>
                <w:sz w:val="26"/>
                <w:szCs w:val="26"/>
                <w:lang w:eastAsia="lv-LV"/>
              </w:rPr>
              <w:t>2.2.apakšpunktā noteikto tika izskatīts un atbalstīts Tieslietu ministrijas izveidotajā Latvijas Administratīvo pārkāpumu kodeksa pastāvīgās darba grupas 2016.gada 30.jūnija sēdē</w:t>
            </w:r>
          </w:p>
        </w:tc>
      </w:tr>
    </w:tbl>
    <w:p w14:paraId="3361B8D0" w14:textId="77777777" w:rsidR="00082640" w:rsidRPr="003D3179" w:rsidRDefault="00082640" w:rsidP="00F8573A">
      <w:pPr>
        <w:rPr>
          <w:rFonts w:eastAsia="Times New Roman" w:cs="Times New Roman"/>
          <w:sz w:val="26"/>
          <w:szCs w:val="26"/>
          <w:lang w:eastAsia="lv-LV"/>
        </w:rPr>
      </w:pPr>
      <w:r w:rsidRPr="003D3179">
        <w:rPr>
          <w:rFonts w:eastAsia="Times New Roman" w:cs="Times New Roman"/>
          <w:sz w:val="26"/>
          <w:szCs w:val="26"/>
          <w:lang w:eastAsia="lv-LV"/>
        </w:rPr>
        <w:t> </w:t>
      </w:r>
    </w:p>
    <w:tbl>
      <w:tblPr>
        <w:tblW w:w="5467"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47"/>
        <w:gridCol w:w="2529"/>
        <w:gridCol w:w="6088"/>
      </w:tblGrid>
      <w:tr w:rsidR="00082640" w:rsidRPr="003D3179" w14:paraId="4721AD53" w14:textId="77777777" w:rsidTr="00180CDB">
        <w:trPr>
          <w:trHeight w:val="444"/>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6FBDB87" w14:textId="77777777" w:rsidR="00082640" w:rsidRPr="003D3179" w:rsidRDefault="00082640" w:rsidP="00E3648F">
            <w:pPr>
              <w:spacing w:before="100" w:beforeAutospacing="1" w:after="100" w:afterAutospacing="1"/>
              <w:jc w:val="center"/>
              <w:rPr>
                <w:rFonts w:eastAsia="Times New Roman" w:cs="Times New Roman"/>
                <w:b/>
                <w:bCs/>
                <w:sz w:val="26"/>
                <w:szCs w:val="26"/>
                <w:lang w:eastAsia="lv-LV"/>
              </w:rPr>
            </w:pPr>
            <w:r w:rsidRPr="003D3179">
              <w:rPr>
                <w:rFonts w:eastAsia="Times New Roman" w:cs="Times New Roman"/>
                <w:b/>
                <w:bCs/>
                <w:sz w:val="26"/>
                <w:szCs w:val="26"/>
                <w:lang w:eastAsia="lv-LV"/>
              </w:rPr>
              <w:t>II. Tiesību akta projekta ietekme uz sabiedrību, tautsaimniecības attīstību un administratīvo slogu</w:t>
            </w:r>
          </w:p>
        </w:tc>
      </w:tr>
      <w:tr w:rsidR="00082640" w:rsidRPr="003D3179" w14:paraId="1C27E8A6" w14:textId="77777777" w:rsidTr="00180CDB">
        <w:trPr>
          <w:trHeight w:val="372"/>
          <w:tblCellSpacing w:w="15" w:type="dxa"/>
        </w:trPr>
        <w:tc>
          <w:tcPr>
            <w:tcW w:w="223" w:type="pct"/>
            <w:tcBorders>
              <w:top w:val="outset" w:sz="6" w:space="0" w:color="auto"/>
              <w:left w:val="outset" w:sz="6" w:space="0" w:color="auto"/>
              <w:bottom w:val="outset" w:sz="6" w:space="0" w:color="auto"/>
              <w:right w:val="outset" w:sz="6" w:space="0" w:color="auto"/>
            </w:tcBorders>
            <w:hideMark/>
          </w:tcPr>
          <w:p w14:paraId="7203167A"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1.</w:t>
            </w:r>
          </w:p>
        </w:tc>
        <w:tc>
          <w:tcPr>
            <w:tcW w:w="1388" w:type="pct"/>
            <w:tcBorders>
              <w:top w:val="outset" w:sz="6" w:space="0" w:color="auto"/>
              <w:left w:val="outset" w:sz="6" w:space="0" w:color="auto"/>
              <w:bottom w:val="outset" w:sz="6" w:space="0" w:color="auto"/>
              <w:right w:val="outset" w:sz="6" w:space="0" w:color="auto"/>
            </w:tcBorders>
            <w:hideMark/>
          </w:tcPr>
          <w:p w14:paraId="7B82318A"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Sabiedrības mērķgrupas, kuras tiesiskais regulējums ietekmē vai varētu ietekmēt</w:t>
            </w:r>
          </w:p>
        </w:tc>
        <w:tc>
          <w:tcPr>
            <w:tcW w:w="3323" w:type="pct"/>
            <w:tcBorders>
              <w:top w:val="outset" w:sz="6" w:space="0" w:color="auto"/>
              <w:left w:val="outset" w:sz="6" w:space="0" w:color="auto"/>
              <w:bottom w:val="outset" w:sz="6" w:space="0" w:color="auto"/>
              <w:right w:val="outset" w:sz="6" w:space="0" w:color="auto"/>
            </w:tcBorders>
            <w:hideMark/>
          </w:tcPr>
          <w:p w14:paraId="4CB378A3" w14:textId="29327E97" w:rsidR="00082640" w:rsidRPr="003D3179" w:rsidRDefault="00C34A8D" w:rsidP="005B3580">
            <w:pPr>
              <w:jc w:val="both"/>
              <w:rPr>
                <w:rFonts w:eastAsia="Calibri" w:cs="Times New Roman"/>
                <w:sz w:val="26"/>
                <w:szCs w:val="26"/>
              </w:rPr>
            </w:pPr>
            <w:r>
              <w:rPr>
                <w:rFonts w:eastAsia="Calibri" w:cs="Times New Roman"/>
                <w:sz w:val="26"/>
                <w:szCs w:val="26"/>
              </w:rPr>
              <w:t>Bīstamo iekārtu īpašnieki un to valdītāji</w:t>
            </w:r>
            <w:r w:rsidR="00DB7D16" w:rsidRPr="003D3179">
              <w:rPr>
                <w:rFonts w:eastAsia="Calibri" w:cs="Times New Roman"/>
                <w:sz w:val="26"/>
                <w:szCs w:val="26"/>
              </w:rPr>
              <w:t>, kā arī person</w:t>
            </w:r>
            <w:r>
              <w:rPr>
                <w:rFonts w:eastAsia="Calibri" w:cs="Times New Roman"/>
                <w:sz w:val="26"/>
                <w:szCs w:val="26"/>
              </w:rPr>
              <w:t>as</w:t>
            </w:r>
            <w:r w:rsidR="00DB7D16" w:rsidRPr="003D3179">
              <w:rPr>
                <w:rFonts w:eastAsia="Calibri" w:cs="Times New Roman"/>
                <w:sz w:val="26"/>
                <w:szCs w:val="26"/>
              </w:rPr>
              <w:t>, kuras lieto bīstamās iekārtas vai veic šo iekārtu montāžu, remontu, t</w:t>
            </w:r>
            <w:r>
              <w:rPr>
                <w:rFonts w:eastAsia="Calibri" w:cs="Times New Roman"/>
                <w:sz w:val="26"/>
                <w:szCs w:val="26"/>
              </w:rPr>
              <w:t>ehnisko apkopi un modernizāciju</w:t>
            </w:r>
            <w:r w:rsidR="00612E20">
              <w:rPr>
                <w:rFonts w:eastAsia="Calibri" w:cs="Times New Roman"/>
                <w:sz w:val="26"/>
                <w:szCs w:val="26"/>
              </w:rPr>
              <w:t>,</w:t>
            </w:r>
            <w:r>
              <w:rPr>
                <w:rFonts w:eastAsia="Calibri" w:cs="Times New Roman"/>
                <w:sz w:val="26"/>
                <w:szCs w:val="26"/>
              </w:rPr>
              <w:t xml:space="preserve"> </w:t>
            </w:r>
            <w:r w:rsidR="004C2444">
              <w:rPr>
                <w:rFonts w:eastAsia="Calibri" w:cs="Times New Roman"/>
                <w:sz w:val="26"/>
                <w:szCs w:val="26"/>
              </w:rPr>
              <w:t>kā arī inspicēšanas institūcijas</w:t>
            </w:r>
            <w:r w:rsidR="003E6C2F">
              <w:rPr>
                <w:rFonts w:eastAsia="Calibri" w:cs="Times New Roman"/>
                <w:sz w:val="26"/>
                <w:szCs w:val="26"/>
              </w:rPr>
              <w:t>, kas veic bīstamo iekārtu pārbaudi</w:t>
            </w:r>
          </w:p>
        </w:tc>
      </w:tr>
      <w:tr w:rsidR="00082640" w:rsidRPr="003D3179" w14:paraId="30CBBA5C" w14:textId="77777777" w:rsidTr="00180CDB">
        <w:trPr>
          <w:trHeight w:val="408"/>
          <w:tblCellSpacing w:w="15" w:type="dxa"/>
        </w:trPr>
        <w:tc>
          <w:tcPr>
            <w:tcW w:w="223" w:type="pct"/>
            <w:tcBorders>
              <w:top w:val="outset" w:sz="6" w:space="0" w:color="auto"/>
              <w:left w:val="outset" w:sz="6" w:space="0" w:color="auto"/>
              <w:bottom w:val="outset" w:sz="6" w:space="0" w:color="auto"/>
              <w:right w:val="outset" w:sz="6" w:space="0" w:color="auto"/>
            </w:tcBorders>
            <w:hideMark/>
          </w:tcPr>
          <w:p w14:paraId="4214DD34"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2.</w:t>
            </w:r>
          </w:p>
        </w:tc>
        <w:tc>
          <w:tcPr>
            <w:tcW w:w="1388" w:type="pct"/>
            <w:tcBorders>
              <w:top w:val="outset" w:sz="6" w:space="0" w:color="auto"/>
              <w:left w:val="outset" w:sz="6" w:space="0" w:color="auto"/>
              <w:bottom w:val="outset" w:sz="6" w:space="0" w:color="auto"/>
              <w:right w:val="outset" w:sz="6" w:space="0" w:color="auto"/>
            </w:tcBorders>
            <w:hideMark/>
          </w:tcPr>
          <w:p w14:paraId="3576F6DF"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Tiesiskā regulējuma ietekme uz tautsaimniecību un administratīvo slogu</w:t>
            </w:r>
          </w:p>
        </w:tc>
        <w:tc>
          <w:tcPr>
            <w:tcW w:w="3323" w:type="pct"/>
            <w:tcBorders>
              <w:top w:val="outset" w:sz="6" w:space="0" w:color="auto"/>
              <w:left w:val="outset" w:sz="6" w:space="0" w:color="auto"/>
              <w:bottom w:val="outset" w:sz="6" w:space="0" w:color="auto"/>
              <w:right w:val="outset" w:sz="6" w:space="0" w:color="auto"/>
            </w:tcBorders>
            <w:hideMark/>
          </w:tcPr>
          <w:p w14:paraId="2FE9A0D4" w14:textId="13D39034" w:rsidR="00082640" w:rsidRPr="003D3179" w:rsidRDefault="00DB7065" w:rsidP="00DB7065">
            <w:pPr>
              <w:jc w:val="both"/>
              <w:rPr>
                <w:rFonts w:eastAsia="Times New Roman" w:cs="Times New Roman"/>
                <w:sz w:val="26"/>
                <w:szCs w:val="26"/>
                <w:lang w:eastAsia="lv-LV"/>
              </w:rPr>
            </w:pPr>
            <w:r w:rsidRPr="003D3179">
              <w:rPr>
                <w:rFonts w:eastAsia="Times New Roman" w:cs="Times New Roman"/>
                <w:sz w:val="26"/>
                <w:szCs w:val="26"/>
                <w:lang w:eastAsia="lv-LV"/>
              </w:rPr>
              <w:t>Projekts šo jomu neskar</w:t>
            </w:r>
          </w:p>
        </w:tc>
      </w:tr>
      <w:tr w:rsidR="00082640" w:rsidRPr="003D3179" w14:paraId="33A2C25A" w14:textId="77777777" w:rsidTr="00180CDB">
        <w:trPr>
          <w:trHeight w:val="408"/>
          <w:tblCellSpacing w:w="15" w:type="dxa"/>
        </w:trPr>
        <w:tc>
          <w:tcPr>
            <w:tcW w:w="223" w:type="pct"/>
            <w:tcBorders>
              <w:top w:val="outset" w:sz="6" w:space="0" w:color="auto"/>
              <w:left w:val="outset" w:sz="6" w:space="0" w:color="auto"/>
              <w:bottom w:val="outset" w:sz="6" w:space="0" w:color="auto"/>
              <w:right w:val="outset" w:sz="6" w:space="0" w:color="auto"/>
            </w:tcBorders>
            <w:hideMark/>
          </w:tcPr>
          <w:p w14:paraId="12B930FE"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3.</w:t>
            </w:r>
          </w:p>
        </w:tc>
        <w:tc>
          <w:tcPr>
            <w:tcW w:w="1388" w:type="pct"/>
            <w:tcBorders>
              <w:top w:val="outset" w:sz="6" w:space="0" w:color="auto"/>
              <w:left w:val="outset" w:sz="6" w:space="0" w:color="auto"/>
              <w:bottom w:val="outset" w:sz="6" w:space="0" w:color="auto"/>
              <w:right w:val="outset" w:sz="6" w:space="0" w:color="auto"/>
            </w:tcBorders>
            <w:hideMark/>
          </w:tcPr>
          <w:p w14:paraId="65994462"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Administratīvo izmaksu monetārs novērtējums</w:t>
            </w:r>
          </w:p>
        </w:tc>
        <w:tc>
          <w:tcPr>
            <w:tcW w:w="3323" w:type="pct"/>
            <w:tcBorders>
              <w:top w:val="outset" w:sz="6" w:space="0" w:color="auto"/>
              <w:left w:val="outset" w:sz="6" w:space="0" w:color="auto"/>
              <w:bottom w:val="outset" w:sz="6" w:space="0" w:color="auto"/>
              <w:right w:val="outset" w:sz="6" w:space="0" w:color="auto"/>
            </w:tcBorders>
            <w:hideMark/>
          </w:tcPr>
          <w:p w14:paraId="43E141B6" w14:textId="364FCD78"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Projekts šo jomu neskar</w:t>
            </w:r>
          </w:p>
        </w:tc>
      </w:tr>
      <w:tr w:rsidR="00082640" w:rsidRPr="003D3179" w14:paraId="3093B849" w14:textId="77777777" w:rsidTr="00180CDB">
        <w:trPr>
          <w:trHeight w:val="276"/>
          <w:tblCellSpacing w:w="15" w:type="dxa"/>
        </w:trPr>
        <w:tc>
          <w:tcPr>
            <w:tcW w:w="223" w:type="pct"/>
            <w:tcBorders>
              <w:top w:val="outset" w:sz="6" w:space="0" w:color="auto"/>
              <w:left w:val="outset" w:sz="6" w:space="0" w:color="auto"/>
              <w:bottom w:val="outset" w:sz="6" w:space="0" w:color="auto"/>
              <w:right w:val="outset" w:sz="6" w:space="0" w:color="auto"/>
            </w:tcBorders>
            <w:hideMark/>
          </w:tcPr>
          <w:p w14:paraId="0606CB5E"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4.</w:t>
            </w:r>
          </w:p>
        </w:tc>
        <w:tc>
          <w:tcPr>
            <w:tcW w:w="1388" w:type="pct"/>
            <w:tcBorders>
              <w:top w:val="outset" w:sz="6" w:space="0" w:color="auto"/>
              <w:left w:val="outset" w:sz="6" w:space="0" w:color="auto"/>
              <w:bottom w:val="outset" w:sz="6" w:space="0" w:color="auto"/>
              <w:right w:val="outset" w:sz="6" w:space="0" w:color="auto"/>
            </w:tcBorders>
            <w:hideMark/>
          </w:tcPr>
          <w:p w14:paraId="4DB4925D"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Cita informācija</w:t>
            </w:r>
          </w:p>
        </w:tc>
        <w:tc>
          <w:tcPr>
            <w:tcW w:w="3323" w:type="pct"/>
            <w:tcBorders>
              <w:top w:val="outset" w:sz="6" w:space="0" w:color="auto"/>
              <w:left w:val="outset" w:sz="6" w:space="0" w:color="auto"/>
              <w:bottom w:val="outset" w:sz="6" w:space="0" w:color="auto"/>
              <w:right w:val="outset" w:sz="6" w:space="0" w:color="auto"/>
            </w:tcBorders>
            <w:hideMark/>
          </w:tcPr>
          <w:p w14:paraId="235FE2FD" w14:textId="55638BCD" w:rsidR="00082640" w:rsidRPr="003D3179" w:rsidRDefault="003E6C2F" w:rsidP="00856D75">
            <w:pPr>
              <w:spacing w:before="100" w:beforeAutospacing="1" w:after="100" w:afterAutospacing="1"/>
              <w:jc w:val="both"/>
              <w:rPr>
                <w:rFonts w:eastAsia="Times New Roman" w:cs="Times New Roman"/>
                <w:sz w:val="26"/>
                <w:szCs w:val="26"/>
                <w:lang w:eastAsia="lv-LV"/>
              </w:rPr>
            </w:pPr>
            <w:r>
              <w:rPr>
                <w:rFonts w:eastAsia="Times New Roman" w:cs="Times New Roman"/>
                <w:sz w:val="26"/>
                <w:szCs w:val="26"/>
                <w:lang w:eastAsia="lv-LV"/>
              </w:rPr>
              <w:t>Nav</w:t>
            </w:r>
          </w:p>
        </w:tc>
      </w:tr>
    </w:tbl>
    <w:p w14:paraId="2E11A116" w14:textId="1754BBD7" w:rsidR="00A13325" w:rsidRPr="003D3179" w:rsidRDefault="00A13325" w:rsidP="00F8573A">
      <w:pPr>
        <w:rPr>
          <w:rFonts w:eastAsia="Times New Roman" w:cs="Times New Roman"/>
          <w:sz w:val="26"/>
          <w:szCs w:val="26"/>
          <w:lang w:eastAsia="lv-LV"/>
        </w:rPr>
      </w:pPr>
    </w:p>
    <w:tbl>
      <w:tblPr>
        <w:tblW w:w="5466" w:type="pct"/>
        <w:tblCellSpacing w:w="20" w:type="dxa"/>
        <w:tblInd w:w="-3" w:type="dxa"/>
        <w:tblBorders>
          <w:top w:val="outset" w:sz="6" w:space="0" w:color="auto"/>
          <w:bottom w:val="outset" w:sz="6" w:space="0" w:color="414142"/>
          <w:right w:val="outset" w:sz="6" w:space="0" w:color="auto"/>
          <w:insideH w:val="outset" w:sz="6" w:space="0" w:color="auto"/>
          <w:insideV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71"/>
      </w:tblGrid>
      <w:tr w:rsidR="00A13325" w:rsidRPr="003D3179" w14:paraId="2281EAF8" w14:textId="77777777" w:rsidTr="00DB4308">
        <w:trPr>
          <w:trHeight w:val="360"/>
          <w:tblCellSpacing w:w="20" w:type="dxa"/>
        </w:trPr>
        <w:tc>
          <w:tcPr>
            <w:tcW w:w="8991" w:type="dxa"/>
            <w:vAlign w:val="center"/>
            <w:hideMark/>
          </w:tcPr>
          <w:p w14:paraId="755D974A" w14:textId="77777777" w:rsidR="00A13325" w:rsidRPr="003D3179" w:rsidRDefault="00A13325" w:rsidP="00F950A7">
            <w:pPr>
              <w:ind w:firstLine="300"/>
              <w:jc w:val="center"/>
              <w:rPr>
                <w:rFonts w:eastAsia="Times New Roman" w:cs="Times New Roman"/>
                <w:b/>
                <w:bCs/>
                <w:sz w:val="26"/>
                <w:szCs w:val="26"/>
                <w:lang w:eastAsia="lv-LV"/>
              </w:rPr>
            </w:pPr>
            <w:r w:rsidRPr="003D3179">
              <w:rPr>
                <w:rFonts w:eastAsia="Times New Roman" w:cs="Times New Roman"/>
                <w:sz w:val="26"/>
                <w:szCs w:val="26"/>
                <w:lang w:eastAsia="lv-LV"/>
              </w:rPr>
              <w:t> </w:t>
            </w:r>
            <w:r w:rsidRPr="003D3179">
              <w:rPr>
                <w:rFonts w:eastAsia="Times New Roman" w:cs="Times New Roman"/>
                <w:b/>
                <w:bCs/>
                <w:sz w:val="26"/>
                <w:szCs w:val="26"/>
                <w:lang w:eastAsia="lv-LV"/>
              </w:rPr>
              <w:t>III. Tiesību akta projekta ietekme uz valsts budžetu un pašvaldību budžetiem</w:t>
            </w:r>
          </w:p>
        </w:tc>
      </w:tr>
      <w:tr w:rsidR="00A13325" w:rsidRPr="003D3179" w14:paraId="7DDE9288" w14:textId="77777777" w:rsidTr="00DB4308">
        <w:trPr>
          <w:trHeight w:val="360"/>
          <w:tblCellSpacing w:w="20" w:type="dxa"/>
        </w:trPr>
        <w:tc>
          <w:tcPr>
            <w:tcW w:w="8991" w:type="dxa"/>
            <w:vAlign w:val="center"/>
          </w:tcPr>
          <w:p w14:paraId="6D1FF3F3" w14:textId="66F711D6" w:rsidR="00A13325" w:rsidRPr="003D3179" w:rsidRDefault="00DB4308" w:rsidP="00F950A7">
            <w:pPr>
              <w:jc w:val="center"/>
              <w:rPr>
                <w:rFonts w:eastAsia="Times New Roman" w:cs="Times New Roman"/>
                <w:b/>
                <w:bCs/>
                <w:sz w:val="26"/>
                <w:szCs w:val="26"/>
                <w:lang w:eastAsia="lv-LV"/>
              </w:rPr>
            </w:pPr>
            <w:r w:rsidRPr="003D3179">
              <w:rPr>
                <w:rFonts w:cs="Times New Roman"/>
                <w:sz w:val="26"/>
                <w:szCs w:val="26"/>
                <w:lang w:eastAsia="lv-LV"/>
              </w:rPr>
              <w:t>Projekts šo jomu neskar</w:t>
            </w:r>
          </w:p>
        </w:tc>
      </w:tr>
      <w:tr w:rsidR="00A13325" w:rsidRPr="003D3179" w14:paraId="7CE7A06B" w14:textId="77777777" w:rsidTr="00DB4308">
        <w:trPr>
          <w:trHeight w:val="450"/>
          <w:tblCellSpacing w:w="20" w:type="dxa"/>
        </w:trPr>
        <w:tc>
          <w:tcPr>
            <w:tcW w:w="8991" w:type="dxa"/>
            <w:vAlign w:val="center"/>
            <w:hideMark/>
          </w:tcPr>
          <w:p w14:paraId="5EA862EA" w14:textId="77777777" w:rsidR="00A13325" w:rsidRPr="003D3179" w:rsidRDefault="00A13325" w:rsidP="00F950A7">
            <w:pPr>
              <w:ind w:firstLine="300"/>
              <w:jc w:val="center"/>
              <w:rPr>
                <w:rFonts w:eastAsia="Times New Roman" w:cs="Times New Roman"/>
                <w:b/>
                <w:bCs/>
                <w:color w:val="000000" w:themeColor="text1"/>
                <w:sz w:val="26"/>
                <w:szCs w:val="26"/>
                <w:lang w:eastAsia="lv-LV"/>
              </w:rPr>
            </w:pPr>
            <w:r w:rsidRPr="003D3179">
              <w:rPr>
                <w:rFonts w:eastAsia="Times New Roman" w:cs="Times New Roman"/>
                <w:b/>
                <w:bCs/>
                <w:color w:val="000000" w:themeColor="text1"/>
                <w:sz w:val="26"/>
                <w:szCs w:val="26"/>
                <w:lang w:eastAsia="lv-LV"/>
              </w:rPr>
              <w:t>IV. Tiesību akta projekta ietekme uz spēkā esošo tiesību normu sistēmu</w:t>
            </w:r>
          </w:p>
        </w:tc>
      </w:tr>
      <w:tr w:rsidR="00A13325" w:rsidRPr="003D3179" w14:paraId="34CF482B" w14:textId="77777777" w:rsidTr="00DB4308">
        <w:trPr>
          <w:tblCellSpacing w:w="20" w:type="dxa"/>
        </w:trPr>
        <w:tc>
          <w:tcPr>
            <w:tcW w:w="8991" w:type="dxa"/>
            <w:hideMark/>
          </w:tcPr>
          <w:p w14:paraId="5D021AE9" w14:textId="2F741AD5" w:rsidR="00A13325" w:rsidRPr="003D3179" w:rsidRDefault="00DB4308" w:rsidP="00F950A7">
            <w:pPr>
              <w:jc w:val="center"/>
              <w:rPr>
                <w:rFonts w:eastAsia="Times New Roman" w:cs="Times New Roman"/>
                <w:color w:val="000000" w:themeColor="text1"/>
                <w:sz w:val="26"/>
                <w:szCs w:val="26"/>
                <w:lang w:eastAsia="lv-LV"/>
              </w:rPr>
            </w:pPr>
            <w:r w:rsidRPr="003D3179">
              <w:rPr>
                <w:rFonts w:cs="Times New Roman"/>
                <w:sz w:val="26"/>
                <w:szCs w:val="26"/>
                <w:lang w:eastAsia="lv-LV"/>
              </w:rPr>
              <w:t>Projekts šo jomu neskar</w:t>
            </w:r>
          </w:p>
        </w:tc>
      </w:tr>
      <w:tr w:rsidR="00A13325" w:rsidRPr="003D3179" w14:paraId="032D7E6F" w14:textId="77777777" w:rsidTr="00DB4308">
        <w:trPr>
          <w:tblCellSpacing w:w="20" w:type="dxa"/>
        </w:trPr>
        <w:tc>
          <w:tcPr>
            <w:tcW w:w="8988" w:type="dxa"/>
            <w:vAlign w:val="center"/>
            <w:hideMark/>
          </w:tcPr>
          <w:p w14:paraId="0F106633" w14:textId="77777777" w:rsidR="00A13325" w:rsidRPr="003D3179" w:rsidRDefault="00A13325" w:rsidP="00F950A7">
            <w:pPr>
              <w:ind w:firstLine="300"/>
              <w:jc w:val="center"/>
              <w:rPr>
                <w:rFonts w:eastAsia="Times New Roman" w:cs="Times New Roman"/>
                <w:b/>
                <w:bCs/>
                <w:color w:val="000000" w:themeColor="text1"/>
                <w:sz w:val="26"/>
                <w:szCs w:val="26"/>
                <w:lang w:eastAsia="lv-LV"/>
              </w:rPr>
            </w:pPr>
            <w:r w:rsidRPr="003D3179">
              <w:rPr>
                <w:rFonts w:eastAsia="Times New Roman" w:cs="Times New Roman"/>
                <w:b/>
                <w:bCs/>
                <w:color w:val="000000" w:themeColor="text1"/>
                <w:sz w:val="26"/>
                <w:szCs w:val="26"/>
                <w:lang w:eastAsia="lv-LV"/>
              </w:rPr>
              <w:lastRenderedPageBreak/>
              <w:t>V. Tiesību akta projekta atbilstība Latvijas Republikas starptautiskajām saistībām</w:t>
            </w:r>
          </w:p>
        </w:tc>
      </w:tr>
      <w:tr w:rsidR="00A13325" w:rsidRPr="003D3179" w14:paraId="66323904" w14:textId="77777777" w:rsidTr="00DB4308">
        <w:trPr>
          <w:tblCellSpacing w:w="20" w:type="dxa"/>
        </w:trPr>
        <w:tc>
          <w:tcPr>
            <w:tcW w:w="8988" w:type="dxa"/>
            <w:vAlign w:val="center"/>
            <w:hideMark/>
          </w:tcPr>
          <w:p w14:paraId="03581BE1" w14:textId="143619ED" w:rsidR="00A13325" w:rsidRPr="003D3179" w:rsidRDefault="00DB4308" w:rsidP="00F950A7">
            <w:pPr>
              <w:ind w:firstLine="300"/>
              <w:jc w:val="center"/>
              <w:rPr>
                <w:rFonts w:eastAsia="Times New Roman" w:cs="Times New Roman"/>
                <w:b/>
                <w:bCs/>
                <w:color w:val="000000" w:themeColor="text1"/>
                <w:sz w:val="26"/>
                <w:szCs w:val="26"/>
                <w:lang w:eastAsia="lv-LV"/>
              </w:rPr>
            </w:pPr>
            <w:r w:rsidRPr="003D3179">
              <w:rPr>
                <w:rFonts w:cs="Times New Roman"/>
                <w:sz w:val="26"/>
                <w:szCs w:val="26"/>
                <w:lang w:eastAsia="lv-LV"/>
              </w:rPr>
              <w:t>Projekts šo jomu neskar</w:t>
            </w:r>
          </w:p>
        </w:tc>
      </w:tr>
    </w:tbl>
    <w:p w14:paraId="2FC23AB7" w14:textId="77777777" w:rsidR="00A13325" w:rsidRPr="003D3179" w:rsidRDefault="00082640" w:rsidP="00F8573A">
      <w:pPr>
        <w:rPr>
          <w:rFonts w:eastAsia="Times New Roman" w:cs="Times New Roman"/>
          <w:color w:val="000000" w:themeColor="text1"/>
          <w:sz w:val="26"/>
          <w:szCs w:val="26"/>
          <w:lang w:eastAsia="lv-LV"/>
        </w:rPr>
      </w:pPr>
      <w:r w:rsidRPr="003D3179">
        <w:rPr>
          <w:rFonts w:eastAsia="Times New Roman" w:cs="Times New Roman"/>
          <w:sz w:val="26"/>
          <w:szCs w:val="26"/>
          <w:lang w:eastAsia="lv-LV"/>
        </w:rPr>
        <w:t> </w:t>
      </w:r>
    </w:p>
    <w:tbl>
      <w:tblPr>
        <w:tblW w:w="5472" w:type="pct"/>
        <w:tblCellSpacing w:w="15" w:type="dxa"/>
        <w:tblInd w:w="-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18"/>
        <w:gridCol w:w="2648"/>
        <w:gridCol w:w="6107"/>
      </w:tblGrid>
      <w:tr w:rsidR="00082640" w:rsidRPr="003D3179" w14:paraId="1DDA6EAE" w14:textId="77777777" w:rsidTr="00180CDB">
        <w:trPr>
          <w:trHeight w:val="336"/>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9535B17" w14:textId="77777777" w:rsidR="00082640" w:rsidRPr="003D3179" w:rsidRDefault="00082640" w:rsidP="00E3648F">
            <w:pPr>
              <w:spacing w:before="100" w:beforeAutospacing="1" w:after="100" w:afterAutospacing="1"/>
              <w:jc w:val="center"/>
              <w:rPr>
                <w:rFonts w:eastAsia="Times New Roman" w:cs="Times New Roman"/>
                <w:b/>
                <w:bCs/>
                <w:sz w:val="26"/>
                <w:szCs w:val="26"/>
                <w:lang w:eastAsia="lv-LV"/>
              </w:rPr>
            </w:pPr>
            <w:r w:rsidRPr="003D3179">
              <w:rPr>
                <w:rFonts w:eastAsia="Times New Roman" w:cs="Times New Roman"/>
                <w:b/>
                <w:bCs/>
                <w:sz w:val="26"/>
                <w:szCs w:val="26"/>
                <w:lang w:eastAsia="lv-LV"/>
              </w:rPr>
              <w:t>VI. Sabiedrības līdzdalība un komunikācijas aktivitātes</w:t>
            </w:r>
          </w:p>
        </w:tc>
      </w:tr>
      <w:tr w:rsidR="00082640" w:rsidRPr="003D3179" w14:paraId="11530DF9" w14:textId="77777777" w:rsidTr="00180CDB">
        <w:trPr>
          <w:trHeight w:val="432"/>
          <w:tblCellSpacing w:w="15" w:type="dxa"/>
        </w:trPr>
        <w:tc>
          <w:tcPr>
            <w:tcW w:w="142" w:type="pct"/>
            <w:tcBorders>
              <w:top w:val="outset" w:sz="6" w:space="0" w:color="auto"/>
              <w:left w:val="outset" w:sz="6" w:space="0" w:color="auto"/>
              <w:bottom w:val="outset" w:sz="6" w:space="0" w:color="auto"/>
              <w:right w:val="outset" w:sz="6" w:space="0" w:color="auto"/>
            </w:tcBorders>
            <w:hideMark/>
          </w:tcPr>
          <w:p w14:paraId="5FD4BD36"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1.</w:t>
            </w:r>
          </w:p>
        </w:tc>
        <w:tc>
          <w:tcPr>
            <w:tcW w:w="1457" w:type="pct"/>
            <w:tcBorders>
              <w:top w:val="outset" w:sz="6" w:space="0" w:color="auto"/>
              <w:left w:val="outset" w:sz="6" w:space="0" w:color="auto"/>
              <w:bottom w:val="outset" w:sz="6" w:space="0" w:color="auto"/>
              <w:right w:val="outset" w:sz="6" w:space="0" w:color="auto"/>
            </w:tcBorders>
            <w:hideMark/>
          </w:tcPr>
          <w:p w14:paraId="7F6B9CB3"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Plānotās sabiedrības līdzdalības un komunikācijas aktivitātes saistībā ar projektu</w:t>
            </w:r>
          </w:p>
        </w:tc>
        <w:tc>
          <w:tcPr>
            <w:tcW w:w="3335" w:type="pct"/>
            <w:tcBorders>
              <w:top w:val="outset" w:sz="6" w:space="0" w:color="auto"/>
              <w:left w:val="outset" w:sz="6" w:space="0" w:color="auto"/>
              <w:bottom w:val="outset" w:sz="6" w:space="0" w:color="auto"/>
              <w:right w:val="outset" w:sz="6" w:space="0" w:color="auto"/>
            </w:tcBorders>
            <w:hideMark/>
          </w:tcPr>
          <w:p w14:paraId="5E67884B" w14:textId="77777777" w:rsidR="00AA7AD5" w:rsidRPr="003D3179" w:rsidRDefault="00AA7AD5" w:rsidP="00AA7AD5">
            <w:pPr>
              <w:widowControl w:val="0"/>
              <w:suppressAutoHyphens/>
              <w:autoSpaceDE w:val="0"/>
              <w:autoSpaceDN w:val="0"/>
              <w:adjustRightInd w:val="0"/>
              <w:jc w:val="both"/>
              <w:rPr>
                <w:rFonts w:eastAsia="Calibri" w:cs="Times New Roman"/>
                <w:sz w:val="26"/>
                <w:szCs w:val="26"/>
              </w:rPr>
            </w:pPr>
            <w:r w:rsidRPr="003D3179">
              <w:rPr>
                <w:rFonts w:eastAsia="Calibri" w:cs="Times New Roman"/>
                <w:sz w:val="26"/>
                <w:szCs w:val="26"/>
              </w:rPr>
              <w:t xml:space="preserve">Likumprojekts ir nodots apspriešanai Tieslietu ministrijas Administratīvo pārkāpumu kodeksa pastāvīgās darba grupas pārstāvjiem. </w:t>
            </w:r>
          </w:p>
          <w:p w14:paraId="44E49C75" w14:textId="3A04B4EA" w:rsidR="00082640" w:rsidRPr="003D3179" w:rsidRDefault="00646BC8" w:rsidP="007A1817">
            <w:pPr>
              <w:widowControl w:val="0"/>
              <w:suppressAutoHyphens/>
              <w:autoSpaceDE w:val="0"/>
              <w:autoSpaceDN w:val="0"/>
              <w:adjustRightInd w:val="0"/>
              <w:jc w:val="both"/>
              <w:rPr>
                <w:rFonts w:cs="Times New Roman"/>
                <w:sz w:val="26"/>
                <w:szCs w:val="26"/>
                <w:lang w:eastAsia="lv-LV"/>
              </w:rPr>
            </w:pPr>
            <w:r w:rsidRPr="00646BC8">
              <w:rPr>
                <w:rFonts w:eastAsia="Calibri" w:cs="Times New Roman"/>
                <w:sz w:val="26"/>
                <w:szCs w:val="26"/>
              </w:rPr>
              <w:t>Sabiedrības līdzdalība likumprojekta izstrādē īstenota atbilstoši Ministru kabineta 2009.gada 25.augusta noteikumu Nr.970 “Sabiedrības līdzdalības kārtība attīstības plānošanas procesā” 7.4.1apakšpunktā noteiktajam, proti, sabiedrības pārstāvjiem tika dota iespēja rakstiski sniegt viedokli par likumprojektu tā izstrādes stadijā.</w:t>
            </w:r>
          </w:p>
        </w:tc>
      </w:tr>
      <w:tr w:rsidR="00082640" w:rsidRPr="003D3179" w14:paraId="45C437B2" w14:textId="77777777" w:rsidTr="00180CDB">
        <w:trPr>
          <w:trHeight w:val="264"/>
          <w:tblCellSpacing w:w="15" w:type="dxa"/>
        </w:trPr>
        <w:tc>
          <w:tcPr>
            <w:tcW w:w="142" w:type="pct"/>
            <w:tcBorders>
              <w:top w:val="outset" w:sz="6" w:space="0" w:color="auto"/>
              <w:left w:val="outset" w:sz="6" w:space="0" w:color="auto"/>
              <w:bottom w:val="outset" w:sz="6" w:space="0" w:color="auto"/>
              <w:right w:val="outset" w:sz="6" w:space="0" w:color="auto"/>
            </w:tcBorders>
            <w:hideMark/>
          </w:tcPr>
          <w:p w14:paraId="3A4BB84A"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2.</w:t>
            </w:r>
          </w:p>
        </w:tc>
        <w:tc>
          <w:tcPr>
            <w:tcW w:w="1457" w:type="pct"/>
            <w:tcBorders>
              <w:top w:val="outset" w:sz="6" w:space="0" w:color="auto"/>
              <w:left w:val="outset" w:sz="6" w:space="0" w:color="auto"/>
              <w:bottom w:val="outset" w:sz="6" w:space="0" w:color="auto"/>
              <w:right w:val="outset" w:sz="6" w:space="0" w:color="auto"/>
            </w:tcBorders>
            <w:hideMark/>
          </w:tcPr>
          <w:p w14:paraId="05E9B685"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Sabiedrības līdzdalība projekta izstrādē</w:t>
            </w:r>
          </w:p>
        </w:tc>
        <w:tc>
          <w:tcPr>
            <w:tcW w:w="3335" w:type="pct"/>
            <w:tcBorders>
              <w:top w:val="outset" w:sz="6" w:space="0" w:color="auto"/>
              <w:left w:val="outset" w:sz="6" w:space="0" w:color="auto"/>
              <w:bottom w:val="outset" w:sz="6" w:space="0" w:color="auto"/>
              <w:right w:val="outset" w:sz="6" w:space="0" w:color="auto"/>
            </w:tcBorders>
            <w:hideMark/>
          </w:tcPr>
          <w:p w14:paraId="720BB24D" w14:textId="556DC366" w:rsidR="00082640" w:rsidRPr="003D3179" w:rsidRDefault="003E6C2F" w:rsidP="003E6C2F">
            <w:pPr>
              <w:jc w:val="both"/>
              <w:rPr>
                <w:rFonts w:eastAsia="Times New Roman" w:cs="Times New Roman"/>
                <w:sz w:val="26"/>
                <w:szCs w:val="26"/>
                <w:lang w:eastAsia="lv-LV"/>
              </w:rPr>
            </w:pPr>
            <w:r w:rsidRPr="003E6C2F">
              <w:rPr>
                <w:rFonts w:eastAsia="Times New Roman" w:cs="Times New Roman"/>
                <w:sz w:val="26"/>
                <w:szCs w:val="26"/>
                <w:lang w:eastAsia="lv-LV"/>
              </w:rPr>
              <w:t>Likumprojekts kopā ar sākotnējās ietekmes novērtējuma ziņojumu (anotāciju) un paziņojums par līdzdalības procesu 2016.gada 3.oktobrī tika publicēts Ekonomikas ministrijas mājas lapā www.em.gov.lv, aicinot sabiedrību izteikt savu rakstisku viedokli</w:t>
            </w:r>
          </w:p>
        </w:tc>
      </w:tr>
      <w:tr w:rsidR="00082640" w:rsidRPr="003D3179" w14:paraId="18C12D30" w14:textId="77777777" w:rsidTr="00180CDB">
        <w:trPr>
          <w:trHeight w:val="372"/>
          <w:tblCellSpacing w:w="15" w:type="dxa"/>
        </w:trPr>
        <w:tc>
          <w:tcPr>
            <w:tcW w:w="142" w:type="pct"/>
            <w:tcBorders>
              <w:top w:val="outset" w:sz="6" w:space="0" w:color="auto"/>
              <w:left w:val="outset" w:sz="6" w:space="0" w:color="auto"/>
              <w:bottom w:val="outset" w:sz="6" w:space="0" w:color="auto"/>
              <w:right w:val="outset" w:sz="6" w:space="0" w:color="auto"/>
            </w:tcBorders>
            <w:hideMark/>
          </w:tcPr>
          <w:p w14:paraId="13998E18"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3.</w:t>
            </w:r>
          </w:p>
        </w:tc>
        <w:tc>
          <w:tcPr>
            <w:tcW w:w="1457" w:type="pct"/>
            <w:tcBorders>
              <w:top w:val="outset" w:sz="6" w:space="0" w:color="auto"/>
              <w:left w:val="outset" w:sz="6" w:space="0" w:color="auto"/>
              <w:bottom w:val="outset" w:sz="6" w:space="0" w:color="auto"/>
              <w:right w:val="outset" w:sz="6" w:space="0" w:color="auto"/>
            </w:tcBorders>
            <w:hideMark/>
          </w:tcPr>
          <w:p w14:paraId="04ECEDD0"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Sabiedrības līdzdalības rezultāti</w:t>
            </w:r>
          </w:p>
        </w:tc>
        <w:tc>
          <w:tcPr>
            <w:tcW w:w="3335" w:type="pct"/>
            <w:tcBorders>
              <w:top w:val="outset" w:sz="6" w:space="0" w:color="auto"/>
              <w:left w:val="outset" w:sz="6" w:space="0" w:color="auto"/>
              <w:bottom w:val="outset" w:sz="6" w:space="0" w:color="auto"/>
              <w:right w:val="outset" w:sz="6" w:space="0" w:color="auto"/>
            </w:tcBorders>
            <w:hideMark/>
          </w:tcPr>
          <w:p w14:paraId="106BF5CB" w14:textId="00D348DA" w:rsidR="00082640" w:rsidRPr="003D3179" w:rsidRDefault="003E6C2F" w:rsidP="00E3648F">
            <w:pPr>
              <w:rPr>
                <w:rFonts w:eastAsia="Times New Roman" w:cs="Times New Roman"/>
                <w:sz w:val="26"/>
                <w:szCs w:val="26"/>
                <w:lang w:eastAsia="lv-LV"/>
              </w:rPr>
            </w:pPr>
            <w:r w:rsidRPr="003E6C2F">
              <w:rPr>
                <w:rFonts w:eastAsia="Times New Roman" w:cs="Times New Roman"/>
                <w:sz w:val="26"/>
                <w:szCs w:val="26"/>
                <w:lang w:eastAsia="lv-LV"/>
              </w:rPr>
              <w:t>Iebildumi vai priekšlikumi par likumprojektu netika saņemti</w:t>
            </w:r>
          </w:p>
        </w:tc>
      </w:tr>
      <w:tr w:rsidR="00082640" w:rsidRPr="003D3179" w14:paraId="00481713" w14:textId="77777777" w:rsidTr="00180CDB">
        <w:trPr>
          <w:trHeight w:val="372"/>
          <w:tblCellSpacing w:w="15" w:type="dxa"/>
        </w:trPr>
        <w:tc>
          <w:tcPr>
            <w:tcW w:w="142" w:type="pct"/>
            <w:tcBorders>
              <w:top w:val="outset" w:sz="6" w:space="0" w:color="auto"/>
              <w:left w:val="outset" w:sz="6" w:space="0" w:color="auto"/>
              <w:bottom w:val="outset" w:sz="6" w:space="0" w:color="auto"/>
              <w:right w:val="outset" w:sz="6" w:space="0" w:color="auto"/>
            </w:tcBorders>
            <w:hideMark/>
          </w:tcPr>
          <w:p w14:paraId="45EF4601"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4.</w:t>
            </w:r>
          </w:p>
        </w:tc>
        <w:tc>
          <w:tcPr>
            <w:tcW w:w="1457" w:type="pct"/>
            <w:tcBorders>
              <w:top w:val="outset" w:sz="6" w:space="0" w:color="auto"/>
              <w:left w:val="outset" w:sz="6" w:space="0" w:color="auto"/>
              <w:bottom w:val="outset" w:sz="6" w:space="0" w:color="auto"/>
              <w:right w:val="outset" w:sz="6" w:space="0" w:color="auto"/>
            </w:tcBorders>
            <w:hideMark/>
          </w:tcPr>
          <w:p w14:paraId="075D7DB7" w14:textId="77777777" w:rsidR="00082640" w:rsidRPr="003D3179" w:rsidRDefault="00082640" w:rsidP="00E3648F">
            <w:pPr>
              <w:rPr>
                <w:rFonts w:eastAsia="Times New Roman" w:cs="Times New Roman"/>
                <w:sz w:val="26"/>
                <w:szCs w:val="26"/>
                <w:lang w:eastAsia="lv-LV"/>
              </w:rPr>
            </w:pPr>
            <w:r w:rsidRPr="003D3179">
              <w:rPr>
                <w:rFonts w:eastAsia="Times New Roman" w:cs="Times New Roman"/>
                <w:sz w:val="26"/>
                <w:szCs w:val="26"/>
                <w:lang w:eastAsia="lv-LV"/>
              </w:rPr>
              <w:t>Cita informācija</w:t>
            </w:r>
          </w:p>
        </w:tc>
        <w:tc>
          <w:tcPr>
            <w:tcW w:w="3335" w:type="pct"/>
            <w:tcBorders>
              <w:top w:val="outset" w:sz="6" w:space="0" w:color="auto"/>
              <w:left w:val="outset" w:sz="6" w:space="0" w:color="auto"/>
              <w:bottom w:val="outset" w:sz="6" w:space="0" w:color="auto"/>
              <w:right w:val="outset" w:sz="6" w:space="0" w:color="auto"/>
            </w:tcBorders>
            <w:hideMark/>
          </w:tcPr>
          <w:p w14:paraId="28AC97CB" w14:textId="77777777" w:rsidR="00082640" w:rsidRPr="003D3179" w:rsidRDefault="00082640" w:rsidP="00E3648F">
            <w:pPr>
              <w:spacing w:before="100" w:beforeAutospacing="1" w:after="100" w:afterAutospacing="1"/>
              <w:rPr>
                <w:rFonts w:eastAsia="Times New Roman" w:cs="Times New Roman"/>
                <w:sz w:val="26"/>
                <w:szCs w:val="26"/>
                <w:lang w:eastAsia="lv-LV"/>
              </w:rPr>
            </w:pPr>
            <w:r w:rsidRPr="003D3179">
              <w:rPr>
                <w:rFonts w:eastAsia="Times New Roman" w:cs="Times New Roman"/>
                <w:sz w:val="26"/>
                <w:szCs w:val="26"/>
                <w:lang w:eastAsia="lv-LV"/>
              </w:rPr>
              <w:t>Nav</w:t>
            </w:r>
          </w:p>
        </w:tc>
      </w:tr>
    </w:tbl>
    <w:p w14:paraId="68A9DC96" w14:textId="77777777" w:rsidR="00180CDB" w:rsidRPr="003D3179" w:rsidRDefault="00082640" w:rsidP="00F8573A">
      <w:pPr>
        <w:rPr>
          <w:rFonts w:eastAsia="Times New Roman" w:cs="Times New Roman"/>
          <w:sz w:val="26"/>
          <w:szCs w:val="26"/>
          <w:lang w:eastAsia="lv-LV"/>
        </w:rPr>
      </w:pPr>
      <w:r w:rsidRPr="003D3179">
        <w:rPr>
          <w:rFonts w:eastAsia="Times New Roman" w:cs="Times New Roman"/>
          <w:sz w:val="26"/>
          <w:szCs w:val="26"/>
          <w:lang w:eastAsia="lv-LV"/>
        </w:rPr>
        <w:t> </w:t>
      </w:r>
    </w:p>
    <w:tbl>
      <w:tblPr>
        <w:tblW w:w="5466" w:type="pct"/>
        <w:tblCellSpacing w:w="15" w:type="dxa"/>
        <w:tblInd w:w="-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22"/>
        <w:gridCol w:w="2436"/>
        <w:gridCol w:w="6105"/>
      </w:tblGrid>
      <w:tr w:rsidR="00180CDB" w:rsidRPr="003D3179" w14:paraId="71D15329" w14:textId="77777777" w:rsidTr="00180CDB">
        <w:trPr>
          <w:trHeight w:val="30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7805889" w14:textId="77777777" w:rsidR="00180CDB" w:rsidRPr="003D3179" w:rsidRDefault="00180CDB" w:rsidP="00A77E23">
            <w:pPr>
              <w:spacing w:before="100" w:beforeAutospacing="1" w:after="100" w:afterAutospacing="1"/>
              <w:jc w:val="center"/>
              <w:rPr>
                <w:rFonts w:eastAsia="Times New Roman" w:cs="Times New Roman"/>
                <w:b/>
                <w:bCs/>
                <w:sz w:val="26"/>
                <w:szCs w:val="26"/>
                <w:lang w:eastAsia="lv-LV"/>
              </w:rPr>
            </w:pPr>
            <w:r w:rsidRPr="003D3179">
              <w:rPr>
                <w:rFonts w:eastAsia="Times New Roman" w:cs="Times New Roman"/>
                <w:b/>
                <w:bCs/>
                <w:sz w:val="26"/>
                <w:szCs w:val="26"/>
                <w:lang w:eastAsia="lv-LV"/>
              </w:rPr>
              <w:t> VII. Tiesību akta projekta izpildes nodrošināšana un tās ietekme uz institūcijām</w:t>
            </w:r>
          </w:p>
        </w:tc>
      </w:tr>
      <w:tr w:rsidR="00180CDB" w:rsidRPr="003D3179" w14:paraId="2EC3E153" w14:textId="77777777" w:rsidTr="00180CDB">
        <w:tblPrEx>
          <w:jc w:val="center"/>
          <w:tblInd w:w="0" w:type="dxa"/>
        </w:tblPrEx>
        <w:trPr>
          <w:trHeight w:val="336"/>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14:paraId="06705278" w14:textId="77777777" w:rsidR="00180CDB" w:rsidRPr="003D3179" w:rsidRDefault="00180CDB" w:rsidP="00A77E23">
            <w:pPr>
              <w:rPr>
                <w:rFonts w:eastAsia="Times New Roman" w:cs="Times New Roman"/>
                <w:sz w:val="26"/>
                <w:szCs w:val="26"/>
                <w:lang w:eastAsia="lv-LV"/>
              </w:rPr>
            </w:pPr>
            <w:r w:rsidRPr="003D3179">
              <w:rPr>
                <w:rFonts w:eastAsia="Times New Roman" w:cs="Times New Roman"/>
                <w:sz w:val="26"/>
                <w:szCs w:val="26"/>
                <w:lang w:eastAsia="lv-LV"/>
              </w:rPr>
              <w:t>1.</w:t>
            </w:r>
          </w:p>
        </w:tc>
        <w:tc>
          <w:tcPr>
            <w:tcW w:w="1336" w:type="pct"/>
            <w:tcBorders>
              <w:top w:val="outset" w:sz="6" w:space="0" w:color="auto"/>
              <w:left w:val="outset" w:sz="6" w:space="0" w:color="auto"/>
              <w:bottom w:val="outset" w:sz="6" w:space="0" w:color="auto"/>
              <w:right w:val="outset" w:sz="6" w:space="0" w:color="auto"/>
            </w:tcBorders>
            <w:hideMark/>
          </w:tcPr>
          <w:p w14:paraId="1E1881C3" w14:textId="77777777" w:rsidR="00180CDB" w:rsidRPr="003D3179" w:rsidRDefault="00180CDB" w:rsidP="00A77E23">
            <w:pPr>
              <w:rPr>
                <w:rFonts w:eastAsia="Times New Roman" w:cs="Times New Roman"/>
                <w:sz w:val="26"/>
                <w:szCs w:val="26"/>
                <w:lang w:eastAsia="lv-LV"/>
              </w:rPr>
            </w:pPr>
            <w:r w:rsidRPr="003D3179">
              <w:rPr>
                <w:rFonts w:eastAsia="Times New Roman" w:cs="Times New Roman"/>
                <w:sz w:val="26"/>
                <w:szCs w:val="26"/>
                <w:lang w:eastAsia="lv-LV"/>
              </w:rPr>
              <w:t>Projekta izpildē iesaistītās institūcijas</w:t>
            </w:r>
          </w:p>
        </w:tc>
        <w:tc>
          <w:tcPr>
            <w:tcW w:w="3333" w:type="pct"/>
            <w:tcBorders>
              <w:top w:val="outset" w:sz="6" w:space="0" w:color="auto"/>
              <w:left w:val="outset" w:sz="6" w:space="0" w:color="auto"/>
              <w:bottom w:val="outset" w:sz="6" w:space="0" w:color="auto"/>
              <w:right w:val="outset" w:sz="6" w:space="0" w:color="auto"/>
            </w:tcBorders>
            <w:hideMark/>
          </w:tcPr>
          <w:p w14:paraId="2D36EA36" w14:textId="77777777" w:rsidR="00180CDB" w:rsidRPr="003D3179" w:rsidRDefault="00180CDB" w:rsidP="00A77E23">
            <w:pPr>
              <w:rPr>
                <w:rFonts w:eastAsia="Times New Roman" w:cs="Times New Roman"/>
                <w:sz w:val="26"/>
                <w:szCs w:val="26"/>
                <w:lang w:eastAsia="lv-LV"/>
              </w:rPr>
            </w:pPr>
            <w:r w:rsidRPr="003D3179">
              <w:rPr>
                <w:rFonts w:eastAsia="Times New Roman" w:cs="Times New Roman"/>
                <w:bCs/>
                <w:sz w:val="26"/>
                <w:szCs w:val="26"/>
                <w:lang w:eastAsia="lv-LV"/>
              </w:rPr>
              <w:t>Patērētāju tiesību aizsardzības centrs</w:t>
            </w:r>
          </w:p>
        </w:tc>
      </w:tr>
      <w:tr w:rsidR="00180CDB" w:rsidRPr="003D3179" w14:paraId="50F0394B" w14:textId="77777777" w:rsidTr="00180CDB">
        <w:tblPrEx>
          <w:jc w:val="center"/>
          <w:tblInd w:w="0" w:type="dxa"/>
        </w:tblPrEx>
        <w:trPr>
          <w:trHeight w:val="360"/>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14:paraId="2BA80079" w14:textId="77777777" w:rsidR="00180CDB" w:rsidRPr="003D3179" w:rsidRDefault="00180CDB" w:rsidP="00A77E23">
            <w:pPr>
              <w:rPr>
                <w:rFonts w:eastAsia="Times New Roman" w:cs="Times New Roman"/>
                <w:sz w:val="26"/>
                <w:szCs w:val="26"/>
                <w:lang w:eastAsia="lv-LV"/>
              </w:rPr>
            </w:pPr>
            <w:r w:rsidRPr="003D3179">
              <w:rPr>
                <w:rFonts w:eastAsia="Times New Roman" w:cs="Times New Roman"/>
                <w:sz w:val="26"/>
                <w:szCs w:val="26"/>
                <w:lang w:eastAsia="lv-LV"/>
              </w:rPr>
              <w:t>2.</w:t>
            </w:r>
          </w:p>
        </w:tc>
        <w:tc>
          <w:tcPr>
            <w:tcW w:w="1336" w:type="pct"/>
            <w:tcBorders>
              <w:top w:val="outset" w:sz="6" w:space="0" w:color="auto"/>
              <w:left w:val="outset" w:sz="6" w:space="0" w:color="auto"/>
              <w:bottom w:val="outset" w:sz="6" w:space="0" w:color="auto"/>
              <w:right w:val="outset" w:sz="6" w:space="0" w:color="auto"/>
            </w:tcBorders>
            <w:hideMark/>
          </w:tcPr>
          <w:p w14:paraId="6726FB32" w14:textId="77777777" w:rsidR="00180CDB" w:rsidRPr="003D3179" w:rsidRDefault="00180CDB" w:rsidP="00A77E23">
            <w:pPr>
              <w:rPr>
                <w:rFonts w:eastAsia="Times New Roman" w:cs="Times New Roman"/>
                <w:sz w:val="26"/>
                <w:szCs w:val="26"/>
                <w:lang w:eastAsia="lv-LV"/>
              </w:rPr>
            </w:pPr>
            <w:r w:rsidRPr="003D3179">
              <w:rPr>
                <w:rFonts w:eastAsia="Times New Roman" w:cs="Times New Roman"/>
                <w:sz w:val="26"/>
                <w:szCs w:val="26"/>
                <w:lang w:eastAsia="lv-LV"/>
              </w:rPr>
              <w:t xml:space="preserve">Projekta izpildes ietekme uz pārvaldes funkcijām un institucionālo struktūru. </w:t>
            </w:r>
          </w:p>
          <w:p w14:paraId="5D7F93D0" w14:textId="77777777" w:rsidR="00180CDB" w:rsidRPr="003D3179" w:rsidRDefault="00180CDB" w:rsidP="00A77E23">
            <w:pPr>
              <w:rPr>
                <w:rFonts w:eastAsia="Times New Roman" w:cs="Times New Roman"/>
                <w:sz w:val="26"/>
                <w:szCs w:val="26"/>
                <w:lang w:eastAsia="lv-LV"/>
              </w:rPr>
            </w:pPr>
          </w:p>
          <w:p w14:paraId="02568CED" w14:textId="77777777" w:rsidR="00180CDB" w:rsidRPr="003D3179" w:rsidRDefault="00180CDB" w:rsidP="00A77E23">
            <w:pPr>
              <w:rPr>
                <w:rFonts w:eastAsia="Times New Roman" w:cs="Times New Roman"/>
                <w:sz w:val="26"/>
                <w:szCs w:val="26"/>
                <w:lang w:eastAsia="lv-LV"/>
              </w:rPr>
            </w:pPr>
            <w:r w:rsidRPr="003D3179">
              <w:rPr>
                <w:rFonts w:eastAsia="Times New Roman" w:cs="Times New Roman"/>
                <w:sz w:val="26"/>
                <w:szCs w:val="26"/>
                <w:lang w:eastAsia="lv-LV"/>
              </w:rPr>
              <w:t>Jaunu institūciju izveide, esošu institūciju likvidācija vai reorganizācija, to ietekme uz institūcijas cilvēkresursiem</w:t>
            </w:r>
          </w:p>
        </w:tc>
        <w:tc>
          <w:tcPr>
            <w:tcW w:w="3333" w:type="pct"/>
            <w:tcBorders>
              <w:top w:val="outset" w:sz="6" w:space="0" w:color="auto"/>
              <w:left w:val="outset" w:sz="6" w:space="0" w:color="auto"/>
              <w:bottom w:val="outset" w:sz="6" w:space="0" w:color="auto"/>
              <w:right w:val="outset" w:sz="6" w:space="0" w:color="auto"/>
            </w:tcBorders>
            <w:hideMark/>
          </w:tcPr>
          <w:p w14:paraId="4D6904F6" w14:textId="4B5EB33F" w:rsidR="00180CDB" w:rsidRPr="003D3179" w:rsidRDefault="00180CDB" w:rsidP="00A77E23">
            <w:pPr>
              <w:rPr>
                <w:rFonts w:eastAsia="Times New Roman" w:cs="Times New Roman"/>
                <w:sz w:val="26"/>
                <w:szCs w:val="26"/>
                <w:lang w:eastAsia="lv-LV"/>
              </w:rPr>
            </w:pPr>
            <w:r w:rsidRPr="003D3179">
              <w:rPr>
                <w:rFonts w:eastAsia="Times New Roman" w:cs="Times New Roman"/>
                <w:bCs/>
                <w:sz w:val="26"/>
                <w:szCs w:val="26"/>
                <w:lang w:eastAsia="lv-LV"/>
              </w:rPr>
              <w:t xml:space="preserve">Projekts neparedz veidot jaunas valsts </w:t>
            </w:r>
            <w:r w:rsidR="007000FF" w:rsidRPr="003D3179">
              <w:rPr>
                <w:rFonts w:eastAsia="Times New Roman" w:cs="Times New Roman"/>
                <w:bCs/>
                <w:sz w:val="26"/>
                <w:szCs w:val="26"/>
                <w:lang w:eastAsia="lv-LV"/>
              </w:rPr>
              <w:t>institūcijas</w:t>
            </w:r>
          </w:p>
        </w:tc>
      </w:tr>
      <w:tr w:rsidR="00180CDB" w:rsidRPr="003D3179" w14:paraId="218C3FAA" w14:textId="77777777" w:rsidTr="00180CDB">
        <w:tblPrEx>
          <w:jc w:val="center"/>
          <w:tblInd w:w="0" w:type="dxa"/>
        </w:tblPrEx>
        <w:trPr>
          <w:trHeight w:val="312"/>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14:paraId="2AD2E09E" w14:textId="77777777" w:rsidR="00180CDB" w:rsidRPr="003D3179" w:rsidRDefault="00180CDB" w:rsidP="00A77E23">
            <w:pPr>
              <w:rPr>
                <w:rFonts w:eastAsia="Times New Roman" w:cs="Times New Roman"/>
                <w:sz w:val="26"/>
                <w:szCs w:val="26"/>
                <w:lang w:eastAsia="lv-LV"/>
              </w:rPr>
            </w:pPr>
            <w:r w:rsidRPr="003D3179">
              <w:rPr>
                <w:rFonts w:eastAsia="Times New Roman" w:cs="Times New Roman"/>
                <w:sz w:val="26"/>
                <w:szCs w:val="26"/>
                <w:lang w:eastAsia="lv-LV"/>
              </w:rPr>
              <w:t>3.</w:t>
            </w:r>
          </w:p>
        </w:tc>
        <w:tc>
          <w:tcPr>
            <w:tcW w:w="1336" w:type="pct"/>
            <w:tcBorders>
              <w:top w:val="outset" w:sz="6" w:space="0" w:color="auto"/>
              <w:left w:val="outset" w:sz="6" w:space="0" w:color="auto"/>
              <w:bottom w:val="outset" w:sz="6" w:space="0" w:color="auto"/>
              <w:right w:val="outset" w:sz="6" w:space="0" w:color="auto"/>
            </w:tcBorders>
            <w:hideMark/>
          </w:tcPr>
          <w:p w14:paraId="76FFD63A" w14:textId="77777777" w:rsidR="00180CDB" w:rsidRPr="003D3179" w:rsidRDefault="00180CDB" w:rsidP="00A77E23">
            <w:pPr>
              <w:rPr>
                <w:rFonts w:eastAsia="Times New Roman" w:cs="Times New Roman"/>
                <w:sz w:val="26"/>
                <w:szCs w:val="26"/>
                <w:lang w:eastAsia="lv-LV"/>
              </w:rPr>
            </w:pPr>
            <w:r w:rsidRPr="003D3179">
              <w:rPr>
                <w:rFonts w:eastAsia="Times New Roman" w:cs="Times New Roman"/>
                <w:sz w:val="26"/>
                <w:szCs w:val="26"/>
                <w:lang w:eastAsia="lv-LV"/>
              </w:rPr>
              <w:t>Cita informācija</w:t>
            </w:r>
          </w:p>
        </w:tc>
        <w:tc>
          <w:tcPr>
            <w:tcW w:w="3333" w:type="pct"/>
            <w:tcBorders>
              <w:top w:val="outset" w:sz="6" w:space="0" w:color="auto"/>
              <w:left w:val="outset" w:sz="6" w:space="0" w:color="auto"/>
              <w:bottom w:val="outset" w:sz="6" w:space="0" w:color="auto"/>
              <w:right w:val="outset" w:sz="6" w:space="0" w:color="auto"/>
            </w:tcBorders>
            <w:hideMark/>
          </w:tcPr>
          <w:p w14:paraId="4FCA5E30" w14:textId="77777777" w:rsidR="00180CDB" w:rsidRPr="003D3179" w:rsidRDefault="00180CDB" w:rsidP="00A77E23">
            <w:pPr>
              <w:spacing w:before="100" w:beforeAutospacing="1" w:after="100" w:afterAutospacing="1"/>
              <w:rPr>
                <w:rFonts w:eastAsia="Times New Roman" w:cs="Times New Roman"/>
                <w:sz w:val="26"/>
                <w:szCs w:val="26"/>
                <w:lang w:eastAsia="lv-LV"/>
              </w:rPr>
            </w:pPr>
            <w:r w:rsidRPr="003D3179">
              <w:rPr>
                <w:rFonts w:eastAsia="Times New Roman" w:cs="Times New Roman"/>
                <w:sz w:val="26"/>
                <w:szCs w:val="26"/>
                <w:lang w:eastAsia="lv-LV"/>
              </w:rPr>
              <w:t>Nav</w:t>
            </w:r>
          </w:p>
        </w:tc>
      </w:tr>
    </w:tbl>
    <w:p w14:paraId="1C7329A3" w14:textId="77777777" w:rsidR="00F8573A" w:rsidRPr="003D3179" w:rsidRDefault="00F8573A" w:rsidP="00082640">
      <w:pPr>
        <w:rPr>
          <w:rFonts w:cs="Times New Roman"/>
          <w:sz w:val="26"/>
          <w:szCs w:val="26"/>
        </w:rPr>
      </w:pPr>
    </w:p>
    <w:p w14:paraId="091113A2" w14:textId="77777777" w:rsidR="00F8573A" w:rsidRPr="003D3179" w:rsidRDefault="00F8573A" w:rsidP="00F8573A">
      <w:pPr>
        <w:jc w:val="both"/>
        <w:rPr>
          <w:rFonts w:eastAsia="Times New Roman" w:cs="Times New Roman"/>
          <w:sz w:val="26"/>
          <w:szCs w:val="26"/>
          <w:lang w:eastAsia="lv-LV"/>
        </w:rPr>
      </w:pPr>
      <w:r w:rsidRPr="003D3179">
        <w:rPr>
          <w:rFonts w:eastAsia="Times New Roman" w:cs="Times New Roman"/>
          <w:sz w:val="26"/>
          <w:szCs w:val="26"/>
          <w:lang w:eastAsia="lv-LV"/>
        </w:rPr>
        <w:t xml:space="preserve">Ministru prezidenta biedrs, </w:t>
      </w:r>
    </w:p>
    <w:p w14:paraId="6F2AD0EA" w14:textId="77777777" w:rsidR="00F8573A" w:rsidRPr="003D3179" w:rsidRDefault="00F8573A" w:rsidP="00F8573A">
      <w:pPr>
        <w:jc w:val="both"/>
        <w:rPr>
          <w:rFonts w:eastAsia="Times New Roman" w:cs="Times New Roman"/>
          <w:sz w:val="26"/>
          <w:szCs w:val="26"/>
          <w:lang w:eastAsia="lv-LV"/>
        </w:rPr>
      </w:pPr>
      <w:r w:rsidRPr="003D3179">
        <w:rPr>
          <w:rFonts w:eastAsia="Times New Roman" w:cs="Times New Roman"/>
          <w:sz w:val="26"/>
          <w:szCs w:val="26"/>
          <w:lang w:eastAsia="lv-LV"/>
        </w:rPr>
        <w:t>ekonomikas ministrs</w:t>
      </w:r>
      <w:r w:rsidRPr="003D3179">
        <w:rPr>
          <w:rFonts w:eastAsia="Times New Roman" w:cs="Times New Roman"/>
          <w:sz w:val="26"/>
          <w:szCs w:val="26"/>
          <w:lang w:eastAsia="lv-LV"/>
        </w:rPr>
        <w:tab/>
        <w:t xml:space="preserve">                  </w:t>
      </w:r>
      <w:r w:rsidRPr="003D3179">
        <w:rPr>
          <w:rFonts w:eastAsia="Times New Roman" w:cs="Times New Roman"/>
          <w:sz w:val="26"/>
          <w:szCs w:val="26"/>
          <w:lang w:eastAsia="lv-LV"/>
        </w:rPr>
        <w:tab/>
        <w:t xml:space="preserve">      </w:t>
      </w:r>
      <w:r w:rsidRPr="003D3179">
        <w:rPr>
          <w:rFonts w:eastAsia="Times New Roman" w:cs="Times New Roman"/>
          <w:sz w:val="26"/>
          <w:szCs w:val="26"/>
          <w:lang w:eastAsia="lv-LV"/>
        </w:rPr>
        <w:tab/>
      </w:r>
      <w:r w:rsidRPr="003D3179">
        <w:rPr>
          <w:rFonts w:eastAsia="Times New Roman" w:cs="Times New Roman"/>
          <w:sz w:val="26"/>
          <w:szCs w:val="26"/>
          <w:lang w:eastAsia="lv-LV"/>
        </w:rPr>
        <w:tab/>
        <w:t xml:space="preserve">            </w:t>
      </w:r>
      <w:r w:rsidR="00180CDB" w:rsidRPr="003D3179">
        <w:rPr>
          <w:rFonts w:eastAsia="Times New Roman" w:cs="Times New Roman"/>
          <w:sz w:val="26"/>
          <w:szCs w:val="26"/>
          <w:lang w:eastAsia="lv-LV"/>
        </w:rPr>
        <w:tab/>
      </w:r>
      <w:r w:rsidR="00587FC4" w:rsidRPr="003D3179">
        <w:rPr>
          <w:rFonts w:eastAsia="Times New Roman" w:cs="Times New Roman"/>
          <w:sz w:val="26"/>
          <w:szCs w:val="26"/>
          <w:lang w:eastAsia="lv-LV"/>
        </w:rPr>
        <w:t xml:space="preserve">     </w:t>
      </w:r>
      <w:r w:rsidRPr="003D3179">
        <w:rPr>
          <w:rFonts w:eastAsia="Times New Roman" w:cs="Times New Roman"/>
          <w:sz w:val="26"/>
          <w:szCs w:val="26"/>
          <w:lang w:eastAsia="lv-LV"/>
        </w:rPr>
        <w:t xml:space="preserve"> A.Ašeradens</w:t>
      </w:r>
    </w:p>
    <w:p w14:paraId="589DA182" w14:textId="77777777" w:rsidR="00F8573A" w:rsidRPr="003D3179" w:rsidRDefault="00F8573A" w:rsidP="00F8573A">
      <w:pPr>
        <w:jc w:val="both"/>
        <w:rPr>
          <w:rFonts w:eastAsia="Times New Roman" w:cs="Times New Roman"/>
          <w:sz w:val="26"/>
          <w:szCs w:val="26"/>
          <w:lang w:eastAsia="lv-LV"/>
        </w:rPr>
      </w:pPr>
    </w:p>
    <w:p w14:paraId="3249E5D9" w14:textId="77777777" w:rsidR="00F8573A" w:rsidRPr="003D3179" w:rsidRDefault="00F8573A" w:rsidP="00F8573A">
      <w:pPr>
        <w:jc w:val="both"/>
        <w:rPr>
          <w:rFonts w:eastAsia="Times New Roman" w:cs="Times New Roman"/>
          <w:sz w:val="26"/>
          <w:szCs w:val="26"/>
          <w:lang w:eastAsia="lv-LV"/>
        </w:rPr>
      </w:pPr>
      <w:r w:rsidRPr="003D3179">
        <w:rPr>
          <w:rFonts w:eastAsia="Times New Roman" w:cs="Times New Roman"/>
          <w:sz w:val="26"/>
          <w:szCs w:val="26"/>
          <w:lang w:eastAsia="lv-LV"/>
        </w:rPr>
        <w:t>Vīza:</w:t>
      </w:r>
    </w:p>
    <w:p w14:paraId="580385B4" w14:textId="77777777" w:rsidR="00F8573A" w:rsidRPr="003D3179" w:rsidRDefault="00DE0030" w:rsidP="00F8573A">
      <w:pPr>
        <w:jc w:val="both"/>
        <w:rPr>
          <w:rFonts w:eastAsia="Calibri" w:cs="Times New Roman"/>
          <w:sz w:val="26"/>
          <w:szCs w:val="26"/>
        </w:rPr>
      </w:pPr>
      <w:r w:rsidRPr="003D3179">
        <w:rPr>
          <w:rFonts w:eastAsia="Times New Roman" w:cs="Times New Roman"/>
          <w:sz w:val="26"/>
          <w:szCs w:val="26"/>
          <w:lang w:eastAsia="lv-LV"/>
        </w:rPr>
        <w:t>Valsts sekretārs</w:t>
      </w:r>
      <w:r w:rsidR="00F8573A" w:rsidRPr="003D3179">
        <w:rPr>
          <w:rFonts w:eastAsia="Times New Roman" w:cs="Times New Roman"/>
          <w:sz w:val="26"/>
          <w:szCs w:val="26"/>
          <w:lang w:eastAsia="lv-LV"/>
        </w:rPr>
        <w:tab/>
      </w:r>
      <w:r w:rsidR="00F8573A" w:rsidRPr="003D3179">
        <w:rPr>
          <w:rFonts w:eastAsia="Times New Roman" w:cs="Times New Roman"/>
          <w:sz w:val="26"/>
          <w:szCs w:val="26"/>
          <w:lang w:eastAsia="lv-LV"/>
        </w:rPr>
        <w:tab/>
      </w:r>
      <w:r w:rsidR="00F8573A" w:rsidRPr="003D3179">
        <w:rPr>
          <w:rFonts w:eastAsia="Times New Roman" w:cs="Times New Roman"/>
          <w:sz w:val="26"/>
          <w:szCs w:val="26"/>
          <w:lang w:eastAsia="lv-LV"/>
        </w:rPr>
        <w:tab/>
      </w:r>
      <w:r w:rsidR="00F8573A" w:rsidRPr="003D3179">
        <w:rPr>
          <w:rFonts w:eastAsia="Times New Roman" w:cs="Times New Roman"/>
          <w:sz w:val="26"/>
          <w:szCs w:val="26"/>
          <w:lang w:eastAsia="lv-LV"/>
        </w:rPr>
        <w:tab/>
      </w:r>
      <w:r w:rsidR="00F8573A" w:rsidRPr="003D3179">
        <w:rPr>
          <w:rFonts w:eastAsia="Times New Roman" w:cs="Times New Roman"/>
          <w:sz w:val="26"/>
          <w:szCs w:val="26"/>
          <w:lang w:eastAsia="lv-LV"/>
        </w:rPr>
        <w:tab/>
      </w:r>
      <w:r w:rsidR="00F8573A" w:rsidRPr="003D3179">
        <w:rPr>
          <w:rFonts w:eastAsia="Times New Roman" w:cs="Times New Roman"/>
          <w:sz w:val="26"/>
          <w:szCs w:val="26"/>
          <w:lang w:eastAsia="lv-LV"/>
        </w:rPr>
        <w:tab/>
      </w:r>
      <w:r w:rsidRPr="003D3179">
        <w:rPr>
          <w:rFonts w:eastAsia="Times New Roman" w:cs="Times New Roman"/>
          <w:sz w:val="26"/>
          <w:szCs w:val="26"/>
          <w:lang w:eastAsia="lv-LV"/>
        </w:rPr>
        <w:tab/>
      </w:r>
      <w:r w:rsidRPr="003D3179">
        <w:rPr>
          <w:rFonts w:eastAsia="Times New Roman" w:cs="Times New Roman"/>
          <w:sz w:val="26"/>
          <w:szCs w:val="26"/>
          <w:lang w:eastAsia="lv-LV"/>
        </w:rPr>
        <w:tab/>
        <w:t>J</w:t>
      </w:r>
      <w:r w:rsidR="00F8573A" w:rsidRPr="003D3179">
        <w:rPr>
          <w:rFonts w:eastAsia="Times New Roman" w:cs="Times New Roman"/>
          <w:sz w:val="26"/>
          <w:szCs w:val="26"/>
          <w:lang w:eastAsia="lv-LV"/>
        </w:rPr>
        <w:t>.</w:t>
      </w:r>
      <w:r w:rsidRPr="003D3179">
        <w:rPr>
          <w:rFonts w:eastAsia="Times New Roman" w:cs="Times New Roman"/>
          <w:sz w:val="26"/>
          <w:szCs w:val="26"/>
          <w:lang w:eastAsia="lv-LV"/>
        </w:rPr>
        <w:t>Stinka</w:t>
      </w:r>
    </w:p>
    <w:p w14:paraId="63FAEA0B" w14:textId="77777777" w:rsidR="00FE5CD9" w:rsidRDefault="00FE5CD9" w:rsidP="00082640">
      <w:pPr>
        <w:rPr>
          <w:rFonts w:cs="Times New Roman"/>
          <w:sz w:val="20"/>
          <w:szCs w:val="20"/>
        </w:rPr>
      </w:pPr>
    </w:p>
    <w:p w14:paraId="660A4DAC" w14:textId="77777777" w:rsidR="00A107E4" w:rsidRDefault="00A107E4" w:rsidP="00082640">
      <w:pPr>
        <w:rPr>
          <w:rFonts w:cs="Times New Roman"/>
          <w:sz w:val="20"/>
          <w:szCs w:val="20"/>
        </w:rPr>
      </w:pPr>
    </w:p>
    <w:p w14:paraId="34529F65" w14:textId="77777777" w:rsidR="00A107E4" w:rsidRDefault="00A107E4" w:rsidP="00082640">
      <w:pPr>
        <w:rPr>
          <w:rFonts w:cs="Times New Roman"/>
          <w:sz w:val="20"/>
          <w:szCs w:val="20"/>
        </w:rPr>
      </w:pPr>
    </w:p>
    <w:p w14:paraId="60B9AC59" w14:textId="77777777" w:rsidR="00A107E4" w:rsidRPr="00BB073E" w:rsidRDefault="00A107E4" w:rsidP="00082640">
      <w:pPr>
        <w:rPr>
          <w:rFonts w:cs="Times New Roman"/>
          <w:sz w:val="20"/>
          <w:szCs w:val="20"/>
        </w:rPr>
      </w:pPr>
    </w:p>
    <w:p w14:paraId="2BF184AF" w14:textId="394AD2A5" w:rsidR="00D70A5F" w:rsidRPr="00165E24" w:rsidRDefault="00D70A5F" w:rsidP="00D70A5F">
      <w:pPr>
        <w:jc w:val="both"/>
        <w:rPr>
          <w:color w:val="000000" w:themeColor="text1"/>
          <w:sz w:val="20"/>
          <w:szCs w:val="20"/>
        </w:rPr>
      </w:pPr>
      <w:r>
        <w:rPr>
          <w:color w:val="000000" w:themeColor="text1"/>
          <w:sz w:val="20"/>
          <w:szCs w:val="20"/>
        </w:rPr>
        <w:fldChar w:fldCharType="begin"/>
      </w:r>
      <w:r>
        <w:rPr>
          <w:color w:val="000000" w:themeColor="text1"/>
          <w:sz w:val="20"/>
          <w:szCs w:val="20"/>
        </w:rPr>
        <w:instrText xml:space="preserve"> DATE  \@ "dd.MM.yyyy HH:mm"  \* MERGEFORMAT </w:instrText>
      </w:r>
      <w:r>
        <w:rPr>
          <w:color w:val="000000" w:themeColor="text1"/>
          <w:sz w:val="20"/>
          <w:szCs w:val="20"/>
        </w:rPr>
        <w:fldChar w:fldCharType="separate"/>
      </w:r>
      <w:r w:rsidR="00B87680">
        <w:rPr>
          <w:noProof/>
          <w:color w:val="000000" w:themeColor="text1"/>
          <w:sz w:val="20"/>
          <w:szCs w:val="20"/>
        </w:rPr>
        <w:t>02.12.2016 11:16</w:t>
      </w:r>
      <w:r>
        <w:rPr>
          <w:color w:val="000000" w:themeColor="text1"/>
          <w:sz w:val="20"/>
          <w:szCs w:val="20"/>
        </w:rPr>
        <w:fldChar w:fldCharType="end"/>
      </w:r>
    </w:p>
    <w:p w14:paraId="6B7BFB7F" w14:textId="5C72E29A" w:rsidR="00D70A5F" w:rsidRPr="00165E24" w:rsidRDefault="00D70A5F" w:rsidP="00D70A5F">
      <w:pPr>
        <w:pStyle w:val="NormalWeb"/>
        <w:spacing w:before="0" w:beforeAutospacing="0" w:after="0" w:afterAutospacing="0"/>
        <w:jc w:val="both"/>
        <w:rPr>
          <w:color w:val="000000" w:themeColor="text1"/>
          <w:sz w:val="20"/>
          <w:szCs w:val="20"/>
          <w:lang w:eastAsia="lv-LV"/>
        </w:rPr>
      </w:pPr>
      <w:r>
        <w:rPr>
          <w:color w:val="000000" w:themeColor="text1"/>
          <w:sz w:val="20"/>
          <w:szCs w:val="20"/>
          <w:lang w:eastAsia="lv-LV"/>
        </w:rPr>
        <w:fldChar w:fldCharType="begin"/>
      </w:r>
      <w:r>
        <w:rPr>
          <w:color w:val="000000" w:themeColor="text1"/>
          <w:sz w:val="20"/>
          <w:szCs w:val="20"/>
          <w:lang w:eastAsia="lv-LV"/>
        </w:rPr>
        <w:instrText xml:space="preserve"> NUMWORDS   \* MERGEFORMAT </w:instrText>
      </w:r>
      <w:r>
        <w:rPr>
          <w:color w:val="000000" w:themeColor="text1"/>
          <w:sz w:val="20"/>
          <w:szCs w:val="20"/>
          <w:lang w:eastAsia="lv-LV"/>
        </w:rPr>
        <w:fldChar w:fldCharType="separate"/>
      </w:r>
      <w:r w:rsidR="00B87680">
        <w:rPr>
          <w:noProof/>
          <w:color w:val="000000" w:themeColor="text1"/>
          <w:sz w:val="20"/>
          <w:szCs w:val="20"/>
          <w:lang w:eastAsia="lv-LV"/>
        </w:rPr>
        <w:t>1694</w:t>
      </w:r>
      <w:r>
        <w:rPr>
          <w:color w:val="000000" w:themeColor="text1"/>
          <w:sz w:val="20"/>
          <w:szCs w:val="20"/>
          <w:lang w:eastAsia="lv-LV"/>
        </w:rPr>
        <w:fldChar w:fldCharType="end"/>
      </w:r>
    </w:p>
    <w:p w14:paraId="0E6C33BF" w14:textId="77777777" w:rsidR="00D70A5F" w:rsidRPr="00165E24" w:rsidRDefault="00D70A5F" w:rsidP="00D70A5F">
      <w:pPr>
        <w:pStyle w:val="NormalWeb"/>
        <w:spacing w:before="0" w:beforeAutospacing="0" w:after="0" w:afterAutospacing="0"/>
        <w:jc w:val="both"/>
        <w:rPr>
          <w:color w:val="000000" w:themeColor="text1"/>
          <w:sz w:val="20"/>
          <w:szCs w:val="20"/>
        </w:rPr>
      </w:pPr>
      <w:r>
        <w:rPr>
          <w:color w:val="000000" w:themeColor="text1"/>
          <w:sz w:val="20"/>
          <w:szCs w:val="20"/>
        </w:rPr>
        <w:t>N</w:t>
      </w:r>
      <w:r w:rsidRPr="00165E24">
        <w:rPr>
          <w:color w:val="000000" w:themeColor="text1"/>
          <w:sz w:val="20"/>
          <w:szCs w:val="20"/>
        </w:rPr>
        <w:t>.</w:t>
      </w:r>
      <w:r>
        <w:rPr>
          <w:color w:val="000000" w:themeColor="text1"/>
          <w:sz w:val="20"/>
          <w:szCs w:val="20"/>
        </w:rPr>
        <w:t>Freibergs</w:t>
      </w:r>
      <w:r w:rsidRPr="00165E24">
        <w:rPr>
          <w:color w:val="000000" w:themeColor="text1"/>
          <w:sz w:val="20"/>
          <w:szCs w:val="20"/>
        </w:rPr>
        <w:t>,</w:t>
      </w:r>
      <w:r>
        <w:rPr>
          <w:color w:val="000000" w:themeColor="text1"/>
          <w:sz w:val="20"/>
          <w:szCs w:val="20"/>
        </w:rPr>
        <w:t xml:space="preserve"> </w:t>
      </w:r>
      <w:r w:rsidRPr="00165E24">
        <w:rPr>
          <w:color w:val="000000" w:themeColor="text1"/>
          <w:sz w:val="20"/>
          <w:szCs w:val="20"/>
        </w:rPr>
        <w:t>670132</w:t>
      </w:r>
      <w:r>
        <w:rPr>
          <w:color w:val="000000" w:themeColor="text1"/>
          <w:sz w:val="20"/>
          <w:szCs w:val="20"/>
        </w:rPr>
        <w:t>68</w:t>
      </w:r>
    </w:p>
    <w:p w14:paraId="6809DC8F" w14:textId="77777777" w:rsidR="00B84DA6" w:rsidRPr="004D0B36" w:rsidRDefault="00D70A5F" w:rsidP="004D0B36">
      <w:pPr>
        <w:tabs>
          <w:tab w:val="center" w:pos="4535"/>
        </w:tabs>
        <w:rPr>
          <w:rFonts w:cs="Times New Roman"/>
          <w:szCs w:val="28"/>
        </w:rPr>
      </w:pPr>
      <w:r w:rsidRPr="004E374E">
        <w:rPr>
          <w:sz w:val="20"/>
          <w:szCs w:val="20"/>
        </w:rPr>
        <w:t>Normunds.Freibergs@e</w:t>
      </w:r>
      <w:bookmarkStart w:id="4" w:name="_GoBack"/>
      <w:bookmarkEnd w:id="4"/>
      <w:r w:rsidRPr="004E374E">
        <w:rPr>
          <w:sz w:val="20"/>
          <w:szCs w:val="20"/>
        </w:rPr>
        <w:t>m.gov.lv</w:t>
      </w:r>
      <w:bookmarkStart w:id="5" w:name="c"/>
      <w:bookmarkEnd w:id="5"/>
    </w:p>
    <w:sectPr w:rsidR="00B84DA6" w:rsidRPr="004D0B36">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CC9D2" w14:textId="77777777" w:rsidR="00E27716" w:rsidRDefault="00E27716" w:rsidP="00FE5CD9">
      <w:r>
        <w:separator/>
      </w:r>
    </w:p>
  </w:endnote>
  <w:endnote w:type="continuationSeparator" w:id="0">
    <w:p w14:paraId="65C0E562" w14:textId="77777777" w:rsidR="00E27716" w:rsidRDefault="00E27716" w:rsidP="00FE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1243E" w14:textId="77777777" w:rsidR="00F14585" w:rsidRDefault="00F14585" w:rsidP="00F14585">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FDFA" w14:textId="34C25B2E" w:rsidR="00FE5CD9" w:rsidRPr="00FE5CD9" w:rsidRDefault="00DB4308" w:rsidP="00F14585">
    <w:pPr>
      <w:pStyle w:val="Footer"/>
      <w:jc w:val="both"/>
      <w:rPr>
        <w:sz w:val="20"/>
        <w:szCs w:val="20"/>
      </w:rPr>
    </w:pPr>
    <w:r>
      <w:rPr>
        <w:sz w:val="20"/>
        <w:szCs w:val="20"/>
      </w:rPr>
      <w:t>EMAnot_</w:t>
    </w:r>
    <w:r w:rsidR="00D51FEC">
      <w:rPr>
        <w:sz w:val="20"/>
        <w:szCs w:val="20"/>
      </w:rPr>
      <w:t>0</w:t>
    </w:r>
    <w:r w:rsidR="00B87680">
      <w:rPr>
        <w:sz w:val="20"/>
        <w:szCs w:val="20"/>
      </w:rPr>
      <w:t>2</w:t>
    </w:r>
    <w:r w:rsidR="00D51FEC">
      <w:rPr>
        <w:sz w:val="20"/>
        <w:szCs w:val="20"/>
      </w:rPr>
      <w:t>12</w:t>
    </w:r>
    <w:r w:rsidR="00FE5CD9">
      <w:rPr>
        <w:sz w:val="20"/>
        <w:szCs w:val="20"/>
      </w:rPr>
      <w:t>16_BITU</w:t>
    </w:r>
    <w:r w:rsidR="00FE5CD9" w:rsidRPr="00E033A0">
      <w:rPr>
        <w:sz w:val="20"/>
        <w:szCs w:val="20"/>
      </w:rPr>
      <w:t xml:space="preserve">; </w:t>
    </w:r>
    <w:r w:rsidR="00FE5CD9" w:rsidRPr="005F2492">
      <w:rPr>
        <w:rFonts w:eastAsia="Times New Roman" w:cs="Times New Roman"/>
        <w:sz w:val="20"/>
        <w:szCs w:val="20"/>
        <w:lang w:val="x-none" w:eastAsia="x-none"/>
      </w:rPr>
      <w:t>Likumprojekta „Grozījum</w:t>
    </w:r>
    <w:r w:rsidR="00FE5CD9">
      <w:rPr>
        <w:rFonts w:eastAsia="Times New Roman" w:cs="Times New Roman"/>
        <w:sz w:val="20"/>
        <w:szCs w:val="20"/>
        <w:lang w:eastAsia="x-none"/>
      </w:rPr>
      <w:t>i</w:t>
    </w:r>
    <w:r w:rsidR="00FE5CD9" w:rsidRPr="005F2492">
      <w:rPr>
        <w:rFonts w:eastAsia="Times New Roman" w:cs="Times New Roman"/>
        <w:sz w:val="20"/>
        <w:szCs w:val="20"/>
        <w:lang w:val="x-none" w:eastAsia="x-none"/>
      </w:rPr>
      <w:t xml:space="preserve"> </w:t>
    </w:r>
    <w:r w:rsidR="00FE5CD9">
      <w:rPr>
        <w:rFonts w:eastAsia="Times New Roman" w:cs="Times New Roman"/>
        <w:sz w:val="20"/>
        <w:szCs w:val="20"/>
        <w:lang w:eastAsia="x-none"/>
      </w:rPr>
      <w:t>likumā “Par bīstamo iekārtu tehnisko uzraudzību</w:t>
    </w:r>
    <w:r w:rsidR="00FE5CD9" w:rsidRPr="005F2492">
      <w:rPr>
        <w:rFonts w:eastAsia="Times New Roman" w:cs="Times New Roman"/>
        <w:sz w:val="20"/>
        <w:szCs w:val="20"/>
        <w:lang w:val="x-none" w:eastAsia="x-none"/>
      </w:rPr>
      <w:t>” sākotnējas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4BC86" w14:textId="77777777" w:rsidR="00E27716" w:rsidRDefault="00E27716" w:rsidP="00FE5CD9">
      <w:r>
        <w:separator/>
      </w:r>
    </w:p>
  </w:footnote>
  <w:footnote w:type="continuationSeparator" w:id="0">
    <w:p w14:paraId="1CF5D0F5" w14:textId="77777777" w:rsidR="00E27716" w:rsidRDefault="00E27716" w:rsidP="00FE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E2C2" w14:textId="77777777" w:rsidR="00F14585" w:rsidRDefault="00F14585" w:rsidP="00F14585">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763"/>
    <w:multiLevelType w:val="multilevel"/>
    <w:tmpl w:val="92BEE7A4"/>
    <w:lvl w:ilvl="0">
      <w:start w:val="1"/>
      <w:numFmt w:val="decimal"/>
      <w:lvlText w:val="%1)"/>
      <w:lvlJc w:val="left"/>
      <w:pPr>
        <w:ind w:left="1080" w:hanging="74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A671984"/>
    <w:multiLevelType w:val="hybridMultilevel"/>
    <w:tmpl w:val="87868A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1749FF"/>
    <w:multiLevelType w:val="hybridMultilevel"/>
    <w:tmpl w:val="4C16583A"/>
    <w:lvl w:ilvl="0" w:tplc="9F225D5E">
      <w:start w:val="1"/>
      <w:numFmt w:val="decimal"/>
      <w:lvlText w:val="%1)"/>
      <w:lvlJc w:val="left"/>
      <w:pPr>
        <w:ind w:left="700" w:hanging="360"/>
      </w:pPr>
      <w:rPr>
        <w:rFonts w:hint="default"/>
      </w:rPr>
    </w:lvl>
    <w:lvl w:ilvl="1" w:tplc="04260019" w:tentative="1">
      <w:start w:val="1"/>
      <w:numFmt w:val="lowerLetter"/>
      <w:lvlText w:val="%2."/>
      <w:lvlJc w:val="left"/>
      <w:pPr>
        <w:ind w:left="1420" w:hanging="360"/>
      </w:pPr>
    </w:lvl>
    <w:lvl w:ilvl="2" w:tplc="0426001B" w:tentative="1">
      <w:start w:val="1"/>
      <w:numFmt w:val="lowerRoman"/>
      <w:lvlText w:val="%3."/>
      <w:lvlJc w:val="right"/>
      <w:pPr>
        <w:ind w:left="2140" w:hanging="180"/>
      </w:pPr>
    </w:lvl>
    <w:lvl w:ilvl="3" w:tplc="0426000F" w:tentative="1">
      <w:start w:val="1"/>
      <w:numFmt w:val="decimal"/>
      <w:lvlText w:val="%4."/>
      <w:lvlJc w:val="left"/>
      <w:pPr>
        <w:ind w:left="2860" w:hanging="360"/>
      </w:pPr>
    </w:lvl>
    <w:lvl w:ilvl="4" w:tplc="04260019" w:tentative="1">
      <w:start w:val="1"/>
      <w:numFmt w:val="lowerLetter"/>
      <w:lvlText w:val="%5."/>
      <w:lvlJc w:val="left"/>
      <w:pPr>
        <w:ind w:left="3580" w:hanging="360"/>
      </w:pPr>
    </w:lvl>
    <w:lvl w:ilvl="5" w:tplc="0426001B" w:tentative="1">
      <w:start w:val="1"/>
      <w:numFmt w:val="lowerRoman"/>
      <w:lvlText w:val="%6."/>
      <w:lvlJc w:val="right"/>
      <w:pPr>
        <w:ind w:left="4300" w:hanging="180"/>
      </w:pPr>
    </w:lvl>
    <w:lvl w:ilvl="6" w:tplc="0426000F" w:tentative="1">
      <w:start w:val="1"/>
      <w:numFmt w:val="decimal"/>
      <w:lvlText w:val="%7."/>
      <w:lvlJc w:val="left"/>
      <w:pPr>
        <w:ind w:left="5020" w:hanging="360"/>
      </w:pPr>
    </w:lvl>
    <w:lvl w:ilvl="7" w:tplc="04260019" w:tentative="1">
      <w:start w:val="1"/>
      <w:numFmt w:val="lowerLetter"/>
      <w:lvlText w:val="%8."/>
      <w:lvlJc w:val="left"/>
      <w:pPr>
        <w:ind w:left="5740" w:hanging="360"/>
      </w:pPr>
    </w:lvl>
    <w:lvl w:ilvl="8" w:tplc="0426001B" w:tentative="1">
      <w:start w:val="1"/>
      <w:numFmt w:val="lowerRoman"/>
      <w:lvlText w:val="%9."/>
      <w:lvlJc w:val="right"/>
      <w:pPr>
        <w:ind w:left="6460" w:hanging="180"/>
      </w:pPr>
    </w:lvl>
  </w:abstractNum>
  <w:abstractNum w:abstractNumId="3" w15:restartNumberingAfterBreak="0">
    <w:nsid w:val="49B15157"/>
    <w:multiLevelType w:val="hybridMultilevel"/>
    <w:tmpl w:val="93B409AA"/>
    <w:lvl w:ilvl="0" w:tplc="368AC4BA">
      <w:start w:val="1"/>
      <w:numFmt w:val="decimal"/>
      <w:lvlText w:val="%1)"/>
      <w:lvlJc w:val="left"/>
      <w:pPr>
        <w:ind w:left="715" w:hanging="375"/>
      </w:pPr>
      <w:rPr>
        <w:rFonts w:hint="default"/>
      </w:rPr>
    </w:lvl>
    <w:lvl w:ilvl="1" w:tplc="04260019" w:tentative="1">
      <w:start w:val="1"/>
      <w:numFmt w:val="lowerLetter"/>
      <w:lvlText w:val="%2."/>
      <w:lvlJc w:val="left"/>
      <w:pPr>
        <w:ind w:left="1420" w:hanging="360"/>
      </w:pPr>
    </w:lvl>
    <w:lvl w:ilvl="2" w:tplc="0426001B" w:tentative="1">
      <w:start w:val="1"/>
      <w:numFmt w:val="lowerRoman"/>
      <w:lvlText w:val="%3."/>
      <w:lvlJc w:val="right"/>
      <w:pPr>
        <w:ind w:left="2140" w:hanging="180"/>
      </w:pPr>
    </w:lvl>
    <w:lvl w:ilvl="3" w:tplc="0426000F" w:tentative="1">
      <w:start w:val="1"/>
      <w:numFmt w:val="decimal"/>
      <w:lvlText w:val="%4."/>
      <w:lvlJc w:val="left"/>
      <w:pPr>
        <w:ind w:left="2860" w:hanging="360"/>
      </w:pPr>
    </w:lvl>
    <w:lvl w:ilvl="4" w:tplc="04260019" w:tentative="1">
      <w:start w:val="1"/>
      <w:numFmt w:val="lowerLetter"/>
      <w:lvlText w:val="%5."/>
      <w:lvlJc w:val="left"/>
      <w:pPr>
        <w:ind w:left="3580" w:hanging="360"/>
      </w:pPr>
    </w:lvl>
    <w:lvl w:ilvl="5" w:tplc="0426001B" w:tentative="1">
      <w:start w:val="1"/>
      <w:numFmt w:val="lowerRoman"/>
      <w:lvlText w:val="%6."/>
      <w:lvlJc w:val="right"/>
      <w:pPr>
        <w:ind w:left="4300" w:hanging="180"/>
      </w:pPr>
    </w:lvl>
    <w:lvl w:ilvl="6" w:tplc="0426000F" w:tentative="1">
      <w:start w:val="1"/>
      <w:numFmt w:val="decimal"/>
      <w:lvlText w:val="%7."/>
      <w:lvlJc w:val="left"/>
      <w:pPr>
        <w:ind w:left="5020" w:hanging="360"/>
      </w:pPr>
    </w:lvl>
    <w:lvl w:ilvl="7" w:tplc="04260019" w:tentative="1">
      <w:start w:val="1"/>
      <w:numFmt w:val="lowerLetter"/>
      <w:lvlText w:val="%8."/>
      <w:lvlJc w:val="left"/>
      <w:pPr>
        <w:ind w:left="5740" w:hanging="360"/>
      </w:pPr>
    </w:lvl>
    <w:lvl w:ilvl="8" w:tplc="0426001B" w:tentative="1">
      <w:start w:val="1"/>
      <w:numFmt w:val="lowerRoman"/>
      <w:lvlText w:val="%9."/>
      <w:lvlJc w:val="right"/>
      <w:pPr>
        <w:ind w:left="6460" w:hanging="180"/>
      </w:pPr>
    </w:lvl>
  </w:abstractNum>
  <w:abstractNum w:abstractNumId="4" w15:restartNumberingAfterBreak="0">
    <w:nsid w:val="50435DD6"/>
    <w:multiLevelType w:val="hybridMultilevel"/>
    <w:tmpl w:val="CB34451E"/>
    <w:lvl w:ilvl="0" w:tplc="49C477DC">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9846C5B"/>
    <w:multiLevelType w:val="hybridMultilevel"/>
    <w:tmpl w:val="5E12654C"/>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6" w15:restartNumberingAfterBreak="0">
    <w:nsid w:val="5AD90426"/>
    <w:multiLevelType w:val="hybridMultilevel"/>
    <w:tmpl w:val="B1E2A7E4"/>
    <w:lvl w:ilvl="0" w:tplc="77FED98C">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5B52243A"/>
    <w:multiLevelType w:val="hybridMultilevel"/>
    <w:tmpl w:val="FBB4BB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DCF6FA1"/>
    <w:multiLevelType w:val="hybridMultilevel"/>
    <w:tmpl w:val="8B86118A"/>
    <w:lvl w:ilvl="0" w:tplc="FDD69E9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01702DC"/>
    <w:multiLevelType w:val="hybridMultilevel"/>
    <w:tmpl w:val="3BC43E6C"/>
    <w:lvl w:ilvl="0" w:tplc="CAA4AE54">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5"/>
  </w:num>
  <w:num w:numId="6">
    <w:abstractNumId w:val="9"/>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39"/>
    <w:rsid w:val="00026464"/>
    <w:rsid w:val="0002704A"/>
    <w:rsid w:val="00055C4E"/>
    <w:rsid w:val="00082640"/>
    <w:rsid w:val="000F37B4"/>
    <w:rsid w:val="00126B06"/>
    <w:rsid w:val="00130A9E"/>
    <w:rsid w:val="00160385"/>
    <w:rsid w:val="00180CDB"/>
    <w:rsid w:val="00181FBC"/>
    <w:rsid w:val="001C46C0"/>
    <w:rsid w:val="001D6675"/>
    <w:rsid w:val="001E56DA"/>
    <w:rsid w:val="002024DD"/>
    <w:rsid w:val="00221B42"/>
    <w:rsid w:val="00263D42"/>
    <w:rsid w:val="002C46E4"/>
    <w:rsid w:val="002C7357"/>
    <w:rsid w:val="00305876"/>
    <w:rsid w:val="003268E7"/>
    <w:rsid w:val="003546A7"/>
    <w:rsid w:val="003851AD"/>
    <w:rsid w:val="00394C7C"/>
    <w:rsid w:val="003A4144"/>
    <w:rsid w:val="003D3179"/>
    <w:rsid w:val="003E6C2F"/>
    <w:rsid w:val="003E716C"/>
    <w:rsid w:val="003F3A1C"/>
    <w:rsid w:val="00403519"/>
    <w:rsid w:val="00406507"/>
    <w:rsid w:val="00412E0E"/>
    <w:rsid w:val="00426835"/>
    <w:rsid w:val="00442B96"/>
    <w:rsid w:val="0044698F"/>
    <w:rsid w:val="004745BB"/>
    <w:rsid w:val="00480CCA"/>
    <w:rsid w:val="00481E24"/>
    <w:rsid w:val="004B5D93"/>
    <w:rsid w:val="004C2444"/>
    <w:rsid w:val="004D0B36"/>
    <w:rsid w:val="004E374E"/>
    <w:rsid w:val="00505D0B"/>
    <w:rsid w:val="00510DBE"/>
    <w:rsid w:val="00511A39"/>
    <w:rsid w:val="00516ECB"/>
    <w:rsid w:val="00535F47"/>
    <w:rsid w:val="0056674F"/>
    <w:rsid w:val="00587FC4"/>
    <w:rsid w:val="00591B94"/>
    <w:rsid w:val="005927C7"/>
    <w:rsid w:val="005B3580"/>
    <w:rsid w:val="005C202B"/>
    <w:rsid w:val="005E193E"/>
    <w:rsid w:val="005F3147"/>
    <w:rsid w:val="00601BA4"/>
    <w:rsid w:val="006023C0"/>
    <w:rsid w:val="00603EF2"/>
    <w:rsid w:val="00610260"/>
    <w:rsid w:val="00612E20"/>
    <w:rsid w:val="00626AC6"/>
    <w:rsid w:val="00643522"/>
    <w:rsid w:val="0064431E"/>
    <w:rsid w:val="00646BC8"/>
    <w:rsid w:val="00695CC9"/>
    <w:rsid w:val="00697018"/>
    <w:rsid w:val="007000FF"/>
    <w:rsid w:val="00702294"/>
    <w:rsid w:val="00705AAC"/>
    <w:rsid w:val="00714F76"/>
    <w:rsid w:val="00723958"/>
    <w:rsid w:val="00732AF8"/>
    <w:rsid w:val="0074502A"/>
    <w:rsid w:val="00750C41"/>
    <w:rsid w:val="00752952"/>
    <w:rsid w:val="0075569C"/>
    <w:rsid w:val="00770E2F"/>
    <w:rsid w:val="007721B5"/>
    <w:rsid w:val="00773320"/>
    <w:rsid w:val="007A1817"/>
    <w:rsid w:val="007A4843"/>
    <w:rsid w:val="007A50D5"/>
    <w:rsid w:val="007B6F9F"/>
    <w:rsid w:val="007C7F1E"/>
    <w:rsid w:val="007F3231"/>
    <w:rsid w:val="007F69A7"/>
    <w:rsid w:val="00820236"/>
    <w:rsid w:val="00822F82"/>
    <w:rsid w:val="008247E6"/>
    <w:rsid w:val="008449EA"/>
    <w:rsid w:val="00856D75"/>
    <w:rsid w:val="008A7EA0"/>
    <w:rsid w:val="008B3A39"/>
    <w:rsid w:val="008C13F8"/>
    <w:rsid w:val="008F0CB0"/>
    <w:rsid w:val="008F7D22"/>
    <w:rsid w:val="009024F4"/>
    <w:rsid w:val="009230AE"/>
    <w:rsid w:val="009344CE"/>
    <w:rsid w:val="009474C2"/>
    <w:rsid w:val="0094760A"/>
    <w:rsid w:val="00952C47"/>
    <w:rsid w:val="009816AF"/>
    <w:rsid w:val="00993684"/>
    <w:rsid w:val="00997E2C"/>
    <w:rsid w:val="009A3C3B"/>
    <w:rsid w:val="009B0137"/>
    <w:rsid w:val="009C76E7"/>
    <w:rsid w:val="009D5331"/>
    <w:rsid w:val="009D62F7"/>
    <w:rsid w:val="009D77B1"/>
    <w:rsid w:val="00A017A7"/>
    <w:rsid w:val="00A04490"/>
    <w:rsid w:val="00A100F0"/>
    <w:rsid w:val="00A107E4"/>
    <w:rsid w:val="00A13325"/>
    <w:rsid w:val="00A14D7D"/>
    <w:rsid w:val="00A81A48"/>
    <w:rsid w:val="00AA7AD5"/>
    <w:rsid w:val="00AB5005"/>
    <w:rsid w:val="00AC1BC8"/>
    <w:rsid w:val="00AC3CDF"/>
    <w:rsid w:val="00B26F58"/>
    <w:rsid w:val="00B34F75"/>
    <w:rsid w:val="00B50EC8"/>
    <w:rsid w:val="00B60C75"/>
    <w:rsid w:val="00B84DA6"/>
    <w:rsid w:val="00B85326"/>
    <w:rsid w:val="00B87680"/>
    <w:rsid w:val="00B94FF3"/>
    <w:rsid w:val="00BA0254"/>
    <w:rsid w:val="00BA504B"/>
    <w:rsid w:val="00BA5652"/>
    <w:rsid w:val="00BB073E"/>
    <w:rsid w:val="00BC4554"/>
    <w:rsid w:val="00BD5CD3"/>
    <w:rsid w:val="00C03B86"/>
    <w:rsid w:val="00C175A6"/>
    <w:rsid w:val="00C34A8D"/>
    <w:rsid w:val="00C37616"/>
    <w:rsid w:val="00C41039"/>
    <w:rsid w:val="00C76E90"/>
    <w:rsid w:val="00C92DB2"/>
    <w:rsid w:val="00CA4B65"/>
    <w:rsid w:val="00CA5382"/>
    <w:rsid w:val="00CC2A29"/>
    <w:rsid w:val="00CD05C4"/>
    <w:rsid w:val="00CD4D2D"/>
    <w:rsid w:val="00CE4A7C"/>
    <w:rsid w:val="00CE56D4"/>
    <w:rsid w:val="00D10466"/>
    <w:rsid w:val="00D12AE6"/>
    <w:rsid w:val="00D266CE"/>
    <w:rsid w:val="00D40347"/>
    <w:rsid w:val="00D438A0"/>
    <w:rsid w:val="00D51FEC"/>
    <w:rsid w:val="00D53F00"/>
    <w:rsid w:val="00D5777E"/>
    <w:rsid w:val="00D70A5F"/>
    <w:rsid w:val="00DB4308"/>
    <w:rsid w:val="00DB7065"/>
    <w:rsid w:val="00DB7D16"/>
    <w:rsid w:val="00DC0961"/>
    <w:rsid w:val="00DC2F18"/>
    <w:rsid w:val="00DD18F2"/>
    <w:rsid w:val="00DE0030"/>
    <w:rsid w:val="00DF036A"/>
    <w:rsid w:val="00DF3875"/>
    <w:rsid w:val="00E03186"/>
    <w:rsid w:val="00E27716"/>
    <w:rsid w:val="00E327E8"/>
    <w:rsid w:val="00E83C9C"/>
    <w:rsid w:val="00E9143A"/>
    <w:rsid w:val="00EA3D43"/>
    <w:rsid w:val="00EB212E"/>
    <w:rsid w:val="00EC2207"/>
    <w:rsid w:val="00EC2B17"/>
    <w:rsid w:val="00EE3DDA"/>
    <w:rsid w:val="00EF1934"/>
    <w:rsid w:val="00EF4D7D"/>
    <w:rsid w:val="00F14585"/>
    <w:rsid w:val="00F273A7"/>
    <w:rsid w:val="00F5548A"/>
    <w:rsid w:val="00F8573A"/>
    <w:rsid w:val="00FB42F5"/>
    <w:rsid w:val="00FC2387"/>
    <w:rsid w:val="00FC27FB"/>
    <w:rsid w:val="00FC68F4"/>
    <w:rsid w:val="00FE5CD9"/>
    <w:rsid w:val="00FF63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2093"/>
  <w15:chartTrackingRefBased/>
  <w15:docId w15:val="{A1832424-DDF7-4DE3-83DD-271E78DD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40"/>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640"/>
    <w:pPr>
      <w:spacing w:after="200" w:line="276" w:lineRule="auto"/>
      <w:ind w:left="720"/>
      <w:contextualSpacing/>
    </w:pPr>
    <w:rPr>
      <w:rFonts w:asciiTheme="minorHAnsi" w:hAnsiTheme="minorHAnsi"/>
      <w:sz w:val="22"/>
    </w:rPr>
  </w:style>
  <w:style w:type="paragraph" w:styleId="BodyTextIndent">
    <w:name w:val="Body Text Indent"/>
    <w:basedOn w:val="Normal"/>
    <w:link w:val="BodyTextIndentChar"/>
    <w:rsid w:val="00082640"/>
    <w:pPr>
      <w:spacing w:line="240" w:lineRule="atLeast"/>
      <w:ind w:firstLine="720"/>
      <w:jc w:val="both"/>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082640"/>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82640"/>
    <w:rPr>
      <w:color w:val="0563C1" w:themeColor="hyperlink"/>
      <w:u w:val="single"/>
    </w:rPr>
  </w:style>
  <w:style w:type="paragraph" w:styleId="BalloonText">
    <w:name w:val="Balloon Text"/>
    <w:basedOn w:val="Normal"/>
    <w:link w:val="BalloonTextChar"/>
    <w:uiPriority w:val="99"/>
    <w:semiHidden/>
    <w:unhideWhenUsed/>
    <w:rsid w:val="00DB7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65"/>
    <w:rPr>
      <w:rFonts w:ascii="Segoe UI" w:hAnsi="Segoe UI" w:cs="Segoe UI"/>
      <w:sz w:val="18"/>
      <w:szCs w:val="18"/>
    </w:rPr>
  </w:style>
  <w:style w:type="paragraph" w:styleId="NormalWeb">
    <w:name w:val="Normal (Web)"/>
    <w:basedOn w:val="Normal"/>
    <w:rsid w:val="00D70A5F"/>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FE5CD9"/>
    <w:pPr>
      <w:tabs>
        <w:tab w:val="center" w:pos="4153"/>
        <w:tab w:val="right" w:pos="8306"/>
      </w:tabs>
    </w:pPr>
  </w:style>
  <w:style w:type="character" w:customStyle="1" w:styleId="HeaderChar">
    <w:name w:val="Header Char"/>
    <w:basedOn w:val="DefaultParagraphFont"/>
    <w:link w:val="Header"/>
    <w:uiPriority w:val="99"/>
    <w:rsid w:val="00FE5CD9"/>
    <w:rPr>
      <w:rFonts w:ascii="Times New Roman" w:hAnsi="Times New Roman"/>
      <w:sz w:val="28"/>
    </w:rPr>
  </w:style>
  <w:style w:type="paragraph" w:styleId="Footer">
    <w:name w:val="footer"/>
    <w:basedOn w:val="Normal"/>
    <w:link w:val="FooterChar"/>
    <w:uiPriority w:val="99"/>
    <w:unhideWhenUsed/>
    <w:rsid w:val="00FE5CD9"/>
    <w:pPr>
      <w:tabs>
        <w:tab w:val="center" w:pos="4153"/>
        <w:tab w:val="right" w:pos="8306"/>
      </w:tabs>
    </w:pPr>
  </w:style>
  <w:style w:type="character" w:customStyle="1" w:styleId="FooterChar">
    <w:name w:val="Footer Char"/>
    <w:basedOn w:val="DefaultParagraphFont"/>
    <w:link w:val="Footer"/>
    <w:uiPriority w:val="99"/>
    <w:rsid w:val="00FE5CD9"/>
    <w:rPr>
      <w:rFonts w:ascii="Times New Roman" w:hAnsi="Times New Roman"/>
      <w:sz w:val="28"/>
    </w:rPr>
  </w:style>
  <w:style w:type="character" w:styleId="CommentReference">
    <w:name w:val="annotation reference"/>
    <w:basedOn w:val="DefaultParagraphFont"/>
    <w:uiPriority w:val="99"/>
    <w:semiHidden/>
    <w:unhideWhenUsed/>
    <w:rsid w:val="00305876"/>
    <w:rPr>
      <w:sz w:val="16"/>
      <w:szCs w:val="16"/>
    </w:rPr>
  </w:style>
  <w:style w:type="paragraph" w:styleId="CommentText">
    <w:name w:val="annotation text"/>
    <w:basedOn w:val="Normal"/>
    <w:link w:val="CommentTextChar"/>
    <w:uiPriority w:val="99"/>
    <w:semiHidden/>
    <w:unhideWhenUsed/>
    <w:rsid w:val="00305876"/>
    <w:rPr>
      <w:sz w:val="20"/>
      <w:szCs w:val="20"/>
    </w:rPr>
  </w:style>
  <w:style w:type="character" w:customStyle="1" w:styleId="CommentTextChar">
    <w:name w:val="Comment Text Char"/>
    <w:basedOn w:val="DefaultParagraphFont"/>
    <w:link w:val="CommentText"/>
    <w:uiPriority w:val="99"/>
    <w:semiHidden/>
    <w:rsid w:val="003058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05876"/>
    <w:rPr>
      <w:b/>
      <w:bCs/>
    </w:rPr>
  </w:style>
  <w:style w:type="character" w:customStyle="1" w:styleId="CommentSubjectChar">
    <w:name w:val="Comment Subject Char"/>
    <w:basedOn w:val="CommentTextChar"/>
    <w:link w:val="CommentSubject"/>
    <w:uiPriority w:val="99"/>
    <w:semiHidden/>
    <w:rsid w:val="00305876"/>
    <w:rPr>
      <w:rFonts w:ascii="Times New Roman" w:hAnsi="Times New Roman"/>
      <w:b/>
      <w:bCs/>
      <w:sz w:val="20"/>
      <w:szCs w:val="20"/>
    </w:rPr>
  </w:style>
  <w:style w:type="paragraph" w:styleId="Revision">
    <w:name w:val="Revision"/>
    <w:hidden/>
    <w:uiPriority w:val="99"/>
    <w:semiHidden/>
    <w:rsid w:val="00305876"/>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F463-A566-4733-B281-E825F651D143}">
  <ds:schemaRefs>
    <ds:schemaRef ds:uri="http://schemas.microsoft.com/office/2006/metadata/properties"/>
  </ds:schemaRefs>
</ds:datastoreItem>
</file>

<file path=customXml/itemProps2.xml><?xml version="1.0" encoding="utf-8"?>
<ds:datastoreItem xmlns:ds="http://schemas.openxmlformats.org/officeDocument/2006/customXml" ds:itemID="{355DEB4B-6411-44D8-BB6B-B3558CBB7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FBD3BA-5EE8-42AF-BFDF-AD98429FF675}">
  <ds:schemaRefs>
    <ds:schemaRef ds:uri="http://schemas.microsoft.com/sharepoint/v3/contenttype/forms"/>
  </ds:schemaRefs>
</ds:datastoreItem>
</file>

<file path=customXml/itemProps4.xml><?xml version="1.0" encoding="utf-8"?>
<ds:datastoreItem xmlns:ds="http://schemas.openxmlformats.org/officeDocument/2006/customXml" ds:itemID="{202D7C09-5603-4F0E-98E0-5526EDC3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1714</Words>
  <Characters>12878</Characters>
  <Application>Microsoft Office Word</Application>
  <DocSecurity>0</DocSecurity>
  <Lines>378</Lines>
  <Paragraphs>121</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Freibergs Normunds</dc:creator>
  <cp:keywords/>
  <dc:description/>
  <cp:lastModifiedBy>Normunds Freibergs</cp:lastModifiedBy>
  <cp:revision>18</cp:revision>
  <cp:lastPrinted>2016-12-01T14:21:00Z</cp:lastPrinted>
  <dcterms:created xsi:type="dcterms:W3CDTF">2016-12-01T13:05:00Z</dcterms:created>
  <dcterms:modified xsi:type="dcterms:W3CDTF">2016-12-02T09:16:00Z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