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213" w:rsidRDefault="00703B11">
      <w:pPr>
        <w:spacing w:before="240" w:after="120" w:line="276" w:lineRule="auto"/>
        <w:jc w:val="center"/>
        <w:rPr>
          <w:b/>
        </w:rPr>
      </w:pPr>
      <w:r>
        <w:rPr>
          <w:b/>
        </w:rPr>
        <w:t>INFORMATĪVAIS ZIŅOJUMS</w:t>
      </w:r>
    </w:p>
    <w:p w:rsidR="00FB4213" w:rsidRDefault="00703B11">
      <w:pPr>
        <w:pStyle w:val="BodyText"/>
        <w:spacing w:after="120" w:line="276" w:lineRule="auto"/>
        <w:rPr>
          <w:szCs w:val="24"/>
        </w:rPr>
      </w:pPr>
      <w:r>
        <w:rPr>
          <w:szCs w:val="24"/>
        </w:rPr>
        <w:t>par Eiropas Savienības Konkurētspējas ministru padomes 2017. gada 20. februāra sanāksmē izskatāmajiem jautājumiem</w:t>
      </w:r>
    </w:p>
    <w:p w:rsidR="00FB4213" w:rsidRDefault="00FB4213">
      <w:pPr>
        <w:pStyle w:val="BodyText"/>
        <w:spacing w:after="120" w:line="276" w:lineRule="auto"/>
        <w:jc w:val="left"/>
        <w:rPr>
          <w:szCs w:val="24"/>
        </w:rPr>
      </w:pPr>
    </w:p>
    <w:p w:rsidR="00FB4213" w:rsidRDefault="00703B11">
      <w:pPr>
        <w:keepNext/>
        <w:keepLines/>
        <w:spacing w:after="120"/>
        <w:ind w:firstLine="567"/>
        <w:jc w:val="both"/>
      </w:pPr>
      <w:r>
        <w:t>2017. gada 20. februārī Briselē (Beļģijā) notiks kārtējā Eiropas Savienības (turpmāk – ES) Konkurētspējas ministru padomes sanāksme iekšējā tirgus un rūpniecības jautājumos. Sanāksmē tiks izskatīti šādi Aizsardzības ministrijas, Ekonomikas ministrijas, Finanšu ministrijas, Satiksmes ministrijas un Tieslietu ministrijas kompetencē esoši jautājumi:</w:t>
      </w:r>
    </w:p>
    <w:p w:rsidR="00FB4213" w:rsidRDefault="00FB4213">
      <w:pPr>
        <w:keepNext/>
        <w:keepLines/>
        <w:spacing w:after="120"/>
        <w:jc w:val="both"/>
      </w:pPr>
    </w:p>
    <w:p w:rsidR="00FB4213" w:rsidRDefault="00703B11">
      <w:pPr>
        <w:ind w:left="357" w:hanging="357"/>
        <w:jc w:val="both"/>
        <w:rPr>
          <w:b/>
        </w:rPr>
      </w:pPr>
      <w:r>
        <w:rPr>
          <w:b/>
        </w:rPr>
        <w:t>1.</w:t>
      </w:r>
      <w:r>
        <w:rPr>
          <w:b/>
        </w:rPr>
        <w:tab/>
        <w:t>Priekšlikums – Eiropas Parlamenta un Padomes Regulai par sadarbību starp valstu iestādēm, kas atbild par tiesību aktu izpildi patērētāju tiesību aizsardzības jomā</w:t>
      </w:r>
    </w:p>
    <w:p w:rsidR="00FB4213" w:rsidRDefault="00703B11">
      <w:pPr>
        <w:pStyle w:val="DashEqual1"/>
        <w:numPr>
          <w:ilvl w:val="0"/>
          <w:numId w:val="0"/>
        </w:numPr>
        <w:ind w:left="360"/>
        <w:rPr>
          <w:i/>
          <w:lang w:val="lv-LV"/>
        </w:rPr>
      </w:pPr>
      <w:r>
        <w:rPr>
          <w:i/>
          <w:lang w:val="lv-LV"/>
        </w:rPr>
        <w:t>= Vispārējās pieejas apstiprināšana</w:t>
      </w:r>
    </w:p>
    <w:p w:rsidR="00FB4213" w:rsidRDefault="00703B11">
      <w:pPr>
        <w:pStyle w:val="CommentText"/>
        <w:ind w:firstLine="360"/>
        <w:jc w:val="both"/>
        <w:rPr>
          <w:sz w:val="24"/>
          <w:szCs w:val="24"/>
          <w:lang w:val="lv-LV"/>
        </w:rPr>
      </w:pPr>
      <w:r>
        <w:rPr>
          <w:sz w:val="24"/>
          <w:szCs w:val="24"/>
          <w:lang w:val="lv-LV"/>
        </w:rPr>
        <w:t xml:space="preserve">Regulas priekšlikums par sadarbību starp valstu iestādēm, kas atbild par tiesību aktu izpildi patērētāju tiesību aizsardzības jomā paredz pārskatīt </w:t>
      </w:r>
      <w:r>
        <w:rPr>
          <w:i/>
          <w:sz w:val="24"/>
          <w:szCs w:val="24"/>
          <w:lang w:val="lv-LV"/>
        </w:rPr>
        <w:t xml:space="preserve">Eiropas Parlamenta un Padomes Regulu (EK) Nr. 2006/2004 par sadarbību starp valstu iestādēm, kas atbildīgas par tiesību aktu īstenošanu patērētāju tiesību aizsardzības jomā </w:t>
      </w:r>
      <w:r>
        <w:rPr>
          <w:sz w:val="24"/>
          <w:szCs w:val="24"/>
          <w:lang w:val="lv-LV"/>
        </w:rPr>
        <w:t xml:space="preserve">(turpmāk – Regula 2006/2004), lai nodrošinātu sekmīgāku patērētāju tiesību aizsardzības īstenošanu, ņemot vērā digitālās ekonomikas un pārrobežu tirdzniecības radītos izaicinājumus. </w:t>
      </w:r>
    </w:p>
    <w:p w:rsidR="00FB4213" w:rsidRDefault="00703B11">
      <w:pPr>
        <w:pStyle w:val="CommentText"/>
        <w:ind w:firstLine="360"/>
        <w:jc w:val="both"/>
        <w:rPr>
          <w:sz w:val="24"/>
          <w:szCs w:val="24"/>
          <w:lang w:val="lv-LV"/>
        </w:rPr>
      </w:pPr>
      <w:r>
        <w:rPr>
          <w:sz w:val="24"/>
          <w:szCs w:val="24"/>
          <w:lang w:val="lv-LV"/>
        </w:rPr>
        <w:t xml:space="preserve">Regulas priekšlikums par sadarbību starp valstu iestādēm, kas atbild par tiesību aktu izpildi patērētāju tiesību aizsardzības jomā, ietilpst </w:t>
      </w:r>
      <w:r>
        <w:rPr>
          <w:i/>
          <w:sz w:val="24"/>
          <w:szCs w:val="24"/>
          <w:lang w:val="lv-LV"/>
        </w:rPr>
        <w:t>E-komercijas pasākumu kopumā</w:t>
      </w:r>
      <w:r>
        <w:rPr>
          <w:sz w:val="24"/>
          <w:szCs w:val="24"/>
          <w:lang w:val="lv-LV"/>
        </w:rPr>
        <w:t>, kā mērķis ir palīdzēt patērētājiem un uzņēmumiem pilnvērtīgi izmantot ES Vienotā tirgus radītās priekšrocības.</w:t>
      </w:r>
    </w:p>
    <w:p w:rsidR="00FB4213" w:rsidRDefault="00703B11">
      <w:pPr>
        <w:pStyle w:val="CommentText"/>
        <w:ind w:firstLine="360"/>
        <w:jc w:val="both"/>
        <w:rPr>
          <w:sz w:val="24"/>
          <w:szCs w:val="24"/>
          <w:lang w:val="lv-LV"/>
        </w:rPr>
      </w:pPr>
      <w:r>
        <w:rPr>
          <w:sz w:val="24"/>
          <w:szCs w:val="24"/>
          <w:lang w:val="lv-LV"/>
        </w:rPr>
        <w:t xml:space="preserve">Jaunais priekšlikums paredz saglabāt pašreizējās spēkā esošās Regulas 2006/2004 struktūru, vienlaikus papildinot ar jauniem elementiem, piemēram, attiecībā uz kompetento iestāžu pilnvarām, sadarbības mehānismu plaši izplatītu pārkāpumu gadījumos, kā arī precīzāk nosakot Eiropas Komisijas (turpmāk – EK) lomu, koordinējot kopīgu rīcību ES mēroga plaši izplatītu pārkāpumu gadījumos. Priekšlikuma mērķis ir izstrādāt mūsdienīgus un efektīvus sadarbības mehānismus starp patērētāju tiesību aizsardzības iestādēm, lai samazinātu patērētājiem nodarīto kaitējumu ES līmeņa pārrobežu darījumos. </w:t>
      </w:r>
    </w:p>
    <w:p w:rsidR="00FB4213" w:rsidRDefault="00703B11">
      <w:pPr>
        <w:keepNext/>
        <w:keepLines/>
        <w:shd w:val="clear" w:color="auto" w:fill="FFFFFF"/>
        <w:spacing w:before="120" w:after="120"/>
        <w:ind w:firstLine="357"/>
        <w:jc w:val="both"/>
        <w:rPr>
          <w:color w:val="000000"/>
        </w:rPr>
      </w:pPr>
      <w:r>
        <w:rPr>
          <w:b/>
          <w:color w:val="000000"/>
          <w:u w:val="single"/>
        </w:rPr>
        <w:t>Latvijas nostāja:</w:t>
      </w:r>
    </w:p>
    <w:p w:rsidR="00FB4213" w:rsidRDefault="00703B11">
      <w:pPr>
        <w:pStyle w:val="CommentText"/>
        <w:ind w:firstLine="360"/>
        <w:jc w:val="both"/>
        <w:rPr>
          <w:sz w:val="24"/>
          <w:szCs w:val="24"/>
          <w:lang w:val="lv-LV"/>
        </w:rPr>
      </w:pPr>
      <w:bookmarkStart w:id="0" w:name="_GoBack"/>
      <w:r>
        <w:rPr>
          <w:sz w:val="24"/>
          <w:szCs w:val="24"/>
          <w:lang w:val="lv-LV"/>
        </w:rPr>
        <w:t xml:space="preserve">Latvijas sākotnējā pozīcija ir atspoguļota 2016.gada 24.septembra nacionālajā pozīcijā Nr.1 "Priekšlikums Eiropas Parlamenta un Padomes regulai par sadarbību starp valstu iestādēm, kas atbild par tiesību aktu izpildi patērētāju tiesību aizsardzības jomā". Latvija atbalsta pārskatīto regulu, kas papildināta ar virkni nozīmīgu elementu, kas palīdzēs sekmēt efektīvāku patērētāju tiesību aizsardzību pārrobežu darījumos. Ņemot vērā pieaugošās pārrobežu tirdzniecības plūsmas, svarīgi stiprināt uzraugošo iestāžu pilnvaras un savstarpējās sadarbības mehānismus, lai uzlabotu patērētāju ekonomisko interešu aizsardzību. Regulā ietvertās pilnvaras sniegs atbalstu patērētāju tiesību uzraugošajām iestādēm iegūt pierādījumus un koordinēti apmainīties ar izmeklēšanu rezultātiem un pierādījumiem arī ar citu dalībvalstu iestādēm. Koordinēto darbību ietvaros paredzēta patērētāju iestāžu pārrobežu sadarbība, lai vērstos pret lieliem pārkāpumiem, kas tiek realizēti vairākās dalībvalstīs, tādējādi arī taupot iestāžu resursus. Latvija uzskata, ka Slovākijas un Maltas prezidentūras ir sniegušas labu ieguldījumu priekšlikuma teksta pilnveidošanā, lai atvieglotu regulas piemērošanu, ņemot vērā arī dalībvalstīs pastāvošās atšķirīgās uzraudzības sistēmas, tāpēc Latvija </w:t>
      </w:r>
      <w:r>
        <w:rPr>
          <w:b/>
          <w:sz w:val="24"/>
          <w:szCs w:val="24"/>
          <w:lang w:val="lv-LV"/>
        </w:rPr>
        <w:t>atbalsta</w:t>
      </w:r>
      <w:r>
        <w:rPr>
          <w:sz w:val="24"/>
          <w:szCs w:val="24"/>
          <w:lang w:val="lv-LV"/>
        </w:rPr>
        <w:t xml:space="preserve"> vispārējās pieejas apstiprināšanu.</w:t>
      </w:r>
    </w:p>
    <w:bookmarkEnd w:id="0"/>
    <w:p w:rsidR="00FB4213" w:rsidRDefault="00FB4213">
      <w:pPr>
        <w:jc w:val="both"/>
      </w:pPr>
    </w:p>
    <w:p w:rsidR="00FB4213" w:rsidRDefault="00703B11">
      <w:pPr>
        <w:ind w:left="357" w:hanging="357"/>
        <w:jc w:val="both"/>
        <w:rPr>
          <w:b/>
        </w:rPr>
      </w:pPr>
      <w:r>
        <w:rPr>
          <w:b/>
        </w:rPr>
        <w:t>2.</w:t>
      </w:r>
      <w:r>
        <w:rPr>
          <w:b/>
        </w:rPr>
        <w:tab/>
        <w:t xml:space="preserve">Priekšlikums – Eiropas Parlamenta un Padomes Regulai par </w:t>
      </w:r>
      <w:r>
        <w:rPr>
          <w:b/>
          <w:bCs/>
          <w:color w:val="000000"/>
          <w:shd w:val="clear" w:color="auto" w:fill="FFFFFF"/>
        </w:rPr>
        <w:t xml:space="preserve">mehānisko transportlīdzekļu un to piekabju, kā arī tādiem transportlīdzekļiem paredzētu </w:t>
      </w:r>
      <w:r>
        <w:rPr>
          <w:b/>
        </w:rPr>
        <w:t>sistēmu</w:t>
      </w:r>
      <w:r>
        <w:rPr>
          <w:b/>
          <w:bCs/>
          <w:color w:val="000000"/>
          <w:shd w:val="clear" w:color="auto" w:fill="FFFFFF"/>
        </w:rPr>
        <w:t>, sastāvdaļu un atsevišķu tehnisku vienību apstiprināšanu un tirgus uzraudzību</w:t>
      </w:r>
      <w:r>
        <w:t xml:space="preserve"> (Satiksmes ministrijas jautājums)</w:t>
      </w:r>
    </w:p>
    <w:p w:rsidR="00FB4213" w:rsidRDefault="00703B11">
      <w:pPr>
        <w:pStyle w:val="DashEqual1"/>
        <w:numPr>
          <w:ilvl w:val="0"/>
          <w:numId w:val="0"/>
        </w:numPr>
        <w:spacing w:after="120"/>
        <w:ind w:left="357"/>
        <w:rPr>
          <w:i/>
          <w:lang w:val="lv-LV"/>
        </w:rPr>
      </w:pPr>
      <w:r>
        <w:rPr>
          <w:i/>
          <w:lang w:val="lv-LV"/>
        </w:rPr>
        <w:t>= Progresa ziņojums</w:t>
      </w:r>
    </w:p>
    <w:p w:rsidR="00FB4213" w:rsidRDefault="00703B11">
      <w:pPr>
        <w:spacing w:after="120"/>
        <w:ind w:firstLine="357"/>
        <w:jc w:val="both"/>
      </w:pPr>
      <w:r>
        <w:t>Regulas projekta</w:t>
      </w:r>
      <w:r>
        <w:rPr>
          <w:b/>
        </w:rPr>
        <w:t xml:space="preserve"> </w:t>
      </w:r>
      <w:r>
        <w:t>mērķis ir pārskatīt mehānisko transportlīdzekļu un to piekabju tipa apstiprināšanas tiesisko regulējumu, prioritāri pārskatot Pamatdirektīvu (Eiropas Parlamenta un Padomes Direktīva 2007/46/EK (2007. gada 5. septembris), ar ko izveido sistēmu mehānisko transportlīdzekļu un to piekabju, kā arī tādiem transportlīdzekļiem paredzētu sistēmu, sastāvdaļu un atsevišķu tehnisku vienību apstiprināšanai). Galvenā uzmanība pievērsta šādiem aspektiem, kā tirgus uzraudzības noteikumu ieviešana, lai papildinātu tipa apstiprināšanas prasības; atsaukšanas un aizsardzības procedūru precizēšana, kā arī to nosacījumu precizēšana, kas jāievēro, piešķirot paplašinājumus apstiprinājumiem, kas izsniegti esošiem transportlīdzekļu tipiem; tipa apstiprināšanas regulējuma izpildes uzlabošana, saskaņojot un uzlabojot tipa apstiprināšanas un ražošanas atbilstības nodrošināšanas procedūras, ko piemēro dalībvalstu iestādes un tehniskie dienesti u.c. aspekti.</w:t>
      </w:r>
    </w:p>
    <w:p w:rsidR="007D6AE3" w:rsidRDefault="007D6AE3">
      <w:pPr>
        <w:spacing w:after="120"/>
        <w:ind w:firstLine="357"/>
        <w:jc w:val="both"/>
      </w:pPr>
    </w:p>
    <w:p w:rsidR="00FB4213" w:rsidRDefault="00703B11">
      <w:pPr>
        <w:keepNext/>
        <w:keepLines/>
        <w:shd w:val="clear" w:color="auto" w:fill="FFFFFF"/>
        <w:spacing w:after="120"/>
        <w:ind w:firstLine="357"/>
        <w:jc w:val="both"/>
        <w:rPr>
          <w:color w:val="000000"/>
        </w:rPr>
      </w:pPr>
      <w:r>
        <w:rPr>
          <w:b/>
          <w:color w:val="000000"/>
          <w:u w:val="single"/>
        </w:rPr>
        <w:t>Latvijas nostāja:</w:t>
      </w:r>
    </w:p>
    <w:p w:rsidR="00FB4213" w:rsidRDefault="00703B11">
      <w:pPr>
        <w:spacing w:after="120"/>
        <w:ind w:firstLine="357"/>
        <w:jc w:val="both"/>
      </w:pPr>
      <w:r>
        <w:t xml:space="preserve">Latvija pieņem zināšanai prezidentūras sniegto informāciju par jautājuma virzību ES Padomes Tehniskās harmonizācijas jautājumu darba grupās. Vienlaikus jāatzīmē, ka, neskatoties uz diskusijām,  joprojām aktuāli ir virkne Latvijas identificētie </w:t>
      </w:r>
      <w:proofErr w:type="spellStart"/>
      <w:r>
        <w:t>problēmjautājumi</w:t>
      </w:r>
      <w:proofErr w:type="spellEnd"/>
      <w:r>
        <w:t xml:space="preserve"> (saskaņā ar Pozīciju Nr.1), par kuriem būs nepieciešams rast risinājumu, t.sk. attiecībā uz tirgus uzraudzības jautājumiem un EK plašajām pilnvarām, piemēram, nosakot kritērijus dalībvalstu uzraugošajām iestādēm un paredzot konkrētu skaitu laboratorisko pārbaužu, kas dalībvalstīm būs jāveic attiecīgajā jomā. </w:t>
      </w:r>
    </w:p>
    <w:p w:rsidR="00FB4213" w:rsidRDefault="00FB4213">
      <w:pPr>
        <w:shd w:val="clear" w:color="auto" w:fill="FFFFFF"/>
        <w:spacing w:before="60"/>
        <w:ind w:firstLine="357"/>
        <w:jc w:val="both"/>
        <w:rPr>
          <w:color w:val="000000"/>
        </w:rPr>
      </w:pPr>
    </w:p>
    <w:p w:rsidR="00FB4213" w:rsidRDefault="00703B11">
      <w:pPr>
        <w:ind w:left="357" w:hanging="357"/>
        <w:jc w:val="both"/>
        <w:rPr>
          <w:b/>
        </w:rPr>
      </w:pPr>
      <w:r>
        <w:rPr>
          <w:b/>
        </w:rPr>
        <w:t>3.</w:t>
      </w:r>
      <w:r>
        <w:rPr>
          <w:b/>
        </w:rPr>
        <w:tab/>
        <w:t>Konkurētspējas pārbaude: nemateriālie ieguldījumi</w:t>
      </w:r>
    </w:p>
    <w:p w:rsidR="00FB4213" w:rsidRDefault="00703B11">
      <w:pPr>
        <w:pStyle w:val="DashEqual1"/>
        <w:numPr>
          <w:ilvl w:val="0"/>
          <w:numId w:val="0"/>
        </w:numPr>
        <w:ind w:left="360"/>
        <w:rPr>
          <w:i/>
          <w:lang w:val="lv-LV"/>
        </w:rPr>
      </w:pPr>
      <w:r>
        <w:rPr>
          <w:i/>
          <w:lang w:val="lv-LV"/>
        </w:rPr>
        <w:t>= EK prezentācija</w:t>
      </w:r>
    </w:p>
    <w:p w:rsidR="00FB4213" w:rsidRDefault="00703B11">
      <w:pPr>
        <w:pStyle w:val="DashEqual1"/>
        <w:numPr>
          <w:ilvl w:val="0"/>
          <w:numId w:val="0"/>
        </w:numPr>
        <w:ind w:left="360"/>
        <w:rPr>
          <w:i/>
          <w:lang w:val="lv-LV"/>
        </w:rPr>
      </w:pPr>
      <w:r>
        <w:rPr>
          <w:i/>
          <w:lang w:val="lv-LV"/>
        </w:rPr>
        <w:t>= Viedokļu apmaiņa</w:t>
      </w:r>
    </w:p>
    <w:p w:rsidR="00FB4213" w:rsidRDefault="00703B11">
      <w:pPr>
        <w:pStyle w:val="DashEqual1"/>
        <w:numPr>
          <w:ilvl w:val="0"/>
          <w:numId w:val="0"/>
        </w:numPr>
        <w:spacing w:before="120" w:after="120"/>
        <w:ind w:firstLine="357"/>
        <w:jc w:val="both"/>
        <w:rPr>
          <w:lang w:val="lv-LV"/>
        </w:rPr>
      </w:pPr>
      <w:r>
        <w:rPr>
          <w:lang w:val="lv-LV"/>
        </w:rPr>
        <w:t>Īstenojot iepriekš ES Padomē lemto attiecībā uz ES Konkurētspējas ministru padomes darba metožu uzlabošanu, 2015.gada otrajā pusē šim nolūkam tika attīstīta t.s. "konkurētspējas pārbaužu"</w:t>
      </w:r>
      <w:r>
        <w:rPr>
          <w:rStyle w:val="FootnoteReference"/>
          <w:lang w:val="lv-LV"/>
        </w:rPr>
        <w:footnoteReference w:id="1"/>
      </w:r>
      <w:r>
        <w:rPr>
          <w:lang w:val="lv-LV"/>
        </w:rPr>
        <w:t xml:space="preserve"> pieeja. Konkurētspējas pārbaužu nolūks ir sniegt par ES konkurētspējas jautājumiem atbildīgajiem ministriem aktuālo novērtējumu ekonomisko procesu attīstībā, raugoties no dažādiem konkurētspēju raksturojošiem aspektiem.</w:t>
      </w:r>
    </w:p>
    <w:p w:rsidR="00FB4213" w:rsidRDefault="00703B11">
      <w:pPr>
        <w:keepNext/>
        <w:keepLines/>
        <w:spacing w:before="120" w:after="120"/>
        <w:ind w:firstLine="357"/>
        <w:jc w:val="both"/>
      </w:pPr>
      <w:r>
        <w:t>Par konkurētspējas pārbaudes tematisko virzienu šajā sanāksmē Maltas prezidentūra sadarbībā ar EK ir izvēlējusies ieguldījumus nemateriālajos aktīvos.</w:t>
      </w:r>
    </w:p>
    <w:p w:rsidR="00FB4213" w:rsidRDefault="00703B11">
      <w:pPr>
        <w:spacing w:before="120" w:after="120"/>
        <w:ind w:firstLine="357"/>
        <w:jc w:val="both"/>
      </w:pPr>
      <w:r>
        <w:t xml:space="preserve">Ieguldījumi nemateriālajos aktīvos zināmā mērā raksturo uzņēmumu spēju uzlabot darba metodes un radīt inovatīvus produktus. Nemateriālie ieguldījumi ir viens no būtiskākajiem rādītājiem ekonomiskās izaugsmes un konkurētspējas veicināšanai. Salīdzinot rādītājus Eiropa šajā jomā atpaliek no ASV, turklāt šī plaisa aizvien palielinās. Uzņēmumu līmenī nemateriālie ieguldījumi dažkārt netiek pilnībā uzrādīti, tāpēc pareiza un precīza ieguldījumu uzskaite nemateriālajos aktīvos ir svarīgs Investīcijas plāna Eiropai trešā pīlāra elements. </w:t>
      </w:r>
    </w:p>
    <w:p w:rsidR="00FB4213" w:rsidRDefault="00703B11">
      <w:pPr>
        <w:spacing w:before="120" w:after="120"/>
        <w:ind w:firstLine="357"/>
        <w:jc w:val="both"/>
      </w:pPr>
      <w:r>
        <w:t xml:space="preserve">Nemateriālie aktīvi ir kodols uzņēmumu konkurētspējai un līdz ar to ir svarīgs elements produktivitātes nodrošināšanai un inovāciju veicināšanai. Vienlaikus ir svarīgi saprast iemeslus, </w:t>
      </w:r>
      <w:r>
        <w:lastRenderedPageBreak/>
        <w:t>kas kavē ieguldījumus nemateriālajos aktīvos un tādējādi bremzē pētniecības un inovācijas attīstību.</w:t>
      </w:r>
    </w:p>
    <w:p w:rsidR="00FB4213" w:rsidRDefault="00703B11">
      <w:pPr>
        <w:spacing w:before="120" w:after="120"/>
        <w:ind w:firstLine="357"/>
        <w:jc w:val="both"/>
      </w:pPr>
      <w:r>
        <w:t xml:space="preserve">Kopumā inovāciju aktivitātes veicināšana Latvijā ir cieši saistīta ar izaicinājumu stiprināt vājākos posmus nacionālās inovācijas sistēmā. Tas iekļauj gan uzlabojumus tehnoloģiju </w:t>
      </w:r>
      <w:proofErr w:type="spellStart"/>
      <w:r>
        <w:t>pārneses</w:t>
      </w:r>
      <w:proofErr w:type="spellEnd"/>
      <w:r>
        <w:t xml:space="preserve"> sistēmā, sadarbības veicināšanu starp zinātniekiem un privāto sektoru,  privātā sektora investīciju pētniecības un attīstības (P&amp;A) veicināšanu, gan arī atbalsta veicināšanu inovatīvu un tehnoloģiju orientētu uzņēmumu attīstību.</w:t>
      </w:r>
    </w:p>
    <w:p w:rsidR="00FB4213" w:rsidRDefault="00703B11">
      <w:pPr>
        <w:spacing w:before="120" w:after="120"/>
        <w:ind w:firstLine="357"/>
        <w:jc w:val="both"/>
      </w:pPr>
      <w:r>
        <w:t xml:space="preserve">Tieši produktivitātes kāpums visā tautsaimniecībā kopumā būs Latvijas labklājības pamats un nākotnes izaugsmes noteicošais faktors. Savukārt uzņēmumu, jo īpaši mikro un MVU izaugsme un konkurētspēja aizvien vairāk būs atkarīga gan no spējas pielietot jaunas zināšanas, organizācijas un darba metodes, gan kapacitātes iesaistīties pētniecisko izstrādņu </w:t>
      </w:r>
      <w:proofErr w:type="spellStart"/>
      <w:r>
        <w:t>komercializācijas</w:t>
      </w:r>
      <w:proofErr w:type="spellEnd"/>
      <w:r>
        <w:t xml:space="preserve"> procesos, lai attīstītu jaunus produktus, pakalpojumus vai procesus. Respektīvi – uzņēmumiem būs maksimāli jācenšas izmantot tās iespējas un konkurētspējas priekšrocības, ko var sniegt ieguldījumi inovācijā.</w:t>
      </w:r>
    </w:p>
    <w:p w:rsidR="00FB4213" w:rsidRDefault="00703B11">
      <w:pPr>
        <w:pStyle w:val="NormalWeb"/>
        <w:spacing w:before="0" w:beforeAutospacing="0" w:after="0" w:afterAutospacing="0"/>
        <w:jc w:val="center"/>
        <w:textAlignment w:val="baseline"/>
        <w:rPr>
          <w:color w:val="000000"/>
          <w:kern w:val="24"/>
        </w:rPr>
      </w:pPr>
      <w:r>
        <w:rPr>
          <w:b/>
          <w:bCs/>
          <w:iCs/>
          <w:color w:val="000000"/>
          <w:kern w:val="24"/>
        </w:rPr>
        <w:t>Materiālo un nemateriālo ieguldījumi ES un ASV</w:t>
      </w:r>
      <w:r>
        <w:rPr>
          <w:bCs/>
          <w:iCs/>
          <w:color w:val="000000"/>
          <w:kern w:val="24"/>
        </w:rPr>
        <w:t xml:space="preserve"> (1995 = 100)</w:t>
      </w:r>
    </w:p>
    <w:p w:rsidR="00FB4213" w:rsidRDefault="00703B11">
      <w:pPr>
        <w:spacing w:after="120"/>
        <w:ind w:firstLine="709"/>
        <w:jc w:val="center"/>
        <w:rPr>
          <w:highlight w:val="yellow"/>
        </w:rPr>
      </w:pPr>
      <w:r>
        <w:rPr>
          <w:noProof/>
          <w:color w:val="FF0000"/>
          <w:highlight w:val="yellow"/>
        </w:rPr>
        <w:drawing>
          <wp:inline distT="0" distB="0" distL="0" distR="0">
            <wp:extent cx="4152900" cy="2011680"/>
            <wp:effectExtent l="0" t="0" r="0" b="762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4213" w:rsidRDefault="00703B11">
      <w:pPr>
        <w:spacing w:after="120"/>
        <w:ind w:left="1560"/>
        <w:rPr>
          <w:sz w:val="18"/>
          <w:szCs w:val="18"/>
        </w:rPr>
      </w:pPr>
      <w:r>
        <w:rPr>
          <w:sz w:val="18"/>
          <w:szCs w:val="18"/>
        </w:rPr>
        <w:t xml:space="preserve">Avots: </w:t>
      </w:r>
      <w:proofErr w:type="spellStart"/>
      <w:r>
        <w:rPr>
          <w:sz w:val="18"/>
          <w:szCs w:val="18"/>
        </w:rPr>
        <w:t>Eurostat</w:t>
      </w:r>
      <w:proofErr w:type="spellEnd"/>
      <w:r>
        <w:rPr>
          <w:sz w:val="18"/>
          <w:szCs w:val="18"/>
        </w:rPr>
        <w:t xml:space="preserve"> (par ES), BEA (par ASV)</w:t>
      </w:r>
    </w:p>
    <w:p w:rsidR="00FB4213" w:rsidRDefault="00703B11">
      <w:pPr>
        <w:pStyle w:val="NormalWeb"/>
        <w:kinsoku w:val="0"/>
        <w:overflowPunct w:val="0"/>
        <w:spacing w:before="0" w:beforeAutospacing="0" w:after="0" w:afterAutospacing="0"/>
        <w:jc w:val="center"/>
        <w:textAlignment w:val="baseline"/>
        <w:rPr>
          <w:rFonts w:eastAsia="Verdana"/>
          <w:b/>
          <w:bCs/>
          <w:color w:val="0D0D0D" w:themeColor="text1" w:themeTint="F2"/>
          <w:kern w:val="24"/>
        </w:rPr>
      </w:pPr>
      <w:r>
        <w:rPr>
          <w:rFonts w:eastAsia="Verdana"/>
          <w:b/>
          <w:bCs/>
          <w:color w:val="0D0D0D" w:themeColor="text1" w:themeTint="F2"/>
          <w:kern w:val="24"/>
        </w:rPr>
        <w:t>Investīciju līmenis</w:t>
      </w:r>
    </w:p>
    <w:p w:rsidR="00FB4213" w:rsidRDefault="00703B11">
      <w:pPr>
        <w:spacing w:after="120"/>
        <w:jc w:val="center"/>
        <w:rPr>
          <w:rFonts w:eastAsia="Verdana"/>
          <w:color w:val="0D0D0D" w:themeColor="text1" w:themeTint="F2"/>
          <w:kern w:val="24"/>
          <w:sz w:val="22"/>
          <w:szCs w:val="22"/>
        </w:rPr>
      </w:pPr>
      <w:r>
        <w:rPr>
          <w:rFonts w:eastAsia="Verdana"/>
          <w:color w:val="0D0D0D" w:themeColor="text1" w:themeTint="F2"/>
          <w:kern w:val="24"/>
          <w:sz w:val="22"/>
          <w:szCs w:val="22"/>
        </w:rPr>
        <w:t>(% no IKP, vidēji 2013.-2015.gadā)</w:t>
      </w:r>
    </w:p>
    <w:p w:rsidR="00FB4213" w:rsidRDefault="00703B11">
      <w:pPr>
        <w:spacing w:after="120"/>
        <w:jc w:val="center"/>
        <w:rPr>
          <w:sz w:val="18"/>
          <w:szCs w:val="18"/>
        </w:rPr>
      </w:pPr>
      <w:r>
        <w:rPr>
          <w:noProof/>
          <w:sz w:val="20"/>
          <w:szCs w:val="20"/>
        </w:rPr>
        <w:drawing>
          <wp:inline distT="0" distB="0" distL="0" distR="0">
            <wp:extent cx="2520000" cy="1236269"/>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4213" w:rsidRDefault="00703B11">
      <w:pPr>
        <w:pStyle w:val="NormalWeb"/>
        <w:tabs>
          <w:tab w:val="center" w:pos="1985"/>
          <w:tab w:val="center" w:pos="6946"/>
        </w:tabs>
        <w:kinsoku w:val="0"/>
        <w:overflowPunct w:val="0"/>
        <w:spacing w:before="0" w:beforeAutospacing="0" w:after="0" w:afterAutospacing="0"/>
        <w:textAlignment w:val="baseline"/>
        <w:rPr>
          <w:rFonts w:eastAsia="Verdana"/>
          <w:b/>
          <w:bCs/>
          <w:color w:val="0D0D0D" w:themeColor="text1" w:themeTint="F2"/>
          <w:kern w:val="24"/>
        </w:rPr>
      </w:pPr>
      <w:r>
        <w:rPr>
          <w:rFonts w:eastAsia="Verdana"/>
          <w:b/>
          <w:bCs/>
          <w:color w:val="0D0D0D" w:themeColor="text1" w:themeTint="F2"/>
          <w:kern w:val="24"/>
        </w:rPr>
        <w:tab/>
        <w:t>Investīcijas intelektuālā īpašuma produktos</w:t>
      </w:r>
      <w:r>
        <w:rPr>
          <w:rFonts w:eastAsia="Verdana"/>
          <w:b/>
          <w:bCs/>
          <w:color w:val="0D0D0D" w:themeColor="text1" w:themeTint="F2"/>
          <w:kern w:val="24"/>
        </w:rPr>
        <w:tab/>
        <w:t>Izdevumi pētniecībai un attīstībai</w:t>
      </w:r>
    </w:p>
    <w:p w:rsidR="00FB4213" w:rsidRDefault="00703B11">
      <w:pPr>
        <w:pStyle w:val="NormalWeb"/>
        <w:tabs>
          <w:tab w:val="center" w:pos="1985"/>
          <w:tab w:val="center" w:pos="6946"/>
        </w:tabs>
        <w:kinsoku w:val="0"/>
        <w:overflowPunct w:val="0"/>
        <w:spacing w:before="0" w:beforeAutospacing="0" w:after="0" w:afterAutospacing="0"/>
        <w:textAlignment w:val="baseline"/>
        <w:rPr>
          <w:sz w:val="22"/>
          <w:szCs w:val="22"/>
        </w:rPr>
      </w:pPr>
      <w:r>
        <w:rPr>
          <w:rFonts w:eastAsia="Verdana"/>
          <w:b/>
          <w:bCs/>
          <w:color w:val="0D0D0D" w:themeColor="text1" w:themeTint="F2"/>
          <w:kern w:val="24"/>
          <w:sz w:val="22"/>
          <w:szCs w:val="22"/>
        </w:rPr>
        <w:tab/>
        <w:t xml:space="preserve">(t.i. nemateriālajos aktīvos) </w:t>
      </w:r>
      <w:r>
        <w:rPr>
          <w:rFonts w:eastAsia="Verdana"/>
          <w:b/>
          <w:bCs/>
          <w:color w:val="0D0D0D" w:themeColor="text1" w:themeTint="F2"/>
          <w:kern w:val="24"/>
          <w:sz w:val="22"/>
          <w:szCs w:val="22"/>
        </w:rPr>
        <w:tab/>
      </w:r>
      <w:r>
        <w:rPr>
          <w:rFonts w:eastAsia="Verdana"/>
          <w:color w:val="0D0D0D" w:themeColor="text1" w:themeTint="F2"/>
          <w:kern w:val="24"/>
          <w:sz w:val="22"/>
          <w:szCs w:val="22"/>
        </w:rPr>
        <w:t>% no IKP</w:t>
      </w:r>
    </w:p>
    <w:p w:rsidR="00FB4213" w:rsidRDefault="00703B11">
      <w:pPr>
        <w:tabs>
          <w:tab w:val="center" w:pos="1985"/>
          <w:tab w:val="center" w:pos="6946"/>
        </w:tabs>
        <w:spacing w:after="120"/>
        <w:rPr>
          <w:rFonts w:eastAsia="Verdana"/>
          <w:color w:val="0D0D0D" w:themeColor="text1" w:themeTint="F2"/>
          <w:kern w:val="24"/>
          <w:sz w:val="22"/>
          <w:szCs w:val="22"/>
        </w:rPr>
      </w:pPr>
      <w:r>
        <w:rPr>
          <w:rFonts w:eastAsia="Verdana"/>
          <w:color w:val="0D0D0D" w:themeColor="text1" w:themeTint="F2"/>
          <w:kern w:val="24"/>
          <w:sz w:val="22"/>
          <w:szCs w:val="22"/>
        </w:rPr>
        <w:tab/>
        <w:t>(% no kopējām investīcijām)</w:t>
      </w:r>
    </w:p>
    <w:p w:rsidR="00FB4213" w:rsidRDefault="00703B11">
      <w:pPr>
        <w:spacing w:after="120"/>
        <w:jc w:val="center"/>
        <w:rPr>
          <w:sz w:val="18"/>
          <w:szCs w:val="18"/>
        </w:rPr>
      </w:pPr>
      <w:r>
        <w:rPr>
          <w:noProof/>
        </w:rPr>
        <w:drawing>
          <wp:inline distT="0" distB="0" distL="0" distR="0">
            <wp:extent cx="2520000" cy="13716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extent cx="2520000" cy="128016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4213" w:rsidRDefault="00703B11">
      <w:pPr>
        <w:spacing w:after="120"/>
        <w:jc w:val="center"/>
      </w:pPr>
      <w:r>
        <w:rPr>
          <w:b/>
        </w:rPr>
        <w:lastRenderedPageBreak/>
        <w:t>Investīcijas pamatlīdzekļos un intelektuālā īpašuma produktos Latvijā</w:t>
      </w:r>
      <w:r>
        <w:rPr>
          <w:b/>
        </w:rPr>
        <w:br/>
      </w:r>
      <w:r>
        <w:rPr>
          <w:sz w:val="22"/>
        </w:rPr>
        <w:t>(faktiskajās cenās)</w:t>
      </w:r>
    </w:p>
    <w:p w:rsidR="00FB4213" w:rsidRDefault="00703B11">
      <w:pPr>
        <w:spacing w:after="120"/>
        <w:jc w:val="center"/>
        <w:rPr>
          <w:sz w:val="18"/>
          <w:szCs w:val="18"/>
        </w:rPr>
      </w:pPr>
      <w:r>
        <w:rPr>
          <w:noProof/>
        </w:rPr>
        <w:drawing>
          <wp:inline distT="0" distB="0" distL="0" distR="0">
            <wp:extent cx="4572000" cy="2040941"/>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4213" w:rsidRDefault="00703B11">
      <w:pPr>
        <w:spacing w:after="120"/>
        <w:ind w:left="993"/>
        <w:rPr>
          <w:i/>
          <w:sz w:val="18"/>
          <w:szCs w:val="18"/>
        </w:rPr>
      </w:pPr>
      <w:r>
        <w:rPr>
          <w:i/>
          <w:sz w:val="18"/>
          <w:szCs w:val="18"/>
        </w:rPr>
        <w:t xml:space="preserve">Datu avots: </w:t>
      </w:r>
      <w:proofErr w:type="spellStart"/>
      <w:r>
        <w:rPr>
          <w:i/>
          <w:sz w:val="18"/>
          <w:szCs w:val="18"/>
        </w:rPr>
        <w:t>Eurostat</w:t>
      </w:r>
      <w:proofErr w:type="spellEnd"/>
    </w:p>
    <w:p w:rsidR="00FB4213" w:rsidRDefault="00703B11">
      <w:pPr>
        <w:spacing w:after="120"/>
        <w:ind w:firstLine="357"/>
        <w:jc w:val="both"/>
      </w:pPr>
      <w:r>
        <w:t xml:space="preserve">Ieguldījumus nemateriālajos aktīvos ietekmē tādi faktori kā cilvēkresursu pieejamība, publiskās investīcijas pētniecībā un inovācijās, zinātnes un biznesa sasaiste, likumdošanas ietvars un finansējuma pieejamība. Pētījumi rāda, ka ieguldījumi materiālajos un nemateriālajos aktīvos vienlaikus sekmē un bremzē atšķirīgi faktori. </w:t>
      </w:r>
      <w:proofErr w:type="spellStart"/>
      <w:r>
        <w:t>Cilvēkkapitāls</w:t>
      </w:r>
      <w:proofErr w:type="spellEnd"/>
      <w:r>
        <w:t>, ieguldījumi pētniecībā un inovācijās un uzņēmējdarbībai draudzīgs regulējums lielāku ietekmi atstāj uz nemateriālajiem ieguldījumiem. Turpretī finanšu nosacījumiem ir lielāka ietekme uz materiālajām ieguldījumiem.</w:t>
      </w:r>
    </w:p>
    <w:p w:rsidR="007D6AE3" w:rsidRDefault="007D6AE3">
      <w:pPr>
        <w:spacing w:after="120"/>
        <w:ind w:firstLine="357"/>
        <w:jc w:val="both"/>
      </w:pPr>
    </w:p>
    <w:p w:rsidR="00FB4213" w:rsidRDefault="00703B11">
      <w:pPr>
        <w:keepNext/>
        <w:keepLines/>
        <w:shd w:val="clear" w:color="auto" w:fill="FFFFFF"/>
        <w:spacing w:after="120"/>
        <w:ind w:firstLine="357"/>
        <w:jc w:val="both"/>
        <w:rPr>
          <w:b/>
          <w:u w:val="single"/>
        </w:rPr>
      </w:pPr>
      <w:r>
        <w:rPr>
          <w:b/>
          <w:color w:val="000000"/>
          <w:u w:val="single"/>
        </w:rPr>
        <w:t>Latvijas</w:t>
      </w:r>
      <w:r>
        <w:rPr>
          <w:b/>
          <w:u w:val="single"/>
        </w:rPr>
        <w:t xml:space="preserve"> nostāja:</w:t>
      </w:r>
    </w:p>
    <w:p w:rsidR="00FB4213" w:rsidRDefault="00703B11">
      <w:pPr>
        <w:spacing w:after="120"/>
        <w:ind w:firstLine="357"/>
        <w:jc w:val="both"/>
      </w:pPr>
      <w:r>
        <w:t>Latvija uzskata, ka jāvairo izpratne dažādos līmeņos par nemateriālajiem ieguldījumiem. Jādomā kā uzlaboto statistikas datu uzskati par ieguldījumos nemateriālajos aktīvos, vienlaikus nepalielinot slogu informācijas ieguvei. Tāpat svarīgi apzināties, ka zināšanas, kvalifikācija un prasmes arī ir būtisks jautājums kopējo rādītāju celšanai.</w:t>
      </w:r>
    </w:p>
    <w:p w:rsidR="00FB4213" w:rsidRDefault="00703B11">
      <w:pPr>
        <w:spacing w:after="120"/>
        <w:ind w:firstLine="357"/>
        <w:jc w:val="both"/>
      </w:pPr>
      <w:r>
        <w:t xml:space="preserve">Tā kā pēdējo piecu gadu laikā Latvijas uzņēmumu produktivitātes līmenis ir </w:t>
      </w:r>
      <w:proofErr w:type="spellStart"/>
      <w:r>
        <w:t>stagnējis</w:t>
      </w:r>
      <w:proofErr w:type="spellEnd"/>
      <w:r>
        <w:t xml:space="preserve"> nedaudz virs 40% no ES vidējā līmeņa, kā arī inovatīvo uzņēmumu īpatsvars pēdējo gadu laikā ir samazinājies (no 30,4% 2012.gadā līdz 25,5% 2014.gadā), tas liecina par uzņēmumu nepietiekamiem ieguldījumiem nemateriālos aktīvos. </w:t>
      </w:r>
    </w:p>
    <w:p w:rsidR="00FB4213" w:rsidRDefault="00703B11">
      <w:pPr>
        <w:spacing w:after="120"/>
        <w:ind w:firstLine="357"/>
        <w:jc w:val="both"/>
      </w:pPr>
      <w:r>
        <w:t>Tā kā ieguldījumi nemateriālajos aktīvos ne vienmēr ir ar augstu atdevi un sniedz plānoto rezultātu īsā laika termiņā, svarīgi, lai investīcijas veiktu ne tikai privātais sektors.</w:t>
      </w:r>
    </w:p>
    <w:p w:rsidR="00FB4213" w:rsidRDefault="00703B11">
      <w:pPr>
        <w:spacing w:after="120"/>
        <w:ind w:firstLine="357"/>
        <w:jc w:val="both"/>
      </w:pPr>
      <w:r>
        <w:t xml:space="preserve">Tāpēc Latvija uzskata, ka, lai palielinātu uzņēmumu ieguldījumus nemateriālajos aktīvos, nepieciešams lielāks valsts atbalsts uzņēmumu investīciju novirzīšanai no pamatlīdzekļiem uz nemateriālajiem aktīviem, tādejādi mainot uzņēmumu vadītāju domāšanu un apziņu par regulāru ieguldījumu nepieciešamību, kā arī </w:t>
      </w:r>
      <w:proofErr w:type="spellStart"/>
      <w:r>
        <w:t>cilvēkkapitāla</w:t>
      </w:r>
      <w:proofErr w:type="spellEnd"/>
      <w:r>
        <w:t xml:space="preserve"> nozīmi uzņēmumu produktivitātes un konkurētspējas veicināšanā.</w:t>
      </w:r>
    </w:p>
    <w:p w:rsidR="00FB4213" w:rsidRDefault="00703B11">
      <w:pPr>
        <w:spacing w:after="120"/>
        <w:ind w:firstLine="357"/>
        <w:jc w:val="both"/>
      </w:pPr>
      <w:r>
        <w:t xml:space="preserve">Tādejādi, Latvija aktīvi strādā pie izaicinājumiem inovāciju aktivitātes veicināšanai, kas iekļauj pasākumus gan tehnoloģiju </w:t>
      </w:r>
      <w:proofErr w:type="spellStart"/>
      <w:r>
        <w:t>pārneses</w:t>
      </w:r>
      <w:proofErr w:type="spellEnd"/>
      <w:r>
        <w:t xml:space="preserve"> sistēmas pilnveidošanai, sadarbības veicināšanu starp zinātniekiem privāto sektoru, privātā sektora motivēšanu investēt P&amp;A, gan arī atbalsta sniegšanu inovatīvu un tehnoloģiju orientētu uzņēmumu attīstībai.</w:t>
      </w:r>
    </w:p>
    <w:p w:rsidR="00FB4213" w:rsidRDefault="00703B11">
      <w:pPr>
        <w:spacing w:after="120"/>
        <w:ind w:firstLine="357"/>
        <w:jc w:val="both"/>
      </w:pPr>
      <w:r>
        <w:t>Latvija uzskata, ka riska kapitāls ir labs veids kā paplašināt finansējumu uzņēmumu ieguldījumiem nemateriālos aktīvos.</w:t>
      </w:r>
    </w:p>
    <w:p w:rsidR="00FB4213" w:rsidRDefault="00703B11">
      <w:pPr>
        <w:spacing w:after="120"/>
        <w:ind w:firstLine="357"/>
        <w:jc w:val="both"/>
      </w:pPr>
      <w:r>
        <w:t>Papildus Latvija uzskata, ka ir ļoti būtiski nodrošināt stabilu un paredzamu uzņēmējdarbības vidi, kas stimulētu uzņēmējus veikt ieguldījumus nemateriālajos aktīvos.</w:t>
      </w:r>
    </w:p>
    <w:p w:rsidR="00FB4213" w:rsidRDefault="00703B11">
      <w:pPr>
        <w:spacing w:after="120"/>
        <w:ind w:firstLine="357"/>
        <w:jc w:val="both"/>
      </w:pPr>
      <w:r>
        <w:lastRenderedPageBreak/>
        <w:t>Tai pat laikā Latvija uzskata, ka pārāk liela atkarība no ES fondu līdzekļiem rada uzņēmumu atkarību pēc ārējiem finanšu resursiem cilvēkresursu attīstībai un neveicina iekšējo resursu ieguldījumus nemateriālajos aktīvos, līdz ar to ES fondu nepieejamības gadījumā to uzņēmumu, kuru ieguldījumu intensitāte nemateriālajos aktīvos balstās tikai uz ārējiem finanšu avotiem, kļūst nekonkurētspējīgi attiecībā uz tiem, kas iegulda vairāk uzņēmuma personīgos līdzekļus.</w:t>
      </w:r>
    </w:p>
    <w:p w:rsidR="00FB4213" w:rsidRDefault="00703B11">
      <w:pPr>
        <w:spacing w:after="120"/>
        <w:ind w:firstLine="357"/>
        <w:jc w:val="both"/>
      </w:pPr>
      <w:r>
        <w:t xml:space="preserve">Latvija vērš uzmanību, ka ir ļoti svarīgi izvērtēt citu ES dalībvalstu labās prakses pieredzi attiecībā uz uzņēmumu produktivitātes veicināšanu un ieguldījumiem nemateriālos aktīvos, lai izanalizētu potenciālos riskus un ieguvumus specifisku atbalsta instrumentu izstrādei. </w:t>
      </w:r>
    </w:p>
    <w:p w:rsidR="00FB4213" w:rsidRDefault="00FB4213">
      <w:pPr>
        <w:keepNext/>
        <w:keepLines/>
        <w:spacing w:after="120"/>
        <w:ind w:firstLine="357"/>
        <w:jc w:val="both"/>
      </w:pPr>
    </w:p>
    <w:p w:rsidR="00FB4213" w:rsidRDefault="00703B11">
      <w:pPr>
        <w:ind w:left="357" w:hanging="357"/>
        <w:jc w:val="both"/>
        <w:rPr>
          <w:b/>
        </w:rPr>
      </w:pPr>
      <w:r>
        <w:rPr>
          <w:b/>
        </w:rPr>
        <w:t>4.</w:t>
      </w:r>
      <w:r>
        <w:rPr>
          <w:b/>
        </w:rPr>
        <w:tab/>
        <w:t xml:space="preserve">Eiropas semestris 2017: Ikgadējais izaugsmes ziņojums, tematiskā diskusija par publisko iepirkumu </w:t>
      </w:r>
      <w:r>
        <w:t>(Finanšu ministrijas jautājums)</w:t>
      </w:r>
    </w:p>
    <w:p w:rsidR="00FB4213" w:rsidRDefault="00703B11">
      <w:pPr>
        <w:pStyle w:val="DashEqual1"/>
        <w:numPr>
          <w:ilvl w:val="0"/>
          <w:numId w:val="0"/>
        </w:numPr>
        <w:ind w:left="360"/>
        <w:rPr>
          <w:i/>
          <w:lang w:val="lv-LV"/>
        </w:rPr>
      </w:pPr>
      <w:r>
        <w:rPr>
          <w:i/>
          <w:lang w:val="lv-LV"/>
        </w:rPr>
        <w:t>= Viedokļu apmaiņa</w:t>
      </w:r>
    </w:p>
    <w:p w:rsidR="00FB4213" w:rsidRDefault="00703B11">
      <w:pPr>
        <w:spacing w:after="120"/>
        <w:ind w:firstLine="357"/>
        <w:jc w:val="both"/>
      </w:pPr>
      <w:r>
        <w:t xml:space="preserve">Jautājums iekļauts, ņemot vērā, ka 2016. gada ikgadējā izaugsmes ziņojumā tika norādīts uz nepieciešamību uzlabot ES ekonomiskās politikas pārvaldību. Publiskie iepirkumi stimulē ekonomikas attīstību, kā arī ir būtisks valsts politikas veidošanas un stimulēšanas instruments. </w:t>
      </w:r>
    </w:p>
    <w:p w:rsidR="00FB4213" w:rsidRDefault="00703B11">
      <w:pPr>
        <w:spacing w:after="120"/>
        <w:ind w:firstLine="357"/>
        <w:jc w:val="both"/>
      </w:pPr>
      <w:r>
        <w:t xml:space="preserve">EK uzskata, ka ES ir ļoti maz tādu publisko iepirkumu, kuros ir sabalansētas kvalitātes un cenas prasības, kā arī prasības, kuras veicina tādus jautājumus kā inovācijas un "zaļo iepirkumu". Lai gan Valstu specifisko rekomendāciju ietvaros publiskā iepirkuma </w:t>
      </w:r>
      <w:proofErr w:type="spellStart"/>
      <w:r>
        <w:t>problēmjautājumi</w:t>
      </w:r>
      <w:proofErr w:type="spellEnd"/>
      <w:r>
        <w:t xml:space="preserve"> ir reti minēti (4 no 24 rekomendācijām), EK uzskata, ka īpaši Austrum- un Centrāleiropas valstīs iepirkumu procedūras būtu vairāk jāiekļauj arī kvalitātes prasības, tādējādi stimulējot vietējo uzņēmumus un rūpniecību. Tāpat aicina dalībvalstis stimulēt</w:t>
      </w:r>
      <w:r>
        <w:br/>
        <w:t>e-iepirkuma procedūras izmantošanu.</w:t>
      </w:r>
    </w:p>
    <w:p w:rsidR="007D6AE3" w:rsidRDefault="007D6AE3">
      <w:pPr>
        <w:spacing w:after="120"/>
        <w:ind w:firstLine="357"/>
        <w:jc w:val="both"/>
      </w:pPr>
    </w:p>
    <w:p w:rsidR="00FB4213" w:rsidRDefault="00703B11">
      <w:pPr>
        <w:keepNext/>
        <w:keepLines/>
        <w:shd w:val="clear" w:color="auto" w:fill="FFFFFF"/>
        <w:spacing w:after="120"/>
        <w:ind w:firstLine="357"/>
        <w:jc w:val="both"/>
        <w:rPr>
          <w:b/>
          <w:u w:val="single"/>
        </w:rPr>
      </w:pPr>
      <w:r>
        <w:rPr>
          <w:b/>
          <w:color w:val="000000"/>
          <w:u w:val="single"/>
        </w:rPr>
        <w:t>Latvijas</w:t>
      </w:r>
      <w:r>
        <w:rPr>
          <w:b/>
          <w:u w:val="single"/>
        </w:rPr>
        <w:t xml:space="preserve"> nostāja:</w:t>
      </w:r>
    </w:p>
    <w:p w:rsidR="00FB4213" w:rsidRDefault="00703B11">
      <w:pPr>
        <w:spacing w:after="120"/>
        <w:ind w:firstLine="357"/>
        <w:jc w:val="both"/>
      </w:pPr>
      <w:r>
        <w:t xml:space="preserve">Latvija novērtē ES Konkurētspējas ministru padomes iesaisti Eiropas semestra procesa izvērtēšanā un atbalsta arī turpmāku viedokļu un labo piemēru apmaiņu ES Padomes Augsta līmeņa konkurētspējas un izaugsmes darba grupā par dalībvalstu specifiskās rekomendācijās ietvertiem </w:t>
      </w:r>
      <w:proofErr w:type="spellStart"/>
      <w:r>
        <w:t>sektorāliem</w:t>
      </w:r>
      <w:proofErr w:type="spellEnd"/>
      <w:r>
        <w:t xml:space="preserve"> jautājumiem.</w:t>
      </w:r>
    </w:p>
    <w:p w:rsidR="00FB4213" w:rsidRDefault="00703B11">
      <w:pPr>
        <w:spacing w:after="120"/>
        <w:ind w:firstLine="357"/>
        <w:jc w:val="both"/>
      </w:pPr>
      <w:r>
        <w:t>2017.gada 1.martā spēkā stāsies jaunais Publisko iepirkumu likums un no tā izrietošie Ministru kabineta noteikumi, savukārt 2017.gada 1.aprīlī spēkā stāsies Sabiedrisko pakalpojumu sniedzēju iepirkumu likums un Ministru kabineta noteikumi, tādējādi līdz galam pārņemot direktīvu prasības. Savukārt grozījumi Publiskās un privātās partnerības likumā 2017.gada 7.februārī ir apstiprināti Ministru kabinetā.</w:t>
      </w:r>
    </w:p>
    <w:p w:rsidR="00FB4213" w:rsidRDefault="00703B11">
      <w:pPr>
        <w:spacing w:after="120"/>
        <w:ind w:firstLine="357"/>
        <w:jc w:val="both"/>
      </w:pPr>
      <w:r>
        <w:t>Caurskatāma, taisnīga un konkurenci veicinoša publisko iepirkumu norise nenoliedzami rada biznesa iespējas un darbavietas un veicina ekonomisko izaugsmi, kā arī aicinājusi publisko sektoru iepirkumu jomā neapstāties tikai pie tiesiski veiktas iepirkuma procedūras, bet tiekties publisko iepirkumu izmantot kā stratēģisku instrumentu inovāciju veicināšanā, mērķtiecīgā publisko resursu ieguldīšanā, ilgtspējīgu risinājumu izvēlē, vietējās ekonomikas sekmēšanā un pasūtītāju iepirkumu kapacitātes stiprināšanā, centralizējot iepirkumus.</w:t>
      </w:r>
    </w:p>
    <w:p w:rsidR="00FB4213" w:rsidRDefault="00703B11">
      <w:pPr>
        <w:spacing w:after="120"/>
        <w:ind w:firstLine="357"/>
        <w:jc w:val="both"/>
      </w:pPr>
      <w:r>
        <w:t>Jaunajā Publisko iepirkumu likumā tiek paredzēta pakāpeniska pāreja uz pilnībā elektronizētu iepirkumu norisi. Tas nodrošinās administratīvā sloga samazinājumu piegādātājiem. No 2019.gada 1.janvāra piedāvājumu un pieteikumu saņemšana notiks faktiski tikai elektroniskā veidā.</w:t>
      </w:r>
    </w:p>
    <w:p w:rsidR="00FB4213" w:rsidRDefault="00703B11">
      <w:pPr>
        <w:spacing w:after="120"/>
        <w:ind w:firstLine="357"/>
        <w:jc w:val="both"/>
      </w:pPr>
      <w:r>
        <w:t>ES līmenī būtu nepieciešams vairāk uzmanību pievērst dalībvalstu kompetento iestāžu savstarpējai informācijas apmaiņai, ar domu, ka citas dalībvalsts piegādātāju pārbaudes attiecībā uz izslēgšanas gadījumiem būtu veicamas dažu minūšu vai stundu laikā. Tā kā tas šobrīd notiek ar vietējiem piegādātājiem.</w:t>
      </w:r>
    </w:p>
    <w:p w:rsidR="00FB4213" w:rsidRDefault="00FB4213">
      <w:pPr>
        <w:spacing w:before="120" w:after="120"/>
        <w:ind w:firstLine="357"/>
        <w:jc w:val="both"/>
      </w:pPr>
    </w:p>
    <w:p w:rsidR="00FB4213" w:rsidRDefault="00703B11">
      <w:pPr>
        <w:ind w:left="357" w:hanging="357"/>
        <w:jc w:val="both"/>
        <w:rPr>
          <w:b/>
        </w:rPr>
      </w:pPr>
      <w:r>
        <w:rPr>
          <w:b/>
        </w:rPr>
        <w:t>5.</w:t>
      </w:r>
      <w:r>
        <w:rPr>
          <w:b/>
        </w:rPr>
        <w:tab/>
        <w:t>EK paziņojums Eiropas Parlamentam, Padomei, Eiropas Ekonomikas un sociālo lietu komitejai un Reģionu Komitejai "Eiropas topošie līderi: jaunuzņēmumu un augošo uzņēmumu atbalsta iniciatīva "</w:t>
      </w:r>
    </w:p>
    <w:p w:rsidR="00FB4213" w:rsidRDefault="00703B11">
      <w:pPr>
        <w:pStyle w:val="DashEqual1"/>
        <w:numPr>
          <w:ilvl w:val="0"/>
          <w:numId w:val="0"/>
        </w:numPr>
        <w:ind w:left="360"/>
        <w:rPr>
          <w:i/>
          <w:lang w:val="lv-LV"/>
        </w:rPr>
      </w:pPr>
      <w:r>
        <w:rPr>
          <w:i/>
          <w:lang w:val="lv-LV"/>
        </w:rPr>
        <w:t>= EK prezentācija</w:t>
      </w:r>
    </w:p>
    <w:p w:rsidR="00FB4213" w:rsidRDefault="00703B11">
      <w:pPr>
        <w:pStyle w:val="DashEqual1"/>
        <w:numPr>
          <w:ilvl w:val="0"/>
          <w:numId w:val="0"/>
        </w:numPr>
        <w:ind w:left="360"/>
        <w:rPr>
          <w:i/>
          <w:lang w:val="lv-LV"/>
        </w:rPr>
      </w:pPr>
      <w:r>
        <w:rPr>
          <w:i/>
          <w:lang w:val="lv-LV"/>
        </w:rPr>
        <w:t>= Viedokļu apmaiņa</w:t>
      </w:r>
    </w:p>
    <w:p w:rsidR="00FB4213" w:rsidRDefault="00703B11">
      <w:pPr>
        <w:spacing w:after="120"/>
        <w:ind w:firstLine="357"/>
        <w:jc w:val="both"/>
      </w:pPr>
      <w:r>
        <w:t xml:space="preserve">2016. gada 22. novembrī EK publicēja paziņojumu "Eiropas topošie līderi: jaunuzņēmumu un augošo uzņēmumu atbalsta iniciatīva", kurā EK identificē virkni pasākumu, kuru mērķis ir radīt ietvaru </w:t>
      </w:r>
      <w:proofErr w:type="spellStart"/>
      <w:r>
        <w:t>jaunuzņēmumu</w:t>
      </w:r>
      <w:proofErr w:type="spellEnd"/>
      <w:r>
        <w:t xml:space="preserve"> (</w:t>
      </w:r>
      <w:r>
        <w:rPr>
          <w:i/>
        </w:rPr>
        <w:t>"start-</w:t>
      </w:r>
      <w:proofErr w:type="spellStart"/>
      <w:r>
        <w:rPr>
          <w:i/>
        </w:rPr>
        <w:t>ups</w:t>
      </w:r>
      <w:proofErr w:type="spellEnd"/>
      <w:r>
        <w:rPr>
          <w:i/>
        </w:rPr>
        <w:t>"</w:t>
      </w:r>
      <w:r>
        <w:t xml:space="preserve">) izaugsmei un darbībai ES. </w:t>
      </w:r>
    </w:p>
    <w:p w:rsidR="00FB4213" w:rsidRDefault="00703B11">
      <w:pPr>
        <w:spacing w:after="120"/>
        <w:ind w:firstLine="357"/>
        <w:jc w:val="both"/>
      </w:pPr>
      <w:r>
        <w:t xml:space="preserve">Jaunuzņēmumu loma ES ekonomikā pēdējo gadu laikā ir būtiski pieaugusi, īpaši ņemot vērā, ka </w:t>
      </w:r>
      <w:proofErr w:type="spellStart"/>
      <w:r>
        <w:t>jaunuzņēmumi</w:t>
      </w:r>
      <w:proofErr w:type="spellEnd"/>
      <w:r>
        <w:t xml:space="preserve"> veicina ne vien konkurētspēju un inovācijas, bet arī nodrošina darba vietas un rada pievienoto vērtību. Paziņojumā EK norāda uz dažādiem šķēršļiem sekmīgai jaunuzņēmumu izaugsmei, kā arī uz pasākumu kopumu, kas sekmētu šādu uzņēmumu izaugsmes iespējas, tai skaitā, normatīvo un administratīvo prasību mazināšana, nodokļu sloga un ar to saistīto administratīvo izmaksu optimizācija, normu, kas paredz finansiālās grūtībās nonākušo uzņēmumu iespējas laicīgi pārstrukturēties, pārskatīšana, darba ņēmēju piesaistes atvieglojumu izstrāde, kā arī finansējuma pieejamības sekmēšana.</w:t>
      </w:r>
    </w:p>
    <w:p w:rsidR="00FB4213" w:rsidRDefault="00703B11">
      <w:pPr>
        <w:spacing w:after="120"/>
        <w:ind w:firstLine="357"/>
        <w:jc w:val="both"/>
      </w:pPr>
      <w:r>
        <w:t xml:space="preserve">Vienlaikus paziņojumā EK identificē vairākas jau esošas un jaunas iniciatīvas, kas vērstas uz jaunu iespēju radīšanu </w:t>
      </w:r>
      <w:proofErr w:type="spellStart"/>
      <w:r>
        <w:t>jaunuzņēmumiem</w:t>
      </w:r>
      <w:proofErr w:type="spellEnd"/>
      <w:r>
        <w:t xml:space="preserve">, kas veidotu tādu ekosistēmas izveidi ES līmenī, kur </w:t>
      </w:r>
      <w:proofErr w:type="spellStart"/>
      <w:r>
        <w:t>jaunuzņēmumi</w:t>
      </w:r>
      <w:proofErr w:type="spellEnd"/>
      <w:r>
        <w:t xml:space="preserve"> var sadarboties ar potenciāliem partneriem — ieguldītājiem, </w:t>
      </w:r>
      <w:proofErr w:type="spellStart"/>
      <w:r>
        <w:t>darījumpartneriem</w:t>
      </w:r>
      <w:proofErr w:type="spellEnd"/>
      <w:r>
        <w:t>, augstskolām un pētniecības centriem, kā arī piesaistīt augsti kvalificētus darbiniekus no trešajām valstīm.</w:t>
      </w:r>
    </w:p>
    <w:p w:rsidR="00FB4213" w:rsidRDefault="00703B11">
      <w:pPr>
        <w:spacing w:after="120"/>
        <w:ind w:firstLine="357"/>
        <w:jc w:val="both"/>
      </w:pPr>
      <w:r>
        <w:t xml:space="preserve">2016. gada nogalē Latvijā tika pieņemts Jaunuzņēmumu likums, kas paredz ar šo gadu uzsākt atbalsta sniegšanu </w:t>
      </w:r>
      <w:proofErr w:type="spellStart"/>
      <w:r>
        <w:t>jaunuznēmumiem</w:t>
      </w:r>
      <w:proofErr w:type="spellEnd"/>
      <w:r>
        <w:t xml:space="preserve">. Jāatzīmē, ka </w:t>
      </w:r>
      <w:proofErr w:type="spellStart"/>
      <w:r>
        <w:t>jaunuzņēmumi</w:t>
      </w:r>
      <w:proofErr w:type="spellEnd"/>
      <w:r>
        <w:t xml:space="preserve"> Latvijā jau piesaistījuši vairāk kā 108 milj. EUR un to ekosistēmas pilnveide ir svarīgs solis tehnoloģiju un inovāciju vecināšanā, lai Latvija kļūtu par </w:t>
      </w:r>
      <w:proofErr w:type="spellStart"/>
      <w:r>
        <w:t>jaunuzņēmumu</w:t>
      </w:r>
      <w:proofErr w:type="spellEnd"/>
      <w:r>
        <w:t xml:space="preserve"> izvēli Nr.1 Baltijā.</w:t>
      </w:r>
    </w:p>
    <w:p w:rsidR="007D6AE3" w:rsidRDefault="007D6AE3">
      <w:pPr>
        <w:spacing w:after="120"/>
        <w:ind w:firstLine="357"/>
        <w:jc w:val="both"/>
      </w:pPr>
    </w:p>
    <w:p w:rsidR="00FB4213" w:rsidRDefault="00703B11">
      <w:pPr>
        <w:keepNext/>
        <w:keepLines/>
        <w:shd w:val="clear" w:color="auto" w:fill="FFFFFF"/>
        <w:spacing w:after="120"/>
        <w:ind w:firstLine="357"/>
        <w:jc w:val="both"/>
        <w:rPr>
          <w:b/>
          <w:u w:val="single"/>
        </w:rPr>
      </w:pPr>
      <w:r>
        <w:rPr>
          <w:b/>
          <w:color w:val="000000"/>
          <w:u w:val="single"/>
        </w:rPr>
        <w:t>Latvijas</w:t>
      </w:r>
      <w:r>
        <w:rPr>
          <w:b/>
          <w:u w:val="single"/>
        </w:rPr>
        <w:t xml:space="preserve"> nostāja:</w:t>
      </w:r>
    </w:p>
    <w:p w:rsidR="00FB4213" w:rsidRDefault="00703B11">
      <w:pPr>
        <w:spacing w:after="120"/>
        <w:ind w:firstLine="357"/>
        <w:jc w:val="both"/>
        <w:rPr>
          <w:color w:val="212121"/>
        </w:rPr>
      </w:pPr>
      <w:r>
        <w:t xml:space="preserve">Latvija atzinīgi vērtē EK paziņojumu. </w:t>
      </w:r>
      <w:r>
        <w:rPr>
          <w:color w:val="212121"/>
        </w:rPr>
        <w:t xml:space="preserve">Latvija uzskata, ka strauji augoši </w:t>
      </w:r>
      <w:proofErr w:type="spellStart"/>
      <w:r>
        <w:rPr>
          <w:color w:val="212121"/>
        </w:rPr>
        <w:t>jaunuzņēmumi</w:t>
      </w:r>
      <w:proofErr w:type="spellEnd"/>
      <w:r>
        <w:rPr>
          <w:color w:val="212121"/>
        </w:rPr>
        <w:t xml:space="preserve">, ir nozīmīgs jaunu darba vietu radīšanas un inovācijas avots. Šiem uzņēmumiem ir būtiska nozīme Latvijas un </w:t>
      </w:r>
      <w:r>
        <w:t>Eiropas</w:t>
      </w:r>
      <w:r>
        <w:rPr>
          <w:color w:val="212121"/>
        </w:rPr>
        <w:t xml:space="preserve"> ekonomiskās izaugsmes, pievienotās vērtības un inovācijas sekmēšanā.</w:t>
      </w:r>
    </w:p>
    <w:p w:rsidR="00FB4213" w:rsidRDefault="00703B11">
      <w:pPr>
        <w:spacing w:after="120"/>
        <w:ind w:firstLine="357"/>
        <w:jc w:val="both"/>
        <w:rPr>
          <w:color w:val="212121"/>
        </w:rPr>
      </w:pPr>
      <w:r>
        <w:rPr>
          <w:color w:val="212121"/>
        </w:rPr>
        <w:t>Latvija uzskata, ka būtiski veidot tādu uzņēmējdarbības ekosistēmu, kas labvēlīga jaunuzņēmumu tālākai izaugsmei, tostarp internacionalizācijai. Līdz ar to svarīgi ir panākt, ka šiem uzņēmumiem tiek nodrošinātas pilnvērtīgas iespējas piekļūt kapitālam un finansējumam visos uzņēmuma attīstības posmos. Vienlaikus Latvija uzskata, ka būtiski ir panākt, lai jaunuzņēmumu reģistrācijas adrese tiktu atzīta citās ES dalībvalstīs, kas nodrošinātu šo uzņēmumu tālāku izaugsmi.</w:t>
      </w:r>
    </w:p>
    <w:p w:rsidR="00FB4213" w:rsidRDefault="00703B11">
      <w:pPr>
        <w:spacing w:after="120"/>
        <w:ind w:firstLine="357"/>
        <w:jc w:val="both"/>
      </w:pPr>
      <w:r>
        <w:t xml:space="preserve">Latvija saredz pievienoto vērtību ES līmeņa vienotai jaunuzņēmumu izpratnei. Kopējā izpratne definīcijas vai citā formātā sniegtu iespēju mērķtiecīgi sniegt atbalstu </w:t>
      </w:r>
      <w:proofErr w:type="spellStart"/>
      <w:r>
        <w:t>jaunuzņēmumiem</w:t>
      </w:r>
      <w:proofErr w:type="spellEnd"/>
      <w:r>
        <w:t xml:space="preserve"> ar ES līmeņa instrumentiem.</w:t>
      </w:r>
    </w:p>
    <w:p w:rsidR="00FB4213" w:rsidRDefault="00703B11">
      <w:pPr>
        <w:spacing w:after="120"/>
        <w:ind w:firstLine="357"/>
        <w:jc w:val="both"/>
      </w:pPr>
      <w:r>
        <w:t>Latvija atbalsta nepieciešamību novērst birokrātiskus šķēršļus un vienkāršot administratīvās procedūras, īpaši uzņēmējdarbības uzsākšanas posmā, kā arī sniegt pieeju uzņēmējdarbībā nepieciešamajai informācijai. Latvijas skatījumā ir jātiecas uz "tikai vienreiz" ("</w:t>
      </w:r>
      <w:proofErr w:type="spellStart"/>
      <w:r>
        <w:t>once</w:t>
      </w:r>
      <w:proofErr w:type="spellEnd"/>
      <w:r>
        <w:t xml:space="preserve"> </w:t>
      </w:r>
      <w:proofErr w:type="spellStart"/>
      <w:r>
        <w:t>only</w:t>
      </w:r>
      <w:proofErr w:type="spellEnd"/>
      <w:r>
        <w:t>") principa ieviešanu dzīvē, kas mazinātu slogu gan publiskajām administrācijām, gan uzņēmējiem, ja pārskatot esošo likumdošanu vai nākot klajā ar jaunām iniciatīvām tiktu veicināts tas, ka vienreiz iesniegta informācija ir pieejama un atkal izmantojama. Tāpat ir nepieciešams attīstīt principu "digitāls pēc noklusējuma" ("</w:t>
      </w:r>
      <w:proofErr w:type="spellStart"/>
      <w:r>
        <w:t>digital</w:t>
      </w:r>
      <w:proofErr w:type="spellEnd"/>
      <w:r>
        <w:t xml:space="preserve"> </w:t>
      </w:r>
      <w:proofErr w:type="spellStart"/>
      <w:r>
        <w:t>by</w:t>
      </w:r>
      <w:proofErr w:type="spellEnd"/>
      <w:r>
        <w:t xml:space="preserve"> </w:t>
      </w:r>
      <w:proofErr w:type="spellStart"/>
      <w:r>
        <w:t>default</w:t>
      </w:r>
      <w:proofErr w:type="spellEnd"/>
      <w:r>
        <w:t xml:space="preserve">") publiskajā </w:t>
      </w:r>
      <w:r>
        <w:lastRenderedPageBreak/>
        <w:t>pārvaldē - katram valsts pakalpojumam primāri jābūt veidotam kā digitālam pakalpojumam. Šim principam ir jākļūst par normu arī ES līmenī.</w:t>
      </w:r>
    </w:p>
    <w:p w:rsidR="00FB4213" w:rsidRDefault="00703B11">
      <w:pPr>
        <w:spacing w:after="120"/>
        <w:ind w:firstLine="357"/>
        <w:jc w:val="both"/>
      </w:pPr>
      <w:r>
        <w:t>Attiecībā uz finansējuma pieejamību Latvija atzinīgi vērtē aktivitātes riska kapitāla savienības ietvaros, kas ļautu palielināt riska kapitāla finansējuma pieejamību un mazināt esošo fragmentāciju riska kapitāla tirgū.</w:t>
      </w:r>
    </w:p>
    <w:p w:rsidR="00FB4213" w:rsidRDefault="00703B11">
      <w:pPr>
        <w:spacing w:after="120"/>
        <w:ind w:firstLine="357"/>
        <w:jc w:val="both"/>
      </w:pPr>
      <w:r>
        <w:t>Latvija atbalsta EK iniciatīvu veidot Jaunu prasmju programmu Eiropai, kas piedāvās visaptverošu pamatu nodarbinātības iespējām, ņemot vērā pieaugošo nepieciešamību darba tirgū pēc profesionāļiem un darbiniekiem ar digitālajām un papildu prasmēm.</w:t>
      </w:r>
    </w:p>
    <w:p w:rsidR="00FB4213" w:rsidRDefault="00703B11">
      <w:pPr>
        <w:spacing w:after="120"/>
        <w:ind w:firstLine="357"/>
        <w:jc w:val="both"/>
      </w:pPr>
      <w:r>
        <w:t xml:space="preserve">Latvija atzinīgi vērtē EK plānus veikt izmaiņas programmā "Apvārsnis2020" 2018.-2020.gada periodam ar mērķi veicināt atbalsta saņemšanu tieši strauji augošiem </w:t>
      </w:r>
      <w:proofErr w:type="spellStart"/>
      <w:r>
        <w:t>jaunuzņēmumiem</w:t>
      </w:r>
      <w:proofErr w:type="spellEnd"/>
      <w:r>
        <w:t>.</w:t>
      </w:r>
    </w:p>
    <w:p w:rsidR="00FB4213" w:rsidRDefault="00703B11">
      <w:pPr>
        <w:spacing w:after="120"/>
        <w:ind w:firstLine="357"/>
        <w:jc w:val="both"/>
        <w:rPr>
          <w:bCs/>
          <w:i/>
        </w:rPr>
      </w:pPr>
      <w:r>
        <w:t>Izvērsta Latvijas nostāja ir atspoguļota nacionālajā pozīcijā Nr.1 "</w:t>
      </w:r>
      <w:r>
        <w:rPr>
          <w:bCs/>
        </w:rPr>
        <w:t>Komisijas paziņojums Eiropas Parlamentam, Padomei, Eiropas Ekonomikas un sociālo lietu komitejai un Reģionu Komitejai "Eiropas topošie līderi: jaunuzņēmumu un augošo uzņēmumu atbalsta iniciatīva""</w:t>
      </w:r>
      <w:r>
        <w:t xml:space="preserve">. </w:t>
      </w:r>
    </w:p>
    <w:p w:rsidR="00FB4213" w:rsidRDefault="00FB4213">
      <w:pPr>
        <w:spacing w:before="120" w:after="120"/>
        <w:ind w:firstLine="357"/>
        <w:jc w:val="both"/>
      </w:pPr>
    </w:p>
    <w:p w:rsidR="00FB4213" w:rsidRDefault="00703B11">
      <w:pPr>
        <w:ind w:left="357" w:hanging="357"/>
        <w:jc w:val="both"/>
        <w:rPr>
          <w:b/>
        </w:rPr>
      </w:pPr>
      <w:r>
        <w:rPr>
          <w:b/>
        </w:rPr>
        <w:t>6.</w:t>
      </w:r>
      <w:r>
        <w:rPr>
          <w:b/>
        </w:rPr>
        <w:tab/>
        <w:t>Citi jautājumi:</w:t>
      </w:r>
    </w:p>
    <w:p w:rsidR="00FB4213" w:rsidRDefault="00703B11">
      <w:pPr>
        <w:ind w:left="357"/>
        <w:rPr>
          <w:b/>
        </w:rPr>
      </w:pPr>
      <w:r>
        <w:rPr>
          <w:b/>
        </w:rPr>
        <w:t xml:space="preserve">a) Eiropas Aizsardzības rīcības plāns </w:t>
      </w:r>
      <w:r>
        <w:t>(Aizsardzības ministrijas jautājums)</w:t>
      </w:r>
    </w:p>
    <w:p w:rsidR="00FB4213" w:rsidRDefault="00703B11">
      <w:pPr>
        <w:pStyle w:val="DashEqual1"/>
        <w:numPr>
          <w:ilvl w:val="0"/>
          <w:numId w:val="0"/>
        </w:numPr>
        <w:spacing w:after="120"/>
        <w:ind w:left="360"/>
        <w:rPr>
          <w:i/>
          <w:lang w:val="lv-LV"/>
        </w:rPr>
      </w:pPr>
      <w:r>
        <w:rPr>
          <w:i/>
          <w:lang w:val="lv-LV"/>
        </w:rPr>
        <w:t>= EK informācija</w:t>
      </w:r>
    </w:p>
    <w:p w:rsidR="00FB4213" w:rsidRDefault="00703B11">
      <w:pPr>
        <w:spacing w:after="120"/>
        <w:ind w:firstLine="357"/>
        <w:jc w:val="both"/>
      </w:pPr>
      <w:r>
        <w:t xml:space="preserve">2016. gada 30.novembrī EK publicēja paziņojumu Eiropas Parlamentam, Eiropadomei, Padomei, Eiropas Ekonomikas un sociālo lietu komitejai un Reģionu komitejai par Eiropas Aizsardzības rīcības plānu (EARP). </w:t>
      </w:r>
    </w:p>
    <w:p w:rsidR="00FB4213" w:rsidRDefault="00703B11">
      <w:pPr>
        <w:spacing w:after="120"/>
        <w:ind w:firstLine="357"/>
        <w:jc w:val="both"/>
        <w:rPr>
          <w:bCs/>
          <w:iCs/>
          <w:color w:val="000000"/>
          <w:shd w:val="clear" w:color="auto" w:fill="FFFFFF"/>
        </w:rPr>
      </w:pPr>
      <w:r>
        <w:rPr>
          <w:bCs/>
          <w:iCs/>
          <w:color w:val="000000"/>
          <w:shd w:val="clear" w:color="auto" w:fill="FFFFFF"/>
        </w:rPr>
        <w:t xml:space="preserve">EARP izstrādāts, pamatojoties uz ES Globālo stratēģiju un uz EK prezidenta </w:t>
      </w:r>
      <w:proofErr w:type="spellStart"/>
      <w:r>
        <w:rPr>
          <w:bCs/>
          <w:iCs/>
          <w:color w:val="000000"/>
          <w:shd w:val="clear" w:color="auto" w:fill="FFFFFF"/>
        </w:rPr>
        <w:t>Ž.K.Junkera</w:t>
      </w:r>
      <w:proofErr w:type="spellEnd"/>
      <w:r>
        <w:rPr>
          <w:bCs/>
          <w:iCs/>
          <w:color w:val="000000"/>
          <w:shd w:val="clear" w:color="auto" w:fill="FFFFFF"/>
        </w:rPr>
        <w:t xml:space="preserve"> iezīmētajām prioritātēm 2016. gada septembrī, uzstājoties Eiropas Parlamentā. EK prezidents uzsvēra, ka ES kolektīvās drošības garantēšanai ir kopīgi jāinvestē tehnoloģijās un stratēģiski svarīgos pasākumos, izveidojot stipru, konkurētspējīgu un inovatīvu aizsardzības rūpniecības bāzi, kas nākotnē nodrošinās ES stratēģisko autonomiju.</w:t>
      </w:r>
    </w:p>
    <w:p w:rsidR="00FB4213" w:rsidRDefault="00703B11">
      <w:pPr>
        <w:spacing w:after="120"/>
        <w:ind w:firstLine="357"/>
        <w:jc w:val="both"/>
        <w:rPr>
          <w:bCs/>
          <w:iCs/>
          <w:color w:val="000000"/>
          <w:shd w:val="clear" w:color="auto" w:fill="FFFFFF"/>
        </w:rPr>
      </w:pPr>
      <w:r>
        <w:rPr>
          <w:bCs/>
          <w:iCs/>
          <w:color w:val="000000"/>
          <w:shd w:val="clear" w:color="auto" w:fill="FFFFFF"/>
        </w:rPr>
        <w:t xml:space="preserve">EK, izplatot EARP, ir izvēlējusies </w:t>
      </w:r>
      <w:r>
        <w:rPr>
          <w:b/>
          <w:bCs/>
          <w:iCs/>
          <w:color w:val="000000"/>
          <w:shd w:val="clear" w:color="auto" w:fill="FFFFFF"/>
        </w:rPr>
        <w:t>trīs galvenās prioritātes</w:t>
      </w:r>
      <w:r>
        <w:rPr>
          <w:bCs/>
          <w:iCs/>
          <w:color w:val="000000"/>
          <w:shd w:val="clear" w:color="auto" w:fill="FFFFFF"/>
        </w:rPr>
        <w:t xml:space="preserve">: </w:t>
      </w:r>
      <w:r>
        <w:rPr>
          <w:b/>
          <w:bCs/>
          <w:iCs/>
          <w:color w:val="000000"/>
          <w:u w:val="single"/>
          <w:shd w:val="clear" w:color="auto" w:fill="FFFFFF"/>
        </w:rPr>
        <w:t>Eiropas Aizsardzības fonda</w:t>
      </w:r>
      <w:r>
        <w:rPr>
          <w:b/>
          <w:bCs/>
          <w:iCs/>
          <w:color w:val="000000"/>
          <w:shd w:val="clear" w:color="auto" w:fill="FFFFFF"/>
        </w:rPr>
        <w:t xml:space="preserve"> izveidošanu</w:t>
      </w:r>
      <w:r>
        <w:rPr>
          <w:bCs/>
          <w:iCs/>
          <w:color w:val="000000"/>
          <w:shd w:val="clear" w:color="auto" w:fill="FFFFFF"/>
        </w:rPr>
        <w:t xml:space="preserve"> ar mērķi atbalstīt investīcijas kopīgā pētniecībā un kopīgā tehnoloģiju izstrādē un iekārtu ražošanā. Fonda darbību tiek piedāvāts orientēt divos virzienos: pētniecībai (</w:t>
      </w:r>
      <w:proofErr w:type="spellStart"/>
      <w:r>
        <w:rPr>
          <w:bCs/>
          <w:i/>
          <w:iCs/>
          <w:color w:val="000000"/>
          <w:shd w:val="clear" w:color="auto" w:fill="FFFFFF"/>
        </w:rPr>
        <w:t>research</w:t>
      </w:r>
      <w:proofErr w:type="spellEnd"/>
      <w:r>
        <w:rPr>
          <w:bCs/>
          <w:i/>
          <w:iCs/>
          <w:color w:val="000000"/>
          <w:shd w:val="clear" w:color="auto" w:fill="FFFFFF"/>
        </w:rPr>
        <w:t xml:space="preserve"> </w:t>
      </w:r>
      <w:proofErr w:type="spellStart"/>
      <w:r>
        <w:rPr>
          <w:bCs/>
          <w:i/>
          <w:iCs/>
          <w:color w:val="000000"/>
          <w:shd w:val="clear" w:color="auto" w:fill="FFFFFF"/>
        </w:rPr>
        <w:t>window</w:t>
      </w:r>
      <w:proofErr w:type="spellEnd"/>
      <w:r>
        <w:rPr>
          <w:bCs/>
          <w:iCs/>
          <w:color w:val="000000"/>
          <w:shd w:val="clear" w:color="auto" w:fill="FFFFFF"/>
        </w:rPr>
        <w:t>) un aizsardzības spēju uzlabošanai (</w:t>
      </w:r>
      <w:proofErr w:type="spellStart"/>
      <w:r>
        <w:rPr>
          <w:bCs/>
          <w:i/>
          <w:iCs/>
          <w:color w:val="000000"/>
          <w:shd w:val="clear" w:color="auto" w:fill="FFFFFF"/>
        </w:rPr>
        <w:t>capability</w:t>
      </w:r>
      <w:proofErr w:type="spellEnd"/>
      <w:r>
        <w:rPr>
          <w:bCs/>
          <w:i/>
          <w:iCs/>
          <w:color w:val="000000"/>
          <w:shd w:val="clear" w:color="auto" w:fill="FFFFFF"/>
        </w:rPr>
        <w:t xml:space="preserve"> </w:t>
      </w:r>
      <w:proofErr w:type="spellStart"/>
      <w:r>
        <w:rPr>
          <w:bCs/>
          <w:i/>
          <w:iCs/>
          <w:color w:val="000000"/>
          <w:shd w:val="clear" w:color="auto" w:fill="FFFFFF"/>
        </w:rPr>
        <w:t>window</w:t>
      </w:r>
      <w:proofErr w:type="spellEnd"/>
      <w:r>
        <w:rPr>
          <w:bCs/>
          <w:iCs/>
          <w:color w:val="000000"/>
          <w:shd w:val="clear" w:color="auto" w:fill="FFFFFF"/>
        </w:rPr>
        <w:t>).</w:t>
      </w:r>
    </w:p>
    <w:p w:rsidR="00FB4213" w:rsidRDefault="00703B11">
      <w:pPr>
        <w:spacing w:after="120"/>
        <w:ind w:firstLine="357"/>
        <w:jc w:val="both"/>
        <w:rPr>
          <w:bCs/>
          <w:iCs/>
          <w:color w:val="000000"/>
          <w:shd w:val="clear" w:color="auto" w:fill="FFFFFF"/>
        </w:rPr>
      </w:pPr>
      <w:r>
        <w:rPr>
          <w:b/>
          <w:bCs/>
          <w:iCs/>
          <w:color w:val="000000"/>
          <w:shd w:val="clear" w:color="auto" w:fill="FFFFFF"/>
        </w:rPr>
        <w:t>Pētniecības atzars</w:t>
      </w:r>
      <w:r>
        <w:rPr>
          <w:bCs/>
          <w:iCs/>
          <w:color w:val="000000"/>
          <w:shd w:val="clear" w:color="auto" w:fill="FFFFFF"/>
        </w:rPr>
        <w:t xml:space="preserve"> – attīstīt kopīgu pētniecību aizsardzības jomā, lai radītu inovatīvas aizsardzības tehnoloģijas (elektronika, meta-materiāli, robotu platformas, </w:t>
      </w:r>
      <w:proofErr w:type="spellStart"/>
      <w:r>
        <w:rPr>
          <w:bCs/>
          <w:iCs/>
          <w:color w:val="000000"/>
          <w:shd w:val="clear" w:color="auto" w:fill="FFFFFF"/>
        </w:rPr>
        <w:t>kriptēšanas</w:t>
      </w:r>
      <w:proofErr w:type="spellEnd"/>
      <w:r>
        <w:rPr>
          <w:bCs/>
          <w:iCs/>
          <w:color w:val="000000"/>
          <w:shd w:val="clear" w:color="auto" w:fill="FFFFFF"/>
        </w:rPr>
        <w:t xml:space="preserve"> programmatūra u.c.). EK atsaucas uz jau sagatavoto Sākotnējo rīcību, kuru paredzēts uzsākt 2017. gadā. Pēc 2020. gada EK plāno piedāvāt pētniecības programmu aizsardzības jomā ar aptuveni 500 milj. </w:t>
      </w:r>
      <w:proofErr w:type="spellStart"/>
      <w:r>
        <w:rPr>
          <w:bCs/>
          <w:iCs/>
          <w:color w:val="000000"/>
          <w:shd w:val="clear" w:color="auto" w:fill="FFFFFF"/>
        </w:rPr>
        <w:t>euro</w:t>
      </w:r>
      <w:proofErr w:type="spellEnd"/>
      <w:r>
        <w:rPr>
          <w:bCs/>
          <w:iCs/>
          <w:color w:val="000000"/>
          <w:shd w:val="clear" w:color="auto" w:fill="FFFFFF"/>
        </w:rPr>
        <w:t xml:space="preserve"> finansējumu gadā.</w:t>
      </w:r>
    </w:p>
    <w:p w:rsidR="00FB4213" w:rsidRDefault="00703B11">
      <w:pPr>
        <w:spacing w:after="120"/>
        <w:ind w:firstLine="357"/>
        <w:jc w:val="both"/>
        <w:rPr>
          <w:bCs/>
          <w:iCs/>
          <w:color w:val="000000"/>
          <w:shd w:val="clear" w:color="auto" w:fill="FFFFFF"/>
        </w:rPr>
      </w:pPr>
      <w:r>
        <w:rPr>
          <w:b/>
          <w:bCs/>
          <w:iCs/>
          <w:color w:val="000000"/>
          <w:shd w:val="clear" w:color="auto" w:fill="FFFFFF"/>
        </w:rPr>
        <w:t>Aizsardzības spēju atzars</w:t>
      </w:r>
      <w:r>
        <w:rPr>
          <w:bCs/>
          <w:iCs/>
          <w:color w:val="000000"/>
          <w:shd w:val="clear" w:color="auto" w:fill="FFFFFF"/>
        </w:rPr>
        <w:t xml:space="preserve"> – šo iecerēts veidot kā finanšu instrumentu, ko dalībvalstis varētu izmantot, lai iegādātos tehnikas vienības, iekārtas, tādējādi samazinot savas izmaksas. Par kritērijiem dalībvalstīm vēl jāvienojas. EK plāno šim finanšu instrumentam mobilizēt aptuveni 5 mljrd. </w:t>
      </w:r>
      <w:proofErr w:type="spellStart"/>
      <w:r>
        <w:rPr>
          <w:bCs/>
          <w:iCs/>
          <w:color w:val="000000"/>
          <w:shd w:val="clear" w:color="auto" w:fill="FFFFFF"/>
        </w:rPr>
        <w:t>euro</w:t>
      </w:r>
      <w:proofErr w:type="spellEnd"/>
      <w:r>
        <w:rPr>
          <w:bCs/>
          <w:iCs/>
          <w:color w:val="000000"/>
          <w:shd w:val="clear" w:color="auto" w:fill="FFFFFF"/>
        </w:rPr>
        <w:t xml:space="preserve"> gadā.</w:t>
      </w:r>
    </w:p>
    <w:p w:rsidR="00FB4213" w:rsidRDefault="00703B11">
      <w:pPr>
        <w:spacing w:after="120"/>
        <w:ind w:firstLine="357"/>
        <w:jc w:val="both"/>
        <w:rPr>
          <w:bCs/>
          <w:iCs/>
          <w:color w:val="000000"/>
          <w:shd w:val="clear" w:color="auto" w:fill="FFFFFF"/>
        </w:rPr>
      </w:pPr>
      <w:r>
        <w:rPr>
          <w:bCs/>
          <w:iCs/>
          <w:color w:val="000000"/>
          <w:shd w:val="clear" w:color="auto" w:fill="FFFFFF"/>
        </w:rPr>
        <w:t xml:space="preserve">Investīcijas </w:t>
      </w:r>
      <w:r>
        <w:rPr>
          <w:b/>
          <w:bCs/>
          <w:iCs/>
          <w:color w:val="000000"/>
          <w:shd w:val="clear" w:color="auto" w:fill="FFFFFF"/>
        </w:rPr>
        <w:t>mazos un vidējos uzņēmumos (MVU)</w:t>
      </w:r>
      <w:r>
        <w:rPr>
          <w:bCs/>
          <w:iCs/>
          <w:color w:val="000000"/>
          <w:shd w:val="clear" w:color="auto" w:fill="FFFFFF"/>
        </w:rPr>
        <w:t>, start-</w:t>
      </w:r>
      <w:proofErr w:type="spellStart"/>
      <w:r>
        <w:rPr>
          <w:bCs/>
          <w:iCs/>
          <w:color w:val="000000"/>
          <w:shd w:val="clear" w:color="auto" w:fill="FFFFFF"/>
        </w:rPr>
        <w:t>up</w:t>
      </w:r>
      <w:proofErr w:type="spellEnd"/>
      <w:r>
        <w:rPr>
          <w:bCs/>
          <w:iCs/>
          <w:color w:val="000000"/>
          <w:shd w:val="clear" w:color="auto" w:fill="FFFFFF"/>
        </w:rPr>
        <w:t xml:space="preserve">, un citos uzņēmumos, kas strādā aizsardzības jomā, nosauktas kā otrā prioritāte. Jau šobrīd ir atļauts izmanto Eiropas Stratēģisko investīciju fonda (ESIF) un arī Eiropas Investīciju bankas (EIB) atbalstu divējādas </w:t>
      </w:r>
      <w:proofErr w:type="spellStart"/>
      <w:r>
        <w:rPr>
          <w:bCs/>
          <w:iCs/>
          <w:color w:val="000000"/>
          <w:shd w:val="clear" w:color="auto" w:fill="FFFFFF"/>
        </w:rPr>
        <w:t>pielietojamības</w:t>
      </w:r>
      <w:proofErr w:type="spellEnd"/>
      <w:r>
        <w:rPr>
          <w:bCs/>
          <w:iCs/>
          <w:color w:val="000000"/>
          <w:shd w:val="clear" w:color="auto" w:fill="FFFFFF"/>
        </w:rPr>
        <w:t xml:space="preserve"> aktivitātēm. Nākotnē EK plāno diskusijas, lai atbalstītu izmaiņas EIB noteikumos par aizsardzības jomā strādājošu uzņēmumu atbalstīšanu un iekļūšanu piegāžu ķēdes, kā arī veicināt ES finansējuma piešķiršanu aizsardzības piegāžu ķēdes modernizācijai. </w:t>
      </w:r>
      <w:r>
        <w:rPr>
          <w:bCs/>
          <w:iCs/>
          <w:color w:val="000000"/>
          <w:shd w:val="clear" w:color="auto" w:fill="FFFFFF"/>
        </w:rPr>
        <w:lastRenderedPageBreak/>
        <w:t xml:space="preserve">Programmas </w:t>
      </w:r>
      <w:r>
        <w:rPr>
          <w:bCs/>
          <w:i/>
          <w:iCs/>
          <w:color w:val="000000"/>
          <w:shd w:val="clear" w:color="auto" w:fill="FFFFFF"/>
        </w:rPr>
        <w:t>"</w:t>
      </w:r>
      <w:proofErr w:type="spellStart"/>
      <w:r>
        <w:rPr>
          <w:bCs/>
          <w:i/>
          <w:iCs/>
          <w:color w:val="000000"/>
          <w:shd w:val="clear" w:color="auto" w:fill="FFFFFF"/>
        </w:rPr>
        <w:t>Blueprint</w:t>
      </w:r>
      <w:proofErr w:type="spellEnd"/>
      <w:r>
        <w:rPr>
          <w:bCs/>
          <w:i/>
          <w:iCs/>
          <w:color w:val="000000"/>
          <w:shd w:val="clear" w:color="auto" w:fill="FFFFFF"/>
        </w:rPr>
        <w:t xml:space="preserve"> </w:t>
      </w:r>
      <w:proofErr w:type="spellStart"/>
      <w:r>
        <w:rPr>
          <w:bCs/>
          <w:i/>
          <w:iCs/>
          <w:color w:val="000000"/>
          <w:shd w:val="clear" w:color="auto" w:fill="FFFFFF"/>
        </w:rPr>
        <w:t>for</w:t>
      </w:r>
      <w:proofErr w:type="spellEnd"/>
      <w:r>
        <w:rPr>
          <w:bCs/>
          <w:i/>
          <w:iCs/>
          <w:color w:val="000000"/>
          <w:shd w:val="clear" w:color="auto" w:fill="FFFFFF"/>
        </w:rPr>
        <w:t xml:space="preserve"> </w:t>
      </w:r>
      <w:proofErr w:type="spellStart"/>
      <w:r>
        <w:rPr>
          <w:bCs/>
          <w:i/>
          <w:iCs/>
          <w:color w:val="000000"/>
          <w:shd w:val="clear" w:color="auto" w:fill="FFFFFF"/>
        </w:rPr>
        <w:t>Sectoral</w:t>
      </w:r>
      <w:proofErr w:type="spellEnd"/>
      <w:r>
        <w:rPr>
          <w:bCs/>
          <w:i/>
          <w:iCs/>
          <w:color w:val="000000"/>
          <w:shd w:val="clear" w:color="auto" w:fill="FFFFFF"/>
        </w:rPr>
        <w:t xml:space="preserve"> </w:t>
      </w:r>
      <w:proofErr w:type="spellStart"/>
      <w:r>
        <w:rPr>
          <w:bCs/>
          <w:i/>
          <w:iCs/>
          <w:color w:val="000000"/>
          <w:shd w:val="clear" w:color="auto" w:fill="FFFFFF"/>
        </w:rPr>
        <w:t>Co-operation</w:t>
      </w:r>
      <w:proofErr w:type="spellEnd"/>
      <w:r>
        <w:rPr>
          <w:bCs/>
          <w:i/>
          <w:iCs/>
          <w:color w:val="000000"/>
          <w:shd w:val="clear" w:color="auto" w:fill="FFFFFF"/>
        </w:rPr>
        <w:t xml:space="preserve"> </w:t>
      </w:r>
      <w:proofErr w:type="spellStart"/>
      <w:r>
        <w:rPr>
          <w:bCs/>
          <w:i/>
          <w:iCs/>
          <w:color w:val="000000"/>
          <w:shd w:val="clear" w:color="auto" w:fill="FFFFFF"/>
        </w:rPr>
        <w:t>on</w:t>
      </w:r>
      <w:proofErr w:type="spellEnd"/>
      <w:r>
        <w:rPr>
          <w:bCs/>
          <w:i/>
          <w:iCs/>
          <w:color w:val="000000"/>
          <w:shd w:val="clear" w:color="auto" w:fill="FFFFFF"/>
        </w:rPr>
        <w:t xml:space="preserve"> </w:t>
      </w:r>
      <w:proofErr w:type="spellStart"/>
      <w:r>
        <w:rPr>
          <w:bCs/>
          <w:i/>
          <w:iCs/>
          <w:color w:val="000000"/>
          <w:shd w:val="clear" w:color="auto" w:fill="FFFFFF"/>
        </w:rPr>
        <w:t>Skills</w:t>
      </w:r>
      <w:proofErr w:type="spellEnd"/>
      <w:r>
        <w:rPr>
          <w:bCs/>
          <w:i/>
          <w:iCs/>
          <w:color w:val="000000"/>
          <w:shd w:val="clear" w:color="auto" w:fill="FFFFFF"/>
        </w:rPr>
        <w:t>"</w:t>
      </w:r>
      <w:r>
        <w:rPr>
          <w:bCs/>
          <w:iCs/>
          <w:color w:val="000000"/>
          <w:shd w:val="clear" w:color="auto" w:fill="FFFFFF"/>
        </w:rPr>
        <w:t xml:space="preserve"> EK plāno atbalstīt sadarbību aizsardzības sektorā un nodrošināt prasmju iegūšanu un papildināšanu.</w:t>
      </w:r>
    </w:p>
    <w:p w:rsidR="00FB4213" w:rsidRDefault="00703B11">
      <w:pPr>
        <w:spacing w:after="120"/>
        <w:ind w:firstLine="426"/>
        <w:jc w:val="both"/>
        <w:rPr>
          <w:bCs/>
          <w:iCs/>
          <w:color w:val="000000"/>
          <w:shd w:val="clear" w:color="auto" w:fill="FFFFFF"/>
        </w:rPr>
      </w:pPr>
      <w:r>
        <w:rPr>
          <w:bCs/>
          <w:iCs/>
          <w:color w:val="000000"/>
          <w:shd w:val="clear" w:color="auto" w:fill="FFFFFF"/>
        </w:rPr>
        <w:t xml:space="preserve">Trešā EK nosauktā prioritāte ir </w:t>
      </w:r>
      <w:r>
        <w:rPr>
          <w:b/>
          <w:bCs/>
          <w:iCs/>
          <w:color w:val="000000"/>
          <w:shd w:val="clear" w:color="auto" w:fill="FFFFFF"/>
        </w:rPr>
        <w:t>vienotā aizsardzības tirgus stiprināšana</w:t>
      </w:r>
      <w:r>
        <w:rPr>
          <w:bCs/>
          <w:iCs/>
          <w:color w:val="000000"/>
          <w:shd w:val="clear" w:color="auto" w:fill="FFFFFF"/>
        </w:rPr>
        <w:t>. Tā ietver direktīvu 2009/81/EC (aizsardzības iepirkumi) un 2009/43/EC (stratēģiskas nozīmes preču pārvietošana) pilnīgu ieviešanu, veicinot pārrobežu dalību aizsardzības iepirkumos, aizsardzības rūpniecības standartu izstrādi un sektorālo politiku (piemēram, ES kosmosa programmu) atbalstu Kopējās drošības un aizsardzības politikas (KDAP) prioritātēm. EARP ir saistīts dokuments arī ar Eiropas Savienības Globālo stratēģiju ārpolitikā un drošības politikā.</w:t>
      </w:r>
    </w:p>
    <w:p w:rsidR="00FB4213" w:rsidRDefault="00703B11">
      <w:pPr>
        <w:spacing w:after="120"/>
        <w:ind w:firstLine="357"/>
        <w:jc w:val="both"/>
        <w:rPr>
          <w:bCs/>
          <w:iCs/>
          <w:color w:val="000000"/>
          <w:shd w:val="clear" w:color="auto" w:fill="FFFFFF"/>
        </w:rPr>
      </w:pPr>
      <w:r>
        <w:rPr>
          <w:bCs/>
          <w:iCs/>
          <w:color w:val="000000"/>
          <w:shd w:val="clear" w:color="auto" w:fill="FFFFFF"/>
        </w:rPr>
        <w:t>EK par EARP ziņoja 2016. gada 15.-16. decembra Eiropadomē, kuras ietvaros dalībvalstu vadītāji apsveica EK dokumentu, aicinot 2017. gada pirmajā semestrī ziņot par Eiropas Aizsardzības fonda izveidošanas iespējām, kā arī uzsākt konsultācijas ar dalībvalstīm, cenšoties panākt to maksimālu iesaistīšanos procesā.</w:t>
      </w:r>
    </w:p>
    <w:p w:rsidR="00FB4213" w:rsidRDefault="00703B11">
      <w:pPr>
        <w:spacing w:after="120"/>
        <w:ind w:firstLine="357"/>
        <w:jc w:val="both"/>
        <w:rPr>
          <w:bCs/>
          <w:iCs/>
          <w:color w:val="000000"/>
          <w:shd w:val="clear" w:color="auto" w:fill="FFFFFF"/>
        </w:rPr>
      </w:pPr>
      <w:r>
        <w:rPr>
          <w:bCs/>
          <w:iCs/>
          <w:color w:val="000000"/>
          <w:shd w:val="clear" w:color="auto" w:fill="FFFFFF"/>
        </w:rPr>
        <w:t>EK plāno uzsākt konsultācijas ar dalībvalstīm š.g. februārī.</w:t>
      </w:r>
    </w:p>
    <w:p w:rsidR="007D6AE3" w:rsidRDefault="007D6AE3">
      <w:pPr>
        <w:spacing w:after="120"/>
        <w:ind w:firstLine="357"/>
        <w:jc w:val="both"/>
        <w:rPr>
          <w:bCs/>
          <w:i/>
          <w:iCs/>
          <w:color w:val="000000"/>
          <w:shd w:val="clear" w:color="auto" w:fill="FFFFFF"/>
        </w:rPr>
      </w:pPr>
    </w:p>
    <w:p w:rsidR="00FB4213" w:rsidRDefault="00703B11">
      <w:pPr>
        <w:keepNext/>
        <w:keepLines/>
        <w:shd w:val="clear" w:color="auto" w:fill="FFFFFF"/>
        <w:spacing w:after="120"/>
        <w:ind w:firstLine="357"/>
        <w:jc w:val="both"/>
        <w:rPr>
          <w:b/>
          <w:u w:val="single"/>
        </w:rPr>
      </w:pPr>
      <w:r>
        <w:rPr>
          <w:b/>
          <w:color w:val="000000"/>
          <w:u w:val="single"/>
        </w:rPr>
        <w:t>Latvijas</w:t>
      </w:r>
      <w:r>
        <w:rPr>
          <w:b/>
          <w:u w:val="single"/>
        </w:rPr>
        <w:t xml:space="preserve"> nostāja:</w:t>
      </w:r>
    </w:p>
    <w:p w:rsidR="00FB4213" w:rsidRDefault="00703B11">
      <w:pPr>
        <w:spacing w:after="120"/>
        <w:ind w:firstLine="357"/>
        <w:jc w:val="both"/>
      </w:pPr>
      <w:r>
        <w:t>Latvija pozitīvi vērtē EK paziņojumu un tās ieinteresētību atbalstīt aizsardzības jautājumus. Šobrīd esam apmierināti ar progresu, kāds ir panākts, uzsākot Sākotnējo rīcību (</w:t>
      </w:r>
      <w:proofErr w:type="spellStart"/>
      <w:r>
        <w:rPr>
          <w:i/>
        </w:rPr>
        <w:t>Preparatory</w:t>
      </w:r>
      <w:proofErr w:type="spellEnd"/>
      <w:r>
        <w:rPr>
          <w:i/>
        </w:rPr>
        <w:t xml:space="preserve"> </w:t>
      </w:r>
      <w:proofErr w:type="spellStart"/>
      <w:r>
        <w:rPr>
          <w:i/>
        </w:rPr>
        <w:t>Action</w:t>
      </w:r>
      <w:proofErr w:type="spellEnd"/>
      <w:r>
        <w:t>) aizsardzības pētniecības jomā, cerot, ka tā būs veiksmīga un nākamajā daudzgadu budžeta ietvarā būs iekļauta aizsardzības pētniecības programma.</w:t>
      </w:r>
    </w:p>
    <w:p w:rsidR="00FB4213" w:rsidRDefault="00703B11">
      <w:pPr>
        <w:spacing w:after="120"/>
        <w:ind w:firstLine="357"/>
        <w:jc w:val="both"/>
      </w:pPr>
      <w:r>
        <w:t>Latvija uzskata, ka Eiropas Aizsardzības fonda izveidošanas jautājumā šobrīd ir būtiskas EK konsultācijas ar dalībvalstīm, veicinot savstarpēju izpratni un rodot atbildes uz pašreiz neskaidrajiem jautājumiem – finansēšanas avotu(-</w:t>
      </w:r>
      <w:proofErr w:type="spellStart"/>
      <w:r>
        <w:t>iem</w:t>
      </w:r>
      <w:proofErr w:type="spellEnd"/>
      <w:r>
        <w:t>), koordinācijas un uzraudzības mehānismu, EK un Eiropas Aizsardzības aģentūras sadarbību.</w:t>
      </w:r>
    </w:p>
    <w:p w:rsidR="00FB4213" w:rsidRDefault="00703B11">
      <w:pPr>
        <w:spacing w:after="120"/>
        <w:ind w:firstLine="357"/>
        <w:jc w:val="both"/>
      </w:pPr>
      <w:r>
        <w:t>Latvija atbalsta pasākumus un investīcijas, kuri veicinās atbalstu MVU un to iekļūšanai starptautiskās piegāžu ķēdēs un atvieglos šiem uzņēmumiem administratīvo slogu, piesakoties ES finanšu instrumentu atbalstam.</w:t>
      </w:r>
    </w:p>
    <w:p w:rsidR="00FB4213" w:rsidRDefault="00703B11">
      <w:pPr>
        <w:spacing w:after="120"/>
        <w:ind w:firstLine="357"/>
        <w:jc w:val="both"/>
      </w:pPr>
      <w:r>
        <w:t>Latvijai aizsardzības jomā būtiski ir piegādes drošības jautājumi, tomēr EARP šos jautājumus neaktualizē, atstājot tos pašu dalībvalstu pārziņā.</w:t>
      </w:r>
    </w:p>
    <w:p w:rsidR="00FB4213" w:rsidRDefault="00703B11">
      <w:pPr>
        <w:spacing w:after="120"/>
        <w:ind w:firstLine="357"/>
        <w:jc w:val="both"/>
      </w:pPr>
      <w:r>
        <w:t>Latvija varētu atbalstīt aprites ekonomikas principu piemērošanu aizsardzības jomā, vispirms pienācīgi izvērtējot to ietekmi uz aizsardzības jomu.</w:t>
      </w:r>
    </w:p>
    <w:p w:rsidR="00FB4213" w:rsidRDefault="00703B11">
      <w:pPr>
        <w:spacing w:after="120"/>
        <w:ind w:firstLine="357"/>
        <w:jc w:val="both"/>
      </w:pPr>
      <w:r>
        <w:t>Sākotnējā Latvijas pozīcija par EARP ir izstrādes procesā, to plānots apstiprināt līdz š.g. februāra beigām.</w:t>
      </w:r>
    </w:p>
    <w:p w:rsidR="00FB4213" w:rsidRDefault="00FB4213">
      <w:pPr>
        <w:spacing w:before="120" w:after="120"/>
        <w:ind w:firstLine="357"/>
        <w:jc w:val="both"/>
      </w:pPr>
    </w:p>
    <w:p w:rsidR="00FB4213" w:rsidRDefault="00703B11">
      <w:pPr>
        <w:ind w:left="709" w:hanging="349"/>
        <w:jc w:val="both"/>
        <w:rPr>
          <w:b/>
        </w:rPr>
      </w:pPr>
      <w:r>
        <w:rPr>
          <w:b/>
        </w:rPr>
        <w:t xml:space="preserve">b) Vienotā patenta sistēmas un Vienotās patenta tiesas īstenošanas pabeigšana un to darbības sākšana </w:t>
      </w:r>
      <w:r>
        <w:t>(Tieslietu ministrijas jautājums)</w:t>
      </w:r>
    </w:p>
    <w:p w:rsidR="00FB4213" w:rsidRDefault="00703B11">
      <w:pPr>
        <w:pStyle w:val="DashEqual1"/>
        <w:numPr>
          <w:ilvl w:val="0"/>
          <w:numId w:val="0"/>
        </w:numPr>
        <w:ind w:left="360"/>
        <w:rPr>
          <w:i/>
          <w:lang w:val="lv-LV"/>
        </w:rPr>
      </w:pPr>
      <w:r>
        <w:rPr>
          <w:i/>
          <w:lang w:val="lv-LV"/>
        </w:rPr>
        <w:t xml:space="preserve">= Prezidējošās valsts informācija </w:t>
      </w:r>
    </w:p>
    <w:p w:rsidR="00FB4213" w:rsidRDefault="00703B11">
      <w:pPr>
        <w:spacing w:before="120" w:after="120"/>
        <w:ind w:firstLine="357"/>
        <w:jc w:val="both"/>
      </w:pPr>
      <w:r>
        <w:t>Jautājums iekļauts ES Konkurētspējas ministru padomes darba kārtībā pēc Beļģijas un Zviedrijas delegāciju aicinājuma, lai saņemtu aktuālo informāciju par Vienotās patentu tiesas izveides nolīguma stāšanos spēkā.</w:t>
      </w:r>
    </w:p>
    <w:p w:rsidR="00FB4213" w:rsidRDefault="00703B11">
      <w:pPr>
        <w:spacing w:before="120" w:after="120"/>
        <w:ind w:firstLine="357"/>
        <w:jc w:val="both"/>
      </w:pPr>
      <w:r>
        <w:t xml:space="preserve">Šobrīd Vienotās patentu tiesas Sagatavošanās komitejā notiek gatavošanās tiesas darbības uzsākšanai. Vienotās patentu tiesas izveides nolīgumu ir ratificējušas 11 dalībvalstis, savukārt, lai tiesa varētu uzsākt savu darbību, vismaz 13 dalībvalstīm (ieskaitot trīs dalībvalstis ar lielāko spēkā esošo Eiropas patentu skaitu, t.i., Franciju, Vāciju un Apvienoto Karalisti) ir jābūt ratificējušām Vienotās patentu tiesas izveides nolīgumu. Nav sagaidāms, ka Apvienotās Karalistes referendumam par izstāšanos no ES būtu jebkāda ietekme uz Vienotās patentu tiesas </w:t>
      </w:r>
      <w:r>
        <w:lastRenderedPageBreak/>
        <w:t>sistēmas darbību, jo 2016.gada 28.novembra ES Konkurētspējas ministru padomes sanāksmē Apvienotā Karaliste apliecināja savu vēlmi ratificēt Vienotās patentu tiesas izveides nolīgumu.</w:t>
      </w:r>
    </w:p>
    <w:p w:rsidR="00FB4213" w:rsidRDefault="00703B11">
      <w:pPr>
        <w:spacing w:before="120" w:after="120"/>
        <w:ind w:firstLine="357"/>
        <w:jc w:val="both"/>
      </w:pPr>
      <w:r>
        <w:t>Arī Latvija tuvākajā laikā varētu ratificēt starptautiskos līgumus "Vienotās patentu tiesas izveides nolīgums" un "Vienotās patentu tiesas Ziemeļvalstu-Baltijas valstu reģionālās nodaļas izveides nolīgums", jo likumprojekti par abu iepriekšminēto starptautisko līgumu ratifikāciju 2016. gada 8.novembrī ir atbalstīti Ministru kabineta sēdē, savukārt š.g. 8.februārī Saeimas Ārlietu komisija ir atbalstījusi likumprojektus "Par Vienotās patentu tiesas izveides nolīgumu" un "Par Vienotās patentu tiesas Ziemeļvalstu–Baltijas valstu reģionālās nodaļas izveides nolīgumu" uz 1.lasījumu.</w:t>
      </w:r>
    </w:p>
    <w:p w:rsidR="007D6AE3" w:rsidRDefault="007D6AE3">
      <w:pPr>
        <w:spacing w:before="120" w:after="120"/>
        <w:ind w:firstLine="357"/>
        <w:jc w:val="both"/>
      </w:pPr>
    </w:p>
    <w:p w:rsidR="00FB4213" w:rsidRDefault="00703B11">
      <w:pPr>
        <w:keepNext/>
        <w:keepLines/>
        <w:shd w:val="clear" w:color="auto" w:fill="FFFFFF"/>
        <w:spacing w:before="120" w:after="120"/>
        <w:ind w:firstLine="357"/>
        <w:jc w:val="both"/>
        <w:rPr>
          <w:b/>
          <w:u w:val="single"/>
        </w:rPr>
      </w:pPr>
      <w:r>
        <w:rPr>
          <w:b/>
          <w:color w:val="000000"/>
          <w:u w:val="single"/>
        </w:rPr>
        <w:t>Latvijas</w:t>
      </w:r>
      <w:r>
        <w:rPr>
          <w:b/>
          <w:u w:val="single"/>
        </w:rPr>
        <w:t xml:space="preserve"> nostāja:</w:t>
      </w:r>
    </w:p>
    <w:p w:rsidR="00FB4213" w:rsidRDefault="00703B11">
      <w:pPr>
        <w:spacing w:before="120" w:after="120"/>
        <w:ind w:firstLine="357"/>
        <w:jc w:val="both"/>
        <w:rPr>
          <w:iCs/>
        </w:rPr>
      </w:pPr>
      <w:r>
        <w:rPr>
          <w:iCs/>
        </w:rPr>
        <w:t xml:space="preserve">Kopumā Latvija atbalsta Vienotās patentu tiesas izveides nolīguma spēkā stāšanos un pēc iespējas plašāku to ES dalībvalstu loku, kurā Vienotās </w:t>
      </w:r>
      <w:r>
        <w:t>patentu</w:t>
      </w:r>
      <w:r>
        <w:rPr>
          <w:iCs/>
        </w:rPr>
        <w:t xml:space="preserve"> tiesas izveides nolīgums būs spēkā. </w:t>
      </w:r>
    </w:p>
    <w:p w:rsidR="00FB4213" w:rsidRDefault="00FB4213">
      <w:pPr>
        <w:spacing w:before="120" w:after="120"/>
        <w:ind w:firstLine="357"/>
        <w:jc w:val="both"/>
        <w:rPr>
          <w:iCs/>
        </w:rPr>
      </w:pPr>
    </w:p>
    <w:p w:rsidR="00FB4213" w:rsidRDefault="00703B11">
      <w:pPr>
        <w:ind w:left="357"/>
        <w:rPr>
          <w:b/>
          <w:iCs/>
        </w:rPr>
      </w:pPr>
      <w:r>
        <w:rPr>
          <w:b/>
        </w:rPr>
        <w:t>c) Pakalpojumu</w:t>
      </w:r>
      <w:r>
        <w:rPr>
          <w:b/>
          <w:iCs/>
        </w:rPr>
        <w:t xml:space="preserve"> </w:t>
      </w:r>
      <w:proofErr w:type="spellStart"/>
      <w:r>
        <w:rPr>
          <w:b/>
          <w:iCs/>
        </w:rPr>
        <w:t>pakotne</w:t>
      </w:r>
      <w:proofErr w:type="spellEnd"/>
    </w:p>
    <w:p w:rsidR="00FB4213" w:rsidRDefault="00703B11">
      <w:pPr>
        <w:pStyle w:val="DashEqual1"/>
        <w:numPr>
          <w:ilvl w:val="0"/>
          <w:numId w:val="0"/>
        </w:numPr>
        <w:ind w:left="360"/>
        <w:rPr>
          <w:i/>
          <w:iCs/>
          <w:lang w:val="lv-LV"/>
        </w:rPr>
      </w:pPr>
      <w:r>
        <w:rPr>
          <w:i/>
          <w:iCs/>
          <w:lang w:val="lv-LV"/>
        </w:rPr>
        <w:t xml:space="preserve">= EK </w:t>
      </w:r>
      <w:r>
        <w:rPr>
          <w:i/>
          <w:lang w:val="lv-LV"/>
        </w:rPr>
        <w:t>informācija</w:t>
      </w:r>
    </w:p>
    <w:p w:rsidR="00FB4213" w:rsidRDefault="00703B11">
      <w:pPr>
        <w:spacing w:before="120" w:after="120"/>
        <w:ind w:firstLine="357"/>
        <w:jc w:val="both"/>
      </w:pPr>
      <w:r>
        <w:t xml:space="preserve">EK ES Vienotā tirgus stratēģijā, ko tā pieņēma 2015. gada oktobrī, paziņoja, ka rosinās virkni pasākumu, lai pārvarētu šķēršļus, kuri traucē uzņēmumiem un </w:t>
      </w:r>
      <w:proofErr w:type="spellStart"/>
      <w:r>
        <w:t>pašnodarbinātiem</w:t>
      </w:r>
      <w:proofErr w:type="spellEnd"/>
      <w:r>
        <w:t xml:space="preserve"> speciālistiem aktīvāk darboties citās ES dalībvalstīs pakalpojumu jomā.</w:t>
      </w:r>
    </w:p>
    <w:p w:rsidR="00FB4213" w:rsidRDefault="00703B11">
      <w:pPr>
        <w:spacing w:before="120" w:after="120"/>
        <w:ind w:firstLine="357"/>
        <w:jc w:val="both"/>
      </w:pPr>
      <w:r>
        <w:t xml:space="preserve">Sekojoši 2017. gada 10. janvārī tā publicēja pasākumu kopumu (tā saukto </w:t>
      </w:r>
      <w:r>
        <w:rPr>
          <w:i/>
        </w:rPr>
        <w:t xml:space="preserve">Pakalpojumu </w:t>
      </w:r>
      <w:proofErr w:type="spellStart"/>
      <w:r>
        <w:rPr>
          <w:i/>
        </w:rPr>
        <w:t>pakotni</w:t>
      </w:r>
      <w:proofErr w:type="spellEnd"/>
      <w:r>
        <w:rPr>
          <w:i/>
        </w:rPr>
        <w:t>)</w:t>
      </w:r>
      <w:r>
        <w:t>, kas aptver četras savstarpēji papildinošas iniciatīvas:</w:t>
      </w:r>
    </w:p>
    <w:p w:rsidR="00FB4213" w:rsidRDefault="00703B11">
      <w:pPr>
        <w:pStyle w:val="ListParagraph"/>
        <w:numPr>
          <w:ilvl w:val="0"/>
          <w:numId w:val="36"/>
        </w:numPr>
        <w:spacing w:before="120" w:after="120"/>
        <w:jc w:val="both"/>
      </w:pPr>
      <w:r>
        <w:t>priekšlikumi Regulai un Direktīvai, ar ko ievieš Eiropas pakalpojumu e-karti;</w:t>
      </w:r>
    </w:p>
    <w:p w:rsidR="00FB4213" w:rsidRDefault="00703B11">
      <w:pPr>
        <w:pStyle w:val="ListParagraph"/>
        <w:numPr>
          <w:ilvl w:val="0"/>
          <w:numId w:val="36"/>
        </w:numPr>
        <w:spacing w:before="120" w:after="120"/>
        <w:jc w:val="both"/>
      </w:pPr>
      <w:r>
        <w:t>priekšlikums Direktīvai, kas paredz uzlabojumus paziņošanas procedūrai pakalpojumu jomā;</w:t>
      </w:r>
    </w:p>
    <w:p w:rsidR="00FB4213" w:rsidRDefault="00703B11">
      <w:pPr>
        <w:pStyle w:val="ListParagraph"/>
        <w:numPr>
          <w:ilvl w:val="0"/>
          <w:numId w:val="36"/>
        </w:numPr>
        <w:spacing w:before="120" w:after="120"/>
        <w:jc w:val="both"/>
      </w:pPr>
      <w:r>
        <w:t xml:space="preserve">priekšlikums Eiropas Parlamenta un Padomes direktīvai par samērības novērtējumu pirms jauna profesiju regulējuma pieņemšanas; </w:t>
      </w:r>
    </w:p>
    <w:p w:rsidR="00FB4213" w:rsidRDefault="00703B11">
      <w:pPr>
        <w:pStyle w:val="ListParagraph"/>
        <w:numPr>
          <w:ilvl w:val="0"/>
          <w:numId w:val="36"/>
        </w:numPr>
        <w:spacing w:before="120" w:after="120"/>
        <w:jc w:val="both"/>
      </w:pPr>
      <w:r>
        <w:t>EK paziņojums Eiropas Parlamentam, Padomei, Eiropas Ekonomikas un sociālo lietu komitejai un Reģionu komitejai par profesionālo pakalpojumu regulējuma reformu ieteikumiem.</w:t>
      </w:r>
    </w:p>
    <w:p w:rsidR="007D6AE3" w:rsidRDefault="007D6AE3" w:rsidP="007D6AE3">
      <w:pPr>
        <w:pStyle w:val="ListParagraph"/>
        <w:spacing w:before="120" w:after="120"/>
        <w:ind w:left="717"/>
        <w:jc w:val="both"/>
      </w:pPr>
    </w:p>
    <w:p w:rsidR="00FB4213" w:rsidRDefault="00703B11">
      <w:pPr>
        <w:keepNext/>
        <w:keepLines/>
        <w:shd w:val="clear" w:color="auto" w:fill="FFFFFF"/>
        <w:spacing w:before="120" w:after="120"/>
        <w:ind w:firstLine="357"/>
        <w:jc w:val="both"/>
        <w:rPr>
          <w:b/>
          <w:u w:val="single"/>
        </w:rPr>
      </w:pPr>
      <w:r>
        <w:rPr>
          <w:b/>
          <w:color w:val="000000"/>
          <w:u w:val="single"/>
        </w:rPr>
        <w:t>Latvijas</w:t>
      </w:r>
      <w:r>
        <w:rPr>
          <w:b/>
          <w:u w:val="single"/>
        </w:rPr>
        <w:t xml:space="preserve"> nostāja:</w:t>
      </w:r>
    </w:p>
    <w:p w:rsidR="00FB4213" w:rsidRDefault="00703B11">
      <w:pPr>
        <w:spacing w:before="120" w:after="120"/>
        <w:ind w:firstLine="357"/>
        <w:jc w:val="both"/>
      </w:pPr>
      <w:r>
        <w:t xml:space="preserve">Latvija atbalsta Pakalpojumu </w:t>
      </w:r>
      <w:proofErr w:type="spellStart"/>
      <w:r>
        <w:t>pakotnē</w:t>
      </w:r>
      <w:proofErr w:type="spellEnd"/>
      <w:r>
        <w:t xml:space="preserve"> publicēto iniciatīvu kopējo mērķi – mazināt šķēršļus pārrobežu pakalpojumiem ES, tādējādi atraisot ES Vienotā tirgus potenciālu. Latvijas skatījumā š.g. janvārī publicētā jaunā Eiropas pakalpojumu kartes iniciatīva ir labs sākuma punkts tam, lai kopīgi strādātu pie ambiciozākas Eiropas pakalpojumu e-kartes iniciatīvas, kas paredzētu tālāku dalībvalstu prasību un procedūru harmonizāciju pakalpojumu jomā. Tālākā priekšlikuma izskatīšanās procesā jāraugās, lai Eiropas pakalpojumu e-karte būtu maksimāli digitāls risinājums, kas būtu pārdomāts, efektīvs un dzīvotspējīgs,  atvieglotu pārrobežu pakalpojumu sniegšanu uzņēmējiem un speciālistiem, un ļautu novērst pastāvošos šķēršļus ES Vienotajā tirgū. Vienlaikus Latvija uzskata, ka būtiski ir sagaidīt Vienotās digitālās vārtejas (</w:t>
      </w:r>
      <w:proofErr w:type="spellStart"/>
      <w:r>
        <w:rPr>
          <w:i/>
        </w:rPr>
        <w:t>Single</w:t>
      </w:r>
      <w:proofErr w:type="spellEnd"/>
      <w:r>
        <w:rPr>
          <w:i/>
        </w:rPr>
        <w:t xml:space="preserve"> </w:t>
      </w:r>
      <w:proofErr w:type="spellStart"/>
      <w:r>
        <w:rPr>
          <w:i/>
        </w:rPr>
        <w:t>Digital</w:t>
      </w:r>
      <w:proofErr w:type="spellEnd"/>
      <w:r>
        <w:rPr>
          <w:i/>
        </w:rPr>
        <w:t xml:space="preserve"> </w:t>
      </w:r>
      <w:proofErr w:type="spellStart"/>
      <w:r>
        <w:rPr>
          <w:i/>
        </w:rPr>
        <w:t>Gateway</w:t>
      </w:r>
      <w:proofErr w:type="spellEnd"/>
      <w:r>
        <w:t>) priekšlikuma publikāciju, kas gaidāma š.g. martā, ņemot vērā, ka tas papildinās Eiropas pakalpojumu e-kartes priekšlikumus, ļaujot saprast veidu, kādā dalībvalstu regulējuma prasības tiks padarītas pieejamas uzņēmumiem un iedzīvotājiem un tiks nodrošināta sasaiste ar atbalsta dienestiem.</w:t>
      </w:r>
    </w:p>
    <w:p w:rsidR="00FB4213" w:rsidRDefault="00703B11">
      <w:pPr>
        <w:spacing w:before="120" w:after="120"/>
        <w:ind w:firstLine="357"/>
        <w:jc w:val="both"/>
      </w:pPr>
      <w:r>
        <w:lastRenderedPageBreak/>
        <w:t xml:space="preserve">Ļoti pozitīvi vērtējams direktīvas priekšlikums, kas paredz uzlabojumus paziņošanas procedūrā attiecībā uz dalībvalstu noteikumiem pakalpojumu jomā, jo īpaši paredzēto iespēju, ka  paziņošanas procedūra tiek īstenota pirms  tiesību akta projekta prasību stāšanās spēkā, t.i. procedūrai būtu uz zināmu laiku - līdz 3 mēnešiem - jāaptur tiesību akta projekta virzība tā sauktā </w:t>
      </w:r>
      <w:r>
        <w:rPr>
          <w:i/>
        </w:rPr>
        <w:t>"</w:t>
      </w:r>
      <w:proofErr w:type="spellStart"/>
      <w:r>
        <w:rPr>
          <w:i/>
        </w:rPr>
        <w:t>standstill</w:t>
      </w:r>
      <w:proofErr w:type="spellEnd"/>
      <w:r>
        <w:rPr>
          <w:i/>
        </w:rPr>
        <w:t>"</w:t>
      </w:r>
      <w:r>
        <w:t xml:space="preserve"> perioda ietvaros un šajā laikā EK, dalībvalstis un citas ieinteresētās puses var iepazīties, izvērtēt un sniegt komentārus par jauno noteikumu samērīgumu un atbilstību ES likumdošanai. Šāda sistēma jau sekmīgi strādā jaunu tehnisko noteikumu paziņošanā preču jomā.</w:t>
      </w:r>
    </w:p>
    <w:p w:rsidR="00FB4213" w:rsidRDefault="00703B11">
      <w:pPr>
        <w:spacing w:before="120" w:after="120"/>
        <w:ind w:firstLine="357"/>
        <w:jc w:val="both"/>
      </w:pPr>
      <w:r>
        <w:t xml:space="preserve">Latvija kopumā atbalsta un atzinīgi vērtē priekšlikumu izstrādāt un veidot vienotu izpratni, pieeju un analītisko ietvaru profesionālās darbības reglamentācijai. Tādā veidā tiks novērsta iespēja noteikt profesijas par reglamentētām bez pietiekama </w:t>
      </w:r>
      <w:proofErr w:type="spellStart"/>
      <w:r>
        <w:t>izvērtējuma</w:t>
      </w:r>
      <w:proofErr w:type="spellEnd"/>
      <w:r>
        <w:t xml:space="preserve"> par reglamentācijas ietekmi uz nodarbinātību un tautsaimniecību kopumā, tostarp apsverot un izvērtējot vairākus reglamentācijas veidus un izvēloties vispiemērotāko, jo profesijas reglamentācija būtībā var radīt ierobežojošu ietekmi ekonomiskai darbībai. </w:t>
      </w:r>
    </w:p>
    <w:p w:rsidR="00FB4213" w:rsidRDefault="00703B11">
      <w:pPr>
        <w:ind w:firstLine="357"/>
        <w:jc w:val="both"/>
      </w:pPr>
      <w:r>
        <w:t>Viens no svarīgākajiem jautājumiem ir par to, kā jaunas profesijas reglamentācijas vai esošās reglamentācijas izmaiņu gadījumā reglamentācijas samērības novērtējuma ietvaros nosakāma kritēriju kritiskā vērtība, kas var pamatot reglamentācijas "par" vai "pret" lēmuma pieņemšanu</w:t>
      </w:r>
      <w:r>
        <w:rPr>
          <w:bCs/>
        </w:rPr>
        <w:t xml:space="preserve">. </w:t>
      </w:r>
      <w:r>
        <w:t>Tādēļ par minētajiem jautājumiem nepieciešams turpināt diskusijas, lai būtu skaidrs, kā praksē veicams reglamentācijas samērības novērtējums un plašāka "labās prakses" piemēru publicitāte.</w:t>
      </w:r>
    </w:p>
    <w:p w:rsidR="00FB4213" w:rsidRDefault="00FB4213">
      <w:pPr>
        <w:ind w:left="357"/>
        <w:rPr>
          <w:b/>
        </w:rPr>
      </w:pPr>
    </w:p>
    <w:p w:rsidR="00FB4213" w:rsidRDefault="00703B11">
      <w:pPr>
        <w:spacing w:after="120"/>
        <w:ind w:left="357"/>
        <w:jc w:val="both"/>
        <w:rPr>
          <w:iCs/>
        </w:rPr>
      </w:pPr>
      <w:r>
        <w:rPr>
          <w:b/>
        </w:rPr>
        <w:t>d) Pakalpojumu</w:t>
      </w:r>
      <w:r>
        <w:rPr>
          <w:b/>
          <w:iCs/>
        </w:rPr>
        <w:t xml:space="preserve"> sniegšana autopārvadājumu jomā </w:t>
      </w:r>
      <w:r>
        <w:rPr>
          <w:iCs/>
        </w:rPr>
        <w:t>(Satiksmes ministrijas jautājums)</w:t>
      </w:r>
    </w:p>
    <w:p w:rsidR="00FB4213" w:rsidRDefault="00703B11">
      <w:pPr>
        <w:spacing w:after="120"/>
        <w:ind w:firstLine="360"/>
        <w:jc w:val="both"/>
        <w:rPr>
          <w:iCs/>
        </w:rPr>
      </w:pPr>
      <w:r>
        <w:rPr>
          <w:iCs/>
        </w:rPr>
        <w:t>ES tiek veikti virkne pasākumu, lai virzītos uz ES Vienotā tirgus izveides pabeigšanu, kā rezultātā ES notiktu ātrāka pakalpojumu sniegšana, vienlaikus tiktu veicināta kopējā ekonomiskā izaugsme, kas ir būtiski, lai virzītos arī uz ES2020 mērķiem. Vienlaikus, vairākas dalībvalstis sāk pieņemt savus nacionālos regulējumus (piemērām, uz minimālajām algām u.c.), kas tiešā mērā ietekmē ES konkurētspēju un ievērojami uzņēmējiem palielina administratīvo un finansiālo slogu, it īpaši autopārvadājumu tirgū, tādā veidā ES pamatbrīvības. Līdz ar to ES līmenī būtu jāveic pasākumi, kas tieši veicina, nevis kavē konkurētspēju un izaugsmi, kā arī jauna darba spēka piesaisti nozarē.</w:t>
      </w:r>
    </w:p>
    <w:p w:rsidR="00FB4213" w:rsidRDefault="00703B11">
      <w:pPr>
        <w:spacing w:after="120"/>
        <w:ind w:firstLine="360"/>
        <w:jc w:val="both"/>
        <w:rPr>
          <w:iCs/>
        </w:rPr>
      </w:pPr>
      <w:r>
        <w:rPr>
          <w:iCs/>
        </w:rPr>
        <w:t xml:space="preserve">Līdz ar to vairākas dalībvalstis vēlas šo jautājumu uzrunāt ministru padomē, lai vērstu viņu uzmanību uz šo situāciju, kā arī iesniegt kopējo deklarāciju. Latvija ir viena no deklarācijas </w:t>
      </w:r>
      <w:proofErr w:type="spellStart"/>
      <w:r>
        <w:rPr>
          <w:iCs/>
        </w:rPr>
        <w:t>iesniedzējvalstīm</w:t>
      </w:r>
      <w:proofErr w:type="spellEnd"/>
      <w:r>
        <w:rPr>
          <w:iCs/>
        </w:rPr>
        <w:t>.</w:t>
      </w:r>
    </w:p>
    <w:p w:rsidR="007D6AE3" w:rsidRDefault="007D6AE3">
      <w:pPr>
        <w:spacing w:after="120"/>
        <w:ind w:firstLine="360"/>
        <w:jc w:val="both"/>
        <w:rPr>
          <w:iCs/>
        </w:rPr>
      </w:pPr>
    </w:p>
    <w:p w:rsidR="00FB4213" w:rsidRDefault="00703B11">
      <w:pPr>
        <w:keepNext/>
        <w:keepLines/>
        <w:shd w:val="clear" w:color="auto" w:fill="FFFFFF"/>
        <w:spacing w:after="120"/>
        <w:ind w:firstLine="357"/>
        <w:jc w:val="both"/>
        <w:rPr>
          <w:b/>
          <w:u w:val="single"/>
        </w:rPr>
      </w:pPr>
      <w:r>
        <w:rPr>
          <w:b/>
          <w:color w:val="000000"/>
          <w:u w:val="single"/>
        </w:rPr>
        <w:t>Latvijas</w:t>
      </w:r>
      <w:r>
        <w:rPr>
          <w:b/>
          <w:u w:val="single"/>
        </w:rPr>
        <w:t xml:space="preserve"> nostāja:</w:t>
      </w:r>
    </w:p>
    <w:p w:rsidR="00FB4213" w:rsidRDefault="00703B11">
      <w:pPr>
        <w:spacing w:after="120"/>
        <w:ind w:firstLine="357"/>
        <w:jc w:val="both"/>
      </w:pPr>
      <w:r>
        <w:t>Latvija, tāpat kā pārējās līdzīgi domājošās valstis, kuras iesniedz vienotu deklarācija, uzskata, ka esošā situācija starptautiskajā autopārvadājumu tirgū un dalībvalstu nacionālie regulējumi neveicina ES Vienotā tirgus stiprināšanu un konkurētspēju, līdz ar to Latvija uzskata, ka  EK ir nepieciešams rūpīgi vērtēt nacionālo valstu protekcionistiskos regulējumus, lai tie veicinātu, nevis apdraudētu ES pamata brīvību funkcionēšanu un EK nedrīkst kavēties ar priekšlikumiem šajā jomā, kam būtu jārisina šo situāciju.</w:t>
      </w:r>
    </w:p>
    <w:p w:rsidR="00FB4213" w:rsidRDefault="00FB4213">
      <w:pPr>
        <w:spacing w:after="120"/>
        <w:ind w:firstLine="357"/>
        <w:jc w:val="both"/>
      </w:pPr>
    </w:p>
    <w:p w:rsidR="00FB4213" w:rsidRDefault="00703B11">
      <w:pPr>
        <w:spacing w:line="276" w:lineRule="auto"/>
        <w:jc w:val="both"/>
        <w:rPr>
          <w:b/>
        </w:rPr>
      </w:pPr>
      <w:r>
        <w:rPr>
          <w:b/>
        </w:rPr>
        <w:t>Latvijas delegācija</w:t>
      </w:r>
    </w:p>
    <w:p w:rsidR="00FB4213" w:rsidRDefault="00703B11">
      <w:pPr>
        <w:spacing w:line="276" w:lineRule="auto"/>
        <w:ind w:left="2552" w:hanging="2552"/>
        <w:jc w:val="both"/>
      </w:pPr>
      <w:r>
        <w:t>Delegācijas vadītājs:</w:t>
      </w:r>
      <w:r>
        <w:tab/>
      </w:r>
      <w:r>
        <w:rPr>
          <w:b/>
        </w:rPr>
        <w:t>Arvils Ašeradens</w:t>
      </w:r>
      <w:r>
        <w:t>, ministru prezidenta biedrs, ekonomikas ministrs.</w:t>
      </w:r>
    </w:p>
    <w:p w:rsidR="00FB4213" w:rsidRDefault="00FB4213">
      <w:pPr>
        <w:spacing w:line="276" w:lineRule="auto"/>
        <w:ind w:left="2552" w:hanging="2552"/>
        <w:jc w:val="both"/>
      </w:pPr>
    </w:p>
    <w:p w:rsidR="00FB4213" w:rsidRDefault="00703B11">
      <w:pPr>
        <w:spacing w:line="276" w:lineRule="auto"/>
        <w:ind w:left="2552" w:hanging="2552"/>
        <w:jc w:val="both"/>
      </w:pPr>
      <w:r>
        <w:t>Delegācijas dalībnieki:</w:t>
      </w:r>
      <w:r>
        <w:tab/>
      </w:r>
      <w:r>
        <w:rPr>
          <w:b/>
        </w:rPr>
        <w:t xml:space="preserve">Juris </w:t>
      </w:r>
      <w:proofErr w:type="spellStart"/>
      <w:r>
        <w:rPr>
          <w:b/>
        </w:rPr>
        <w:t>Štālmeistars</w:t>
      </w:r>
      <w:proofErr w:type="spellEnd"/>
      <w:r>
        <w:t>, vēstnieks, Latvijas Republikas pastāvīgā pārstāvja Eiropas Savienībā vietnieks;</w:t>
      </w:r>
    </w:p>
    <w:p w:rsidR="00FB4213" w:rsidRDefault="00703B11">
      <w:pPr>
        <w:spacing w:line="276" w:lineRule="auto"/>
        <w:ind w:left="2552"/>
        <w:jc w:val="both"/>
      </w:pPr>
      <w:r>
        <w:rPr>
          <w:b/>
        </w:rPr>
        <w:lastRenderedPageBreak/>
        <w:t>Zaiga Liepiņa</w:t>
      </w:r>
      <w:r>
        <w:t>, Ekonomikas ministrijas valsts sekretāra vietniece;</w:t>
      </w:r>
    </w:p>
    <w:p w:rsidR="00FB4213" w:rsidRDefault="00703B11">
      <w:pPr>
        <w:spacing w:line="276" w:lineRule="auto"/>
        <w:ind w:left="2552"/>
        <w:jc w:val="both"/>
      </w:pPr>
      <w:r>
        <w:rPr>
          <w:b/>
        </w:rPr>
        <w:t>Jānis Zakovics</w:t>
      </w:r>
      <w:r>
        <w:t>, Ekonomikas ministrijas ES un ārējo ekonomisko attiecību departamenta, ES preču un pakalpojumu tirgus nodaļas vadītājs;</w:t>
      </w:r>
    </w:p>
    <w:p w:rsidR="00FB4213" w:rsidRDefault="00703B11">
      <w:pPr>
        <w:spacing w:line="276" w:lineRule="auto"/>
        <w:ind w:left="2552"/>
        <w:jc w:val="both"/>
      </w:pPr>
      <w:r>
        <w:rPr>
          <w:b/>
          <w:bCs/>
        </w:rPr>
        <w:t>Rinalds Celmiņš</w:t>
      </w:r>
      <w:r>
        <w:rPr>
          <w:bCs/>
        </w:rPr>
        <w:t xml:space="preserve">, </w:t>
      </w:r>
      <w:r>
        <w:t>Ekonomikas ministrijas nozares padomnieks Latvijas Republikas Pastāvīgajā pārstāvniecībā Eiropas Savienībā;</w:t>
      </w:r>
    </w:p>
    <w:p w:rsidR="00FB4213" w:rsidRDefault="00703B11">
      <w:pPr>
        <w:spacing w:line="276" w:lineRule="auto"/>
        <w:ind w:left="2552"/>
        <w:jc w:val="both"/>
      </w:pPr>
      <w:r>
        <w:rPr>
          <w:b/>
        </w:rPr>
        <w:t>Anna Upena</w:t>
      </w:r>
      <w:r>
        <w:t>, Ekonomikas ministrijas nozares padomniece Latvijas Republikas Pastāvīgajā pārstāvniecībā Eiropas Savienībā;</w:t>
      </w:r>
    </w:p>
    <w:p w:rsidR="00FB4213" w:rsidRDefault="00703B11">
      <w:pPr>
        <w:spacing w:line="276" w:lineRule="auto"/>
        <w:ind w:left="2552"/>
        <w:jc w:val="both"/>
      </w:pPr>
      <w:r>
        <w:rPr>
          <w:b/>
        </w:rPr>
        <w:t xml:space="preserve">Ieva Riekstiņa, </w:t>
      </w:r>
      <w:r>
        <w:t>Satiksmes ministrijas nozares atašejs Latvijas Republikas Pastāvīgajā pārstāvniecībā Eiropas Savienībā.</w:t>
      </w:r>
    </w:p>
    <w:p w:rsidR="00FB4213" w:rsidRDefault="00FB4213">
      <w:pPr>
        <w:spacing w:line="276" w:lineRule="auto"/>
        <w:ind w:left="2552"/>
        <w:jc w:val="both"/>
      </w:pPr>
    </w:p>
    <w:p w:rsidR="00FB4213" w:rsidRDefault="00FB4213">
      <w:pPr>
        <w:spacing w:line="276" w:lineRule="auto"/>
        <w:ind w:left="2552"/>
        <w:jc w:val="both"/>
      </w:pPr>
    </w:p>
    <w:p w:rsidR="00FB4213" w:rsidRDefault="00FB4213">
      <w:pPr>
        <w:jc w:val="both"/>
        <w:rPr>
          <w:sz w:val="28"/>
          <w:szCs w:val="28"/>
        </w:rPr>
      </w:pPr>
    </w:p>
    <w:p w:rsidR="00FB4213" w:rsidRDefault="00703B11">
      <w:pPr>
        <w:tabs>
          <w:tab w:val="right" w:pos="8931"/>
        </w:tabs>
      </w:pPr>
      <w:r>
        <w:t xml:space="preserve">Iesniedzējs: </w:t>
      </w:r>
      <w:r>
        <w:tab/>
      </w:r>
    </w:p>
    <w:p w:rsidR="00FB4213" w:rsidRDefault="00FB4213">
      <w:pPr>
        <w:pStyle w:val="Header"/>
        <w:tabs>
          <w:tab w:val="clear" w:pos="4153"/>
          <w:tab w:val="clear" w:pos="8306"/>
          <w:tab w:val="right" w:pos="9214"/>
        </w:tabs>
      </w:pPr>
    </w:p>
    <w:p w:rsidR="007D6AE3" w:rsidRDefault="007D6AE3" w:rsidP="007D6AE3">
      <w:pPr>
        <w:tabs>
          <w:tab w:val="right" w:pos="9072"/>
        </w:tabs>
      </w:pPr>
      <w:r>
        <w:t>M</w:t>
      </w:r>
      <w:r w:rsidRPr="00E6510B">
        <w:t xml:space="preserve">inistru prezidenta biedrs, </w:t>
      </w:r>
    </w:p>
    <w:p w:rsidR="007D6AE3" w:rsidRPr="00E6510B" w:rsidRDefault="007D6AE3" w:rsidP="007D6AE3">
      <w:pPr>
        <w:tabs>
          <w:tab w:val="right" w:pos="9072"/>
        </w:tabs>
      </w:pPr>
      <w:r>
        <w:t>e</w:t>
      </w:r>
      <w:r w:rsidRPr="00E6510B">
        <w:t>konomikas ministrs</w:t>
      </w:r>
      <w:r w:rsidRPr="00E6510B">
        <w:tab/>
        <w:t>A. Ašeradens</w:t>
      </w:r>
    </w:p>
    <w:p w:rsidR="00FB4213" w:rsidRDefault="00703B11">
      <w:pPr>
        <w:jc w:val="both"/>
      </w:pPr>
      <w:r>
        <w:tab/>
      </w:r>
    </w:p>
    <w:p w:rsidR="00FB4213" w:rsidRDefault="00FB4213">
      <w:pPr>
        <w:jc w:val="both"/>
      </w:pPr>
    </w:p>
    <w:p w:rsidR="00FB4213" w:rsidRDefault="00703B11">
      <w:pPr>
        <w:tabs>
          <w:tab w:val="right" w:pos="8931"/>
        </w:tabs>
      </w:pPr>
      <w:r>
        <w:t>Vīza:</w:t>
      </w:r>
    </w:p>
    <w:p w:rsidR="00FB4213" w:rsidRDefault="00703B11">
      <w:pPr>
        <w:tabs>
          <w:tab w:val="right" w:pos="8931"/>
        </w:tabs>
      </w:pPr>
      <w:r>
        <w:t>Valsts sekretārs</w:t>
      </w:r>
      <w:r>
        <w:tab/>
        <w:t>J. Stinka</w:t>
      </w:r>
    </w:p>
    <w:p w:rsidR="00FB4213" w:rsidRDefault="00FB4213">
      <w:pPr>
        <w:keepNext/>
        <w:keepLines/>
        <w:spacing w:after="120"/>
        <w:jc w:val="both"/>
        <w:rPr>
          <w:sz w:val="18"/>
          <w:szCs w:val="18"/>
        </w:rPr>
      </w:pPr>
    </w:p>
    <w:p w:rsidR="00FB4213" w:rsidRDefault="00FB4213">
      <w:pPr>
        <w:jc w:val="both"/>
        <w:rPr>
          <w:sz w:val="20"/>
          <w:szCs w:val="28"/>
        </w:rPr>
      </w:pPr>
    </w:p>
    <w:p w:rsidR="00FB4213" w:rsidRDefault="007D6AE3">
      <w:pPr>
        <w:jc w:val="both"/>
        <w:rPr>
          <w:sz w:val="20"/>
          <w:szCs w:val="28"/>
        </w:rPr>
      </w:pPr>
      <w:r>
        <w:rPr>
          <w:sz w:val="20"/>
          <w:szCs w:val="28"/>
        </w:rPr>
        <w:t>13</w:t>
      </w:r>
      <w:r w:rsidR="00703B11">
        <w:rPr>
          <w:sz w:val="20"/>
          <w:szCs w:val="28"/>
        </w:rPr>
        <w:t xml:space="preserve">.02.2017. </w:t>
      </w:r>
    </w:p>
    <w:p w:rsidR="00FB4213" w:rsidRDefault="007D6AE3">
      <w:pPr>
        <w:jc w:val="both"/>
        <w:rPr>
          <w:sz w:val="20"/>
          <w:szCs w:val="28"/>
        </w:rPr>
      </w:pPr>
      <w:r>
        <w:rPr>
          <w:sz w:val="20"/>
          <w:szCs w:val="28"/>
        </w:rPr>
        <w:t>3798</w:t>
      </w:r>
    </w:p>
    <w:p w:rsidR="00FB4213" w:rsidRDefault="00703B11">
      <w:pPr>
        <w:tabs>
          <w:tab w:val="left" w:pos="7230"/>
        </w:tabs>
        <w:rPr>
          <w:sz w:val="20"/>
          <w:szCs w:val="20"/>
        </w:rPr>
      </w:pPr>
      <w:proofErr w:type="spellStart"/>
      <w:r>
        <w:rPr>
          <w:sz w:val="20"/>
          <w:szCs w:val="20"/>
        </w:rPr>
        <w:t>M.Rone</w:t>
      </w:r>
      <w:proofErr w:type="spellEnd"/>
    </w:p>
    <w:p w:rsidR="00FB4213" w:rsidRDefault="00703B11">
      <w:pPr>
        <w:tabs>
          <w:tab w:val="left" w:pos="7230"/>
        </w:tabs>
        <w:rPr>
          <w:sz w:val="20"/>
          <w:szCs w:val="20"/>
        </w:rPr>
      </w:pPr>
      <w:r>
        <w:rPr>
          <w:sz w:val="20"/>
          <w:szCs w:val="20"/>
        </w:rPr>
        <w:t xml:space="preserve">67013265, </w:t>
      </w:r>
      <w:r w:rsidRPr="007D6AE3">
        <w:rPr>
          <w:sz w:val="20"/>
          <w:szCs w:val="20"/>
          <w:u w:val="single"/>
        </w:rPr>
        <w:t>mara.rone@em.gov.lv</w:t>
      </w:r>
    </w:p>
    <w:sectPr w:rsidR="00FB4213">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213" w:rsidRDefault="00703B11">
      <w:r>
        <w:separator/>
      </w:r>
    </w:p>
  </w:endnote>
  <w:endnote w:type="continuationSeparator" w:id="0">
    <w:p w:rsidR="00FB4213" w:rsidRDefault="0070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758915"/>
      <w:docPartObj>
        <w:docPartGallery w:val="Page Numbers (Bottom of Page)"/>
        <w:docPartUnique/>
      </w:docPartObj>
    </w:sdtPr>
    <w:sdtEndPr>
      <w:rPr>
        <w:noProof/>
        <w:sz w:val="20"/>
      </w:rPr>
    </w:sdtEndPr>
    <w:sdtContent>
      <w:p w:rsidR="00FB4213" w:rsidRDefault="00703B11">
        <w:pPr>
          <w:pStyle w:val="Header"/>
          <w:rPr>
            <w:sz w:val="20"/>
          </w:rPr>
        </w:pPr>
        <w:r>
          <w:rPr>
            <w:sz w:val="20"/>
          </w:rPr>
          <w:t>EMzino_13021</w:t>
        </w:r>
        <w:r w:rsidR="00963C71">
          <w:rPr>
            <w:sz w:val="20"/>
          </w:rPr>
          <w:t>7</w:t>
        </w:r>
        <w:r>
          <w:rPr>
            <w:sz w:val="20"/>
          </w:rPr>
          <w:t>_Konkuretspejas_padome; Informatīvais ziņojums par Eiropas Savienības Konkurētspējas ministru padomes 2017. gada 20.februāra sanāksmē izskatāmajiem jautājumiem</w:t>
        </w:r>
      </w:p>
      <w:p w:rsidR="00FB4213" w:rsidRDefault="00703B11">
        <w:pPr>
          <w:pStyle w:val="Header"/>
          <w:jc w:val="right"/>
          <w:rPr>
            <w:sz w:val="20"/>
          </w:rPr>
        </w:pPr>
        <w:r>
          <w:rPr>
            <w:sz w:val="20"/>
          </w:rPr>
          <w:fldChar w:fldCharType="begin"/>
        </w:r>
        <w:r>
          <w:rPr>
            <w:sz w:val="20"/>
          </w:rPr>
          <w:instrText xml:space="preserve"> PAGE   \* MERGEFORMAT </w:instrText>
        </w:r>
        <w:r>
          <w:rPr>
            <w:sz w:val="20"/>
          </w:rPr>
          <w:fldChar w:fldCharType="separate"/>
        </w:r>
        <w:r w:rsidR="00963C71">
          <w:rPr>
            <w:noProof/>
            <w:sz w:val="20"/>
          </w:rPr>
          <w:t>11</w:t>
        </w:r>
        <w:r>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213" w:rsidRDefault="00703B11">
      <w:r>
        <w:separator/>
      </w:r>
    </w:p>
  </w:footnote>
  <w:footnote w:type="continuationSeparator" w:id="0">
    <w:p w:rsidR="00FB4213" w:rsidRDefault="00703B11">
      <w:r>
        <w:continuationSeparator/>
      </w:r>
    </w:p>
  </w:footnote>
  <w:footnote w:id="1">
    <w:p w:rsidR="00FB4213" w:rsidRDefault="00703B11">
      <w:pPr>
        <w:pStyle w:val="FootnoteText"/>
      </w:pPr>
      <w:r>
        <w:rPr>
          <w:rStyle w:val="FootnoteReference"/>
        </w:rPr>
        <w:t>1</w:t>
      </w:r>
      <w:r>
        <w:t xml:space="preserve"> Tulk. no angļu val. </w:t>
      </w:r>
      <w:r>
        <w:rPr>
          <w:i/>
        </w:rPr>
        <w:t>"</w:t>
      </w:r>
      <w:proofErr w:type="spellStart"/>
      <w:r>
        <w:rPr>
          <w:i/>
        </w:rPr>
        <w:t>competitiveness</w:t>
      </w:r>
      <w:proofErr w:type="spellEnd"/>
      <w:r>
        <w:rPr>
          <w:i/>
        </w:rPr>
        <w:t xml:space="preserve"> </w:t>
      </w:r>
      <w:proofErr w:type="spellStart"/>
      <w:r>
        <w:rPr>
          <w:i/>
        </w:rPr>
        <w:t>check-up</w:t>
      </w:r>
      <w:proofErr w:type="spellEnd"/>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rPr>
        <w:bdr w:val="none" w:sz="0" w:space="0" w:color="auto"/>
      </w:rPr>
    </w:lvl>
  </w:abstractNum>
  <w:abstractNum w:abstractNumId="1" w15:restartNumberingAfterBreak="0">
    <w:nsid w:val="09941B8E"/>
    <w:multiLevelType w:val="hybridMultilevel"/>
    <w:tmpl w:val="BDFE6B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EF7338"/>
    <w:multiLevelType w:val="hybridMultilevel"/>
    <w:tmpl w:val="D3DA09EC"/>
    <w:lvl w:ilvl="0" w:tplc="AA46C99A">
      <w:start w:val="1"/>
      <w:numFmt w:val="bullet"/>
      <w:pStyle w:val="punkti"/>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CDF09DE"/>
    <w:multiLevelType w:val="hybridMultilevel"/>
    <w:tmpl w:val="5F00E7DC"/>
    <w:lvl w:ilvl="0" w:tplc="322C0BBE">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D54B33"/>
    <w:multiLevelType w:val="hybridMultilevel"/>
    <w:tmpl w:val="4E466802"/>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9840CC3"/>
    <w:multiLevelType w:val="hybridMultilevel"/>
    <w:tmpl w:val="D9C87584"/>
    <w:lvl w:ilvl="0" w:tplc="322C0BBE">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5D1747"/>
    <w:multiLevelType w:val="hybridMultilevel"/>
    <w:tmpl w:val="4E86C91A"/>
    <w:lvl w:ilvl="0" w:tplc="022C8D0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3B75BBA"/>
    <w:multiLevelType w:val="hybridMultilevel"/>
    <w:tmpl w:val="69B234A0"/>
    <w:lvl w:ilvl="0" w:tplc="664254D8">
      <w:start w:val="1"/>
      <w:numFmt w:val="lowerRoman"/>
      <w:lvlText w:val="%1)"/>
      <w:lvlJc w:val="left"/>
      <w:pPr>
        <w:ind w:left="1854" w:hanging="720"/>
      </w:pPr>
      <w:rPr>
        <w:rFonts w:hint="default"/>
        <w:b w:val="0"/>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8" w15:restartNumberingAfterBreak="0">
    <w:nsid w:val="25574733"/>
    <w:multiLevelType w:val="multilevel"/>
    <w:tmpl w:val="540A8DEA"/>
    <w:lvl w:ilvl="0">
      <w:start w:val="1"/>
      <w:numFmt w:val="decimal"/>
      <w:lvlText w:val="%1."/>
      <w:lvlJc w:val="left"/>
      <w:pPr>
        <w:ind w:left="7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229" w:hanging="720"/>
      </w:pPr>
      <w:rPr>
        <w:rFonts w:hint="default"/>
      </w:rPr>
    </w:lvl>
    <w:lvl w:ilvl="4">
      <w:start w:val="1"/>
      <w:numFmt w:val="decimal"/>
      <w:isLgl/>
      <w:lvlText w:val="%1.%2.%3.%4.%5."/>
      <w:lvlJc w:val="left"/>
      <w:pPr>
        <w:ind w:left="2972" w:hanging="1080"/>
      </w:pPr>
      <w:rPr>
        <w:rFonts w:hint="default"/>
      </w:rPr>
    </w:lvl>
    <w:lvl w:ilvl="5">
      <w:start w:val="1"/>
      <w:numFmt w:val="decimal"/>
      <w:isLgl/>
      <w:lvlText w:val="%1.%2.%3.%4.%5.%6."/>
      <w:lvlJc w:val="left"/>
      <w:pPr>
        <w:ind w:left="3355" w:hanging="1080"/>
      </w:pPr>
      <w:rPr>
        <w:rFonts w:hint="default"/>
      </w:rPr>
    </w:lvl>
    <w:lvl w:ilvl="6">
      <w:start w:val="1"/>
      <w:numFmt w:val="decimal"/>
      <w:isLgl/>
      <w:lvlText w:val="%1.%2.%3.%4.%5.%6.%7."/>
      <w:lvlJc w:val="left"/>
      <w:pPr>
        <w:ind w:left="4098" w:hanging="1440"/>
      </w:pPr>
      <w:rPr>
        <w:rFonts w:hint="default"/>
      </w:rPr>
    </w:lvl>
    <w:lvl w:ilvl="7">
      <w:start w:val="1"/>
      <w:numFmt w:val="decimal"/>
      <w:isLgl/>
      <w:lvlText w:val="%1.%2.%3.%4.%5.%6.%7.%8."/>
      <w:lvlJc w:val="left"/>
      <w:pPr>
        <w:ind w:left="4481" w:hanging="1440"/>
      </w:pPr>
      <w:rPr>
        <w:rFonts w:hint="default"/>
      </w:rPr>
    </w:lvl>
    <w:lvl w:ilvl="8">
      <w:start w:val="1"/>
      <w:numFmt w:val="decimal"/>
      <w:isLgl/>
      <w:lvlText w:val="%1.%2.%3.%4.%5.%6.%7.%8.%9."/>
      <w:lvlJc w:val="left"/>
      <w:pPr>
        <w:ind w:left="5224" w:hanging="1800"/>
      </w:pPr>
      <w:rPr>
        <w:rFonts w:hint="default"/>
      </w:rPr>
    </w:lvl>
  </w:abstractNum>
  <w:abstractNum w:abstractNumId="9" w15:restartNumberingAfterBreak="0">
    <w:nsid w:val="2A2F0EF7"/>
    <w:multiLevelType w:val="hybridMultilevel"/>
    <w:tmpl w:val="9A0C5092"/>
    <w:lvl w:ilvl="0" w:tplc="30E4FC2E">
      <w:numFmt w:val="bullet"/>
      <w:lvlText w:val="‒"/>
      <w:lvlJc w:val="left"/>
      <w:pPr>
        <w:ind w:left="717" w:hanging="360"/>
      </w:pPr>
      <w:rPr>
        <w:rFonts w:ascii="Times New Roman" w:eastAsiaTheme="minorHAnsi"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10" w15:restartNumberingAfterBreak="0">
    <w:nsid w:val="2E361328"/>
    <w:multiLevelType w:val="hybridMultilevel"/>
    <w:tmpl w:val="F10A9698"/>
    <w:lvl w:ilvl="0" w:tplc="322C0BBE">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C90245"/>
    <w:multiLevelType w:val="hybridMultilevel"/>
    <w:tmpl w:val="A04AA216"/>
    <w:lvl w:ilvl="0" w:tplc="0426000F">
      <w:start w:val="2"/>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683072E"/>
    <w:multiLevelType w:val="hybridMultilevel"/>
    <w:tmpl w:val="3174A5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CC621E"/>
    <w:multiLevelType w:val="singleLevel"/>
    <w:tmpl w:val="2CD8C9DC"/>
    <w:name w:val="Dash Equal 1"/>
    <w:lvl w:ilvl="0">
      <w:start w:val="1"/>
      <w:numFmt w:val="bullet"/>
      <w:pStyle w:val="DashEqual1"/>
      <w:lvlText w:val="="/>
      <w:lvlJc w:val="left"/>
      <w:pPr>
        <w:tabs>
          <w:tab w:val="num" w:pos="1134"/>
        </w:tabs>
        <w:ind w:left="1134" w:hanging="567"/>
      </w:pPr>
    </w:lvl>
  </w:abstractNum>
  <w:abstractNum w:abstractNumId="14" w15:restartNumberingAfterBreak="0">
    <w:nsid w:val="504F297A"/>
    <w:multiLevelType w:val="hybridMultilevel"/>
    <w:tmpl w:val="B4F8062E"/>
    <w:lvl w:ilvl="0" w:tplc="02B422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26110E3"/>
    <w:multiLevelType w:val="hybridMultilevel"/>
    <w:tmpl w:val="0EB0E7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4825697"/>
    <w:multiLevelType w:val="hybridMultilevel"/>
    <w:tmpl w:val="A04AA216"/>
    <w:lvl w:ilvl="0" w:tplc="0426000F">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rPr>
        <w:bdr w:val="none" w:sz="0" w:space="0" w:color="auto"/>
      </w:rPr>
    </w:lvl>
  </w:abstractNum>
  <w:abstractNum w:abstractNumId="18" w15:restartNumberingAfterBreak="0">
    <w:nsid w:val="61C93470"/>
    <w:multiLevelType w:val="hybridMultilevel"/>
    <w:tmpl w:val="33B6543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rPr>
        <w:bdr w:val="none" w:sz="0" w:space="0" w:color="auto"/>
      </w:rPr>
    </w:lvl>
  </w:abstractNum>
  <w:abstractNum w:abstractNumId="20" w15:restartNumberingAfterBreak="0">
    <w:nsid w:val="6DFC275F"/>
    <w:multiLevelType w:val="hybridMultilevel"/>
    <w:tmpl w:val="1FFC8FF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70AB1F63"/>
    <w:multiLevelType w:val="hybridMultilevel"/>
    <w:tmpl w:val="07F2494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72F169E8"/>
    <w:multiLevelType w:val="hybridMultilevel"/>
    <w:tmpl w:val="9D06557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4397BAF"/>
    <w:multiLevelType w:val="hybridMultilevel"/>
    <w:tmpl w:val="C994EB3C"/>
    <w:lvl w:ilvl="0" w:tplc="04260017">
      <w:start w:val="1"/>
      <w:numFmt w:val="lowerLetter"/>
      <w:lvlText w:val="%1)"/>
      <w:lvlJc w:val="left"/>
      <w:pPr>
        <w:ind w:left="1709" w:hanging="360"/>
      </w:pPr>
    </w:lvl>
    <w:lvl w:ilvl="1" w:tplc="04260019" w:tentative="1">
      <w:start w:val="1"/>
      <w:numFmt w:val="lowerLetter"/>
      <w:lvlText w:val="%2."/>
      <w:lvlJc w:val="left"/>
      <w:pPr>
        <w:ind w:left="2429" w:hanging="360"/>
      </w:pPr>
    </w:lvl>
    <w:lvl w:ilvl="2" w:tplc="0426001B" w:tentative="1">
      <w:start w:val="1"/>
      <w:numFmt w:val="lowerRoman"/>
      <w:lvlText w:val="%3."/>
      <w:lvlJc w:val="right"/>
      <w:pPr>
        <w:ind w:left="3149" w:hanging="180"/>
      </w:pPr>
    </w:lvl>
    <w:lvl w:ilvl="3" w:tplc="0426000F" w:tentative="1">
      <w:start w:val="1"/>
      <w:numFmt w:val="decimal"/>
      <w:lvlText w:val="%4."/>
      <w:lvlJc w:val="left"/>
      <w:pPr>
        <w:ind w:left="3869" w:hanging="360"/>
      </w:pPr>
    </w:lvl>
    <w:lvl w:ilvl="4" w:tplc="04260019" w:tentative="1">
      <w:start w:val="1"/>
      <w:numFmt w:val="lowerLetter"/>
      <w:lvlText w:val="%5."/>
      <w:lvlJc w:val="left"/>
      <w:pPr>
        <w:ind w:left="4589" w:hanging="360"/>
      </w:pPr>
    </w:lvl>
    <w:lvl w:ilvl="5" w:tplc="0426001B" w:tentative="1">
      <w:start w:val="1"/>
      <w:numFmt w:val="lowerRoman"/>
      <w:lvlText w:val="%6."/>
      <w:lvlJc w:val="right"/>
      <w:pPr>
        <w:ind w:left="5309" w:hanging="180"/>
      </w:pPr>
    </w:lvl>
    <w:lvl w:ilvl="6" w:tplc="0426000F" w:tentative="1">
      <w:start w:val="1"/>
      <w:numFmt w:val="decimal"/>
      <w:lvlText w:val="%7."/>
      <w:lvlJc w:val="left"/>
      <w:pPr>
        <w:ind w:left="6029" w:hanging="360"/>
      </w:pPr>
    </w:lvl>
    <w:lvl w:ilvl="7" w:tplc="04260019" w:tentative="1">
      <w:start w:val="1"/>
      <w:numFmt w:val="lowerLetter"/>
      <w:lvlText w:val="%8."/>
      <w:lvlJc w:val="left"/>
      <w:pPr>
        <w:ind w:left="6749" w:hanging="360"/>
      </w:pPr>
    </w:lvl>
    <w:lvl w:ilvl="8" w:tplc="0426001B" w:tentative="1">
      <w:start w:val="1"/>
      <w:numFmt w:val="lowerRoman"/>
      <w:lvlText w:val="%9."/>
      <w:lvlJc w:val="right"/>
      <w:pPr>
        <w:ind w:left="7469" w:hanging="180"/>
      </w:pPr>
    </w:lvl>
  </w:abstractNum>
  <w:abstractNum w:abstractNumId="24" w15:restartNumberingAfterBreak="0">
    <w:nsid w:val="76C94629"/>
    <w:multiLevelType w:val="hybridMultilevel"/>
    <w:tmpl w:val="94F4E372"/>
    <w:lvl w:ilvl="0" w:tplc="04260017">
      <w:start w:val="1"/>
      <w:numFmt w:val="lowerLetter"/>
      <w:lvlText w:val="%1)"/>
      <w:lvlJc w:val="left"/>
      <w:pPr>
        <w:ind w:left="1709" w:hanging="360"/>
      </w:pPr>
    </w:lvl>
    <w:lvl w:ilvl="1" w:tplc="04260019" w:tentative="1">
      <w:start w:val="1"/>
      <w:numFmt w:val="lowerLetter"/>
      <w:lvlText w:val="%2."/>
      <w:lvlJc w:val="left"/>
      <w:pPr>
        <w:ind w:left="2429" w:hanging="360"/>
      </w:pPr>
    </w:lvl>
    <w:lvl w:ilvl="2" w:tplc="0426001B" w:tentative="1">
      <w:start w:val="1"/>
      <w:numFmt w:val="lowerRoman"/>
      <w:lvlText w:val="%3."/>
      <w:lvlJc w:val="right"/>
      <w:pPr>
        <w:ind w:left="3149" w:hanging="180"/>
      </w:pPr>
    </w:lvl>
    <w:lvl w:ilvl="3" w:tplc="0426000F" w:tentative="1">
      <w:start w:val="1"/>
      <w:numFmt w:val="decimal"/>
      <w:lvlText w:val="%4."/>
      <w:lvlJc w:val="left"/>
      <w:pPr>
        <w:ind w:left="3869" w:hanging="360"/>
      </w:pPr>
    </w:lvl>
    <w:lvl w:ilvl="4" w:tplc="04260019" w:tentative="1">
      <w:start w:val="1"/>
      <w:numFmt w:val="lowerLetter"/>
      <w:lvlText w:val="%5."/>
      <w:lvlJc w:val="left"/>
      <w:pPr>
        <w:ind w:left="4589" w:hanging="360"/>
      </w:pPr>
    </w:lvl>
    <w:lvl w:ilvl="5" w:tplc="0426001B" w:tentative="1">
      <w:start w:val="1"/>
      <w:numFmt w:val="lowerRoman"/>
      <w:lvlText w:val="%6."/>
      <w:lvlJc w:val="right"/>
      <w:pPr>
        <w:ind w:left="5309" w:hanging="180"/>
      </w:pPr>
    </w:lvl>
    <w:lvl w:ilvl="6" w:tplc="0426000F" w:tentative="1">
      <w:start w:val="1"/>
      <w:numFmt w:val="decimal"/>
      <w:lvlText w:val="%7."/>
      <w:lvlJc w:val="left"/>
      <w:pPr>
        <w:ind w:left="6029" w:hanging="360"/>
      </w:pPr>
    </w:lvl>
    <w:lvl w:ilvl="7" w:tplc="04260019" w:tentative="1">
      <w:start w:val="1"/>
      <w:numFmt w:val="lowerLetter"/>
      <w:lvlText w:val="%8."/>
      <w:lvlJc w:val="left"/>
      <w:pPr>
        <w:ind w:left="6749" w:hanging="360"/>
      </w:pPr>
    </w:lvl>
    <w:lvl w:ilvl="8" w:tplc="0426001B" w:tentative="1">
      <w:start w:val="1"/>
      <w:numFmt w:val="lowerRoman"/>
      <w:lvlText w:val="%9."/>
      <w:lvlJc w:val="right"/>
      <w:pPr>
        <w:ind w:left="7469" w:hanging="180"/>
      </w:pPr>
    </w:lvl>
  </w:abstractNum>
  <w:abstractNum w:abstractNumId="25" w15:restartNumberingAfterBreak="0">
    <w:nsid w:val="7ACF3A8A"/>
    <w:multiLevelType w:val="singleLevel"/>
    <w:tmpl w:val="0E484FE6"/>
    <w:lvl w:ilvl="0">
      <w:start w:val="1"/>
      <w:numFmt w:val="bullet"/>
      <w:lvlRestart w:val="0"/>
      <w:lvlText w:val="="/>
      <w:lvlJc w:val="left"/>
      <w:pPr>
        <w:tabs>
          <w:tab w:val="num" w:pos="1134"/>
        </w:tabs>
        <w:ind w:left="1134" w:hanging="567"/>
      </w:pPr>
      <w:rPr>
        <w:bdr w:val="none" w:sz="0" w:space="0" w:color="auto"/>
      </w:rPr>
    </w:lvl>
  </w:abstractNum>
  <w:abstractNum w:abstractNumId="26" w15:restartNumberingAfterBreak="0">
    <w:nsid w:val="7D783329"/>
    <w:multiLevelType w:val="hybridMultilevel"/>
    <w:tmpl w:val="CA3AC25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5"/>
  </w:num>
  <w:num w:numId="2">
    <w:abstractNumId w:val="24"/>
  </w:num>
  <w:num w:numId="3">
    <w:abstractNumId w:val="13"/>
  </w:num>
  <w:num w:numId="4">
    <w:abstractNumId w:val="2"/>
  </w:num>
  <w:num w:numId="5">
    <w:abstractNumId w:val="21"/>
  </w:num>
  <w:num w:numId="6">
    <w:abstractNumId w:val="2"/>
  </w:num>
  <w:num w:numId="7">
    <w:abstractNumId w:val="4"/>
  </w:num>
  <w:num w:numId="8">
    <w:abstractNumId w:val="26"/>
  </w:num>
  <w:num w:numId="9">
    <w:abstractNumId w:val="1"/>
  </w:num>
  <w:num w:numId="10">
    <w:abstractNumId w:val="19"/>
  </w:num>
  <w:num w:numId="11">
    <w:abstractNumId w:val="10"/>
  </w:num>
  <w:num w:numId="12">
    <w:abstractNumId w:val="25"/>
    <w:lvlOverride w:ilvl="0">
      <w:startOverride w:val="1"/>
    </w:lvlOverride>
  </w:num>
  <w:num w:numId="13">
    <w:abstractNumId w:val="25"/>
  </w:num>
  <w:num w:numId="14">
    <w:abstractNumId w:val="3"/>
  </w:num>
  <w:num w:numId="15">
    <w:abstractNumId w:val="0"/>
  </w:num>
  <w:num w:numId="16">
    <w:abstractNumId w:val="23"/>
  </w:num>
  <w:num w:numId="17">
    <w:abstractNumId w:val="14"/>
  </w:num>
  <w:num w:numId="18">
    <w:abstractNumId w:val="17"/>
  </w:num>
  <w:num w:numId="19">
    <w:abstractNumId w:val="1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num>
  <w:num w:numId="24">
    <w:abstractNumId w:val="20"/>
  </w:num>
  <w:num w:numId="25">
    <w:abstractNumId w:val="11"/>
  </w:num>
  <w:num w:numId="26">
    <w:abstractNumId w:val="8"/>
  </w:num>
  <w:num w:numId="27">
    <w:abstractNumId w:val="16"/>
  </w:num>
  <w:num w:numId="28">
    <w:abstractNumId w:val="6"/>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13"/>
    <w:rsid w:val="00703B11"/>
    <w:rsid w:val="007D6AE3"/>
    <w:rsid w:val="00963C71"/>
    <w:rsid w:val="00FB42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4E22-25FE-4CCA-AB3A-6B1AF873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12345,Body Text Char1,Body Text Char1 Char Char,Body Text Char Char Char Char,Body Text Char1 Char Char Char Char,Body Text Char Char Char Char Char Char,Body Text Char Char1"/>
    <w:basedOn w:val="Normal"/>
    <w:link w:val="BodyTextChar"/>
    <w:pPr>
      <w:jc w:val="center"/>
    </w:pPr>
    <w:rPr>
      <w:b/>
      <w:szCs w:val="20"/>
      <w:lang w:eastAsia="en-US"/>
    </w:rPr>
  </w:style>
  <w:style w:type="character" w:customStyle="1" w:styleId="BodyTextChar">
    <w:name w:val="Body Text Char"/>
    <w:aliases w:val="Body Text Char Char Char1,Body Text Char Char Char Char1,Body Char,12345 Char,Body Text Char1 Char,Body Text Char1 Char Char Char,Body Text Char Char Char Char Char,Body Text Char1 Char Char Char Char Char,Body Text Char Char1 Char"/>
    <w:basedOn w:val="DefaultParagraphFont"/>
    <w:link w:val="BodyText"/>
    <w:rPr>
      <w:rFonts w:ascii="Times New Roman" w:eastAsia="Times New Roman" w:hAnsi="Times New Roman" w:cs="Times New Roman"/>
      <w:b/>
      <w:sz w:val="24"/>
      <w:szCs w:val="20"/>
    </w:rPr>
  </w:style>
  <w:style w:type="paragraph" w:styleId="Header">
    <w:name w:val="header"/>
    <w:basedOn w:val="Normal"/>
    <w:link w:val="HeaderChar"/>
    <w:uiPriority w:val="99"/>
    <w:unhideWhenUsed/>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v-LV"/>
    </w:rPr>
  </w:style>
  <w:style w:type="paragraph" w:styleId="ListParagraph">
    <w:name w:val="List Paragraph"/>
    <w:aliases w:val="2,Strip,Numbered Para 1,Dot pt,No Spacing1,List Paragraph Char Char Char,Indicator Text,List Paragraph1,Bullet 1,Bullet Points,MAIN CONTENT,IFCL - List Paragraph,List Paragraph12,OBC Bullet,F5 List Paragraph,Colorful List - Accent 11,Bull"/>
    <w:basedOn w:val="Normal"/>
    <w:link w:val="ListParagraphChar"/>
    <w:uiPriority w:val="34"/>
    <w:qFormat/>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1 Char,Bullet Points Char,MAIN CONTENT Char,IFCL - List Paragraph Char,Bull Char"/>
    <w:link w:val="ListParagraph"/>
    <w:qFormat/>
    <w:locked/>
    <w:rPr>
      <w:rFonts w:ascii="Times New Roman" w:eastAsia="Times New Roman" w:hAnsi="Times New Roman" w:cs="Times New Roman"/>
      <w:sz w:val="24"/>
      <w:szCs w:val="24"/>
      <w:lang w:eastAsia="lv-LV"/>
    </w:rPr>
  </w:style>
  <w:style w:type="paragraph" w:styleId="FootnoteText">
    <w:name w:val="footnote text"/>
    <w:aliases w:val="Char,Footnote,Fußnote,Footnote text,Footnote Text Char2,Footnote Text Char1 Char,Footnote Text Char2 Char Char,Footnote Text Char1 Char Char Char,Footnote Text Char2 Char Char Char Char,Footnote Text Char Char1 Char Char Char Char,o,fußn,f"/>
    <w:basedOn w:val="Normal"/>
    <w:link w:val="FootnoteTextChar"/>
    <w:unhideWhenUsed/>
    <w:qFormat/>
    <w:rPr>
      <w:rFonts w:eastAsiaTheme="minorHAnsi" w:cstheme="minorBidi"/>
      <w:sz w:val="20"/>
      <w:szCs w:val="20"/>
      <w:lang w:eastAsia="en-US"/>
    </w:rPr>
  </w:style>
  <w:style w:type="character" w:customStyle="1" w:styleId="FootnoteTextChar">
    <w:name w:val="Footnote Text Char"/>
    <w:aliases w:val="Char Char,Footnote Char,Fußnote Char,Footnote text Char,Footnote Text Char2 Char,Footnote Text Char1 Char Char,Footnote Text Char2 Char Char Char,Footnote Text Char1 Char Char Char Char,Footnote Text Char2 Char Char Char Char Char"/>
    <w:basedOn w:val="DefaultParagraphFont"/>
    <w:link w:val="FootnoteText"/>
    <w:rPr>
      <w:rFonts w:ascii="Times New Roman" w:hAnsi="Times New Roman"/>
      <w:sz w:val="20"/>
      <w:szCs w:val="20"/>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basedOn w:val="DefaultParagraphFont"/>
    <w:link w:val="16Point"/>
    <w:uiPriority w:val="99"/>
    <w:unhideWhenUsed/>
    <w:qFormat/>
    <w:rPr>
      <w:vertAlign w:val="superscript"/>
    </w:rPr>
  </w:style>
  <w:style w:type="paragraph" w:customStyle="1" w:styleId="16Point">
    <w:name w:val="16 Point"/>
    <w:aliases w:val="Superscript 6 Point,Odwołanie przypisu,de nota al pie,footnote ref,2001+ Fußnotenzeichen,Exposant 3 Point"/>
    <w:basedOn w:val="Normal"/>
    <w:link w:val="FootnoteReference"/>
    <w:uiPriority w:val="99"/>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DashEqual1">
    <w:name w:val="Dash Equal 1"/>
    <w:basedOn w:val="Normal"/>
    <w:pPr>
      <w:numPr>
        <w:numId w:val="3"/>
      </w:numPr>
    </w:pPr>
    <w:rPr>
      <w:rFonts w:eastAsiaTheme="minorHAnsi"/>
      <w:lang w:val="en-US" w:eastAsia="en-US"/>
    </w:rPr>
  </w:style>
  <w:style w:type="paragraph" w:styleId="CommentText">
    <w:name w:val="annotation text"/>
    <w:basedOn w:val="Normal"/>
    <w:link w:val="CommentTextChar"/>
    <w:unhideWhenUsed/>
    <w:pPr>
      <w:spacing w:before="120" w:after="120"/>
    </w:pPr>
    <w:rPr>
      <w:sz w:val="20"/>
      <w:szCs w:val="20"/>
      <w:lang w:val="en-GB" w:eastAsia="en-US"/>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character" w:customStyle="1" w:styleId="punktiChar">
    <w:name w:val="punkti Char"/>
    <w:basedOn w:val="DefaultParagraphFont"/>
    <w:link w:val="punkti"/>
    <w:locked/>
    <w:rPr>
      <w:rFonts w:ascii="Helv" w:hAnsi="Helv" w:cs="Helv"/>
      <w:color w:val="000000"/>
      <w:sz w:val="24"/>
    </w:rPr>
  </w:style>
  <w:style w:type="paragraph" w:customStyle="1" w:styleId="punkti">
    <w:name w:val="punkti"/>
    <w:basedOn w:val="Normal"/>
    <w:link w:val="punktiChar"/>
    <w:pPr>
      <w:numPr>
        <w:numId w:val="4"/>
      </w:numPr>
      <w:spacing w:after="120"/>
      <w:contextualSpacing/>
      <w:jc w:val="both"/>
    </w:pPr>
    <w:rPr>
      <w:rFonts w:ascii="Helv" w:eastAsiaTheme="minorHAnsi" w:hAnsi="Helv" w:cs="Helv"/>
      <w:color w:val="000000"/>
      <w:szCs w:val="22"/>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before="0" w:after="0"/>
    </w:pPr>
    <w:rPr>
      <w:b/>
      <w:bCs/>
      <w:lang w:val="lv-LV" w:eastAsia="lv-LV"/>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eastAsia="lv-LV"/>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lv-LV"/>
    </w:rPr>
  </w:style>
  <w:style w:type="paragraph" w:customStyle="1" w:styleId="PointManual">
    <w:name w:val="Point Manual"/>
    <w:basedOn w:val="Normal"/>
    <w:pPr>
      <w:spacing w:before="200"/>
      <w:ind w:left="567" w:hanging="567"/>
    </w:pPr>
    <w:rPr>
      <w:rFonts w:eastAsiaTheme="minorHAnsi"/>
      <w:szCs w:val="22"/>
      <w:lang w:eastAsia="de-DE"/>
    </w:rPr>
  </w:style>
  <w:style w:type="paragraph" w:customStyle="1" w:styleId="Dash">
    <w:name w:val="Dash"/>
    <w:basedOn w:val="Normal"/>
    <w:pPr>
      <w:numPr>
        <w:numId w:val="10"/>
      </w:numPr>
      <w:spacing w:before="200"/>
    </w:pPr>
    <w:rPr>
      <w:rFonts w:eastAsiaTheme="minorHAnsi"/>
      <w:szCs w:val="22"/>
      <w:lang w:eastAsia="de-DE"/>
    </w:rPr>
  </w:style>
  <w:style w:type="paragraph" w:customStyle="1" w:styleId="PointManual1">
    <w:name w:val="Point Manual (1)"/>
    <w:basedOn w:val="Normal"/>
    <w:pPr>
      <w:ind w:left="1134" w:hanging="567"/>
    </w:pPr>
    <w:rPr>
      <w:rFonts w:eastAsiaTheme="minorHAnsi"/>
      <w:szCs w:val="22"/>
      <w:lang w:eastAsia="de-DE"/>
    </w:rPr>
  </w:style>
  <w:style w:type="paragraph" w:customStyle="1" w:styleId="Text1">
    <w:name w:val="Text 1"/>
    <w:basedOn w:val="Normal"/>
    <w:pPr>
      <w:ind w:left="567"/>
    </w:pPr>
    <w:rPr>
      <w:rFonts w:eastAsiaTheme="minorHAnsi"/>
      <w:szCs w:val="22"/>
      <w:lang w:eastAsia="de-DE"/>
    </w:rPr>
  </w:style>
  <w:style w:type="paragraph" w:customStyle="1" w:styleId="Dash1">
    <w:name w:val="Dash 1"/>
    <w:basedOn w:val="Normal"/>
    <w:pPr>
      <w:numPr>
        <w:numId w:val="15"/>
      </w:numPr>
    </w:pPr>
    <w:rPr>
      <w:rFonts w:eastAsiaTheme="minorHAnsi"/>
      <w:szCs w:val="22"/>
      <w:lang w:eastAsia="de-DE"/>
    </w:rPr>
  </w:style>
  <w:style w:type="paragraph" w:customStyle="1" w:styleId="Text2">
    <w:name w:val="Text 2"/>
    <w:basedOn w:val="Normal"/>
    <w:pPr>
      <w:ind w:left="1134"/>
    </w:pPr>
    <w:rPr>
      <w:rFonts w:eastAsiaTheme="minorHAnsi"/>
      <w:szCs w:val="22"/>
      <w:lang w:eastAsia="de-DE"/>
    </w:rPr>
  </w:style>
  <w:style w:type="paragraph" w:customStyle="1" w:styleId="Text3">
    <w:name w:val="Text 3"/>
    <w:basedOn w:val="Normal"/>
    <w:pPr>
      <w:ind w:left="1701"/>
    </w:pPr>
    <w:rPr>
      <w:rFonts w:eastAsiaTheme="minorHAnsi"/>
      <w:szCs w:val="22"/>
      <w:lang w:eastAsia="de-DE"/>
    </w:rPr>
  </w:style>
  <w:style w:type="paragraph" w:customStyle="1" w:styleId="PointManual2">
    <w:name w:val="Point Manual (2)"/>
    <w:basedOn w:val="Normal"/>
    <w:pPr>
      <w:ind w:left="1701" w:hanging="567"/>
    </w:pPr>
    <w:rPr>
      <w:rFonts w:eastAsiaTheme="minorHAnsi"/>
      <w:szCs w:val="22"/>
      <w:lang w:eastAsia="de-DE"/>
    </w:rPr>
  </w:style>
  <w:style w:type="paragraph" w:customStyle="1" w:styleId="DashEqual2">
    <w:name w:val="Dash Equal 2"/>
    <w:basedOn w:val="Normal"/>
    <w:pPr>
      <w:numPr>
        <w:numId w:val="18"/>
      </w:numPr>
    </w:pPr>
    <w:rPr>
      <w:rFonts w:eastAsiaTheme="minorHAnsi"/>
      <w:szCs w:val="22"/>
      <w:lang w:eastAsia="de-DE"/>
    </w:rPr>
  </w:style>
  <w:style w:type="character" w:styleId="Hyperlink">
    <w:name w:val="Hyperlink"/>
    <w:unhideWhenUsed/>
    <w:rPr>
      <w:color w:val="0000FF"/>
      <w:u w:val="single"/>
    </w:rPr>
  </w:style>
  <w:style w:type="paragraph" w:styleId="NormalWeb">
    <w:name w:val="Normal (Web)"/>
    <w:basedOn w:val="Normal"/>
    <w:uiPriority w:val="99"/>
    <w:unhideWhenUsed/>
    <w:pPr>
      <w:spacing w:before="100" w:beforeAutospacing="1" w:after="100" w:afterAutospacing="1"/>
    </w:pPr>
  </w:style>
  <w:style w:type="character" w:customStyle="1" w:styleId="apple-converted-space">
    <w:name w:val="apple-converted-space"/>
    <w:basedOn w:val="DefaultParagraphFont"/>
  </w:style>
  <w:style w:type="character" w:customStyle="1" w:styleId="s21">
    <w:name w:val="s21"/>
    <w:basedOn w:val="DefaultParagraphFont"/>
  </w:style>
  <w:style w:type="paragraph" w:styleId="NoSpacing">
    <w:name w:val="No Spacing"/>
    <w:uiPriority w:val="1"/>
    <w:qFormat/>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923">
      <w:bodyDiv w:val="1"/>
      <w:marLeft w:val="0"/>
      <w:marRight w:val="0"/>
      <w:marTop w:val="0"/>
      <w:marBottom w:val="0"/>
      <w:divBdr>
        <w:top w:val="none" w:sz="0" w:space="0" w:color="auto"/>
        <w:left w:val="none" w:sz="0" w:space="0" w:color="auto"/>
        <w:bottom w:val="none" w:sz="0" w:space="0" w:color="auto"/>
        <w:right w:val="none" w:sz="0" w:space="0" w:color="auto"/>
      </w:divBdr>
    </w:div>
    <w:div w:id="461122922">
      <w:bodyDiv w:val="1"/>
      <w:marLeft w:val="0"/>
      <w:marRight w:val="0"/>
      <w:marTop w:val="0"/>
      <w:marBottom w:val="0"/>
      <w:divBdr>
        <w:top w:val="none" w:sz="0" w:space="0" w:color="auto"/>
        <w:left w:val="none" w:sz="0" w:space="0" w:color="auto"/>
        <w:bottom w:val="none" w:sz="0" w:space="0" w:color="auto"/>
        <w:right w:val="none" w:sz="0" w:space="0" w:color="auto"/>
      </w:divBdr>
    </w:div>
    <w:div w:id="610094339">
      <w:bodyDiv w:val="1"/>
      <w:marLeft w:val="0"/>
      <w:marRight w:val="0"/>
      <w:marTop w:val="0"/>
      <w:marBottom w:val="0"/>
      <w:divBdr>
        <w:top w:val="none" w:sz="0" w:space="0" w:color="auto"/>
        <w:left w:val="none" w:sz="0" w:space="0" w:color="auto"/>
        <w:bottom w:val="none" w:sz="0" w:space="0" w:color="auto"/>
        <w:right w:val="none" w:sz="0" w:space="0" w:color="auto"/>
      </w:divBdr>
    </w:div>
    <w:div w:id="727648884">
      <w:bodyDiv w:val="1"/>
      <w:marLeft w:val="0"/>
      <w:marRight w:val="0"/>
      <w:marTop w:val="0"/>
      <w:marBottom w:val="0"/>
      <w:divBdr>
        <w:top w:val="none" w:sz="0" w:space="0" w:color="auto"/>
        <w:left w:val="none" w:sz="0" w:space="0" w:color="auto"/>
        <w:bottom w:val="none" w:sz="0" w:space="0" w:color="auto"/>
        <w:right w:val="none" w:sz="0" w:space="0" w:color="auto"/>
      </w:divBdr>
    </w:div>
    <w:div w:id="774518786">
      <w:bodyDiv w:val="1"/>
      <w:marLeft w:val="0"/>
      <w:marRight w:val="0"/>
      <w:marTop w:val="0"/>
      <w:marBottom w:val="0"/>
      <w:divBdr>
        <w:top w:val="none" w:sz="0" w:space="0" w:color="auto"/>
        <w:left w:val="none" w:sz="0" w:space="0" w:color="auto"/>
        <w:bottom w:val="none" w:sz="0" w:space="0" w:color="auto"/>
        <w:right w:val="none" w:sz="0" w:space="0" w:color="auto"/>
      </w:divBdr>
    </w:div>
    <w:div w:id="799879153">
      <w:bodyDiv w:val="1"/>
      <w:marLeft w:val="0"/>
      <w:marRight w:val="0"/>
      <w:marTop w:val="0"/>
      <w:marBottom w:val="0"/>
      <w:divBdr>
        <w:top w:val="none" w:sz="0" w:space="0" w:color="auto"/>
        <w:left w:val="none" w:sz="0" w:space="0" w:color="auto"/>
        <w:bottom w:val="none" w:sz="0" w:space="0" w:color="auto"/>
        <w:right w:val="none" w:sz="0" w:space="0" w:color="auto"/>
      </w:divBdr>
    </w:div>
    <w:div w:id="1247691603">
      <w:bodyDiv w:val="1"/>
      <w:marLeft w:val="0"/>
      <w:marRight w:val="0"/>
      <w:marTop w:val="0"/>
      <w:marBottom w:val="0"/>
      <w:divBdr>
        <w:top w:val="none" w:sz="0" w:space="0" w:color="auto"/>
        <w:left w:val="none" w:sz="0" w:space="0" w:color="auto"/>
        <w:bottom w:val="none" w:sz="0" w:space="0" w:color="auto"/>
        <w:right w:val="none" w:sz="0" w:space="0" w:color="auto"/>
      </w:divBdr>
    </w:div>
    <w:div w:id="1377239245">
      <w:bodyDiv w:val="1"/>
      <w:marLeft w:val="0"/>
      <w:marRight w:val="0"/>
      <w:marTop w:val="0"/>
      <w:marBottom w:val="0"/>
      <w:divBdr>
        <w:top w:val="none" w:sz="0" w:space="0" w:color="auto"/>
        <w:left w:val="none" w:sz="0" w:space="0" w:color="auto"/>
        <w:bottom w:val="none" w:sz="0" w:space="0" w:color="auto"/>
        <w:right w:val="none" w:sz="0" w:space="0" w:color="auto"/>
      </w:divBdr>
    </w:div>
    <w:div w:id="142071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net1.cec.eu.int\ECFIN\B\2\INDIVIDUAL%20FOLDERS\Peter\Intangibles\Note%20on%20Intangibles%20(new)\Graph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878732386651703E-2"/>
          <c:y val="5.3729198684961503E-2"/>
          <c:w val="0.88659520205587905"/>
          <c:h val="0.62494288628486305"/>
        </c:manualLayout>
      </c:layout>
      <c:lineChart>
        <c:grouping val="standard"/>
        <c:varyColors val="0"/>
        <c:ser>
          <c:idx val="2"/>
          <c:order val="0"/>
          <c:tx>
            <c:strRef>
              <c:f>'Graph 1'!$A$8</c:f>
              <c:strCache>
                <c:ptCount val="1"/>
                <c:pt idx="0">
                  <c:v>US national accounts intangibles</c:v>
                </c:pt>
              </c:strCache>
            </c:strRef>
          </c:tx>
          <c:spPr>
            <a:ln>
              <a:solidFill>
                <a:srgbClr val="00B050"/>
              </a:solidFill>
              <a:prstDash val="sysDash"/>
            </a:ln>
          </c:spPr>
          <c:marker>
            <c:symbol val="none"/>
          </c:marker>
          <c:cat>
            <c:numRef>
              <c:f>'Graph 1'!$B$5:$U$5</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'Graph 1'!$B$8:$U$8</c:f>
              <c:numCache>
                <c:formatCode>0.0</c:formatCode>
                <c:ptCount val="20"/>
                <c:pt idx="0" formatCode="General">
                  <c:v>100</c:v>
                </c:pt>
                <c:pt idx="1">
                  <c:v>108.19169473958929</c:v>
                </c:pt>
                <c:pt idx="2">
                  <c:v>118.930300731676</c:v>
                </c:pt>
                <c:pt idx="3">
                  <c:v>129.59201984798599</c:v>
                </c:pt>
                <c:pt idx="4">
                  <c:v>142.518068650473</c:v>
                </c:pt>
                <c:pt idx="5">
                  <c:v>153.40560161877499</c:v>
                </c:pt>
                <c:pt idx="6">
                  <c:v>155.58696752137109</c:v>
                </c:pt>
                <c:pt idx="7">
                  <c:v>156.80357469023161</c:v>
                </c:pt>
                <c:pt idx="8">
                  <c:v>164.02762995283729</c:v>
                </c:pt>
                <c:pt idx="9">
                  <c:v>172.38892783616649</c:v>
                </c:pt>
                <c:pt idx="10">
                  <c:v>182.46262596367819</c:v>
                </c:pt>
                <c:pt idx="11">
                  <c:v>189.97855779766479</c:v>
                </c:pt>
                <c:pt idx="12">
                  <c:v>198.24486260437931</c:v>
                </c:pt>
                <c:pt idx="13">
                  <c:v>203.78880482343899</c:v>
                </c:pt>
                <c:pt idx="14">
                  <c:v>202.31252410199849</c:v>
                </c:pt>
                <c:pt idx="15">
                  <c:v>206.133398376814</c:v>
                </c:pt>
                <c:pt idx="16">
                  <c:v>211.6752215157224</c:v>
                </c:pt>
                <c:pt idx="17">
                  <c:v>216.59526200354441</c:v>
                </c:pt>
                <c:pt idx="18">
                  <c:v>222.21343230398051</c:v>
                </c:pt>
                <c:pt idx="19">
                  <c:v>230.2410045249577</c:v>
                </c:pt>
              </c:numCache>
            </c:numRef>
          </c:val>
          <c:smooth val="0"/>
        </c:ser>
        <c:ser>
          <c:idx val="0"/>
          <c:order val="1"/>
          <c:tx>
            <c:strRef>
              <c:f>'Graph 1'!$A$6</c:f>
              <c:strCache>
                <c:ptCount val="1"/>
                <c:pt idx="0">
                  <c:v>EU28 national accounts intangibles</c:v>
                </c:pt>
              </c:strCache>
            </c:strRef>
          </c:tx>
          <c:spPr>
            <a:ln>
              <a:solidFill>
                <a:srgbClr val="00B050"/>
              </a:solidFill>
            </a:ln>
          </c:spPr>
          <c:marker>
            <c:symbol val="none"/>
          </c:marker>
          <c:cat>
            <c:numRef>
              <c:f>'Graph 1'!$B$5:$U$5</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'Graph 1'!$B$6:$U$6</c:f>
              <c:numCache>
                <c:formatCode>0.0</c:formatCode>
                <c:ptCount val="20"/>
                <c:pt idx="0" formatCode="General">
                  <c:v>100</c:v>
                </c:pt>
                <c:pt idx="1">
                  <c:v>105.35079701122559</c:v>
                </c:pt>
                <c:pt idx="2">
                  <c:v>108.814920750139</c:v>
                </c:pt>
                <c:pt idx="3">
                  <c:v>116.5663808247842</c:v>
                </c:pt>
                <c:pt idx="4">
                  <c:v>125.6743878143855</c:v>
                </c:pt>
                <c:pt idx="5">
                  <c:v>131.2094938890574</c:v>
                </c:pt>
                <c:pt idx="6">
                  <c:v>139.45003141950261</c:v>
                </c:pt>
                <c:pt idx="7">
                  <c:v>140.4362596207304</c:v>
                </c:pt>
                <c:pt idx="8">
                  <c:v>142.49319532518021</c:v>
                </c:pt>
                <c:pt idx="9">
                  <c:v>146.1118937172005</c:v>
                </c:pt>
                <c:pt idx="10">
                  <c:v>151.5487836810708</c:v>
                </c:pt>
                <c:pt idx="11">
                  <c:v>157.86628004553631</c:v>
                </c:pt>
                <c:pt idx="12">
                  <c:v>165.92796731949261</c:v>
                </c:pt>
                <c:pt idx="13">
                  <c:v>173.266906015877</c:v>
                </c:pt>
                <c:pt idx="14">
                  <c:v>170.1365765629626</c:v>
                </c:pt>
                <c:pt idx="15">
                  <c:v>174.76352346975409</c:v>
                </c:pt>
                <c:pt idx="16">
                  <c:v>179.19629926128329</c:v>
                </c:pt>
                <c:pt idx="17">
                  <c:v>181.327100601344</c:v>
                </c:pt>
                <c:pt idx="18">
                  <c:v>182.41866690974121</c:v>
                </c:pt>
                <c:pt idx="19">
                  <c:v>186.987261282915</c:v>
                </c:pt>
              </c:numCache>
            </c:numRef>
          </c:val>
          <c:smooth val="0"/>
        </c:ser>
        <c:ser>
          <c:idx val="3"/>
          <c:order val="2"/>
          <c:tx>
            <c:strRef>
              <c:f>'Graph 1'!$A$9</c:f>
              <c:strCache>
                <c:ptCount val="1"/>
                <c:pt idx="0">
                  <c:v>US non-residential tangibles</c:v>
                </c:pt>
              </c:strCache>
            </c:strRef>
          </c:tx>
          <c:spPr>
            <a:ln>
              <a:solidFill>
                <a:srgbClr val="0070C0"/>
              </a:solidFill>
              <a:prstDash val="sysDash"/>
            </a:ln>
          </c:spPr>
          <c:marker>
            <c:symbol val="none"/>
          </c:marker>
          <c:cat>
            <c:numRef>
              <c:f>'Graph 1'!$B$5:$U$5</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'Graph 1'!$B$9:$U$9</c:f>
              <c:numCache>
                <c:formatCode>0.0</c:formatCode>
                <c:ptCount val="20"/>
                <c:pt idx="0" formatCode="General">
                  <c:v>100</c:v>
                </c:pt>
                <c:pt idx="1">
                  <c:v>107.35118532825319</c:v>
                </c:pt>
                <c:pt idx="2">
                  <c:v>116.2791015233485</c:v>
                </c:pt>
                <c:pt idx="3">
                  <c:v>126.7183824918739</c:v>
                </c:pt>
                <c:pt idx="4">
                  <c:v>137.51772157140081</c:v>
                </c:pt>
                <c:pt idx="5">
                  <c:v>148.44146421116591</c:v>
                </c:pt>
                <c:pt idx="6">
                  <c:v>145.718441683311</c:v>
                </c:pt>
                <c:pt idx="7">
                  <c:v>137.20810431527829</c:v>
                </c:pt>
                <c:pt idx="8">
                  <c:v>139.00177198750251</c:v>
                </c:pt>
                <c:pt idx="9">
                  <c:v>144.54368032681569</c:v>
                </c:pt>
                <c:pt idx="10">
                  <c:v>151.73047634505221</c:v>
                </c:pt>
                <c:pt idx="11">
                  <c:v>162.3834098855676</c:v>
                </c:pt>
                <c:pt idx="12">
                  <c:v>171.01628087728071</c:v>
                </c:pt>
                <c:pt idx="13">
                  <c:v>169.85869028080299</c:v>
                </c:pt>
                <c:pt idx="14">
                  <c:v>142.94771793419559</c:v>
                </c:pt>
                <c:pt idx="15">
                  <c:v>145.35523902736369</c:v>
                </c:pt>
                <c:pt idx="16">
                  <c:v>152.57982793625379</c:v>
                </c:pt>
                <c:pt idx="17">
                  <c:v>162.45772421287231</c:v>
                </c:pt>
                <c:pt idx="18">
                  <c:v>163.36403199511281</c:v>
                </c:pt>
                <c:pt idx="19">
                  <c:v>171.47771086081681</c:v>
                </c:pt>
              </c:numCache>
            </c:numRef>
          </c:val>
          <c:smooth val="0"/>
        </c:ser>
        <c:ser>
          <c:idx val="1"/>
          <c:order val="3"/>
          <c:tx>
            <c:strRef>
              <c:f>'Graph 1'!$A$7</c:f>
              <c:strCache>
                <c:ptCount val="1"/>
                <c:pt idx="0">
                  <c:v>EU28 non-residential tangibles</c:v>
                </c:pt>
              </c:strCache>
            </c:strRef>
          </c:tx>
          <c:spPr>
            <a:ln>
              <a:solidFill>
                <a:srgbClr val="0070C0"/>
              </a:solidFill>
            </a:ln>
          </c:spPr>
          <c:marker>
            <c:symbol val="none"/>
          </c:marker>
          <c:cat>
            <c:numRef>
              <c:f>'Graph 1'!$B$5:$U$5</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'Graph 1'!$B$7:$U$7</c:f>
              <c:numCache>
                <c:formatCode>0.0</c:formatCode>
                <c:ptCount val="20"/>
                <c:pt idx="0" formatCode="General">
                  <c:v>100</c:v>
                </c:pt>
                <c:pt idx="1">
                  <c:v>102.95948388544021</c:v>
                </c:pt>
                <c:pt idx="2">
                  <c:v>106.1485971701434</c:v>
                </c:pt>
                <c:pt idx="3">
                  <c:v>114.30969779478239</c:v>
                </c:pt>
                <c:pt idx="4">
                  <c:v>120.56069325938449</c:v>
                </c:pt>
                <c:pt idx="5">
                  <c:v>126.6969287234835</c:v>
                </c:pt>
                <c:pt idx="6">
                  <c:v>126.76361287914111</c:v>
                </c:pt>
                <c:pt idx="7">
                  <c:v>125.11480044468141</c:v>
                </c:pt>
                <c:pt idx="8">
                  <c:v>126.2412780349392</c:v>
                </c:pt>
                <c:pt idx="9">
                  <c:v>130.1686499645127</c:v>
                </c:pt>
                <c:pt idx="10">
                  <c:v>134.42944537330561</c:v>
                </c:pt>
                <c:pt idx="11">
                  <c:v>143.3718567263812</c:v>
                </c:pt>
                <c:pt idx="12">
                  <c:v>154.75082360511479</c:v>
                </c:pt>
                <c:pt idx="13">
                  <c:v>154.61076182475671</c:v>
                </c:pt>
                <c:pt idx="14">
                  <c:v>132.39032001652561</c:v>
                </c:pt>
                <c:pt idx="15">
                  <c:v>132.73341662894941</c:v>
                </c:pt>
                <c:pt idx="16">
                  <c:v>136.33978865730921</c:v>
                </c:pt>
                <c:pt idx="17">
                  <c:v>131.85326773845659</c:v>
                </c:pt>
                <c:pt idx="18">
                  <c:v>129.0525673498808</c:v>
                </c:pt>
                <c:pt idx="19">
                  <c:v>133.0073818643846</c:v>
                </c:pt>
              </c:numCache>
            </c:numRef>
          </c:val>
          <c:smooth val="0"/>
        </c:ser>
        <c:dLbls>
          <c:showLegendKey val="0"/>
          <c:showVal val="0"/>
          <c:showCatName val="0"/>
          <c:showSerName val="0"/>
          <c:showPercent val="0"/>
          <c:showBubbleSize val="0"/>
        </c:dLbls>
        <c:smooth val="0"/>
        <c:axId val="421000728"/>
        <c:axId val="305924024"/>
      </c:lineChart>
      <c:catAx>
        <c:axId val="421000728"/>
        <c:scaling>
          <c:orientation val="minMax"/>
        </c:scaling>
        <c:delete val="0"/>
        <c:axPos val="b"/>
        <c:numFmt formatCode="General" sourceLinked="1"/>
        <c:majorTickMark val="out"/>
        <c:minorTickMark val="none"/>
        <c:tickLblPos val="nextTo"/>
        <c:crossAx val="305924024"/>
        <c:crosses val="autoZero"/>
        <c:auto val="1"/>
        <c:lblAlgn val="l"/>
        <c:lblOffset val="100"/>
        <c:noMultiLvlLbl val="0"/>
      </c:catAx>
      <c:valAx>
        <c:axId val="305924024"/>
        <c:scaling>
          <c:orientation val="minMax"/>
          <c:min val="100"/>
        </c:scaling>
        <c:delete val="0"/>
        <c:axPos val="l"/>
        <c:majorGridlines/>
        <c:numFmt formatCode="General" sourceLinked="1"/>
        <c:majorTickMark val="out"/>
        <c:minorTickMark val="none"/>
        <c:tickLblPos val="nextTo"/>
        <c:crossAx val="421000728"/>
        <c:crosses val="autoZero"/>
        <c:crossBetween val="midCat"/>
      </c:valAx>
    </c:plotArea>
    <c:legend>
      <c:legendPos val="b"/>
      <c:layout>
        <c:manualLayout>
          <c:xMode val="edge"/>
          <c:yMode val="edge"/>
          <c:x val="4.2535403625235599E-2"/>
          <c:y val="0.86026668658429695"/>
          <c:w val="0.89918296034599299"/>
          <c:h val="0.11482889922850553"/>
        </c:manualLayout>
      </c:layout>
      <c:overlay val="0"/>
      <c:txPr>
        <a:bodyPr/>
        <a:lstStyle/>
        <a:p>
          <a:pPr>
            <a:defRPr i="0"/>
          </a:pPr>
          <a:endParaRPr lang="lv-LV"/>
        </a:p>
      </c:txPr>
    </c:legend>
    <c:plotVisOnly val="1"/>
    <c:dispBlanksAs val="gap"/>
    <c:showDLblsOverMax val="0"/>
  </c:chart>
  <c:spPr>
    <a:solidFill>
      <a:sysClr val="window" lastClr="FFFFFF"/>
    </a:solidFill>
    <a:ln>
      <a:noFill/>
    </a:ln>
  </c:spPr>
  <c:txPr>
    <a:bodyPr/>
    <a:lstStyle/>
    <a:p>
      <a:pPr>
        <a:defRPr sz="800"/>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17386666036234"/>
          <c:y val="0.10854816824966079"/>
          <c:w val="0.8673078372240437"/>
          <c:h val="0.64543784544917493"/>
        </c:manualLayout>
      </c:layout>
      <c:barChart>
        <c:barDir val="col"/>
        <c:grouping val="clustered"/>
        <c:varyColors val="0"/>
        <c:ser>
          <c:idx val="0"/>
          <c:order val="0"/>
          <c:tx>
            <c:strRef>
              <c:f>Sheet1!$A$2</c:f>
              <c:strCache>
                <c:ptCount val="1"/>
                <c:pt idx="0">
                  <c:v>Investīcijas apstrādes rūpniecībā</c:v>
                </c:pt>
              </c:strCache>
            </c:strRef>
          </c:tx>
          <c:invertIfNegative val="0"/>
          <c:dPt>
            <c:idx val="0"/>
            <c:invertIfNegative val="0"/>
            <c:bubble3D val="0"/>
            <c:spPr>
              <a:solidFill>
                <a:srgbClr val="C00000"/>
              </a:solidFill>
            </c:spPr>
          </c:dPt>
          <c:dPt>
            <c:idx val="1"/>
            <c:invertIfNegative val="0"/>
            <c:bubble3D val="0"/>
            <c:spPr>
              <a:solidFill>
                <a:schemeClr val="accent3">
                  <a:lumMod val="75000"/>
                </a:schemeClr>
              </a:solidFill>
            </c:spPr>
          </c:dPt>
          <c:dPt>
            <c:idx val="2"/>
            <c:invertIfNegative val="0"/>
            <c:bubble3D val="0"/>
            <c:spPr>
              <a:solidFill>
                <a:schemeClr val="accent1">
                  <a:lumMod val="60000"/>
                  <a:lumOff val="40000"/>
                </a:schemeClr>
              </a:solidFill>
            </c:spPr>
          </c:dPt>
          <c:dLbls>
            <c:numFmt formatCode="#,##0.0" sourceLinked="0"/>
            <c:spPr>
              <a:noFill/>
              <a:ln>
                <a:noFill/>
              </a:ln>
              <a:effectLst/>
            </c:spPr>
            <c:txPr>
              <a:bodyPr/>
              <a:lstStyle/>
              <a:p>
                <a:pPr>
                  <a:defRPr lang="lv-LV">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Latvija</c:v>
                </c:pt>
                <c:pt idx="1">
                  <c:v>Lietuva</c:v>
                </c:pt>
                <c:pt idx="2">
                  <c:v>Igaunija</c:v>
                </c:pt>
                <c:pt idx="3">
                  <c:v>ES-15</c:v>
                </c:pt>
              </c:strCache>
            </c:strRef>
          </c:cat>
          <c:val>
            <c:numRef>
              <c:f>Sheet1!$B$2:$E$2</c:f>
              <c:numCache>
                <c:formatCode>0.0</c:formatCode>
                <c:ptCount val="4"/>
                <c:pt idx="0">
                  <c:v>22.805526625674929</c:v>
                </c:pt>
                <c:pt idx="1">
                  <c:v>18.742126389541223</c:v>
                </c:pt>
                <c:pt idx="2">
                  <c:v>25.191381389346233</c:v>
                </c:pt>
                <c:pt idx="3">
                  <c:v>19.191364291396464</c:v>
                </c:pt>
              </c:numCache>
            </c:numRef>
          </c:val>
        </c:ser>
        <c:dLbls>
          <c:showLegendKey val="0"/>
          <c:showVal val="1"/>
          <c:showCatName val="0"/>
          <c:showSerName val="0"/>
          <c:showPercent val="0"/>
          <c:showBubbleSize val="0"/>
        </c:dLbls>
        <c:gapWidth val="50"/>
        <c:axId val="426463304"/>
        <c:axId val="426460560"/>
      </c:barChart>
      <c:catAx>
        <c:axId val="426463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lv-LV" sz="1000" b="1" i="0" u="none" strike="noStrike" kern="1200" baseline="0">
                <a:solidFill>
                  <a:schemeClr val="tx1">
                    <a:lumMod val="95000"/>
                    <a:lumOff val="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crossAx val="426460560"/>
        <c:crosses val="autoZero"/>
        <c:auto val="1"/>
        <c:lblAlgn val="ctr"/>
        <c:lblOffset val="100"/>
        <c:noMultiLvlLbl val="0"/>
      </c:catAx>
      <c:valAx>
        <c:axId val="426460560"/>
        <c:scaling>
          <c:orientation val="minMax"/>
          <c:min val="0"/>
        </c:scaling>
        <c:delete val="1"/>
        <c:axPos val="l"/>
        <c:numFmt formatCode="#,##0" sourceLinked="0"/>
        <c:majorTickMark val="none"/>
        <c:minorTickMark val="none"/>
        <c:tickLblPos val="nextTo"/>
        <c:crossAx val="426463304"/>
        <c:crosses val="autoZero"/>
        <c:crossBetween val="between"/>
      </c:valAx>
      <c:spPr>
        <a:noFill/>
        <a:ln>
          <a:noFill/>
        </a:ln>
        <a:effectLst/>
      </c:spPr>
    </c:plotArea>
    <c:plotVisOnly val="1"/>
    <c:dispBlanksAs val="gap"/>
    <c:showDLblsOverMax val="0"/>
  </c:chart>
  <c:spPr>
    <a:noFill/>
    <a:ln>
      <a:noFill/>
    </a:ln>
    <a:effectLst/>
  </c:spPr>
  <c:txPr>
    <a:bodyPr/>
    <a:lstStyle/>
    <a:p>
      <a:pPr>
        <a:defRPr>
          <a:solidFill>
            <a:schemeClr val="tx1">
              <a:lumMod val="95000"/>
              <a:lumOff val="5000"/>
            </a:schemeClr>
          </a:solidFill>
          <a:latin typeface="Arial Narrow" panose="020B0606020202030204" pitchFamily="34"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443548387096774E-2"/>
          <c:y val="5.5555555555555552E-2"/>
          <c:w val="0.88911290322580649"/>
          <c:h val="0.72671259842519687"/>
        </c:manualLayout>
      </c:layout>
      <c:barChart>
        <c:barDir val="col"/>
        <c:grouping val="clustered"/>
        <c:varyColors val="0"/>
        <c:ser>
          <c:idx val="0"/>
          <c:order val="0"/>
          <c:tx>
            <c:strRef>
              <c:f>Sheet1!$A$2</c:f>
              <c:strCache>
                <c:ptCount val="1"/>
                <c:pt idx="0">
                  <c:v>Investīcijas apstrādes rūpniecībā</c:v>
                </c:pt>
              </c:strCache>
            </c:strRef>
          </c:tx>
          <c:invertIfNegative val="0"/>
          <c:dPt>
            <c:idx val="0"/>
            <c:invertIfNegative val="0"/>
            <c:bubble3D val="0"/>
            <c:spPr>
              <a:solidFill>
                <a:srgbClr val="C00000"/>
              </a:solidFill>
            </c:spPr>
          </c:dPt>
          <c:dPt>
            <c:idx val="1"/>
            <c:invertIfNegative val="0"/>
            <c:bubble3D val="0"/>
            <c:spPr>
              <a:solidFill>
                <a:schemeClr val="accent3">
                  <a:lumMod val="75000"/>
                </a:schemeClr>
              </a:solidFill>
            </c:spPr>
          </c:dPt>
          <c:dPt>
            <c:idx val="2"/>
            <c:invertIfNegative val="0"/>
            <c:bubble3D val="0"/>
            <c:spPr>
              <a:solidFill>
                <a:schemeClr val="accent1">
                  <a:lumMod val="60000"/>
                  <a:lumOff val="40000"/>
                </a:schemeClr>
              </a:solidFill>
            </c:spPr>
          </c:dPt>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Latvija</c:v>
                </c:pt>
                <c:pt idx="1">
                  <c:v>Lietuva</c:v>
                </c:pt>
                <c:pt idx="2">
                  <c:v>Igaunija</c:v>
                </c:pt>
                <c:pt idx="3">
                  <c:v>ES-15</c:v>
                </c:pt>
              </c:strCache>
            </c:strRef>
          </c:cat>
          <c:val>
            <c:numRef>
              <c:f>Sheet1!$B$2:$E$2</c:f>
              <c:numCache>
                <c:formatCode>0.0</c:formatCode>
                <c:ptCount val="4"/>
                <c:pt idx="0">
                  <c:v>8.2000000000000011</c:v>
                </c:pt>
                <c:pt idx="1">
                  <c:v>8.9</c:v>
                </c:pt>
                <c:pt idx="2">
                  <c:v>8.6</c:v>
                </c:pt>
                <c:pt idx="3">
                  <c:v>17.3</c:v>
                </c:pt>
              </c:numCache>
            </c:numRef>
          </c:val>
        </c:ser>
        <c:dLbls>
          <c:showLegendKey val="0"/>
          <c:showVal val="1"/>
          <c:showCatName val="0"/>
          <c:showSerName val="0"/>
          <c:showPercent val="0"/>
          <c:showBubbleSize val="0"/>
        </c:dLbls>
        <c:gapWidth val="50"/>
        <c:axId val="426462128"/>
        <c:axId val="426460168"/>
      </c:barChart>
      <c:catAx>
        <c:axId val="42646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b="1"/>
            </a:pPr>
            <a:endParaRPr lang="lv-LV"/>
          </a:p>
        </c:txPr>
        <c:crossAx val="426460168"/>
        <c:crosses val="autoZero"/>
        <c:auto val="1"/>
        <c:lblAlgn val="ctr"/>
        <c:lblOffset val="100"/>
        <c:noMultiLvlLbl val="0"/>
      </c:catAx>
      <c:valAx>
        <c:axId val="426460168"/>
        <c:scaling>
          <c:orientation val="minMax"/>
          <c:min val="0"/>
        </c:scaling>
        <c:delete val="1"/>
        <c:axPos val="l"/>
        <c:numFmt formatCode="#,##0" sourceLinked="0"/>
        <c:majorTickMark val="none"/>
        <c:minorTickMark val="none"/>
        <c:tickLblPos val="nextTo"/>
        <c:crossAx val="426462128"/>
        <c:crosses val="autoZero"/>
        <c:crossBetween val="between"/>
      </c:valAx>
      <c:spPr>
        <a:noFill/>
        <a:ln>
          <a:noFill/>
        </a:ln>
        <a:effectLst/>
      </c:spPr>
    </c:plotArea>
    <c:plotVisOnly val="1"/>
    <c:dispBlanksAs val="gap"/>
    <c:showDLblsOverMax val="0"/>
  </c:chart>
  <c:spPr>
    <a:noFill/>
    <a:ln>
      <a:noFill/>
    </a:ln>
    <a:effectLst/>
  </c:spPr>
  <c:txPr>
    <a:bodyPr/>
    <a:lstStyle/>
    <a:p>
      <a:pPr>
        <a:defRPr>
          <a:solidFill>
            <a:schemeClr val="tx1">
              <a:lumMod val="95000"/>
              <a:lumOff val="5000"/>
            </a:schemeClr>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20421907760684E-2"/>
          <c:y val="4.5088817822686839E-2"/>
          <c:w val="0.96379578092239315"/>
          <c:h val="0.70702808906565862"/>
        </c:manualLayout>
      </c:layout>
      <c:barChart>
        <c:barDir val="col"/>
        <c:grouping val="clustered"/>
        <c:varyColors val="0"/>
        <c:ser>
          <c:idx val="0"/>
          <c:order val="0"/>
          <c:tx>
            <c:strRef>
              <c:f>Sheet1!$A$2</c:f>
              <c:strCache>
                <c:ptCount val="1"/>
                <c:pt idx="0">
                  <c:v>Investīcijas apstrādes rūpniecībā</c:v>
                </c:pt>
              </c:strCache>
            </c:strRef>
          </c:tx>
          <c:invertIfNegative val="0"/>
          <c:dPt>
            <c:idx val="0"/>
            <c:invertIfNegative val="0"/>
            <c:bubble3D val="0"/>
            <c:spPr>
              <a:solidFill>
                <a:srgbClr val="C00000"/>
              </a:solidFill>
            </c:spPr>
          </c:dPt>
          <c:dPt>
            <c:idx val="1"/>
            <c:invertIfNegative val="0"/>
            <c:bubble3D val="0"/>
            <c:spPr>
              <a:solidFill>
                <a:schemeClr val="accent3">
                  <a:lumMod val="75000"/>
                </a:schemeClr>
              </a:solidFill>
            </c:spPr>
          </c:dPt>
          <c:dPt>
            <c:idx val="2"/>
            <c:invertIfNegative val="0"/>
            <c:bubble3D val="0"/>
            <c:spPr>
              <a:solidFill>
                <a:schemeClr val="accent1">
                  <a:lumMod val="60000"/>
                  <a:lumOff val="40000"/>
                </a:schemeClr>
              </a:solidFill>
            </c:spPr>
          </c:dPt>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Latvija</c:v>
                </c:pt>
                <c:pt idx="1">
                  <c:v>Lietuva</c:v>
                </c:pt>
                <c:pt idx="2">
                  <c:v>Igaunija</c:v>
                </c:pt>
                <c:pt idx="3">
                  <c:v>ES-15</c:v>
                </c:pt>
              </c:strCache>
            </c:strRef>
          </c:cat>
          <c:val>
            <c:numRef>
              <c:f>Sheet1!$B$2:$E$2</c:f>
              <c:numCache>
                <c:formatCode>General</c:formatCode>
                <c:ptCount val="4"/>
                <c:pt idx="0">
                  <c:v>0.6000000000000002</c:v>
                </c:pt>
                <c:pt idx="1">
                  <c:v>1</c:v>
                </c:pt>
                <c:pt idx="2">
                  <c:v>1.6</c:v>
                </c:pt>
                <c:pt idx="3" formatCode="0.0">
                  <c:v>2.9</c:v>
                </c:pt>
              </c:numCache>
            </c:numRef>
          </c:val>
        </c:ser>
        <c:dLbls>
          <c:showLegendKey val="0"/>
          <c:showVal val="1"/>
          <c:showCatName val="0"/>
          <c:showSerName val="0"/>
          <c:showPercent val="0"/>
          <c:showBubbleSize val="0"/>
        </c:dLbls>
        <c:gapWidth val="50"/>
        <c:axId val="421343528"/>
        <c:axId val="421343136"/>
      </c:barChart>
      <c:catAx>
        <c:axId val="421343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b="1"/>
            </a:pPr>
            <a:endParaRPr lang="lv-LV"/>
          </a:p>
        </c:txPr>
        <c:crossAx val="421343136"/>
        <c:crosses val="autoZero"/>
        <c:auto val="1"/>
        <c:lblAlgn val="ctr"/>
        <c:lblOffset val="100"/>
        <c:noMultiLvlLbl val="0"/>
      </c:catAx>
      <c:valAx>
        <c:axId val="421343136"/>
        <c:scaling>
          <c:orientation val="minMax"/>
        </c:scaling>
        <c:delete val="1"/>
        <c:axPos val="l"/>
        <c:numFmt formatCode="#,##0.0" sourceLinked="0"/>
        <c:majorTickMark val="none"/>
        <c:minorTickMark val="none"/>
        <c:tickLblPos val="nextTo"/>
        <c:crossAx val="421343528"/>
        <c:crosses val="autoZero"/>
        <c:crossBetween val="between"/>
      </c:valAx>
      <c:spPr>
        <a:noFill/>
        <a:ln>
          <a:noFill/>
        </a:ln>
        <a:effectLst/>
      </c:spPr>
    </c:plotArea>
    <c:plotVisOnly val="1"/>
    <c:dispBlanksAs val="gap"/>
    <c:showDLblsOverMax val="0"/>
  </c:chart>
  <c:spPr>
    <a:noFill/>
    <a:ln>
      <a:noFill/>
    </a:ln>
    <a:effectLst/>
  </c:spPr>
  <c:txPr>
    <a:bodyPr/>
    <a:lstStyle/>
    <a:p>
      <a:pPr>
        <a:defRPr>
          <a:solidFill>
            <a:schemeClr val="tx1">
              <a:lumMod val="95000"/>
              <a:lumOff val="5000"/>
            </a:schemeClr>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58114610673666"/>
          <c:y val="3.9317220764071154E-2"/>
          <c:w val="0.85975218722659663"/>
          <c:h val="0.86829396325459318"/>
        </c:manualLayout>
      </c:layout>
      <c:barChart>
        <c:barDir val="col"/>
        <c:grouping val="clustered"/>
        <c:varyColors val="0"/>
        <c:ser>
          <c:idx val="0"/>
          <c:order val="0"/>
          <c:tx>
            <c:strRef>
              <c:f>Sheet1!$A$3</c:f>
              <c:strCache>
                <c:ptCount val="1"/>
                <c:pt idx="0">
                  <c:v>Investīcijas pamatlīdzekļos</c:v>
                </c:pt>
              </c:strCache>
            </c:strRef>
          </c:tx>
          <c:spPr>
            <a:solidFill>
              <a:schemeClr val="accent1"/>
            </a:solidFill>
            <a:ln>
              <a:noFill/>
            </a:ln>
            <a:effectLst/>
          </c:spPr>
          <c:invertIfNegative val="0"/>
          <c:cat>
            <c:strRef>
              <c:f>Sheet1!$B$1:$M$2</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Sheet1!$B$3:$M$3</c:f>
              <c:numCache>
                <c:formatCode>#,##0.00</c:formatCode>
                <c:ptCount val="12"/>
                <c:pt idx="0">
                  <c:v>3371.6</c:v>
                </c:pt>
                <c:pt idx="1">
                  <c:v>4292.3</c:v>
                </c:pt>
                <c:pt idx="2">
                  <c:v>5896.8</c:v>
                </c:pt>
                <c:pt idx="3">
                  <c:v>8253.7000000000007</c:v>
                </c:pt>
                <c:pt idx="4">
                  <c:v>7805.8</c:v>
                </c:pt>
                <c:pt idx="5">
                  <c:v>4226.3</c:v>
                </c:pt>
                <c:pt idx="6">
                  <c:v>3449.4</c:v>
                </c:pt>
                <c:pt idx="7">
                  <c:v>4480</c:v>
                </c:pt>
                <c:pt idx="8">
                  <c:v>5595.1</c:v>
                </c:pt>
                <c:pt idx="9">
                  <c:v>5300.9</c:v>
                </c:pt>
                <c:pt idx="10">
                  <c:v>5337.3</c:v>
                </c:pt>
                <c:pt idx="11">
                  <c:v>5496.8</c:v>
                </c:pt>
              </c:numCache>
            </c:numRef>
          </c:val>
        </c:ser>
        <c:ser>
          <c:idx val="1"/>
          <c:order val="1"/>
          <c:tx>
            <c:strRef>
              <c:f>Sheet1!$A$4</c:f>
              <c:strCache>
                <c:ptCount val="1"/>
                <c:pt idx="0">
                  <c:v>Investīcijas intelektuālā īpašuma produktos</c:v>
                </c:pt>
              </c:strCache>
            </c:strRef>
          </c:tx>
          <c:spPr>
            <a:solidFill>
              <a:schemeClr val="accent2"/>
            </a:solidFill>
            <a:ln>
              <a:noFill/>
            </a:ln>
            <a:effectLst/>
          </c:spPr>
          <c:invertIfNegative val="0"/>
          <c:cat>
            <c:strRef>
              <c:f>Sheet1!$B$1:$M$2</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Sheet1!$B$4:$M$4</c:f>
              <c:numCache>
                <c:formatCode>General</c:formatCode>
                <c:ptCount val="12"/>
                <c:pt idx="0">
                  <c:v>217</c:v>
                </c:pt>
                <c:pt idx="1">
                  <c:v>246.9</c:v>
                </c:pt>
                <c:pt idx="2">
                  <c:v>294.39999999999998</c:v>
                </c:pt>
                <c:pt idx="3">
                  <c:v>298.39999999999998</c:v>
                </c:pt>
                <c:pt idx="4">
                  <c:v>304.10000000000002</c:v>
                </c:pt>
                <c:pt idx="5">
                  <c:v>284.60000000000002</c:v>
                </c:pt>
                <c:pt idx="6">
                  <c:v>281.10000000000002</c:v>
                </c:pt>
                <c:pt idx="7">
                  <c:v>322.39999999999998</c:v>
                </c:pt>
                <c:pt idx="8">
                  <c:v>325.89999999999998</c:v>
                </c:pt>
                <c:pt idx="9">
                  <c:v>421.6</c:v>
                </c:pt>
                <c:pt idx="10">
                  <c:v>403.4</c:v>
                </c:pt>
                <c:pt idx="11">
                  <c:v>493.2</c:v>
                </c:pt>
              </c:numCache>
            </c:numRef>
          </c:val>
        </c:ser>
        <c:dLbls>
          <c:showLegendKey val="0"/>
          <c:showVal val="0"/>
          <c:showCatName val="0"/>
          <c:showSerName val="0"/>
          <c:showPercent val="0"/>
          <c:showBubbleSize val="0"/>
        </c:dLbls>
        <c:gapWidth val="50"/>
        <c:overlap val="-27"/>
        <c:axId val="421344704"/>
        <c:axId val="310355784"/>
      </c:barChart>
      <c:catAx>
        <c:axId val="421344704"/>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10355784"/>
        <c:crosses val="autoZero"/>
        <c:auto val="1"/>
        <c:lblAlgn val="ctr"/>
        <c:lblOffset val="100"/>
        <c:noMultiLvlLbl val="0"/>
      </c:catAx>
      <c:valAx>
        <c:axId val="310355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21344704"/>
        <c:crosses val="autoZero"/>
        <c:crossBetween val="between"/>
        <c:majorUnit val="1000"/>
        <c:minorUnit val="500"/>
      </c:valAx>
      <c:spPr>
        <a:noFill/>
        <a:ln>
          <a:noFill/>
        </a:ln>
        <a:effectLst/>
      </c:spPr>
    </c:plotArea>
    <c:legend>
      <c:legendPos val="b"/>
      <c:layout>
        <c:manualLayout>
          <c:xMode val="edge"/>
          <c:yMode val="edge"/>
          <c:x val="0.12785783027121611"/>
          <c:y val="3.5878536016331293E-2"/>
          <c:w val="0.87214216972878389"/>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9FEB7-90CD-4010-938E-27AD72B6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20006</Words>
  <Characters>11404</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Strautmane</dc:creator>
  <cp:lastModifiedBy>Aneta Strautmane</cp:lastModifiedBy>
  <cp:revision>12</cp:revision>
  <cp:lastPrinted>2017-02-09T10:43:00Z</cp:lastPrinted>
  <dcterms:created xsi:type="dcterms:W3CDTF">2017-02-10T14:18:00Z</dcterms:created>
  <dcterms:modified xsi:type="dcterms:W3CDTF">2017-02-13T08:56:00Z</dcterms:modified>
</cp:coreProperties>
</file>