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F060" w14:textId="77777777" w:rsidR="001B5526" w:rsidRPr="006A3310" w:rsidRDefault="001B5526" w:rsidP="001B5526">
      <w:pPr>
        <w:spacing w:after="120"/>
        <w:ind w:firstLine="737"/>
        <w:jc w:val="center"/>
        <w:rPr>
          <w:rFonts w:ascii="Times New Roman" w:hAnsi="Times New Roman"/>
          <w:b/>
          <w:smallCaps/>
          <w:sz w:val="24"/>
          <w:szCs w:val="24"/>
        </w:rPr>
      </w:pPr>
      <w:r w:rsidRPr="006A3310">
        <w:rPr>
          <w:rFonts w:ascii="Times New Roman" w:hAnsi="Times New Roman"/>
          <w:b/>
          <w:smallCaps/>
          <w:sz w:val="24"/>
          <w:szCs w:val="24"/>
        </w:rPr>
        <w:t>Informatīvais ziņojums</w:t>
      </w:r>
    </w:p>
    <w:p w14:paraId="62DA898F" w14:textId="77777777" w:rsidR="001B5526" w:rsidRPr="006A3310" w:rsidRDefault="001B5526" w:rsidP="001B5526">
      <w:pPr>
        <w:spacing w:after="0"/>
        <w:jc w:val="center"/>
        <w:rPr>
          <w:rFonts w:ascii="Times New Roman" w:hAnsi="Times New Roman"/>
          <w:b/>
          <w:sz w:val="24"/>
          <w:szCs w:val="24"/>
        </w:rPr>
      </w:pPr>
      <w:r w:rsidRPr="006A3310">
        <w:rPr>
          <w:rFonts w:ascii="Times New Roman" w:hAnsi="Times New Roman"/>
          <w:b/>
          <w:sz w:val="24"/>
          <w:szCs w:val="24"/>
        </w:rPr>
        <w:t>par Eiropas Savienības Transporta, telekomunikāciju un enerģētikas</w:t>
      </w:r>
    </w:p>
    <w:p w14:paraId="74DC285C" w14:textId="77777777" w:rsidR="001B5526" w:rsidRPr="006A3310" w:rsidRDefault="001B5526" w:rsidP="001B5526">
      <w:pPr>
        <w:spacing w:after="0"/>
        <w:ind w:left="-142"/>
        <w:jc w:val="center"/>
        <w:rPr>
          <w:rFonts w:ascii="Times New Roman" w:hAnsi="Times New Roman"/>
          <w:b/>
          <w:sz w:val="24"/>
          <w:szCs w:val="24"/>
        </w:rPr>
      </w:pPr>
      <w:r>
        <w:rPr>
          <w:rFonts w:ascii="Times New Roman" w:hAnsi="Times New Roman"/>
          <w:b/>
          <w:sz w:val="24"/>
          <w:szCs w:val="24"/>
        </w:rPr>
        <w:t>ministru padomes 2017</w:t>
      </w:r>
      <w:r w:rsidRPr="006A3310">
        <w:rPr>
          <w:rFonts w:ascii="Times New Roman" w:hAnsi="Times New Roman"/>
          <w:b/>
          <w:sz w:val="24"/>
          <w:szCs w:val="24"/>
        </w:rPr>
        <w:t>.</w:t>
      </w:r>
      <w:r>
        <w:rPr>
          <w:rFonts w:ascii="Times New Roman" w:hAnsi="Times New Roman"/>
          <w:b/>
          <w:sz w:val="24"/>
          <w:szCs w:val="24"/>
        </w:rPr>
        <w:t xml:space="preserve"> gada 27</w:t>
      </w:r>
      <w:r w:rsidRPr="006A3310">
        <w:rPr>
          <w:rFonts w:ascii="Times New Roman" w:hAnsi="Times New Roman"/>
          <w:b/>
          <w:sz w:val="24"/>
          <w:szCs w:val="24"/>
        </w:rPr>
        <w:t>.</w:t>
      </w:r>
      <w:r>
        <w:rPr>
          <w:rFonts w:ascii="Times New Roman" w:hAnsi="Times New Roman"/>
          <w:b/>
          <w:sz w:val="24"/>
          <w:szCs w:val="24"/>
        </w:rPr>
        <w:t xml:space="preserve"> februāra</w:t>
      </w:r>
      <w:r w:rsidRPr="006A3310">
        <w:rPr>
          <w:rFonts w:ascii="Times New Roman" w:hAnsi="Times New Roman"/>
          <w:b/>
          <w:sz w:val="24"/>
          <w:szCs w:val="24"/>
        </w:rPr>
        <w:t xml:space="preserve"> sanāksmē izskatāmajiem jautājumiem</w:t>
      </w:r>
    </w:p>
    <w:p w14:paraId="3D054377" w14:textId="77777777" w:rsidR="00071480" w:rsidRDefault="00071480"/>
    <w:p w14:paraId="0DF9F165" w14:textId="77777777" w:rsidR="001B5526" w:rsidRPr="006A3310" w:rsidRDefault="001B5526" w:rsidP="006A4D51">
      <w:pPr>
        <w:spacing w:before="120" w:line="264" w:lineRule="auto"/>
        <w:ind w:firstLine="567"/>
        <w:jc w:val="center"/>
        <w:rPr>
          <w:rFonts w:ascii="Times New Roman" w:hAnsi="Times New Roman"/>
          <w:b/>
          <w:sz w:val="24"/>
          <w:szCs w:val="24"/>
        </w:rPr>
      </w:pPr>
      <w:r w:rsidRPr="006A3310">
        <w:rPr>
          <w:rFonts w:ascii="Times New Roman" w:hAnsi="Times New Roman"/>
          <w:b/>
          <w:sz w:val="24"/>
          <w:szCs w:val="24"/>
        </w:rPr>
        <w:t>I. Sanāksmē izskatāmie jautājumi</w:t>
      </w:r>
    </w:p>
    <w:p w14:paraId="48AE55E8" w14:textId="77777777" w:rsidR="001B5526" w:rsidRDefault="001B5526" w:rsidP="007A5D11">
      <w:pPr>
        <w:spacing w:before="120" w:after="120" w:line="252" w:lineRule="auto"/>
        <w:ind w:firstLine="567"/>
        <w:jc w:val="both"/>
        <w:rPr>
          <w:rFonts w:ascii="Times New Roman" w:hAnsi="Times New Roman"/>
          <w:sz w:val="24"/>
          <w:szCs w:val="24"/>
        </w:rPr>
      </w:pPr>
      <w:r>
        <w:rPr>
          <w:rFonts w:ascii="Times New Roman" w:hAnsi="Times New Roman"/>
          <w:sz w:val="24"/>
          <w:szCs w:val="24"/>
        </w:rPr>
        <w:t>2017. gada 27</w:t>
      </w:r>
      <w:r w:rsidRPr="000475D9">
        <w:rPr>
          <w:rFonts w:ascii="Times New Roman" w:hAnsi="Times New Roman"/>
          <w:sz w:val="24"/>
          <w:szCs w:val="24"/>
        </w:rPr>
        <w:t>.</w:t>
      </w:r>
      <w:r>
        <w:rPr>
          <w:rFonts w:ascii="Times New Roman" w:hAnsi="Times New Roman"/>
          <w:sz w:val="24"/>
          <w:szCs w:val="24"/>
        </w:rPr>
        <w:t xml:space="preserve"> februārī</w:t>
      </w:r>
      <w:r w:rsidRPr="000475D9">
        <w:rPr>
          <w:rFonts w:ascii="Times New Roman" w:hAnsi="Times New Roman"/>
          <w:sz w:val="24"/>
          <w:szCs w:val="24"/>
        </w:rPr>
        <w:t xml:space="preserve"> Briselē notiks Eiropas Savienības (turpmāk – ES) Transporta, telekomunikāciju un enerģētikas ministru padomes sanāksme. Sanāksmē tiks izskatīti šādi Ekonomikas ministrijas (turpmāk – EM) kompetencē esoši jautājumi:</w:t>
      </w:r>
    </w:p>
    <w:p w14:paraId="6322712F" w14:textId="77777777" w:rsidR="003267DE" w:rsidRPr="008B5FB8" w:rsidRDefault="0040236E" w:rsidP="007A5D11">
      <w:pPr>
        <w:spacing w:before="120" w:after="120" w:line="252" w:lineRule="auto"/>
        <w:ind w:firstLine="567"/>
        <w:jc w:val="both"/>
        <w:rPr>
          <w:rFonts w:ascii="Times New Roman" w:hAnsi="Times New Roman" w:cs="Times New Roman"/>
          <w:b/>
          <w:sz w:val="24"/>
          <w:szCs w:val="24"/>
        </w:rPr>
      </w:pPr>
      <w:r w:rsidRPr="008B5FB8">
        <w:rPr>
          <w:rFonts w:ascii="Times New Roman" w:hAnsi="Times New Roman"/>
          <w:b/>
          <w:sz w:val="24"/>
          <w:szCs w:val="24"/>
        </w:rPr>
        <w:t>1. </w:t>
      </w:r>
      <w:r w:rsidR="003267DE" w:rsidRPr="00217869">
        <w:rPr>
          <w:rFonts w:ascii="Times New Roman" w:hAnsi="Times New Roman" w:cs="Times New Roman"/>
          <w:b/>
          <w:sz w:val="24"/>
          <w:szCs w:val="24"/>
        </w:rPr>
        <w:t>Tīra</w:t>
      </w:r>
      <w:r w:rsidR="00DD5426" w:rsidRPr="00217869">
        <w:rPr>
          <w:rFonts w:ascii="Times New Roman" w:hAnsi="Times New Roman" w:cs="Times New Roman"/>
          <w:b/>
          <w:sz w:val="24"/>
          <w:szCs w:val="24"/>
        </w:rPr>
        <w:t>s</w:t>
      </w:r>
      <w:r w:rsidR="003267DE" w:rsidRPr="008B5FB8">
        <w:rPr>
          <w:rFonts w:ascii="Times New Roman" w:hAnsi="Times New Roman" w:cs="Times New Roman"/>
          <w:b/>
          <w:sz w:val="24"/>
          <w:szCs w:val="24"/>
        </w:rPr>
        <w:t xml:space="preserve"> </w:t>
      </w:r>
      <w:r w:rsidR="00DD5426" w:rsidRPr="008B5FB8">
        <w:rPr>
          <w:rFonts w:ascii="Times New Roman" w:hAnsi="Times New Roman" w:cs="Times New Roman"/>
          <w:b/>
          <w:sz w:val="24"/>
          <w:szCs w:val="24"/>
        </w:rPr>
        <w:t>enerģijas</w:t>
      </w:r>
      <w:r w:rsidR="003267DE" w:rsidRPr="008B5FB8">
        <w:rPr>
          <w:rFonts w:ascii="Times New Roman" w:hAnsi="Times New Roman" w:cs="Times New Roman"/>
          <w:b/>
          <w:sz w:val="24"/>
          <w:szCs w:val="24"/>
        </w:rPr>
        <w:t xml:space="preserve"> </w:t>
      </w:r>
      <w:proofErr w:type="spellStart"/>
      <w:r w:rsidR="00DD5426" w:rsidRPr="008B5FB8">
        <w:rPr>
          <w:rFonts w:ascii="Times New Roman" w:hAnsi="Times New Roman" w:cs="Times New Roman"/>
          <w:b/>
          <w:sz w:val="24"/>
          <w:szCs w:val="24"/>
        </w:rPr>
        <w:t>pakotne</w:t>
      </w:r>
      <w:proofErr w:type="spellEnd"/>
      <w:r w:rsidR="003267DE" w:rsidRPr="008B5FB8">
        <w:rPr>
          <w:rFonts w:ascii="Times New Roman" w:hAnsi="Times New Roman" w:cs="Times New Roman"/>
          <w:b/>
          <w:sz w:val="24"/>
          <w:szCs w:val="24"/>
        </w:rPr>
        <w:t xml:space="preserve"> (pirmais lasījums)</w:t>
      </w:r>
    </w:p>
    <w:p w14:paraId="3B5CF1FD" w14:textId="77777777" w:rsidR="0047229E" w:rsidRPr="00217869" w:rsidRDefault="0028246A" w:rsidP="007A5D11">
      <w:pPr>
        <w:spacing w:before="120" w:after="120" w:line="252" w:lineRule="auto"/>
        <w:ind w:firstLine="720"/>
        <w:jc w:val="both"/>
        <w:rPr>
          <w:rFonts w:ascii="Times New Roman" w:hAnsi="Times New Roman"/>
          <w:noProof/>
          <w:sz w:val="24"/>
          <w:szCs w:val="24"/>
        </w:rPr>
      </w:pPr>
      <w:r w:rsidRPr="008B5FB8">
        <w:rPr>
          <w:rFonts w:ascii="Times New Roman" w:hAnsi="Times New Roman"/>
          <w:sz w:val="24"/>
          <w:szCs w:val="24"/>
        </w:rPr>
        <w:t xml:space="preserve">Šajā jautājumā plānota </w:t>
      </w:r>
      <w:r w:rsidR="00A8129C" w:rsidRPr="00217869">
        <w:rPr>
          <w:rFonts w:ascii="Times New Roman" w:hAnsi="Times New Roman"/>
          <w:sz w:val="24"/>
          <w:szCs w:val="24"/>
        </w:rPr>
        <w:t xml:space="preserve">sākotnējā ES dalībvalstu </w:t>
      </w:r>
      <w:r w:rsidR="00A8129C" w:rsidRPr="008B5FB8">
        <w:rPr>
          <w:rFonts w:ascii="Times New Roman" w:hAnsi="Times New Roman"/>
          <w:sz w:val="24"/>
          <w:szCs w:val="24"/>
        </w:rPr>
        <w:t>enerģētikas ministru viedokļu apma</w:t>
      </w:r>
      <w:r w:rsidR="0047229E" w:rsidRPr="008B5FB8">
        <w:rPr>
          <w:rFonts w:ascii="Times New Roman" w:hAnsi="Times New Roman"/>
          <w:sz w:val="24"/>
          <w:szCs w:val="24"/>
        </w:rPr>
        <w:t xml:space="preserve">iņa par 2016. gada 30. novembrī </w:t>
      </w:r>
      <w:r w:rsidR="0047229E" w:rsidRPr="008B5FB8">
        <w:rPr>
          <w:rFonts w:ascii="Times New Roman" w:hAnsi="Times New Roman"/>
          <w:noProof/>
          <w:sz w:val="24"/>
          <w:szCs w:val="24"/>
        </w:rPr>
        <w:t>Enerģētikas savienības stratēģijas</w:t>
      </w:r>
      <w:r w:rsidR="0047229E" w:rsidRPr="008B5FB8">
        <w:rPr>
          <w:rStyle w:val="FootnoteReference"/>
          <w:rFonts w:ascii="Times New Roman" w:hAnsi="Times New Roman"/>
          <w:noProof/>
          <w:sz w:val="24"/>
          <w:szCs w:val="24"/>
        </w:rPr>
        <w:footnoteReference w:id="1"/>
      </w:r>
      <w:r w:rsidR="0047229E" w:rsidRPr="008B5FB8">
        <w:rPr>
          <w:rFonts w:ascii="Times New Roman" w:hAnsi="Times New Roman"/>
          <w:noProof/>
          <w:sz w:val="24"/>
          <w:szCs w:val="24"/>
        </w:rPr>
        <w:t xml:space="preserve"> ietvaros </w:t>
      </w:r>
      <w:r w:rsidR="0047229E">
        <w:rPr>
          <w:rFonts w:ascii="Times New Roman" w:hAnsi="Times New Roman"/>
          <w:noProof/>
          <w:sz w:val="24"/>
          <w:szCs w:val="24"/>
        </w:rPr>
        <w:t>Eiropas Komisijas</w:t>
      </w:r>
      <w:r w:rsidR="00714CF5">
        <w:rPr>
          <w:rFonts w:ascii="Times New Roman" w:hAnsi="Times New Roman"/>
          <w:noProof/>
          <w:sz w:val="24"/>
          <w:szCs w:val="24"/>
        </w:rPr>
        <w:t xml:space="preserve"> (turpmāk  - EK) </w:t>
      </w:r>
      <w:r w:rsidR="0047229E">
        <w:rPr>
          <w:rFonts w:ascii="Times New Roman" w:hAnsi="Times New Roman"/>
          <w:noProof/>
          <w:sz w:val="24"/>
          <w:szCs w:val="24"/>
        </w:rPr>
        <w:t xml:space="preserve">publicēto ES dokumentu projektu pakotni </w:t>
      </w:r>
      <w:r w:rsidR="0047229E" w:rsidRPr="008B5FB8">
        <w:rPr>
          <w:rFonts w:ascii="Times New Roman" w:hAnsi="Times New Roman"/>
          <w:noProof/>
          <w:sz w:val="24"/>
          <w:szCs w:val="24"/>
        </w:rPr>
        <w:t>“Tīra enerģija visiem Eiropas iedzīvotājiem – Eiropas izaugsmes potenciāla realizēšana”</w:t>
      </w:r>
      <w:r w:rsidR="00CA0F24">
        <w:rPr>
          <w:rFonts w:ascii="Times New Roman" w:hAnsi="Times New Roman"/>
          <w:noProof/>
          <w:sz w:val="24"/>
          <w:szCs w:val="24"/>
        </w:rPr>
        <w:t xml:space="preserve"> (turpmāk – Tīras enerģijas pakotne)</w:t>
      </w:r>
      <w:r w:rsidR="0047229E" w:rsidRPr="008B5FB8">
        <w:rPr>
          <w:rFonts w:ascii="Times New Roman" w:hAnsi="Times New Roman"/>
          <w:noProof/>
          <w:sz w:val="24"/>
          <w:szCs w:val="24"/>
        </w:rPr>
        <w:t>.</w:t>
      </w:r>
    </w:p>
    <w:p w14:paraId="77BC4F8C" w14:textId="02673DA2" w:rsidR="001C5757" w:rsidRDefault="00CA0F24" w:rsidP="007A5D11">
      <w:pPr>
        <w:spacing w:before="120" w:after="120" w:line="252" w:lineRule="auto"/>
        <w:ind w:firstLine="720"/>
        <w:jc w:val="both"/>
        <w:rPr>
          <w:rFonts w:ascii="Times New Roman" w:hAnsi="Times New Roman"/>
          <w:noProof/>
          <w:sz w:val="24"/>
          <w:szCs w:val="24"/>
        </w:rPr>
      </w:pPr>
      <w:r>
        <w:rPr>
          <w:rFonts w:ascii="Times New Roman" w:hAnsi="Times New Roman"/>
          <w:noProof/>
          <w:sz w:val="24"/>
          <w:szCs w:val="24"/>
        </w:rPr>
        <w:t xml:space="preserve">Tīras enerģijas pakotne ietver </w:t>
      </w:r>
      <w:r w:rsidR="00406834">
        <w:rPr>
          <w:rFonts w:ascii="Times New Roman" w:hAnsi="Times New Roman"/>
          <w:noProof/>
          <w:sz w:val="24"/>
          <w:szCs w:val="24"/>
        </w:rPr>
        <w:t xml:space="preserve">sekojošus ES tiesību aktu priekšlikumus: </w:t>
      </w:r>
      <w:r w:rsidR="00406834" w:rsidRPr="008B5FB8">
        <w:rPr>
          <w:rFonts w:ascii="Times New Roman" w:hAnsi="Times New Roman"/>
          <w:noProof/>
          <w:sz w:val="24"/>
          <w:szCs w:val="24"/>
        </w:rPr>
        <w:t>a) </w:t>
      </w:r>
      <w:r w:rsidR="00086809" w:rsidRPr="008B5FB8">
        <w:rPr>
          <w:rFonts w:ascii="Times New Roman" w:hAnsi="Times New Roman"/>
          <w:noProof/>
          <w:sz w:val="24"/>
          <w:szCs w:val="24"/>
        </w:rPr>
        <w:t>Eiropas Parlamenta un Padomes regula</w:t>
      </w:r>
      <w:r w:rsidR="00F74342" w:rsidRPr="008B5FB8">
        <w:rPr>
          <w:rFonts w:ascii="Times New Roman" w:hAnsi="Times New Roman"/>
          <w:noProof/>
          <w:sz w:val="24"/>
          <w:szCs w:val="24"/>
        </w:rPr>
        <w:t xml:space="preserve"> par elektroenerģijas iekšējo tirgu</w:t>
      </w:r>
      <w:r w:rsidR="00D2175A">
        <w:rPr>
          <w:rStyle w:val="FootnoteReference"/>
          <w:rFonts w:ascii="Times New Roman" w:hAnsi="Times New Roman"/>
          <w:noProof/>
          <w:sz w:val="24"/>
          <w:szCs w:val="24"/>
        </w:rPr>
        <w:footnoteReference w:id="2"/>
      </w:r>
      <w:r w:rsidR="00406834" w:rsidRPr="008B5FB8">
        <w:rPr>
          <w:rFonts w:ascii="Times New Roman" w:hAnsi="Times New Roman"/>
          <w:noProof/>
          <w:sz w:val="24"/>
          <w:szCs w:val="24"/>
        </w:rPr>
        <w:t>; b) </w:t>
      </w:r>
      <w:r w:rsidR="003267DE" w:rsidRPr="008B5FB8">
        <w:rPr>
          <w:rFonts w:ascii="Times New Roman" w:hAnsi="Times New Roman"/>
          <w:noProof/>
          <w:sz w:val="24"/>
          <w:szCs w:val="24"/>
        </w:rPr>
        <w:t>Eiropas Parlamenta un Padomes Direktīva par kopīgiem noteikumiem attiecībā uz elektroenerģijas iekšējo tirgu</w:t>
      </w:r>
      <w:r w:rsidR="005F6319">
        <w:rPr>
          <w:rStyle w:val="FootnoteReference"/>
          <w:rFonts w:ascii="Times New Roman" w:hAnsi="Times New Roman"/>
          <w:noProof/>
          <w:sz w:val="24"/>
          <w:szCs w:val="24"/>
        </w:rPr>
        <w:footnoteReference w:id="3"/>
      </w:r>
      <w:r w:rsidR="00406834" w:rsidRPr="008B5FB8">
        <w:rPr>
          <w:rFonts w:ascii="Times New Roman" w:hAnsi="Times New Roman"/>
          <w:noProof/>
          <w:sz w:val="24"/>
          <w:szCs w:val="24"/>
        </w:rPr>
        <w:t xml:space="preserve">; </w:t>
      </w:r>
      <w:r w:rsidR="00406834" w:rsidRPr="00FD0EEB">
        <w:rPr>
          <w:rFonts w:ascii="Times New Roman" w:hAnsi="Times New Roman"/>
          <w:noProof/>
          <w:sz w:val="24"/>
          <w:szCs w:val="24"/>
        </w:rPr>
        <w:t>c) </w:t>
      </w:r>
      <w:r w:rsidR="00086809" w:rsidRPr="00FD0EEB">
        <w:rPr>
          <w:rFonts w:ascii="Times New Roman" w:hAnsi="Times New Roman"/>
          <w:noProof/>
          <w:sz w:val="24"/>
          <w:szCs w:val="24"/>
        </w:rPr>
        <w:t>Eiropas</w:t>
      </w:r>
      <w:r w:rsidR="00F74342" w:rsidRPr="00FD0EEB">
        <w:rPr>
          <w:rFonts w:ascii="Times New Roman" w:hAnsi="Times New Roman"/>
          <w:noProof/>
          <w:sz w:val="24"/>
          <w:szCs w:val="24"/>
        </w:rPr>
        <w:t xml:space="preserve"> </w:t>
      </w:r>
      <w:r w:rsidR="00086809" w:rsidRPr="00FD0EEB">
        <w:rPr>
          <w:rFonts w:ascii="Times New Roman" w:hAnsi="Times New Roman"/>
          <w:noProof/>
          <w:sz w:val="24"/>
          <w:szCs w:val="24"/>
        </w:rPr>
        <w:t>Parlamenta</w:t>
      </w:r>
      <w:r w:rsidR="00F74342" w:rsidRPr="00FD0EEB">
        <w:rPr>
          <w:rFonts w:ascii="Times New Roman" w:hAnsi="Times New Roman"/>
          <w:noProof/>
          <w:sz w:val="24"/>
          <w:szCs w:val="24"/>
        </w:rPr>
        <w:t xml:space="preserve"> </w:t>
      </w:r>
      <w:r w:rsidR="00086809" w:rsidRPr="00FD0EEB">
        <w:rPr>
          <w:rFonts w:ascii="Times New Roman" w:hAnsi="Times New Roman"/>
          <w:noProof/>
          <w:sz w:val="24"/>
          <w:szCs w:val="24"/>
        </w:rPr>
        <w:t>un Padomes regula</w:t>
      </w:r>
      <w:r w:rsidR="00F74342" w:rsidRPr="00FD0EEB">
        <w:rPr>
          <w:rFonts w:ascii="Times New Roman" w:hAnsi="Times New Roman"/>
          <w:noProof/>
          <w:sz w:val="24"/>
          <w:szCs w:val="24"/>
        </w:rPr>
        <w:t xml:space="preserve"> par riskgatavību elektroenerģijas sektorā un ar ko atceļ Direktīvu 2005/89/EK</w:t>
      </w:r>
      <w:r w:rsidR="00395C41" w:rsidRPr="00FD0EEB">
        <w:rPr>
          <w:rStyle w:val="FootnoteReference"/>
          <w:rFonts w:ascii="Times New Roman" w:hAnsi="Times New Roman"/>
          <w:noProof/>
          <w:sz w:val="24"/>
          <w:szCs w:val="24"/>
        </w:rPr>
        <w:footnoteReference w:id="4"/>
      </w:r>
      <w:r w:rsidR="00406834" w:rsidRPr="00FD0EEB">
        <w:rPr>
          <w:rFonts w:ascii="Times New Roman" w:hAnsi="Times New Roman"/>
          <w:noProof/>
          <w:sz w:val="24"/>
          <w:szCs w:val="24"/>
        </w:rPr>
        <w:t>; d) </w:t>
      </w:r>
      <w:r w:rsidR="00086809" w:rsidRPr="00FD0EEB">
        <w:rPr>
          <w:rFonts w:ascii="Times New Roman" w:hAnsi="Times New Roman"/>
          <w:noProof/>
          <w:sz w:val="24"/>
          <w:szCs w:val="24"/>
        </w:rPr>
        <w:t>Eiropas Parlamenta un Padomes regula</w:t>
      </w:r>
      <w:r w:rsidR="00F74342" w:rsidRPr="00FD0EEB">
        <w:rPr>
          <w:rFonts w:ascii="Times New Roman" w:hAnsi="Times New Roman"/>
          <w:noProof/>
          <w:sz w:val="24"/>
          <w:szCs w:val="24"/>
        </w:rPr>
        <w:t>, ar ko izveido Eiropas Savienības Energoregulatoru sadarbības aģentūru</w:t>
      </w:r>
      <w:r w:rsidR="00501CEA" w:rsidRPr="00FD0EEB">
        <w:rPr>
          <w:rStyle w:val="FootnoteReference"/>
          <w:rFonts w:ascii="Times New Roman" w:hAnsi="Times New Roman"/>
          <w:noProof/>
          <w:sz w:val="24"/>
          <w:szCs w:val="24"/>
        </w:rPr>
        <w:footnoteReference w:id="5"/>
      </w:r>
      <w:r w:rsidR="00406834" w:rsidRPr="00FD0EEB">
        <w:rPr>
          <w:rFonts w:ascii="Times New Roman" w:hAnsi="Times New Roman"/>
          <w:noProof/>
          <w:sz w:val="24"/>
          <w:szCs w:val="24"/>
        </w:rPr>
        <w:t>; e) </w:t>
      </w:r>
      <w:r w:rsidR="00DC482F" w:rsidRPr="00FD0EEB">
        <w:rPr>
          <w:rFonts w:ascii="Times New Roman" w:hAnsi="Times New Roman"/>
          <w:noProof/>
          <w:sz w:val="24"/>
          <w:szCs w:val="24"/>
        </w:rPr>
        <w:t>Eiropas Parlamenta un Padomes Direktīva par atjaunojamo enerģijas avotu izmantošanas veicināšanu</w:t>
      </w:r>
      <w:r w:rsidR="00075C2A" w:rsidRPr="00FD0EEB">
        <w:rPr>
          <w:rStyle w:val="FootnoteReference"/>
          <w:rFonts w:ascii="Times New Roman" w:hAnsi="Times New Roman"/>
          <w:noProof/>
          <w:sz w:val="24"/>
          <w:szCs w:val="24"/>
        </w:rPr>
        <w:footnoteReference w:id="6"/>
      </w:r>
      <w:r w:rsidR="00406834" w:rsidRPr="00FD0EEB">
        <w:rPr>
          <w:rFonts w:ascii="Times New Roman" w:hAnsi="Times New Roman"/>
          <w:noProof/>
          <w:sz w:val="24"/>
          <w:szCs w:val="24"/>
        </w:rPr>
        <w:t>; f) </w:t>
      </w:r>
      <w:r w:rsidR="00086809" w:rsidRPr="00FD0EEB">
        <w:rPr>
          <w:rFonts w:ascii="Times New Roman" w:hAnsi="Times New Roman"/>
          <w:noProof/>
          <w:sz w:val="24"/>
          <w:szCs w:val="24"/>
        </w:rPr>
        <w:t>Eiropas Parlamenta un Padomes direktīva</w:t>
      </w:r>
      <w:r w:rsidR="0094526A" w:rsidRPr="00FD0EEB">
        <w:rPr>
          <w:rFonts w:ascii="Times New Roman" w:hAnsi="Times New Roman"/>
          <w:noProof/>
          <w:sz w:val="24"/>
          <w:szCs w:val="24"/>
        </w:rPr>
        <w:t>, ar ko groza Direktīvu 2012/27/ES par energoefektivitāti</w:t>
      </w:r>
      <w:r w:rsidR="00526C59" w:rsidRPr="00FD0EEB">
        <w:rPr>
          <w:rStyle w:val="FootnoteReference"/>
          <w:rFonts w:ascii="Times New Roman" w:hAnsi="Times New Roman"/>
          <w:noProof/>
          <w:sz w:val="24"/>
          <w:szCs w:val="24"/>
        </w:rPr>
        <w:footnoteReference w:id="7"/>
      </w:r>
      <w:r w:rsidR="00406834" w:rsidRPr="00FD0EEB">
        <w:rPr>
          <w:rFonts w:ascii="Times New Roman" w:hAnsi="Times New Roman"/>
          <w:noProof/>
          <w:sz w:val="24"/>
          <w:szCs w:val="24"/>
        </w:rPr>
        <w:t xml:space="preserve">; g) </w:t>
      </w:r>
      <w:r w:rsidR="00086809" w:rsidRPr="00FD0EEB">
        <w:rPr>
          <w:rFonts w:ascii="Times New Roman" w:hAnsi="Times New Roman"/>
          <w:noProof/>
          <w:sz w:val="24"/>
          <w:szCs w:val="24"/>
        </w:rPr>
        <w:t>Eiropas Parlamenta un Padomes direktīva</w:t>
      </w:r>
      <w:r w:rsidR="0094526A" w:rsidRPr="00FD0EEB">
        <w:rPr>
          <w:rFonts w:ascii="Times New Roman" w:hAnsi="Times New Roman"/>
          <w:noProof/>
          <w:sz w:val="24"/>
          <w:szCs w:val="24"/>
        </w:rPr>
        <w:t>, ar ko groza Direktīvu 2010/31/ES par ēku energoefektivitāti</w:t>
      </w:r>
      <w:r w:rsidR="00E2476C" w:rsidRPr="00FD0EEB">
        <w:rPr>
          <w:rStyle w:val="FootnoteReference"/>
          <w:rFonts w:ascii="Times New Roman" w:hAnsi="Times New Roman"/>
          <w:noProof/>
          <w:sz w:val="24"/>
          <w:szCs w:val="24"/>
        </w:rPr>
        <w:footnoteReference w:id="8"/>
      </w:r>
      <w:r w:rsidR="00406834" w:rsidRPr="00FD0EEB">
        <w:rPr>
          <w:rFonts w:ascii="Times New Roman" w:hAnsi="Times New Roman"/>
          <w:noProof/>
          <w:sz w:val="24"/>
          <w:szCs w:val="24"/>
        </w:rPr>
        <w:t xml:space="preserve">; h) </w:t>
      </w:r>
      <w:r w:rsidR="00086809" w:rsidRPr="00FD0EEB">
        <w:rPr>
          <w:rFonts w:ascii="Times New Roman" w:hAnsi="Times New Roman"/>
          <w:noProof/>
          <w:sz w:val="24"/>
          <w:szCs w:val="24"/>
        </w:rPr>
        <w:t xml:space="preserve">Eiropas Parlamenta un Padomes regula </w:t>
      </w:r>
      <w:r w:rsidR="0094526A" w:rsidRPr="00FD0EEB">
        <w:rPr>
          <w:rFonts w:ascii="Times New Roman" w:hAnsi="Times New Roman"/>
          <w:noProof/>
          <w:sz w:val="24"/>
          <w:szCs w:val="24"/>
        </w:rPr>
        <w:t>par Enerģētikas savienības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w:t>
      </w:r>
      <w:r w:rsidR="00A644D0" w:rsidRPr="00FD0EEB">
        <w:rPr>
          <w:rStyle w:val="FootnoteReference"/>
          <w:rFonts w:ascii="Times New Roman" w:hAnsi="Times New Roman"/>
          <w:noProof/>
          <w:sz w:val="24"/>
          <w:szCs w:val="24"/>
        </w:rPr>
        <w:footnoteReference w:id="9"/>
      </w:r>
      <w:r w:rsidR="006402C5" w:rsidRPr="00FD0EEB">
        <w:rPr>
          <w:rFonts w:ascii="Times New Roman" w:hAnsi="Times New Roman"/>
          <w:noProof/>
          <w:sz w:val="24"/>
          <w:szCs w:val="24"/>
        </w:rPr>
        <w:t>.</w:t>
      </w:r>
    </w:p>
    <w:p w14:paraId="0E44A97F" w14:textId="77777777" w:rsidR="006402C5" w:rsidRDefault="006402C5" w:rsidP="007A5D11">
      <w:pPr>
        <w:spacing w:before="120" w:after="120" w:line="252" w:lineRule="auto"/>
        <w:ind w:firstLine="720"/>
        <w:jc w:val="both"/>
        <w:rPr>
          <w:rFonts w:ascii="Times New Roman" w:hAnsi="Times New Roman"/>
          <w:noProof/>
          <w:sz w:val="24"/>
          <w:szCs w:val="24"/>
        </w:rPr>
      </w:pPr>
      <w:r>
        <w:rPr>
          <w:rFonts w:ascii="Times New Roman" w:hAnsi="Times New Roman"/>
          <w:noProof/>
          <w:sz w:val="24"/>
          <w:szCs w:val="24"/>
        </w:rPr>
        <w:t xml:space="preserve">Šobrīd EM izstrādā un skaņo ar līdzatbildīgajām pusēm nacionālās pozīcijas attiecībā uz </w:t>
      </w:r>
      <w:r w:rsidR="000529D1">
        <w:rPr>
          <w:rFonts w:ascii="Times New Roman" w:hAnsi="Times New Roman"/>
          <w:noProof/>
          <w:sz w:val="24"/>
          <w:szCs w:val="24"/>
        </w:rPr>
        <w:t>Tīras enerģijas pakotnē ietvertajiem</w:t>
      </w:r>
      <w:r w:rsidR="005F1B3C">
        <w:rPr>
          <w:rFonts w:ascii="Times New Roman" w:hAnsi="Times New Roman"/>
          <w:noProof/>
          <w:sz w:val="24"/>
          <w:szCs w:val="24"/>
        </w:rPr>
        <w:t xml:space="preserve"> ES tiesību aktu priekšlikumiem. </w:t>
      </w:r>
      <w:r w:rsidR="0040236E">
        <w:rPr>
          <w:rFonts w:ascii="Times New Roman" w:hAnsi="Times New Roman"/>
          <w:noProof/>
          <w:sz w:val="24"/>
          <w:szCs w:val="24"/>
        </w:rPr>
        <w:t xml:space="preserve">Vienlaikus, </w:t>
      </w:r>
      <w:r w:rsidR="00B24FCB">
        <w:rPr>
          <w:rFonts w:ascii="Times New Roman" w:hAnsi="Times New Roman"/>
          <w:noProof/>
          <w:sz w:val="24"/>
          <w:szCs w:val="24"/>
        </w:rPr>
        <w:t>zemāk ir atspoguļotas būtiskākās Latvijas nostādnes gaidāmajā ES enerģētikas ministru diskusijā.</w:t>
      </w:r>
    </w:p>
    <w:p w14:paraId="7B271585" w14:textId="77777777" w:rsidR="0046233C" w:rsidRDefault="00C9071D" w:rsidP="007A5D11">
      <w:pPr>
        <w:spacing w:before="120" w:after="120" w:line="252" w:lineRule="auto"/>
        <w:ind w:firstLine="720"/>
        <w:jc w:val="both"/>
        <w:rPr>
          <w:rFonts w:ascii="Times New Roman" w:hAnsi="Times New Roman"/>
          <w:noProof/>
          <w:sz w:val="24"/>
          <w:szCs w:val="24"/>
        </w:rPr>
      </w:pPr>
      <w:r>
        <w:rPr>
          <w:rFonts w:ascii="Times New Roman" w:hAnsi="Times New Roman"/>
          <w:noProof/>
          <w:sz w:val="24"/>
          <w:szCs w:val="24"/>
        </w:rPr>
        <w:t xml:space="preserve">Gatavojoties ES enerģētikas ministru diskusijai, </w:t>
      </w:r>
      <w:r w:rsidR="004D0BD6">
        <w:rPr>
          <w:rFonts w:ascii="Times New Roman" w:hAnsi="Times New Roman"/>
          <w:noProof/>
          <w:sz w:val="24"/>
          <w:szCs w:val="24"/>
        </w:rPr>
        <w:t xml:space="preserve">prezidējošā valsts ES Padomē (Malta) ir sagatavojusi </w:t>
      </w:r>
      <w:r w:rsidR="00892683">
        <w:rPr>
          <w:rFonts w:ascii="Times New Roman" w:hAnsi="Times New Roman"/>
          <w:noProof/>
          <w:sz w:val="24"/>
          <w:szCs w:val="24"/>
        </w:rPr>
        <w:t>diskusiju dokumentu</w:t>
      </w:r>
      <w:r w:rsidR="00892683">
        <w:rPr>
          <w:rStyle w:val="FootnoteReference"/>
          <w:rFonts w:ascii="Times New Roman" w:hAnsi="Times New Roman"/>
          <w:noProof/>
          <w:sz w:val="24"/>
          <w:szCs w:val="24"/>
        </w:rPr>
        <w:footnoteReference w:id="10"/>
      </w:r>
      <w:r w:rsidR="00892683">
        <w:rPr>
          <w:rFonts w:ascii="Times New Roman" w:hAnsi="Times New Roman"/>
          <w:noProof/>
          <w:sz w:val="24"/>
          <w:szCs w:val="24"/>
        </w:rPr>
        <w:t xml:space="preserve">, kurā </w:t>
      </w:r>
      <w:r w:rsidR="004952B9">
        <w:rPr>
          <w:rFonts w:ascii="Times New Roman" w:hAnsi="Times New Roman"/>
          <w:noProof/>
          <w:sz w:val="24"/>
          <w:szCs w:val="24"/>
        </w:rPr>
        <w:t>cita starpā</w:t>
      </w:r>
      <w:r w:rsidR="00F52220">
        <w:rPr>
          <w:rFonts w:ascii="Times New Roman" w:hAnsi="Times New Roman"/>
          <w:noProof/>
          <w:sz w:val="24"/>
          <w:szCs w:val="24"/>
        </w:rPr>
        <w:t xml:space="preserve"> aicina ministrus</w:t>
      </w:r>
      <w:r w:rsidR="00B15B11">
        <w:rPr>
          <w:rFonts w:ascii="Times New Roman" w:hAnsi="Times New Roman"/>
          <w:noProof/>
          <w:sz w:val="24"/>
          <w:szCs w:val="24"/>
        </w:rPr>
        <w:t xml:space="preserve"> sniegt redzējumu par iespēju vienoties par </w:t>
      </w:r>
      <w:r w:rsidR="00B15B11" w:rsidRPr="00217869">
        <w:rPr>
          <w:rFonts w:ascii="Times New Roman" w:hAnsi="Times New Roman"/>
          <w:noProof/>
          <w:sz w:val="24"/>
          <w:szCs w:val="24"/>
        </w:rPr>
        <w:t xml:space="preserve">pakotni līdz 2017. gada beigām, </w:t>
      </w:r>
      <w:r w:rsidR="00F80D9B" w:rsidRPr="00217869">
        <w:rPr>
          <w:rFonts w:ascii="Times New Roman" w:hAnsi="Times New Roman"/>
          <w:noProof/>
          <w:sz w:val="24"/>
          <w:szCs w:val="24"/>
        </w:rPr>
        <w:t xml:space="preserve">kā arī </w:t>
      </w:r>
      <w:r w:rsidR="0033070D" w:rsidRPr="00217869">
        <w:rPr>
          <w:rFonts w:ascii="Times New Roman" w:hAnsi="Times New Roman"/>
          <w:noProof/>
          <w:sz w:val="24"/>
          <w:szCs w:val="24"/>
        </w:rPr>
        <w:t>iespējamām</w:t>
      </w:r>
      <w:r w:rsidR="0033070D" w:rsidRPr="008B5FB8">
        <w:rPr>
          <w:rFonts w:ascii="Times New Roman" w:hAnsi="Times New Roman"/>
          <w:noProof/>
          <w:sz w:val="24"/>
          <w:szCs w:val="24"/>
        </w:rPr>
        <w:t>, t.sk. institucionālām</w:t>
      </w:r>
      <w:r w:rsidR="00F80D9B" w:rsidRPr="008B5FB8">
        <w:rPr>
          <w:rFonts w:ascii="Times New Roman" w:hAnsi="Times New Roman"/>
          <w:noProof/>
          <w:sz w:val="24"/>
          <w:szCs w:val="24"/>
        </w:rPr>
        <w:t>,</w:t>
      </w:r>
      <w:r w:rsidR="0033070D" w:rsidRPr="008B5FB8">
        <w:rPr>
          <w:rFonts w:ascii="Times New Roman" w:hAnsi="Times New Roman"/>
          <w:noProof/>
          <w:sz w:val="24"/>
          <w:szCs w:val="24"/>
        </w:rPr>
        <w:t xml:space="preserve"> sinerģijām</w:t>
      </w:r>
      <w:r w:rsidR="00D77118" w:rsidRPr="008B5FB8">
        <w:rPr>
          <w:rFonts w:ascii="Times New Roman" w:hAnsi="Times New Roman"/>
          <w:noProof/>
          <w:sz w:val="24"/>
          <w:szCs w:val="24"/>
        </w:rPr>
        <w:t>, un to</w:t>
      </w:r>
      <w:r w:rsidR="005473A2">
        <w:rPr>
          <w:rFonts w:ascii="Times New Roman" w:hAnsi="Times New Roman"/>
          <w:noProof/>
          <w:sz w:val="24"/>
          <w:szCs w:val="24"/>
        </w:rPr>
        <w:t>,</w:t>
      </w:r>
      <w:r w:rsidR="00D77118" w:rsidRPr="008B5FB8">
        <w:rPr>
          <w:rFonts w:ascii="Times New Roman" w:hAnsi="Times New Roman"/>
          <w:noProof/>
          <w:sz w:val="24"/>
          <w:szCs w:val="24"/>
        </w:rPr>
        <w:t xml:space="preserve"> kā vislabāk</w:t>
      </w:r>
      <w:r w:rsidR="008148D2" w:rsidRPr="008B5FB8">
        <w:rPr>
          <w:rFonts w:ascii="Times New Roman" w:hAnsi="Times New Roman"/>
          <w:noProof/>
          <w:sz w:val="24"/>
          <w:szCs w:val="24"/>
        </w:rPr>
        <w:t xml:space="preserve"> izmantot reģionālo sadarbību Enerģētikas savienības ietvaros.</w:t>
      </w:r>
    </w:p>
    <w:p w14:paraId="25718BD9" w14:textId="77777777" w:rsidR="005F1B3C" w:rsidRPr="00A758AC" w:rsidRDefault="005F1B3C" w:rsidP="007A5D11">
      <w:pPr>
        <w:spacing w:before="120" w:after="120" w:line="252" w:lineRule="auto"/>
        <w:ind w:firstLine="709"/>
        <w:jc w:val="both"/>
        <w:rPr>
          <w:rFonts w:ascii="Times New Roman" w:hAnsi="Times New Roman" w:cs="Times New Roman"/>
          <w:b/>
          <w:sz w:val="24"/>
          <w:szCs w:val="24"/>
          <w:u w:val="single"/>
        </w:rPr>
      </w:pPr>
      <w:r w:rsidRPr="00A758AC">
        <w:rPr>
          <w:rFonts w:ascii="Times New Roman" w:hAnsi="Times New Roman" w:cs="Times New Roman"/>
          <w:b/>
          <w:sz w:val="24"/>
          <w:szCs w:val="24"/>
          <w:u w:val="single"/>
        </w:rPr>
        <w:lastRenderedPageBreak/>
        <w:t>Latvijas nostāja:</w:t>
      </w:r>
    </w:p>
    <w:p w14:paraId="100ED97A" w14:textId="77777777" w:rsidR="007575D0" w:rsidRDefault="00DA10C9" w:rsidP="007A5D11">
      <w:pPr>
        <w:spacing w:before="120" w:after="120" w:line="252" w:lineRule="auto"/>
        <w:ind w:firstLine="720"/>
        <w:jc w:val="both"/>
        <w:rPr>
          <w:rFonts w:ascii="Times New Roman" w:hAnsi="Times New Roman"/>
          <w:noProof/>
          <w:sz w:val="24"/>
          <w:szCs w:val="24"/>
        </w:rPr>
      </w:pPr>
      <w:r w:rsidRPr="008B5FB8">
        <w:rPr>
          <w:rFonts w:ascii="Times New Roman" w:hAnsi="Times New Roman"/>
          <w:noProof/>
          <w:sz w:val="24"/>
          <w:szCs w:val="24"/>
        </w:rPr>
        <w:t xml:space="preserve">Latvija </w:t>
      </w:r>
      <w:r w:rsidR="00BE430A">
        <w:rPr>
          <w:rFonts w:ascii="Times New Roman" w:hAnsi="Times New Roman"/>
          <w:noProof/>
          <w:sz w:val="24"/>
          <w:szCs w:val="24"/>
        </w:rPr>
        <w:t xml:space="preserve">šobrīd vēl formulē nostāju darbam ar Tīras enerģijas pakotnes elementiem gan nacionālā, gan ES līmenī. </w:t>
      </w:r>
      <w:r w:rsidR="00C16AEB">
        <w:rPr>
          <w:rFonts w:ascii="Times New Roman" w:hAnsi="Times New Roman"/>
          <w:noProof/>
          <w:sz w:val="24"/>
          <w:szCs w:val="24"/>
        </w:rPr>
        <w:t>Kopumā novērtējot</w:t>
      </w:r>
      <w:r w:rsidR="00714CF5">
        <w:rPr>
          <w:rFonts w:ascii="Times New Roman" w:hAnsi="Times New Roman"/>
          <w:noProof/>
          <w:sz w:val="24"/>
          <w:szCs w:val="24"/>
        </w:rPr>
        <w:t xml:space="preserve"> EK </w:t>
      </w:r>
      <w:r w:rsidR="00CC128A">
        <w:rPr>
          <w:rFonts w:ascii="Times New Roman" w:hAnsi="Times New Roman"/>
          <w:noProof/>
          <w:sz w:val="24"/>
          <w:szCs w:val="24"/>
        </w:rPr>
        <w:t xml:space="preserve">centienus </w:t>
      </w:r>
      <w:r w:rsidR="00BF09F5">
        <w:rPr>
          <w:rFonts w:ascii="Times New Roman" w:hAnsi="Times New Roman"/>
          <w:noProof/>
          <w:sz w:val="24"/>
          <w:szCs w:val="24"/>
        </w:rPr>
        <w:t>ar šīs dokumentu pakotnes palīdzību virzīties uz Enerģētika</w:t>
      </w:r>
      <w:r w:rsidR="007575D0">
        <w:rPr>
          <w:rFonts w:ascii="Times New Roman" w:hAnsi="Times New Roman"/>
          <w:noProof/>
          <w:sz w:val="24"/>
          <w:szCs w:val="24"/>
        </w:rPr>
        <w:t>s savienības mērķu sasniegšanu</w:t>
      </w:r>
      <w:r w:rsidR="000709CA">
        <w:rPr>
          <w:rFonts w:ascii="Times New Roman" w:hAnsi="Times New Roman"/>
          <w:noProof/>
          <w:sz w:val="24"/>
          <w:szCs w:val="24"/>
        </w:rPr>
        <w:t xml:space="preserve">, turpmākajās diskusijās ES Padomes ietvaros Latvija paudīs </w:t>
      </w:r>
      <w:r w:rsidR="006A4490">
        <w:rPr>
          <w:rFonts w:ascii="Times New Roman" w:hAnsi="Times New Roman"/>
          <w:noProof/>
          <w:sz w:val="24"/>
          <w:szCs w:val="24"/>
        </w:rPr>
        <w:t>detalizētu nostāju</w:t>
      </w:r>
      <w:r w:rsidR="007575D0">
        <w:rPr>
          <w:rFonts w:ascii="Times New Roman" w:hAnsi="Times New Roman"/>
          <w:noProof/>
          <w:sz w:val="24"/>
          <w:szCs w:val="24"/>
        </w:rPr>
        <w:t>.</w:t>
      </w:r>
    </w:p>
    <w:p w14:paraId="24B9E867" w14:textId="427BB5D0" w:rsidR="00675E37" w:rsidRDefault="007575D0" w:rsidP="007A5D11">
      <w:pPr>
        <w:spacing w:before="120" w:after="120" w:line="252" w:lineRule="auto"/>
        <w:ind w:firstLine="720"/>
        <w:jc w:val="both"/>
        <w:rPr>
          <w:rFonts w:ascii="Times New Roman" w:hAnsi="Times New Roman"/>
          <w:noProof/>
          <w:sz w:val="24"/>
          <w:szCs w:val="24"/>
        </w:rPr>
      </w:pPr>
      <w:r>
        <w:rPr>
          <w:rFonts w:ascii="Times New Roman" w:hAnsi="Times New Roman"/>
          <w:noProof/>
          <w:sz w:val="24"/>
          <w:szCs w:val="24"/>
        </w:rPr>
        <w:t xml:space="preserve">Attiecībā uz iespējām panākt būtisku progresu līdz 2017. gada beigām Tīras enerģijas pakotnes ieviešanā Latvija uzskata, ka </w:t>
      </w:r>
      <w:r w:rsidR="00695494">
        <w:rPr>
          <w:rFonts w:ascii="Times New Roman" w:hAnsi="Times New Roman"/>
          <w:noProof/>
          <w:sz w:val="24"/>
          <w:szCs w:val="24"/>
        </w:rPr>
        <w:t xml:space="preserve">ir jāņem </w:t>
      </w:r>
      <w:r>
        <w:rPr>
          <w:rFonts w:ascii="Times New Roman" w:hAnsi="Times New Roman"/>
          <w:noProof/>
          <w:sz w:val="24"/>
          <w:szCs w:val="24"/>
        </w:rPr>
        <w:t xml:space="preserve">vērā </w:t>
      </w:r>
      <w:r w:rsidR="003E6BC0">
        <w:rPr>
          <w:rFonts w:ascii="Times New Roman" w:hAnsi="Times New Roman"/>
          <w:noProof/>
          <w:sz w:val="24"/>
          <w:szCs w:val="24"/>
        </w:rPr>
        <w:t>nepieciešamīb</w:t>
      </w:r>
      <w:r w:rsidR="00695494">
        <w:rPr>
          <w:rFonts w:ascii="Times New Roman" w:hAnsi="Times New Roman"/>
          <w:noProof/>
          <w:sz w:val="24"/>
          <w:szCs w:val="24"/>
        </w:rPr>
        <w:t>a</w:t>
      </w:r>
      <w:r w:rsidR="003E6BC0">
        <w:rPr>
          <w:rFonts w:ascii="Times New Roman" w:hAnsi="Times New Roman"/>
          <w:noProof/>
          <w:sz w:val="24"/>
          <w:szCs w:val="24"/>
        </w:rPr>
        <w:t xml:space="preserve"> vispirms ES Padomes ietvaros izdiskutēt specifiskos tiesību aktu projektus</w:t>
      </w:r>
      <w:r w:rsidR="00675E37">
        <w:rPr>
          <w:rFonts w:ascii="Times New Roman" w:hAnsi="Times New Roman"/>
          <w:noProof/>
          <w:sz w:val="24"/>
          <w:szCs w:val="24"/>
        </w:rPr>
        <w:t>,</w:t>
      </w:r>
      <w:r w:rsidR="003E6BC0">
        <w:rPr>
          <w:rFonts w:ascii="Times New Roman" w:hAnsi="Times New Roman"/>
          <w:noProof/>
          <w:sz w:val="24"/>
          <w:szCs w:val="24"/>
        </w:rPr>
        <w:t xml:space="preserve"> </w:t>
      </w:r>
      <w:r w:rsidR="00675E37" w:rsidRPr="00C57CB8">
        <w:rPr>
          <w:rFonts w:ascii="Times New Roman" w:hAnsi="Times New Roman"/>
          <w:noProof/>
          <w:sz w:val="24"/>
          <w:szCs w:val="24"/>
        </w:rPr>
        <w:t>jo īpaši Saistību pārdales regulu, Energoefektivitātes direktīvu un Atjaunojamo energoresursu direktīvu, kuru iznākumam būs ietekme uz Pārvaldības Regulu</w:t>
      </w:r>
      <w:r w:rsidR="003E6BC0">
        <w:rPr>
          <w:rFonts w:ascii="Times New Roman" w:hAnsi="Times New Roman"/>
          <w:noProof/>
          <w:sz w:val="24"/>
          <w:szCs w:val="24"/>
        </w:rPr>
        <w:t>.</w:t>
      </w:r>
      <w:r w:rsidR="00A71B3C" w:rsidRPr="00217869" w:rsidDel="00DA34E6">
        <w:rPr>
          <w:rFonts w:ascii="Times New Roman" w:hAnsi="Times New Roman"/>
          <w:noProof/>
          <w:sz w:val="24"/>
          <w:szCs w:val="24"/>
        </w:rPr>
        <w:t xml:space="preserve"> </w:t>
      </w:r>
      <w:r w:rsidR="00675E37">
        <w:rPr>
          <w:rFonts w:ascii="Times New Roman" w:hAnsi="Times New Roman"/>
          <w:noProof/>
          <w:sz w:val="24"/>
          <w:szCs w:val="24"/>
        </w:rPr>
        <w:t>Latvija piekrīt, ka</w:t>
      </w:r>
      <w:r w:rsidR="00980B7F">
        <w:rPr>
          <w:rFonts w:ascii="Times New Roman" w:hAnsi="Times New Roman"/>
          <w:noProof/>
          <w:sz w:val="24"/>
          <w:szCs w:val="24"/>
        </w:rPr>
        <w:t xml:space="preserve"> svarīgi ir </w:t>
      </w:r>
      <w:r w:rsidR="00150E68">
        <w:rPr>
          <w:rFonts w:ascii="Times New Roman" w:hAnsi="Times New Roman"/>
          <w:noProof/>
          <w:sz w:val="24"/>
          <w:szCs w:val="24"/>
        </w:rPr>
        <w:t xml:space="preserve">nodrošināt savlaicīgu Enerģētikas savienības tiesību aktu ieviešanu, bet </w:t>
      </w:r>
      <w:r w:rsidR="00A36CE8">
        <w:rPr>
          <w:rFonts w:ascii="Times New Roman" w:hAnsi="Times New Roman"/>
          <w:noProof/>
          <w:sz w:val="24"/>
          <w:szCs w:val="24"/>
        </w:rPr>
        <w:t>tam nevajadzētu notikt uz tiesību aktu kvalitātes un dalībvalstu interešu un iespēju rēķina.</w:t>
      </w:r>
      <w:r w:rsidR="006A3EF7">
        <w:rPr>
          <w:rFonts w:ascii="Times New Roman" w:hAnsi="Times New Roman"/>
          <w:noProof/>
          <w:sz w:val="24"/>
          <w:szCs w:val="24"/>
        </w:rPr>
        <w:t xml:space="preserve"> </w:t>
      </w:r>
      <w:r w:rsidR="00675E37" w:rsidRPr="00C57CB8">
        <w:rPr>
          <w:rFonts w:ascii="Times New Roman" w:hAnsi="Times New Roman"/>
          <w:noProof/>
          <w:sz w:val="24"/>
          <w:szCs w:val="24"/>
        </w:rPr>
        <w:t>Latvija atbalsta Maltas prezidentūras ES Padomē šobrīd izvēlēto pieeju, ka vispirms jādiskutē par specifiskajiem tiesību aktu projektiem un tikai pēc tam par Pārvaldības Regulas priekšlikumu.</w:t>
      </w:r>
    </w:p>
    <w:p w14:paraId="0B156B0C" w14:textId="5E6A0158" w:rsidR="005072FC" w:rsidRDefault="00C420AE" w:rsidP="007A5D11">
      <w:pPr>
        <w:spacing w:before="120" w:after="120" w:line="252" w:lineRule="auto"/>
        <w:ind w:firstLine="720"/>
        <w:jc w:val="both"/>
        <w:rPr>
          <w:rFonts w:ascii="Times New Roman" w:hAnsi="Times New Roman"/>
          <w:noProof/>
          <w:sz w:val="24"/>
          <w:szCs w:val="24"/>
        </w:rPr>
      </w:pPr>
      <w:r>
        <w:rPr>
          <w:rFonts w:ascii="Times New Roman" w:hAnsi="Times New Roman"/>
          <w:noProof/>
          <w:sz w:val="24"/>
          <w:szCs w:val="24"/>
        </w:rPr>
        <w:t xml:space="preserve">Latvija </w:t>
      </w:r>
      <w:r w:rsidR="00791243">
        <w:rPr>
          <w:rFonts w:ascii="Times New Roman" w:hAnsi="Times New Roman"/>
          <w:noProof/>
          <w:sz w:val="24"/>
          <w:szCs w:val="24"/>
        </w:rPr>
        <w:t xml:space="preserve">uzskata, ka </w:t>
      </w:r>
      <w:r w:rsidR="006A3EF7">
        <w:rPr>
          <w:rFonts w:ascii="Times New Roman" w:hAnsi="Times New Roman"/>
          <w:noProof/>
          <w:sz w:val="24"/>
          <w:szCs w:val="24"/>
        </w:rPr>
        <w:t xml:space="preserve">reģionālās sadarbības lomai Enerģētikas savienības ietvaros </w:t>
      </w:r>
      <w:r w:rsidR="00474BC9">
        <w:rPr>
          <w:rFonts w:ascii="Times New Roman" w:hAnsi="Times New Roman"/>
          <w:noProof/>
          <w:sz w:val="24"/>
          <w:szCs w:val="24"/>
        </w:rPr>
        <w:t xml:space="preserve">būtu </w:t>
      </w:r>
      <w:r w:rsidR="006A3EF7">
        <w:rPr>
          <w:rFonts w:ascii="Times New Roman" w:hAnsi="Times New Roman"/>
          <w:noProof/>
          <w:sz w:val="24"/>
          <w:szCs w:val="24"/>
        </w:rPr>
        <w:t>pakāpeniski un stabili jāpieaug, jo īpaši tajās jomās, kur ir atzīstama sadarbības pieredze</w:t>
      </w:r>
      <w:r w:rsidR="003B51C4">
        <w:rPr>
          <w:rFonts w:ascii="Times New Roman" w:hAnsi="Times New Roman"/>
          <w:noProof/>
          <w:sz w:val="24"/>
          <w:szCs w:val="24"/>
        </w:rPr>
        <w:t xml:space="preserve"> un reģionālā sadarbība ir vitāli svarīga kopējo interešu nodrošināšanai</w:t>
      </w:r>
      <w:r w:rsidR="006A3EF7">
        <w:rPr>
          <w:rFonts w:ascii="Times New Roman" w:hAnsi="Times New Roman"/>
          <w:noProof/>
          <w:sz w:val="24"/>
          <w:szCs w:val="24"/>
        </w:rPr>
        <w:t xml:space="preserve">, piemēram, </w:t>
      </w:r>
      <w:r w:rsidR="00474BC9">
        <w:rPr>
          <w:rFonts w:ascii="Times New Roman" w:hAnsi="Times New Roman"/>
          <w:noProof/>
          <w:sz w:val="24"/>
          <w:szCs w:val="24"/>
        </w:rPr>
        <w:t>energoapgādes droš</w:t>
      </w:r>
      <w:r w:rsidR="00445298">
        <w:rPr>
          <w:rFonts w:ascii="Times New Roman" w:hAnsi="Times New Roman"/>
          <w:noProof/>
          <w:sz w:val="24"/>
          <w:szCs w:val="24"/>
        </w:rPr>
        <w:t>ības</w:t>
      </w:r>
      <w:r w:rsidR="00474BC9">
        <w:rPr>
          <w:rFonts w:ascii="Times New Roman" w:hAnsi="Times New Roman"/>
          <w:noProof/>
          <w:sz w:val="24"/>
          <w:szCs w:val="24"/>
        </w:rPr>
        <w:t xml:space="preserve"> jautājumos</w:t>
      </w:r>
      <w:r w:rsidR="006A3EF7">
        <w:rPr>
          <w:rFonts w:ascii="Times New Roman" w:hAnsi="Times New Roman"/>
          <w:noProof/>
          <w:sz w:val="24"/>
          <w:szCs w:val="24"/>
        </w:rPr>
        <w:t xml:space="preserve">. </w:t>
      </w:r>
      <w:r w:rsidR="00E82598">
        <w:rPr>
          <w:rFonts w:ascii="Times New Roman" w:hAnsi="Times New Roman"/>
          <w:noProof/>
          <w:sz w:val="24"/>
          <w:szCs w:val="24"/>
        </w:rPr>
        <w:t xml:space="preserve">Potenciāls ir arī citās jomās, piemēram, energoefektivitātē un atjaunojamajā enerģijā, </w:t>
      </w:r>
      <w:r w:rsidR="007735BA">
        <w:rPr>
          <w:rFonts w:ascii="Times New Roman" w:hAnsi="Times New Roman"/>
          <w:noProof/>
          <w:sz w:val="24"/>
          <w:szCs w:val="24"/>
        </w:rPr>
        <w:t xml:space="preserve">kur gan nepieciešams vērtējums par turpmākās sadarbības dziļumu un </w:t>
      </w:r>
      <w:r w:rsidR="000C52C4">
        <w:rPr>
          <w:rFonts w:ascii="Times New Roman" w:hAnsi="Times New Roman"/>
          <w:noProof/>
          <w:sz w:val="24"/>
          <w:szCs w:val="24"/>
        </w:rPr>
        <w:t xml:space="preserve">plašumu. </w:t>
      </w:r>
      <w:r w:rsidR="00980B9E">
        <w:rPr>
          <w:rFonts w:ascii="Times New Roman" w:hAnsi="Times New Roman"/>
          <w:noProof/>
          <w:sz w:val="24"/>
          <w:szCs w:val="24"/>
        </w:rPr>
        <w:t>Tajā pa</w:t>
      </w:r>
      <w:r w:rsidR="00AB4B3D">
        <w:rPr>
          <w:rFonts w:ascii="Times New Roman" w:hAnsi="Times New Roman"/>
          <w:noProof/>
          <w:sz w:val="24"/>
          <w:szCs w:val="24"/>
        </w:rPr>
        <w:t>šā</w:t>
      </w:r>
      <w:r w:rsidR="00980B9E">
        <w:rPr>
          <w:rFonts w:ascii="Times New Roman" w:hAnsi="Times New Roman"/>
          <w:noProof/>
          <w:sz w:val="24"/>
          <w:szCs w:val="24"/>
        </w:rPr>
        <w:t xml:space="preserve"> laikā atsevišķās jomās, piemēram, </w:t>
      </w:r>
      <w:r w:rsidR="00AB4B3D">
        <w:rPr>
          <w:rFonts w:ascii="Times New Roman" w:hAnsi="Times New Roman"/>
          <w:noProof/>
          <w:sz w:val="24"/>
          <w:szCs w:val="24"/>
        </w:rPr>
        <w:t xml:space="preserve">attiecībā uz </w:t>
      </w:r>
      <w:r w:rsidR="00980B9E">
        <w:rPr>
          <w:rFonts w:ascii="Times New Roman" w:hAnsi="Times New Roman"/>
          <w:noProof/>
          <w:sz w:val="24"/>
          <w:szCs w:val="24"/>
        </w:rPr>
        <w:t>klimata pasākumu identificēšan</w:t>
      </w:r>
      <w:r w:rsidR="00AB4B3D">
        <w:rPr>
          <w:rFonts w:ascii="Times New Roman" w:hAnsi="Times New Roman"/>
          <w:noProof/>
          <w:sz w:val="24"/>
          <w:szCs w:val="24"/>
        </w:rPr>
        <w:t>u</w:t>
      </w:r>
      <w:r w:rsidR="00980B9E">
        <w:rPr>
          <w:rFonts w:ascii="Times New Roman" w:hAnsi="Times New Roman"/>
          <w:noProof/>
          <w:sz w:val="24"/>
          <w:szCs w:val="24"/>
        </w:rPr>
        <w:t xml:space="preserve"> laukdaimniecīb</w:t>
      </w:r>
      <w:r w:rsidR="00AB4B3D">
        <w:rPr>
          <w:rFonts w:ascii="Times New Roman" w:hAnsi="Times New Roman"/>
          <w:noProof/>
          <w:sz w:val="24"/>
          <w:szCs w:val="24"/>
        </w:rPr>
        <w:t>ā šobrīd neredzam pamatu</w:t>
      </w:r>
      <w:r w:rsidR="00980B9E">
        <w:rPr>
          <w:rFonts w:ascii="Times New Roman" w:hAnsi="Times New Roman"/>
          <w:noProof/>
          <w:sz w:val="24"/>
          <w:szCs w:val="24"/>
        </w:rPr>
        <w:t xml:space="preserve"> reģionālā</w:t>
      </w:r>
      <w:r w:rsidR="00AB4B3D">
        <w:rPr>
          <w:rFonts w:ascii="Times New Roman" w:hAnsi="Times New Roman"/>
          <w:noProof/>
          <w:sz w:val="24"/>
          <w:szCs w:val="24"/>
        </w:rPr>
        <w:t>s</w:t>
      </w:r>
      <w:r w:rsidR="00980B9E">
        <w:rPr>
          <w:rFonts w:ascii="Times New Roman" w:hAnsi="Times New Roman"/>
          <w:noProof/>
          <w:sz w:val="24"/>
          <w:szCs w:val="24"/>
        </w:rPr>
        <w:t xml:space="preserve"> sadarbība</w:t>
      </w:r>
      <w:r w:rsidR="00AB4B3D">
        <w:rPr>
          <w:rFonts w:ascii="Times New Roman" w:hAnsi="Times New Roman"/>
          <w:noProof/>
          <w:sz w:val="24"/>
          <w:szCs w:val="24"/>
        </w:rPr>
        <w:t>s</w:t>
      </w:r>
      <w:r w:rsidR="00980B9E">
        <w:rPr>
          <w:rFonts w:ascii="Times New Roman" w:hAnsi="Times New Roman"/>
          <w:noProof/>
          <w:sz w:val="24"/>
          <w:szCs w:val="24"/>
        </w:rPr>
        <w:t xml:space="preserve"> </w:t>
      </w:r>
      <w:r w:rsidR="00AB4B3D">
        <w:rPr>
          <w:rFonts w:ascii="Times New Roman" w:hAnsi="Times New Roman"/>
          <w:noProof/>
          <w:sz w:val="24"/>
          <w:szCs w:val="24"/>
        </w:rPr>
        <w:t>īstenošanai</w:t>
      </w:r>
      <w:r w:rsidR="00980B9E">
        <w:rPr>
          <w:rFonts w:ascii="Times New Roman" w:hAnsi="Times New Roman"/>
          <w:noProof/>
          <w:sz w:val="24"/>
          <w:szCs w:val="24"/>
        </w:rPr>
        <w:t xml:space="preserve">. </w:t>
      </w:r>
      <w:r w:rsidR="00602C9E">
        <w:rPr>
          <w:rFonts w:ascii="Times New Roman" w:hAnsi="Times New Roman"/>
          <w:noProof/>
          <w:sz w:val="24"/>
          <w:szCs w:val="24"/>
        </w:rPr>
        <w:t>Latvijas ieskatā reģionālā sadarbība būtu jāveido līdzvērtīgā partnerībā, galvenokārt balstoties uz attiecīgā reģiona valst</w:t>
      </w:r>
      <w:r w:rsidR="005072FC">
        <w:rPr>
          <w:rFonts w:ascii="Times New Roman" w:hAnsi="Times New Roman"/>
          <w:noProof/>
          <w:sz w:val="24"/>
          <w:szCs w:val="24"/>
        </w:rPr>
        <w:t>u kopīgām interesēm.</w:t>
      </w:r>
      <w:r w:rsidR="00494302">
        <w:rPr>
          <w:rFonts w:ascii="Times New Roman" w:hAnsi="Times New Roman"/>
          <w:noProof/>
          <w:sz w:val="24"/>
          <w:szCs w:val="24"/>
        </w:rPr>
        <w:t xml:space="preserve"> </w:t>
      </w:r>
    </w:p>
    <w:p w14:paraId="4FB8649B" w14:textId="77777777" w:rsidR="00A66B0F" w:rsidRPr="00BB5F30" w:rsidRDefault="005072FC" w:rsidP="007A5D11">
      <w:pPr>
        <w:spacing w:before="120" w:after="120" w:line="252" w:lineRule="auto"/>
        <w:ind w:firstLine="720"/>
        <w:jc w:val="both"/>
        <w:rPr>
          <w:rFonts w:ascii="Times New Roman" w:hAnsi="Times New Roman"/>
          <w:noProof/>
          <w:sz w:val="24"/>
          <w:szCs w:val="24"/>
        </w:rPr>
      </w:pPr>
      <w:r w:rsidRPr="00BB5F30">
        <w:rPr>
          <w:rFonts w:ascii="Times New Roman" w:hAnsi="Times New Roman"/>
          <w:noProof/>
          <w:sz w:val="24"/>
          <w:szCs w:val="24"/>
        </w:rPr>
        <w:t>Attiecībā uz saturiskajiem e</w:t>
      </w:r>
      <w:r w:rsidR="00D215AD" w:rsidRPr="00BB5F30">
        <w:rPr>
          <w:rFonts w:ascii="Times New Roman" w:hAnsi="Times New Roman"/>
          <w:noProof/>
          <w:sz w:val="24"/>
          <w:szCs w:val="24"/>
        </w:rPr>
        <w:t>lementiem Latvija vēlas atzīmēt se</w:t>
      </w:r>
      <w:r w:rsidR="00A66B0F" w:rsidRPr="00BB5F30">
        <w:rPr>
          <w:rFonts w:ascii="Times New Roman" w:hAnsi="Times New Roman"/>
          <w:noProof/>
          <w:sz w:val="24"/>
          <w:szCs w:val="24"/>
        </w:rPr>
        <w:t xml:space="preserve">kojošo: </w:t>
      </w:r>
    </w:p>
    <w:p w14:paraId="6FF85F74" w14:textId="055E85A5" w:rsidR="00C721C5" w:rsidRPr="00074E34" w:rsidRDefault="00E41107" w:rsidP="007A5D11">
      <w:pPr>
        <w:spacing w:before="120" w:after="120" w:line="252" w:lineRule="auto"/>
        <w:ind w:firstLine="720"/>
        <w:jc w:val="both"/>
        <w:rPr>
          <w:rFonts w:ascii="Times New Roman" w:hAnsi="Times New Roman"/>
          <w:sz w:val="24"/>
          <w:szCs w:val="24"/>
        </w:rPr>
      </w:pPr>
      <w:r w:rsidRPr="00BB5F30">
        <w:rPr>
          <w:rFonts w:ascii="Times New Roman" w:hAnsi="Times New Roman"/>
          <w:i/>
          <w:noProof/>
          <w:sz w:val="24"/>
          <w:szCs w:val="24"/>
          <w:u w:val="single"/>
        </w:rPr>
        <w:t>a) </w:t>
      </w:r>
      <w:r w:rsidR="00C721C5" w:rsidRPr="00BB5F30">
        <w:rPr>
          <w:rFonts w:ascii="Times New Roman" w:hAnsi="Times New Roman"/>
          <w:i/>
          <w:noProof/>
          <w:sz w:val="24"/>
          <w:szCs w:val="24"/>
          <w:u w:val="single"/>
        </w:rPr>
        <w:t>Enerģētikas savienības p</w:t>
      </w:r>
      <w:r w:rsidR="00A66B0F" w:rsidRPr="00BB5F30">
        <w:rPr>
          <w:rFonts w:ascii="Times New Roman" w:hAnsi="Times New Roman"/>
          <w:i/>
          <w:noProof/>
          <w:sz w:val="24"/>
          <w:szCs w:val="24"/>
          <w:u w:val="single"/>
        </w:rPr>
        <w:t>ārvaldība</w:t>
      </w:r>
      <w:r w:rsidR="00A66B0F" w:rsidRPr="00BB5F30">
        <w:rPr>
          <w:rFonts w:ascii="Times New Roman" w:hAnsi="Times New Roman"/>
          <w:noProof/>
          <w:sz w:val="24"/>
          <w:szCs w:val="24"/>
        </w:rPr>
        <w:t xml:space="preserve"> </w:t>
      </w:r>
      <w:r w:rsidRPr="00BB5F30">
        <w:rPr>
          <w:rFonts w:ascii="Times New Roman" w:hAnsi="Times New Roman"/>
          <w:noProof/>
          <w:sz w:val="24"/>
          <w:szCs w:val="24"/>
        </w:rPr>
        <w:t xml:space="preserve">– </w:t>
      </w:r>
      <w:r w:rsidR="00A66B0F" w:rsidRPr="00BB5F30">
        <w:rPr>
          <w:rFonts w:ascii="Times New Roman" w:hAnsi="Times New Roman"/>
          <w:noProof/>
          <w:sz w:val="24"/>
          <w:szCs w:val="24"/>
        </w:rPr>
        <w:t xml:space="preserve">aktuāls ir jautājums par Nacionālo enerģētikas un klimata plānu (turpmāk – NEKP) </w:t>
      </w:r>
      <w:r w:rsidRPr="00BB5F30">
        <w:rPr>
          <w:rFonts w:ascii="Times New Roman" w:hAnsi="Times New Roman"/>
          <w:noProof/>
          <w:sz w:val="24"/>
          <w:szCs w:val="24"/>
        </w:rPr>
        <w:t>lomu dalībvalstīs, jo</w:t>
      </w:r>
      <w:r w:rsidR="00A66B0F" w:rsidRPr="00BB5F30">
        <w:rPr>
          <w:rFonts w:ascii="Times New Roman" w:hAnsi="Times New Roman"/>
          <w:noProof/>
          <w:sz w:val="24"/>
          <w:szCs w:val="24"/>
        </w:rPr>
        <w:t xml:space="preserve"> </w:t>
      </w:r>
      <w:r w:rsidR="00A66B0F" w:rsidRPr="00074E34">
        <w:rPr>
          <w:rFonts w:ascii="Times New Roman" w:hAnsi="Times New Roman"/>
          <w:sz w:val="24"/>
          <w:szCs w:val="24"/>
        </w:rPr>
        <w:t xml:space="preserve">ir </w:t>
      </w:r>
      <w:r w:rsidR="00C721C5" w:rsidRPr="00074E34">
        <w:rPr>
          <w:rFonts w:ascii="Times New Roman" w:hAnsi="Times New Roman"/>
          <w:sz w:val="24"/>
          <w:szCs w:val="24"/>
        </w:rPr>
        <w:t>valstis</w:t>
      </w:r>
      <w:r w:rsidR="00A66B0F" w:rsidRPr="00074E34">
        <w:rPr>
          <w:rFonts w:ascii="Times New Roman" w:hAnsi="Times New Roman"/>
          <w:sz w:val="24"/>
          <w:szCs w:val="24"/>
        </w:rPr>
        <w:t>, kas plāno izmantot līdzšinējos politikas plānošanas dokumentus, stratēģijas u.tml., lai no tām saliktu NEKP, un ir valstis, kas apsver iespēju izveidot NEKP kā patiešām stratēģiskas plānošanas dokumentu. Latvijas skatījumā pārvaldības regulai ir jāsekmē vienota pieeja visā ES</w:t>
      </w:r>
      <w:r w:rsidR="004E0A17">
        <w:rPr>
          <w:rFonts w:ascii="Times New Roman" w:hAnsi="Times New Roman"/>
          <w:sz w:val="24"/>
          <w:szCs w:val="24"/>
        </w:rPr>
        <w:t>, vienlaikus</w:t>
      </w:r>
      <w:r w:rsidR="00675E37">
        <w:rPr>
          <w:rFonts w:ascii="Times New Roman" w:hAnsi="Times New Roman"/>
          <w:sz w:val="24"/>
          <w:szCs w:val="24"/>
        </w:rPr>
        <w:t xml:space="preserve"> ņemot vērā arī dalībvalstu nacionālo politikas plānošanas dokumentu ietvarus</w:t>
      </w:r>
      <w:r w:rsidR="00E34562">
        <w:rPr>
          <w:rFonts w:ascii="Times New Roman" w:hAnsi="Times New Roman"/>
          <w:sz w:val="24"/>
          <w:szCs w:val="24"/>
        </w:rPr>
        <w:t>.</w:t>
      </w:r>
    </w:p>
    <w:p w14:paraId="2672DA7B" w14:textId="1724059D" w:rsidR="00136906" w:rsidRDefault="00C721C5" w:rsidP="007A5D11">
      <w:pPr>
        <w:spacing w:before="120" w:after="120" w:line="252" w:lineRule="auto"/>
        <w:ind w:firstLine="720"/>
        <w:jc w:val="both"/>
        <w:rPr>
          <w:rFonts w:ascii="Times New Roman" w:hAnsi="Times New Roman"/>
          <w:bCs/>
          <w:sz w:val="24"/>
          <w:szCs w:val="24"/>
        </w:rPr>
      </w:pPr>
      <w:r w:rsidRPr="00074E34">
        <w:rPr>
          <w:rFonts w:ascii="Times New Roman" w:hAnsi="Times New Roman"/>
          <w:sz w:val="24"/>
          <w:szCs w:val="24"/>
        </w:rPr>
        <w:t xml:space="preserve">Latvijas ieskatā </w:t>
      </w:r>
      <w:r w:rsidRPr="00074E34">
        <w:rPr>
          <w:rFonts w:ascii="Times New Roman" w:hAnsi="Times New Roman"/>
          <w:bCs/>
          <w:sz w:val="24"/>
          <w:szCs w:val="24"/>
        </w:rPr>
        <w:t>NEKP izstrāde ir laikietilpīgs un resursu ietilpīgs process, ņemot vērā, ka tajā ir jāatspoguļo visas Enerģētikas savienības dimensijas, mērķi, politikas pasākumi, trajektorijas u.tml., jānodrošina nacionālo institūciju, sabiedrības, kā arī reģionālo partneru un EK iesaiste</w:t>
      </w:r>
      <w:r w:rsidR="00E73B5E">
        <w:rPr>
          <w:rFonts w:ascii="Times New Roman" w:hAnsi="Times New Roman"/>
          <w:bCs/>
          <w:sz w:val="24"/>
          <w:szCs w:val="24"/>
        </w:rPr>
        <w:t xml:space="preserve">, </w:t>
      </w:r>
      <w:r w:rsidR="0026084E">
        <w:rPr>
          <w:rFonts w:ascii="Times New Roman" w:hAnsi="Times New Roman"/>
          <w:bCs/>
          <w:sz w:val="24"/>
          <w:szCs w:val="24"/>
        </w:rPr>
        <w:t xml:space="preserve">visticamāk, būs </w:t>
      </w:r>
      <w:r w:rsidR="002D7A54">
        <w:rPr>
          <w:rFonts w:ascii="Times New Roman" w:hAnsi="Times New Roman"/>
          <w:bCs/>
          <w:sz w:val="24"/>
          <w:szCs w:val="24"/>
        </w:rPr>
        <w:t>jāveic</w:t>
      </w:r>
      <w:r w:rsidR="0026084E">
        <w:rPr>
          <w:rFonts w:ascii="Times New Roman" w:hAnsi="Times New Roman"/>
          <w:bCs/>
          <w:sz w:val="24"/>
          <w:szCs w:val="24"/>
        </w:rPr>
        <w:t xml:space="preserve"> </w:t>
      </w:r>
      <w:r w:rsidR="00E73B5E">
        <w:rPr>
          <w:rFonts w:ascii="Times New Roman" w:hAnsi="Times New Roman"/>
          <w:bCs/>
          <w:sz w:val="24"/>
          <w:szCs w:val="24"/>
        </w:rPr>
        <w:t>detal</w:t>
      </w:r>
      <w:r w:rsidR="002A2666">
        <w:rPr>
          <w:rFonts w:ascii="Times New Roman" w:hAnsi="Times New Roman"/>
          <w:bCs/>
          <w:sz w:val="24"/>
          <w:szCs w:val="24"/>
        </w:rPr>
        <w:t>izēts ietekmes novērtējum</w:t>
      </w:r>
      <w:r w:rsidR="002C1F86">
        <w:rPr>
          <w:rFonts w:ascii="Times New Roman" w:hAnsi="Times New Roman"/>
          <w:bCs/>
          <w:sz w:val="24"/>
          <w:szCs w:val="24"/>
        </w:rPr>
        <w:t>s</w:t>
      </w:r>
      <w:r w:rsidR="002A2666">
        <w:rPr>
          <w:rFonts w:ascii="Times New Roman" w:hAnsi="Times New Roman"/>
          <w:bCs/>
          <w:sz w:val="24"/>
          <w:szCs w:val="24"/>
        </w:rPr>
        <w:t xml:space="preserve"> u.tml</w:t>
      </w:r>
      <w:r w:rsidR="00675E37">
        <w:rPr>
          <w:rFonts w:ascii="Times New Roman" w:hAnsi="Times New Roman"/>
          <w:bCs/>
          <w:sz w:val="24"/>
          <w:szCs w:val="24"/>
        </w:rPr>
        <w:t>.</w:t>
      </w:r>
      <w:r w:rsidRPr="00074E34">
        <w:rPr>
          <w:rFonts w:ascii="Times New Roman" w:hAnsi="Times New Roman"/>
          <w:bCs/>
          <w:sz w:val="24"/>
          <w:szCs w:val="24"/>
        </w:rPr>
        <w:t xml:space="preserve"> </w:t>
      </w:r>
      <w:r w:rsidR="00BD62D6">
        <w:rPr>
          <w:rFonts w:ascii="Times New Roman" w:hAnsi="Times New Roman"/>
          <w:bCs/>
          <w:sz w:val="24"/>
          <w:szCs w:val="24"/>
        </w:rPr>
        <w:t xml:space="preserve">Līdz ar to </w:t>
      </w:r>
      <w:r w:rsidR="006B6EB0" w:rsidRPr="00074E34">
        <w:rPr>
          <w:rFonts w:ascii="Times New Roman" w:hAnsi="Times New Roman"/>
          <w:bCs/>
          <w:sz w:val="24"/>
          <w:szCs w:val="24"/>
        </w:rPr>
        <w:t>N</w:t>
      </w:r>
      <w:r w:rsidR="00136906" w:rsidRPr="00074E34">
        <w:rPr>
          <w:rFonts w:ascii="Times New Roman" w:hAnsi="Times New Roman"/>
          <w:bCs/>
          <w:sz w:val="24"/>
          <w:szCs w:val="24"/>
        </w:rPr>
        <w:t xml:space="preserve">EKP projekta </w:t>
      </w:r>
      <w:r w:rsidR="00E73B5E">
        <w:rPr>
          <w:rFonts w:ascii="Times New Roman" w:hAnsi="Times New Roman"/>
          <w:bCs/>
          <w:sz w:val="24"/>
          <w:szCs w:val="24"/>
        </w:rPr>
        <w:t>sagatavošana</w:t>
      </w:r>
      <w:r w:rsidR="00136906" w:rsidRPr="00074E34">
        <w:rPr>
          <w:rFonts w:ascii="Times New Roman" w:hAnsi="Times New Roman"/>
          <w:bCs/>
          <w:sz w:val="24"/>
          <w:szCs w:val="24"/>
        </w:rPr>
        <w:t xml:space="preserve"> labākajā gadījumā būtu iespējama </w:t>
      </w:r>
      <w:r w:rsidR="00E73B5E">
        <w:rPr>
          <w:rFonts w:ascii="Times New Roman" w:hAnsi="Times New Roman"/>
          <w:bCs/>
          <w:sz w:val="24"/>
          <w:szCs w:val="24"/>
        </w:rPr>
        <w:t>tikai uz</w:t>
      </w:r>
      <w:r w:rsidR="00E73B5E" w:rsidRPr="00074E34">
        <w:rPr>
          <w:rFonts w:ascii="Times New Roman" w:hAnsi="Times New Roman"/>
          <w:bCs/>
          <w:sz w:val="24"/>
          <w:szCs w:val="24"/>
        </w:rPr>
        <w:t xml:space="preserve"> </w:t>
      </w:r>
      <w:r w:rsidR="00136906" w:rsidRPr="00074E34">
        <w:rPr>
          <w:rFonts w:ascii="Times New Roman" w:hAnsi="Times New Roman"/>
          <w:bCs/>
          <w:sz w:val="24"/>
          <w:szCs w:val="24"/>
        </w:rPr>
        <w:t>2019. gada 1. janvāri.</w:t>
      </w:r>
    </w:p>
    <w:p w14:paraId="1F34658C" w14:textId="7BE302D6" w:rsidR="00F93B95" w:rsidRPr="00F93B95" w:rsidRDefault="00F93B95" w:rsidP="007A5D11">
      <w:pPr>
        <w:spacing w:before="120" w:after="120" w:line="252" w:lineRule="auto"/>
        <w:ind w:firstLine="720"/>
        <w:jc w:val="both"/>
        <w:rPr>
          <w:rFonts w:ascii="Times New Roman" w:hAnsi="Times New Roman"/>
          <w:bCs/>
          <w:sz w:val="24"/>
          <w:szCs w:val="24"/>
        </w:rPr>
      </w:pPr>
      <w:r w:rsidRPr="00F93B95">
        <w:rPr>
          <w:rFonts w:ascii="Times New Roman" w:hAnsi="Times New Roman"/>
          <w:bCs/>
          <w:sz w:val="24"/>
          <w:szCs w:val="24"/>
        </w:rPr>
        <w:t xml:space="preserve">Latvija turpina arī vērtēt kā NEKP klimata dimensijas ietvaros atspoguļot visu tautsaimniecības nozaru, t.sk. enerģētikas, ieguldījumus iepretim pārējo specifiski ar enerģētiku saistīto dimensiju atspoguļojumam. </w:t>
      </w:r>
      <w:r w:rsidR="005523FD">
        <w:rPr>
          <w:rFonts w:ascii="Times New Roman" w:hAnsi="Times New Roman"/>
          <w:bCs/>
          <w:sz w:val="24"/>
          <w:szCs w:val="24"/>
        </w:rPr>
        <w:t>R</w:t>
      </w:r>
      <w:r w:rsidRPr="00F93B95">
        <w:rPr>
          <w:rFonts w:ascii="Times New Roman" w:hAnsi="Times New Roman"/>
          <w:bCs/>
          <w:sz w:val="24"/>
          <w:szCs w:val="24"/>
        </w:rPr>
        <w:t>isinājumu konceptuālās pieejas enerģētikā var būt būtiski atšķirīgas no risinājumiem, piemēram, lauksaimniecībā un transportā. Šajā ziņā cit</w:t>
      </w:r>
      <w:r w:rsidR="005523FD">
        <w:rPr>
          <w:rFonts w:ascii="Times New Roman" w:hAnsi="Times New Roman"/>
          <w:bCs/>
          <w:sz w:val="24"/>
          <w:szCs w:val="24"/>
        </w:rPr>
        <w:t>a</w:t>
      </w:r>
      <w:r w:rsidRPr="00F93B95">
        <w:rPr>
          <w:rFonts w:ascii="Times New Roman" w:hAnsi="Times New Roman"/>
          <w:bCs/>
          <w:sz w:val="24"/>
          <w:szCs w:val="24"/>
        </w:rPr>
        <w:t xml:space="preserve"> starpā rūpīgi izvērtējama arī reģionālās sadarbības loma.</w:t>
      </w:r>
    </w:p>
    <w:p w14:paraId="38285C90" w14:textId="77777777" w:rsidR="00F93B95" w:rsidRPr="00F93B95" w:rsidRDefault="00F93B95" w:rsidP="007A5D11">
      <w:pPr>
        <w:spacing w:before="120" w:after="120" w:line="252" w:lineRule="auto"/>
        <w:ind w:firstLine="720"/>
        <w:jc w:val="both"/>
        <w:rPr>
          <w:rFonts w:ascii="Times New Roman" w:hAnsi="Times New Roman"/>
          <w:bCs/>
          <w:sz w:val="24"/>
          <w:szCs w:val="24"/>
        </w:rPr>
      </w:pPr>
      <w:r w:rsidRPr="00F93B95">
        <w:rPr>
          <w:rFonts w:ascii="Times New Roman" w:hAnsi="Times New Roman"/>
          <w:bCs/>
          <w:sz w:val="24"/>
          <w:szCs w:val="24"/>
        </w:rPr>
        <w:t>Vairāki regulas priekšlikumā iekļauto ziņojumu termiņi ir pārāk agri</w:t>
      </w:r>
      <w:r w:rsidR="00E73B5E">
        <w:rPr>
          <w:rFonts w:ascii="Times New Roman" w:hAnsi="Times New Roman"/>
          <w:bCs/>
          <w:sz w:val="24"/>
          <w:szCs w:val="24"/>
        </w:rPr>
        <w:t xml:space="preserve"> (piemēram, aptuvenās SEG inventarizācijas)</w:t>
      </w:r>
      <w:r w:rsidRPr="00F93B95">
        <w:rPr>
          <w:rFonts w:ascii="Times New Roman" w:hAnsi="Times New Roman"/>
          <w:bCs/>
          <w:sz w:val="24"/>
          <w:szCs w:val="24"/>
        </w:rPr>
        <w:t>, tāpat jāņem vērā, ka gandrīz visu ziņojumu iesniegšanas termiņš ir 15. marts, kas var prasīt papildus administratīvo slogu.</w:t>
      </w:r>
      <w:r w:rsidR="00494302" w:rsidRPr="00494302">
        <w:rPr>
          <w:rFonts w:ascii="Times New Roman" w:hAnsi="Times New Roman"/>
          <w:bCs/>
          <w:sz w:val="24"/>
          <w:szCs w:val="24"/>
        </w:rPr>
        <w:t xml:space="preserve"> </w:t>
      </w:r>
      <w:r w:rsidR="00E73B5E">
        <w:rPr>
          <w:rFonts w:ascii="Times New Roman" w:hAnsi="Times New Roman"/>
          <w:bCs/>
          <w:sz w:val="24"/>
          <w:szCs w:val="24"/>
        </w:rPr>
        <w:t>Latvijas ieskatā nepieciešams rūpīgi arī pārdomāt ziņošanas par NEKP prasības, jo ziņošana</w:t>
      </w:r>
      <w:r w:rsidR="00494302" w:rsidRPr="00F93B95">
        <w:rPr>
          <w:rFonts w:ascii="Times New Roman" w:hAnsi="Times New Roman"/>
          <w:bCs/>
          <w:sz w:val="24"/>
          <w:szCs w:val="24"/>
        </w:rPr>
        <w:t xml:space="preserve"> ik pa 2 gadiem </w:t>
      </w:r>
      <w:r w:rsidR="00E73B5E">
        <w:rPr>
          <w:rFonts w:ascii="Times New Roman" w:hAnsi="Times New Roman"/>
          <w:bCs/>
          <w:sz w:val="24"/>
          <w:szCs w:val="24"/>
        </w:rPr>
        <w:t xml:space="preserve"> jau </w:t>
      </w:r>
      <w:r w:rsidR="00494302" w:rsidRPr="00F93B95">
        <w:rPr>
          <w:rFonts w:ascii="Times New Roman" w:hAnsi="Times New Roman"/>
          <w:bCs/>
          <w:sz w:val="24"/>
          <w:szCs w:val="24"/>
        </w:rPr>
        <w:t xml:space="preserve">tiek iesniegti </w:t>
      </w:r>
      <w:r w:rsidR="00494302" w:rsidRPr="00F93B95">
        <w:rPr>
          <w:rFonts w:ascii="Times New Roman" w:hAnsi="Times New Roman"/>
          <w:bCs/>
          <w:sz w:val="24"/>
          <w:szCs w:val="24"/>
        </w:rPr>
        <w:lastRenderedPageBreak/>
        <w:t>ziņojumi par SEG prognozēm, politikām un pasākumiem, kā arī katru gadu tiek iesniegti SEG inventarizācijas ziņojumi.</w:t>
      </w:r>
    </w:p>
    <w:p w14:paraId="7F73DCB2" w14:textId="1270DA1D" w:rsidR="00F93B95" w:rsidRPr="00074E34" w:rsidRDefault="008216C1" w:rsidP="007A5D11">
      <w:pPr>
        <w:spacing w:before="120" w:after="120" w:line="252" w:lineRule="auto"/>
        <w:ind w:firstLine="720"/>
        <w:jc w:val="both"/>
        <w:rPr>
          <w:rFonts w:ascii="Times New Roman" w:hAnsi="Times New Roman"/>
          <w:bCs/>
          <w:sz w:val="24"/>
          <w:szCs w:val="24"/>
        </w:rPr>
      </w:pPr>
      <w:r>
        <w:rPr>
          <w:rFonts w:ascii="Times New Roman" w:hAnsi="Times New Roman"/>
          <w:bCs/>
          <w:sz w:val="24"/>
          <w:szCs w:val="24"/>
        </w:rPr>
        <w:t>Nav izprotama arī</w:t>
      </w:r>
      <w:r w:rsidR="00F93B95" w:rsidRPr="00F93B95">
        <w:rPr>
          <w:rFonts w:ascii="Times New Roman" w:hAnsi="Times New Roman"/>
          <w:bCs/>
          <w:sz w:val="24"/>
          <w:szCs w:val="24"/>
        </w:rPr>
        <w:t xml:space="preserve"> regulas priekšlikum</w:t>
      </w:r>
      <w:r>
        <w:rPr>
          <w:rFonts w:ascii="Times New Roman" w:hAnsi="Times New Roman"/>
          <w:bCs/>
          <w:sz w:val="24"/>
          <w:szCs w:val="24"/>
        </w:rPr>
        <w:t>a</w:t>
      </w:r>
      <w:r w:rsidR="00F93B95" w:rsidRPr="00F93B95">
        <w:rPr>
          <w:rFonts w:ascii="Times New Roman" w:hAnsi="Times New Roman"/>
          <w:bCs/>
          <w:sz w:val="24"/>
          <w:szCs w:val="24"/>
        </w:rPr>
        <w:t xml:space="preserve"> norāde uz ilgtermiņa zemu emisiju stratēģiju ar 50 gadu perspektīvu, lai gan atbilstoši Parīzes Nolīguma pavadošajam lēmumam šobrīd oglekļa mazietilpīgas attīstības stratēģija </w:t>
      </w:r>
      <w:r>
        <w:rPr>
          <w:rFonts w:ascii="Times New Roman" w:hAnsi="Times New Roman"/>
          <w:bCs/>
          <w:sz w:val="24"/>
          <w:szCs w:val="24"/>
        </w:rPr>
        <w:t>jā</w:t>
      </w:r>
      <w:r w:rsidR="00F93B95" w:rsidRPr="00F93B95">
        <w:rPr>
          <w:rFonts w:ascii="Times New Roman" w:hAnsi="Times New Roman"/>
          <w:bCs/>
          <w:sz w:val="24"/>
          <w:szCs w:val="24"/>
        </w:rPr>
        <w:t xml:space="preserve">gatavo ar termiņu līdz 2050.gadam. </w:t>
      </w:r>
      <w:r>
        <w:rPr>
          <w:rFonts w:ascii="Times New Roman" w:hAnsi="Times New Roman"/>
          <w:bCs/>
          <w:sz w:val="24"/>
          <w:szCs w:val="24"/>
        </w:rPr>
        <w:t>Neredzam nepieciešamību</w:t>
      </w:r>
      <w:r w:rsidR="00F93B95" w:rsidRPr="00F93B95">
        <w:rPr>
          <w:rFonts w:ascii="Times New Roman" w:hAnsi="Times New Roman"/>
          <w:bCs/>
          <w:sz w:val="24"/>
          <w:szCs w:val="24"/>
        </w:rPr>
        <w:t xml:space="preserve"> ik 10 gadus </w:t>
      </w:r>
      <w:r>
        <w:rPr>
          <w:rFonts w:ascii="Times New Roman" w:hAnsi="Times New Roman"/>
          <w:bCs/>
          <w:sz w:val="24"/>
          <w:szCs w:val="24"/>
        </w:rPr>
        <w:t>sagatavot jaunas šādas stratēģijas</w:t>
      </w:r>
      <w:r w:rsidR="00F93B95" w:rsidRPr="00F93B95">
        <w:rPr>
          <w:rFonts w:ascii="Times New Roman" w:hAnsi="Times New Roman"/>
          <w:bCs/>
          <w:sz w:val="24"/>
          <w:szCs w:val="24"/>
        </w:rPr>
        <w:t>.</w:t>
      </w:r>
    </w:p>
    <w:p w14:paraId="1AE69772" w14:textId="1A2168FA" w:rsidR="00EF45E2" w:rsidRPr="00074E34" w:rsidRDefault="00F06658" w:rsidP="007A5D11">
      <w:pPr>
        <w:spacing w:before="120" w:after="120" w:line="252" w:lineRule="auto"/>
        <w:ind w:firstLine="720"/>
        <w:jc w:val="both"/>
        <w:rPr>
          <w:rFonts w:ascii="Times New Roman" w:hAnsi="Times New Roman"/>
          <w:bCs/>
          <w:sz w:val="24"/>
          <w:szCs w:val="24"/>
        </w:rPr>
      </w:pPr>
      <w:r w:rsidRPr="00074E34">
        <w:rPr>
          <w:rFonts w:ascii="Times New Roman" w:hAnsi="Times New Roman"/>
          <w:bCs/>
          <w:sz w:val="24"/>
          <w:szCs w:val="24"/>
        </w:rPr>
        <w:t>Līdztekus minētajam, Latvijas ieskatā aktuāla būs EK tehniskā palīdzība plānu sagatavošanā, kā arī nepieciešamo resursu pieejamība.</w:t>
      </w:r>
      <w:r w:rsidR="00C57CB8">
        <w:rPr>
          <w:rFonts w:ascii="Times New Roman" w:hAnsi="Times New Roman"/>
          <w:bCs/>
          <w:sz w:val="24"/>
          <w:szCs w:val="24"/>
        </w:rPr>
        <w:t xml:space="preserve"> </w:t>
      </w:r>
      <w:r w:rsidR="00C57CB8" w:rsidRPr="00C57CB8">
        <w:rPr>
          <w:rFonts w:ascii="Times New Roman" w:hAnsi="Times New Roman"/>
          <w:bCs/>
          <w:sz w:val="24"/>
          <w:szCs w:val="24"/>
        </w:rPr>
        <w:t xml:space="preserve">Vienlaikus, </w:t>
      </w:r>
      <w:r w:rsidR="00DF122C">
        <w:rPr>
          <w:rFonts w:ascii="Times New Roman" w:hAnsi="Times New Roman"/>
          <w:bCs/>
          <w:sz w:val="24"/>
          <w:szCs w:val="24"/>
        </w:rPr>
        <w:t>paredzams, ka</w:t>
      </w:r>
      <w:r w:rsidR="00C57CB8" w:rsidRPr="00C57CB8">
        <w:rPr>
          <w:rFonts w:ascii="Times New Roman" w:hAnsi="Times New Roman"/>
          <w:bCs/>
          <w:sz w:val="24"/>
          <w:szCs w:val="24"/>
        </w:rPr>
        <w:t xml:space="preserve"> jaunais mehānisms radīs būtisku administratīvā sloga pieaugumu, jo īpaši energoefektivitātes un atjaunojamo energoresursu jomās, kā arī ziņošanas kārtībā un apjomā</w:t>
      </w:r>
      <w:r w:rsidR="00C57CB8">
        <w:rPr>
          <w:rFonts w:ascii="Times New Roman" w:hAnsi="Times New Roman"/>
          <w:bCs/>
          <w:sz w:val="24"/>
          <w:szCs w:val="24"/>
        </w:rPr>
        <w:t>.</w:t>
      </w:r>
      <w:r w:rsidR="00C57CB8" w:rsidRPr="00C57CB8">
        <w:rPr>
          <w:rFonts w:ascii="Times New Roman" w:hAnsi="Times New Roman"/>
          <w:bCs/>
          <w:sz w:val="24"/>
          <w:szCs w:val="24"/>
        </w:rPr>
        <w:t xml:space="preserve"> Tādēļ būtiski ir ne vien tehniskās palīdzības, bet arī finanšu pieejamības jautājumi, jo īpaši mazajās ES dalībvalstīs.</w:t>
      </w:r>
    </w:p>
    <w:p w14:paraId="1B4CB0C8" w14:textId="77777777" w:rsidR="00B31E2C" w:rsidRDefault="00F349B9" w:rsidP="007A5D11">
      <w:pPr>
        <w:spacing w:before="120" w:after="120" w:line="252" w:lineRule="auto"/>
        <w:ind w:firstLine="720"/>
        <w:jc w:val="both"/>
        <w:rPr>
          <w:rFonts w:ascii="Times New Roman" w:hAnsi="Times New Roman"/>
          <w:noProof/>
          <w:sz w:val="24"/>
          <w:szCs w:val="24"/>
        </w:rPr>
      </w:pPr>
      <w:r w:rsidRPr="00BB5F30">
        <w:rPr>
          <w:rFonts w:ascii="Times New Roman" w:hAnsi="Times New Roman"/>
          <w:i/>
          <w:noProof/>
          <w:sz w:val="24"/>
          <w:szCs w:val="24"/>
          <w:u w:val="single"/>
        </w:rPr>
        <w:t>b) Energoefektivitātes direktīvas pārskats</w:t>
      </w:r>
      <w:r w:rsidR="00936B09" w:rsidRPr="00BB5F30">
        <w:rPr>
          <w:rFonts w:ascii="Times New Roman" w:hAnsi="Times New Roman"/>
          <w:i/>
          <w:noProof/>
          <w:sz w:val="24"/>
          <w:szCs w:val="24"/>
        </w:rPr>
        <w:t xml:space="preserve"> </w:t>
      </w:r>
      <w:r w:rsidR="00A54158" w:rsidRPr="005B1DF7">
        <w:rPr>
          <w:rFonts w:ascii="Times New Roman" w:hAnsi="Times New Roman"/>
          <w:i/>
          <w:noProof/>
          <w:sz w:val="24"/>
          <w:szCs w:val="24"/>
        </w:rPr>
        <w:t>–</w:t>
      </w:r>
      <w:r w:rsidR="00936B09" w:rsidRPr="005B1DF7">
        <w:rPr>
          <w:rFonts w:ascii="Times New Roman" w:hAnsi="Times New Roman"/>
          <w:i/>
          <w:noProof/>
          <w:sz w:val="24"/>
          <w:szCs w:val="24"/>
        </w:rPr>
        <w:t xml:space="preserve"> </w:t>
      </w:r>
      <w:r w:rsidR="00B31E2C" w:rsidRPr="00074E34">
        <w:rPr>
          <w:rFonts w:ascii="Times New Roman" w:hAnsi="Times New Roman"/>
          <w:noProof/>
          <w:sz w:val="24"/>
          <w:szCs w:val="24"/>
        </w:rPr>
        <w:t>Latvija uzskata, ka attiecībā uz 2030.gada energoefektivitātes mērķu noteikšanu jāievēro 2014.gada oktobra Eiropadomes secinājumi, kas nosaka, ka šie mērķi ir indikatīvi gan dalībvalstu, gan ES līmenī.  Latvijai ir svarīgi, lai  mērķis, īpaši dalībvalstu līmenī, būtu sasn</w:t>
      </w:r>
      <w:r w:rsidR="00C92EC1" w:rsidRPr="00074E34">
        <w:rPr>
          <w:rFonts w:ascii="Times New Roman" w:hAnsi="Times New Roman"/>
          <w:noProof/>
          <w:sz w:val="24"/>
          <w:szCs w:val="24"/>
        </w:rPr>
        <w:t>iedzams izmaksu efektīvā veidā.</w:t>
      </w:r>
    </w:p>
    <w:p w14:paraId="68269D41" w14:textId="77777777" w:rsidR="00BA266C" w:rsidRDefault="00BA266C" w:rsidP="007A5D11">
      <w:pPr>
        <w:spacing w:before="120" w:after="120" w:line="252" w:lineRule="auto"/>
        <w:ind w:firstLine="720"/>
        <w:jc w:val="both"/>
        <w:rPr>
          <w:rFonts w:ascii="Times New Roman" w:hAnsi="Times New Roman"/>
          <w:noProof/>
          <w:sz w:val="24"/>
        </w:rPr>
      </w:pPr>
      <w:r w:rsidRPr="00BA266C">
        <w:rPr>
          <w:rFonts w:ascii="Times New Roman" w:hAnsi="Times New Roman"/>
          <w:noProof/>
          <w:sz w:val="24"/>
        </w:rPr>
        <w:t xml:space="preserve">Latvijas skatījumā </w:t>
      </w:r>
      <w:r>
        <w:rPr>
          <w:rFonts w:ascii="Times New Roman" w:hAnsi="Times New Roman"/>
          <w:noProof/>
          <w:sz w:val="24"/>
        </w:rPr>
        <w:t>direktīvas pārskatam</w:t>
      </w:r>
      <w:r w:rsidRPr="00BA266C">
        <w:rPr>
          <w:rFonts w:ascii="Times New Roman" w:hAnsi="Times New Roman"/>
          <w:noProof/>
          <w:sz w:val="24"/>
        </w:rPr>
        <w:t xml:space="preserve"> ir jāuzlabo esošais regulējums, nodrošinot to, ka tas ir īstenojams un ieviešams visām dalībvalstīm, attiecīgi izvērtējot un nosakot pamatotu ambīciju līmeni, kā arī prasības tā sasniegšanai, lai neradītu nepamatotu administratīvo un finansiālo slogu.</w:t>
      </w:r>
    </w:p>
    <w:p w14:paraId="2C6BB416" w14:textId="51414357" w:rsidR="00BA266C" w:rsidRDefault="002E3D31" w:rsidP="007A5D11">
      <w:pPr>
        <w:spacing w:before="120" w:after="120" w:line="252" w:lineRule="auto"/>
        <w:ind w:firstLine="720"/>
        <w:jc w:val="both"/>
        <w:rPr>
          <w:rFonts w:ascii="Times New Roman" w:hAnsi="Times New Roman"/>
          <w:noProof/>
          <w:sz w:val="24"/>
          <w:szCs w:val="24"/>
        </w:rPr>
      </w:pPr>
      <w:r w:rsidRPr="002E3D31">
        <w:rPr>
          <w:rFonts w:ascii="Times New Roman" w:hAnsi="Times New Roman"/>
          <w:noProof/>
          <w:sz w:val="24"/>
          <w:szCs w:val="24"/>
        </w:rPr>
        <w:t>Energoefektivitātes direktīvā ietvertajiem pasākumiem un to apjomam ir jāveicina ekonomiskā attīstība katrā valstī</w:t>
      </w:r>
      <w:r w:rsidR="005A73B8">
        <w:rPr>
          <w:rFonts w:ascii="Times New Roman" w:hAnsi="Times New Roman"/>
          <w:noProof/>
          <w:sz w:val="24"/>
          <w:szCs w:val="24"/>
        </w:rPr>
        <w:t>, un lai to īstenotu, arī pēc 2020. gada ir</w:t>
      </w:r>
      <w:r w:rsidRPr="002E3D31">
        <w:rPr>
          <w:rFonts w:ascii="Times New Roman" w:hAnsi="Times New Roman"/>
          <w:noProof/>
          <w:sz w:val="24"/>
          <w:szCs w:val="24"/>
        </w:rPr>
        <w:t xml:space="preserve"> </w:t>
      </w:r>
      <w:r w:rsidR="005A73B8">
        <w:rPr>
          <w:rFonts w:ascii="Times New Roman" w:hAnsi="Times New Roman"/>
          <w:noProof/>
          <w:sz w:val="24"/>
          <w:szCs w:val="24"/>
        </w:rPr>
        <w:t>j</w:t>
      </w:r>
      <w:r w:rsidRPr="002E3D31">
        <w:rPr>
          <w:rFonts w:ascii="Times New Roman" w:hAnsi="Times New Roman"/>
          <w:noProof/>
          <w:sz w:val="24"/>
          <w:szCs w:val="24"/>
        </w:rPr>
        <w:t xml:space="preserve">ābūt </w:t>
      </w:r>
      <w:r w:rsidR="005A73B8">
        <w:rPr>
          <w:rFonts w:ascii="Times New Roman" w:hAnsi="Times New Roman"/>
          <w:noProof/>
          <w:sz w:val="24"/>
          <w:szCs w:val="24"/>
        </w:rPr>
        <w:t xml:space="preserve">pieejamiem </w:t>
      </w:r>
      <w:r w:rsidRPr="002E3D31">
        <w:rPr>
          <w:rFonts w:ascii="Times New Roman" w:hAnsi="Times New Roman"/>
          <w:noProof/>
          <w:sz w:val="24"/>
          <w:szCs w:val="24"/>
        </w:rPr>
        <w:t>finan</w:t>
      </w:r>
      <w:r w:rsidR="005A73B8">
        <w:rPr>
          <w:rFonts w:ascii="Times New Roman" w:hAnsi="Times New Roman"/>
          <w:noProof/>
          <w:sz w:val="24"/>
          <w:szCs w:val="24"/>
        </w:rPr>
        <w:t>šu</w:t>
      </w:r>
      <w:r w:rsidRPr="002E3D31">
        <w:rPr>
          <w:rFonts w:ascii="Times New Roman" w:hAnsi="Times New Roman"/>
          <w:noProof/>
          <w:sz w:val="24"/>
          <w:szCs w:val="24"/>
        </w:rPr>
        <w:t xml:space="preserve"> </w:t>
      </w:r>
      <w:r w:rsidR="005A73B8">
        <w:rPr>
          <w:rFonts w:ascii="Times New Roman" w:hAnsi="Times New Roman"/>
          <w:noProof/>
          <w:sz w:val="24"/>
          <w:szCs w:val="24"/>
        </w:rPr>
        <w:t>resursiem</w:t>
      </w:r>
      <w:r w:rsidRPr="002E3D31">
        <w:rPr>
          <w:rFonts w:ascii="Times New Roman" w:hAnsi="Times New Roman"/>
          <w:noProof/>
          <w:sz w:val="24"/>
          <w:szCs w:val="24"/>
        </w:rPr>
        <w:t xml:space="preserve">, tai skaitā ES fondu </w:t>
      </w:r>
      <w:r w:rsidR="005A73B8">
        <w:rPr>
          <w:rFonts w:ascii="Times New Roman" w:hAnsi="Times New Roman"/>
          <w:noProof/>
          <w:sz w:val="24"/>
          <w:szCs w:val="24"/>
        </w:rPr>
        <w:t>ietvaros</w:t>
      </w:r>
      <w:r w:rsidRPr="002E3D31">
        <w:rPr>
          <w:rFonts w:ascii="Times New Roman" w:hAnsi="Times New Roman"/>
          <w:noProof/>
          <w:sz w:val="24"/>
          <w:szCs w:val="24"/>
        </w:rPr>
        <w:t>.</w:t>
      </w:r>
      <w:r w:rsidR="00BA266C">
        <w:rPr>
          <w:rFonts w:ascii="Times New Roman" w:hAnsi="Times New Roman"/>
          <w:noProof/>
          <w:sz w:val="24"/>
          <w:szCs w:val="24"/>
        </w:rPr>
        <w:t xml:space="preserve"> </w:t>
      </w:r>
    </w:p>
    <w:p w14:paraId="02678B4F" w14:textId="1CACB155" w:rsidR="00E30FB6" w:rsidRPr="00074E34" w:rsidRDefault="00C92EC1" w:rsidP="007A5D11">
      <w:pPr>
        <w:spacing w:before="120" w:after="120" w:line="252" w:lineRule="auto"/>
        <w:ind w:firstLine="720"/>
        <w:jc w:val="both"/>
        <w:rPr>
          <w:rFonts w:ascii="Times New Roman" w:hAnsi="Times New Roman"/>
          <w:noProof/>
          <w:sz w:val="24"/>
          <w:szCs w:val="24"/>
        </w:rPr>
      </w:pPr>
      <w:r w:rsidRPr="00074E34">
        <w:rPr>
          <w:rFonts w:ascii="Times New Roman" w:hAnsi="Times New Roman"/>
          <w:noProof/>
          <w:sz w:val="24"/>
          <w:szCs w:val="24"/>
        </w:rPr>
        <w:t xml:space="preserve">Latvijai ir bažas par </w:t>
      </w:r>
      <w:r w:rsidR="007F7BEB">
        <w:rPr>
          <w:rFonts w:ascii="Times New Roman" w:hAnsi="Times New Roman"/>
          <w:noProof/>
          <w:sz w:val="24"/>
          <w:szCs w:val="24"/>
        </w:rPr>
        <w:t>dalībvalstu</w:t>
      </w:r>
      <w:r w:rsidR="007F7BEB" w:rsidRPr="00074E34">
        <w:rPr>
          <w:rFonts w:ascii="Times New Roman" w:hAnsi="Times New Roman"/>
          <w:noProof/>
          <w:sz w:val="24"/>
          <w:szCs w:val="24"/>
        </w:rPr>
        <w:t xml:space="preserve"> </w:t>
      </w:r>
      <w:r w:rsidRPr="00074E34">
        <w:rPr>
          <w:rFonts w:ascii="Times New Roman" w:hAnsi="Times New Roman"/>
          <w:noProof/>
          <w:sz w:val="24"/>
          <w:szCs w:val="24"/>
        </w:rPr>
        <w:t xml:space="preserve">nacionālo ieguldījumu </w:t>
      </w:r>
      <w:r w:rsidRPr="00074E34">
        <w:rPr>
          <w:rFonts w:ascii="Times New Roman" w:hAnsi="Times New Roman"/>
          <w:i/>
          <w:noProof/>
          <w:sz w:val="24"/>
          <w:szCs w:val="24"/>
        </w:rPr>
        <w:t>(contributions)</w:t>
      </w:r>
      <w:r w:rsidRPr="00074E34">
        <w:rPr>
          <w:rFonts w:ascii="Times New Roman" w:hAnsi="Times New Roman"/>
          <w:noProof/>
          <w:sz w:val="24"/>
          <w:szCs w:val="24"/>
        </w:rPr>
        <w:t xml:space="preserve"> jēdziena izmantošanu attiecībā uz visām Enerģētikas savienības dimensijām, tai skaitā arī attiecībā uz nacionālajiem energoefektivitātes mērķiem</w:t>
      </w:r>
      <w:r w:rsidR="00A86588">
        <w:rPr>
          <w:rFonts w:ascii="Times New Roman" w:hAnsi="Times New Roman"/>
          <w:noProof/>
          <w:sz w:val="24"/>
          <w:szCs w:val="24"/>
        </w:rPr>
        <w:t>, ņemot vērā, ka šajā jomā nav paredzēti saistoši mērķi</w:t>
      </w:r>
      <w:r w:rsidR="00B72FFB">
        <w:rPr>
          <w:rFonts w:ascii="Times New Roman" w:hAnsi="Times New Roman"/>
          <w:noProof/>
          <w:sz w:val="24"/>
          <w:szCs w:val="24"/>
        </w:rPr>
        <w:t>.</w:t>
      </w:r>
    </w:p>
    <w:p w14:paraId="595812FD" w14:textId="1C51CFF6" w:rsidR="00E30FB6" w:rsidRPr="00074E34" w:rsidRDefault="00E30FB6" w:rsidP="007A5D11">
      <w:pPr>
        <w:spacing w:before="120" w:after="120" w:line="252" w:lineRule="auto"/>
        <w:ind w:firstLine="720"/>
        <w:jc w:val="both"/>
        <w:rPr>
          <w:rFonts w:ascii="Times New Roman" w:hAnsi="Times New Roman"/>
          <w:noProof/>
          <w:sz w:val="24"/>
          <w:szCs w:val="24"/>
        </w:rPr>
      </w:pPr>
      <w:r w:rsidRPr="00074E34">
        <w:rPr>
          <w:rFonts w:ascii="Times New Roman" w:hAnsi="Times New Roman"/>
          <w:noProof/>
          <w:sz w:val="24"/>
          <w:szCs w:val="24"/>
        </w:rPr>
        <w:t>Latvijas skatījumā prasība dalībvalstīm sasniegt noteiktu kumulatīvu enerģijas galapatēriņa ietaupījumu faktiski ir obligāts enerģijas ietaupījuma mērķis</w:t>
      </w:r>
      <w:r w:rsidR="002E3D31">
        <w:rPr>
          <w:rFonts w:ascii="Times New Roman" w:hAnsi="Times New Roman"/>
          <w:noProof/>
          <w:sz w:val="24"/>
          <w:szCs w:val="24"/>
        </w:rPr>
        <w:t xml:space="preserve">. </w:t>
      </w:r>
      <w:r w:rsidR="002E3D31" w:rsidRPr="002E3D31">
        <w:t xml:space="preserve"> </w:t>
      </w:r>
      <w:r w:rsidR="002E3D31" w:rsidRPr="002E3D31">
        <w:rPr>
          <w:rFonts w:ascii="Times New Roman" w:hAnsi="Times New Roman"/>
          <w:noProof/>
          <w:sz w:val="24"/>
          <w:szCs w:val="24"/>
        </w:rPr>
        <w:t xml:space="preserve">Latvijai </w:t>
      </w:r>
      <w:r w:rsidR="00662041">
        <w:rPr>
          <w:rFonts w:ascii="Times New Roman" w:hAnsi="Times New Roman"/>
          <w:noProof/>
          <w:sz w:val="24"/>
          <w:szCs w:val="24"/>
        </w:rPr>
        <w:t xml:space="preserve">rada bažas </w:t>
      </w:r>
      <w:r w:rsidR="002E3D31" w:rsidRPr="002E3D31">
        <w:rPr>
          <w:rFonts w:ascii="Times New Roman" w:hAnsi="Times New Roman"/>
          <w:noProof/>
          <w:sz w:val="24"/>
          <w:szCs w:val="24"/>
        </w:rPr>
        <w:t xml:space="preserve">obligātā galapatēriņa ietaupījuma kumulatīvā apjoma </w:t>
      </w:r>
      <w:r w:rsidR="00DB0F94">
        <w:rPr>
          <w:rFonts w:ascii="Times New Roman" w:hAnsi="Times New Roman"/>
          <w:noProof/>
          <w:sz w:val="24"/>
          <w:szCs w:val="24"/>
        </w:rPr>
        <w:t xml:space="preserve">būtisks </w:t>
      </w:r>
      <w:r w:rsidR="002E3D31" w:rsidRPr="002E3D31">
        <w:rPr>
          <w:rFonts w:ascii="Times New Roman" w:hAnsi="Times New Roman"/>
          <w:noProof/>
          <w:sz w:val="24"/>
          <w:szCs w:val="24"/>
        </w:rPr>
        <w:t>pieaugums 2021.-2030. gada periodā</w:t>
      </w:r>
      <w:r w:rsidR="00C03884">
        <w:rPr>
          <w:rFonts w:ascii="Times New Roman" w:hAnsi="Times New Roman"/>
          <w:noProof/>
          <w:sz w:val="24"/>
          <w:szCs w:val="24"/>
        </w:rPr>
        <w:t xml:space="preserve"> (vismaz 2 reizes</w:t>
      </w:r>
      <w:r w:rsidR="00130D3E">
        <w:rPr>
          <w:rFonts w:ascii="Times New Roman" w:hAnsi="Times New Roman"/>
          <w:noProof/>
          <w:sz w:val="24"/>
          <w:szCs w:val="24"/>
        </w:rPr>
        <w:t xml:space="preserve"> iepretim 2014.-2020. gadam</w:t>
      </w:r>
      <w:r w:rsidR="00C03884">
        <w:rPr>
          <w:rFonts w:ascii="Times New Roman" w:hAnsi="Times New Roman"/>
          <w:noProof/>
          <w:sz w:val="24"/>
          <w:szCs w:val="24"/>
        </w:rPr>
        <w:t>)</w:t>
      </w:r>
      <w:r w:rsidR="002E3D31" w:rsidRPr="002E3D31">
        <w:rPr>
          <w:rFonts w:ascii="Times New Roman" w:hAnsi="Times New Roman"/>
          <w:noProof/>
          <w:sz w:val="24"/>
          <w:szCs w:val="24"/>
        </w:rPr>
        <w:t>. Ņemot v</w:t>
      </w:r>
      <w:r w:rsidR="00DB0F94">
        <w:rPr>
          <w:rFonts w:ascii="Times New Roman" w:hAnsi="Times New Roman"/>
          <w:noProof/>
          <w:sz w:val="24"/>
          <w:szCs w:val="24"/>
        </w:rPr>
        <w:t>ērā līdzšinējo pieredzi</w:t>
      </w:r>
      <w:r w:rsidR="002C0356">
        <w:rPr>
          <w:rFonts w:ascii="Times New Roman" w:hAnsi="Times New Roman"/>
          <w:noProof/>
          <w:sz w:val="24"/>
          <w:szCs w:val="24"/>
        </w:rPr>
        <w:t xml:space="preserve"> 2020. gada mērķa īstenošanā</w:t>
      </w:r>
      <w:r w:rsidR="00DB0F94">
        <w:rPr>
          <w:rFonts w:ascii="Times New Roman" w:hAnsi="Times New Roman"/>
          <w:noProof/>
          <w:sz w:val="24"/>
          <w:szCs w:val="24"/>
        </w:rPr>
        <w:t xml:space="preserve">, Latvijai būtu grūti </w:t>
      </w:r>
      <w:r w:rsidR="002E3D31" w:rsidRPr="002E3D31">
        <w:rPr>
          <w:rFonts w:ascii="Times New Roman" w:hAnsi="Times New Roman"/>
          <w:noProof/>
          <w:sz w:val="24"/>
          <w:szCs w:val="24"/>
        </w:rPr>
        <w:t xml:space="preserve">izpildīt </w:t>
      </w:r>
      <w:r w:rsidR="00335C34">
        <w:rPr>
          <w:rFonts w:ascii="Times New Roman" w:hAnsi="Times New Roman"/>
          <w:noProof/>
          <w:sz w:val="24"/>
          <w:szCs w:val="24"/>
        </w:rPr>
        <w:t xml:space="preserve">ievērojami </w:t>
      </w:r>
      <w:r w:rsidR="002E3D31" w:rsidRPr="002E3D31">
        <w:rPr>
          <w:rFonts w:ascii="Times New Roman" w:hAnsi="Times New Roman"/>
          <w:noProof/>
          <w:sz w:val="24"/>
          <w:szCs w:val="24"/>
        </w:rPr>
        <w:t xml:space="preserve">lielāku mērķi </w:t>
      </w:r>
      <w:r w:rsidR="00335C34">
        <w:rPr>
          <w:rFonts w:ascii="Times New Roman" w:hAnsi="Times New Roman"/>
          <w:noProof/>
          <w:sz w:val="24"/>
          <w:szCs w:val="24"/>
        </w:rPr>
        <w:t xml:space="preserve">2030. gadā </w:t>
      </w:r>
      <w:r w:rsidR="002E3D31">
        <w:rPr>
          <w:rFonts w:ascii="Times New Roman" w:hAnsi="Times New Roman"/>
          <w:noProof/>
          <w:sz w:val="24"/>
          <w:szCs w:val="24"/>
        </w:rPr>
        <w:t xml:space="preserve">tikai ar </w:t>
      </w:r>
      <w:r w:rsidR="002E3D31" w:rsidRPr="002E3D31">
        <w:rPr>
          <w:rFonts w:ascii="Times New Roman" w:hAnsi="Times New Roman"/>
          <w:noProof/>
          <w:sz w:val="24"/>
          <w:szCs w:val="24"/>
        </w:rPr>
        <w:t xml:space="preserve">nacionālajiem finanšu resursiem. </w:t>
      </w:r>
      <w:r w:rsidR="001300A0">
        <w:rPr>
          <w:rFonts w:ascii="Times New Roman" w:hAnsi="Times New Roman"/>
          <w:noProof/>
          <w:sz w:val="24"/>
          <w:szCs w:val="24"/>
        </w:rPr>
        <w:t xml:space="preserve">Tas skaidrojams ar to, ka </w:t>
      </w:r>
      <w:r w:rsidR="00C03884">
        <w:rPr>
          <w:rFonts w:ascii="Times New Roman" w:hAnsi="Times New Roman"/>
          <w:noProof/>
          <w:sz w:val="24"/>
          <w:szCs w:val="24"/>
        </w:rPr>
        <w:t xml:space="preserve">attiecībā uz 2020. gada mērķi, īstenojot </w:t>
      </w:r>
      <w:r w:rsidR="009E7247">
        <w:rPr>
          <w:rFonts w:ascii="Times New Roman" w:hAnsi="Times New Roman"/>
          <w:noProof/>
          <w:sz w:val="24"/>
          <w:szCs w:val="24"/>
        </w:rPr>
        <w:t xml:space="preserve">ilgtermiņa energoefektivitātes pasākumus ar vislielāko potenciālu un vienlaikus būtisku sociālo funkciju, t.i. </w:t>
      </w:r>
      <w:r w:rsidR="00130D3E">
        <w:rPr>
          <w:rFonts w:ascii="Times New Roman" w:hAnsi="Times New Roman"/>
          <w:noProof/>
          <w:sz w:val="24"/>
          <w:szCs w:val="24"/>
        </w:rPr>
        <w:t>renovējot dzīvojamās mājas</w:t>
      </w:r>
      <w:r w:rsidR="008F1721">
        <w:rPr>
          <w:rFonts w:ascii="Times New Roman" w:hAnsi="Times New Roman"/>
          <w:noProof/>
          <w:sz w:val="24"/>
          <w:szCs w:val="24"/>
        </w:rPr>
        <w:t>, izmaksas ir pielīdzināmas vismaz 8%</w:t>
      </w:r>
      <w:r w:rsidR="00E90BD1">
        <w:rPr>
          <w:rStyle w:val="FootnoteReference"/>
          <w:rFonts w:ascii="Times New Roman" w:hAnsi="Times New Roman"/>
          <w:noProof/>
          <w:sz w:val="24"/>
          <w:szCs w:val="24"/>
        </w:rPr>
        <w:footnoteReference w:id="11"/>
      </w:r>
      <w:r w:rsidR="008F1721">
        <w:rPr>
          <w:rFonts w:ascii="Times New Roman" w:hAnsi="Times New Roman"/>
          <w:noProof/>
          <w:sz w:val="24"/>
          <w:szCs w:val="24"/>
        </w:rPr>
        <w:t xml:space="preserve"> no </w:t>
      </w:r>
      <w:r w:rsidR="00F433DD">
        <w:rPr>
          <w:rFonts w:ascii="Times New Roman" w:hAnsi="Times New Roman"/>
          <w:noProof/>
          <w:sz w:val="24"/>
          <w:szCs w:val="24"/>
        </w:rPr>
        <w:t xml:space="preserve">Latvijas </w:t>
      </w:r>
      <w:r w:rsidR="008F1721">
        <w:rPr>
          <w:rFonts w:ascii="Times New Roman" w:hAnsi="Times New Roman"/>
          <w:noProof/>
          <w:sz w:val="24"/>
          <w:szCs w:val="24"/>
        </w:rPr>
        <w:t>iekšzemes kopprodukta</w:t>
      </w:r>
      <w:r w:rsidR="004B6956">
        <w:rPr>
          <w:rFonts w:ascii="Times New Roman" w:hAnsi="Times New Roman"/>
          <w:noProof/>
          <w:sz w:val="24"/>
          <w:szCs w:val="24"/>
        </w:rPr>
        <w:t xml:space="preserve"> </w:t>
      </w:r>
      <w:r w:rsidR="004357D1">
        <w:rPr>
          <w:rFonts w:ascii="Times New Roman" w:hAnsi="Times New Roman"/>
          <w:noProof/>
          <w:sz w:val="24"/>
          <w:szCs w:val="24"/>
        </w:rPr>
        <w:t>2016. gad</w:t>
      </w:r>
      <w:r w:rsidR="004B6956">
        <w:rPr>
          <w:rFonts w:ascii="Times New Roman" w:hAnsi="Times New Roman"/>
          <w:noProof/>
          <w:sz w:val="24"/>
          <w:szCs w:val="24"/>
        </w:rPr>
        <w:t>ā</w:t>
      </w:r>
      <w:r w:rsidR="008F1721">
        <w:rPr>
          <w:rFonts w:ascii="Times New Roman" w:hAnsi="Times New Roman"/>
          <w:noProof/>
          <w:sz w:val="24"/>
          <w:szCs w:val="24"/>
        </w:rPr>
        <w:t>.</w:t>
      </w:r>
      <w:r w:rsidR="009A0799">
        <w:rPr>
          <w:rFonts w:ascii="Times New Roman" w:hAnsi="Times New Roman"/>
          <w:noProof/>
          <w:sz w:val="24"/>
          <w:szCs w:val="24"/>
        </w:rPr>
        <w:t xml:space="preserve"> </w:t>
      </w:r>
      <w:r w:rsidR="004B6956">
        <w:rPr>
          <w:rFonts w:ascii="Times New Roman" w:hAnsi="Times New Roman"/>
          <w:noProof/>
          <w:sz w:val="24"/>
          <w:szCs w:val="24"/>
        </w:rPr>
        <w:t>Savukārt pieaugot mērķim šis rādītājs būs ievērojami lielāks. Līdz ar to n</w:t>
      </w:r>
      <w:r w:rsidR="002E3D31" w:rsidRPr="002E3D31">
        <w:rPr>
          <w:rFonts w:ascii="Times New Roman" w:hAnsi="Times New Roman"/>
          <w:noProof/>
          <w:sz w:val="24"/>
          <w:szCs w:val="24"/>
        </w:rPr>
        <w:t xml:space="preserve">acionālie resursi energoefektivitātes mērķu sasniegšanai Latvijai kā valstij ar IKP zem ES vidējā </w:t>
      </w:r>
      <w:r w:rsidR="007F767F">
        <w:rPr>
          <w:rFonts w:ascii="Times New Roman" w:hAnsi="Times New Roman"/>
          <w:noProof/>
          <w:sz w:val="24"/>
          <w:szCs w:val="24"/>
        </w:rPr>
        <w:t xml:space="preserve">līmeņa </w:t>
      </w:r>
      <w:r w:rsidR="002E3D31" w:rsidRPr="002E3D31">
        <w:rPr>
          <w:rFonts w:ascii="Times New Roman" w:hAnsi="Times New Roman"/>
          <w:noProof/>
          <w:sz w:val="24"/>
          <w:szCs w:val="24"/>
        </w:rPr>
        <w:t xml:space="preserve">ilgtermiņā var būt liels izaicinājums.  </w:t>
      </w:r>
    </w:p>
    <w:p w14:paraId="225540E3" w14:textId="541C9D4D" w:rsidR="005D4CE4" w:rsidRPr="000F5E81" w:rsidRDefault="009A04F2" w:rsidP="007A5D11">
      <w:pPr>
        <w:autoSpaceDE w:val="0"/>
        <w:autoSpaceDN w:val="0"/>
        <w:adjustRightInd w:val="0"/>
        <w:spacing w:before="120" w:after="120" w:line="252" w:lineRule="auto"/>
        <w:ind w:firstLine="567"/>
        <w:jc w:val="both"/>
        <w:rPr>
          <w:rFonts w:ascii="Times New Roman" w:hAnsi="Times New Roman"/>
          <w:sz w:val="24"/>
          <w:szCs w:val="24"/>
        </w:rPr>
      </w:pPr>
      <w:r w:rsidRPr="008B5FB8">
        <w:rPr>
          <w:rFonts w:ascii="Times New Roman" w:hAnsi="Times New Roman"/>
          <w:i/>
          <w:noProof/>
          <w:sz w:val="24"/>
          <w:szCs w:val="24"/>
          <w:u w:val="single"/>
        </w:rPr>
        <w:t>c) Ēku energoefektivitātes direktīvas pārskats</w:t>
      </w:r>
      <w:r>
        <w:rPr>
          <w:rFonts w:ascii="Times New Roman" w:hAnsi="Times New Roman"/>
          <w:noProof/>
          <w:sz w:val="24"/>
          <w:szCs w:val="24"/>
        </w:rPr>
        <w:t xml:space="preserve"> – </w:t>
      </w:r>
      <w:r w:rsidR="005D4CE4" w:rsidRPr="0044088C">
        <w:rPr>
          <w:rFonts w:ascii="Times New Roman" w:hAnsi="Times New Roman"/>
          <w:sz w:val="24"/>
          <w:szCs w:val="24"/>
        </w:rPr>
        <w:t>Latvija kopumā atzin</w:t>
      </w:r>
      <w:r w:rsidR="00C60DAF">
        <w:rPr>
          <w:rFonts w:ascii="Times New Roman" w:hAnsi="Times New Roman"/>
          <w:sz w:val="24"/>
          <w:szCs w:val="24"/>
        </w:rPr>
        <w:t xml:space="preserve">īgi vērtē </w:t>
      </w:r>
      <w:r w:rsidR="00AC1EFE">
        <w:rPr>
          <w:rFonts w:ascii="Times New Roman" w:hAnsi="Times New Roman"/>
          <w:sz w:val="24"/>
          <w:szCs w:val="24"/>
        </w:rPr>
        <w:t>EK</w:t>
      </w:r>
      <w:r w:rsidR="00C60DAF">
        <w:rPr>
          <w:rFonts w:ascii="Times New Roman" w:hAnsi="Times New Roman"/>
          <w:sz w:val="24"/>
          <w:szCs w:val="24"/>
        </w:rPr>
        <w:t xml:space="preserve"> izstrādāto p</w:t>
      </w:r>
      <w:r w:rsidR="005D4CE4" w:rsidRPr="0044088C">
        <w:rPr>
          <w:rFonts w:ascii="Times New Roman" w:hAnsi="Times New Roman"/>
          <w:sz w:val="24"/>
          <w:szCs w:val="24"/>
        </w:rPr>
        <w:t>riekšlikumu</w:t>
      </w:r>
      <w:r w:rsidR="00C60DAF">
        <w:rPr>
          <w:rFonts w:ascii="Times New Roman" w:hAnsi="Times New Roman"/>
          <w:sz w:val="24"/>
          <w:szCs w:val="24"/>
        </w:rPr>
        <w:t xml:space="preserve"> un</w:t>
      </w:r>
      <w:r w:rsidR="005D4CE4" w:rsidRPr="0044088C">
        <w:rPr>
          <w:rFonts w:ascii="Times New Roman" w:hAnsi="Times New Roman"/>
          <w:sz w:val="24"/>
          <w:szCs w:val="24"/>
        </w:rPr>
        <w:t xml:space="preserve"> atzinīgi vērtē izvirzīto mērķi – palielināt ēku atjaunošanas tempus, virzoties uz ēku fonda dekarbonizāciju, vienkāršot šobrīd pastāvošos noteikumus, tādā veidā samazinot administratīvo slogu, vienlaikus pielāgojot tos, ņemot vērā straujo tehnoloģiju attīstību.</w:t>
      </w:r>
      <w:r w:rsidR="005D4CE4">
        <w:rPr>
          <w:rFonts w:ascii="Times New Roman" w:hAnsi="Times New Roman"/>
          <w:sz w:val="24"/>
          <w:szCs w:val="24"/>
        </w:rPr>
        <w:t xml:space="preserve"> </w:t>
      </w:r>
      <w:r w:rsidR="005D4CE4" w:rsidRPr="000F5E81">
        <w:rPr>
          <w:rStyle w:val="CommentReference"/>
          <w:rFonts w:ascii="Times New Roman" w:hAnsi="Times New Roman"/>
          <w:sz w:val="24"/>
          <w:szCs w:val="24"/>
        </w:rPr>
        <w:t>M</w:t>
      </w:r>
      <w:r w:rsidR="005D4CE4" w:rsidRPr="000F5E81">
        <w:rPr>
          <w:rFonts w:ascii="Times New Roman" w:hAnsi="Times New Roman"/>
          <w:sz w:val="24"/>
          <w:szCs w:val="24"/>
        </w:rPr>
        <w:t xml:space="preserve">ērķis ēku fonda dekarbonizācija līdz 2050.gadam varētu būt atbalstāms, jo to nosaka </w:t>
      </w:r>
      <w:r w:rsidR="005D4CE4" w:rsidRPr="000F5E81">
        <w:rPr>
          <w:rFonts w:ascii="Times New Roman" w:hAnsi="Times New Roman"/>
          <w:sz w:val="24"/>
          <w:szCs w:val="24"/>
        </w:rPr>
        <w:lastRenderedPageBreak/>
        <w:t xml:space="preserve">Enerģētikas savienības noteiktie ilgtermiņa mērķi oglekļa mazietilpīgas attīstības veicināšanai. </w:t>
      </w:r>
      <w:r w:rsidR="005D4CE4" w:rsidRPr="00772420">
        <w:rPr>
          <w:rFonts w:ascii="Times New Roman" w:hAnsi="Times New Roman"/>
          <w:sz w:val="24"/>
          <w:szCs w:val="24"/>
        </w:rPr>
        <w:t xml:space="preserve">Vienlaikus Latvija uzskata, ka, </w:t>
      </w:r>
      <w:r w:rsidR="005D4CE4" w:rsidRPr="00B51B6E">
        <w:rPr>
          <w:rFonts w:ascii="Times New Roman" w:hAnsi="Times New Roman"/>
          <w:sz w:val="24"/>
          <w:szCs w:val="24"/>
        </w:rPr>
        <w:t>l</w:t>
      </w:r>
      <w:r w:rsidR="005D4CE4" w:rsidRPr="006E69A0">
        <w:rPr>
          <w:rFonts w:ascii="Times New Roman" w:hAnsi="Times New Roman"/>
          <w:sz w:val="24"/>
          <w:szCs w:val="24"/>
        </w:rPr>
        <w:t>ai minētais mērķis būtu sasniedzams, ir nepieciešams stimulēt ēku atjaunošanas procesus</w:t>
      </w:r>
      <w:r w:rsidR="005D4CE4" w:rsidRPr="00F6567B">
        <w:rPr>
          <w:rFonts w:ascii="Times New Roman" w:hAnsi="Times New Roman"/>
          <w:sz w:val="24"/>
          <w:szCs w:val="24"/>
        </w:rPr>
        <w:t>, kā rezultātā Latvija pauž bažas par ārējā finansējuma un citu atbalsta mehānismu pieejamību</w:t>
      </w:r>
      <w:r w:rsidR="005D4CE4">
        <w:rPr>
          <w:rFonts w:ascii="Times New Roman" w:hAnsi="Times New Roman"/>
          <w:sz w:val="24"/>
          <w:szCs w:val="24"/>
        </w:rPr>
        <w:t>, jo īpaši ņemot vērā to, ka</w:t>
      </w:r>
      <w:r w:rsidR="005D4CE4" w:rsidRPr="005D4CE4">
        <w:rPr>
          <w:rFonts w:ascii="Times New Roman" w:hAnsi="Times New Roman"/>
          <w:sz w:val="24"/>
          <w:szCs w:val="24"/>
        </w:rPr>
        <w:t xml:space="preserve"> </w:t>
      </w:r>
      <w:r w:rsidR="005D4CE4">
        <w:rPr>
          <w:rFonts w:ascii="Times New Roman" w:hAnsi="Times New Roman"/>
          <w:sz w:val="24"/>
          <w:szCs w:val="24"/>
        </w:rPr>
        <w:t>pašreizējā situācijā ēku īpašnieku ierobežotā maksātspēja liedz iespēju veikt būtiskas investīcijas ēku fonda dekarbonizācijā.</w:t>
      </w:r>
    </w:p>
    <w:p w14:paraId="3BA71457" w14:textId="77777777" w:rsidR="00C60DAF" w:rsidRPr="00C60DAF" w:rsidRDefault="00C60DAF" w:rsidP="007A5D11">
      <w:pPr>
        <w:autoSpaceDE w:val="0"/>
        <w:autoSpaceDN w:val="0"/>
        <w:adjustRightInd w:val="0"/>
        <w:spacing w:before="120" w:after="120" w:line="252" w:lineRule="auto"/>
        <w:ind w:firstLine="567"/>
        <w:jc w:val="both"/>
        <w:rPr>
          <w:rFonts w:ascii="Times New Roman" w:hAnsi="Times New Roman"/>
          <w:sz w:val="24"/>
          <w:szCs w:val="24"/>
          <w:u w:val="single"/>
        </w:rPr>
      </w:pPr>
      <w:r w:rsidRPr="0044088C">
        <w:rPr>
          <w:rFonts w:ascii="Times New Roman" w:hAnsi="Times New Roman"/>
          <w:sz w:val="24"/>
          <w:szCs w:val="24"/>
        </w:rPr>
        <w:t>Vienlaikus pozitīvi vērtējama ie</w:t>
      </w:r>
      <w:r>
        <w:rPr>
          <w:rFonts w:ascii="Times New Roman" w:hAnsi="Times New Roman"/>
          <w:sz w:val="24"/>
          <w:szCs w:val="24"/>
        </w:rPr>
        <w:t xml:space="preserve">tvertā </w:t>
      </w:r>
      <w:proofErr w:type="spellStart"/>
      <w:r>
        <w:rPr>
          <w:rFonts w:ascii="Times New Roman" w:hAnsi="Times New Roman"/>
          <w:sz w:val="24"/>
          <w:szCs w:val="24"/>
        </w:rPr>
        <w:t>fleksibilitāte</w:t>
      </w:r>
      <w:proofErr w:type="spellEnd"/>
      <w:r>
        <w:rPr>
          <w:rFonts w:ascii="Times New Roman" w:hAnsi="Times New Roman"/>
          <w:sz w:val="24"/>
          <w:szCs w:val="24"/>
        </w:rPr>
        <w:t>, līdz ar p</w:t>
      </w:r>
      <w:r w:rsidRPr="0044088C">
        <w:rPr>
          <w:rFonts w:ascii="Times New Roman" w:hAnsi="Times New Roman"/>
          <w:sz w:val="24"/>
          <w:szCs w:val="24"/>
        </w:rPr>
        <w:t>riekšlikumu neizvirzot kvantitatīvu mērķi</w:t>
      </w:r>
      <w:r w:rsidRPr="00C60DAF">
        <w:rPr>
          <w:rFonts w:ascii="Times New Roman" w:hAnsi="Times New Roman"/>
          <w:sz w:val="24"/>
          <w:szCs w:val="24"/>
        </w:rPr>
        <w:t xml:space="preserve"> attiecībā uz ēku sektoru. Latvija uzskata, ka kopējais dekarbonizācijas mērķis jāsasniedz, pielietojot izmaksu efektīvus pasākumus. </w:t>
      </w:r>
    </w:p>
    <w:p w14:paraId="60258A4D" w14:textId="77777777" w:rsidR="00C16AEB" w:rsidRDefault="00C37A32" w:rsidP="007A5D11">
      <w:pPr>
        <w:spacing w:before="120" w:after="120" w:line="252" w:lineRule="auto"/>
        <w:ind w:firstLine="720"/>
        <w:jc w:val="both"/>
        <w:rPr>
          <w:rFonts w:ascii="Times New Roman" w:hAnsi="Times New Roman"/>
          <w:sz w:val="24"/>
          <w:szCs w:val="24"/>
        </w:rPr>
      </w:pPr>
      <w:r w:rsidRPr="008B5FB8">
        <w:rPr>
          <w:rFonts w:ascii="Times New Roman" w:hAnsi="Times New Roman"/>
          <w:i/>
          <w:noProof/>
          <w:sz w:val="24"/>
          <w:szCs w:val="24"/>
          <w:u w:val="single"/>
        </w:rPr>
        <w:t>d) </w:t>
      </w:r>
      <w:r w:rsidR="00464248" w:rsidRPr="008B5FB8">
        <w:rPr>
          <w:rFonts w:ascii="Times New Roman" w:hAnsi="Times New Roman"/>
          <w:i/>
          <w:noProof/>
          <w:sz w:val="24"/>
          <w:szCs w:val="24"/>
          <w:u w:val="single"/>
        </w:rPr>
        <w:t>Atjaunojamo energoresursu direktīvas pārskats</w:t>
      </w:r>
      <w:r w:rsidR="00464248">
        <w:rPr>
          <w:rFonts w:ascii="Times New Roman" w:hAnsi="Times New Roman"/>
          <w:i/>
          <w:noProof/>
          <w:sz w:val="24"/>
          <w:szCs w:val="24"/>
        </w:rPr>
        <w:t xml:space="preserve"> – </w:t>
      </w:r>
      <w:r w:rsidR="00761B2E" w:rsidRPr="008B5FB8">
        <w:rPr>
          <w:rFonts w:ascii="Times New Roman" w:hAnsi="Times New Roman"/>
          <w:sz w:val="24"/>
          <w:szCs w:val="24"/>
        </w:rPr>
        <w:t>Latvija kopumā atbalsta direktīvas priekšlikumu, kas ir vērsts uz plašāku atjaunojamo energoresursu izmantošanu, to efektīvāku integrēšanu ES enerģi</w:t>
      </w:r>
      <w:r w:rsidR="00761B2E">
        <w:rPr>
          <w:rFonts w:ascii="Times New Roman" w:hAnsi="Times New Roman"/>
          <w:sz w:val="24"/>
          <w:szCs w:val="24"/>
        </w:rPr>
        <w:t>j</w:t>
      </w:r>
      <w:r w:rsidR="00761B2E" w:rsidRPr="008B5FB8">
        <w:rPr>
          <w:rFonts w:ascii="Times New Roman" w:hAnsi="Times New Roman"/>
          <w:sz w:val="24"/>
          <w:szCs w:val="24"/>
        </w:rPr>
        <w:t>as tirgū, kā arī uz 2030.gada enerģētikas un klimata mērķu sasniegšanu.</w:t>
      </w:r>
      <w:r w:rsidR="006A4490">
        <w:rPr>
          <w:rFonts w:ascii="Times New Roman" w:hAnsi="Times New Roman"/>
          <w:sz w:val="24"/>
          <w:szCs w:val="24"/>
        </w:rPr>
        <w:t xml:space="preserve"> Vienlaikus, ja šodien būtu diskusija par atsevišķiem saturiskajiem elementiem, būtu nepieciešams pieteikt izpētes atrunu.</w:t>
      </w:r>
    </w:p>
    <w:p w14:paraId="1B3788D0" w14:textId="4DD443F6" w:rsidR="00761B2E" w:rsidRDefault="00761B2E" w:rsidP="007A5D11">
      <w:pPr>
        <w:spacing w:before="120" w:after="120" w:line="252" w:lineRule="auto"/>
        <w:ind w:firstLine="720"/>
        <w:jc w:val="both"/>
        <w:rPr>
          <w:rFonts w:ascii="Times New Roman" w:hAnsi="Times New Roman"/>
          <w:sz w:val="24"/>
          <w:szCs w:val="24"/>
        </w:rPr>
      </w:pPr>
      <w:r w:rsidRPr="008B5FB8">
        <w:rPr>
          <w:rFonts w:ascii="Times New Roman" w:hAnsi="Times New Roman"/>
          <w:sz w:val="24"/>
          <w:szCs w:val="24"/>
        </w:rPr>
        <w:t xml:space="preserve"> Direktīvas priekšlikumam ir jābūt vērstam uz </w:t>
      </w:r>
      <w:r w:rsidR="00E6308C">
        <w:rPr>
          <w:rFonts w:ascii="Times New Roman" w:hAnsi="Times New Roman"/>
          <w:sz w:val="24"/>
          <w:szCs w:val="24"/>
        </w:rPr>
        <w:t>a</w:t>
      </w:r>
      <w:r w:rsidR="00E6308C" w:rsidRPr="008B5FB8">
        <w:rPr>
          <w:rFonts w:ascii="Times New Roman" w:hAnsi="Times New Roman"/>
          <w:sz w:val="24"/>
          <w:szCs w:val="24"/>
        </w:rPr>
        <w:t xml:space="preserve">tjaunojamo </w:t>
      </w:r>
      <w:r w:rsidRPr="008B5FB8">
        <w:rPr>
          <w:rFonts w:ascii="Times New Roman" w:hAnsi="Times New Roman"/>
          <w:sz w:val="24"/>
          <w:szCs w:val="24"/>
        </w:rPr>
        <w:t xml:space="preserve">energoresursu izmantošanas veicināšanu izmaksu ziņā efektīvākajā veidā, lai </w:t>
      </w:r>
      <w:r w:rsidR="00E6308C">
        <w:rPr>
          <w:rFonts w:ascii="Times New Roman" w:hAnsi="Times New Roman"/>
          <w:sz w:val="24"/>
          <w:szCs w:val="24"/>
        </w:rPr>
        <w:t>gūtu</w:t>
      </w:r>
      <w:r w:rsidR="00E6308C" w:rsidRPr="008B5FB8">
        <w:rPr>
          <w:rFonts w:ascii="Times New Roman" w:hAnsi="Times New Roman"/>
          <w:sz w:val="24"/>
          <w:szCs w:val="24"/>
        </w:rPr>
        <w:t xml:space="preserve"> </w:t>
      </w:r>
      <w:r w:rsidRPr="008B5FB8">
        <w:rPr>
          <w:rFonts w:ascii="Times New Roman" w:hAnsi="Times New Roman"/>
          <w:sz w:val="24"/>
          <w:szCs w:val="24"/>
        </w:rPr>
        <w:t xml:space="preserve">pozitīvu efektu ekonomikas izaugsmei. Direktīvā ietvertajiem pasākumiem ir jāatbilst izmaksu efektivitātes principam, tie nedrīkst radīt pārmērīgu administratīvo slogu un ES līmeņa formulējumam jārespektē subsidiaritātes un proporcionalitātes principi. </w:t>
      </w:r>
    </w:p>
    <w:p w14:paraId="3C884910" w14:textId="285F5638" w:rsidR="003A0A50" w:rsidRPr="003A0A50" w:rsidRDefault="003A0A50" w:rsidP="007A5D11">
      <w:pPr>
        <w:spacing w:before="120" w:after="120" w:line="252" w:lineRule="auto"/>
        <w:ind w:firstLine="720"/>
        <w:jc w:val="both"/>
        <w:rPr>
          <w:rFonts w:ascii="Times New Roman" w:hAnsi="Times New Roman"/>
          <w:sz w:val="24"/>
        </w:rPr>
      </w:pPr>
      <w:r w:rsidRPr="00BB5F30">
        <w:rPr>
          <w:rFonts w:ascii="Times New Roman" w:hAnsi="Times New Roman"/>
          <w:sz w:val="24"/>
        </w:rPr>
        <w:t xml:space="preserve">Latvija atbalsta ES līmenī saistošu mērķi 27% līmenī un piekrīt, ka atjaunojamās enerģijas apjomam perspektīvā līdz 2030.gadam jāturpina palielināties. Tomēr nepieciešamas turpmākas diskusijas par to, vai dalībvalstij var būt pienākums nodrošināt konkrēta līmeņa sasniegšanu konkrētos gados. </w:t>
      </w:r>
      <w:r w:rsidR="00BB5F30">
        <w:rPr>
          <w:rFonts w:ascii="Times New Roman" w:hAnsi="Times New Roman"/>
          <w:sz w:val="24"/>
        </w:rPr>
        <w:t xml:space="preserve">Cita starpā šis </w:t>
      </w:r>
      <w:r w:rsidRPr="00BB5F30">
        <w:rPr>
          <w:rFonts w:ascii="Times New Roman" w:hAnsi="Times New Roman"/>
          <w:sz w:val="24"/>
        </w:rPr>
        <w:t>jautājums ir jādiskutē kontekstā ar priekšlikumu pakāpeniski samazināt valstij tiesības ieska</w:t>
      </w:r>
      <w:r w:rsidR="005473A2">
        <w:rPr>
          <w:rFonts w:ascii="Times New Roman" w:hAnsi="Times New Roman"/>
          <w:sz w:val="24"/>
        </w:rPr>
        <w:t>i</w:t>
      </w:r>
      <w:r w:rsidRPr="00BB5F30">
        <w:rPr>
          <w:rFonts w:ascii="Times New Roman" w:hAnsi="Times New Roman"/>
          <w:sz w:val="24"/>
        </w:rPr>
        <w:t>tīt šajā mērķ</w:t>
      </w:r>
      <w:r w:rsidR="003A65AE">
        <w:rPr>
          <w:rFonts w:ascii="Times New Roman" w:hAnsi="Times New Roman"/>
          <w:sz w:val="24"/>
        </w:rPr>
        <w:t>ī</w:t>
      </w:r>
      <w:r w:rsidRPr="00BB5F30">
        <w:rPr>
          <w:rFonts w:ascii="Times New Roman" w:hAnsi="Times New Roman"/>
          <w:sz w:val="24"/>
        </w:rPr>
        <w:t xml:space="preserve"> pirmās paaudzes biodegvielu. Latvija uzskata, ka pirmās paaudzes biodegvielas </w:t>
      </w:r>
      <w:r w:rsidR="00412598">
        <w:rPr>
          <w:rFonts w:ascii="Times New Roman" w:hAnsi="Times New Roman"/>
          <w:sz w:val="24"/>
        </w:rPr>
        <w:t xml:space="preserve">pakāpeniska </w:t>
      </w:r>
      <w:r w:rsidRPr="00BB5F30">
        <w:rPr>
          <w:rFonts w:ascii="Times New Roman" w:hAnsi="Times New Roman"/>
          <w:sz w:val="24"/>
        </w:rPr>
        <w:t>izņemšana no mērķa, faktiski nozīmē 2030.gada mērķa palielinājumu salīdzinājumā ar 2014.gada Eiropadomes lēmumu</w:t>
      </w:r>
      <w:r w:rsidR="00190396">
        <w:rPr>
          <w:rFonts w:ascii="Times New Roman" w:hAnsi="Times New Roman"/>
          <w:sz w:val="24"/>
        </w:rPr>
        <w:t>, kas pieļāva pirmās paaudzes biodegvielas ieskaitīšanu mērķa izpildē</w:t>
      </w:r>
      <w:r w:rsidRPr="00BB5F30">
        <w:rPr>
          <w:rFonts w:ascii="Times New Roman" w:hAnsi="Times New Roman"/>
          <w:sz w:val="24"/>
        </w:rPr>
        <w:t xml:space="preserve">. </w:t>
      </w:r>
      <w:r w:rsidR="0044088C">
        <w:rPr>
          <w:rFonts w:ascii="Times New Roman" w:hAnsi="Times New Roman"/>
          <w:sz w:val="24"/>
        </w:rPr>
        <w:t>Šādas izmaiņas palielinātu Latvijas mērķi par vismaz 0,5%.</w:t>
      </w:r>
    </w:p>
    <w:p w14:paraId="5367B8D0" w14:textId="77777777" w:rsidR="00A54158" w:rsidRPr="008B5FB8" w:rsidRDefault="002661FC" w:rsidP="007A5D11">
      <w:pPr>
        <w:spacing w:before="120" w:after="120" w:line="252" w:lineRule="auto"/>
        <w:ind w:firstLine="720"/>
        <w:jc w:val="both"/>
        <w:rPr>
          <w:rFonts w:ascii="Times New Roman" w:hAnsi="Times New Roman" w:cs="Times New Roman"/>
          <w:sz w:val="24"/>
          <w:szCs w:val="24"/>
        </w:rPr>
      </w:pPr>
      <w:r w:rsidRPr="006E25CD">
        <w:rPr>
          <w:rFonts w:ascii="Times New Roman" w:hAnsi="Times New Roman"/>
          <w:i/>
          <w:noProof/>
          <w:sz w:val="24"/>
          <w:szCs w:val="24"/>
          <w:u w:val="single"/>
        </w:rPr>
        <w:t>e) </w:t>
      </w:r>
      <w:r w:rsidR="002822A2" w:rsidRPr="006E25CD">
        <w:rPr>
          <w:rFonts w:ascii="Times New Roman" w:hAnsi="Times New Roman"/>
          <w:i/>
          <w:noProof/>
          <w:sz w:val="24"/>
          <w:szCs w:val="24"/>
          <w:u w:val="single"/>
        </w:rPr>
        <w:t>Priekšlikumi attiecībā uz elektroenerģijas iekšējo tirgu</w:t>
      </w:r>
      <w:r w:rsidR="002822A2" w:rsidRPr="006E25CD">
        <w:rPr>
          <w:rFonts w:ascii="Times New Roman" w:hAnsi="Times New Roman"/>
          <w:i/>
          <w:noProof/>
          <w:sz w:val="24"/>
          <w:szCs w:val="24"/>
        </w:rPr>
        <w:t xml:space="preserve"> – </w:t>
      </w:r>
      <w:r w:rsidR="00A54158" w:rsidRPr="006E25CD">
        <w:rPr>
          <w:rFonts w:ascii="Times New Roman" w:hAnsi="Times New Roman" w:cs="Times New Roman"/>
          <w:sz w:val="24"/>
          <w:szCs w:val="24"/>
        </w:rPr>
        <w:t>Latvija atbalsta</w:t>
      </w:r>
      <w:r w:rsidR="00A54158" w:rsidRPr="008B5FB8">
        <w:rPr>
          <w:rFonts w:ascii="Times New Roman" w:hAnsi="Times New Roman" w:cs="Times New Roman"/>
          <w:sz w:val="24"/>
          <w:szCs w:val="24"/>
        </w:rPr>
        <w:t xml:space="preserve"> </w:t>
      </w:r>
      <w:r w:rsidR="00A54158" w:rsidRPr="00217869">
        <w:rPr>
          <w:rFonts w:ascii="Times New Roman" w:hAnsi="Times New Roman" w:cs="Times New Roman"/>
          <w:sz w:val="24"/>
          <w:szCs w:val="24"/>
        </w:rPr>
        <w:t xml:space="preserve">elektroenerģijas tirgus dizaina pārskatīšanu un kopumā </w:t>
      </w:r>
      <w:r w:rsidR="00A54158" w:rsidRPr="008B5FB8">
        <w:rPr>
          <w:rFonts w:ascii="Times New Roman" w:hAnsi="Times New Roman" w:cs="Times New Roman"/>
          <w:sz w:val="24"/>
          <w:szCs w:val="24"/>
        </w:rPr>
        <w:t>pozitīvi vērtē</w:t>
      </w:r>
      <w:r w:rsidR="00A54158" w:rsidRPr="00217869">
        <w:rPr>
          <w:rFonts w:ascii="Times New Roman" w:hAnsi="Times New Roman" w:cs="Times New Roman"/>
          <w:sz w:val="24"/>
          <w:szCs w:val="24"/>
        </w:rPr>
        <w:t xml:space="preserve"> jaunā elektroenerģijas tirgus dizaina mērķi.</w:t>
      </w:r>
      <w:r w:rsidR="00A54158" w:rsidRPr="008B5FB8">
        <w:rPr>
          <w:rFonts w:ascii="Times New Roman" w:hAnsi="Times New Roman" w:cs="Times New Roman"/>
          <w:sz w:val="24"/>
          <w:szCs w:val="24"/>
        </w:rPr>
        <w:t xml:space="preserve"> Iekšējais tirgus būtu jāstiprina ne tikai ar infrastruktūras palīdzību, kas neapšaubāmi ir priekšnosacījums brīvas elektroenerģijas plūsmai, bet arī attīstot tiesisko ietvaru un stiprinot reģionālo sadarbību.</w:t>
      </w:r>
      <w:r w:rsidR="00F17689">
        <w:rPr>
          <w:rFonts w:ascii="Times New Roman" w:hAnsi="Times New Roman" w:cs="Times New Roman"/>
          <w:sz w:val="24"/>
          <w:szCs w:val="24"/>
        </w:rPr>
        <w:t xml:space="preserve"> </w:t>
      </w:r>
      <w:r w:rsidR="00001D01" w:rsidRPr="008B5FB8">
        <w:rPr>
          <w:rFonts w:ascii="Times New Roman" w:hAnsi="Times New Roman" w:cs="Times New Roman"/>
          <w:sz w:val="24"/>
          <w:szCs w:val="24"/>
        </w:rPr>
        <w:t xml:space="preserve">Latvija uzskata, </w:t>
      </w:r>
      <w:r w:rsidR="00001D01">
        <w:rPr>
          <w:rFonts w:ascii="Times New Roman" w:hAnsi="Times New Roman" w:cs="Times New Roman"/>
          <w:sz w:val="24"/>
          <w:szCs w:val="24"/>
        </w:rPr>
        <w:t xml:space="preserve">ka </w:t>
      </w:r>
      <w:r w:rsidR="00001D01" w:rsidRPr="008B5FB8">
        <w:rPr>
          <w:rFonts w:ascii="Times New Roman" w:hAnsi="Times New Roman" w:cs="Times New Roman"/>
          <w:sz w:val="24"/>
          <w:szCs w:val="24"/>
        </w:rPr>
        <w:t xml:space="preserve">būtisks jaunā elektroenerģijas tirgus dizaina elements ir </w:t>
      </w:r>
      <w:r w:rsidR="00001D01">
        <w:rPr>
          <w:rFonts w:ascii="Times New Roman" w:hAnsi="Times New Roman" w:cs="Times New Roman"/>
          <w:sz w:val="24"/>
          <w:szCs w:val="24"/>
        </w:rPr>
        <w:t xml:space="preserve">kā </w:t>
      </w:r>
      <w:r w:rsidR="00001D01" w:rsidRPr="008B5FB8">
        <w:rPr>
          <w:rFonts w:ascii="Times New Roman" w:hAnsi="Times New Roman" w:cs="Times New Roman"/>
          <w:sz w:val="24"/>
          <w:szCs w:val="24"/>
        </w:rPr>
        <w:t>vairumtirdzniecības</w:t>
      </w:r>
      <w:r w:rsidR="00001D01">
        <w:rPr>
          <w:rFonts w:ascii="Times New Roman" w:hAnsi="Times New Roman" w:cs="Times New Roman"/>
          <w:sz w:val="24"/>
          <w:szCs w:val="24"/>
        </w:rPr>
        <w:t>, tā mazumtirdzniecības</w:t>
      </w:r>
      <w:r w:rsidR="00001D01" w:rsidRPr="008B5FB8">
        <w:rPr>
          <w:rFonts w:ascii="Times New Roman" w:hAnsi="Times New Roman" w:cs="Times New Roman"/>
          <w:sz w:val="24"/>
          <w:szCs w:val="24"/>
        </w:rPr>
        <w:t xml:space="preserve"> nosacījumu uzlabošana.</w:t>
      </w:r>
      <w:r w:rsidR="00001D01">
        <w:rPr>
          <w:rFonts w:ascii="Times New Roman" w:hAnsi="Times New Roman" w:cs="Times New Roman"/>
          <w:sz w:val="24"/>
          <w:szCs w:val="24"/>
        </w:rPr>
        <w:t xml:space="preserve"> </w:t>
      </w:r>
      <w:r w:rsidR="00F17689">
        <w:rPr>
          <w:rFonts w:ascii="Times New Roman" w:hAnsi="Times New Roman" w:cs="Times New Roman"/>
          <w:sz w:val="24"/>
          <w:szCs w:val="24"/>
        </w:rPr>
        <w:t>Latvija uzskata, ka jaunajiem elektroenerģijas tirgus dizaina priekšlikumiem ir jānodrošina, lai tirgus sniedz skaidrus cenu signālus gan investoriem, gan patērētājiem. Latvija atzinīgi vērtē patērētāju interešu aizsardzības stiprināšanu jaunajos priekšlikumos.</w:t>
      </w:r>
      <w:r w:rsidR="004C2E60" w:rsidRPr="004C2E60">
        <w:rPr>
          <w:rFonts w:ascii="Times New Roman" w:hAnsi="Times New Roman" w:cs="Times New Roman"/>
          <w:sz w:val="24"/>
          <w:szCs w:val="24"/>
        </w:rPr>
        <w:t xml:space="preserve"> </w:t>
      </w:r>
      <w:r w:rsidR="004C2E60" w:rsidRPr="008B5FB8">
        <w:rPr>
          <w:rFonts w:ascii="Times New Roman" w:hAnsi="Times New Roman" w:cs="Times New Roman"/>
          <w:sz w:val="24"/>
          <w:szCs w:val="24"/>
        </w:rPr>
        <w:t xml:space="preserve">Latvija </w:t>
      </w:r>
      <w:r w:rsidR="00283235">
        <w:rPr>
          <w:rFonts w:ascii="Times New Roman" w:hAnsi="Times New Roman" w:cs="Times New Roman"/>
          <w:sz w:val="24"/>
          <w:szCs w:val="24"/>
        </w:rPr>
        <w:t>uzskata, ka ir nepieciešams reģionāl</w:t>
      </w:r>
      <w:r w:rsidR="004C2E60" w:rsidRPr="00217869">
        <w:rPr>
          <w:rFonts w:ascii="Times New Roman" w:hAnsi="Times New Roman" w:cs="Times New Roman"/>
          <w:sz w:val="24"/>
          <w:szCs w:val="24"/>
        </w:rPr>
        <w:t xml:space="preserve">s </w:t>
      </w:r>
      <w:r w:rsidR="00283235">
        <w:rPr>
          <w:rFonts w:ascii="Times New Roman" w:hAnsi="Times New Roman" w:cs="Times New Roman"/>
          <w:sz w:val="24"/>
          <w:szCs w:val="24"/>
        </w:rPr>
        <w:t>elektroenerģijas ražošanas jaudas</w:t>
      </w:r>
      <w:r w:rsidR="004C2E60" w:rsidRPr="00217869">
        <w:rPr>
          <w:rFonts w:ascii="Times New Roman" w:hAnsi="Times New Roman" w:cs="Times New Roman"/>
          <w:sz w:val="24"/>
          <w:szCs w:val="24"/>
        </w:rPr>
        <w:t xml:space="preserve"> pietiekamības novērtējums</w:t>
      </w:r>
      <w:r w:rsidR="00283235">
        <w:rPr>
          <w:rFonts w:ascii="Times New Roman" w:hAnsi="Times New Roman" w:cs="Times New Roman"/>
          <w:sz w:val="24"/>
          <w:szCs w:val="24"/>
        </w:rPr>
        <w:t xml:space="preserve">, kuram </w:t>
      </w:r>
      <w:r w:rsidR="004C2E60">
        <w:rPr>
          <w:rFonts w:ascii="Times New Roman" w:hAnsi="Times New Roman" w:cs="Times New Roman"/>
          <w:sz w:val="24"/>
          <w:szCs w:val="24"/>
        </w:rPr>
        <w:t>jābūt balstītam</w:t>
      </w:r>
      <w:r w:rsidR="004C2E60" w:rsidRPr="00217869">
        <w:rPr>
          <w:rFonts w:ascii="Times New Roman" w:hAnsi="Times New Roman" w:cs="Times New Roman"/>
          <w:sz w:val="24"/>
          <w:szCs w:val="24"/>
        </w:rPr>
        <w:t xml:space="preserve"> uz vienot</w:t>
      </w:r>
      <w:r w:rsidR="004C2E60">
        <w:rPr>
          <w:rFonts w:ascii="Times New Roman" w:hAnsi="Times New Roman" w:cs="Times New Roman"/>
          <w:sz w:val="24"/>
          <w:szCs w:val="24"/>
        </w:rPr>
        <w:t>u</w:t>
      </w:r>
      <w:r w:rsidR="004C2E60" w:rsidRPr="00217869">
        <w:rPr>
          <w:rFonts w:ascii="Times New Roman" w:hAnsi="Times New Roman" w:cs="Times New Roman"/>
          <w:sz w:val="24"/>
          <w:szCs w:val="24"/>
        </w:rPr>
        <w:t xml:space="preserve"> metodoloģiju.</w:t>
      </w:r>
    </w:p>
    <w:p w14:paraId="4D29E0C6" w14:textId="77777777" w:rsidR="00A54158" w:rsidRDefault="00A54158" w:rsidP="007A5D11">
      <w:pPr>
        <w:spacing w:before="120" w:after="120" w:line="252" w:lineRule="auto"/>
        <w:ind w:firstLine="720"/>
        <w:jc w:val="both"/>
        <w:rPr>
          <w:rFonts w:ascii="Times New Roman" w:hAnsi="Times New Roman" w:cs="Times New Roman"/>
          <w:sz w:val="24"/>
          <w:szCs w:val="24"/>
        </w:rPr>
      </w:pPr>
      <w:r w:rsidRPr="008B5FB8">
        <w:rPr>
          <w:rFonts w:ascii="Times New Roman" w:hAnsi="Times New Roman" w:cs="Times New Roman"/>
          <w:sz w:val="24"/>
          <w:szCs w:val="24"/>
        </w:rPr>
        <w:t xml:space="preserve">Latvijai ir būtiski, lai tiktu veicināta elektroenerģijas </w:t>
      </w:r>
      <w:proofErr w:type="spellStart"/>
      <w:r w:rsidRPr="008B5FB8">
        <w:rPr>
          <w:rFonts w:ascii="Times New Roman" w:hAnsi="Times New Roman" w:cs="Times New Roman"/>
          <w:sz w:val="24"/>
          <w:szCs w:val="24"/>
        </w:rPr>
        <w:t>starpsavienojumu</w:t>
      </w:r>
      <w:proofErr w:type="spellEnd"/>
      <w:r w:rsidRPr="008B5FB8">
        <w:rPr>
          <w:rFonts w:ascii="Times New Roman" w:hAnsi="Times New Roman" w:cs="Times New Roman"/>
          <w:sz w:val="24"/>
          <w:szCs w:val="24"/>
        </w:rPr>
        <w:t xml:space="preserve"> attīstība, kā arī tiktu nodrošināta </w:t>
      </w:r>
      <w:r w:rsidRPr="006E25CD">
        <w:rPr>
          <w:rFonts w:ascii="Times New Roman" w:hAnsi="Times New Roman"/>
          <w:sz w:val="24"/>
        </w:rPr>
        <w:t>Baltijas</w:t>
      </w:r>
      <w:r w:rsidRPr="008B5FB8">
        <w:rPr>
          <w:rFonts w:ascii="Times New Roman" w:hAnsi="Times New Roman" w:cs="Times New Roman"/>
          <w:sz w:val="24"/>
          <w:szCs w:val="24"/>
        </w:rPr>
        <w:t xml:space="preserve"> valstu elektroenerģijas tīklu sinhronizācija ar ES tīkliem. </w:t>
      </w:r>
    </w:p>
    <w:p w14:paraId="5AA0E445" w14:textId="77777777" w:rsidR="005F65CE" w:rsidRPr="00217869" w:rsidRDefault="005F65CE" w:rsidP="007A5D11">
      <w:pPr>
        <w:spacing w:before="120" w:after="120" w:line="252" w:lineRule="auto"/>
        <w:ind w:firstLine="720"/>
        <w:jc w:val="both"/>
        <w:rPr>
          <w:rFonts w:ascii="Times New Roman" w:hAnsi="Times New Roman" w:cs="Times New Roman"/>
          <w:sz w:val="24"/>
          <w:szCs w:val="24"/>
        </w:rPr>
      </w:pPr>
      <w:r w:rsidRPr="008B5FB8">
        <w:rPr>
          <w:rFonts w:ascii="Times New Roman" w:hAnsi="Times New Roman" w:cs="Times New Roman"/>
          <w:sz w:val="24"/>
          <w:szCs w:val="24"/>
        </w:rPr>
        <w:t>Latvija atbalsta</w:t>
      </w:r>
      <w:r w:rsidRPr="00217869">
        <w:rPr>
          <w:rFonts w:ascii="Times New Roman" w:hAnsi="Times New Roman" w:cs="Times New Roman"/>
          <w:sz w:val="24"/>
          <w:szCs w:val="24"/>
        </w:rPr>
        <w:t xml:space="preserve"> plānotās Regulas par gatavību riskiem elektroenerģijas sektorā ieceri nodrošināt, ka ES dalībvalstis ievieš atbilstošus</w:t>
      </w:r>
      <w:r w:rsidR="004C2E60">
        <w:rPr>
          <w:rFonts w:ascii="Times New Roman" w:hAnsi="Times New Roman" w:cs="Times New Roman"/>
          <w:sz w:val="24"/>
          <w:szCs w:val="24"/>
        </w:rPr>
        <w:t>, savstarpēji koordinētus</w:t>
      </w:r>
      <w:r w:rsidRPr="00217869">
        <w:rPr>
          <w:rFonts w:ascii="Times New Roman" w:hAnsi="Times New Roman" w:cs="Times New Roman"/>
          <w:sz w:val="24"/>
          <w:szCs w:val="24"/>
        </w:rPr>
        <w:t xml:space="preserve"> instrumentus, lai būtu</w:t>
      </w:r>
      <w:r w:rsidRPr="008B5FB8">
        <w:rPr>
          <w:rFonts w:ascii="Times New Roman" w:hAnsi="Times New Roman" w:cs="Times New Roman"/>
          <w:sz w:val="24"/>
          <w:szCs w:val="24"/>
        </w:rPr>
        <w:t xml:space="preserve"> sagatavotas un spētu pārvaldīt elektroenerģijas krīzes situācijas. </w:t>
      </w:r>
      <w:r w:rsidR="004C2E60">
        <w:rPr>
          <w:rFonts w:ascii="Times New Roman" w:hAnsi="Times New Roman" w:cs="Times New Roman"/>
          <w:sz w:val="24"/>
          <w:szCs w:val="24"/>
        </w:rPr>
        <w:t xml:space="preserve">Latvija piekrīt EK </w:t>
      </w:r>
      <w:proofErr w:type="spellStart"/>
      <w:r w:rsidR="004C2E60">
        <w:rPr>
          <w:rFonts w:ascii="Times New Roman" w:hAnsi="Times New Roman" w:cs="Times New Roman"/>
          <w:sz w:val="24"/>
          <w:szCs w:val="24"/>
        </w:rPr>
        <w:t>nostājai</w:t>
      </w:r>
      <w:proofErr w:type="spellEnd"/>
      <w:r w:rsidR="004C2E60">
        <w:rPr>
          <w:rFonts w:ascii="Times New Roman" w:hAnsi="Times New Roman" w:cs="Times New Roman"/>
          <w:sz w:val="24"/>
          <w:szCs w:val="24"/>
        </w:rPr>
        <w:t>, ka nekoordinētas dalībvalstu darbības krīzes situācijās var graut tirgus darbību un apdraudēt energoapgādes drošumu.</w:t>
      </w:r>
    </w:p>
    <w:p w14:paraId="69620AD3" w14:textId="77777777" w:rsidR="00441754" w:rsidRPr="008B5FB8" w:rsidRDefault="00441754" w:rsidP="007A5D11">
      <w:pPr>
        <w:spacing w:before="120" w:after="120" w:line="252"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Attiecībā uz </w:t>
      </w:r>
      <w:proofErr w:type="spellStart"/>
      <w:r w:rsidRPr="00441754">
        <w:rPr>
          <w:rFonts w:ascii="Times New Roman" w:hAnsi="Times New Roman" w:cs="Times New Roman"/>
          <w:sz w:val="24"/>
          <w:szCs w:val="24"/>
        </w:rPr>
        <w:t>Energoregulatoru</w:t>
      </w:r>
      <w:proofErr w:type="spellEnd"/>
      <w:r w:rsidRPr="00441754">
        <w:rPr>
          <w:rFonts w:ascii="Times New Roman" w:hAnsi="Times New Roman" w:cs="Times New Roman"/>
          <w:sz w:val="24"/>
          <w:szCs w:val="24"/>
        </w:rPr>
        <w:t xml:space="preserve"> sadarbības aģentūr</w:t>
      </w:r>
      <w:r>
        <w:rPr>
          <w:rFonts w:ascii="Times New Roman" w:hAnsi="Times New Roman" w:cs="Times New Roman"/>
          <w:sz w:val="24"/>
          <w:szCs w:val="24"/>
        </w:rPr>
        <w:t xml:space="preserve">as </w:t>
      </w:r>
      <w:r w:rsidR="005F65CE">
        <w:rPr>
          <w:rFonts w:ascii="Times New Roman" w:hAnsi="Times New Roman" w:cs="Times New Roman"/>
          <w:sz w:val="24"/>
          <w:szCs w:val="24"/>
        </w:rPr>
        <w:t xml:space="preserve">(turpmāk – ACER) </w:t>
      </w:r>
      <w:r>
        <w:rPr>
          <w:rFonts w:ascii="Times New Roman" w:hAnsi="Times New Roman" w:cs="Times New Roman"/>
          <w:sz w:val="24"/>
          <w:szCs w:val="24"/>
        </w:rPr>
        <w:t xml:space="preserve">regulas priekšlikumu, </w:t>
      </w:r>
      <w:r w:rsidR="005F65CE">
        <w:rPr>
          <w:rFonts w:ascii="Times New Roman" w:hAnsi="Times New Roman" w:cs="Times New Roman"/>
          <w:sz w:val="24"/>
          <w:szCs w:val="24"/>
        </w:rPr>
        <w:t xml:space="preserve">Latvija </w:t>
      </w:r>
      <w:r w:rsidR="005F65CE" w:rsidRPr="005F65CE">
        <w:rPr>
          <w:rFonts w:ascii="Times New Roman" w:hAnsi="Times New Roman" w:cs="Times New Roman"/>
          <w:sz w:val="24"/>
          <w:szCs w:val="24"/>
        </w:rPr>
        <w:t xml:space="preserve">uzskata, ka nacionālo regulatoru lomu nedrīkst mazināt uz ACER lomas stiprināšanas rēķina, bet jāfokusējas uz ACER reģionālās sadarbības </w:t>
      </w:r>
      <w:r w:rsidR="005F65CE">
        <w:rPr>
          <w:rFonts w:ascii="Times New Roman" w:hAnsi="Times New Roman" w:cs="Times New Roman"/>
          <w:sz w:val="24"/>
          <w:szCs w:val="24"/>
        </w:rPr>
        <w:t>problēmu risināšanu</w:t>
      </w:r>
      <w:r w:rsidR="005F65CE" w:rsidRPr="005F65CE">
        <w:rPr>
          <w:rFonts w:ascii="Times New Roman" w:hAnsi="Times New Roman" w:cs="Times New Roman"/>
          <w:sz w:val="24"/>
          <w:szCs w:val="24"/>
        </w:rPr>
        <w:t>.</w:t>
      </w:r>
    </w:p>
    <w:p w14:paraId="71461FBC" w14:textId="77777777" w:rsidR="001C5757" w:rsidRPr="00217869" w:rsidRDefault="00DA34E6" w:rsidP="007A5D11">
      <w:pPr>
        <w:spacing w:before="120" w:after="120" w:line="252" w:lineRule="auto"/>
        <w:ind w:firstLine="567"/>
        <w:jc w:val="both"/>
        <w:rPr>
          <w:rFonts w:ascii="Times New Roman" w:hAnsi="Times New Roman"/>
          <w:b/>
          <w:sz w:val="24"/>
          <w:szCs w:val="24"/>
        </w:rPr>
      </w:pPr>
      <w:r w:rsidRPr="00217869">
        <w:rPr>
          <w:rFonts w:ascii="Times New Roman" w:hAnsi="Times New Roman"/>
          <w:b/>
          <w:sz w:val="24"/>
          <w:szCs w:val="24"/>
        </w:rPr>
        <w:t>2. </w:t>
      </w:r>
      <w:r w:rsidR="00F90A9B">
        <w:rPr>
          <w:rFonts w:ascii="Times New Roman" w:hAnsi="Times New Roman"/>
          <w:b/>
          <w:sz w:val="24"/>
          <w:szCs w:val="24"/>
        </w:rPr>
        <w:t>Enerģētikas savienības stāvoklis</w:t>
      </w:r>
      <w:r w:rsidR="001C5757" w:rsidRPr="00217869">
        <w:rPr>
          <w:rFonts w:ascii="Times New Roman" w:hAnsi="Times New Roman"/>
          <w:b/>
          <w:sz w:val="24"/>
          <w:szCs w:val="24"/>
        </w:rPr>
        <w:t xml:space="preserve"> </w:t>
      </w:r>
    </w:p>
    <w:p w14:paraId="2A3C5C65" w14:textId="08EF5C41" w:rsidR="00F65E06" w:rsidRDefault="003D3991" w:rsidP="007A5D11">
      <w:pPr>
        <w:spacing w:before="120" w:after="120" w:line="25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EK </w:t>
      </w:r>
      <w:r w:rsidR="00D56E75">
        <w:rPr>
          <w:rFonts w:ascii="Times New Roman" w:hAnsi="Times New Roman" w:cs="Times New Roman"/>
          <w:sz w:val="24"/>
          <w:szCs w:val="24"/>
        </w:rPr>
        <w:t xml:space="preserve">sniegs informāciju par 2017. gada </w:t>
      </w:r>
      <w:r w:rsidR="00120CD2">
        <w:rPr>
          <w:rFonts w:ascii="Times New Roman" w:hAnsi="Times New Roman" w:cs="Times New Roman"/>
          <w:sz w:val="24"/>
          <w:szCs w:val="24"/>
        </w:rPr>
        <w:t>1. februārī publicēto otro ziņojumu par Enerģētikas savienības stāvokli</w:t>
      </w:r>
      <w:r w:rsidR="00B31158">
        <w:rPr>
          <w:rStyle w:val="FootnoteReference"/>
          <w:rFonts w:ascii="Times New Roman" w:hAnsi="Times New Roman"/>
          <w:sz w:val="24"/>
          <w:szCs w:val="24"/>
        </w:rPr>
        <w:footnoteReference w:id="12"/>
      </w:r>
      <w:r w:rsidR="00120CD2">
        <w:rPr>
          <w:rFonts w:ascii="Times New Roman" w:hAnsi="Times New Roman" w:cs="Times New Roman"/>
          <w:sz w:val="24"/>
          <w:szCs w:val="24"/>
        </w:rPr>
        <w:t>, kurā sniegts novērtējums par padarīto Enerģētikas savienības izveidē</w:t>
      </w:r>
      <w:r w:rsidR="00F4243C">
        <w:rPr>
          <w:rFonts w:ascii="Times New Roman" w:hAnsi="Times New Roman" w:cs="Times New Roman"/>
          <w:sz w:val="24"/>
          <w:szCs w:val="24"/>
        </w:rPr>
        <w:t xml:space="preserve"> kopš iepriekšējā ziņojuma 2015. gada nogalē</w:t>
      </w:r>
      <w:r w:rsidR="00120CD2">
        <w:rPr>
          <w:rFonts w:ascii="Times New Roman" w:hAnsi="Times New Roman" w:cs="Times New Roman"/>
          <w:sz w:val="24"/>
          <w:szCs w:val="24"/>
        </w:rPr>
        <w:t xml:space="preserve">, progresu attiecībā </w:t>
      </w:r>
      <w:r w:rsidR="00120CD2" w:rsidRPr="008B5FB8">
        <w:rPr>
          <w:rFonts w:ascii="Times New Roman" w:hAnsi="Times New Roman"/>
          <w:noProof/>
          <w:sz w:val="24"/>
          <w:szCs w:val="24"/>
        </w:rPr>
        <w:t>uz</w:t>
      </w:r>
      <w:r w:rsidR="00120CD2">
        <w:rPr>
          <w:rFonts w:ascii="Times New Roman" w:hAnsi="Times New Roman" w:cs="Times New Roman"/>
          <w:sz w:val="24"/>
          <w:szCs w:val="24"/>
        </w:rPr>
        <w:t xml:space="preserve"> t.s. galvenajiem Enerģētikas savienības indikatoriem, kā arī aktualizēta ES tiesību aktu izstrādes ce</w:t>
      </w:r>
      <w:r w:rsidR="00F65E06">
        <w:rPr>
          <w:rFonts w:ascii="Times New Roman" w:hAnsi="Times New Roman" w:cs="Times New Roman"/>
          <w:sz w:val="24"/>
          <w:szCs w:val="24"/>
        </w:rPr>
        <w:t>ļa karte.</w:t>
      </w:r>
    </w:p>
    <w:p w14:paraId="68B15426" w14:textId="77777777" w:rsidR="00EF349F" w:rsidRPr="00A758AC" w:rsidRDefault="00EF349F" w:rsidP="007A5D11">
      <w:pPr>
        <w:spacing w:before="120" w:after="120" w:line="252" w:lineRule="auto"/>
        <w:ind w:firstLine="709"/>
        <w:jc w:val="both"/>
        <w:rPr>
          <w:rFonts w:ascii="Times New Roman" w:hAnsi="Times New Roman" w:cs="Times New Roman"/>
          <w:b/>
          <w:sz w:val="24"/>
          <w:szCs w:val="24"/>
          <w:u w:val="single"/>
        </w:rPr>
      </w:pPr>
      <w:r w:rsidRPr="00A758AC">
        <w:rPr>
          <w:rFonts w:ascii="Times New Roman" w:hAnsi="Times New Roman" w:cs="Times New Roman"/>
          <w:b/>
          <w:sz w:val="24"/>
          <w:szCs w:val="24"/>
          <w:u w:val="single"/>
        </w:rPr>
        <w:t>Latvijas nostāja:</w:t>
      </w:r>
    </w:p>
    <w:p w14:paraId="75F61E40" w14:textId="77777777" w:rsidR="001C5757" w:rsidRDefault="00EF349F" w:rsidP="007A5D11">
      <w:pPr>
        <w:spacing w:before="120" w:after="120" w:line="25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 kopumā atzinīgi novērtē darbu pie Enerģētikas savienības </w:t>
      </w:r>
      <w:r w:rsidR="00F65E06">
        <w:rPr>
          <w:rFonts w:ascii="Times New Roman" w:hAnsi="Times New Roman" w:cs="Times New Roman"/>
          <w:sz w:val="24"/>
          <w:szCs w:val="24"/>
        </w:rPr>
        <w:t xml:space="preserve">izveides. Tajā pašā laikā </w:t>
      </w:r>
      <w:r w:rsidR="0069229C">
        <w:rPr>
          <w:rFonts w:ascii="Times New Roman" w:hAnsi="Times New Roman" w:cs="Times New Roman"/>
          <w:sz w:val="24"/>
          <w:szCs w:val="24"/>
        </w:rPr>
        <w:t xml:space="preserve">šobrīd būtiskākais ir vienoties par ES tiesību aktu projektu konceptuālajiem elementiem un drīzumā uzsākt darbu pie NEKP.  </w:t>
      </w:r>
    </w:p>
    <w:p w14:paraId="7DF38564" w14:textId="77777777" w:rsidR="00086809" w:rsidRPr="00217869" w:rsidRDefault="00EF349F" w:rsidP="007A5D11">
      <w:pPr>
        <w:spacing w:before="120" w:after="120" w:line="252" w:lineRule="auto"/>
        <w:ind w:firstLine="567"/>
        <w:jc w:val="both"/>
        <w:rPr>
          <w:rFonts w:ascii="Times New Roman" w:hAnsi="Times New Roman"/>
          <w:b/>
          <w:sz w:val="24"/>
          <w:szCs w:val="24"/>
        </w:rPr>
      </w:pPr>
      <w:r>
        <w:rPr>
          <w:rFonts w:ascii="Times New Roman" w:hAnsi="Times New Roman"/>
          <w:b/>
          <w:sz w:val="24"/>
          <w:szCs w:val="24"/>
        </w:rPr>
        <w:t>3. </w:t>
      </w:r>
      <w:r w:rsidR="001C5757" w:rsidRPr="00217869">
        <w:rPr>
          <w:rFonts w:ascii="Times New Roman" w:hAnsi="Times New Roman"/>
          <w:b/>
          <w:sz w:val="24"/>
          <w:szCs w:val="24"/>
        </w:rPr>
        <w:t xml:space="preserve">Citi jautājumi </w:t>
      </w:r>
    </w:p>
    <w:p w14:paraId="02514F2F" w14:textId="77777777" w:rsidR="001C5757" w:rsidRPr="003267DE" w:rsidRDefault="003267DE" w:rsidP="007A5D11">
      <w:pPr>
        <w:pStyle w:val="ListParagraph"/>
        <w:numPr>
          <w:ilvl w:val="0"/>
          <w:numId w:val="5"/>
        </w:numPr>
        <w:spacing w:before="120" w:after="120" w:line="252"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1C5757" w:rsidRPr="003267DE">
        <w:rPr>
          <w:rFonts w:ascii="Times New Roman" w:hAnsi="Times New Roman" w:cs="Times New Roman"/>
          <w:sz w:val="24"/>
          <w:szCs w:val="24"/>
        </w:rPr>
        <w:t>ašreizējie tiesību aktu priekšlikumi</w:t>
      </w:r>
      <w:r w:rsidR="006B6FD6">
        <w:rPr>
          <w:rFonts w:ascii="Times New Roman" w:hAnsi="Times New Roman" w:cs="Times New Roman"/>
          <w:sz w:val="24"/>
          <w:szCs w:val="24"/>
        </w:rPr>
        <w:t xml:space="preserve"> – informācija no prezidējošās valsts ES Padomē</w:t>
      </w:r>
    </w:p>
    <w:p w14:paraId="04576950" w14:textId="77777777" w:rsidR="001C5757" w:rsidRPr="001C5757" w:rsidRDefault="001C5757" w:rsidP="007A5D11">
      <w:pPr>
        <w:pStyle w:val="ListParagraph"/>
        <w:spacing w:before="120" w:after="120" w:line="252" w:lineRule="auto"/>
        <w:ind w:left="1080"/>
        <w:contextualSpacing w:val="0"/>
        <w:jc w:val="both"/>
        <w:rPr>
          <w:rFonts w:ascii="Times New Roman" w:hAnsi="Times New Roman" w:cs="Times New Roman"/>
          <w:sz w:val="24"/>
          <w:szCs w:val="24"/>
        </w:rPr>
      </w:pPr>
      <w:r w:rsidRPr="001C5757">
        <w:rPr>
          <w:rFonts w:ascii="Times New Roman" w:hAnsi="Times New Roman" w:cs="Times New Roman"/>
          <w:sz w:val="24"/>
          <w:szCs w:val="24"/>
        </w:rPr>
        <w:t>(publiska apspriešana saskaņā ar Līguma par Eiropas Savienību 16. panta 8. punktu)</w:t>
      </w:r>
    </w:p>
    <w:p w14:paraId="286FCE20" w14:textId="6C7EF306" w:rsidR="001C5757" w:rsidRDefault="001C5757" w:rsidP="007A5D11">
      <w:pPr>
        <w:pStyle w:val="ListParagraph"/>
        <w:numPr>
          <w:ilvl w:val="0"/>
          <w:numId w:val="3"/>
        </w:numPr>
        <w:spacing w:before="120" w:after="120" w:line="252" w:lineRule="auto"/>
        <w:contextualSpacing w:val="0"/>
        <w:jc w:val="both"/>
        <w:rPr>
          <w:rFonts w:ascii="Times New Roman" w:hAnsi="Times New Roman" w:cs="Times New Roman"/>
          <w:sz w:val="24"/>
          <w:szCs w:val="24"/>
        </w:rPr>
      </w:pPr>
      <w:r w:rsidRPr="001C5757">
        <w:rPr>
          <w:rFonts w:ascii="Times New Roman" w:hAnsi="Times New Roman" w:cs="Times New Roman"/>
          <w:sz w:val="24"/>
          <w:szCs w:val="24"/>
        </w:rPr>
        <w:t>Priekšlikums – Eiropas Parlamenta un Padomes Regula par gāzes piegādes drošības aizsardzības pasākumiem un ar ko atceļ Regulu (ES) Nr. 994/2010</w:t>
      </w:r>
      <w:r w:rsidR="00284B5C">
        <w:rPr>
          <w:rStyle w:val="FootnoteReference"/>
          <w:rFonts w:ascii="Times New Roman" w:hAnsi="Times New Roman"/>
          <w:sz w:val="24"/>
          <w:szCs w:val="24"/>
        </w:rPr>
        <w:footnoteReference w:id="13"/>
      </w:r>
      <w:r w:rsidRPr="001C5757">
        <w:rPr>
          <w:rFonts w:ascii="Times New Roman" w:hAnsi="Times New Roman" w:cs="Times New Roman"/>
          <w:sz w:val="24"/>
          <w:szCs w:val="24"/>
        </w:rPr>
        <w:t xml:space="preserve"> (pirmais lasījums)</w:t>
      </w:r>
    </w:p>
    <w:p w14:paraId="6443649A" w14:textId="565CD59C" w:rsidR="00F43E3E" w:rsidRDefault="00F43E3E" w:rsidP="007A5D11">
      <w:pPr>
        <w:spacing w:before="120" w:after="120" w:line="252" w:lineRule="auto"/>
        <w:jc w:val="both"/>
        <w:rPr>
          <w:rFonts w:ascii="Times New Roman" w:hAnsi="Times New Roman" w:cs="Times New Roman"/>
          <w:sz w:val="24"/>
          <w:szCs w:val="24"/>
        </w:rPr>
      </w:pPr>
      <w:r>
        <w:rPr>
          <w:rFonts w:ascii="Times New Roman" w:hAnsi="Times New Roman" w:cs="Times New Roman"/>
          <w:sz w:val="24"/>
          <w:szCs w:val="24"/>
        </w:rPr>
        <w:t xml:space="preserve">Slovākijas prezidentūra rīkoja politikas debates par gāzes piegādes drošību </w:t>
      </w:r>
      <w:r w:rsidR="006B6FD6">
        <w:rPr>
          <w:rFonts w:ascii="Times New Roman" w:hAnsi="Times New Roman" w:cs="Times New Roman"/>
          <w:sz w:val="24"/>
          <w:szCs w:val="24"/>
        </w:rPr>
        <w:t>2016. gada 5. </w:t>
      </w:r>
      <w:r w:rsidR="00201A75">
        <w:rPr>
          <w:rFonts w:ascii="Times New Roman" w:hAnsi="Times New Roman" w:cs="Times New Roman"/>
          <w:sz w:val="24"/>
          <w:szCs w:val="24"/>
        </w:rPr>
        <w:t xml:space="preserve">decembra ES Enerģētikas ministru padomes ietvaros. Sanāksmes noslēgumā prezidējošā valsts </w:t>
      </w:r>
      <w:r w:rsidR="007936EE">
        <w:rPr>
          <w:rFonts w:ascii="Times New Roman" w:hAnsi="Times New Roman" w:cs="Times New Roman"/>
          <w:sz w:val="24"/>
          <w:szCs w:val="24"/>
        </w:rPr>
        <w:t>prezentēja secinājumus, k</w:t>
      </w:r>
      <w:r w:rsidR="0006712E">
        <w:rPr>
          <w:rFonts w:ascii="Times New Roman" w:hAnsi="Times New Roman" w:cs="Times New Roman"/>
          <w:sz w:val="24"/>
          <w:szCs w:val="24"/>
        </w:rPr>
        <w:t xml:space="preserve">o apstiprināja visi ministri, kas savukārt ļāva Maltas prezidentūrai </w:t>
      </w:r>
      <w:r w:rsidR="006D0DED">
        <w:rPr>
          <w:rFonts w:ascii="Times New Roman" w:hAnsi="Times New Roman" w:cs="Times New Roman"/>
          <w:sz w:val="24"/>
          <w:szCs w:val="24"/>
        </w:rPr>
        <w:t xml:space="preserve">saņemt </w:t>
      </w:r>
      <w:r w:rsidR="0006712E">
        <w:rPr>
          <w:rFonts w:ascii="Times New Roman" w:hAnsi="Times New Roman" w:cs="Times New Roman"/>
          <w:sz w:val="24"/>
          <w:szCs w:val="24"/>
        </w:rPr>
        <w:t>Padomes mandātu 2017. gada 1. februārī</w:t>
      </w:r>
      <w:r w:rsidR="006D0DED">
        <w:rPr>
          <w:rFonts w:ascii="Times New Roman" w:hAnsi="Times New Roman" w:cs="Times New Roman"/>
          <w:sz w:val="24"/>
          <w:szCs w:val="24"/>
        </w:rPr>
        <w:t>, lai uzsāktu sarunas ar Eiropas Parlamentu</w:t>
      </w:r>
      <w:r w:rsidR="0006712E">
        <w:rPr>
          <w:rFonts w:ascii="Times New Roman" w:hAnsi="Times New Roman" w:cs="Times New Roman"/>
          <w:sz w:val="24"/>
          <w:szCs w:val="24"/>
        </w:rPr>
        <w:t xml:space="preserve">. </w:t>
      </w:r>
    </w:p>
    <w:p w14:paraId="08774160" w14:textId="77777777" w:rsidR="008F66FE" w:rsidRDefault="008F66FE" w:rsidP="007A5D11">
      <w:pPr>
        <w:spacing w:before="120" w:after="120" w:line="252" w:lineRule="auto"/>
        <w:jc w:val="both"/>
        <w:rPr>
          <w:rFonts w:ascii="Times New Roman" w:hAnsi="Times New Roman" w:cs="Times New Roman"/>
          <w:sz w:val="24"/>
          <w:szCs w:val="24"/>
        </w:rPr>
      </w:pPr>
      <w:r>
        <w:rPr>
          <w:rFonts w:ascii="Times New Roman" w:hAnsi="Times New Roman" w:cs="Times New Roman"/>
          <w:sz w:val="24"/>
          <w:szCs w:val="24"/>
        </w:rPr>
        <w:t>Galvenie mandāta elementi:</w:t>
      </w:r>
    </w:p>
    <w:p w14:paraId="6213BE5D" w14:textId="77777777" w:rsidR="008F66FE" w:rsidRDefault="008F66FE" w:rsidP="007A5D11">
      <w:pPr>
        <w:spacing w:before="120" w:after="120" w:line="252" w:lineRule="auto"/>
        <w:jc w:val="both"/>
        <w:rPr>
          <w:rFonts w:ascii="Times New Roman" w:hAnsi="Times New Roman" w:cs="Times New Roman"/>
          <w:sz w:val="24"/>
          <w:szCs w:val="24"/>
        </w:rPr>
      </w:pPr>
      <w:r w:rsidRPr="008F66FE">
        <w:rPr>
          <w:rFonts w:ascii="Times New Roman" w:hAnsi="Times New Roman" w:cs="Times New Roman"/>
          <w:sz w:val="24"/>
          <w:szCs w:val="24"/>
          <w:u w:val="single"/>
        </w:rPr>
        <w:t>Reģionālā sadarbība</w:t>
      </w:r>
      <w:r w:rsidRPr="008F66FE">
        <w:rPr>
          <w:rFonts w:ascii="Times New Roman" w:hAnsi="Times New Roman" w:cs="Times New Roman"/>
          <w:sz w:val="24"/>
          <w:szCs w:val="24"/>
        </w:rPr>
        <w:t xml:space="preserve">. Padome piekrita, ka pastiprinātai reģionālajai sadarbībai vairāk jākoncentrējas uz </w:t>
      </w:r>
      <w:r>
        <w:rPr>
          <w:rFonts w:ascii="Times New Roman" w:hAnsi="Times New Roman" w:cs="Times New Roman"/>
          <w:sz w:val="24"/>
          <w:szCs w:val="24"/>
        </w:rPr>
        <w:t xml:space="preserve">dalībvalstu riska pakļautajām grupām, nevis uz fiksētajiem reģioniem. </w:t>
      </w:r>
    </w:p>
    <w:p w14:paraId="2A7AE25C" w14:textId="77777777" w:rsidR="008F66FE" w:rsidRDefault="008F66FE" w:rsidP="007A5D11">
      <w:pPr>
        <w:spacing w:before="120" w:after="120" w:line="252" w:lineRule="auto"/>
        <w:jc w:val="both"/>
        <w:rPr>
          <w:rFonts w:ascii="Times New Roman" w:hAnsi="Times New Roman" w:cs="Times New Roman"/>
          <w:sz w:val="24"/>
          <w:szCs w:val="24"/>
        </w:rPr>
      </w:pPr>
      <w:r w:rsidRPr="008F66FE">
        <w:rPr>
          <w:rFonts w:ascii="Times New Roman" w:hAnsi="Times New Roman" w:cs="Times New Roman"/>
          <w:sz w:val="24"/>
          <w:szCs w:val="24"/>
          <w:u w:val="single"/>
        </w:rPr>
        <w:t>Solidaritāte.</w:t>
      </w:r>
      <w:r>
        <w:rPr>
          <w:rFonts w:ascii="Times New Roman" w:hAnsi="Times New Roman" w:cs="Times New Roman"/>
          <w:sz w:val="24"/>
          <w:szCs w:val="24"/>
        </w:rPr>
        <w:t xml:space="preserve">  Padome apstiprināja, ka solidaritātei ir jābūt pēdējam</w:t>
      </w:r>
      <w:r w:rsidR="00D6078A">
        <w:rPr>
          <w:rFonts w:ascii="Times New Roman" w:hAnsi="Times New Roman" w:cs="Times New Roman"/>
          <w:sz w:val="24"/>
          <w:szCs w:val="24"/>
        </w:rPr>
        <w:t xml:space="preserve"> pielietošanas</w:t>
      </w:r>
      <w:r>
        <w:rPr>
          <w:rFonts w:ascii="Times New Roman" w:hAnsi="Times New Roman" w:cs="Times New Roman"/>
          <w:sz w:val="24"/>
          <w:szCs w:val="24"/>
        </w:rPr>
        <w:t xml:space="preserve"> mehānismam </w:t>
      </w:r>
      <w:r w:rsidR="00D6078A">
        <w:rPr>
          <w:rFonts w:ascii="Times New Roman" w:hAnsi="Times New Roman" w:cs="Times New Roman"/>
          <w:sz w:val="24"/>
          <w:szCs w:val="24"/>
        </w:rPr>
        <w:t xml:space="preserve">pēc tam, kad visi neatliekamie pasākumi ir veikti. </w:t>
      </w:r>
      <w:r w:rsidR="00A33804">
        <w:rPr>
          <w:rFonts w:ascii="Times New Roman" w:hAnsi="Times New Roman" w:cs="Times New Roman"/>
          <w:sz w:val="24"/>
          <w:szCs w:val="24"/>
        </w:rPr>
        <w:t>Tika noteikti j</w:t>
      </w:r>
      <w:r w:rsidR="00D6078A">
        <w:rPr>
          <w:rFonts w:ascii="Times New Roman" w:hAnsi="Times New Roman" w:cs="Times New Roman"/>
          <w:sz w:val="24"/>
          <w:szCs w:val="24"/>
        </w:rPr>
        <w:t xml:space="preserve">auni noteikumi kompensācijām un </w:t>
      </w:r>
      <w:r w:rsidR="00A33804">
        <w:rPr>
          <w:rFonts w:ascii="Times New Roman" w:hAnsi="Times New Roman" w:cs="Times New Roman"/>
          <w:sz w:val="24"/>
          <w:szCs w:val="24"/>
        </w:rPr>
        <w:t xml:space="preserve">sloga dalīšanai. </w:t>
      </w:r>
    </w:p>
    <w:p w14:paraId="474A9E77" w14:textId="77777777" w:rsidR="008F66FE" w:rsidRPr="008F66FE" w:rsidRDefault="008F66FE" w:rsidP="007A5D11">
      <w:pPr>
        <w:spacing w:before="120" w:after="120" w:line="252" w:lineRule="auto"/>
        <w:jc w:val="both"/>
        <w:rPr>
          <w:rFonts w:ascii="Times New Roman" w:hAnsi="Times New Roman" w:cs="Times New Roman"/>
          <w:sz w:val="24"/>
          <w:szCs w:val="24"/>
        </w:rPr>
      </w:pPr>
      <w:r w:rsidRPr="00D6078A">
        <w:rPr>
          <w:rFonts w:ascii="Times New Roman" w:hAnsi="Times New Roman" w:cs="Times New Roman"/>
          <w:sz w:val="24"/>
          <w:szCs w:val="24"/>
          <w:u w:val="single"/>
        </w:rPr>
        <w:t>Informācijas apmaiņa.</w:t>
      </w:r>
      <w:r>
        <w:rPr>
          <w:rFonts w:ascii="Times New Roman" w:hAnsi="Times New Roman" w:cs="Times New Roman"/>
          <w:sz w:val="24"/>
          <w:szCs w:val="24"/>
        </w:rPr>
        <w:t xml:space="preserve"> </w:t>
      </w:r>
      <w:r w:rsidR="00A33804">
        <w:rPr>
          <w:rFonts w:ascii="Times New Roman" w:hAnsi="Times New Roman" w:cs="Times New Roman"/>
          <w:sz w:val="24"/>
          <w:szCs w:val="24"/>
        </w:rPr>
        <w:t xml:space="preserve">Padomē vienojās, ka </w:t>
      </w:r>
      <w:r w:rsidR="00480A8A">
        <w:rPr>
          <w:rFonts w:ascii="Times New Roman" w:hAnsi="Times New Roman" w:cs="Times New Roman"/>
          <w:sz w:val="24"/>
          <w:szCs w:val="24"/>
        </w:rPr>
        <w:t xml:space="preserve">par </w:t>
      </w:r>
      <w:r w:rsidR="00A33804">
        <w:rPr>
          <w:rFonts w:ascii="Times New Roman" w:hAnsi="Times New Roman" w:cs="Times New Roman"/>
          <w:sz w:val="24"/>
          <w:szCs w:val="24"/>
        </w:rPr>
        <w:t>ilgtermiņa gāzes līgumi</w:t>
      </w:r>
      <w:r w:rsidR="00480A8A">
        <w:rPr>
          <w:rFonts w:ascii="Times New Roman" w:hAnsi="Times New Roman" w:cs="Times New Roman"/>
          <w:sz w:val="24"/>
          <w:szCs w:val="24"/>
        </w:rPr>
        <w:t>em</w:t>
      </w:r>
      <w:r w:rsidR="00A33804">
        <w:rPr>
          <w:rFonts w:ascii="Times New Roman" w:hAnsi="Times New Roman" w:cs="Times New Roman"/>
          <w:sz w:val="24"/>
          <w:szCs w:val="24"/>
        </w:rPr>
        <w:t xml:space="preserve">, kas nodrošina ekvivalentu 40% vai vairāk no dabasgāzes gada patēriņa attiecīgajā dalībvalstī tiks paziņots kompetentajai iestādei. </w:t>
      </w:r>
      <w:r w:rsidR="00D205A0">
        <w:rPr>
          <w:rFonts w:ascii="Times New Roman" w:hAnsi="Times New Roman" w:cs="Times New Roman"/>
          <w:sz w:val="24"/>
          <w:szCs w:val="24"/>
        </w:rPr>
        <w:t xml:space="preserve">Līgumu vērtēs kompetentā iestāde, jo īpaši attiecībā uz to ietekmi uz gāzes piegādes drošību dalībvalstī un reģionā. Kad kompetentajai iestādei ir šaubas par šādu līgumu ietekmi, tai par to ir jāziņo </w:t>
      </w:r>
      <w:r w:rsidR="003D3991">
        <w:rPr>
          <w:rFonts w:ascii="Times New Roman" w:hAnsi="Times New Roman" w:cs="Times New Roman"/>
          <w:sz w:val="24"/>
          <w:szCs w:val="24"/>
        </w:rPr>
        <w:t>EK</w:t>
      </w:r>
      <w:r w:rsidR="00D205A0">
        <w:rPr>
          <w:rFonts w:ascii="Times New Roman" w:hAnsi="Times New Roman" w:cs="Times New Roman"/>
          <w:sz w:val="24"/>
          <w:szCs w:val="24"/>
        </w:rPr>
        <w:t xml:space="preserve">. Pirmais </w:t>
      </w:r>
      <w:proofErr w:type="spellStart"/>
      <w:r w:rsidR="00D205A0">
        <w:rPr>
          <w:rFonts w:ascii="Times New Roman" w:hAnsi="Times New Roman" w:cs="Times New Roman"/>
          <w:sz w:val="24"/>
          <w:szCs w:val="24"/>
        </w:rPr>
        <w:t>trialogs</w:t>
      </w:r>
      <w:proofErr w:type="spellEnd"/>
      <w:r w:rsidR="00D205A0">
        <w:rPr>
          <w:rFonts w:ascii="Times New Roman" w:hAnsi="Times New Roman" w:cs="Times New Roman"/>
          <w:sz w:val="24"/>
          <w:szCs w:val="24"/>
        </w:rPr>
        <w:t xml:space="preserve"> notika 2017. gada 6. februārī. Sarunas turpināsies februārī un martā. Maltas prezidentūra plāno noslēgt šo failu 2017. gada aprīļa sākumā. </w:t>
      </w:r>
    </w:p>
    <w:p w14:paraId="14AE1A2B" w14:textId="2F4DA30B" w:rsidR="001C5757" w:rsidRDefault="001C5757" w:rsidP="007A5D11">
      <w:pPr>
        <w:pStyle w:val="ListParagraph"/>
        <w:numPr>
          <w:ilvl w:val="0"/>
          <w:numId w:val="3"/>
        </w:numPr>
        <w:spacing w:before="120" w:after="120" w:line="252" w:lineRule="auto"/>
        <w:contextualSpacing w:val="0"/>
        <w:jc w:val="both"/>
        <w:rPr>
          <w:rFonts w:ascii="Times New Roman" w:hAnsi="Times New Roman" w:cs="Times New Roman"/>
          <w:sz w:val="24"/>
          <w:szCs w:val="24"/>
        </w:rPr>
      </w:pPr>
      <w:r w:rsidRPr="001C5757">
        <w:rPr>
          <w:rFonts w:ascii="Times New Roman" w:hAnsi="Times New Roman" w:cs="Times New Roman"/>
          <w:sz w:val="24"/>
          <w:szCs w:val="24"/>
        </w:rPr>
        <w:t>Priekšlikums – Eiropas Parlamenta un Padomes Regula, ar ko izveido energoefektivitātes marķējuma satvaru un atceļ Direktīvu 2010/30/ES</w:t>
      </w:r>
      <w:r w:rsidR="00E237FD">
        <w:rPr>
          <w:rStyle w:val="FootnoteReference"/>
          <w:rFonts w:ascii="Times New Roman" w:hAnsi="Times New Roman"/>
          <w:sz w:val="24"/>
          <w:szCs w:val="24"/>
        </w:rPr>
        <w:footnoteReference w:id="14"/>
      </w:r>
      <w:r w:rsidRPr="001C5757">
        <w:rPr>
          <w:rFonts w:ascii="Times New Roman" w:hAnsi="Times New Roman" w:cs="Times New Roman"/>
          <w:sz w:val="24"/>
          <w:szCs w:val="24"/>
        </w:rPr>
        <w:t xml:space="preserve"> (pirmais lasījums)</w:t>
      </w:r>
    </w:p>
    <w:p w14:paraId="762E9C6A" w14:textId="77777777" w:rsidR="006B6FD6" w:rsidRDefault="00A640E3" w:rsidP="007A5D11">
      <w:pPr>
        <w:spacing w:before="120" w:after="120" w:line="252" w:lineRule="auto"/>
        <w:jc w:val="both"/>
        <w:rPr>
          <w:rFonts w:ascii="Times New Roman" w:hAnsi="Times New Roman" w:cs="Times New Roman"/>
          <w:sz w:val="24"/>
          <w:szCs w:val="24"/>
        </w:rPr>
      </w:pPr>
      <w:r>
        <w:rPr>
          <w:rFonts w:ascii="Times New Roman" w:hAnsi="Times New Roman" w:cs="Times New Roman"/>
          <w:sz w:val="24"/>
          <w:szCs w:val="24"/>
        </w:rPr>
        <w:lastRenderedPageBreak/>
        <w:t>2017. gada janvārī un februārī vairākas tehniskās sanāksmes norisinājās starp Eiropas Parlamenta un Padomes pārstāvjiem par energoefektivitātes marķējuma regulu. Viedokļu apmaiņā uzsvars tika likts uz galvenajiem jautājumiem, kas skar pārrēķināšanu, datubāzes un pilnvarošanu. Tas sniedza izpratni par likumdevēju nostāju, jo īpaši jutīgajā jautājumā par deleģētajiem un īstenošanas aktiem. Jau ir gūti panākumi, u</w:t>
      </w:r>
      <w:r w:rsidR="00243697">
        <w:rPr>
          <w:rFonts w:ascii="Times New Roman" w:hAnsi="Times New Roman" w:cs="Times New Roman"/>
          <w:sz w:val="24"/>
          <w:szCs w:val="24"/>
        </w:rPr>
        <w:t xml:space="preserve">n ir noteikts datums ceturtajam, noslēguma </w:t>
      </w:r>
      <w:proofErr w:type="spellStart"/>
      <w:r w:rsidR="00243697">
        <w:rPr>
          <w:rFonts w:ascii="Times New Roman" w:hAnsi="Times New Roman" w:cs="Times New Roman"/>
          <w:sz w:val="24"/>
          <w:szCs w:val="24"/>
        </w:rPr>
        <w:t>trialogam</w:t>
      </w:r>
      <w:proofErr w:type="spellEnd"/>
      <w:r w:rsidR="00243697">
        <w:rPr>
          <w:rFonts w:ascii="Times New Roman" w:hAnsi="Times New Roman" w:cs="Times New Roman"/>
          <w:sz w:val="24"/>
          <w:szCs w:val="24"/>
        </w:rPr>
        <w:t xml:space="preserve"> – 2017. gada 21. marts.</w:t>
      </w:r>
    </w:p>
    <w:p w14:paraId="75338292" w14:textId="77777777" w:rsidR="006B6FD6" w:rsidRDefault="001C5757" w:rsidP="007A5D11">
      <w:pPr>
        <w:pStyle w:val="ListParagraph"/>
        <w:numPr>
          <w:ilvl w:val="0"/>
          <w:numId w:val="5"/>
        </w:numPr>
        <w:spacing w:before="120" w:after="120" w:line="252" w:lineRule="auto"/>
        <w:contextualSpacing w:val="0"/>
        <w:jc w:val="both"/>
        <w:rPr>
          <w:rFonts w:ascii="Times New Roman" w:hAnsi="Times New Roman" w:cs="Times New Roman"/>
          <w:sz w:val="24"/>
          <w:szCs w:val="24"/>
        </w:rPr>
      </w:pPr>
      <w:r w:rsidRPr="006B6FD6">
        <w:rPr>
          <w:rFonts w:ascii="Times New Roman" w:hAnsi="Times New Roman" w:cs="Times New Roman"/>
          <w:sz w:val="24"/>
          <w:szCs w:val="24"/>
        </w:rPr>
        <w:t>Eiropas Kodolenerģētikas foruma 12. plenārsēde (Prāgā 2017. gada 22. un 23. maijā)</w:t>
      </w:r>
      <w:r w:rsidR="006B6FD6">
        <w:rPr>
          <w:rFonts w:ascii="Times New Roman" w:hAnsi="Times New Roman" w:cs="Times New Roman"/>
          <w:sz w:val="24"/>
          <w:szCs w:val="24"/>
        </w:rPr>
        <w:t xml:space="preserve"> – informācija no Čehijas Republikas</w:t>
      </w:r>
    </w:p>
    <w:p w14:paraId="542502D0" w14:textId="77777777" w:rsidR="006B6FD6" w:rsidRPr="005B5D0B" w:rsidRDefault="005B5D0B" w:rsidP="007A5D11">
      <w:pPr>
        <w:spacing w:before="120" w:after="120" w:line="252" w:lineRule="auto"/>
        <w:ind w:left="360"/>
        <w:jc w:val="both"/>
        <w:rPr>
          <w:rFonts w:ascii="Times New Roman" w:hAnsi="Times New Roman" w:cs="Times New Roman"/>
          <w:sz w:val="24"/>
          <w:szCs w:val="24"/>
        </w:rPr>
      </w:pPr>
      <w:r w:rsidRPr="005B5D0B">
        <w:rPr>
          <w:rFonts w:ascii="Times New Roman" w:hAnsi="Times New Roman" w:cs="Times New Roman"/>
          <w:sz w:val="24"/>
          <w:szCs w:val="24"/>
        </w:rPr>
        <w:t xml:space="preserve">Čehijas delegācija sniegs informāciju par Eiropas Kodolenerģētikas foruma 12. plenārsēdi, kas norisināsies 2017. gada 22. un 23. maijā Čehijā, Prāgā. </w:t>
      </w:r>
    </w:p>
    <w:p w14:paraId="2AE9D56F" w14:textId="77777777" w:rsidR="008B0DD0" w:rsidRPr="00FB0D8B" w:rsidRDefault="001C5757" w:rsidP="007A5D11">
      <w:pPr>
        <w:pStyle w:val="ListParagraph"/>
        <w:numPr>
          <w:ilvl w:val="0"/>
          <w:numId w:val="5"/>
        </w:numPr>
        <w:spacing w:before="120" w:after="120" w:line="252" w:lineRule="auto"/>
        <w:contextualSpacing w:val="0"/>
        <w:jc w:val="both"/>
        <w:rPr>
          <w:rFonts w:ascii="Times New Roman" w:hAnsi="Times New Roman" w:cs="Times New Roman"/>
          <w:sz w:val="24"/>
          <w:szCs w:val="24"/>
        </w:rPr>
      </w:pPr>
      <w:r w:rsidRPr="006B6FD6">
        <w:rPr>
          <w:rFonts w:ascii="Times New Roman" w:hAnsi="Times New Roman" w:cs="Times New Roman"/>
          <w:sz w:val="24"/>
          <w:szCs w:val="24"/>
        </w:rPr>
        <w:t xml:space="preserve">Okeāna enerģijas forums </w:t>
      </w:r>
      <w:r w:rsidR="006B6FD6">
        <w:rPr>
          <w:rFonts w:ascii="Times New Roman" w:hAnsi="Times New Roman" w:cs="Times New Roman"/>
          <w:sz w:val="24"/>
          <w:szCs w:val="24"/>
        </w:rPr>
        <w:t>– informācija no EK</w:t>
      </w:r>
    </w:p>
    <w:p w14:paraId="67ADBE11" w14:textId="77777777" w:rsidR="00CD202E" w:rsidRDefault="00CD202E" w:rsidP="00B731BA">
      <w:pPr>
        <w:pStyle w:val="ListParagraph"/>
        <w:spacing w:after="120"/>
        <w:ind w:left="360"/>
        <w:jc w:val="center"/>
        <w:rPr>
          <w:rFonts w:ascii="Times New Roman" w:hAnsi="Times New Roman"/>
          <w:b/>
          <w:sz w:val="24"/>
          <w:szCs w:val="24"/>
        </w:rPr>
      </w:pPr>
    </w:p>
    <w:p w14:paraId="0F617B9A" w14:textId="77777777" w:rsidR="00B731BA" w:rsidRPr="006A3310" w:rsidRDefault="00B731BA" w:rsidP="00B731BA">
      <w:pPr>
        <w:pStyle w:val="ListParagraph"/>
        <w:spacing w:after="120"/>
        <w:ind w:left="360"/>
        <w:jc w:val="center"/>
        <w:rPr>
          <w:rFonts w:ascii="Times New Roman" w:hAnsi="Times New Roman"/>
          <w:b/>
          <w:sz w:val="24"/>
          <w:szCs w:val="24"/>
        </w:rPr>
      </w:pPr>
      <w:r w:rsidRPr="006A3310">
        <w:rPr>
          <w:rFonts w:ascii="Times New Roman" w:hAnsi="Times New Roman"/>
          <w:b/>
          <w:sz w:val="24"/>
          <w:szCs w:val="24"/>
        </w:rPr>
        <w:t>II. Latvijas delegācija</w:t>
      </w:r>
    </w:p>
    <w:p w14:paraId="29CF8C3A" w14:textId="0CBBA8B1" w:rsidR="00B731BA" w:rsidRPr="006A3310" w:rsidRDefault="00B731BA" w:rsidP="00B731BA">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00F2186D" w:rsidRPr="00D72BFB">
        <w:rPr>
          <w:rFonts w:ascii="Times New Roman" w:hAnsi="Times New Roman"/>
          <w:b/>
          <w:sz w:val="24"/>
          <w:szCs w:val="24"/>
        </w:rPr>
        <w:t xml:space="preserve">J. </w:t>
      </w:r>
      <w:r w:rsidR="000E7313">
        <w:rPr>
          <w:rFonts w:ascii="Times New Roman" w:hAnsi="Times New Roman"/>
          <w:b/>
          <w:sz w:val="24"/>
          <w:szCs w:val="24"/>
        </w:rPr>
        <w:t>Stinka</w:t>
      </w:r>
      <w:r w:rsidR="00F2186D">
        <w:rPr>
          <w:rFonts w:ascii="Times New Roman" w:hAnsi="Times New Roman"/>
          <w:sz w:val="24"/>
          <w:szCs w:val="24"/>
        </w:rPr>
        <w:t xml:space="preserve">, Latvijas Republikas </w:t>
      </w:r>
      <w:r w:rsidR="000E7313">
        <w:rPr>
          <w:rFonts w:ascii="Times New Roman" w:hAnsi="Times New Roman"/>
          <w:sz w:val="24"/>
          <w:szCs w:val="24"/>
        </w:rPr>
        <w:t>Ekonomikas ministrijas valsts sekretārs</w:t>
      </w:r>
      <w:r w:rsidR="00F2186D">
        <w:rPr>
          <w:rFonts w:ascii="Times New Roman" w:hAnsi="Times New Roman"/>
          <w:sz w:val="24"/>
          <w:szCs w:val="24"/>
        </w:rPr>
        <w:t xml:space="preserve"> </w:t>
      </w:r>
    </w:p>
    <w:p w14:paraId="1A435946" w14:textId="232B2E99" w:rsidR="00B731BA" w:rsidRPr="00F2186D" w:rsidRDefault="00B731BA" w:rsidP="00F2186D">
      <w:pPr>
        <w:spacing w:after="120"/>
        <w:ind w:left="2880" w:hanging="2880"/>
        <w:jc w:val="both"/>
        <w:rPr>
          <w:rFonts w:ascii="Times New Roman" w:hAnsi="Times New Roman"/>
          <w:b/>
          <w:sz w:val="24"/>
          <w:szCs w:val="24"/>
        </w:rPr>
      </w:pPr>
      <w:r w:rsidRPr="006A3310">
        <w:rPr>
          <w:rFonts w:ascii="Times New Roman" w:hAnsi="Times New Roman"/>
          <w:sz w:val="24"/>
          <w:szCs w:val="24"/>
        </w:rPr>
        <w:t xml:space="preserve">Delegācijas dalībnieki: </w:t>
      </w:r>
      <w:r w:rsidRPr="006A3310">
        <w:rPr>
          <w:rFonts w:ascii="Times New Roman" w:hAnsi="Times New Roman"/>
          <w:sz w:val="24"/>
          <w:szCs w:val="24"/>
        </w:rPr>
        <w:tab/>
      </w:r>
      <w:r w:rsidRPr="006A3310">
        <w:rPr>
          <w:rFonts w:ascii="Times New Roman" w:hAnsi="Times New Roman"/>
          <w:b/>
          <w:sz w:val="24"/>
          <w:szCs w:val="24"/>
        </w:rPr>
        <w:t>J. Patmalnie</w:t>
      </w:r>
      <w:bookmarkStart w:id="0" w:name="_GoBack"/>
      <w:bookmarkEnd w:id="0"/>
      <w:r w:rsidRPr="006A3310">
        <w:rPr>
          <w:rFonts w:ascii="Times New Roman" w:hAnsi="Times New Roman"/>
          <w:b/>
          <w:sz w:val="24"/>
          <w:szCs w:val="24"/>
        </w:rPr>
        <w:t>ks</w:t>
      </w:r>
      <w:r w:rsidRPr="00D72BFB">
        <w:rPr>
          <w:rFonts w:ascii="Times New Roman" w:hAnsi="Times New Roman"/>
          <w:sz w:val="24"/>
          <w:szCs w:val="24"/>
        </w:rPr>
        <w:t>,</w:t>
      </w:r>
      <w:r w:rsidRPr="006A3310">
        <w:rPr>
          <w:rFonts w:ascii="Times New Roman" w:hAnsi="Times New Roman"/>
          <w:sz w:val="24"/>
          <w:szCs w:val="24"/>
        </w:rPr>
        <w:t xml:space="preserve"> Ekonomikas </w:t>
      </w:r>
      <w:r>
        <w:rPr>
          <w:rFonts w:ascii="Times New Roman" w:hAnsi="Times New Roman"/>
          <w:sz w:val="24"/>
          <w:szCs w:val="24"/>
        </w:rPr>
        <w:t>ministrijas valsts sekretāra vietnieks enerģētikas jautājumos</w:t>
      </w:r>
    </w:p>
    <w:p w14:paraId="24C4A1DB" w14:textId="77777777" w:rsidR="00B731BA" w:rsidRPr="006A3310" w:rsidRDefault="00B731BA" w:rsidP="00B731BA">
      <w:pPr>
        <w:tabs>
          <w:tab w:val="left" w:pos="2910"/>
        </w:tabs>
        <w:spacing w:after="120"/>
        <w:ind w:left="2880" w:hanging="2880"/>
        <w:jc w:val="both"/>
        <w:rPr>
          <w:rFonts w:ascii="Times New Roman" w:hAnsi="Times New Roman"/>
          <w:sz w:val="24"/>
          <w:szCs w:val="24"/>
        </w:rPr>
      </w:pPr>
      <w:r>
        <w:rPr>
          <w:rFonts w:ascii="Times New Roman" w:hAnsi="Times New Roman"/>
          <w:sz w:val="24"/>
          <w:szCs w:val="24"/>
        </w:rPr>
        <w:tab/>
      </w:r>
      <w:r w:rsidR="00E771D1" w:rsidRPr="008B5FB8">
        <w:rPr>
          <w:rFonts w:ascii="Times New Roman" w:hAnsi="Times New Roman"/>
          <w:b/>
          <w:sz w:val="24"/>
          <w:szCs w:val="24"/>
        </w:rPr>
        <w:t>L. Dreijalte</w:t>
      </w:r>
      <w:r w:rsidR="00E771D1">
        <w:rPr>
          <w:rFonts w:ascii="Times New Roman" w:hAnsi="Times New Roman"/>
          <w:sz w:val="24"/>
          <w:szCs w:val="24"/>
        </w:rPr>
        <w:t xml:space="preserve">, Ekonomikas ministrijas Atjaunojamo energoresursu un energoefektivitātes departamenta </w:t>
      </w:r>
      <w:r w:rsidR="002151C4">
        <w:rPr>
          <w:rFonts w:ascii="Times New Roman" w:hAnsi="Times New Roman"/>
          <w:sz w:val="24"/>
          <w:szCs w:val="24"/>
        </w:rPr>
        <w:t>Atjaunojamo energoresursu nodaļas vecākā referente</w:t>
      </w:r>
    </w:p>
    <w:p w14:paraId="67AE413F" w14:textId="77777777" w:rsidR="0090362E" w:rsidRDefault="0090362E" w:rsidP="00B731BA">
      <w:pPr>
        <w:spacing w:after="120"/>
        <w:ind w:left="2880"/>
        <w:jc w:val="both"/>
        <w:rPr>
          <w:rFonts w:ascii="Times New Roman" w:hAnsi="Times New Roman"/>
          <w:sz w:val="24"/>
          <w:szCs w:val="24"/>
        </w:rPr>
      </w:pPr>
      <w:r>
        <w:rPr>
          <w:rFonts w:ascii="Times New Roman" w:hAnsi="Times New Roman"/>
          <w:b/>
          <w:sz w:val="24"/>
          <w:szCs w:val="24"/>
        </w:rPr>
        <w:t>I. Karpoviča</w:t>
      </w:r>
      <w:r w:rsidRPr="0090362E">
        <w:rPr>
          <w:rFonts w:ascii="Times New Roman" w:hAnsi="Times New Roman"/>
          <w:sz w:val="24"/>
          <w:szCs w:val="24"/>
        </w:rPr>
        <w:t>, Ekonomikas ministrijas</w:t>
      </w:r>
      <w:r>
        <w:rPr>
          <w:rFonts w:ascii="Times New Roman" w:hAnsi="Times New Roman"/>
          <w:sz w:val="24"/>
          <w:szCs w:val="24"/>
        </w:rPr>
        <w:t xml:space="preserve"> ES un ārējo ekonomisko attiecību departamenta ES lietu nodaļas vecākā referente</w:t>
      </w:r>
    </w:p>
    <w:p w14:paraId="06B7C7F6" w14:textId="44FE3C8E" w:rsidR="00490AB2" w:rsidRDefault="00490AB2" w:rsidP="00490AB2">
      <w:pPr>
        <w:spacing w:after="120"/>
        <w:ind w:left="2880"/>
        <w:jc w:val="both"/>
        <w:rPr>
          <w:rFonts w:ascii="Times New Roman" w:hAnsi="Times New Roman"/>
          <w:sz w:val="24"/>
          <w:szCs w:val="24"/>
        </w:rPr>
      </w:pPr>
      <w:r>
        <w:rPr>
          <w:rFonts w:ascii="Times New Roman" w:hAnsi="Times New Roman"/>
          <w:b/>
          <w:sz w:val="24"/>
          <w:szCs w:val="24"/>
        </w:rPr>
        <w:t>I. Iļjina</w:t>
      </w:r>
      <w:r w:rsidRPr="00D72BFB">
        <w:rPr>
          <w:rFonts w:ascii="Times New Roman" w:hAnsi="Times New Roman"/>
          <w:sz w:val="24"/>
          <w:szCs w:val="24"/>
        </w:rPr>
        <w:t>,</w:t>
      </w:r>
      <w:r>
        <w:rPr>
          <w:rFonts w:ascii="Times New Roman" w:hAnsi="Times New Roman"/>
          <w:b/>
          <w:sz w:val="24"/>
          <w:szCs w:val="24"/>
        </w:rPr>
        <w:t xml:space="preserve"> </w:t>
      </w:r>
      <w:r w:rsidRPr="006A3310">
        <w:rPr>
          <w:rFonts w:ascii="Times New Roman" w:hAnsi="Times New Roman"/>
          <w:sz w:val="24"/>
          <w:szCs w:val="24"/>
        </w:rPr>
        <w:t>Ekonomikas ministrijas nozares padomniece,  Latvijas Republikas Pastāvīgā pārstāvniecība Eiropas Savienībā</w:t>
      </w:r>
    </w:p>
    <w:p w14:paraId="2309F4C4" w14:textId="77777777" w:rsidR="00B731BA" w:rsidRPr="006A3310" w:rsidRDefault="00B731BA" w:rsidP="00B731BA">
      <w:pPr>
        <w:spacing w:after="120"/>
        <w:jc w:val="both"/>
        <w:rPr>
          <w:rFonts w:ascii="Times New Roman" w:hAnsi="Times New Roman"/>
          <w:b/>
          <w:sz w:val="24"/>
          <w:szCs w:val="24"/>
        </w:rPr>
      </w:pPr>
    </w:p>
    <w:p w14:paraId="4FFFC5BD" w14:textId="77777777" w:rsidR="00B731BA" w:rsidRDefault="00B731BA" w:rsidP="00B731BA">
      <w:pPr>
        <w:spacing w:after="120"/>
        <w:jc w:val="both"/>
        <w:rPr>
          <w:rFonts w:ascii="Times New Roman" w:hAnsi="Times New Roman"/>
          <w:sz w:val="24"/>
          <w:szCs w:val="24"/>
        </w:rPr>
      </w:pPr>
      <w:r>
        <w:rPr>
          <w:rFonts w:ascii="Times New Roman" w:hAnsi="Times New Roman"/>
          <w:sz w:val="24"/>
          <w:szCs w:val="24"/>
        </w:rPr>
        <w:t>Ministru prezidenta biedrs</w:t>
      </w:r>
      <w:r w:rsidRPr="006A3310">
        <w:rPr>
          <w:rFonts w:ascii="Times New Roman" w:hAnsi="Times New Roman"/>
          <w:sz w:val="24"/>
          <w:szCs w:val="24"/>
        </w:rPr>
        <w:t>,</w:t>
      </w:r>
    </w:p>
    <w:p w14:paraId="2251C8E4" w14:textId="77777777" w:rsidR="00B731BA" w:rsidRPr="006A3310" w:rsidRDefault="00B731BA" w:rsidP="00B731BA">
      <w:pPr>
        <w:spacing w:after="120"/>
        <w:jc w:val="both"/>
        <w:rPr>
          <w:rFonts w:ascii="Times New Roman" w:hAnsi="Times New Roman"/>
          <w:sz w:val="24"/>
          <w:szCs w:val="24"/>
        </w:rPr>
      </w:pPr>
      <w:r>
        <w:rPr>
          <w:rFonts w:ascii="Times New Roman" w:hAnsi="Times New Roman"/>
          <w:sz w:val="24"/>
          <w:szCs w:val="24"/>
        </w:rPr>
        <w:t>ekonomikas ministrs</w:t>
      </w:r>
      <w:r w:rsidRPr="006A3310">
        <w:rPr>
          <w:rFonts w:ascii="Times New Roman" w:hAnsi="Times New Roman"/>
          <w:sz w:val="24"/>
          <w:szCs w:val="24"/>
        </w:rPr>
        <w:t xml:space="preserve"> </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t xml:space="preserve">  </w:t>
      </w:r>
      <w:r>
        <w:rPr>
          <w:rFonts w:ascii="Times New Roman" w:hAnsi="Times New Roman"/>
          <w:sz w:val="24"/>
          <w:szCs w:val="24"/>
        </w:rPr>
        <w:t xml:space="preserve">               A. Ašeradens</w:t>
      </w:r>
    </w:p>
    <w:p w14:paraId="36949584" w14:textId="77777777" w:rsidR="00B731BA" w:rsidRPr="006A3310" w:rsidRDefault="00B731BA" w:rsidP="00B731BA">
      <w:pPr>
        <w:tabs>
          <w:tab w:val="right" w:pos="9497"/>
        </w:tabs>
        <w:spacing w:after="120"/>
        <w:ind w:firstLine="737"/>
        <w:jc w:val="both"/>
        <w:rPr>
          <w:rFonts w:ascii="Times New Roman" w:hAnsi="Times New Roman"/>
          <w:sz w:val="24"/>
          <w:szCs w:val="24"/>
        </w:rPr>
      </w:pPr>
    </w:p>
    <w:p w14:paraId="7D38B5C0" w14:textId="77777777" w:rsidR="00B731BA" w:rsidRPr="006A3310" w:rsidRDefault="00B731BA" w:rsidP="00B731BA">
      <w:pPr>
        <w:spacing w:after="120"/>
        <w:jc w:val="both"/>
        <w:rPr>
          <w:rFonts w:ascii="Times New Roman" w:hAnsi="Times New Roman"/>
          <w:sz w:val="24"/>
          <w:szCs w:val="24"/>
        </w:rPr>
      </w:pPr>
      <w:r w:rsidRPr="006A3310">
        <w:rPr>
          <w:rFonts w:ascii="Times New Roman" w:hAnsi="Times New Roman"/>
          <w:sz w:val="24"/>
          <w:szCs w:val="24"/>
        </w:rPr>
        <w:t>Valsts sekretārs</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t>J. Stinka</w:t>
      </w:r>
    </w:p>
    <w:p w14:paraId="03A18DED" w14:textId="77777777" w:rsidR="00B731BA" w:rsidRDefault="00B731BA" w:rsidP="00B731BA">
      <w:pPr>
        <w:pStyle w:val="Header"/>
        <w:rPr>
          <w:rFonts w:ascii="Times New Roman" w:hAnsi="Times New Roman"/>
          <w:sz w:val="24"/>
          <w:szCs w:val="24"/>
        </w:rPr>
      </w:pPr>
    </w:p>
    <w:p w14:paraId="67CE6448" w14:textId="0A964488" w:rsidR="00B731BA" w:rsidRPr="00FB0D8B" w:rsidRDefault="005B5D0B" w:rsidP="00B731BA">
      <w:pPr>
        <w:pStyle w:val="Header"/>
        <w:rPr>
          <w:rFonts w:ascii="Times New Roman" w:hAnsi="Times New Roman"/>
          <w:sz w:val="20"/>
          <w:szCs w:val="20"/>
        </w:rPr>
      </w:pPr>
      <w:r w:rsidRPr="00FB0D8B">
        <w:rPr>
          <w:rFonts w:ascii="Times New Roman" w:hAnsi="Times New Roman"/>
          <w:sz w:val="20"/>
          <w:szCs w:val="20"/>
        </w:rPr>
        <w:t>1</w:t>
      </w:r>
      <w:r w:rsidR="00B46CC8">
        <w:rPr>
          <w:rFonts w:ascii="Times New Roman" w:hAnsi="Times New Roman"/>
          <w:sz w:val="20"/>
          <w:szCs w:val="20"/>
        </w:rPr>
        <w:t>7</w:t>
      </w:r>
      <w:r w:rsidR="00B731BA" w:rsidRPr="00FB0D8B">
        <w:rPr>
          <w:rFonts w:ascii="Times New Roman" w:hAnsi="Times New Roman"/>
          <w:sz w:val="20"/>
          <w:szCs w:val="20"/>
        </w:rPr>
        <w:t>.02.2017.</w:t>
      </w:r>
    </w:p>
    <w:p w14:paraId="73EA1E48" w14:textId="2C84695F" w:rsidR="00B731BA" w:rsidRPr="00FB0D8B" w:rsidRDefault="000E7313" w:rsidP="00B731BA">
      <w:pPr>
        <w:pStyle w:val="Header"/>
        <w:rPr>
          <w:rFonts w:ascii="Times New Roman" w:hAnsi="Times New Roman"/>
          <w:sz w:val="20"/>
          <w:szCs w:val="20"/>
        </w:rPr>
      </w:pPr>
      <w:r>
        <w:rPr>
          <w:rFonts w:ascii="Times New Roman" w:hAnsi="Times New Roman"/>
          <w:sz w:val="20"/>
          <w:szCs w:val="20"/>
        </w:rPr>
        <w:t>2278</w:t>
      </w:r>
    </w:p>
    <w:p w14:paraId="7798A138" w14:textId="77777777" w:rsidR="00B731BA" w:rsidRPr="00FB0D8B" w:rsidRDefault="005B5D0B" w:rsidP="00B731BA">
      <w:pPr>
        <w:pStyle w:val="Header"/>
        <w:rPr>
          <w:rFonts w:ascii="Times New Roman" w:hAnsi="Times New Roman"/>
          <w:sz w:val="20"/>
          <w:szCs w:val="20"/>
        </w:rPr>
      </w:pPr>
      <w:r w:rsidRPr="00FB0D8B">
        <w:rPr>
          <w:rFonts w:ascii="Times New Roman" w:hAnsi="Times New Roman"/>
          <w:sz w:val="20"/>
          <w:szCs w:val="20"/>
        </w:rPr>
        <w:t>A</w:t>
      </w:r>
      <w:r w:rsidR="00B731BA" w:rsidRPr="00FB0D8B">
        <w:rPr>
          <w:rFonts w:ascii="Times New Roman" w:hAnsi="Times New Roman"/>
          <w:sz w:val="20"/>
          <w:szCs w:val="20"/>
        </w:rPr>
        <w:t>.</w:t>
      </w:r>
      <w:r w:rsidR="008A3B8E" w:rsidRPr="00FB0D8B">
        <w:rPr>
          <w:rFonts w:ascii="Times New Roman" w:hAnsi="Times New Roman"/>
          <w:sz w:val="20"/>
          <w:szCs w:val="20"/>
        </w:rPr>
        <w:t xml:space="preserve"> </w:t>
      </w:r>
      <w:r w:rsidRPr="00FB0D8B">
        <w:rPr>
          <w:rFonts w:ascii="Times New Roman" w:hAnsi="Times New Roman"/>
          <w:sz w:val="20"/>
          <w:szCs w:val="20"/>
        </w:rPr>
        <w:t>Apaņuks</w:t>
      </w:r>
    </w:p>
    <w:p w14:paraId="356DE54B" w14:textId="77777777" w:rsidR="00887777" w:rsidRPr="00FB0D8B" w:rsidRDefault="00FB0D8B" w:rsidP="008B0DD0">
      <w:pPr>
        <w:pStyle w:val="Header"/>
        <w:rPr>
          <w:rFonts w:ascii="Times New Roman" w:hAnsi="Times New Roman"/>
          <w:sz w:val="20"/>
          <w:szCs w:val="20"/>
        </w:rPr>
      </w:pPr>
      <w:r w:rsidRPr="00FB0D8B">
        <w:rPr>
          <w:rFonts w:ascii="Times New Roman" w:hAnsi="Times New Roman"/>
          <w:sz w:val="20"/>
          <w:szCs w:val="20"/>
        </w:rPr>
        <w:t>67013009</w:t>
      </w:r>
      <w:r w:rsidR="00B731BA" w:rsidRPr="00FB0D8B">
        <w:rPr>
          <w:rFonts w:ascii="Times New Roman" w:hAnsi="Times New Roman"/>
          <w:sz w:val="20"/>
          <w:szCs w:val="20"/>
        </w:rPr>
        <w:t xml:space="preserve">, </w:t>
      </w:r>
      <w:hyperlink r:id="rId8" w:history="1">
        <w:r w:rsidRPr="00FB0D8B">
          <w:rPr>
            <w:rStyle w:val="Hyperlink"/>
            <w:rFonts w:ascii="Times New Roman" w:hAnsi="Times New Roman"/>
            <w:sz w:val="20"/>
            <w:szCs w:val="20"/>
          </w:rPr>
          <w:t>Andrejs.Apanuks@em.gov.lv</w:t>
        </w:r>
      </w:hyperlink>
      <w:r w:rsidR="00B731BA" w:rsidRPr="00FB0D8B">
        <w:rPr>
          <w:rFonts w:ascii="Times New Roman" w:hAnsi="Times New Roman"/>
          <w:sz w:val="20"/>
          <w:szCs w:val="20"/>
        </w:rPr>
        <w:t xml:space="preserve"> </w:t>
      </w:r>
    </w:p>
    <w:sectPr w:rsidR="00887777" w:rsidRPr="00FB0D8B" w:rsidSect="005B5D0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A22D" w14:textId="77777777" w:rsidR="005F3771" w:rsidRDefault="005F3771" w:rsidP="0047229E">
      <w:pPr>
        <w:spacing w:after="0" w:line="240" w:lineRule="auto"/>
      </w:pPr>
      <w:r>
        <w:separator/>
      </w:r>
    </w:p>
  </w:endnote>
  <w:endnote w:type="continuationSeparator" w:id="0">
    <w:p w14:paraId="570A534D" w14:textId="77777777" w:rsidR="005F3771" w:rsidRDefault="005F3771" w:rsidP="004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56FA" w14:textId="75A4D50E" w:rsidR="005B5D0B" w:rsidRPr="005B5D0B" w:rsidRDefault="005B5D0B" w:rsidP="005B5D0B">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sidR="0023221B">
      <w:rPr>
        <w:rFonts w:ascii="Times New Roman" w:hAnsi="Times New Roman" w:cs="Times New Roman"/>
        <w:sz w:val="20"/>
        <w:szCs w:val="20"/>
      </w:rPr>
      <w:t>1</w:t>
    </w:r>
    <w:r w:rsidRPr="005B5D0B">
      <w:rPr>
        <w:rFonts w:ascii="Times New Roman" w:hAnsi="Times New Roman" w:cs="Times New Roman"/>
        <w:sz w:val="20"/>
        <w:szCs w:val="20"/>
      </w:rPr>
      <w:t xml:space="preserve">70217_ENER.docx; </w:t>
    </w:r>
    <w:r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2016. gada 27</w:t>
    </w:r>
    <w:r w:rsidRPr="005B5D0B">
      <w:rPr>
        <w:rFonts w:ascii="Times New Roman" w:hAnsi="Times New Roman"/>
        <w:sz w:val="20"/>
        <w:szCs w:val="20"/>
      </w:rPr>
      <w:t>.</w:t>
    </w:r>
    <w:r>
      <w:rPr>
        <w:rFonts w:ascii="Times New Roman" w:hAnsi="Times New Roman"/>
        <w:sz w:val="20"/>
        <w:szCs w:val="20"/>
      </w:rPr>
      <w:t xml:space="preserve"> februāra</w:t>
    </w:r>
    <w:r w:rsidRPr="005B5D0B">
      <w:rPr>
        <w:rFonts w:ascii="Times New Roman" w:hAnsi="Times New Roman"/>
        <w:sz w:val="20"/>
        <w:szCs w:val="20"/>
      </w:rPr>
      <w:t xml:space="preserve"> sanāksmē izskatāmajiem jautājumiem</w:t>
    </w:r>
  </w:p>
  <w:p w14:paraId="03A38C57" w14:textId="77777777" w:rsidR="005B5D0B" w:rsidRDefault="005B5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81F4" w14:textId="77609C34" w:rsidR="005B5D0B" w:rsidRPr="005B5D0B" w:rsidRDefault="005B5D0B">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sidR="0023221B">
      <w:rPr>
        <w:rFonts w:ascii="Times New Roman" w:hAnsi="Times New Roman" w:cs="Times New Roman"/>
        <w:sz w:val="20"/>
        <w:szCs w:val="20"/>
      </w:rPr>
      <w:t>1</w:t>
    </w:r>
    <w:r w:rsidRPr="005B5D0B">
      <w:rPr>
        <w:rFonts w:ascii="Times New Roman" w:hAnsi="Times New Roman" w:cs="Times New Roman"/>
        <w:sz w:val="20"/>
        <w:szCs w:val="20"/>
      </w:rPr>
      <w:t xml:space="preserve">70217_ENER.docx; </w:t>
    </w:r>
    <w:r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2017. gada 27</w:t>
    </w:r>
    <w:r w:rsidRPr="005B5D0B">
      <w:rPr>
        <w:rFonts w:ascii="Times New Roman" w:hAnsi="Times New Roman"/>
        <w:sz w:val="20"/>
        <w:szCs w:val="20"/>
      </w:rPr>
      <w:t>.</w:t>
    </w:r>
    <w:r>
      <w:rPr>
        <w:rFonts w:ascii="Times New Roman" w:hAnsi="Times New Roman"/>
        <w:sz w:val="20"/>
        <w:szCs w:val="20"/>
      </w:rPr>
      <w:t xml:space="preserve"> februāra</w:t>
    </w:r>
    <w:r w:rsidRPr="005B5D0B">
      <w:rPr>
        <w:rFonts w:ascii="Times New Roman" w:hAnsi="Times New Roman"/>
        <w:sz w:val="20"/>
        <w:szCs w:val="20"/>
      </w:rPr>
      <w:t xml:space="preserve"> sanāksmē izskatāmajiem jautājumiem</w:t>
    </w:r>
  </w:p>
  <w:p w14:paraId="4AE0569D" w14:textId="77777777" w:rsidR="005B5D0B" w:rsidRDefault="005B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DAC93" w14:textId="77777777" w:rsidR="005F3771" w:rsidRDefault="005F3771" w:rsidP="0047229E">
      <w:pPr>
        <w:spacing w:after="0" w:line="240" w:lineRule="auto"/>
      </w:pPr>
      <w:r>
        <w:separator/>
      </w:r>
    </w:p>
  </w:footnote>
  <w:footnote w:type="continuationSeparator" w:id="0">
    <w:p w14:paraId="456FB56F" w14:textId="77777777" w:rsidR="005F3771" w:rsidRDefault="005F3771" w:rsidP="0047229E">
      <w:pPr>
        <w:spacing w:after="0" w:line="240" w:lineRule="auto"/>
      </w:pPr>
      <w:r>
        <w:continuationSeparator/>
      </w:r>
    </w:p>
  </w:footnote>
  <w:footnote w:id="1">
    <w:p w14:paraId="4CFF01F6" w14:textId="77777777" w:rsidR="0047229E" w:rsidRPr="00D92944" w:rsidRDefault="0047229E" w:rsidP="001C4F2E">
      <w:pPr>
        <w:spacing w:before="40" w:after="0" w:line="240" w:lineRule="auto"/>
        <w:jc w:val="both"/>
        <w:rPr>
          <w:rFonts w:ascii="Times New Roman" w:hAnsi="Times New Roman"/>
          <w:sz w:val="18"/>
          <w:szCs w:val="20"/>
        </w:rPr>
      </w:pPr>
      <w:r w:rsidRPr="00D92944">
        <w:rPr>
          <w:rStyle w:val="FootnoteReference"/>
          <w:rFonts w:ascii="Times New Roman" w:hAnsi="Times New Roman"/>
          <w:sz w:val="18"/>
          <w:szCs w:val="20"/>
        </w:rPr>
        <w:footnoteRef/>
      </w:r>
      <w:r w:rsidRPr="00D92944">
        <w:rPr>
          <w:rFonts w:ascii="Times New Roman" w:hAnsi="Times New Roman"/>
          <w:sz w:val="18"/>
          <w:szCs w:val="20"/>
        </w:rPr>
        <w:t xml:space="preserve"> Izveidota ar 2015.gada 19.-20. marta Eiropadomes secinājumiem </w:t>
      </w:r>
      <w:r w:rsidRPr="00D92944">
        <w:rPr>
          <w:rFonts w:ascii="Times New Roman" w:hAnsi="Times New Roman"/>
          <w:i/>
          <w:sz w:val="18"/>
          <w:szCs w:val="20"/>
        </w:rPr>
        <w:t>(EUCO 11/15)</w:t>
      </w:r>
      <w:r w:rsidRPr="00D92944">
        <w:rPr>
          <w:rFonts w:ascii="Times New Roman" w:hAnsi="Times New Roman"/>
          <w:sz w:val="18"/>
          <w:szCs w:val="20"/>
        </w:rPr>
        <w:t xml:space="preserve">, balstoties uz EK 2015.gada 25. februāra EK paziņojumu </w:t>
      </w:r>
      <w:r w:rsidRPr="00D92944">
        <w:rPr>
          <w:rFonts w:ascii="Times New Roman" w:hAnsi="Times New Roman"/>
          <w:i/>
          <w:sz w:val="18"/>
          <w:szCs w:val="20"/>
        </w:rPr>
        <w:t>COM (2015) 80 </w:t>
      </w:r>
      <w:proofErr w:type="spellStart"/>
      <w:r w:rsidRPr="00D92944">
        <w:rPr>
          <w:rFonts w:ascii="Times New Roman" w:hAnsi="Times New Roman"/>
          <w:i/>
          <w:sz w:val="18"/>
          <w:szCs w:val="20"/>
        </w:rPr>
        <w:t>final</w:t>
      </w:r>
      <w:proofErr w:type="spellEnd"/>
      <w:r w:rsidRPr="00D92944">
        <w:rPr>
          <w:rFonts w:ascii="Times New Roman" w:hAnsi="Times New Roman"/>
          <w:sz w:val="18"/>
          <w:szCs w:val="20"/>
        </w:rPr>
        <w:t xml:space="preserve"> “</w:t>
      </w:r>
      <w:proofErr w:type="spellStart"/>
      <w:r w:rsidRPr="00D92944">
        <w:rPr>
          <w:rFonts w:ascii="Times New Roman" w:hAnsi="Times New Roman"/>
          <w:sz w:val="18"/>
          <w:szCs w:val="20"/>
        </w:rPr>
        <w:t>Pamatstratēģija</w:t>
      </w:r>
      <w:proofErr w:type="spellEnd"/>
      <w:r w:rsidRPr="00D92944">
        <w:rPr>
          <w:rFonts w:ascii="Times New Roman" w:hAnsi="Times New Roman"/>
          <w:sz w:val="18"/>
          <w:szCs w:val="20"/>
        </w:rPr>
        <w:t xml:space="preserve"> spēcīgai Enerģētikas savienībai ar tālredzīgu klimata pārmaiņu politiku”</w:t>
      </w:r>
    </w:p>
  </w:footnote>
  <w:footnote w:id="2">
    <w:p w14:paraId="4DB4287F" w14:textId="7C79D744" w:rsidR="00D2175A" w:rsidRPr="00D92944" w:rsidRDefault="00D2175A"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COM/2016/861 final</w:t>
      </w:r>
    </w:p>
  </w:footnote>
  <w:footnote w:id="3">
    <w:p w14:paraId="06DC775E" w14:textId="01AA5319" w:rsidR="005F6319" w:rsidRPr="00D92944" w:rsidRDefault="005F6319"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COM/2016/864 final</w:t>
      </w:r>
    </w:p>
  </w:footnote>
  <w:footnote w:id="4">
    <w:p w14:paraId="0D46541D" w14:textId="478DC70E" w:rsidR="00395C41" w:rsidRPr="00D92944" w:rsidRDefault="00395C41"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COM/2016/862 final</w:t>
      </w:r>
    </w:p>
  </w:footnote>
  <w:footnote w:id="5">
    <w:p w14:paraId="06E1436A" w14:textId="6D22A214" w:rsidR="00501CEA" w:rsidRPr="00D92944" w:rsidRDefault="00501CEA"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COM/2016/863 final</w:t>
      </w:r>
    </w:p>
  </w:footnote>
  <w:footnote w:id="6">
    <w:p w14:paraId="16CAAC0F" w14:textId="77A626C5" w:rsidR="00075C2A" w:rsidRPr="00D92944" w:rsidRDefault="00075C2A"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COM/2016/767 final</w:t>
      </w:r>
    </w:p>
  </w:footnote>
  <w:footnote w:id="7">
    <w:p w14:paraId="619D2D5F" w14:textId="3E22CD08" w:rsidR="00526C59" w:rsidRPr="00D92944" w:rsidRDefault="00526C59" w:rsidP="001C4F2E">
      <w:pPr>
        <w:pStyle w:val="FootnoteText"/>
        <w:spacing w:before="40"/>
        <w:rPr>
          <w:i/>
          <w:sz w:val="18"/>
          <w:lang w:val="lv-LV"/>
        </w:rPr>
      </w:pPr>
      <w:r w:rsidRPr="00D92944">
        <w:rPr>
          <w:rStyle w:val="FootnoteReference"/>
          <w:i/>
          <w:sz w:val="18"/>
        </w:rPr>
        <w:footnoteRef/>
      </w:r>
      <w:r w:rsidRPr="00D92944">
        <w:rPr>
          <w:i/>
          <w:sz w:val="18"/>
        </w:rPr>
        <w:t xml:space="preserve"> </w:t>
      </w:r>
      <w:r w:rsidR="00E2476C" w:rsidRPr="00D92944">
        <w:rPr>
          <w:i/>
          <w:sz w:val="18"/>
        </w:rPr>
        <w:t>COM/2016/</w:t>
      </w:r>
      <w:r w:rsidRPr="00D92944">
        <w:rPr>
          <w:i/>
          <w:sz w:val="18"/>
        </w:rPr>
        <w:t>761 final</w:t>
      </w:r>
    </w:p>
  </w:footnote>
  <w:footnote w:id="8">
    <w:p w14:paraId="49EA336D" w14:textId="78F6177E" w:rsidR="00E2476C" w:rsidRPr="00D92944" w:rsidRDefault="00E2476C"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COM/2016/765 final</w:t>
      </w:r>
    </w:p>
  </w:footnote>
  <w:footnote w:id="9">
    <w:p w14:paraId="6986BB20" w14:textId="6280B33B" w:rsidR="00A644D0" w:rsidRPr="00D92944" w:rsidRDefault="00A644D0"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COM/2016/7</w:t>
      </w:r>
      <w:r w:rsidR="00075C2A" w:rsidRPr="00D92944">
        <w:rPr>
          <w:i/>
          <w:sz w:val="18"/>
        </w:rPr>
        <w:t>59</w:t>
      </w:r>
      <w:r w:rsidRPr="00D92944">
        <w:rPr>
          <w:i/>
          <w:sz w:val="18"/>
        </w:rPr>
        <w:t xml:space="preserve"> final</w:t>
      </w:r>
    </w:p>
  </w:footnote>
  <w:footnote w:id="10">
    <w:p w14:paraId="6DFB17CD" w14:textId="6347846C" w:rsidR="00892683" w:rsidRPr="00D92944" w:rsidRDefault="00892683" w:rsidP="001C4F2E">
      <w:pPr>
        <w:pStyle w:val="FootnoteText"/>
        <w:spacing w:before="40"/>
        <w:rPr>
          <w:sz w:val="18"/>
          <w:lang w:val="lv-LV"/>
        </w:rPr>
      </w:pPr>
      <w:r w:rsidRPr="00D92944">
        <w:rPr>
          <w:rStyle w:val="FootnoteReference"/>
          <w:sz w:val="18"/>
        </w:rPr>
        <w:footnoteRef/>
      </w:r>
      <w:r w:rsidRPr="00D92944">
        <w:rPr>
          <w:sz w:val="18"/>
          <w:lang w:val="fr-FR"/>
        </w:rPr>
        <w:t xml:space="preserve"> </w:t>
      </w:r>
      <w:r w:rsidR="005D0843" w:rsidRPr="00D92944">
        <w:rPr>
          <w:i/>
          <w:sz w:val="18"/>
          <w:lang w:val="fr-FR"/>
        </w:rPr>
        <w:t xml:space="preserve">ST </w:t>
      </w:r>
      <w:r w:rsidRPr="00D92944">
        <w:rPr>
          <w:i/>
          <w:sz w:val="18"/>
          <w:lang w:val="fr-FR"/>
        </w:rPr>
        <w:t>5800/1/17</w:t>
      </w:r>
    </w:p>
  </w:footnote>
  <w:footnote w:id="11">
    <w:p w14:paraId="09A3D18F" w14:textId="77777777" w:rsidR="00E90BD1" w:rsidRPr="00D92944" w:rsidRDefault="00E90BD1" w:rsidP="001C4F2E">
      <w:pPr>
        <w:pStyle w:val="FootnoteText"/>
        <w:spacing w:before="40"/>
        <w:rPr>
          <w:sz w:val="18"/>
          <w:lang w:val="lv-LV"/>
        </w:rPr>
      </w:pPr>
      <w:r w:rsidRPr="00D92944">
        <w:rPr>
          <w:rStyle w:val="FootnoteReference"/>
          <w:sz w:val="18"/>
        </w:rPr>
        <w:footnoteRef/>
      </w:r>
      <w:r w:rsidRPr="00D92944">
        <w:rPr>
          <w:sz w:val="18"/>
        </w:rPr>
        <w:t xml:space="preserve"> 2 </w:t>
      </w:r>
      <w:proofErr w:type="spellStart"/>
      <w:r w:rsidRPr="00D92944">
        <w:rPr>
          <w:sz w:val="18"/>
        </w:rPr>
        <w:t>mljrd</w:t>
      </w:r>
      <w:proofErr w:type="spellEnd"/>
      <w:r w:rsidRPr="00D92944">
        <w:rPr>
          <w:sz w:val="18"/>
        </w:rPr>
        <w:t>. EUR</w:t>
      </w:r>
    </w:p>
  </w:footnote>
  <w:footnote w:id="12">
    <w:p w14:paraId="61B2EE65" w14:textId="2BD165B7" w:rsidR="00B31158" w:rsidRPr="00D92944" w:rsidRDefault="00B31158" w:rsidP="001C4F2E">
      <w:pPr>
        <w:pStyle w:val="FootnoteText"/>
        <w:spacing w:before="40"/>
        <w:rPr>
          <w:i/>
          <w:sz w:val="18"/>
          <w:lang w:val="lv-LV"/>
        </w:rPr>
      </w:pPr>
      <w:r w:rsidRPr="00E237FD">
        <w:rPr>
          <w:rStyle w:val="FootnoteReference"/>
          <w:sz w:val="18"/>
        </w:rPr>
        <w:footnoteRef/>
      </w:r>
      <w:r w:rsidRPr="00D92944">
        <w:rPr>
          <w:i/>
          <w:sz w:val="18"/>
        </w:rPr>
        <w:t xml:space="preserve"> </w:t>
      </w:r>
      <w:r w:rsidRPr="00D92944">
        <w:rPr>
          <w:i/>
          <w:sz w:val="18"/>
          <w:lang w:val="lv-LV"/>
        </w:rPr>
        <w:t>COM(2017) 53 </w:t>
      </w:r>
      <w:proofErr w:type="spellStart"/>
      <w:r w:rsidRPr="00D92944">
        <w:rPr>
          <w:i/>
          <w:sz w:val="18"/>
          <w:lang w:val="lv-LV"/>
        </w:rPr>
        <w:t>final</w:t>
      </w:r>
      <w:proofErr w:type="spellEnd"/>
    </w:p>
  </w:footnote>
  <w:footnote w:id="13">
    <w:p w14:paraId="5D3E27E9" w14:textId="32AEB6FF" w:rsidR="00284B5C" w:rsidRPr="00284B5C" w:rsidRDefault="00284B5C">
      <w:pPr>
        <w:pStyle w:val="FootnoteText"/>
        <w:rPr>
          <w:lang w:val="lv-LV"/>
        </w:rPr>
      </w:pPr>
      <w:r>
        <w:rPr>
          <w:rStyle w:val="FootnoteReference"/>
        </w:rPr>
        <w:footnoteRef/>
      </w:r>
      <w:r>
        <w:t xml:space="preserve"> </w:t>
      </w:r>
      <w:r w:rsidRPr="00284B5C">
        <w:rPr>
          <w:bCs/>
          <w:i/>
        </w:rPr>
        <w:t>COM(2016) 52 final</w:t>
      </w:r>
    </w:p>
  </w:footnote>
  <w:footnote w:id="14">
    <w:p w14:paraId="5074B9C2" w14:textId="0219201F" w:rsidR="00E237FD" w:rsidRPr="00E237FD" w:rsidRDefault="00E237FD">
      <w:pPr>
        <w:pStyle w:val="FootnoteText"/>
        <w:rPr>
          <w:lang w:val="lv-LV"/>
        </w:rPr>
      </w:pPr>
      <w:r>
        <w:rPr>
          <w:rStyle w:val="FootnoteReference"/>
        </w:rPr>
        <w:footnoteRef/>
      </w:r>
      <w:r>
        <w:t xml:space="preserve"> </w:t>
      </w:r>
      <w:r w:rsidRPr="00E237FD">
        <w:rPr>
          <w:i/>
          <w:sz w:val="18"/>
        </w:rPr>
        <w:t>COM(2015) 341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2424"/>
      <w:docPartObj>
        <w:docPartGallery w:val="Page Numbers (Top of Page)"/>
        <w:docPartUnique/>
      </w:docPartObj>
    </w:sdtPr>
    <w:sdtEndPr>
      <w:rPr>
        <w:noProof/>
      </w:rPr>
    </w:sdtEndPr>
    <w:sdtContent>
      <w:p w14:paraId="30E465D6" w14:textId="77777777" w:rsidR="0025245B" w:rsidRDefault="0025245B">
        <w:pPr>
          <w:pStyle w:val="Header"/>
          <w:jc w:val="center"/>
        </w:pPr>
        <w:r>
          <w:fldChar w:fldCharType="begin"/>
        </w:r>
        <w:r>
          <w:instrText xml:space="preserve"> PAGE   \* MERGEFORMAT </w:instrText>
        </w:r>
        <w:r>
          <w:fldChar w:fldCharType="separate"/>
        </w:r>
        <w:r w:rsidR="000E7313">
          <w:rPr>
            <w:noProof/>
          </w:rPr>
          <w:t>6</w:t>
        </w:r>
        <w:r>
          <w:rPr>
            <w:noProof/>
          </w:rPr>
          <w:fldChar w:fldCharType="end"/>
        </w:r>
      </w:p>
    </w:sdtContent>
  </w:sdt>
  <w:p w14:paraId="45239C82" w14:textId="77777777" w:rsidR="0025245B" w:rsidRDefault="00252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26"/>
    <w:rsid w:val="00001D01"/>
    <w:rsid w:val="0000590E"/>
    <w:rsid w:val="00010F8E"/>
    <w:rsid w:val="00016FD3"/>
    <w:rsid w:val="00031B1B"/>
    <w:rsid w:val="00046E7E"/>
    <w:rsid w:val="00047D69"/>
    <w:rsid w:val="000529D1"/>
    <w:rsid w:val="0006712E"/>
    <w:rsid w:val="000706A1"/>
    <w:rsid w:val="000709CA"/>
    <w:rsid w:val="00071480"/>
    <w:rsid w:val="00074E34"/>
    <w:rsid w:val="00075C2A"/>
    <w:rsid w:val="000816B2"/>
    <w:rsid w:val="00086809"/>
    <w:rsid w:val="00096CE0"/>
    <w:rsid w:val="00096F9B"/>
    <w:rsid w:val="000C029D"/>
    <w:rsid w:val="000C52C4"/>
    <w:rsid w:val="000E56C2"/>
    <w:rsid w:val="000E6352"/>
    <w:rsid w:val="000E7313"/>
    <w:rsid w:val="0011318F"/>
    <w:rsid w:val="00120CD2"/>
    <w:rsid w:val="001300A0"/>
    <w:rsid w:val="00130D3E"/>
    <w:rsid w:val="00136685"/>
    <w:rsid w:val="00136906"/>
    <w:rsid w:val="00140B83"/>
    <w:rsid w:val="00150E68"/>
    <w:rsid w:val="001564EB"/>
    <w:rsid w:val="001822EB"/>
    <w:rsid w:val="00190396"/>
    <w:rsid w:val="001A5F8F"/>
    <w:rsid w:val="001B5526"/>
    <w:rsid w:val="001C4F2E"/>
    <w:rsid w:val="001C5757"/>
    <w:rsid w:val="001F6B4A"/>
    <w:rsid w:val="00201A75"/>
    <w:rsid w:val="002151C4"/>
    <w:rsid w:val="00217869"/>
    <w:rsid w:val="00220AA6"/>
    <w:rsid w:val="00221DDF"/>
    <w:rsid w:val="0023221B"/>
    <w:rsid w:val="00241299"/>
    <w:rsid w:val="00243697"/>
    <w:rsid w:val="0025245B"/>
    <w:rsid w:val="002530CA"/>
    <w:rsid w:val="0026084E"/>
    <w:rsid w:val="002661FC"/>
    <w:rsid w:val="002665FC"/>
    <w:rsid w:val="00276C44"/>
    <w:rsid w:val="002822A2"/>
    <w:rsid w:val="0028246A"/>
    <w:rsid w:val="00283235"/>
    <w:rsid w:val="00284B5C"/>
    <w:rsid w:val="00286944"/>
    <w:rsid w:val="00297CFE"/>
    <w:rsid w:val="002A2666"/>
    <w:rsid w:val="002B3CA1"/>
    <w:rsid w:val="002C0356"/>
    <w:rsid w:val="002C1F86"/>
    <w:rsid w:val="002D7A54"/>
    <w:rsid w:val="002E2813"/>
    <w:rsid w:val="002E3D31"/>
    <w:rsid w:val="003267DE"/>
    <w:rsid w:val="0033070D"/>
    <w:rsid w:val="00335C34"/>
    <w:rsid w:val="003443DC"/>
    <w:rsid w:val="0036102F"/>
    <w:rsid w:val="00394413"/>
    <w:rsid w:val="0039489C"/>
    <w:rsid w:val="00395C41"/>
    <w:rsid w:val="003A0A50"/>
    <w:rsid w:val="003A65AE"/>
    <w:rsid w:val="003B51C4"/>
    <w:rsid w:val="003D0EBE"/>
    <w:rsid w:val="003D3991"/>
    <w:rsid w:val="003E6BC0"/>
    <w:rsid w:val="003F5CF0"/>
    <w:rsid w:val="0040236E"/>
    <w:rsid w:val="00406834"/>
    <w:rsid w:val="00412598"/>
    <w:rsid w:val="00413E5F"/>
    <w:rsid w:val="004145EF"/>
    <w:rsid w:val="004234AF"/>
    <w:rsid w:val="004357D1"/>
    <w:rsid w:val="0044088C"/>
    <w:rsid w:val="00441754"/>
    <w:rsid w:val="00445298"/>
    <w:rsid w:val="0046233C"/>
    <w:rsid w:val="00464248"/>
    <w:rsid w:val="00466A33"/>
    <w:rsid w:val="0047229E"/>
    <w:rsid w:val="00474BC9"/>
    <w:rsid w:val="0048015E"/>
    <w:rsid w:val="00480A8A"/>
    <w:rsid w:val="00490AB2"/>
    <w:rsid w:val="00494302"/>
    <w:rsid w:val="004952B9"/>
    <w:rsid w:val="004A5CCD"/>
    <w:rsid w:val="004B01B8"/>
    <w:rsid w:val="004B02E6"/>
    <w:rsid w:val="004B16C4"/>
    <w:rsid w:val="004B6956"/>
    <w:rsid w:val="004C2DBB"/>
    <w:rsid w:val="004C2E60"/>
    <w:rsid w:val="004D0BD6"/>
    <w:rsid w:val="004E0A17"/>
    <w:rsid w:val="004F5C21"/>
    <w:rsid w:val="00501CEA"/>
    <w:rsid w:val="00505CD3"/>
    <w:rsid w:val="005072FC"/>
    <w:rsid w:val="005075B4"/>
    <w:rsid w:val="00520B8E"/>
    <w:rsid w:val="00522CA6"/>
    <w:rsid w:val="00526C59"/>
    <w:rsid w:val="005313BE"/>
    <w:rsid w:val="00533BD6"/>
    <w:rsid w:val="005418AB"/>
    <w:rsid w:val="00543D15"/>
    <w:rsid w:val="005473A2"/>
    <w:rsid w:val="005523FD"/>
    <w:rsid w:val="00553583"/>
    <w:rsid w:val="00564C12"/>
    <w:rsid w:val="005733BF"/>
    <w:rsid w:val="00580BAF"/>
    <w:rsid w:val="005A4578"/>
    <w:rsid w:val="005A73B8"/>
    <w:rsid w:val="005B1DF7"/>
    <w:rsid w:val="005B5D0B"/>
    <w:rsid w:val="005C0252"/>
    <w:rsid w:val="005C30EB"/>
    <w:rsid w:val="005D0843"/>
    <w:rsid w:val="005D0E85"/>
    <w:rsid w:val="005D4CE4"/>
    <w:rsid w:val="005D6298"/>
    <w:rsid w:val="005E2903"/>
    <w:rsid w:val="005F1B3C"/>
    <w:rsid w:val="005F3771"/>
    <w:rsid w:val="005F6319"/>
    <w:rsid w:val="005F65CE"/>
    <w:rsid w:val="00602C9E"/>
    <w:rsid w:val="00604E0D"/>
    <w:rsid w:val="006402C5"/>
    <w:rsid w:val="00662041"/>
    <w:rsid w:val="00675E37"/>
    <w:rsid w:val="0068781D"/>
    <w:rsid w:val="0069229C"/>
    <w:rsid w:val="00695494"/>
    <w:rsid w:val="006A0CFB"/>
    <w:rsid w:val="006A3EF7"/>
    <w:rsid w:val="006A4490"/>
    <w:rsid w:val="006A4D51"/>
    <w:rsid w:val="006B6EB0"/>
    <w:rsid w:val="006B6FD6"/>
    <w:rsid w:val="006D0DED"/>
    <w:rsid w:val="006E25CD"/>
    <w:rsid w:val="006E39B2"/>
    <w:rsid w:val="006E5DE1"/>
    <w:rsid w:val="00705558"/>
    <w:rsid w:val="00714CF5"/>
    <w:rsid w:val="00714D9D"/>
    <w:rsid w:val="00716AAA"/>
    <w:rsid w:val="00741F4E"/>
    <w:rsid w:val="00751022"/>
    <w:rsid w:val="00756E9E"/>
    <w:rsid w:val="007575D0"/>
    <w:rsid w:val="00760F84"/>
    <w:rsid w:val="00761B2E"/>
    <w:rsid w:val="007713AC"/>
    <w:rsid w:val="007735BA"/>
    <w:rsid w:val="00787D29"/>
    <w:rsid w:val="00791243"/>
    <w:rsid w:val="007936EE"/>
    <w:rsid w:val="00796953"/>
    <w:rsid w:val="007A40B3"/>
    <w:rsid w:val="007A5D11"/>
    <w:rsid w:val="007B08FE"/>
    <w:rsid w:val="007F767F"/>
    <w:rsid w:val="007F7BEB"/>
    <w:rsid w:val="0080491B"/>
    <w:rsid w:val="00807075"/>
    <w:rsid w:val="008148D2"/>
    <w:rsid w:val="008216C1"/>
    <w:rsid w:val="00841C7F"/>
    <w:rsid w:val="00844050"/>
    <w:rsid w:val="0085638A"/>
    <w:rsid w:val="008570F3"/>
    <w:rsid w:val="00883EBD"/>
    <w:rsid w:val="00887777"/>
    <w:rsid w:val="00892683"/>
    <w:rsid w:val="008A3B8E"/>
    <w:rsid w:val="008B0DD0"/>
    <w:rsid w:val="008B1649"/>
    <w:rsid w:val="008B5FB8"/>
    <w:rsid w:val="008C04D8"/>
    <w:rsid w:val="008D4122"/>
    <w:rsid w:val="008D6F4F"/>
    <w:rsid w:val="008F1721"/>
    <w:rsid w:val="008F66FE"/>
    <w:rsid w:val="0090362E"/>
    <w:rsid w:val="00915F9A"/>
    <w:rsid w:val="009263A5"/>
    <w:rsid w:val="00930E6C"/>
    <w:rsid w:val="00936B09"/>
    <w:rsid w:val="0094526A"/>
    <w:rsid w:val="00952815"/>
    <w:rsid w:val="0097599C"/>
    <w:rsid w:val="00980B7F"/>
    <w:rsid w:val="00980B9E"/>
    <w:rsid w:val="00980ED5"/>
    <w:rsid w:val="00990493"/>
    <w:rsid w:val="009924CD"/>
    <w:rsid w:val="009A04F2"/>
    <w:rsid w:val="009A0799"/>
    <w:rsid w:val="009D77D9"/>
    <w:rsid w:val="009E7247"/>
    <w:rsid w:val="00A04EE5"/>
    <w:rsid w:val="00A2447E"/>
    <w:rsid w:val="00A33804"/>
    <w:rsid w:val="00A36CE8"/>
    <w:rsid w:val="00A54158"/>
    <w:rsid w:val="00A56E50"/>
    <w:rsid w:val="00A640E3"/>
    <w:rsid w:val="00A644D0"/>
    <w:rsid w:val="00A66B0F"/>
    <w:rsid w:val="00A71336"/>
    <w:rsid w:val="00A71B3C"/>
    <w:rsid w:val="00A761D0"/>
    <w:rsid w:val="00A8129C"/>
    <w:rsid w:val="00A86588"/>
    <w:rsid w:val="00A90A9C"/>
    <w:rsid w:val="00A97B52"/>
    <w:rsid w:val="00AA10B4"/>
    <w:rsid w:val="00AB4B3D"/>
    <w:rsid w:val="00AC1EFE"/>
    <w:rsid w:val="00AE1F51"/>
    <w:rsid w:val="00AF034C"/>
    <w:rsid w:val="00AF38B3"/>
    <w:rsid w:val="00B0152A"/>
    <w:rsid w:val="00B15B11"/>
    <w:rsid w:val="00B244F6"/>
    <w:rsid w:val="00B24FCB"/>
    <w:rsid w:val="00B31158"/>
    <w:rsid w:val="00B31E2C"/>
    <w:rsid w:val="00B332AB"/>
    <w:rsid w:val="00B43EBF"/>
    <w:rsid w:val="00B46CC8"/>
    <w:rsid w:val="00B72FFB"/>
    <w:rsid w:val="00B731BA"/>
    <w:rsid w:val="00BA266C"/>
    <w:rsid w:val="00BB5F30"/>
    <w:rsid w:val="00BD0579"/>
    <w:rsid w:val="00BD62D6"/>
    <w:rsid w:val="00BE430A"/>
    <w:rsid w:val="00BE5A95"/>
    <w:rsid w:val="00BF09F5"/>
    <w:rsid w:val="00BF4B69"/>
    <w:rsid w:val="00BF5339"/>
    <w:rsid w:val="00BF63D9"/>
    <w:rsid w:val="00C03884"/>
    <w:rsid w:val="00C1022C"/>
    <w:rsid w:val="00C16AEB"/>
    <w:rsid w:val="00C17531"/>
    <w:rsid w:val="00C37A32"/>
    <w:rsid w:val="00C37FAD"/>
    <w:rsid w:val="00C420AE"/>
    <w:rsid w:val="00C43CE1"/>
    <w:rsid w:val="00C5540D"/>
    <w:rsid w:val="00C57CB8"/>
    <w:rsid w:val="00C60DAF"/>
    <w:rsid w:val="00C65023"/>
    <w:rsid w:val="00C721C5"/>
    <w:rsid w:val="00C728C9"/>
    <w:rsid w:val="00C75F6C"/>
    <w:rsid w:val="00C9071D"/>
    <w:rsid w:val="00C92EC1"/>
    <w:rsid w:val="00CA0F24"/>
    <w:rsid w:val="00CC128A"/>
    <w:rsid w:val="00CD202E"/>
    <w:rsid w:val="00CE02A7"/>
    <w:rsid w:val="00CE08C0"/>
    <w:rsid w:val="00CE76CB"/>
    <w:rsid w:val="00CF1106"/>
    <w:rsid w:val="00CF5893"/>
    <w:rsid w:val="00D16132"/>
    <w:rsid w:val="00D205A0"/>
    <w:rsid w:val="00D215AD"/>
    <w:rsid w:val="00D2175A"/>
    <w:rsid w:val="00D56E75"/>
    <w:rsid w:val="00D6078A"/>
    <w:rsid w:val="00D71F43"/>
    <w:rsid w:val="00D77118"/>
    <w:rsid w:val="00D92944"/>
    <w:rsid w:val="00D94F72"/>
    <w:rsid w:val="00DA10C9"/>
    <w:rsid w:val="00DA34E6"/>
    <w:rsid w:val="00DB0F94"/>
    <w:rsid w:val="00DB32ED"/>
    <w:rsid w:val="00DB5862"/>
    <w:rsid w:val="00DC3935"/>
    <w:rsid w:val="00DC482F"/>
    <w:rsid w:val="00DD5426"/>
    <w:rsid w:val="00DE603E"/>
    <w:rsid w:val="00DF122C"/>
    <w:rsid w:val="00DF5668"/>
    <w:rsid w:val="00E074AE"/>
    <w:rsid w:val="00E237FD"/>
    <w:rsid w:val="00E2476C"/>
    <w:rsid w:val="00E30FB6"/>
    <w:rsid w:val="00E34562"/>
    <w:rsid w:val="00E41107"/>
    <w:rsid w:val="00E424A3"/>
    <w:rsid w:val="00E6308C"/>
    <w:rsid w:val="00E65A0A"/>
    <w:rsid w:val="00E73AD5"/>
    <w:rsid w:val="00E73B5E"/>
    <w:rsid w:val="00E771D1"/>
    <w:rsid w:val="00E77B77"/>
    <w:rsid w:val="00E80C2C"/>
    <w:rsid w:val="00E818B2"/>
    <w:rsid w:val="00E82598"/>
    <w:rsid w:val="00E86B09"/>
    <w:rsid w:val="00E908FF"/>
    <w:rsid w:val="00E90BD1"/>
    <w:rsid w:val="00E9204C"/>
    <w:rsid w:val="00EA3109"/>
    <w:rsid w:val="00EB5209"/>
    <w:rsid w:val="00EC017A"/>
    <w:rsid w:val="00ED453B"/>
    <w:rsid w:val="00EE57E0"/>
    <w:rsid w:val="00EF349F"/>
    <w:rsid w:val="00EF45E2"/>
    <w:rsid w:val="00F02AFC"/>
    <w:rsid w:val="00F06658"/>
    <w:rsid w:val="00F1124E"/>
    <w:rsid w:val="00F139C9"/>
    <w:rsid w:val="00F17689"/>
    <w:rsid w:val="00F2186D"/>
    <w:rsid w:val="00F27B3A"/>
    <w:rsid w:val="00F349B9"/>
    <w:rsid w:val="00F41ECB"/>
    <w:rsid w:val="00F4243C"/>
    <w:rsid w:val="00F433DD"/>
    <w:rsid w:val="00F43E3E"/>
    <w:rsid w:val="00F517E1"/>
    <w:rsid w:val="00F52220"/>
    <w:rsid w:val="00F606DF"/>
    <w:rsid w:val="00F65E06"/>
    <w:rsid w:val="00F67EDD"/>
    <w:rsid w:val="00F74342"/>
    <w:rsid w:val="00F743FE"/>
    <w:rsid w:val="00F75A7D"/>
    <w:rsid w:val="00F80D9B"/>
    <w:rsid w:val="00F90A9B"/>
    <w:rsid w:val="00F93B95"/>
    <w:rsid w:val="00FB0D8B"/>
    <w:rsid w:val="00FB5695"/>
    <w:rsid w:val="00FD0EEB"/>
    <w:rsid w:val="00FD2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D21C"/>
  <w15:docId w15:val="{EA59BD99-8877-40B9-9ABA-4F876536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
    <w:link w:val="ListParagraph"/>
    <w:uiPriority w:val="34"/>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7B08FE"/>
    <w:rPr>
      <w:sz w:val="16"/>
      <w:szCs w:val="16"/>
    </w:rPr>
  </w:style>
  <w:style w:type="paragraph" w:styleId="CommentText">
    <w:name w:val="annotation text"/>
    <w:basedOn w:val="Normal"/>
    <w:link w:val="CommentTextChar"/>
    <w:uiPriority w:val="99"/>
    <w:semiHidden/>
    <w:unhideWhenUsed/>
    <w:rsid w:val="007B08FE"/>
    <w:pPr>
      <w:spacing w:line="240" w:lineRule="auto"/>
    </w:pPr>
    <w:rPr>
      <w:sz w:val="20"/>
      <w:szCs w:val="20"/>
    </w:rPr>
  </w:style>
  <w:style w:type="character" w:customStyle="1" w:styleId="CommentTextChar">
    <w:name w:val="Comment Text Char"/>
    <w:basedOn w:val="DefaultParagraphFont"/>
    <w:link w:val="CommentText"/>
    <w:uiPriority w:val="99"/>
    <w:semiHidden/>
    <w:rsid w:val="007B08FE"/>
    <w:rPr>
      <w:sz w:val="20"/>
      <w:szCs w:val="20"/>
    </w:rPr>
  </w:style>
  <w:style w:type="paragraph" w:styleId="CommentSubject">
    <w:name w:val="annotation subject"/>
    <w:basedOn w:val="CommentText"/>
    <w:next w:val="CommentText"/>
    <w:link w:val="CommentSubjectChar"/>
    <w:uiPriority w:val="99"/>
    <w:semiHidden/>
    <w:unhideWhenUsed/>
    <w:rsid w:val="007B08FE"/>
    <w:rPr>
      <w:b/>
      <w:bCs/>
    </w:rPr>
  </w:style>
  <w:style w:type="character" w:customStyle="1" w:styleId="CommentSubjectChar">
    <w:name w:val="Comment Subject Char"/>
    <w:basedOn w:val="CommentTextChar"/>
    <w:link w:val="CommentSubject"/>
    <w:uiPriority w:val="99"/>
    <w:semiHidden/>
    <w:rsid w:val="007B08FE"/>
    <w:rPr>
      <w:b/>
      <w:bCs/>
      <w:sz w:val="20"/>
      <w:szCs w:val="20"/>
    </w:rPr>
  </w:style>
  <w:style w:type="paragraph" w:styleId="Revision">
    <w:name w:val="Revision"/>
    <w:hidden/>
    <w:uiPriority w:val="99"/>
    <w:semiHidden/>
    <w:rsid w:val="00F11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Apanuk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1E22-ED85-4B4D-A153-82AF3807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11481</Words>
  <Characters>6545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Karpoviča</dc:creator>
  <cp:lastModifiedBy>Inese Karpoviča</cp:lastModifiedBy>
  <cp:revision>6</cp:revision>
  <cp:lastPrinted>2017-02-21T06:40:00Z</cp:lastPrinted>
  <dcterms:created xsi:type="dcterms:W3CDTF">2017-02-17T09:20:00Z</dcterms:created>
  <dcterms:modified xsi:type="dcterms:W3CDTF">2017-02-21T07:41:00Z</dcterms:modified>
</cp:coreProperties>
</file>