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AB" w:rsidRPr="00171D1C" w:rsidRDefault="006E2A9A" w:rsidP="00171D1C">
      <w:pPr>
        <w:spacing w:line="240" w:lineRule="auto"/>
        <w:rPr>
          <w:rFonts w:ascii="Times New Roman" w:hAnsi="Times New Roman" w:cs="Times New Roman"/>
        </w:rPr>
      </w:pPr>
    </w:p>
    <w:p w:rsidR="00727C9F" w:rsidRPr="001770A9" w:rsidRDefault="00692B34" w:rsidP="00727C9F">
      <w:pPr>
        <w:pStyle w:val="Heading2"/>
        <w:jc w:val="right"/>
        <w:rPr>
          <w:rFonts w:ascii="Times New Roman" w:hAnsi="Times New Roman" w:cs="Times New Roman"/>
          <w:b/>
          <w:caps w:val="0"/>
          <w:sz w:val="24"/>
          <w:szCs w:val="24"/>
        </w:rPr>
      </w:pPr>
      <w:bookmarkStart w:id="0" w:name="_Toc466983164"/>
      <w:r>
        <w:rPr>
          <w:rFonts w:ascii="Times New Roman" w:hAnsi="Times New Roman" w:cs="Times New Roman"/>
          <w:b/>
          <w:sz w:val="24"/>
          <w:szCs w:val="24"/>
        </w:rPr>
        <w:t>4</w:t>
      </w:r>
      <w:r w:rsidR="00727C9F" w:rsidRPr="001770A9">
        <w:rPr>
          <w:rFonts w:ascii="Times New Roman" w:hAnsi="Times New Roman" w:cs="Times New Roman"/>
          <w:b/>
          <w:sz w:val="24"/>
          <w:szCs w:val="24"/>
        </w:rPr>
        <w:t xml:space="preserve">. </w:t>
      </w:r>
      <w:r w:rsidR="00727C9F" w:rsidRPr="001770A9">
        <w:rPr>
          <w:rFonts w:ascii="Times New Roman" w:hAnsi="Times New Roman" w:cs="Times New Roman"/>
          <w:b/>
          <w:caps w:val="0"/>
          <w:sz w:val="24"/>
          <w:szCs w:val="24"/>
        </w:rPr>
        <w:t>pielikums</w:t>
      </w:r>
    </w:p>
    <w:p w:rsidR="00727C9F" w:rsidRPr="001770A9" w:rsidRDefault="00727C9F" w:rsidP="00727C9F">
      <w:pPr>
        <w:jc w:val="right"/>
      </w:pPr>
      <w:r w:rsidRPr="001770A9">
        <w:rPr>
          <w:rFonts w:ascii="Times New Roman" w:hAnsi="Times New Roman"/>
          <w:sz w:val="24"/>
          <w:szCs w:val="24"/>
        </w:rPr>
        <w:t>ES finanšu interešu aizsardzības koordinācijas dienesta (AFCOS) darbības stratēģija</w:t>
      </w:r>
      <w:r w:rsidR="009B27D7">
        <w:rPr>
          <w:rFonts w:ascii="Times New Roman" w:hAnsi="Times New Roman"/>
          <w:sz w:val="24"/>
          <w:szCs w:val="24"/>
        </w:rPr>
        <w:t>i</w:t>
      </w:r>
      <w:r w:rsidRPr="001770A9">
        <w:rPr>
          <w:rFonts w:ascii="Times New Roman" w:hAnsi="Times New Roman"/>
          <w:sz w:val="24"/>
          <w:szCs w:val="24"/>
        </w:rPr>
        <w:t xml:space="preserve"> un pasākumu plān</w:t>
      </w:r>
      <w:r w:rsidR="009B27D7">
        <w:rPr>
          <w:rFonts w:ascii="Times New Roman" w:hAnsi="Times New Roman"/>
          <w:sz w:val="24"/>
          <w:szCs w:val="24"/>
        </w:rPr>
        <w:t>am</w:t>
      </w:r>
      <w:r w:rsidRPr="001770A9">
        <w:rPr>
          <w:rFonts w:ascii="Times New Roman" w:hAnsi="Times New Roman"/>
          <w:sz w:val="24"/>
          <w:szCs w:val="24"/>
        </w:rPr>
        <w:t xml:space="preserve"> 2017.-2019.gadam</w:t>
      </w:r>
      <w:r w:rsidRPr="001770A9" w:rsidDel="001770A9">
        <w:rPr>
          <w:rFonts w:ascii="Times New Roman" w:hAnsi="Times New Roman"/>
          <w:sz w:val="24"/>
          <w:szCs w:val="24"/>
        </w:rPr>
        <w:t xml:space="preserve"> </w:t>
      </w:r>
    </w:p>
    <w:p w:rsidR="00727C9F" w:rsidRDefault="00B67F43" w:rsidP="00171D1C">
      <w:pPr>
        <w:pStyle w:val="Heading2"/>
        <w:jc w:val="both"/>
        <w:rPr>
          <w:rFonts w:ascii="Times New Roman" w:eastAsia="Times New Roman" w:hAnsi="Times New Roman" w:cs="Times New Roman"/>
          <w:b/>
          <w:lang w:eastAsia="lv-LV"/>
        </w:rPr>
      </w:pPr>
      <w:r w:rsidRPr="00171D1C">
        <w:rPr>
          <w:rFonts w:ascii="Times New Roman" w:eastAsia="Times New Roman" w:hAnsi="Times New Roman" w:cs="Times New Roman"/>
          <w:b/>
          <w:lang w:eastAsia="lv-LV"/>
        </w:rPr>
        <w:t xml:space="preserve"> </w:t>
      </w:r>
    </w:p>
    <w:p w:rsidR="00B67F43" w:rsidRPr="00171D1C" w:rsidRDefault="00171D1C" w:rsidP="00171D1C">
      <w:pPr>
        <w:pStyle w:val="Heading2"/>
        <w:jc w:val="both"/>
        <w:rPr>
          <w:rFonts w:ascii="Times New Roman" w:eastAsia="Times New Roman" w:hAnsi="Times New Roman" w:cs="Times New Roman"/>
          <w:b/>
          <w:lang w:eastAsia="lv-LV"/>
        </w:rPr>
      </w:pPr>
      <w:r w:rsidRPr="00171D1C">
        <w:rPr>
          <w:rFonts w:ascii="Times New Roman" w:eastAsia="Times New Roman" w:hAnsi="Times New Roman" w:cs="Times New Roman"/>
          <w:b/>
          <w:caps w:val="0"/>
          <w:lang w:eastAsia="lv-LV"/>
        </w:rPr>
        <w:t>AFCOS padomē pārstāvētās un pieaicinātās institūcijas (kompetentās iestādes) un to funkcijas</w:t>
      </w:r>
      <w:bookmarkEnd w:id="0"/>
      <w:r w:rsidRPr="00171D1C">
        <w:rPr>
          <w:rFonts w:ascii="Times New Roman" w:eastAsia="Times New Roman" w:hAnsi="Times New Roman" w:cs="Times New Roman"/>
          <w:b/>
          <w:caps w:val="0"/>
          <w:lang w:eastAsia="lv-LV"/>
        </w:rPr>
        <w:t xml:space="preserve"> </w:t>
      </w:r>
    </w:p>
    <w:p w:rsidR="00B67F43" w:rsidRPr="00171D1C" w:rsidRDefault="00B67F43" w:rsidP="00171D1C">
      <w:pPr>
        <w:spacing w:line="240" w:lineRule="auto"/>
        <w:rPr>
          <w:rFonts w:ascii="Times New Roman" w:hAnsi="Times New Roman" w:cs="Times New Roman"/>
        </w:rPr>
      </w:pPr>
    </w:p>
    <w:p w:rsidR="00B67F43" w:rsidRPr="00171D1C" w:rsidRDefault="00B67F43" w:rsidP="00171D1C">
      <w:pPr>
        <w:pStyle w:val="ListParagraph"/>
        <w:numPr>
          <w:ilvl w:val="0"/>
          <w:numId w:val="1"/>
        </w:numPr>
        <w:spacing w:line="240" w:lineRule="auto"/>
        <w:rPr>
          <w:rFonts w:ascii="Times New Roman" w:hAnsi="Times New Roman" w:cs="Times New Roman"/>
          <w:b/>
        </w:rPr>
      </w:pPr>
      <w:r w:rsidRPr="00171D1C">
        <w:rPr>
          <w:rFonts w:ascii="Times New Roman" w:hAnsi="Times New Roman" w:cs="Times New Roman"/>
          <w:b/>
        </w:rPr>
        <w:t>Padomes locekļi:</w:t>
      </w:r>
    </w:p>
    <w:tbl>
      <w:tblPr>
        <w:tblStyle w:val="TableGrid"/>
        <w:tblW w:w="9351" w:type="dxa"/>
        <w:tblLook w:val="04A0" w:firstRow="1" w:lastRow="0" w:firstColumn="1" w:lastColumn="0" w:noHBand="0" w:noVBand="1"/>
      </w:tblPr>
      <w:tblGrid>
        <w:gridCol w:w="1555"/>
        <w:gridCol w:w="1842"/>
        <w:gridCol w:w="2977"/>
        <w:gridCol w:w="2977"/>
      </w:tblGrid>
      <w:tr w:rsidR="00B67F43" w:rsidRPr="00171D1C" w:rsidTr="008D226A">
        <w:tc>
          <w:tcPr>
            <w:tcW w:w="1555" w:type="dxa"/>
            <w:shd w:val="clear" w:color="auto" w:fill="D9D9D9" w:themeFill="background1" w:themeFillShade="D9"/>
            <w:vAlign w:val="center"/>
          </w:tcPr>
          <w:p w:rsidR="00B67F43" w:rsidRPr="00171D1C" w:rsidRDefault="00B67F43" w:rsidP="00171D1C">
            <w:pPr>
              <w:widowControl w:val="0"/>
              <w:tabs>
                <w:tab w:val="left" w:pos="0"/>
              </w:tabs>
              <w:autoSpaceDE w:val="0"/>
              <w:autoSpaceDN w:val="0"/>
              <w:adjustRightInd w:val="0"/>
              <w:spacing w:after="120" w:line="240" w:lineRule="auto"/>
              <w:jc w:val="center"/>
              <w:rPr>
                <w:rFonts w:ascii="Times New Roman" w:hAnsi="Times New Roman" w:cs="Times New Roman"/>
                <w:bCs/>
                <w:i/>
              </w:rPr>
            </w:pPr>
            <w:r w:rsidRPr="00171D1C">
              <w:rPr>
                <w:rFonts w:ascii="Times New Roman" w:hAnsi="Times New Roman" w:cs="Times New Roman"/>
                <w:bCs/>
                <w:i/>
              </w:rPr>
              <w:t>Institūcijas nosaukums</w:t>
            </w:r>
          </w:p>
        </w:tc>
        <w:tc>
          <w:tcPr>
            <w:tcW w:w="1842" w:type="dxa"/>
            <w:shd w:val="clear" w:color="auto" w:fill="D9D9D9" w:themeFill="background1" w:themeFillShade="D9"/>
            <w:vAlign w:val="center"/>
          </w:tcPr>
          <w:p w:rsidR="00B67F43" w:rsidRPr="00171D1C" w:rsidRDefault="00B67F43" w:rsidP="00171D1C">
            <w:pPr>
              <w:widowControl w:val="0"/>
              <w:tabs>
                <w:tab w:val="left" w:pos="0"/>
              </w:tabs>
              <w:autoSpaceDE w:val="0"/>
              <w:autoSpaceDN w:val="0"/>
              <w:adjustRightInd w:val="0"/>
              <w:spacing w:after="120" w:line="240" w:lineRule="auto"/>
              <w:jc w:val="center"/>
              <w:rPr>
                <w:rFonts w:ascii="Times New Roman" w:hAnsi="Times New Roman" w:cs="Times New Roman"/>
                <w:bCs/>
                <w:i/>
              </w:rPr>
            </w:pPr>
            <w:r w:rsidRPr="00171D1C">
              <w:rPr>
                <w:rFonts w:ascii="Times New Roman" w:hAnsi="Times New Roman" w:cs="Times New Roman"/>
                <w:bCs/>
                <w:i/>
              </w:rPr>
              <w:t>Krāpšanas apkarošanas cikls</w:t>
            </w:r>
          </w:p>
        </w:tc>
        <w:tc>
          <w:tcPr>
            <w:tcW w:w="2977" w:type="dxa"/>
            <w:shd w:val="clear" w:color="auto" w:fill="D9D9D9" w:themeFill="background1" w:themeFillShade="D9"/>
            <w:vAlign w:val="center"/>
          </w:tcPr>
          <w:p w:rsidR="00B67F43" w:rsidRPr="00171D1C" w:rsidRDefault="00B67F43" w:rsidP="00171D1C">
            <w:pPr>
              <w:widowControl w:val="0"/>
              <w:tabs>
                <w:tab w:val="left" w:pos="0"/>
              </w:tabs>
              <w:autoSpaceDE w:val="0"/>
              <w:autoSpaceDN w:val="0"/>
              <w:adjustRightInd w:val="0"/>
              <w:spacing w:after="120" w:line="240" w:lineRule="auto"/>
              <w:jc w:val="center"/>
              <w:rPr>
                <w:rFonts w:ascii="Times New Roman" w:hAnsi="Times New Roman" w:cs="Times New Roman"/>
                <w:bCs/>
                <w:i/>
              </w:rPr>
            </w:pPr>
            <w:r w:rsidRPr="00171D1C">
              <w:rPr>
                <w:rFonts w:ascii="Times New Roman" w:hAnsi="Times New Roman" w:cs="Times New Roman"/>
                <w:bCs/>
                <w:i/>
              </w:rPr>
              <w:t>Funkcijas ES finanšu interešu aizsardzības jomā</w:t>
            </w:r>
          </w:p>
        </w:tc>
        <w:tc>
          <w:tcPr>
            <w:tcW w:w="2977" w:type="dxa"/>
            <w:shd w:val="clear" w:color="auto" w:fill="D9D9D9" w:themeFill="background1" w:themeFillShade="D9"/>
            <w:vAlign w:val="center"/>
          </w:tcPr>
          <w:p w:rsidR="00B67F43" w:rsidRPr="00171D1C" w:rsidRDefault="00B67F43" w:rsidP="00171D1C">
            <w:pPr>
              <w:widowControl w:val="0"/>
              <w:tabs>
                <w:tab w:val="left" w:pos="0"/>
              </w:tabs>
              <w:autoSpaceDE w:val="0"/>
              <w:autoSpaceDN w:val="0"/>
              <w:adjustRightInd w:val="0"/>
              <w:spacing w:after="120" w:line="240" w:lineRule="auto"/>
              <w:jc w:val="center"/>
              <w:rPr>
                <w:rFonts w:ascii="Times New Roman" w:hAnsi="Times New Roman" w:cs="Times New Roman"/>
                <w:bCs/>
                <w:i/>
              </w:rPr>
            </w:pPr>
            <w:r w:rsidRPr="00171D1C">
              <w:rPr>
                <w:rFonts w:ascii="Times New Roman" w:hAnsi="Times New Roman" w:cs="Times New Roman"/>
                <w:bCs/>
                <w:i/>
              </w:rPr>
              <w:t>Normatīvais akts, kurā noteikta veicamā funkcija</w:t>
            </w:r>
          </w:p>
        </w:tc>
      </w:tr>
      <w:tr w:rsidR="00B67F43" w:rsidRPr="00171D1C" w:rsidTr="008D226A">
        <w:tc>
          <w:tcPr>
            <w:tcW w:w="1555"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Finanšu ministrija</w:t>
            </w:r>
          </w:p>
        </w:tc>
        <w:tc>
          <w:tcPr>
            <w:tcW w:w="1842"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Preventīvie pasākumi</w:t>
            </w:r>
          </w:p>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p>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Aizdomu par krāpšanu atklāšana</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AFCOS</w:t>
            </w:r>
          </w:p>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ES fondu vadība un revīzija</w:t>
            </w:r>
          </w:p>
        </w:tc>
        <w:tc>
          <w:tcPr>
            <w:tcW w:w="2977" w:type="dxa"/>
          </w:tcPr>
          <w:p w:rsidR="00B67F43" w:rsidRPr="00171D1C" w:rsidRDefault="00B67F43" w:rsidP="00171D1C">
            <w:pPr>
              <w:spacing w:line="240" w:lineRule="auto"/>
              <w:jc w:val="both"/>
              <w:rPr>
                <w:rFonts w:ascii="Times New Roman" w:hAnsi="Times New Roman" w:cs="Times New Roman"/>
              </w:rPr>
            </w:pPr>
            <w:r w:rsidRPr="00171D1C">
              <w:rPr>
                <w:rFonts w:ascii="Times New Roman" w:hAnsi="Times New Roman" w:cs="Times New Roman"/>
              </w:rPr>
              <w:t>Eiropas Savienības struktūrfondu un Kohēzijas fonda 2014.—2020.gada plānošanas perioda vadības likuma 10.pants</w:t>
            </w:r>
          </w:p>
        </w:tc>
      </w:tr>
      <w:tr w:rsidR="00B67F43" w:rsidRPr="00171D1C" w:rsidTr="008D226A">
        <w:tc>
          <w:tcPr>
            <w:tcW w:w="1555"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Valsts ieņēmumu dienests</w:t>
            </w:r>
          </w:p>
        </w:tc>
        <w:tc>
          <w:tcPr>
            <w:tcW w:w="1842"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Pilns cikls</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Noziedzīgu nodarījumu atklāšana un novēršana valsts ieņēmumu jomā</w:t>
            </w:r>
          </w:p>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Tradicionālo pašu resursu uzraudzība un administrēšana</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rPr>
              <w:t>Likuma “Par Valsts ieņēmumu dienestu” 14.pantu</w:t>
            </w:r>
          </w:p>
        </w:tc>
      </w:tr>
      <w:tr w:rsidR="00B67F43" w:rsidRPr="00171D1C" w:rsidTr="008D226A">
        <w:tc>
          <w:tcPr>
            <w:tcW w:w="1555"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Prokuratūra</w:t>
            </w:r>
          </w:p>
        </w:tc>
        <w:tc>
          <w:tcPr>
            <w:tcW w:w="1842" w:type="dxa"/>
          </w:tcPr>
          <w:p w:rsidR="00B67F43" w:rsidRPr="00171D1C" w:rsidRDefault="00B67F43" w:rsidP="00171D1C">
            <w:pPr>
              <w:widowControl w:val="0"/>
              <w:tabs>
                <w:tab w:val="left" w:pos="0"/>
              </w:tabs>
              <w:autoSpaceDE w:val="0"/>
              <w:autoSpaceDN w:val="0"/>
              <w:adjustRightInd w:val="0"/>
              <w:spacing w:after="0" w:line="240" w:lineRule="auto"/>
              <w:jc w:val="both"/>
              <w:rPr>
                <w:rFonts w:ascii="Times New Roman" w:hAnsi="Times New Roman" w:cs="Times New Roman"/>
                <w:bCs/>
              </w:rPr>
            </w:pPr>
            <w:r w:rsidRPr="00171D1C">
              <w:rPr>
                <w:rFonts w:ascii="Times New Roman" w:hAnsi="Times New Roman" w:cs="Times New Roman"/>
                <w:bCs/>
              </w:rPr>
              <w:t>Izmeklēšana un kriminālvajāšana</w:t>
            </w:r>
          </w:p>
          <w:p w:rsidR="00B67F43" w:rsidRPr="00171D1C" w:rsidRDefault="00B67F43" w:rsidP="00171D1C">
            <w:pPr>
              <w:widowControl w:val="0"/>
              <w:tabs>
                <w:tab w:val="left" w:pos="0"/>
              </w:tabs>
              <w:autoSpaceDE w:val="0"/>
              <w:autoSpaceDN w:val="0"/>
              <w:adjustRightInd w:val="0"/>
              <w:spacing w:after="0" w:line="240" w:lineRule="auto"/>
              <w:jc w:val="both"/>
              <w:rPr>
                <w:rFonts w:ascii="Times New Roman" w:hAnsi="Times New Roman" w:cs="Times New Roman"/>
                <w:bCs/>
              </w:rPr>
            </w:pPr>
          </w:p>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Sankcijas</w:t>
            </w:r>
          </w:p>
        </w:tc>
        <w:tc>
          <w:tcPr>
            <w:tcW w:w="2977" w:type="dxa"/>
          </w:tcPr>
          <w:p w:rsidR="00B67F43" w:rsidRPr="00171D1C" w:rsidRDefault="00B67F43" w:rsidP="00171D1C">
            <w:pPr>
              <w:widowControl w:val="0"/>
              <w:tabs>
                <w:tab w:val="left" w:pos="0"/>
              </w:tabs>
              <w:autoSpaceDE w:val="0"/>
              <w:autoSpaceDN w:val="0"/>
              <w:adjustRightInd w:val="0"/>
              <w:spacing w:after="60" w:line="240" w:lineRule="auto"/>
              <w:jc w:val="both"/>
              <w:rPr>
                <w:rFonts w:ascii="Times New Roman" w:hAnsi="Times New Roman" w:cs="Times New Roman"/>
                <w:bCs/>
              </w:rPr>
            </w:pPr>
            <w:proofErr w:type="spellStart"/>
            <w:r w:rsidRPr="00171D1C">
              <w:rPr>
                <w:rFonts w:ascii="Times New Roman" w:hAnsi="Times New Roman" w:cs="Times New Roman"/>
                <w:bCs/>
              </w:rPr>
              <w:t>Pirmstiesas</w:t>
            </w:r>
            <w:proofErr w:type="spellEnd"/>
            <w:r w:rsidRPr="00171D1C">
              <w:rPr>
                <w:rFonts w:ascii="Times New Roman" w:hAnsi="Times New Roman" w:cs="Times New Roman"/>
                <w:bCs/>
              </w:rPr>
              <w:t xml:space="preserve"> izmeklēšanas un operatīvās darbības veikšanas uzraudzība </w:t>
            </w:r>
          </w:p>
          <w:p w:rsidR="00B67F43" w:rsidRPr="00171D1C" w:rsidRDefault="00B67F43" w:rsidP="00171D1C">
            <w:pPr>
              <w:widowControl w:val="0"/>
              <w:tabs>
                <w:tab w:val="left" w:pos="0"/>
              </w:tabs>
              <w:autoSpaceDE w:val="0"/>
              <w:autoSpaceDN w:val="0"/>
              <w:adjustRightInd w:val="0"/>
              <w:spacing w:after="60" w:line="240" w:lineRule="auto"/>
              <w:jc w:val="both"/>
              <w:rPr>
                <w:rFonts w:ascii="Times New Roman" w:hAnsi="Times New Roman" w:cs="Times New Roman"/>
                <w:bCs/>
              </w:rPr>
            </w:pPr>
            <w:proofErr w:type="spellStart"/>
            <w:r w:rsidRPr="00171D1C">
              <w:rPr>
                <w:rFonts w:ascii="Times New Roman" w:hAnsi="Times New Roman" w:cs="Times New Roman"/>
                <w:bCs/>
              </w:rPr>
              <w:t>Pirmstiesas</w:t>
            </w:r>
            <w:proofErr w:type="spellEnd"/>
            <w:r w:rsidRPr="00171D1C">
              <w:rPr>
                <w:rFonts w:ascii="Times New Roman" w:hAnsi="Times New Roman" w:cs="Times New Roman"/>
                <w:bCs/>
              </w:rPr>
              <w:t xml:space="preserve"> izmeklēšanas veikšana</w:t>
            </w:r>
          </w:p>
          <w:p w:rsidR="00B67F43" w:rsidRPr="00171D1C" w:rsidRDefault="00B67F43" w:rsidP="00171D1C">
            <w:pPr>
              <w:widowControl w:val="0"/>
              <w:tabs>
                <w:tab w:val="left" w:pos="0"/>
              </w:tabs>
              <w:autoSpaceDE w:val="0"/>
              <w:autoSpaceDN w:val="0"/>
              <w:adjustRightInd w:val="0"/>
              <w:spacing w:after="60" w:line="240" w:lineRule="auto"/>
              <w:jc w:val="both"/>
              <w:rPr>
                <w:rFonts w:ascii="Times New Roman" w:hAnsi="Times New Roman" w:cs="Times New Roman"/>
                <w:bCs/>
              </w:rPr>
            </w:pPr>
            <w:r w:rsidRPr="00171D1C">
              <w:rPr>
                <w:rFonts w:ascii="Times New Roman" w:hAnsi="Times New Roman" w:cs="Times New Roman"/>
                <w:bCs/>
              </w:rPr>
              <w:t xml:space="preserve">Kriminālvajāšana un valsts apsūdzības uzturēšana tiesā </w:t>
            </w:r>
          </w:p>
          <w:p w:rsidR="00B67F43" w:rsidRPr="00171D1C" w:rsidRDefault="00B67F43" w:rsidP="00171D1C">
            <w:pPr>
              <w:widowControl w:val="0"/>
              <w:tabs>
                <w:tab w:val="left" w:pos="0"/>
              </w:tabs>
              <w:autoSpaceDE w:val="0"/>
              <w:autoSpaceDN w:val="0"/>
              <w:adjustRightInd w:val="0"/>
              <w:spacing w:after="60" w:line="240" w:lineRule="auto"/>
              <w:jc w:val="both"/>
              <w:rPr>
                <w:rFonts w:ascii="Times New Roman" w:hAnsi="Times New Roman" w:cs="Times New Roman"/>
                <w:bCs/>
              </w:rPr>
            </w:pPr>
            <w:r w:rsidRPr="00171D1C">
              <w:rPr>
                <w:rFonts w:ascii="Times New Roman" w:hAnsi="Times New Roman" w:cs="Times New Roman"/>
                <w:bCs/>
              </w:rPr>
              <w:t>Prokurora priekšraksta par sodu piemērošana</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Prokuratūras likuma 2.pants</w:t>
            </w:r>
          </w:p>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Krimināllikuma 1.panta  pirmās daļas 3.punkts</w:t>
            </w:r>
          </w:p>
        </w:tc>
      </w:tr>
      <w:tr w:rsidR="00B67F43" w:rsidRPr="00171D1C" w:rsidTr="008D226A">
        <w:tc>
          <w:tcPr>
            <w:tcW w:w="1555"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Korupcijas novēršanas un apkarošanas birojs</w:t>
            </w:r>
          </w:p>
        </w:tc>
        <w:tc>
          <w:tcPr>
            <w:tcW w:w="1842"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Pilns cikls</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 xml:space="preserve">Izmeklēšana un operatīvā darbība </w:t>
            </w:r>
            <w:proofErr w:type="spellStart"/>
            <w:r w:rsidRPr="00171D1C">
              <w:rPr>
                <w:rFonts w:ascii="Times New Roman" w:hAnsi="Times New Roman" w:cs="Times New Roman"/>
                <w:bCs/>
              </w:rPr>
              <w:t>koruptīvu</w:t>
            </w:r>
            <w:proofErr w:type="spellEnd"/>
            <w:r w:rsidRPr="00171D1C">
              <w:rPr>
                <w:rFonts w:ascii="Times New Roman" w:hAnsi="Times New Roman" w:cs="Times New Roman"/>
                <w:bCs/>
              </w:rPr>
              <w:t xml:space="preserve"> noziedzīgu nodarījumu atklāšanā; korupcijas novēršana, ietverot normatīvo aktu un pretkorupcijas politikas izstrādi, kā arī sabiedrības izglītošanu un interešu konflikta novēršanu valsts amatpersonu darbībā.</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 xml:space="preserve">Korupcijas novēršanas un apkarošanas biroja likums </w:t>
            </w:r>
          </w:p>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 xml:space="preserve">7.pants. Biroja funkcijas korupcijas novēršanā </w:t>
            </w:r>
          </w:p>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8.pants. Biroja funkcijas korupcijas apkarošanā</w:t>
            </w:r>
          </w:p>
        </w:tc>
      </w:tr>
      <w:tr w:rsidR="00B67F43" w:rsidRPr="00171D1C" w:rsidTr="008D226A">
        <w:tc>
          <w:tcPr>
            <w:tcW w:w="1555"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 xml:space="preserve">Tieslietu </w:t>
            </w:r>
            <w:r w:rsidRPr="00171D1C">
              <w:rPr>
                <w:rFonts w:ascii="Times New Roman" w:hAnsi="Times New Roman" w:cs="Times New Roman"/>
                <w:bCs/>
              </w:rPr>
              <w:lastRenderedPageBreak/>
              <w:t>ministrija</w:t>
            </w:r>
          </w:p>
        </w:tc>
        <w:tc>
          <w:tcPr>
            <w:tcW w:w="1842"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lastRenderedPageBreak/>
              <w:t xml:space="preserve">Preventīvie </w:t>
            </w:r>
            <w:r w:rsidRPr="00171D1C">
              <w:rPr>
                <w:rFonts w:ascii="Times New Roman" w:hAnsi="Times New Roman" w:cs="Times New Roman"/>
                <w:bCs/>
              </w:rPr>
              <w:lastRenderedPageBreak/>
              <w:t>pasākumi</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lastRenderedPageBreak/>
              <w:t>Normatīvo aktu izstrāde</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 xml:space="preserve">Ministru kabineta 2003.gada 29.aprīļa noteikumi Nr.243 </w:t>
            </w:r>
            <w:r w:rsidRPr="00171D1C">
              <w:rPr>
                <w:rFonts w:ascii="Times New Roman" w:hAnsi="Times New Roman" w:cs="Times New Roman"/>
                <w:bCs/>
              </w:rPr>
              <w:lastRenderedPageBreak/>
              <w:t>“Tieslietu ministrijas nolikums”</w:t>
            </w:r>
          </w:p>
        </w:tc>
      </w:tr>
      <w:tr w:rsidR="00B67F43" w:rsidRPr="00171D1C" w:rsidTr="008D226A">
        <w:tc>
          <w:tcPr>
            <w:tcW w:w="1555"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lastRenderedPageBreak/>
              <w:t>Valsts kontrole</w:t>
            </w:r>
          </w:p>
        </w:tc>
        <w:tc>
          <w:tcPr>
            <w:tcW w:w="1842"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Preventīvie pasākumi</w:t>
            </w:r>
          </w:p>
          <w:p w:rsidR="00B67F43" w:rsidRPr="00171D1C" w:rsidRDefault="00B67F43" w:rsidP="00171D1C">
            <w:pPr>
              <w:widowControl w:val="0"/>
              <w:tabs>
                <w:tab w:val="left" w:pos="0"/>
              </w:tabs>
              <w:autoSpaceDE w:val="0"/>
              <w:autoSpaceDN w:val="0"/>
              <w:adjustRightInd w:val="0"/>
              <w:spacing w:after="120" w:line="240" w:lineRule="auto"/>
              <w:rPr>
                <w:rFonts w:ascii="Times New Roman" w:hAnsi="Times New Roman" w:cs="Times New Roman"/>
                <w:bCs/>
              </w:rPr>
            </w:pPr>
            <w:r w:rsidRPr="00171D1C">
              <w:rPr>
                <w:rFonts w:ascii="Times New Roman" w:hAnsi="Times New Roman" w:cs="Times New Roman"/>
                <w:bCs/>
              </w:rPr>
              <w:t>Aizdomu par krāpšanu atklāšana</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Finanšu un lietderības revīzija</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Valsts kontroles likums</w:t>
            </w:r>
          </w:p>
        </w:tc>
      </w:tr>
      <w:tr w:rsidR="00B67F43" w:rsidRPr="00171D1C" w:rsidTr="008D226A">
        <w:tc>
          <w:tcPr>
            <w:tcW w:w="1555"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highlight w:val="yellow"/>
              </w:rPr>
            </w:pPr>
            <w:r w:rsidRPr="00171D1C">
              <w:rPr>
                <w:rFonts w:ascii="Times New Roman" w:hAnsi="Times New Roman" w:cs="Times New Roman"/>
              </w:rPr>
              <w:t>Valsts policija</w:t>
            </w:r>
          </w:p>
        </w:tc>
        <w:tc>
          <w:tcPr>
            <w:tcW w:w="1842"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highlight w:val="yellow"/>
              </w:rPr>
            </w:pPr>
            <w:r w:rsidRPr="00171D1C">
              <w:rPr>
                <w:rFonts w:ascii="Times New Roman" w:hAnsi="Times New Roman" w:cs="Times New Roman"/>
              </w:rPr>
              <w:t>Izmeklēšana, atklāšana un  prevencija</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rPr>
              <w:t xml:space="preserve">Iesniegumu izskatīšana, Kriminālprocesu izmeklēšana un operatīvā darbība, ieteikumu sniegšana AFCOS un citām kompetentām iestādēm. </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rPr>
              <w:t xml:space="preserve">Likums par “Policiju”, Kriminālprocesa likums, Krimināllikums, Operatīvās darbības likums. </w:t>
            </w:r>
          </w:p>
        </w:tc>
      </w:tr>
      <w:tr w:rsidR="00B67F43" w:rsidRPr="00171D1C" w:rsidTr="008D226A">
        <w:tc>
          <w:tcPr>
            <w:tcW w:w="1555"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Vides aizsardzības un reģionālās attīstības ministrija</w:t>
            </w:r>
          </w:p>
        </w:tc>
        <w:tc>
          <w:tcPr>
            <w:tcW w:w="1842"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Preventīvie pasākumi</w:t>
            </w:r>
          </w:p>
          <w:p w:rsidR="00B67F43" w:rsidRPr="00171D1C" w:rsidRDefault="00B67F43" w:rsidP="00171D1C">
            <w:pPr>
              <w:widowControl w:val="0"/>
              <w:tabs>
                <w:tab w:val="left" w:pos="0"/>
              </w:tabs>
              <w:autoSpaceDE w:val="0"/>
              <w:autoSpaceDN w:val="0"/>
              <w:adjustRightInd w:val="0"/>
              <w:spacing w:after="120" w:line="240" w:lineRule="auto"/>
              <w:rPr>
                <w:rFonts w:ascii="Times New Roman" w:hAnsi="Times New Roman" w:cs="Times New Roman"/>
                <w:bCs/>
              </w:rPr>
            </w:pPr>
            <w:r w:rsidRPr="00171D1C">
              <w:rPr>
                <w:rFonts w:ascii="Times New Roman" w:hAnsi="Times New Roman" w:cs="Times New Roman"/>
                <w:bCs/>
              </w:rPr>
              <w:t>Aizdomu par krāpšanu atklāšana</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ES fondu vadība un revīzija</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 xml:space="preserve">Eiropas Kaimiņattiecību instrumenta ietvaros īstenojamo Eiropas Strukturālo un investīciju fondu mērķa "Eiropas teritoriālā sadarbība" programmu vadības likuma  7., 9. un 10. pants. </w:t>
            </w:r>
          </w:p>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Eiropas Strukturālo un investīciju fondu mērķa "Eiropas teritoriālā sadarbība" programmu vadības likuma 7., 9., 10. un 11. pants.</w:t>
            </w:r>
          </w:p>
        </w:tc>
      </w:tr>
      <w:tr w:rsidR="00B67F43" w:rsidRPr="00171D1C" w:rsidTr="008D226A">
        <w:tc>
          <w:tcPr>
            <w:tcW w:w="1555"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Zemkopības ministrija</w:t>
            </w:r>
          </w:p>
        </w:tc>
        <w:tc>
          <w:tcPr>
            <w:tcW w:w="1842"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Preventīvie pasākumi</w:t>
            </w:r>
            <w:r w:rsidRPr="00171D1C">
              <w:rPr>
                <w:rFonts w:ascii="Times New Roman" w:hAnsi="Times New Roman" w:cs="Times New Roman"/>
              </w:rPr>
              <w:t xml:space="preserve"> </w:t>
            </w:r>
            <w:r w:rsidRPr="00171D1C">
              <w:rPr>
                <w:rFonts w:ascii="Times New Roman" w:hAnsi="Times New Roman" w:cs="Times New Roman"/>
                <w:bCs/>
              </w:rPr>
              <w:t>krāpšanas gadījumu novēršanai</w:t>
            </w:r>
          </w:p>
          <w:p w:rsidR="00B67F43" w:rsidRPr="00171D1C" w:rsidRDefault="00B67F43" w:rsidP="00171D1C">
            <w:pPr>
              <w:widowControl w:val="0"/>
              <w:tabs>
                <w:tab w:val="left" w:pos="0"/>
              </w:tabs>
              <w:autoSpaceDE w:val="0"/>
              <w:autoSpaceDN w:val="0"/>
              <w:adjustRightInd w:val="0"/>
              <w:spacing w:after="120" w:line="240" w:lineRule="auto"/>
              <w:rPr>
                <w:rFonts w:ascii="Times New Roman" w:hAnsi="Times New Roman" w:cs="Times New Roman"/>
                <w:bCs/>
              </w:rPr>
            </w:pPr>
            <w:r w:rsidRPr="00171D1C">
              <w:rPr>
                <w:rFonts w:ascii="Times New Roman" w:hAnsi="Times New Roman" w:cs="Times New Roman"/>
                <w:bCs/>
              </w:rPr>
              <w:t xml:space="preserve">Aizdomu par krāpšanu atklāšana </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ES fondu (ELFLA, EJZF un ELGF) vadība un revīzija</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Ministru kabineta 2014.gada 30.septembra noteikumi Nr.599 „Noteikumi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 un 2003.gada 29.aprīļa Ministru kabineta noteikumi Nr.245 “Zemkopības ministrijas nolikums”.</w:t>
            </w:r>
          </w:p>
        </w:tc>
      </w:tr>
    </w:tbl>
    <w:p w:rsidR="00B67F43" w:rsidRDefault="00B67F43" w:rsidP="00171D1C">
      <w:pPr>
        <w:spacing w:line="240" w:lineRule="auto"/>
        <w:rPr>
          <w:rFonts w:ascii="Times New Roman" w:hAnsi="Times New Roman" w:cs="Times New Roman"/>
        </w:rPr>
      </w:pPr>
    </w:p>
    <w:p w:rsidR="00692B34" w:rsidRDefault="00692B34" w:rsidP="00171D1C">
      <w:pPr>
        <w:spacing w:line="240" w:lineRule="auto"/>
        <w:rPr>
          <w:rFonts w:ascii="Times New Roman" w:hAnsi="Times New Roman" w:cs="Times New Roman"/>
        </w:rPr>
      </w:pPr>
    </w:p>
    <w:p w:rsidR="00692B34" w:rsidRPr="00171D1C" w:rsidRDefault="00692B34" w:rsidP="00171D1C">
      <w:pPr>
        <w:spacing w:line="240" w:lineRule="auto"/>
        <w:rPr>
          <w:rFonts w:ascii="Times New Roman" w:hAnsi="Times New Roman" w:cs="Times New Roman"/>
        </w:rPr>
      </w:pPr>
    </w:p>
    <w:p w:rsidR="00B67F43" w:rsidRPr="00171D1C" w:rsidRDefault="00B67F43" w:rsidP="00171D1C">
      <w:pPr>
        <w:pStyle w:val="ListParagraph"/>
        <w:widowControl w:val="0"/>
        <w:numPr>
          <w:ilvl w:val="0"/>
          <w:numId w:val="1"/>
        </w:numPr>
        <w:tabs>
          <w:tab w:val="left" w:pos="0"/>
        </w:tabs>
        <w:autoSpaceDE w:val="0"/>
        <w:autoSpaceDN w:val="0"/>
        <w:adjustRightInd w:val="0"/>
        <w:spacing w:after="120" w:line="240" w:lineRule="auto"/>
        <w:jc w:val="both"/>
        <w:rPr>
          <w:rFonts w:ascii="Times New Roman" w:hAnsi="Times New Roman" w:cs="Times New Roman"/>
          <w:b/>
          <w:bCs/>
          <w:sz w:val="24"/>
          <w:szCs w:val="24"/>
        </w:rPr>
      </w:pPr>
      <w:r w:rsidRPr="00171D1C">
        <w:rPr>
          <w:rFonts w:ascii="Times New Roman" w:hAnsi="Times New Roman" w:cs="Times New Roman"/>
          <w:b/>
          <w:bCs/>
          <w:sz w:val="24"/>
          <w:szCs w:val="24"/>
        </w:rPr>
        <w:lastRenderedPageBreak/>
        <w:t>Pastāvīgie eksperti:</w:t>
      </w:r>
    </w:p>
    <w:tbl>
      <w:tblPr>
        <w:tblStyle w:val="TableGrid"/>
        <w:tblW w:w="9413" w:type="dxa"/>
        <w:tblLayout w:type="fixed"/>
        <w:tblLook w:val="04A0" w:firstRow="1" w:lastRow="0" w:firstColumn="1" w:lastColumn="0" w:noHBand="0" w:noVBand="1"/>
      </w:tblPr>
      <w:tblGrid>
        <w:gridCol w:w="1555"/>
        <w:gridCol w:w="1842"/>
        <w:gridCol w:w="2977"/>
        <w:gridCol w:w="3039"/>
      </w:tblGrid>
      <w:tr w:rsidR="00B67F43" w:rsidRPr="00171D1C" w:rsidTr="008D226A">
        <w:tc>
          <w:tcPr>
            <w:tcW w:w="1555" w:type="dxa"/>
            <w:shd w:val="clear" w:color="auto" w:fill="D9D9D9" w:themeFill="background1" w:themeFillShade="D9"/>
            <w:vAlign w:val="center"/>
          </w:tcPr>
          <w:p w:rsidR="00B67F43" w:rsidRPr="00171D1C" w:rsidRDefault="00B67F43" w:rsidP="00171D1C">
            <w:pPr>
              <w:widowControl w:val="0"/>
              <w:tabs>
                <w:tab w:val="left" w:pos="0"/>
              </w:tabs>
              <w:autoSpaceDE w:val="0"/>
              <w:autoSpaceDN w:val="0"/>
              <w:adjustRightInd w:val="0"/>
              <w:spacing w:after="120" w:line="240" w:lineRule="auto"/>
              <w:jc w:val="center"/>
              <w:rPr>
                <w:rFonts w:ascii="Times New Roman" w:hAnsi="Times New Roman" w:cs="Times New Roman"/>
                <w:b/>
                <w:bCs/>
                <w:i/>
              </w:rPr>
            </w:pPr>
            <w:r w:rsidRPr="00171D1C">
              <w:rPr>
                <w:rFonts w:ascii="Times New Roman" w:hAnsi="Times New Roman" w:cs="Times New Roman"/>
                <w:bCs/>
                <w:i/>
              </w:rPr>
              <w:t>Institūcijas nosaukums</w:t>
            </w:r>
          </w:p>
        </w:tc>
        <w:tc>
          <w:tcPr>
            <w:tcW w:w="1842" w:type="dxa"/>
            <w:shd w:val="clear" w:color="auto" w:fill="D9D9D9" w:themeFill="background1" w:themeFillShade="D9"/>
            <w:vAlign w:val="center"/>
          </w:tcPr>
          <w:p w:rsidR="00B67F43" w:rsidRPr="00171D1C" w:rsidRDefault="00B67F43" w:rsidP="00171D1C">
            <w:pPr>
              <w:widowControl w:val="0"/>
              <w:tabs>
                <w:tab w:val="left" w:pos="0"/>
              </w:tabs>
              <w:autoSpaceDE w:val="0"/>
              <w:autoSpaceDN w:val="0"/>
              <w:adjustRightInd w:val="0"/>
              <w:spacing w:after="120" w:line="240" w:lineRule="auto"/>
              <w:jc w:val="center"/>
              <w:rPr>
                <w:rFonts w:ascii="Times New Roman" w:hAnsi="Times New Roman" w:cs="Times New Roman"/>
                <w:b/>
                <w:bCs/>
                <w:i/>
              </w:rPr>
            </w:pPr>
            <w:r w:rsidRPr="00171D1C">
              <w:rPr>
                <w:rFonts w:ascii="Times New Roman" w:hAnsi="Times New Roman" w:cs="Times New Roman"/>
                <w:bCs/>
                <w:i/>
              </w:rPr>
              <w:t>Krāpšanas apkarošanas cikls</w:t>
            </w:r>
          </w:p>
        </w:tc>
        <w:tc>
          <w:tcPr>
            <w:tcW w:w="2977" w:type="dxa"/>
            <w:shd w:val="clear" w:color="auto" w:fill="D9D9D9" w:themeFill="background1" w:themeFillShade="D9"/>
            <w:vAlign w:val="center"/>
          </w:tcPr>
          <w:p w:rsidR="00B67F43" w:rsidRPr="00171D1C" w:rsidRDefault="00B67F43" w:rsidP="00171D1C">
            <w:pPr>
              <w:widowControl w:val="0"/>
              <w:tabs>
                <w:tab w:val="left" w:pos="0"/>
              </w:tabs>
              <w:autoSpaceDE w:val="0"/>
              <w:autoSpaceDN w:val="0"/>
              <w:adjustRightInd w:val="0"/>
              <w:spacing w:after="120" w:line="240" w:lineRule="auto"/>
              <w:jc w:val="center"/>
              <w:rPr>
                <w:rFonts w:ascii="Times New Roman" w:hAnsi="Times New Roman" w:cs="Times New Roman"/>
                <w:b/>
                <w:bCs/>
                <w:i/>
              </w:rPr>
            </w:pPr>
            <w:r w:rsidRPr="00171D1C">
              <w:rPr>
                <w:rFonts w:ascii="Times New Roman" w:hAnsi="Times New Roman" w:cs="Times New Roman"/>
                <w:bCs/>
                <w:i/>
              </w:rPr>
              <w:t>Funkcijas ES finanšu interešu aizsardzības jomā</w:t>
            </w:r>
          </w:p>
        </w:tc>
        <w:tc>
          <w:tcPr>
            <w:tcW w:w="3039" w:type="dxa"/>
            <w:shd w:val="clear" w:color="auto" w:fill="D9D9D9" w:themeFill="background1" w:themeFillShade="D9"/>
            <w:vAlign w:val="center"/>
          </w:tcPr>
          <w:p w:rsidR="00B67F43" w:rsidRPr="00171D1C" w:rsidRDefault="00B67F43" w:rsidP="00171D1C">
            <w:pPr>
              <w:widowControl w:val="0"/>
              <w:tabs>
                <w:tab w:val="left" w:pos="0"/>
              </w:tabs>
              <w:autoSpaceDE w:val="0"/>
              <w:autoSpaceDN w:val="0"/>
              <w:adjustRightInd w:val="0"/>
              <w:spacing w:after="120" w:line="240" w:lineRule="auto"/>
              <w:jc w:val="center"/>
              <w:rPr>
                <w:rFonts w:ascii="Times New Roman" w:hAnsi="Times New Roman" w:cs="Times New Roman"/>
                <w:bCs/>
                <w:i/>
              </w:rPr>
            </w:pPr>
            <w:r w:rsidRPr="00171D1C">
              <w:rPr>
                <w:rFonts w:ascii="Times New Roman" w:hAnsi="Times New Roman" w:cs="Times New Roman"/>
                <w:bCs/>
                <w:i/>
              </w:rPr>
              <w:t>Normatīvais akts, kurā noteikta konkrēta funkcija</w:t>
            </w:r>
          </w:p>
        </w:tc>
      </w:tr>
      <w:tr w:rsidR="00B67F43" w:rsidRPr="00171D1C" w:rsidTr="008D226A">
        <w:tc>
          <w:tcPr>
            <w:tcW w:w="1555"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Centrālā finanšu un līgumu aģentūra</w:t>
            </w:r>
          </w:p>
        </w:tc>
        <w:tc>
          <w:tcPr>
            <w:tcW w:w="1842" w:type="dxa"/>
          </w:tcPr>
          <w:p w:rsidR="00B67F43" w:rsidRPr="00171D1C" w:rsidRDefault="00B67F43" w:rsidP="00171D1C">
            <w:pPr>
              <w:widowControl w:val="0"/>
              <w:tabs>
                <w:tab w:val="left" w:pos="0"/>
              </w:tabs>
              <w:autoSpaceDE w:val="0"/>
              <w:autoSpaceDN w:val="0"/>
              <w:adjustRightInd w:val="0"/>
              <w:spacing w:after="120" w:line="240" w:lineRule="auto"/>
              <w:rPr>
                <w:rFonts w:ascii="Times New Roman" w:hAnsi="Times New Roman" w:cs="Times New Roman"/>
                <w:bCs/>
              </w:rPr>
            </w:pPr>
            <w:r w:rsidRPr="00171D1C">
              <w:rPr>
                <w:rFonts w:ascii="Times New Roman" w:hAnsi="Times New Roman" w:cs="Times New Roman"/>
                <w:bCs/>
              </w:rPr>
              <w:t>Preventīvie pasākumi</w:t>
            </w:r>
          </w:p>
          <w:p w:rsidR="00B67F43" w:rsidRPr="00171D1C" w:rsidRDefault="00B67F43" w:rsidP="00171D1C">
            <w:pPr>
              <w:widowControl w:val="0"/>
              <w:tabs>
                <w:tab w:val="left" w:pos="0"/>
              </w:tabs>
              <w:autoSpaceDE w:val="0"/>
              <w:autoSpaceDN w:val="0"/>
              <w:adjustRightInd w:val="0"/>
              <w:spacing w:after="120" w:line="240" w:lineRule="auto"/>
              <w:rPr>
                <w:rFonts w:ascii="Times New Roman" w:hAnsi="Times New Roman" w:cs="Times New Roman"/>
                <w:bCs/>
              </w:rPr>
            </w:pPr>
            <w:r w:rsidRPr="00171D1C">
              <w:rPr>
                <w:rFonts w:ascii="Times New Roman" w:hAnsi="Times New Roman" w:cs="Times New Roman"/>
                <w:bCs/>
              </w:rPr>
              <w:t>Aizdomu par krāpšanu atklāšana</w:t>
            </w:r>
          </w:p>
          <w:p w:rsidR="00B67F43" w:rsidRPr="00171D1C" w:rsidRDefault="00B67F43" w:rsidP="00171D1C">
            <w:pPr>
              <w:widowControl w:val="0"/>
              <w:tabs>
                <w:tab w:val="left" w:pos="0"/>
              </w:tabs>
              <w:autoSpaceDE w:val="0"/>
              <w:autoSpaceDN w:val="0"/>
              <w:adjustRightInd w:val="0"/>
              <w:spacing w:after="120" w:line="240" w:lineRule="auto"/>
              <w:rPr>
                <w:rFonts w:ascii="Times New Roman" w:hAnsi="Times New Roman" w:cs="Times New Roman"/>
                <w:bCs/>
              </w:rPr>
            </w:pPr>
            <w:r w:rsidRPr="00171D1C">
              <w:rPr>
                <w:rFonts w:ascii="Times New Roman" w:hAnsi="Times New Roman" w:cs="Times New Roman"/>
                <w:bCs/>
              </w:rPr>
              <w:t>Sankcijas</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ES fondu vadība</w:t>
            </w:r>
            <w:r w:rsidR="00692B34">
              <w:rPr>
                <w:rFonts w:ascii="Times New Roman" w:hAnsi="Times New Roman" w:cs="Times New Roman"/>
                <w:bCs/>
              </w:rPr>
              <w:t xml:space="preserve"> un uzraudzība</w:t>
            </w:r>
          </w:p>
        </w:tc>
        <w:tc>
          <w:tcPr>
            <w:tcW w:w="3039"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rPr>
              <w:t>Eiropas Savienības struktūrfondu un Kohēzijas fonda 2014.-2020.gada plān</w:t>
            </w:r>
            <w:r w:rsidR="00692B34">
              <w:rPr>
                <w:rFonts w:ascii="Times New Roman" w:hAnsi="Times New Roman" w:cs="Times New Roman"/>
              </w:rPr>
              <w:t>ošanas perioda vadības likuma 12</w:t>
            </w:r>
            <w:r w:rsidRPr="00171D1C">
              <w:rPr>
                <w:rFonts w:ascii="Times New Roman" w:hAnsi="Times New Roman" w:cs="Times New Roman"/>
              </w:rPr>
              <w:t>.pants</w:t>
            </w:r>
          </w:p>
        </w:tc>
      </w:tr>
      <w:tr w:rsidR="00B67F43" w:rsidRPr="00171D1C" w:rsidTr="008D226A">
        <w:tc>
          <w:tcPr>
            <w:tcW w:w="1555"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Iepirkumu uzraudzības birojs</w:t>
            </w:r>
          </w:p>
        </w:tc>
        <w:tc>
          <w:tcPr>
            <w:tcW w:w="1842" w:type="dxa"/>
          </w:tcPr>
          <w:p w:rsidR="00B67F43" w:rsidRPr="00171D1C" w:rsidRDefault="00B67F43" w:rsidP="00171D1C">
            <w:pPr>
              <w:widowControl w:val="0"/>
              <w:tabs>
                <w:tab w:val="left" w:pos="0"/>
              </w:tabs>
              <w:autoSpaceDE w:val="0"/>
              <w:autoSpaceDN w:val="0"/>
              <w:adjustRightInd w:val="0"/>
              <w:spacing w:after="120" w:line="240" w:lineRule="auto"/>
              <w:rPr>
                <w:rFonts w:ascii="Times New Roman" w:hAnsi="Times New Roman" w:cs="Times New Roman"/>
                <w:bCs/>
              </w:rPr>
            </w:pPr>
            <w:r w:rsidRPr="00171D1C">
              <w:rPr>
                <w:rFonts w:ascii="Times New Roman" w:hAnsi="Times New Roman" w:cs="Times New Roman"/>
                <w:bCs/>
              </w:rPr>
              <w:t>Preventīvie pasākumi</w:t>
            </w:r>
          </w:p>
          <w:p w:rsidR="00B67F43" w:rsidRPr="00171D1C" w:rsidRDefault="00B67F43" w:rsidP="00171D1C">
            <w:pPr>
              <w:widowControl w:val="0"/>
              <w:tabs>
                <w:tab w:val="left" w:pos="0"/>
              </w:tabs>
              <w:autoSpaceDE w:val="0"/>
              <w:autoSpaceDN w:val="0"/>
              <w:adjustRightInd w:val="0"/>
              <w:spacing w:after="120" w:line="240" w:lineRule="auto"/>
              <w:rPr>
                <w:rFonts w:ascii="Times New Roman" w:hAnsi="Times New Roman" w:cs="Times New Roman"/>
                <w:bCs/>
              </w:rPr>
            </w:pPr>
            <w:r w:rsidRPr="00171D1C">
              <w:rPr>
                <w:rFonts w:ascii="Times New Roman" w:hAnsi="Times New Roman" w:cs="Times New Roman"/>
                <w:bCs/>
              </w:rPr>
              <w:t>Aizdomu par krāpšanu atklāšana</w:t>
            </w:r>
            <w:r w:rsidRPr="00171D1C" w:rsidDel="00321316">
              <w:rPr>
                <w:rFonts w:ascii="Times New Roman" w:hAnsi="Times New Roman" w:cs="Times New Roman"/>
                <w:bCs/>
              </w:rPr>
              <w:t xml:space="preserve"> </w:t>
            </w:r>
          </w:p>
          <w:p w:rsidR="00B67F43" w:rsidRPr="00171D1C" w:rsidRDefault="00B67F43" w:rsidP="00171D1C">
            <w:pPr>
              <w:widowControl w:val="0"/>
              <w:tabs>
                <w:tab w:val="left" w:pos="0"/>
              </w:tabs>
              <w:autoSpaceDE w:val="0"/>
              <w:autoSpaceDN w:val="0"/>
              <w:adjustRightInd w:val="0"/>
              <w:spacing w:after="120" w:line="240" w:lineRule="auto"/>
              <w:rPr>
                <w:rFonts w:ascii="Times New Roman" w:hAnsi="Times New Roman" w:cs="Times New Roman"/>
                <w:bCs/>
              </w:rPr>
            </w:pP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 xml:space="preserve">Iepirkumu procedūras atbilstības uzraudzība un kontrole (sūdzību izskatīšana, pirmspārbaudes, pēcpārbaudes, administratīvo pārkāpumu izskatīšana), kā arī metodoloģiskā atbalsta sniegšana. </w:t>
            </w:r>
          </w:p>
        </w:tc>
        <w:tc>
          <w:tcPr>
            <w:tcW w:w="3039"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Publisko iepirkumu likuma 81.pants</w:t>
            </w:r>
          </w:p>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Sabiedrisko pakalpojumu sniedzēju iepirkumu likuma 75.pants</w:t>
            </w:r>
          </w:p>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Eiropas Savienības struktūrfondu un Kohēzijas fonda 2014.—2020.gada plānošanas perioda vadības likuma 17.pants</w:t>
            </w:r>
          </w:p>
        </w:tc>
      </w:tr>
      <w:tr w:rsidR="00B67F43" w:rsidRPr="00171D1C" w:rsidTr="008D226A">
        <w:tc>
          <w:tcPr>
            <w:tcW w:w="1555"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Lauku atbalsta dienests</w:t>
            </w:r>
          </w:p>
        </w:tc>
        <w:tc>
          <w:tcPr>
            <w:tcW w:w="1842" w:type="dxa"/>
          </w:tcPr>
          <w:p w:rsidR="00B67F43" w:rsidRPr="00171D1C" w:rsidRDefault="00B67F43" w:rsidP="00171D1C">
            <w:pPr>
              <w:widowControl w:val="0"/>
              <w:tabs>
                <w:tab w:val="left" w:pos="0"/>
              </w:tabs>
              <w:autoSpaceDE w:val="0"/>
              <w:autoSpaceDN w:val="0"/>
              <w:adjustRightInd w:val="0"/>
              <w:spacing w:after="120" w:line="240" w:lineRule="auto"/>
              <w:rPr>
                <w:rFonts w:ascii="Times New Roman" w:hAnsi="Times New Roman" w:cs="Times New Roman"/>
                <w:bCs/>
              </w:rPr>
            </w:pPr>
            <w:r w:rsidRPr="00171D1C">
              <w:rPr>
                <w:rFonts w:ascii="Times New Roman" w:hAnsi="Times New Roman" w:cs="Times New Roman"/>
                <w:bCs/>
              </w:rPr>
              <w:t>Preventīvie pasākumi krāpšanas gadījumu novēršanai un apkarošanai</w:t>
            </w:r>
          </w:p>
          <w:p w:rsidR="00B67F43" w:rsidRPr="00171D1C" w:rsidRDefault="00B67F43" w:rsidP="00171D1C">
            <w:pPr>
              <w:widowControl w:val="0"/>
              <w:tabs>
                <w:tab w:val="left" w:pos="0"/>
              </w:tabs>
              <w:autoSpaceDE w:val="0"/>
              <w:autoSpaceDN w:val="0"/>
              <w:adjustRightInd w:val="0"/>
              <w:spacing w:after="120" w:line="240" w:lineRule="auto"/>
              <w:rPr>
                <w:rFonts w:ascii="Times New Roman" w:hAnsi="Times New Roman" w:cs="Times New Roman"/>
                <w:bCs/>
              </w:rPr>
            </w:pPr>
            <w:r w:rsidRPr="00171D1C">
              <w:rPr>
                <w:rFonts w:ascii="Times New Roman" w:hAnsi="Times New Roman" w:cs="Times New Roman"/>
                <w:bCs/>
              </w:rPr>
              <w:t xml:space="preserve">Aizdomu par krāpšanu atklāšana </w:t>
            </w:r>
          </w:p>
          <w:p w:rsidR="00B67F43" w:rsidRPr="00171D1C" w:rsidRDefault="00B67F43" w:rsidP="00171D1C">
            <w:pPr>
              <w:widowControl w:val="0"/>
              <w:tabs>
                <w:tab w:val="left" w:pos="0"/>
              </w:tabs>
              <w:autoSpaceDE w:val="0"/>
              <w:autoSpaceDN w:val="0"/>
              <w:adjustRightInd w:val="0"/>
              <w:spacing w:after="120" w:line="240" w:lineRule="auto"/>
              <w:rPr>
                <w:rFonts w:ascii="Times New Roman" w:hAnsi="Times New Roman" w:cs="Times New Roman"/>
                <w:bCs/>
              </w:rPr>
            </w:pPr>
            <w:r w:rsidRPr="00171D1C">
              <w:rPr>
                <w:rFonts w:ascii="Times New Roman" w:hAnsi="Times New Roman" w:cs="Times New Roman"/>
                <w:bCs/>
              </w:rPr>
              <w:t>Sankcijas</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 xml:space="preserve">ES fondu (ELFLA, EJZF un ELGF) vadība - </w:t>
            </w:r>
            <w:r w:rsidRPr="00171D1C">
              <w:rPr>
                <w:rFonts w:ascii="Times New Roman" w:hAnsi="Times New Roman" w:cs="Times New Roman"/>
              </w:rPr>
              <w:t xml:space="preserve"> </w:t>
            </w:r>
            <w:r w:rsidRPr="00171D1C">
              <w:rPr>
                <w:rFonts w:ascii="Times New Roman" w:hAnsi="Times New Roman" w:cs="Times New Roman"/>
                <w:bCs/>
              </w:rPr>
              <w:t>krāpniecisku darbību novēršanas, atklāšanas, ziņošanas un risku novērtēšanas pasākumu ieviešana.</w:t>
            </w:r>
          </w:p>
        </w:tc>
        <w:tc>
          <w:tcPr>
            <w:tcW w:w="3039"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Ministru kabineta 2014.gada 30.septembra noteikumi Nr.599 „Noteikumi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 un Lauku atbalsta dienesta likums.</w:t>
            </w:r>
          </w:p>
        </w:tc>
      </w:tr>
      <w:tr w:rsidR="00B67F43" w:rsidRPr="00171D1C" w:rsidTr="008D226A">
        <w:tc>
          <w:tcPr>
            <w:tcW w:w="1555"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Valsts kase</w:t>
            </w:r>
          </w:p>
        </w:tc>
        <w:tc>
          <w:tcPr>
            <w:tcW w:w="1842" w:type="dxa"/>
          </w:tcPr>
          <w:p w:rsidR="00B67F43" w:rsidRPr="00171D1C" w:rsidRDefault="00B67F43" w:rsidP="00171D1C">
            <w:pPr>
              <w:widowControl w:val="0"/>
              <w:tabs>
                <w:tab w:val="left" w:pos="0"/>
              </w:tabs>
              <w:autoSpaceDE w:val="0"/>
              <w:autoSpaceDN w:val="0"/>
              <w:adjustRightInd w:val="0"/>
              <w:spacing w:after="120" w:line="240" w:lineRule="auto"/>
              <w:rPr>
                <w:rFonts w:ascii="Times New Roman" w:hAnsi="Times New Roman" w:cs="Times New Roman"/>
                <w:bCs/>
              </w:rPr>
            </w:pPr>
            <w:r w:rsidRPr="00171D1C">
              <w:rPr>
                <w:rFonts w:ascii="Times New Roman" w:hAnsi="Times New Roman" w:cs="Times New Roman"/>
                <w:bCs/>
              </w:rPr>
              <w:t>Preventīvie pasākumi</w:t>
            </w:r>
          </w:p>
          <w:p w:rsidR="00B67F43" w:rsidRPr="00171D1C" w:rsidRDefault="00B67F43" w:rsidP="00171D1C">
            <w:pPr>
              <w:widowControl w:val="0"/>
              <w:tabs>
                <w:tab w:val="left" w:pos="0"/>
              </w:tabs>
              <w:autoSpaceDE w:val="0"/>
              <w:autoSpaceDN w:val="0"/>
              <w:adjustRightInd w:val="0"/>
              <w:spacing w:after="120" w:line="240" w:lineRule="auto"/>
              <w:rPr>
                <w:rFonts w:ascii="Times New Roman" w:hAnsi="Times New Roman" w:cs="Times New Roman"/>
                <w:bCs/>
              </w:rPr>
            </w:pPr>
            <w:r w:rsidRPr="00171D1C">
              <w:rPr>
                <w:rFonts w:ascii="Times New Roman" w:hAnsi="Times New Roman" w:cs="Times New Roman"/>
                <w:bCs/>
              </w:rPr>
              <w:t>Aizdomu par krāpšanu atklāšana un</w:t>
            </w:r>
            <w:r w:rsidRPr="00171D1C" w:rsidDel="00321316">
              <w:rPr>
                <w:rFonts w:ascii="Times New Roman" w:hAnsi="Times New Roman" w:cs="Times New Roman"/>
                <w:bCs/>
              </w:rPr>
              <w:t xml:space="preserve"> </w:t>
            </w:r>
            <w:r w:rsidRPr="00171D1C">
              <w:rPr>
                <w:rFonts w:ascii="Times New Roman" w:hAnsi="Times New Roman" w:cs="Times New Roman"/>
                <w:bCs/>
              </w:rPr>
              <w:t>ziņošana</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ES fondu vadība (normatīvajos aktos paredzēto pārbaužu veikšanas izdevumu sertificēšanas nodrošināšanai)</w:t>
            </w:r>
          </w:p>
        </w:tc>
        <w:tc>
          <w:tcPr>
            <w:tcW w:w="3039"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Eiropas Savienības struktūrfondu un Kohēzijas fonda 2014.-2020.gada plānošanas perioda vadības likuma 14.pants</w:t>
            </w:r>
          </w:p>
        </w:tc>
      </w:tr>
      <w:tr w:rsidR="00B67F43" w:rsidRPr="00171D1C" w:rsidTr="008D226A">
        <w:tc>
          <w:tcPr>
            <w:tcW w:w="1555"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highlight w:val="yellow"/>
              </w:rPr>
            </w:pPr>
            <w:r w:rsidRPr="00171D1C">
              <w:rPr>
                <w:rFonts w:ascii="Times New Roman" w:hAnsi="Times New Roman" w:cs="Times New Roman"/>
                <w:bCs/>
              </w:rPr>
              <w:t>Iekšlietu ministrija</w:t>
            </w:r>
          </w:p>
        </w:tc>
        <w:tc>
          <w:tcPr>
            <w:tcW w:w="1842" w:type="dxa"/>
          </w:tcPr>
          <w:p w:rsidR="00B67F43" w:rsidRPr="00171D1C" w:rsidRDefault="00B67F43" w:rsidP="00171D1C">
            <w:pPr>
              <w:widowControl w:val="0"/>
              <w:tabs>
                <w:tab w:val="left" w:pos="0"/>
              </w:tabs>
              <w:autoSpaceDE w:val="0"/>
              <w:autoSpaceDN w:val="0"/>
              <w:adjustRightInd w:val="0"/>
              <w:spacing w:after="120" w:line="240" w:lineRule="auto"/>
              <w:rPr>
                <w:rFonts w:ascii="Times New Roman" w:hAnsi="Times New Roman" w:cs="Times New Roman"/>
                <w:bCs/>
              </w:rPr>
            </w:pPr>
            <w:r w:rsidRPr="00171D1C">
              <w:rPr>
                <w:rFonts w:ascii="Times New Roman" w:hAnsi="Times New Roman" w:cs="Times New Roman"/>
                <w:bCs/>
              </w:rPr>
              <w:t>Preventīvie pasākumi</w:t>
            </w:r>
          </w:p>
          <w:p w:rsidR="00B67F43" w:rsidRPr="00171D1C" w:rsidRDefault="00B67F43" w:rsidP="00171D1C">
            <w:pPr>
              <w:widowControl w:val="0"/>
              <w:tabs>
                <w:tab w:val="left" w:pos="0"/>
              </w:tabs>
              <w:autoSpaceDE w:val="0"/>
              <w:autoSpaceDN w:val="0"/>
              <w:adjustRightInd w:val="0"/>
              <w:spacing w:after="120" w:line="240" w:lineRule="auto"/>
              <w:rPr>
                <w:rFonts w:ascii="Times New Roman" w:hAnsi="Times New Roman" w:cs="Times New Roman"/>
                <w:bCs/>
              </w:rPr>
            </w:pPr>
            <w:r w:rsidRPr="00171D1C">
              <w:rPr>
                <w:rFonts w:ascii="Times New Roman" w:hAnsi="Times New Roman" w:cs="Times New Roman"/>
                <w:bCs/>
              </w:rPr>
              <w:t xml:space="preserve">Aizdomu par krāpšanu </w:t>
            </w:r>
            <w:r w:rsidRPr="00171D1C">
              <w:rPr>
                <w:rFonts w:ascii="Times New Roman" w:hAnsi="Times New Roman" w:cs="Times New Roman"/>
                <w:bCs/>
              </w:rPr>
              <w:lastRenderedPageBreak/>
              <w:t>atklāšana</w:t>
            </w:r>
            <w:r w:rsidRPr="00171D1C" w:rsidDel="004900C3">
              <w:rPr>
                <w:rFonts w:ascii="Times New Roman" w:hAnsi="Times New Roman" w:cs="Times New Roman"/>
                <w:bCs/>
              </w:rPr>
              <w:t xml:space="preserve"> </w:t>
            </w:r>
          </w:p>
        </w:tc>
        <w:tc>
          <w:tcPr>
            <w:tcW w:w="2977"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lastRenderedPageBreak/>
              <w:t>ES fondu vadība</w:t>
            </w:r>
          </w:p>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p>
        </w:tc>
        <w:tc>
          <w:tcPr>
            <w:tcW w:w="3039" w:type="dxa"/>
          </w:tcPr>
          <w:p w:rsidR="00B67F43" w:rsidRPr="00171D1C" w:rsidRDefault="00B67F43" w:rsidP="00692B34">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 xml:space="preserve">Iekšējās drošības fonda un Patvēruma, migrācijas un integrācijas fonda 2014.-2020.gada plānošanas perioda vadības likuma 7.panta </w:t>
            </w:r>
            <w:r w:rsidR="00692B34">
              <w:rPr>
                <w:rFonts w:ascii="Times New Roman" w:hAnsi="Times New Roman" w:cs="Times New Roman"/>
                <w:bCs/>
              </w:rPr>
              <w:t>pirmā</w:t>
            </w:r>
            <w:r w:rsidRPr="00171D1C">
              <w:rPr>
                <w:rFonts w:ascii="Times New Roman" w:hAnsi="Times New Roman" w:cs="Times New Roman"/>
                <w:bCs/>
              </w:rPr>
              <w:t xml:space="preserve"> </w:t>
            </w:r>
            <w:r w:rsidRPr="00171D1C">
              <w:rPr>
                <w:rFonts w:ascii="Times New Roman" w:hAnsi="Times New Roman" w:cs="Times New Roman"/>
                <w:bCs/>
              </w:rPr>
              <w:lastRenderedPageBreak/>
              <w:t>daļa</w:t>
            </w:r>
          </w:p>
        </w:tc>
      </w:tr>
      <w:tr w:rsidR="00B67F43" w:rsidRPr="00171D1C" w:rsidTr="008D226A">
        <w:tc>
          <w:tcPr>
            <w:tcW w:w="1555" w:type="dxa"/>
          </w:tcPr>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lastRenderedPageBreak/>
              <w:t>Labklājības ministrija</w:t>
            </w:r>
          </w:p>
        </w:tc>
        <w:tc>
          <w:tcPr>
            <w:tcW w:w="1842" w:type="dxa"/>
          </w:tcPr>
          <w:p w:rsidR="00B67F43" w:rsidRPr="00171D1C" w:rsidRDefault="00B67F43" w:rsidP="00171D1C">
            <w:pPr>
              <w:widowControl w:val="0"/>
              <w:tabs>
                <w:tab w:val="left" w:pos="0"/>
              </w:tabs>
              <w:autoSpaceDE w:val="0"/>
              <w:autoSpaceDN w:val="0"/>
              <w:adjustRightInd w:val="0"/>
              <w:spacing w:before="120" w:after="0" w:line="240" w:lineRule="auto"/>
              <w:rPr>
                <w:rFonts w:ascii="Times New Roman" w:hAnsi="Times New Roman" w:cs="Times New Roman"/>
                <w:bCs/>
              </w:rPr>
            </w:pPr>
            <w:r w:rsidRPr="00171D1C">
              <w:rPr>
                <w:rFonts w:ascii="Times New Roman" w:hAnsi="Times New Roman" w:cs="Times New Roman"/>
                <w:bCs/>
              </w:rPr>
              <w:t>Preventīvie pasākumi/ Novēršana</w:t>
            </w:r>
          </w:p>
          <w:p w:rsidR="00B67F43" w:rsidRPr="00171D1C" w:rsidRDefault="00B67F43" w:rsidP="00171D1C">
            <w:pPr>
              <w:widowControl w:val="0"/>
              <w:tabs>
                <w:tab w:val="left" w:pos="0"/>
              </w:tabs>
              <w:autoSpaceDE w:val="0"/>
              <w:autoSpaceDN w:val="0"/>
              <w:adjustRightInd w:val="0"/>
              <w:spacing w:after="120" w:line="240" w:lineRule="auto"/>
              <w:rPr>
                <w:rFonts w:ascii="Times New Roman" w:hAnsi="Times New Roman" w:cs="Times New Roman"/>
                <w:bCs/>
              </w:rPr>
            </w:pPr>
            <w:r w:rsidRPr="00171D1C">
              <w:rPr>
                <w:rFonts w:ascii="Times New Roman" w:hAnsi="Times New Roman" w:cs="Times New Roman"/>
                <w:bCs/>
              </w:rPr>
              <w:t>Aizdomu par krāpšanu atklāšana</w:t>
            </w:r>
          </w:p>
        </w:tc>
        <w:tc>
          <w:tcPr>
            <w:tcW w:w="2977" w:type="dxa"/>
          </w:tcPr>
          <w:p w:rsidR="00B67F43" w:rsidRPr="00171D1C" w:rsidRDefault="00B67F43" w:rsidP="00171D1C">
            <w:pPr>
              <w:widowControl w:val="0"/>
              <w:tabs>
                <w:tab w:val="left" w:pos="0"/>
              </w:tabs>
              <w:autoSpaceDE w:val="0"/>
              <w:autoSpaceDN w:val="0"/>
              <w:adjustRightInd w:val="0"/>
              <w:spacing w:before="120" w:after="0" w:line="240" w:lineRule="auto"/>
              <w:jc w:val="both"/>
              <w:rPr>
                <w:rFonts w:ascii="Times New Roman" w:hAnsi="Times New Roman" w:cs="Times New Roman"/>
                <w:bCs/>
              </w:rPr>
            </w:pPr>
            <w:r w:rsidRPr="00171D1C">
              <w:rPr>
                <w:rFonts w:ascii="Times New Roman" w:hAnsi="Times New Roman" w:cs="Times New Roman"/>
                <w:bCs/>
              </w:rPr>
              <w:t>EAFVP vadība</w:t>
            </w:r>
          </w:p>
          <w:p w:rsidR="00B67F43" w:rsidRPr="00171D1C" w:rsidRDefault="00B67F43" w:rsidP="00171D1C">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Normatīvo aktu izstrāde</w:t>
            </w:r>
          </w:p>
        </w:tc>
        <w:tc>
          <w:tcPr>
            <w:tcW w:w="3039" w:type="dxa"/>
          </w:tcPr>
          <w:p w:rsidR="00B67F43" w:rsidRPr="00171D1C" w:rsidRDefault="00B67F43" w:rsidP="00692B34">
            <w:pPr>
              <w:widowControl w:val="0"/>
              <w:tabs>
                <w:tab w:val="left" w:pos="0"/>
              </w:tabs>
              <w:autoSpaceDE w:val="0"/>
              <w:autoSpaceDN w:val="0"/>
              <w:adjustRightInd w:val="0"/>
              <w:spacing w:after="120" w:line="240" w:lineRule="auto"/>
              <w:jc w:val="both"/>
              <w:rPr>
                <w:rFonts w:ascii="Times New Roman" w:hAnsi="Times New Roman" w:cs="Times New Roman"/>
                <w:bCs/>
              </w:rPr>
            </w:pPr>
            <w:r w:rsidRPr="00171D1C">
              <w:rPr>
                <w:rFonts w:ascii="Times New Roman" w:hAnsi="Times New Roman" w:cs="Times New Roman"/>
                <w:bCs/>
              </w:rPr>
              <w:t xml:space="preserve">Eiropas Atbalsta fonda vistrūcīgākajām personām 2014.-2020. gada plānošanas perioda vadības likuma 5. panta </w:t>
            </w:r>
            <w:r w:rsidR="00692B34">
              <w:rPr>
                <w:rFonts w:ascii="Times New Roman" w:hAnsi="Times New Roman" w:cs="Times New Roman"/>
                <w:bCs/>
              </w:rPr>
              <w:t>otrās</w:t>
            </w:r>
            <w:r w:rsidRPr="00171D1C">
              <w:rPr>
                <w:rFonts w:ascii="Times New Roman" w:hAnsi="Times New Roman" w:cs="Times New Roman"/>
                <w:bCs/>
              </w:rPr>
              <w:t xml:space="preserve"> daļas 10.punkts</w:t>
            </w:r>
          </w:p>
        </w:tc>
      </w:tr>
    </w:tbl>
    <w:p w:rsidR="00B67F43" w:rsidRPr="00171D1C" w:rsidRDefault="00B67F43" w:rsidP="00171D1C">
      <w:pPr>
        <w:pStyle w:val="ListParagraph"/>
        <w:numPr>
          <w:ilvl w:val="0"/>
          <w:numId w:val="1"/>
        </w:numPr>
        <w:shd w:val="clear" w:color="auto" w:fill="FFFFFF"/>
        <w:spacing w:before="100" w:beforeAutospacing="1" w:after="120" w:line="240" w:lineRule="auto"/>
        <w:ind w:left="714" w:hanging="357"/>
        <w:jc w:val="both"/>
        <w:rPr>
          <w:rFonts w:ascii="Times New Roman" w:eastAsia="Times New Roman" w:hAnsi="Times New Roman" w:cs="Times New Roman"/>
          <w:b/>
          <w:sz w:val="24"/>
          <w:szCs w:val="24"/>
          <w:lang w:eastAsia="lv-LV"/>
        </w:rPr>
      </w:pPr>
      <w:r w:rsidRPr="00171D1C">
        <w:rPr>
          <w:rFonts w:ascii="Times New Roman" w:eastAsia="Times New Roman" w:hAnsi="Times New Roman" w:cs="Times New Roman"/>
          <w:b/>
          <w:sz w:val="24"/>
          <w:szCs w:val="24"/>
          <w:lang w:eastAsia="lv-LV"/>
        </w:rPr>
        <w:t>Pieaicinātie sadarbības partneri:</w:t>
      </w:r>
    </w:p>
    <w:tbl>
      <w:tblPr>
        <w:tblStyle w:val="TableGrid"/>
        <w:tblW w:w="9351" w:type="dxa"/>
        <w:tblLook w:val="04A0" w:firstRow="1" w:lastRow="0" w:firstColumn="1" w:lastColumn="0" w:noHBand="0" w:noVBand="1"/>
      </w:tblPr>
      <w:tblGrid>
        <w:gridCol w:w="1555"/>
        <w:gridCol w:w="2409"/>
        <w:gridCol w:w="3261"/>
        <w:gridCol w:w="2126"/>
      </w:tblGrid>
      <w:tr w:rsidR="00B67F43" w:rsidRPr="00171D1C" w:rsidTr="008D226A">
        <w:tc>
          <w:tcPr>
            <w:tcW w:w="1555" w:type="dxa"/>
            <w:shd w:val="clear" w:color="auto" w:fill="D9D9D9" w:themeFill="background1" w:themeFillShade="D9"/>
            <w:vAlign w:val="center"/>
          </w:tcPr>
          <w:p w:rsidR="00B67F43" w:rsidRPr="00171D1C" w:rsidRDefault="00B67F43" w:rsidP="00171D1C">
            <w:pPr>
              <w:spacing w:line="240" w:lineRule="auto"/>
              <w:jc w:val="center"/>
              <w:rPr>
                <w:rFonts w:ascii="Times New Roman" w:eastAsia="Times New Roman" w:hAnsi="Times New Roman" w:cs="Times New Roman"/>
                <w:b/>
                <w:bCs/>
                <w:highlight w:val="yellow"/>
                <w:lang w:eastAsia="lv-LV"/>
              </w:rPr>
            </w:pPr>
            <w:r w:rsidRPr="00171D1C">
              <w:rPr>
                <w:rFonts w:ascii="Times New Roman" w:hAnsi="Times New Roman" w:cs="Times New Roman"/>
                <w:bCs/>
                <w:i/>
              </w:rPr>
              <w:t>Institūcijas nosaukums</w:t>
            </w:r>
          </w:p>
        </w:tc>
        <w:tc>
          <w:tcPr>
            <w:tcW w:w="2409" w:type="dxa"/>
            <w:shd w:val="clear" w:color="auto" w:fill="D9D9D9" w:themeFill="background1" w:themeFillShade="D9"/>
            <w:vAlign w:val="center"/>
          </w:tcPr>
          <w:p w:rsidR="00B67F43" w:rsidRPr="00171D1C" w:rsidRDefault="00B67F43" w:rsidP="00171D1C">
            <w:pPr>
              <w:spacing w:line="240" w:lineRule="auto"/>
              <w:jc w:val="center"/>
              <w:rPr>
                <w:rFonts w:ascii="Times New Roman" w:eastAsia="Times New Roman" w:hAnsi="Times New Roman" w:cs="Times New Roman"/>
                <w:b/>
                <w:bCs/>
                <w:highlight w:val="yellow"/>
                <w:lang w:eastAsia="lv-LV"/>
              </w:rPr>
            </w:pPr>
            <w:r w:rsidRPr="00171D1C">
              <w:rPr>
                <w:rFonts w:ascii="Times New Roman" w:hAnsi="Times New Roman" w:cs="Times New Roman"/>
                <w:bCs/>
                <w:i/>
              </w:rPr>
              <w:t>Krāpšanas apkarošanas cikls</w:t>
            </w:r>
          </w:p>
        </w:tc>
        <w:tc>
          <w:tcPr>
            <w:tcW w:w="3261" w:type="dxa"/>
            <w:shd w:val="clear" w:color="auto" w:fill="D9D9D9" w:themeFill="background1" w:themeFillShade="D9"/>
            <w:vAlign w:val="center"/>
          </w:tcPr>
          <w:p w:rsidR="00B67F43" w:rsidRPr="00171D1C" w:rsidRDefault="00B67F43" w:rsidP="00171D1C">
            <w:pPr>
              <w:spacing w:line="240" w:lineRule="auto"/>
              <w:jc w:val="center"/>
              <w:rPr>
                <w:rFonts w:ascii="Times New Roman" w:eastAsia="Times New Roman" w:hAnsi="Times New Roman" w:cs="Times New Roman"/>
                <w:b/>
                <w:bCs/>
                <w:highlight w:val="yellow"/>
                <w:lang w:eastAsia="lv-LV"/>
              </w:rPr>
            </w:pPr>
            <w:r w:rsidRPr="00171D1C">
              <w:rPr>
                <w:rFonts w:ascii="Times New Roman" w:hAnsi="Times New Roman" w:cs="Times New Roman"/>
                <w:bCs/>
                <w:i/>
              </w:rPr>
              <w:t>Funkcijas ES finanšu interešu aizsardzības jomā</w:t>
            </w:r>
          </w:p>
        </w:tc>
        <w:tc>
          <w:tcPr>
            <w:tcW w:w="2126" w:type="dxa"/>
            <w:shd w:val="clear" w:color="auto" w:fill="D9D9D9" w:themeFill="background1" w:themeFillShade="D9"/>
            <w:vAlign w:val="center"/>
          </w:tcPr>
          <w:p w:rsidR="00B67F43" w:rsidRPr="00171D1C" w:rsidRDefault="00B67F43" w:rsidP="00171D1C">
            <w:pPr>
              <w:spacing w:line="240" w:lineRule="auto"/>
              <w:jc w:val="center"/>
              <w:rPr>
                <w:rFonts w:ascii="Times New Roman" w:hAnsi="Times New Roman" w:cs="Times New Roman"/>
                <w:bCs/>
                <w:i/>
              </w:rPr>
            </w:pPr>
            <w:r w:rsidRPr="00171D1C">
              <w:rPr>
                <w:rFonts w:ascii="Times New Roman" w:hAnsi="Times New Roman" w:cs="Times New Roman"/>
                <w:bCs/>
                <w:i/>
              </w:rPr>
              <w:t>Normatīvais akts, kurā noteikta konkrēta funkcija</w:t>
            </w:r>
          </w:p>
        </w:tc>
      </w:tr>
      <w:tr w:rsidR="00B67F43" w:rsidRPr="00171D1C" w:rsidTr="008D226A">
        <w:tc>
          <w:tcPr>
            <w:tcW w:w="1555" w:type="dxa"/>
          </w:tcPr>
          <w:p w:rsidR="00B67F43" w:rsidRPr="00171D1C" w:rsidRDefault="00B67F43" w:rsidP="00171D1C">
            <w:pPr>
              <w:spacing w:line="240" w:lineRule="auto"/>
              <w:rPr>
                <w:rFonts w:ascii="Times New Roman" w:eastAsia="Times New Roman" w:hAnsi="Times New Roman" w:cs="Times New Roman"/>
                <w:bCs/>
                <w:lang w:eastAsia="lv-LV"/>
              </w:rPr>
            </w:pPr>
            <w:r w:rsidRPr="00171D1C">
              <w:rPr>
                <w:rFonts w:ascii="Times New Roman" w:eastAsia="Times New Roman" w:hAnsi="Times New Roman" w:cs="Times New Roman"/>
                <w:bCs/>
                <w:lang w:eastAsia="lv-LV"/>
              </w:rPr>
              <w:t>Konkurences padome</w:t>
            </w:r>
          </w:p>
        </w:tc>
        <w:tc>
          <w:tcPr>
            <w:tcW w:w="2409" w:type="dxa"/>
          </w:tcPr>
          <w:p w:rsidR="00B67F43" w:rsidRPr="00171D1C" w:rsidRDefault="00B67F43" w:rsidP="00171D1C">
            <w:pPr>
              <w:spacing w:line="240" w:lineRule="auto"/>
              <w:rPr>
                <w:rFonts w:ascii="Times New Roman" w:eastAsia="Times New Roman" w:hAnsi="Times New Roman" w:cs="Times New Roman"/>
                <w:bCs/>
                <w:lang w:eastAsia="lv-LV"/>
              </w:rPr>
            </w:pPr>
            <w:r w:rsidRPr="00171D1C">
              <w:rPr>
                <w:rFonts w:ascii="Times New Roman" w:eastAsia="Times New Roman" w:hAnsi="Times New Roman" w:cs="Times New Roman"/>
                <w:bCs/>
                <w:lang w:eastAsia="lv-LV"/>
              </w:rPr>
              <w:t>Preventīvie pasākumi, pārkāpumu izmeklēšana un sodīšana, publisko personu uzraudzība ar ES finanšu interešu aizsardzību saistītā jomā.</w:t>
            </w:r>
          </w:p>
          <w:p w:rsidR="00B67F43" w:rsidRPr="00171D1C" w:rsidRDefault="00B67F43" w:rsidP="00171D1C">
            <w:pPr>
              <w:spacing w:line="240" w:lineRule="auto"/>
              <w:rPr>
                <w:rFonts w:ascii="Times New Roman" w:eastAsia="Times New Roman" w:hAnsi="Times New Roman" w:cs="Times New Roman"/>
                <w:b/>
                <w:bCs/>
                <w:lang w:eastAsia="lv-LV"/>
              </w:rPr>
            </w:pPr>
          </w:p>
        </w:tc>
        <w:tc>
          <w:tcPr>
            <w:tcW w:w="3261" w:type="dxa"/>
          </w:tcPr>
          <w:p w:rsidR="00B67F43" w:rsidRPr="00171D1C" w:rsidRDefault="00B67F43" w:rsidP="00171D1C">
            <w:pPr>
              <w:spacing w:line="240" w:lineRule="auto"/>
              <w:rPr>
                <w:rFonts w:ascii="Times New Roman" w:eastAsia="Times New Roman" w:hAnsi="Times New Roman" w:cs="Times New Roman"/>
                <w:bCs/>
                <w:lang w:eastAsia="lv-LV"/>
              </w:rPr>
            </w:pPr>
            <w:r w:rsidRPr="00171D1C">
              <w:rPr>
                <w:rFonts w:ascii="Times New Roman" w:eastAsia="Times New Roman" w:hAnsi="Times New Roman" w:cs="Times New Roman"/>
                <w:bCs/>
                <w:lang w:eastAsia="lv-LV"/>
              </w:rPr>
              <w:t>Konkurences likuma pārkāpumu (aizliegto vienošanos) uzraudzība (t.sk., ar ES fondiem saistītajos publiskajos iepirkumos).</w:t>
            </w:r>
          </w:p>
          <w:p w:rsidR="00B67F43" w:rsidRPr="00171D1C" w:rsidRDefault="00B67F43" w:rsidP="00171D1C">
            <w:pPr>
              <w:spacing w:line="240" w:lineRule="auto"/>
              <w:rPr>
                <w:rFonts w:ascii="Times New Roman" w:eastAsia="Times New Roman" w:hAnsi="Times New Roman" w:cs="Times New Roman"/>
                <w:bCs/>
                <w:lang w:eastAsia="lv-LV"/>
              </w:rPr>
            </w:pPr>
            <w:r w:rsidRPr="00171D1C">
              <w:rPr>
                <w:rFonts w:ascii="Times New Roman" w:eastAsia="Times New Roman" w:hAnsi="Times New Roman" w:cs="Times New Roman"/>
                <w:bCs/>
                <w:lang w:eastAsia="lv-LV"/>
              </w:rPr>
              <w:t>Preventīva iepirkuma organizētāju (publisko personu) un pretendentu informēšana.</w:t>
            </w:r>
          </w:p>
          <w:p w:rsidR="00B67F43" w:rsidRPr="00171D1C" w:rsidRDefault="00B67F43" w:rsidP="00171D1C">
            <w:pPr>
              <w:spacing w:line="240" w:lineRule="auto"/>
              <w:rPr>
                <w:rFonts w:ascii="Times New Roman" w:eastAsia="Times New Roman" w:hAnsi="Times New Roman" w:cs="Times New Roman"/>
                <w:bCs/>
                <w:lang w:eastAsia="lv-LV"/>
              </w:rPr>
            </w:pPr>
            <w:r w:rsidRPr="00171D1C">
              <w:rPr>
                <w:rFonts w:ascii="Times New Roman" w:eastAsia="Times New Roman" w:hAnsi="Times New Roman" w:cs="Times New Roman"/>
                <w:bCs/>
                <w:lang w:eastAsia="lv-LV"/>
              </w:rPr>
              <w:t xml:space="preserve">Publisko personu uzraudzība: </w:t>
            </w:r>
          </w:p>
          <w:p w:rsidR="00B67F43" w:rsidRPr="00171D1C" w:rsidRDefault="00B67F43" w:rsidP="00171D1C">
            <w:pPr>
              <w:spacing w:line="240" w:lineRule="auto"/>
              <w:rPr>
                <w:rFonts w:ascii="Times New Roman" w:eastAsia="Times New Roman" w:hAnsi="Times New Roman" w:cs="Times New Roman"/>
                <w:bCs/>
                <w:lang w:eastAsia="lv-LV"/>
              </w:rPr>
            </w:pPr>
            <w:r w:rsidRPr="00171D1C">
              <w:rPr>
                <w:rFonts w:ascii="Times New Roman" w:eastAsia="Times New Roman" w:hAnsi="Times New Roman" w:cs="Times New Roman"/>
                <w:bCs/>
                <w:lang w:eastAsia="lv-LV"/>
              </w:rPr>
              <w:t xml:space="preserve">1) ietekmes uz konkurenci izvērtēšana publisko personu darbībā (t.sk., dibinot valsts vai pašvaldību kapitālsabiedrības, piemērojot </w:t>
            </w:r>
            <w:proofErr w:type="spellStart"/>
            <w:r w:rsidRPr="00171D1C">
              <w:rPr>
                <w:rFonts w:ascii="Times New Roman" w:eastAsia="Times New Roman" w:hAnsi="Times New Roman" w:cs="Times New Roman"/>
                <w:bCs/>
                <w:i/>
                <w:lang w:eastAsia="lv-LV"/>
              </w:rPr>
              <w:t>in-house</w:t>
            </w:r>
            <w:proofErr w:type="spellEnd"/>
            <w:r w:rsidRPr="00171D1C">
              <w:rPr>
                <w:rFonts w:ascii="Times New Roman" w:eastAsia="Times New Roman" w:hAnsi="Times New Roman" w:cs="Times New Roman"/>
                <w:bCs/>
                <w:lang w:eastAsia="lv-LV"/>
              </w:rPr>
              <w:t xml:space="preserve"> principu iepirkumos). </w:t>
            </w:r>
          </w:p>
          <w:p w:rsidR="00B67F43" w:rsidRPr="00171D1C" w:rsidRDefault="00B67F43" w:rsidP="00171D1C">
            <w:pPr>
              <w:spacing w:line="240" w:lineRule="auto"/>
              <w:rPr>
                <w:rFonts w:ascii="Times New Roman" w:eastAsia="Times New Roman" w:hAnsi="Times New Roman" w:cs="Times New Roman"/>
                <w:b/>
                <w:bCs/>
                <w:lang w:eastAsia="lv-LV"/>
              </w:rPr>
            </w:pPr>
            <w:r w:rsidRPr="00171D1C">
              <w:rPr>
                <w:rFonts w:ascii="Times New Roman" w:eastAsia="Times New Roman" w:hAnsi="Times New Roman" w:cs="Times New Roman"/>
                <w:bCs/>
                <w:lang w:eastAsia="lv-LV"/>
              </w:rPr>
              <w:t>2) atzinumu sagatavošana un sniegšana par tiesību aktu projektiem).</w:t>
            </w:r>
          </w:p>
        </w:tc>
        <w:tc>
          <w:tcPr>
            <w:tcW w:w="2126" w:type="dxa"/>
          </w:tcPr>
          <w:p w:rsidR="00B67F43" w:rsidRPr="00171D1C" w:rsidRDefault="00B67F43" w:rsidP="00171D1C">
            <w:pPr>
              <w:spacing w:line="240" w:lineRule="auto"/>
              <w:rPr>
                <w:rFonts w:ascii="Times New Roman" w:eastAsia="Times New Roman" w:hAnsi="Times New Roman" w:cs="Times New Roman"/>
                <w:bCs/>
                <w:lang w:eastAsia="lv-LV"/>
              </w:rPr>
            </w:pPr>
            <w:r w:rsidRPr="00171D1C">
              <w:rPr>
                <w:rFonts w:ascii="Times New Roman" w:eastAsia="Times New Roman" w:hAnsi="Times New Roman" w:cs="Times New Roman"/>
                <w:bCs/>
                <w:lang w:eastAsia="lv-LV"/>
              </w:rPr>
              <w:t>Konkurences likuma 6.pants</w:t>
            </w:r>
          </w:p>
        </w:tc>
      </w:tr>
    </w:tbl>
    <w:p w:rsidR="00B67F43" w:rsidRDefault="00B67F43" w:rsidP="00171D1C">
      <w:pPr>
        <w:spacing w:line="240" w:lineRule="auto"/>
        <w:rPr>
          <w:rFonts w:ascii="Times New Roman" w:hAnsi="Times New Roman" w:cs="Times New Roman"/>
        </w:rPr>
      </w:pPr>
    </w:p>
    <w:p w:rsidR="00171D1C" w:rsidRDefault="00171D1C" w:rsidP="00171D1C">
      <w:pPr>
        <w:tabs>
          <w:tab w:val="right" w:pos="8931"/>
        </w:tabs>
        <w:spacing w:before="120" w:after="120" w:line="240" w:lineRule="auto"/>
        <w:rPr>
          <w:rFonts w:ascii="Times New Roman" w:hAnsi="Times New Roman" w:cs="Times New Roman"/>
          <w:sz w:val="24"/>
          <w:szCs w:val="24"/>
        </w:rPr>
      </w:pPr>
      <w:r w:rsidRPr="000A578D">
        <w:rPr>
          <w:rFonts w:ascii="Times New Roman" w:hAnsi="Times New Roman" w:cs="Times New Roman"/>
          <w:sz w:val="24"/>
          <w:szCs w:val="24"/>
        </w:rPr>
        <w:t>Finanšu ministre</w:t>
      </w:r>
      <w:r w:rsidRPr="000A578D">
        <w:rPr>
          <w:rFonts w:ascii="Times New Roman" w:hAnsi="Times New Roman" w:cs="Times New Roman"/>
          <w:sz w:val="24"/>
          <w:szCs w:val="24"/>
        </w:rPr>
        <w:tab/>
        <w:t>D. Reizniece-Ozola</w:t>
      </w:r>
    </w:p>
    <w:p w:rsidR="00171D1C" w:rsidRDefault="00171D1C" w:rsidP="00171D1C">
      <w:pPr>
        <w:tabs>
          <w:tab w:val="right" w:pos="8931"/>
        </w:tabs>
        <w:spacing w:before="120" w:after="120" w:line="240" w:lineRule="auto"/>
        <w:rPr>
          <w:rFonts w:ascii="Times New Roman" w:hAnsi="Times New Roman" w:cs="Times New Roman"/>
          <w:sz w:val="24"/>
          <w:szCs w:val="24"/>
        </w:rPr>
      </w:pPr>
    </w:p>
    <w:p w:rsidR="006E2A9A" w:rsidRDefault="006E2A9A" w:rsidP="00171D1C">
      <w:pPr>
        <w:spacing w:after="0" w:line="240" w:lineRule="auto"/>
        <w:jc w:val="both"/>
        <w:rPr>
          <w:rFonts w:ascii="Times New Roman" w:hAnsi="Times New Roman" w:cs="Times New Roman"/>
          <w:sz w:val="20"/>
          <w:szCs w:val="20"/>
        </w:rPr>
      </w:pPr>
    </w:p>
    <w:p w:rsidR="006E2A9A" w:rsidRDefault="006E2A9A" w:rsidP="00171D1C">
      <w:pPr>
        <w:spacing w:after="0" w:line="240" w:lineRule="auto"/>
        <w:jc w:val="both"/>
        <w:rPr>
          <w:rFonts w:ascii="Times New Roman" w:hAnsi="Times New Roman" w:cs="Times New Roman"/>
          <w:sz w:val="20"/>
          <w:szCs w:val="20"/>
        </w:rPr>
      </w:pPr>
    </w:p>
    <w:p w:rsidR="006E2A9A" w:rsidRDefault="006E2A9A" w:rsidP="00171D1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bookmarkStart w:id="1" w:name="_GoBack"/>
      <w:bookmarkEnd w:id="1"/>
      <w:r w:rsidRPr="006E2A9A">
        <w:rPr>
          <w:rFonts w:ascii="Times New Roman" w:hAnsi="Times New Roman" w:cs="Times New Roman"/>
          <w:sz w:val="20"/>
          <w:szCs w:val="20"/>
        </w:rPr>
        <w:t>.12.2016 14:37</w:t>
      </w:r>
    </w:p>
    <w:p w:rsidR="00171D1C" w:rsidRDefault="00171D1C" w:rsidP="00171D1C">
      <w:pPr>
        <w:spacing w:after="0" w:line="240" w:lineRule="auto"/>
        <w:jc w:val="both"/>
        <w:rPr>
          <w:rFonts w:ascii="Times New Roman" w:hAnsi="Times New Roman" w:cs="Times New Roman"/>
          <w:sz w:val="20"/>
          <w:szCs w:val="20"/>
        </w:rPr>
      </w:pPr>
      <w:r w:rsidRPr="005B0C27">
        <w:rPr>
          <w:rFonts w:ascii="Times New Roman" w:hAnsi="Times New Roman" w:cs="Times New Roman"/>
          <w:sz w:val="20"/>
          <w:szCs w:val="20"/>
        </w:rPr>
        <w:t xml:space="preserve">M. Markevica </w:t>
      </w:r>
    </w:p>
    <w:p w:rsidR="00171D1C" w:rsidRDefault="00171D1C" w:rsidP="00171D1C">
      <w:pPr>
        <w:spacing w:after="0" w:line="240" w:lineRule="auto"/>
        <w:jc w:val="both"/>
      </w:pPr>
      <w:r w:rsidRPr="005B0C27">
        <w:rPr>
          <w:rFonts w:ascii="Times New Roman" w:hAnsi="Times New Roman" w:cs="Times New Roman"/>
          <w:sz w:val="20"/>
          <w:szCs w:val="20"/>
        </w:rPr>
        <w:t>Tālr. 67095681,</w:t>
      </w:r>
      <w:r>
        <w:rPr>
          <w:rFonts w:ascii="Times New Roman" w:hAnsi="Times New Roman" w:cs="Times New Roman"/>
          <w:sz w:val="20"/>
          <w:szCs w:val="20"/>
        </w:rPr>
        <w:t xml:space="preserve"> </w:t>
      </w:r>
      <w:hyperlink r:id="rId7" w:history="1">
        <w:r w:rsidR="00727C9F" w:rsidRPr="00352FD8">
          <w:rPr>
            <w:rStyle w:val="Hyperlink"/>
            <w:rFonts w:ascii="Times New Roman" w:hAnsi="Times New Roman" w:cs="Times New Roman"/>
            <w:sz w:val="20"/>
            <w:szCs w:val="20"/>
          </w:rPr>
          <w:t>Marita.Markevica@fm.gov.lv</w:t>
        </w:r>
      </w:hyperlink>
      <w:r w:rsidR="00727C9F">
        <w:rPr>
          <w:rFonts w:ascii="Times New Roman" w:hAnsi="Times New Roman" w:cs="Times New Roman"/>
          <w:sz w:val="20"/>
          <w:szCs w:val="20"/>
        </w:rPr>
        <w:t xml:space="preserve"> </w:t>
      </w:r>
    </w:p>
    <w:p w:rsidR="00171D1C" w:rsidRDefault="00171D1C" w:rsidP="00171D1C">
      <w:pPr>
        <w:tabs>
          <w:tab w:val="right" w:pos="8931"/>
        </w:tabs>
        <w:spacing w:before="120" w:after="120" w:line="240" w:lineRule="auto"/>
        <w:rPr>
          <w:rFonts w:ascii="Times New Roman" w:hAnsi="Times New Roman" w:cs="Times New Roman"/>
          <w:sz w:val="24"/>
          <w:szCs w:val="24"/>
        </w:rPr>
      </w:pPr>
    </w:p>
    <w:p w:rsidR="00171D1C" w:rsidRPr="00171D1C" w:rsidRDefault="00171D1C" w:rsidP="00171D1C">
      <w:pPr>
        <w:spacing w:line="240" w:lineRule="auto"/>
        <w:rPr>
          <w:rFonts w:ascii="Times New Roman" w:hAnsi="Times New Roman" w:cs="Times New Roman"/>
        </w:rPr>
      </w:pPr>
    </w:p>
    <w:sectPr w:rsidR="00171D1C" w:rsidRPr="00171D1C" w:rsidSect="00171D1C">
      <w:footerReference w:type="default" r:id="rId8"/>
      <w:pgSz w:w="11906" w:h="16838"/>
      <w:pgMar w:top="1418" w:right="1134" w:bottom="1134" w:left="1701" w:header="709"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814" w:rsidRDefault="00E16814" w:rsidP="00E16814">
      <w:pPr>
        <w:spacing w:after="0" w:line="240" w:lineRule="auto"/>
      </w:pPr>
      <w:r>
        <w:separator/>
      </w:r>
    </w:p>
  </w:endnote>
  <w:endnote w:type="continuationSeparator" w:id="0">
    <w:p w:rsidR="00E16814" w:rsidRDefault="00E16814" w:rsidP="00E1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14" w:rsidRDefault="00E16814" w:rsidP="00E16814">
    <w:pPr>
      <w:pStyle w:val="Header"/>
    </w:pPr>
  </w:p>
  <w:p w:rsidR="00E16814" w:rsidRDefault="00E16814" w:rsidP="00E16814"/>
  <w:p w:rsidR="00E16814" w:rsidRDefault="00E16814" w:rsidP="00E16814">
    <w:pPr>
      <w:pStyle w:val="Footer"/>
    </w:pPr>
  </w:p>
  <w:p w:rsidR="00E16814" w:rsidRDefault="00E16814" w:rsidP="00E16814"/>
  <w:p w:rsidR="00E16814" w:rsidRPr="00E16814" w:rsidRDefault="00171D1C">
    <w:pPr>
      <w:pStyle w:val="Footer"/>
      <w:rPr>
        <w:rFonts w:ascii="Times New Roman" w:hAnsi="Times New Roman" w:cs="Times New Roman"/>
      </w:rPr>
    </w:pPr>
    <w:r>
      <w:rPr>
        <w:rFonts w:ascii="Times New Roman" w:hAnsi="Times New Roman" w:cs="Times New Roman"/>
      </w:rPr>
      <w:t>FMPl</w:t>
    </w:r>
    <w:r w:rsidR="00E16814">
      <w:rPr>
        <w:rFonts w:ascii="Times New Roman" w:hAnsi="Times New Roman" w:cs="Times New Roman"/>
      </w:rPr>
      <w:t>p4</w:t>
    </w:r>
    <w:r w:rsidR="00C46A4F">
      <w:rPr>
        <w:rFonts w:ascii="Times New Roman" w:hAnsi="Times New Roman" w:cs="Times New Roman"/>
      </w:rPr>
      <w:t>_16</w:t>
    </w:r>
    <w:r w:rsidR="00990E0A">
      <w:rPr>
        <w:rFonts w:ascii="Times New Roman" w:hAnsi="Times New Roman" w:cs="Times New Roman"/>
      </w:rPr>
      <w:t>12</w:t>
    </w:r>
    <w:r w:rsidR="00E16814" w:rsidRPr="009D7FB7">
      <w:rPr>
        <w:rFonts w:ascii="Times New Roman" w:hAnsi="Times New Roman" w:cs="Times New Roman"/>
      </w:rPr>
      <w:t>2016_AFCOS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814" w:rsidRDefault="00E16814" w:rsidP="00E16814">
      <w:pPr>
        <w:spacing w:after="0" w:line="240" w:lineRule="auto"/>
      </w:pPr>
      <w:r>
        <w:separator/>
      </w:r>
    </w:p>
  </w:footnote>
  <w:footnote w:type="continuationSeparator" w:id="0">
    <w:p w:rsidR="00E16814" w:rsidRDefault="00E16814" w:rsidP="00E16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F1169"/>
    <w:multiLevelType w:val="hybridMultilevel"/>
    <w:tmpl w:val="9C4C9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43"/>
    <w:rsid w:val="00007986"/>
    <w:rsid w:val="00055208"/>
    <w:rsid w:val="00055D12"/>
    <w:rsid w:val="000632DB"/>
    <w:rsid w:val="00171D1C"/>
    <w:rsid w:val="001F0279"/>
    <w:rsid w:val="001F4987"/>
    <w:rsid w:val="001F6E91"/>
    <w:rsid w:val="0022518D"/>
    <w:rsid w:val="00322322"/>
    <w:rsid w:val="0037091C"/>
    <w:rsid w:val="00463C20"/>
    <w:rsid w:val="005055A7"/>
    <w:rsid w:val="005E3E14"/>
    <w:rsid w:val="00682F23"/>
    <w:rsid w:val="00692B34"/>
    <w:rsid w:val="006D5083"/>
    <w:rsid w:val="006E2A9A"/>
    <w:rsid w:val="00727C9F"/>
    <w:rsid w:val="00990E0A"/>
    <w:rsid w:val="009B27D7"/>
    <w:rsid w:val="00A0449A"/>
    <w:rsid w:val="00B4476B"/>
    <w:rsid w:val="00B67F43"/>
    <w:rsid w:val="00C46A4F"/>
    <w:rsid w:val="00E16814"/>
    <w:rsid w:val="00E84AE0"/>
    <w:rsid w:val="00ED595E"/>
    <w:rsid w:val="00F12989"/>
    <w:rsid w:val="00F20A30"/>
    <w:rsid w:val="00F445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3D16E5C-82FB-468F-B945-AFFF012C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F43"/>
    <w:rPr>
      <w:rFonts w:eastAsiaTheme="minorEastAsia"/>
    </w:rPr>
  </w:style>
  <w:style w:type="paragraph" w:styleId="Heading2">
    <w:name w:val="heading 2"/>
    <w:basedOn w:val="Normal"/>
    <w:next w:val="Normal"/>
    <w:link w:val="Heading2Char"/>
    <w:uiPriority w:val="9"/>
    <w:unhideWhenUsed/>
    <w:qFormat/>
    <w:rsid w:val="00B67F43"/>
    <w:pPr>
      <w:keepNext/>
      <w:keepLines/>
      <w:spacing w:before="120" w:after="0" w:line="240" w:lineRule="auto"/>
      <w:outlineLvl w:val="1"/>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F43"/>
    <w:rPr>
      <w:rFonts w:asciiTheme="majorHAnsi" w:eastAsiaTheme="majorEastAsia" w:hAnsiTheme="majorHAnsi" w:cstheme="majorBidi"/>
      <w:caps/>
      <w:sz w:val="28"/>
      <w:szCs w:val="28"/>
    </w:rPr>
  </w:style>
  <w:style w:type="paragraph" w:styleId="ListParagraph">
    <w:name w:val="List Paragraph"/>
    <w:aliases w:val="Heading 2_sj,List Paragraph1,2,Saraksta rindkopa1"/>
    <w:basedOn w:val="Normal"/>
    <w:link w:val="ListParagraphChar"/>
    <w:uiPriority w:val="99"/>
    <w:qFormat/>
    <w:rsid w:val="00B67F43"/>
    <w:pPr>
      <w:ind w:left="720"/>
      <w:contextualSpacing/>
    </w:pPr>
  </w:style>
  <w:style w:type="table" w:styleId="TableGrid">
    <w:name w:val="Table Grid"/>
    <w:basedOn w:val="TableNormal"/>
    <w:uiPriority w:val="39"/>
    <w:rsid w:val="00B67F4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List Paragraph1 Char,2 Char,Saraksta rindkopa1 Char"/>
    <w:link w:val="ListParagraph"/>
    <w:uiPriority w:val="99"/>
    <w:locked/>
    <w:rsid w:val="00B67F43"/>
    <w:rPr>
      <w:rFonts w:eastAsiaTheme="minorEastAsia"/>
    </w:rPr>
  </w:style>
  <w:style w:type="paragraph" w:styleId="Header">
    <w:name w:val="header"/>
    <w:basedOn w:val="Normal"/>
    <w:link w:val="HeaderChar"/>
    <w:uiPriority w:val="99"/>
    <w:unhideWhenUsed/>
    <w:rsid w:val="00E168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6814"/>
    <w:rPr>
      <w:rFonts w:eastAsiaTheme="minorEastAsia"/>
    </w:rPr>
  </w:style>
  <w:style w:type="paragraph" w:styleId="Footer">
    <w:name w:val="footer"/>
    <w:basedOn w:val="Normal"/>
    <w:link w:val="FooterChar"/>
    <w:uiPriority w:val="99"/>
    <w:unhideWhenUsed/>
    <w:rsid w:val="00E168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6814"/>
    <w:rPr>
      <w:rFonts w:eastAsiaTheme="minorEastAsia"/>
    </w:rPr>
  </w:style>
  <w:style w:type="character" w:styleId="Hyperlink">
    <w:name w:val="Hyperlink"/>
    <w:basedOn w:val="DefaultParagraphFont"/>
    <w:uiPriority w:val="99"/>
    <w:unhideWhenUsed/>
    <w:rsid w:val="00727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ta.Markevica@f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4201</Words>
  <Characters>2396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ES finanšu interešu aizsardzības koordinācijas dienesta (AFCOS) darbības stratēģija un pasākumu plāns 2017.-2019.gadam</vt:lpstr>
    </vt:vector>
  </TitlesOfParts>
  <Manager/>
  <Company>Finanšu ministrija</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finanšu interešu aizsardzības koordinācijas dienesta (AFCOS) darbības stratēģija un pasākumu plāns 2017.-2019.gadam</dc:title>
  <dc:subject>Plāna projekta 4.pielikums</dc:subject>
  <dc:creator>Marita Markevica</dc:creator>
  <cp:keywords/>
  <dc:description>67095681, marita.markevica@fm.gov.lv</dc:description>
  <cp:lastModifiedBy>Marita Markevica</cp:lastModifiedBy>
  <cp:revision>13</cp:revision>
  <dcterms:created xsi:type="dcterms:W3CDTF">2016-11-16T19:43:00Z</dcterms:created>
  <dcterms:modified xsi:type="dcterms:W3CDTF">2016-12-19T12:39:00Z</dcterms:modified>
</cp:coreProperties>
</file>