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2CC0FF" w14:textId="1440378F" w:rsidR="00053B4F" w:rsidRPr="0069459A" w:rsidRDefault="007341CD" w:rsidP="00667EBF">
      <w:pPr>
        <w:spacing w:after="0" w:line="240" w:lineRule="auto"/>
        <w:ind w:left="360" w:right="141"/>
        <w:jc w:val="right"/>
        <w:rPr>
          <w:rFonts w:ascii="Times New Roman" w:hAnsi="Times New Roman" w:cs="Times New Roman"/>
          <w:sz w:val="24"/>
          <w:szCs w:val="24"/>
          <w:lang w:val="lv-LV"/>
        </w:rPr>
      </w:pPr>
      <w:bookmarkStart w:id="0" w:name="_GoBack"/>
      <w:bookmarkEnd w:id="0"/>
      <w:r w:rsidRPr="0069459A">
        <w:rPr>
          <w:rFonts w:ascii="Times New Roman" w:hAnsi="Times New Roman" w:cs="Times New Roman"/>
          <w:sz w:val="24"/>
          <w:szCs w:val="24"/>
          <w:lang w:val="lv-LV"/>
        </w:rPr>
        <w:t>P</w:t>
      </w:r>
      <w:r w:rsidR="00FC0437" w:rsidRPr="0069459A">
        <w:rPr>
          <w:rFonts w:ascii="Times New Roman" w:hAnsi="Times New Roman" w:cs="Times New Roman"/>
          <w:sz w:val="24"/>
          <w:szCs w:val="24"/>
          <w:lang w:val="lv-LV"/>
        </w:rPr>
        <w:t>ielikums</w:t>
      </w:r>
    </w:p>
    <w:p w14:paraId="4EF4BCFE" w14:textId="670887E3" w:rsidR="00053B4F" w:rsidRPr="0069459A" w:rsidRDefault="00053B4F" w:rsidP="00667EBF">
      <w:pPr>
        <w:pStyle w:val="ListParagraph"/>
        <w:spacing w:after="0" w:line="240" w:lineRule="auto"/>
        <w:ind w:right="141"/>
        <w:jc w:val="right"/>
        <w:rPr>
          <w:rFonts w:ascii="Times New Roman" w:hAnsi="Times New Roman" w:cs="Times New Roman"/>
          <w:sz w:val="24"/>
          <w:szCs w:val="24"/>
          <w:lang w:val="lv-LV"/>
        </w:rPr>
      </w:pPr>
      <w:r w:rsidRPr="0069459A">
        <w:rPr>
          <w:rFonts w:ascii="Times New Roman" w:hAnsi="Times New Roman" w:cs="Times New Roman"/>
          <w:sz w:val="24"/>
          <w:szCs w:val="24"/>
          <w:lang w:val="lv-LV"/>
        </w:rPr>
        <w:t xml:space="preserve">Informatīvajam ziņojumam </w:t>
      </w:r>
    </w:p>
    <w:p w14:paraId="1E034B9F" w14:textId="77777777" w:rsidR="00053B4F" w:rsidRPr="0069459A" w:rsidRDefault="00053B4F" w:rsidP="00667EBF">
      <w:pPr>
        <w:pStyle w:val="ListParagraph"/>
        <w:spacing w:after="0" w:line="240" w:lineRule="auto"/>
        <w:ind w:right="141"/>
        <w:jc w:val="right"/>
        <w:rPr>
          <w:rFonts w:ascii="Times New Roman" w:hAnsi="Times New Roman" w:cs="Times New Roman"/>
          <w:sz w:val="24"/>
          <w:szCs w:val="24"/>
          <w:lang w:val="lv-LV"/>
        </w:rPr>
      </w:pPr>
      <w:r w:rsidRPr="0069459A">
        <w:rPr>
          <w:rFonts w:ascii="Times New Roman" w:hAnsi="Times New Roman" w:cs="Times New Roman"/>
          <w:sz w:val="24"/>
          <w:szCs w:val="24"/>
          <w:lang w:val="lv-LV"/>
        </w:rPr>
        <w:t xml:space="preserve">„Par Starptautiskā Valūtas fonda statistikas prasību nodrošināšanu </w:t>
      </w:r>
    </w:p>
    <w:p w14:paraId="7F78C316" w14:textId="77777777" w:rsidR="00053B4F" w:rsidRPr="0069459A" w:rsidRDefault="00053B4F" w:rsidP="00667EBF">
      <w:pPr>
        <w:pStyle w:val="ListParagraph"/>
        <w:spacing w:after="0" w:line="240" w:lineRule="auto"/>
        <w:ind w:right="141"/>
        <w:jc w:val="right"/>
        <w:rPr>
          <w:rFonts w:ascii="Times New Roman" w:hAnsi="Times New Roman" w:cs="Times New Roman"/>
          <w:sz w:val="24"/>
          <w:szCs w:val="24"/>
          <w:lang w:val="lv-LV"/>
        </w:rPr>
      </w:pPr>
      <w:r w:rsidRPr="0069459A">
        <w:rPr>
          <w:rFonts w:ascii="Times New Roman" w:hAnsi="Times New Roman" w:cs="Times New Roman"/>
          <w:sz w:val="24"/>
          <w:szCs w:val="24"/>
          <w:lang w:val="lv-LV"/>
        </w:rPr>
        <w:t>atbilstoši speciālajiem datu izplatīšanas standartiem”</w:t>
      </w:r>
    </w:p>
    <w:p w14:paraId="642A9A46" w14:textId="28BFFB90" w:rsidR="00FC0437" w:rsidRPr="0069459A" w:rsidRDefault="00294678" w:rsidP="00DB525A">
      <w:pPr>
        <w:spacing w:after="0" w:line="240" w:lineRule="auto"/>
        <w:jc w:val="center"/>
        <w:rPr>
          <w:rFonts w:ascii="Times New Roman" w:hAnsi="Times New Roman" w:cs="Times New Roman"/>
          <w:b/>
          <w:sz w:val="24"/>
          <w:szCs w:val="24"/>
          <w:lang w:val="lv-LV"/>
        </w:rPr>
      </w:pPr>
      <w:r w:rsidRPr="0069459A">
        <w:rPr>
          <w:rFonts w:ascii="Times New Roman" w:hAnsi="Times New Roman" w:cs="Times New Roman"/>
          <w:b/>
          <w:sz w:val="24"/>
          <w:szCs w:val="24"/>
          <w:lang w:val="lv-LV"/>
        </w:rPr>
        <w:t>SDIS un SDIS Plus datu kategoriju</w:t>
      </w:r>
      <w:r w:rsidR="00E567A4" w:rsidRPr="0069459A">
        <w:rPr>
          <w:rFonts w:ascii="Times New Roman" w:hAnsi="Times New Roman" w:cs="Times New Roman"/>
          <w:b/>
          <w:sz w:val="24"/>
          <w:szCs w:val="24"/>
          <w:vertAlign w:val="superscript"/>
          <w:lang w:val="lv-LV"/>
        </w:rPr>
        <w:t>1</w:t>
      </w:r>
      <w:r w:rsidR="00E567A4" w:rsidRPr="0069459A">
        <w:rPr>
          <w:rFonts w:ascii="Times New Roman" w:hAnsi="Times New Roman" w:cs="Times New Roman"/>
          <w:b/>
          <w:sz w:val="24"/>
          <w:szCs w:val="24"/>
          <w:lang w:val="lv-LV"/>
        </w:rPr>
        <w:t xml:space="preserve"> </w:t>
      </w:r>
      <w:r w:rsidRPr="0069459A">
        <w:rPr>
          <w:rFonts w:ascii="Times New Roman" w:hAnsi="Times New Roman" w:cs="Times New Roman"/>
          <w:b/>
          <w:sz w:val="24"/>
          <w:szCs w:val="24"/>
          <w:lang w:val="lv-LV"/>
        </w:rPr>
        <w:t>atbildības sadalījums</w:t>
      </w:r>
      <w:r w:rsidR="009D4366" w:rsidRPr="0069459A">
        <w:rPr>
          <w:rFonts w:ascii="Times New Roman" w:hAnsi="Times New Roman" w:cs="Times New Roman"/>
          <w:b/>
          <w:sz w:val="24"/>
          <w:szCs w:val="24"/>
          <w:lang w:val="lv-LV"/>
        </w:rPr>
        <w:t xml:space="preserve"> </w:t>
      </w:r>
      <w:r w:rsidR="00053B4F" w:rsidRPr="0069459A">
        <w:rPr>
          <w:rFonts w:ascii="Times New Roman" w:hAnsi="Times New Roman" w:cs="Times New Roman"/>
          <w:b/>
          <w:sz w:val="24"/>
          <w:szCs w:val="24"/>
          <w:lang w:val="lv-LV"/>
        </w:rPr>
        <w:t>Latvijas Republikā</w:t>
      </w:r>
    </w:p>
    <w:tbl>
      <w:tblPr>
        <w:tblStyle w:val="TableGrid"/>
        <w:tblW w:w="9693" w:type="dxa"/>
        <w:tblLayout w:type="fixed"/>
        <w:tblLook w:val="04A0" w:firstRow="1" w:lastRow="0" w:firstColumn="1" w:lastColumn="0" w:noHBand="0" w:noVBand="1"/>
      </w:tblPr>
      <w:tblGrid>
        <w:gridCol w:w="675"/>
        <w:gridCol w:w="5812"/>
        <w:gridCol w:w="1559"/>
        <w:gridCol w:w="1647"/>
      </w:tblGrid>
      <w:tr w:rsidR="00877455" w:rsidRPr="0069459A" w14:paraId="2D7036CD" w14:textId="77777777" w:rsidTr="001D0426">
        <w:trPr>
          <w:tblHeader/>
        </w:trPr>
        <w:tc>
          <w:tcPr>
            <w:tcW w:w="675" w:type="dxa"/>
            <w:vAlign w:val="center"/>
          </w:tcPr>
          <w:p w14:paraId="6B6F4D68" w14:textId="77777777" w:rsidR="00877455" w:rsidRPr="0069459A" w:rsidRDefault="00877455" w:rsidP="00E34C90">
            <w:pPr>
              <w:rPr>
                <w:rFonts w:ascii="Times New Roman" w:hAnsi="Times New Roman" w:cs="Times New Roman"/>
                <w:sz w:val="24"/>
                <w:szCs w:val="24"/>
                <w:lang w:val="lv-LV"/>
              </w:rPr>
            </w:pPr>
            <w:r w:rsidRPr="0069459A">
              <w:rPr>
                <w:rFonts w:ascii="Times New Roman" w:hAnsi="Times New Roman" w:cs="Times New Roman"/>
                <w:sz w:val="24"/>
                <w:szCs w:val="24"/>
                <w:lang w:val="lv-LV"/>
              </w:rPr>
              <w:t>Nr. p.k.</w:t>
            </w:r>
          </w:p>
        </w:tc>
        <w:tc>
          <w:tcPr>
            <w:tcW w:w="5812" w:type="dxa"/>
            <w:vAlign w:val="center"/>
          </w:tcPr>
          <w:p w14:paraId="27F96DB8" w14:textId="77777777" w:rsidR="00877455" w:rsidRPr="0069459A" w:rsidRDefault="00877455" w:rsidP="00E34C90">
            <w:pPr>
              <w:rPr>
                <w:rFonts w:ascii="Times New Roman" w:hAnsi="Times New Roman" w:cs="Times New Roman"/>
                <w:sz w:val="24"/>
                <w:szCs w:val="24"/>
                <w:lang w:val="lv-LV"/>
              </w:rPr>
            </w:pPr>
            <w:r w:rsidRPr="0069459A">
              <w:rPr>
                <w:rFonts w:ascii="Times New Roman" w:hAnsi="Times New Roman" w:cs="Times New Roman"/>
                <w:sz w:val="24"/>
                <w:szCs w:val="24"/>
                <w:lang w:val="lv-LV"/>
              </w:rPr>
              <w:t xml:space="preserve">Datu kategorijas nosaukums </w:t>
            </w:r>
          </w:p>
        </w:tc>
        <w:tc>
          <w:tcPr>
            <w:tcW w:w="1559" w:type="dxa"/>
            <w:vAlign w:val="center"/>
          </w:tcPr>
          <w:p w14:paraId="26F2E4B7" w14:textId="77777777" w:rsidR="00877455" w:rsidRPr="0069459A" w:rsidRDefault="00877455" w:rsidP="00E34C90">
            <w:pPr>
              <w:rPr>
                <w:rFonts w:ascii="Times New Roman" w:hAnsi="Times New Roman" w:cs="Times New Roman"/>
                <w:sz w:val="24"/>
                <w:szCs w:val="24"/>
                <w:lang w:val="lv-LV"/>
              </w:rPr>
            </w:pPr>
            <w:r w:rsidRPr="0069459A">
              <w:rPr>
                <w:rFonts w:ascii="Times New Roman" w:hAnsi="Times New Roman" w:cs="Times New Roman"/>
                <w:sz w:val="24"/>
                <w:szCs w:val="24"/>
                <w:lang w:val="lv-LV"/>
              </w:rPr>
              <w:t>Standarts</w:t>
            </w:r>
          </w:p>
        </w:tc>
        <w:tc>
          <w:tcPr>
            <w:tcW w:w="1647" w:type="dxa"/>
            <w:vAlign w:val="center"/>
          </w:tcPr>
          <w:p w14:paraId="4F3D1526" w14:textId="77777777" w:rsidR="00877455" w:rsidRPr="0069459A" w:rsidRDefault="00877455" w:rsidP="00E34C90">
            <w:pPr>
              <w:rPr>
                <w:rFonts w:ascii="Times New Roman" w:hAnsi="Times New Roman" w:cs="Times New Roman"/>
                <w:sz w:val="24"/>
                <w:szCs w:val="24"/>
                <w:lang w:val="lv-LV"/>
              </w:rPr>
            </w:pPr>
            <w:r w:rsidRPr="0069459A">
              <w:rPr>
                <w:rFonts w:ascii="Times New Roman" w:hAnsi="Times New Roman" w:cs="Times New Roman"/>
                <w:sz w:val="24"/>
                <w:szCs w:val="24"/>
                <w:lang w:val="lv-LV"/>
              </w:rPr>
              <w:t>Atbildīgā institūcija</w:t>
            </w:r>
          </w:p>
        </w:tc>
      </w:tr>
      <w:tr w:rsidR="00877455" w:rsidRPr="0069459A" w14:paraId="447A3C55" w14:textId="77777777" w:rsidTr="00E46B23">
        <w:tc>
          <w:tcPr>
            <w:tcW w:w="9693" w:type="dxa"/>
            <w:gridSpan w:val="4"/>
            <w:vAlign w:val="center"/>
          </w:tcPr>
          <w:p w14:paraId="60CB982D" w14:textId="77777777" w:rsidR="00877455" w:rsidRPr="0069459A" w:rsidRDefault="00877455" w:rsidP="00877455">
            <w:pPr>
              <w:rPr>
                <w:rFonts w:ascii="Times New Roman" w:hAnsi="Times New Roman" w:cs="Times New Roman"/>
                <w:b/>
                <w:caps/>
                <w:sz w:val="24"/>
                <w:szCs w:val="24"/>
                <w:lang w:val="lv-LV"/>
              </w:rPr>
            </w:pPr>
            <w:r w:rsidRPr="0069459A">
              <w:rPr>
                <w:rFonts w:ascii="Times New Roman" w:hAnsi="Times New Roman" w:cs="Times New Roman"/>
                <w:b/>
                <w:caps/>
                <w:sz w:val="24"/>
                <w:szCs w:val="24"/>
                <w:lang w:val="lv-LV"/>
              </w:rPr>
              <w:t xml:space="preserve">Reālais sektors </w:t>
            </w:r>
          </w:p>
          <w:p w14:paraId="05C721EB" w14:textId="7D99D02F" w:rsidR="00877455" w:rsidRPr="0069459A" w:rsidRDefault="00877455" w:rsidP="00E34C90">
            <w:pPr>
              <w:rPr>
                <w:rFonts w:ascii="Times New Roman" w:hAnsi="Times New Roman" w:cs="Times New Roman"/>
                <w:sz w:val="24"/>
                <w:szCs w:val="24"/>
                <w:lang w:val="lv-LV"/>
              </w:rPr>
            </w:pPr>
            <w:r w:rsidRPr="0069459A">
              <w:rPr>
                <w:rFonts w:ascii="Times New Roman" w:hAnsi="Times New Roman" w:cs="Times New Roman"/>
                <w:b/>
                <w:caps/>
                <w:sz w:val="24"/>
                <w:szCs w:val="24"/>
                <w:lang w:val="lv-LV"/>
              </w:rPr>
              <w:t>(</w:t>
            </w:r>
            <w:r w:rsidRPr="0069459A">
              <w:rPr>
                <w:rFonts w:ascii="Times New Roman" w:hAnsi="Times New Roman" w:cs="Times New Roman"/>
                <w:b/>
                <w:i/>
                <w:caps/>
                <w:sz w:val="24"/>
                <w:szCs w:val="24"/>
                <w:lang w:val="lv-LV"/>
              </w:rPr>
              <w:t>Real sector</w:t>
            </w:r>
            <w:r w:rsidRPr="0069459A">
              <w:rPr>
                <w:rFonts w:ascii="Times New Roman" w:hAnsi="Times New Roman" w:cs="Times New Roman"/>
                <w:b/>
                <w:caps/>
                <w:sz w:val="24"/>
                <w:szCs w:val="24"/>
                <w:lang w:val="lv-LV"/>
              </w:rPr>
              <w:t>)</w:t>
            </w:r>
          </w:p>
        </w:tc>
      </w:tr>
      <w:tr w:rsidR="00877455" w:rsidRPr="0069459A" w14:paraId="0A87EF0D" w14:textId="77777777" w:rsidTr="00A66ACE">
        <w:tc>
          <w:tcPr>
            <w:tcW w:w="675" w:type="dxa"/>
          </w:tcPr>
          <w:p w14:paraId="4A6D8260" w14:textId="77777777"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1.</w:t>
            </w:r>
          </w:p>
        </w:tc>
        <w:tc>
          <w:tcPr>
            <w:tcW w:w="5812" w:type="dxa"/>
          </w:tcPr>
          <w:p w14:paraId="6C0A2FE5" w14:textId="2CE16B3C" w:rsidR="00877455" w:rsidRPr="0069459A" w:rsidRDefault="00877455" w:rsidP="00702512">
            <w:pPr>
              <w:rPr>
                <w:rFonts w:ascii="Times New Roman" w:eastAsia="Times New Roman" w:hAnsi="Times New Roman" w:cs="Times New Roman"/>
                <w:color w:val="000000"/>
                <w:sz w:val="24"/>
                <w:szCs w:val="24"/>
                <w:lang w:val="lv-LV" w:eastAsia="lv-LV"/>
              </w:rPr>
            </w:pPr>
            <w:r w:rsidRPr="0069459A">
              <w:rPr>
                <w:rFonts w:ascii="Times New Roman" w:eastAsia="Times New Roman" w:hAnsi="Times New Roman" w:cs="Times New Roman"/>
                <w:color w:val="000000"/>
                <w:sz w:val="24"/>
                <w:szCs w:val="24"/>
                <w:lang w:val="lv-LV" w:eastAsia="lv-LV"/>
              </w:rPr>
              <w:t xml:space="preserve">Nacionālie konti </w:t>
            </w:r>
          </w:p>
          <w:p w14:paraId="662F6F98" w14:textId="15DD8568" w:rsidR="00877455" w:rsidRPr="0069459A" w:rsidRDefault="00877455" w:rsidP="0043318A">
            <w:pPr>
              <w:rPr>
                <w:rFonts w:ascii="Times New Roman" w:eastAsia="Times New Roman" w:hAnsi="Times New Roman" w:cs="Times New Roman"/>
                <w:color w:val="000000"/>
                <w:sz w:val="24"/>
                <w:szCs w:val="24"/>
                <w:lang w:val="lv-LV" w:eastAsia="lv-LV"/>
              </w:rPr>
            </w:pPr>
            <w:r w:rsidRPr="0069459A">
              <w:rPr>
                <w:rFonts w:ascii="Times New Roman" w:eastAsia="Times New Roman" w:hAnsi="Times New Roman" w:cs="Times New Roman"/>
                <w:color w:val="000000"/>
                <w:sz w:val="24"/>
                <w:szCs w:val="24"/>
                <w:lang w:val="lv-LV" w:eastAsia="lv-LV"/>
              </w:rPr>
              <w:t>(</w:t>
            </w:r>
            <w:proofErr w:type="spellStart"/>
            <w:r w:rsidRPr="0069459A">
              <w:rPr>
                <w:rFonts w:ascii="Times New Roman" w:eastAsia="Times New Roman" w:hAnsi="Times New Roman" w:cs="Times New Roman"/>
                <w:i/>
                <w:color w:val="000000"/>
                <w:sz w:val="24"/>
                <w:szCs w:val="24"/>
                <w:lang w:val="lv-LV" w:eastAsia="lv-LV"/>
              </w:rPr>
              <w:t>National</w:t>
            </w:r>
            <w:proofErr w:type="spellEnd"/>
            <w:r w:rsidRPr="0069459A">
              <w:rPr>
                <w:rFonts w:ascii="Times New Roman" w:eastAsia="Times New Roman" w:hAnsi="Times New Roman" w:cs="Times New Roman"/>
                <w:i/>
                <w:color w:val="000000"/>
                <w:sz w:val="24"/>
                <w:szCs w:val="24"/>
                <w:lang w:val="lv-LV" w:eastAsia="lv-LV"/>
              </w:rPr>
              <w:t xml:space="preserve"> </w:t>
            </w:r>
            <w:proofErr w:type="spellStart"/>
            <w:r w:rsidRPr="0069459A">
              <w:rPr>
                <w:rFonts w:ascii="Times New Roman" w:eastAsia="Times New Roman" w:hAnsi="Times New Roman" w:cs="Times New Roman"/>
                <w:i/>
                <w:color w:val="000000"/>
                <w:sz w:val="24"/>
                <w:szCs w:val="24"/>
                <w:lang w:val="lv-LV" w:eastAsia="lv-LV"/>
              </w:rPr>
              <w:t>Accounts</w:t>
            </w:r>
            <w:proofErr w:type="spellEnd"/>
            <w:r w:rsidRPr="0069459A">
              <w:rPr>
                <w:rFonts w:ascii="Times New Roman" w:eastAsia="Times New Roman" w:hAnsi="Times New Roman" w:cs="Times New Roman"/>
                <w:color w:val="000000"/>
                <w:sz w:val="24"/>
                <w:szCs w:val="24"/>
                <w:lang w:val="lv-LV" w:eastAsia="lv-LV"/>
              </w:rPr>
              <w:t>)</w:t>
            </w:r>
          </w:p>
        </w:tc>
        <w:tc>
          <w:tcPr>
            <w:tcW w:w="1559" w:type="dxa"/>
          </w:tcPr>
          <w:p w14:paraId="44D90870" w14:textId="2A67B611" w:rsidR="00877455" w:rsidRPr="0069459A" w:rsidRDefault="00877455" w:rsidP="00D66335">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Pr="0069459A">
              <w:rPr>
                <w:rFonts w:ascii="Times New Roman" w:hAnsi="Times New Roman" w:cs="Times New Roman"/>
                <w:sz w:val="20"/>
                <w:szCs w:val="20"/>
                <w:vertAlign w:val="superscript"/>
                <w:lang w:val="lv-LV"/>
              </w:rPr>
              <w:t>2</w:t>
            </w:r>
          </w:p>
        </w:tc>
        <w:tc>
          <w:tcPr>
            <w:tcW w:w="1647" w:type="dxa"/>
          </w:tcPr>
          <w:p w14:paraId="552591F2" w14:textId="77777777"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CSP</w:t>
            </w:r>
          </w:p>
        </w:tc>
      </w:tr>
      <w:tr w:rsidR="00877455" w:rsidRPr="0069459A" w14:paraId="1564A951" w14:textId="77777777" w:rsidTr="00A66ACE">
        <w:tc>
          <w:tcPr>
            <w:tcW w:w="675" w:type="dxa"/>
          </w:tcPr>
          <w:p w14:paraId="1BEA6C50" w14:textId="77777777"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2.</w:t>
            </w:r>
          </w:p>
        </w:tc>
        <w:tc>
          <w:tcPr>
            <w:tcW w:w="5812" w:type="dxa"/>
          </w:tcPr>
          <w:p w14:paraId="6A0A339D" w14:textId="77777777" w:rsidR="00877455" w:rsidRPr="0069459A" w:rsidRDefault="00877455" w:rsidP="00702512">
            <w:pPr>
              <w:rPr>
                <w:rFonts w:ascii="Times New Roman" w:eastAsia="Times New Roman" w:hAnsi="Times New Roman" w:cs="Times New Roman"/>
                <w:i/>
                <w:color w:val="000000"/>
                <w:sz w:val="24"/>
                <w:szCs w:val="24"/>
                <w:lang w:val="lv-LV" w:eastAsia="lv-LV"/>
              </w:rPr>
            </w:pPr>
            <w:r w:rsidRPr="0069459A">
              <w:rPr>
                <w:rFonts w:ascii="Times New Roman" w:eastAsia="Times New Roman" w:hAnsi="Times New Roman" w:cs="Times New Roman"/>
                <w:color w:val="000000"/>
                <w:sz w:val="24"/>
                <w:szCs w:val="24"/>
                <w:lang w:val="lv-LV" w:eastAsia="lv-LV"/>
              </w:rPr>
              <w:t>Institucionālo sektoru bilances</w:t>
            </w:r>
            <w:r w:rsidRPr="0069459A">
              <w:rPr>
                <w:rFonts w:ascii="Times New Roman" w:eastAsia="Times New Roman" w:hAnsi="Times New Roman" w:cs="Times New Roman"/>
                <w:i/>
                <w:color w:val="000000"/>
                <w:sz w:val="24"/>
                <w:szCs w:val="24"/>
                <w:lang w:val="lv-LV" w:eastAsia="lv-LV"/>
              </w:rPr>
              <w:t xml:space="preserve"> </w:t>
            </w:r>
          </w:p>
          <w:p w14:paraId="0B4A0172" w14:textId="5DDC5DE0" w:rsidR="00877455" w:rsidRPr="0069459A" w:rsidRDefault="00877455" w:rsidP="00702512">
            <w:pPr>
              <w:rPr>
                <w:rFonts w:ascii="Times New Roman" w:eastAsia="Times New Roman" w:hAnsi="Times New Roman" w:cs="Times New Roman"/>
                <w:color w:val="000000"/>
                <w:sz w:val="24"/>
                <w:szCs w:val="24"/>
                <w:lang w:val="lv-LV" w:eastAsia="lv-LV"/>
              </w:rPr>
            </w:pPr>
            <w:r w:rsidRPr="0069459A">
              <w:rPr>
                <w:rFonts w:ascii="Times New Roman" w:eastAsia="Times New Roman" w:hAnsi="Times New Roman" w:cs="Times New Roman"/>
                <w:color w:val="000000"/>
                <w:sz w:val="24"/>
                <w:szCs w:val="24"/>
                <w:lang w:val="lv-LV" w:eastAsia="lv-LV"/>
              </w:rPr>
              <w:t>(</w:t>
            </w:r>
            <w:proofErr w:type="spellStart"/>
            <w:r w:rsidRPr="0069459A">
              <w:rPr>
                <w:rFonts w:ascii="Times New Roman" w:eastAsia="Times New Roman" w:hAnsi="Times New Roman" w:cs="Times New Roman"/>
                <w:i/>
                <w:color w:val="000000"/>
                <w:sz w:val="24"/>
                <w:szCs w:val="24"/>
                <w:lang w:val="lv-LV" w:eastAsia="lv-LV"/>
              </w:rPr>
              <w:t>Sectoral</w:t>
            </w:r>
            <w:proofErr w:type="spellEnd"/>
            <w:r w:rsidRPr="0069459A">
              <w:rPr>
                <w:rFonts w:ascii="Times New Roman" w:eastAsia="Times New Roman" w:hAnsi="Times New Roman" w:cs="Times New Roman"/>
                <w:i/>
                <w:color w:val="000000"/>
                <w:sz w:val="24"/>
                <w:szCs w:val="24"/>
                <w:lang w:val="lv-LV" w:eastAsia="lv-LV"/>
              </w:rPr>
              <w:t xml:space="preserve"> </w:t>
            </w:r>
            <w:proofErr w:type="spellStart"/>
            <w:r w:rsidRPr="0069459A">
              <w:rPr>
                <w:rFonts w:ascii="Times New Roman" w:eastAsia="Times New Roman" w:hAnsi="Times New Roman" w:cs="Times New Roman"/>
                <w:i/>
                <w:color w:val="000000"/>
                <w:sz w:val="24"/>
                <w:szCs w:val="24"/>
                <w:lang w:val="lv-LV" w:eastAsia="lv-LV"/>
              </w:rPr>
              <w:t>Balance</w:t>
            </w:r>
            <w:proofErr w:type="spellEnd"/>
            <w:r w:rsidRPr="0069459A">
              <w:rPr>
                <w:rFonts w:ascii="Times New Roman" w:eastAsia="Times New Roman" w:hAnsi="Times New Roman" w:cs="Times New Roman"/>
                <w:i/>
                <w:color w:val="000000"/>
                <w:sz w:val="24"/>
                <w:szCs w:val="24"/>
                <w:lang w:val="lv-LV" w:eastAsia="lv-LV"/>
              </w:rPr>
              <w:t xml:space="preserve"> </w:t>
            </w:r>
            <w:proofErr w:type="spellStart"/>
            <w:r w:rsidRPr="0069459A">
              <w:rPr>
                <w:rFonts w:ascii="Times New Roman" w:eastAsia="Times New Roman" w:hAnsi="Times New Roman" w:cs="Times New Roman"/>
                <w:i/>
                <w:color w:val="000000"/>
                <w:sz w:val="24"/>
                <w:szCs w:val="24"/>
                <w:lang w:val="lv-LV" w:eastAsia="lv-LV"/>
              </w:rPr>
              <w:t>Sheets</w:t>
            </w:r>
            <w:proofErr w:type="spellEnd"/>
            <w:r w:rsidRPr="0069459A">
              <w:rPr>
                <w:rFonts w:ascii="Times New Roman" w:eastAsia="Times New Roman" w:hAnsi="Times New Roman" w:cs="Times New Roman"/>
                <w:color w:val="000000"/>
                <w:sz w:val="24"/>
                <w:szCs w:val="24"/>
                <w:lang w:val="lv-LV" w:eastAsia="lv-LV"/>
              </w:rPr>
              <w:t>)</w:t>
            </w:r>
          </w:p>
        </w:tc>
        <w:tc>
          <w:tcPr>
            <w:tcW w:w="1559" w:type="dxa"/>
          </w:tcPr>
          <w:p w14:paraId="312637B9" w14:textId="7C094C22" w:rsidR="00877455" w:rsidRPr="0069459A" w:rsidRDefault="00877455" w:rsidP="00EE3AA6">
            <w:pPr>
              <w:rPr>
                <w:rFonts w:ascii="Times New Roman" w:hAnsi="Times New Roman" w:cs="Times New Roman"/>
                <w:sz w:val="24"/>
                <w:szCs w:val="24"/>
                <w:lang w:val="lv-LV"/>
              </w:rPr>
            </w:pPr>
            <w:r w:rsidRPr="0069459A">
              <w:rPr>
                <w:rFonts w:ascii="Times New Roman" w:hAnsi="Times New Roman" w:cs="Times New Roman"/>
                <w:sz w:val="24"/>
                <w:szCs w:val="24"/>
                <w:lang w:val="lv-LV"/>
              </w:rPr>
              <w:t>SDIS Plus</w:t>
            </w:r>
            <w:r w:rsidRPr="0069459A">
              <w:rPr>
                <w:rFonts w:ascii="Times New Roman" w:hAnsi="Times New Roman" w:cs="Times New Roman"/>
                <w:sz w:val="24"/>
                <w:szCs w:val="24"/>
                <w:vertAlign w:val="superscript"/>
                <w:lang w:val="lv-LV"/>
              </w:rPr>
              <w:t>3</w:t>
            </w:r>
          </w:p>
        </w:tc>
        <w:tc>
          <w:tcPr>
            <w:tcW w:w="1647" w:type="dxa"/>
          </w:tcPr>
          <w:p w14:paraId="22348EB9" w14:textId="77777777"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LB</w:t>
            </w:r>
          </w:p>
        </w:tc>
      </w:tr>
      <w:tr w:rsidR="00877455" w:rsidRPr="0069459A" w14:paraId="7A624E26" w14:textId="77777777" w:rsidTr="00A66ACE">
        <w:tc>
          <w:tcPr>
            <w:tcW w:w="675" w:type="dxa"/>
          </w:tcPr>
          <w:p w14:paraId="51C033A9" w14:textId="77777777"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3.</w:t>
            </w:r>
          </w:p>
        </w:tc>
        <w:tc>
          <w:tcPr>
            <w:tcW w:w="5812" w:type="dxa"/>
          </w:tcPr>
          <w:p w14:paraId="3639D7EF" w14:textId="77777777" w:rsidR="00877455" w:rsidRPr="0069459A" w:rsidRDefault="00877455" w:rsidP="00702512">
            <w:pPr>
              <w:rPr>
                <w:rFonts w:ascii="Times New Roman" w:hAnsi="Times New Roman" w:cs="Times New Roman"/>
                <w:i/>
                <w:sz w:val="24"/>
                <w:szCs w:val="24"/>
                <w:lang w:val="lv-LV"/>
              </w:rPr>
            </w:pPr>
            <w:r w:rsidRPr="0069459A">
              <w:rPr>
                <w:rFonts w:ascii="Times New Roman" w:hAnsi="Times New Roman" w:cs="Times New Roman"/>
                <w:sz w:val="24"/>
                <w:szCs w:val="24"/>
                <w:lang w:val="lv-LV"/>
              </w:rPr>
              <w:t>Ražošanas indekss</w:t>
            </w:r>
            <w:r w:rsidRPr="0069459A">
              <w:rPr>
                <w:rFonts w:ascii="Times New Roman" w:hAnsi="Times New Roman" w:cs="Times New Roman"/>
                <w:i/>
                <w:sz w:val="24"/>
                <w:szCs w:val="24"/>
                <w:lang w:val="lv-LV"/>
              </w:rPr>
              <w:t xml:space="preserve"> </w:t>
            </w:r>
          </w:p>
          <w:p w14:paraId="558AACD1" w14:textId="246AF4B0"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w:t>
            </w:r>
            <w:proofErr w:type="spellStart"/>
            <w:r w:rsidRPr="0069459A">
              <w:rPr>
                <w:rFonts w:ascii="Times New Roman" w:hAnsi="Times New Roman" w:cs="Times New Roman"/>
                <w:i/>
                <w:sz w:val="24"/>
                <w:szCs w:val="24"/>
                <w:lang w:val="lv-LV"/>
              </w:rPr>
              <w:t>Production</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Index</w:t>
            </w:r>
            <w:proofErr w:type="spellEnd"/>
            <w:r w:rsidRPr="0069459A">
              <w:rPr>
                <w:rFonts w:ascii="Times New Roman" w:hAnsi="Times New Roman" w:cs="Times New Roman"/>
                <w:sz w:val="24"/>
                <w:szCs w:val="24"/>
                <w:lang w:val="lv-LV"/>
              </w:rPr>
              <w:t>)</w:t>
            </w:r>
          </w:p>
        </w:tc>
        <w:tc>
          <w:tcPr>
            <w:tcW w:w="1559" w:type="dxa"/>
          </w:tcPr>
          <w:p w14:paraId="4414A046" w14:textId="1579943A" w:rsidR="00877455" w:rsidRPr="0069459A" w:rsidRDefault="00877455" w:rsidP="00EE3AA6">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Pr="0069459A">
              <w:rPr>
                <w:rFonts w:ascii="Times New Roman" w:hAnsi="Times New Roman" w:cs="Times New Roman"/>
                <w:sz w:val="24"/>
                <w:szCs w:val="24"/>
                <w:vertAlign w:val="superscript"/>
                <w:lang w:val="lv-LV"/>
              </w:rPr>
              <w:t>2</w:t>
            </w:r>
            <w:r w:rsidRPr="0069459A">
              <w:rPr>
                <w:rFonts w:ascii="Times New Roman" w:hAnsi="Times New Roman" w:cs="Times New Roman"/>
                <w:sz w:val="24"/>
                <w:szCs w:val="24"/>
                <w:lang w:val="lv-LV"/>
              </w:rPr>
              <w:t xml:space="preserve"> </w:t>
            </w:r>
          </w:p>
        </w:tc>
        <w:tc>
          <w:tcPr>
            <w:tcW w:w="1647" w:type="dxa"/>
          </w:tcPr>
          <w:p w14:paraId="665568CE" w14:textId="77777777"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CSP</w:t>
            </w:r>
          </w:p>
        </w:tc>
      </w:tr>
      <w:tr w:rsidR="00877455" w:rsidRPr="0069459A" w14:paraId="61019735" w14:textId="77777777" w:rsidTr="00A66ACE">
        <w:tc>
          <w:tcPr>
            <w:tcW w:w="675" w:type="dxa"/>
          </w:tcPr>
          <w:p w14:paraId="285D00D1" w14:textId="77777777"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4.</w:t>
            </w:r>
          </w:p>
        </w:tc>
        <w:tc>
          <w:tcPr>
            <w:tcW w:w="5812" w:type="dxa"/>
          </w:tcPr>
          <w:p w14:paraId="630455A5" w14:textId="77777777" w:rsidR="00877455" w:rsidRPr="0069459A" w:rsidRDefault="00877455" w:rsidP="00702512">
            <w:pPr>
              <w:rPr>
                <w:rFonts w:ascii="Times New Roman" w:eastAsia="Times New Roman" w:hAnsi="Times New Roman" w:cs="Times New Roman"/>
                <w:i/>
                <w:color w:val="000000"/>
                <w:sz w:val="24"/>
                <w:szCs w:val="24"/>
                <w:lang w:val="lv-LV" w:eastAsia="lv-LV"/>
              </w:rPr>
            </w:pPr>
            <w:r w:rsidRPr="0069459A">
              <w:rPr>
                <w:rFonts w:ascii="Times New Roman" w:eastAsia="Times New Roman" w:hAnsi="Times New Roman" w:cs="Times New Roman"/>
                <w:color w:val="000000"/>
                <w:sz w:val="24"/>
                <w:szCs w:val="24"/>
                <w:lang w:val="lv-LV" w:eastAsia="lv-LV"/>
              </w:rPr>
              <w:t>Darba tirgus: nodarbinātība</w:t>
            </w:r>
            <w:r w:rsidRPr="0069459A">
              <w:rPr>
                <w:rFonts w:ascii="Times New Roman" w:eastAsia="Times New Roman" w:hAnsi="Times New Roman" w:cs="Times New Roman"/>
                <w:i/>
                <w:color w:val="000000"/>
                <w:sz w:val="24"/>
                <w:szCs w:val="24"/>
                <w:lang w:val="lv-LV" w:eastAsia="lv-LV"/>
              </w:rPr>
              <w:t xml:space="preserve"> </w:t>
            </w:r>
          </w:p>
          <w:p w14:paraId="12F512E4" w14:textId="641DB70D" w:rsidR="00877455" w:rsidRPr="0069459A" w:rsidRDefault="00877455" w:rsidP="00702512">
            <w:pPr>
              <w:rPr>
                <w:rFonts w:ascii="Times New Roman" w:eastAsia="Times New Roman" w:hAnsi="Times New Roman" w:cs="Times New Roman"/>
                <w:color w:val="000000"/>
                <w:sz w:val="24"/>
                <w:szCs w:val="24"/>
                <w:lang w:val="lv-LV" w:eastAsia="lv-LV"/>
              </w:rPr>
            </w:pPr>
            <w:r w:rsidRPr="0069459A">
              <w:rPr>
                <w:rFonts w:ascii="Times New Roman" w:eastAsia="Times New Roman" w:hAnsi="Times New Roman" w:cs="Times New Roman"/>
                <w:color w:val="000000"/>
                <w:sz w:val="24"/>
                <w:szCs w:val="24"/>
                <w:lang w:val="lv-LV" w:eastAsia="lv-LV"/>
              </w:rPr>
              <w:t>(</w:t>
            </w:r>
            <w:proofErr w:type="spellStart"/>
            <w:r w:rsidRPr="0069459A">
              <w:rPr>
                <w:rFonts w:ascii="Times New Roman" w:eastAsia="Times New Roman" w:hAnsi="Times New Roman" w:cs="Times New Roman"/>
                <w:i/>
                <w:color w:val="000000"/>
                <w:sz w:val="24"/>
                <w:szCs w:val="24"/>
                <w:lang w:val="lv-LV" w:eastAsia="lv-LV"/>
              </w:rPr>
              <w:t>Labour</w:t>
            </w:r>
            <w:proofErr w:type="spellEnd"/>
            <w:r w:rsidRPr="0069459A">
              <w:rPr>
                <w:rFonts w:ascii="Times New Roman" w:eastAsia="Times New Roman" w:hAnsi="Times New Roman" w:cs="Times New Roman"/>
                <w:i/>
                <w:color w:val="000000"/>
                <w:sz w:val="24"/>
                <w:szCs w:val="24"/>
                <w:lang w:val="lv-LV" w:eastAsia="lv-LV"/>
              </w:rPr>
              <w:t xml:space="preserve"> </w:t>
            </w:r>
            <w:proofErr w:type="spellStart"/>
            <w:r w:rsidRPr="0069459A">
              <w:rPr>
                <w:rFonts w:ascii="Times New Roman" w:eastAsia="Times New Roman" w:hAnsi="Times New Roman" w:cs="Times New Roman"/>
                <w:i/>
                <w:color w:val="000000"/>
                <w:sz w:val="24"/>
                <w:szCs w:val="24"/>
                <w:lang w:val="lv-LV" w:eastAsia="lv-LV"/>
              </w:rPr>
              <w:t>market</w:t>
            </w:r>
            <w:proofErr w:type="spellEnd"/>
            <w:r w:rsidRPr="0069459A">
              <w:rPr>
                <w:rFonts w:ascii="Times New Roman" w:eastAsia="Times New Roman" w:hAnsi="Times New Roman" w:cs="Times New Roman"/>
                <w:i/>
                <w:color w:val="000000"/>
                <w:sz w:val="24"/>
                <w:szCs w:val="24"/>
                <w:lang w:val="lv-LV" w:eastAsia="lv-LV"/>
              </w:rPr>
              <w:t xml:space="preserve">: </w:t>
            </w:r>
            <w:proofErr w:type="spellStart"/>
            <w:r w:rsidRPr="0069459A">
              <w:rPr>
                <w:rFonts w:ascii="Times New Roman" w:eastAsia="Times New Roman" w:hAnsi="Times New Roman" w:cs="Times New Roman"/>
                <w:i/>
                <w:color w:val="000000"/>
                <w:sz w:val="24"/>
                <w:szCs w:val="24"/>
                <w:lang w:val="lv-LV" w:eastAsia="lv-LV"/>
              </w:rPr>
              <w:t>Employment</w:t>
            </w:r>
            <w:proofErr w:type="spellEnd"/>
            <w:r w:rsidRPr="0069459A">
              <w:rPr>
                <w:rFonts w:ascii="Times New Roman" w:eastAsia="Times New Roman" w:hAnsi="Times New Roman" w:cs="Times New Roman"/>
                <w:color w:val="000000"/>
                <w:sz w:val="24"/>
                <w:szCs w:val="24"/>
                <w:lang w:val="lv-LV" w:eastAsia="lv-LV"/>
              </w:rPr>
              <w:t>)</w:t>
            </w:r>
          </w:p>
        </w:tc>
        <w:tc>
          <w:tcPr>
            <w:tcW w:w="1559" w:type="dxa"/>
          </w:tcPr>
          <w:p w14:paraId="5EE27ACF" w14:textId="2CB00E97" w:rsidR="00877455" w:rsidRPr="0069459A" w:rsidRDefault="00877455" w:rsidP="00EE3AA6">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Pr="0069459A">
              <w:rPr>
                <w:rFonts w:ascii="Times New Roman" w:hAnsi="Times New Roman" w:cs="Times New Roman"/>
                <w:sz w:val="24"/>
                <w:szCs w:val="24"/>
                <w:vertAlign w:val="superscript"/>
                <w:lang w:val="lv-LV"/>
              </w:rPr>
              <w:t>2</w:t>
            </w:r>
            <w:r w:rsidRPr="0069459A">
              <w:rPr>
                <w:rFonts w:ascii="Times New Roman" w:hAnsi="Times New Roman" w:cs="Times New Roman"/>
                <w:sz w:val="24"/>
                <w:szCs w:val="24"/>
                <w:lang w:val="lv-LV"/>
              </w:rPr>
              <w:t xml:space="preserve"> </w:t>
            </w:r>
          </w:p>
        </w:tc>
        <w:tc>
          <w:tcPr>
            <w:tcW w:w="1647" w:type="dxa"/>
          </w:tcPr>
          <w:p w14:paraId="318E4A11" w14:textId="77777777"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CSP</w:t>
            </w:r>
          </w:p>
        </w:tc>
      </w:tr>
      <w:tr w:rsidR="00877455" w:rsidRPr="0069459A" w14:paraId="1D88BC10" w14:textId="77777777" w:rsidTr="00A66ACE">
        <w:tc>
          <w:tcPr>
            <w:tcW w:w="675" w:type="dxa"/>
          </w:tcPr>
          <w:p w14:paraId="1512A486" w14:textId="77777777"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5.</w:t>
            </w:r>
          </w:p>
        </w:tc>
        <w:tc>
          <w:tcPr>
            <w:tcW w:w="5812" w:type="dxa"/>
          </w:tcPr>
          <w:p w14:paraId="6D2BD061" w14:textId="77777777" w:rsidR="00877455" w:rsidRPr="0069459A" w:rsidRDefault="00877455" w:rsidP="00702512">
            <w:pPr>
              <w:rPr>
                <w:rFonts w:ascii="Times New Roman" w:eastAsia="Times New Roman" w:hAnsi="Times New Roman" w:cs="Times New Roman"/>
                <w:i/>
                <w:color w:val="000000"/>
                <w:sz w:val="24"/>
                <w:szCs w:val="24"/>
                <w:lang w:val="lv-LV" w:eastAsia="lv-LV"/>
              </w:rPr>
            </w:pPr>
            <w:r w:rsidRPr="0069459A">
              <w:rPr>
                <w:rFonts w:ascii="Times New Roman" w:eastAsia="Times New Roman" w:hAnsi="Times New Roman" w:cs="Times New Roman"/>
                <w:color w:val="000000"/>
                <w:sz w:val="24"/>
                <w:szCs w:val="24"/>
                <w:lang w:val="lv-LV" w:eastAsia="lv-LV"/>
              </w:rPr>
              <w:t>Darba tirgus: bezdarbs</w:t>
            </w:r>
            <w:r w:rsidRPr="0069459A">
              <w:rPr>
                <w:rFonts w:ascii="Times New Roman" w:eastAsia="Times New Roman" w:hAnsi="Times New Roman" w:cs="Times New Roman"/>
                <w:i/>
                <w:color w:val="000000"/>
                <w:sz w:val="24"/>
                <w:szCs w:val="24"/>
                <w:lang w:val="lv-LV" w:eastAsia="lv-LV"/>
              </w:rPr>
              <w:t xml:space="preserve"> </w:t>
            </w:r>
          </w:p>
          <w:p w14:paraId="073E5B1C" w14:textId="385698AC" w:rsidR="00877455" w:rsidRPr="0069459A" w:rsidRDefault="00877455" w:rsidP="00702512">
            <w:pPr>
              <w:rPr>
                <w:rFonts w:ascii="Times New Roman" w:eastAsia="Times New Roman" w:hAnsi="Times New Roman" w:cs="Times New Roman"/>
                <w:color w:val="000000"/>
                <w:sz w:val="24"/>
                <w:szCs w:val="24"/>
                <w:lang w:val="lv-LV" w:eastAsia="lv-LV"/>
              </w:rPr>
            </w:pPr>
            <w:r w:rsidRPr="0069459A">
              <w:rPr>
                <w:rFonts w:ascii="Times New Roman" w:eastAsia="Times New Roman" w:hAnsi="Times New Roman" w:cs="Times New Roman"/>
                <w:color w:val="000000"/>
                <w:sz w:val="24"/>
                <w:szCs w:val="24"/>
                <w:lang w:val="lv-LV" w:eastAsia="lv-LV"/>
              </w:rPr>
              <w:t>(</w:t>
            </w:r>
            <w:proofErr w:type="spellStart"/>
            <w:r w:rsidRPr="0069459A">
              <w:rPr>
                <w:rFonts w:ascii="Times New Roman" w:eastAsia="Times New Roman" w:hAnsi="Times New Roman" w:cs="Times New Roman"/>
                <w:i/>
                <w:color w:val="000000"/>
                <w:sz w:val="24"/>
                <w:szCs w:val="24"/>
                <w:lang w:val="lv-LV" w:eastAsia="lv-LV"/>
              </w:rPr>
              <w:t>Labour</w:t>
            </w:r>
            <w:proofErr w:type="spellEnd"/>
            <w:r w:rsidRPr="0069459A">
              <w:rPr>
                <w:rFonts w:ascii="Times New Roman" w:eastAsia="Times New Roman" w:hAnsi="Times New Roman" w:cs="Times New Roman"/>
                <w:i/>
                <w:color w:val="000000"/>
                <w:sz w:val="24"/>
                <w:szCs w:val="24"/>
                <w:lang w:val="lv-LV" w:eastAsia="lv-LV"/>
              </w:rPr>
              <w:t xml:space="preserve"> </w:t>
            </w:r>
            <w:proofErr w:type="spellStart"/>
            <w:r w:rsidRPr="0069459A">
              <w:rPr>
                <w:rFonts w:ascii="Times New Roman" w:eastAsia="Times New Roman" w:hAnsi="Times New Roman" w:cs="Times New Roman"/>
                <w:i/>
                <w:color w:val="000000"/>
                <w:sz w:val="24"/>
                <w:szCs w:val="24"/>
                <w:lang w:val="lv-LV" w:eastAsia="lv-LV"/>
              </w:rPr>
              <w:t>market</w:t>
            </w:r>
            <w:proofErr w:type="spellEnd"/>
            <w:r w:rsidRPr="0069459A">
              <w:rPr>
                <w:rFonts w:ascii="Times New Roman" w:eastAsia="Times New Roman" w:hAnsi="Times New Roman" w:cs="Times New Roman"/>
                <w:i/>
                <w:color w:val="000000"/>
                <w:sz w:val="24"/>
                <w:szCs w:val="24"/>
                <w:lang w:val="lv-LV" w:eastAsia="lv-LV"/>
              </w:rPr>
              <w:t xml:space="preserve">: </w:t>
            </w:r>
            <w:proofErr w:type="spellStart"/>
            <w:r w:rsidRPr="0069459A">
              <w:rPr>
                <w:rFonts w:ascii="Times New Roman" w:eastAsia="Times New Roman" w:hAnsi="Times New Roman" w:cs="Times New Roman"/>
                <w:i/>
                <w:color w:val="000000"/>
                <w:sz w:val="24"/>
                <w:szCs w:val="24"/>
                <w:lang w:val="lv-LV" w:eastAsia="lv-LV"/>
              </w:rPr>
              <w:t>Unemployment</w:t>
            </w:r>
            <w:proofErr w:type="spellEnd"/>
            <w:r w:rsidRPr="0069459A">
              <w:rPr>
                <w:rFonts w:ascii="Times New Roman" w:eastAsia="Times New Roman" w:hAnsi="Times New Roman" w:cs="Times New Roman"/>
                <w:color w:val="000000"/>
                <w:sz w:val="24"/>
                <w:szCs w:val="24"/>
                <w:lang w:val="lv-LV" w:eastAsia="lv-LV"/>
              </w:rPr>
              <w:t>)</w:t>
            </w:r>
          </w:p>
        </w:tc>
        <w:tc>
          <w:tcPr>
            <w:tcW w:w="1559" w:type="dxa"/>
          </w:tcPr>
          <w:p w14:paraId="7E39FE03" w14:textId="3DF42B9F"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Pr="0069459A">
              <w:rPr>
                <w:rFonts w:ascii="Times New Roman" w:hAnsi="Times New Roman" w:cs="Times New Roman"/>
                <w:sz w:val="24"/>
                <w:szCs w:val="24"/>
                <w:vertAlign w:val="superscript"/>
                <w:lang w:val="lv-LV"/>
              </w:rPr>
              <w:t>2</w:t>
            </w:r>
            <w:r w:rsidRPr="0069459A">
              <w:rPr>
                <w:rFonts w:ascii="Times New Roman" w:hAnsi="Times New Roman" w:cs="Times New Roman"/>
                <w:sz w:val="24"/>
                <w:szCs w:val="24"/>
                <w:lang w:val="lv-LV"/>
              </w:rPr>
              <w:t xml:space="preserve"> </w:t>
            </w:r>
          </w:p>
        </w:tc>
        <w:tc>
          <w:tcPr>
            <w:tcW w:w="1647" w:type="dxa"/>
          </w:tcPr>
          <w:p w14:paraId="11D2A5D0" w14:textId="77777777"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CSP</w:t>
            </w:r>
          </w:p>
        </w:tc>
      </w:tr>
      <w:tr w:rsidR="00877455" w:rsidRPr="0069459A" w14:paraId="7CB1DE27" w14:textId="77777777" w:rsidTr="00A66ACE">
        <w:tc>
          <w:tcPr>
            <w:tcW w:w="675" w:type="dxa"/>
          </w:tcPr>
          <w:p w14:paraId="21A3673D" w14:textId="77777777"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6.</w:t>
            </w:r>
          </w:p>
        </w:tc>
        <w:tc>
          <w:tcPr>
            <w:tcW w:w="5812" w:type="dxa"/>
          </w:tcPr>
          <w:p w14:paraId="47BBD4A2" w14:textId="77777777" w:rsidR="00877455" w:rsidRPr="0069459A" w:rsidRDefault="00877455" w:rsidP="00702512">
            <w:pPr>
              <w:rPr>
                <w:rFonts w:ascii="Times New Roman" w:eastAsia="Times New Roman" w:hAnsi="Times New Roman" w:cs="Times New Roman"/>
                <w:i/>
                <w:color w:val="000000"/>
                <w:sz w:val="24"/>
                <w:szCs w:val="24"/>
                <w:lang w:val="lv-LV" w:eastAsia="lv-LV"/>
              </w:rPr>
            </w:pPr>
            <w:r w:rsidRPr="0069459A">
              <w:rPr>
                <w:rFonts w:ascii="Times New Roman" w:eastAsia="Times New Roman" w:hAnsi="Times New Roman" w:cs="Times New Roman"/>
                <w:color w:val="000000"/>
                <w:sz w:val="24"/>
                <w:szCs w:val="24"/>
                <w:lang w:val="lv-LV" w:eastAsia="lv-LV"/>
              </w:rPr>
              <w:t>Darba tirgus: algas/atalgojums</w:t>
            </w:r>
            <w:r w:rsidRPr="0069459A">
              <w:rPr>
                <w:rFonts w:ascii="Times New Roman" w:eastAsia="Times New Roman" w:hAnsi="Times New Roman" w:cs="Times New Roman"/>
                <w:i/>
                <w:color w:val="000000"/>
                <w:sz w:val="24"/>
                <w:szCs w:val="24"/>
                <w:lang w:val="lv-LV" w:eastAsia="lv-LV"/>
              </w:rPr>
              <w:t xml:space="preserve"> </w:t>
            </w:r>
          </w:p>
          <w:p w14:paraId="14BC5632" w14:textId="44E60788" w:rsidR="00877455" w:rsidRPr="0069459A" w:rsidRDefault="00877455" w:rsidP="00702512">
            <w:pPr>
              <w:rPr>
                <w:rFonts w:ascii="Times New Roman" w:eastAsia="Times New Roman" w:hAnsi="Times New Roman" w:cs="Times New Roman"/>
                <w:color w:val="000000"/>
                <w:sz w:val="24"/>
                <w:szCs w:val="24"/>
                <w:lang w:val="lv-LV" w:eastAsia="lv-LV"/>
              </w:rPr>
            </w:pPr>
            <w:r w:rsidRPr="0069459A">
              <w:rPr>
                <w:rFonts w:ascii="Times New Roman" w:eastAsia="Times New Roman" w:hAnsi="Times New Roman" w:cs="Times New Roman"/>
                <w:color w:val="000000"/>
                <w:sz w:val="24"/>
                <w:szCs w:val="24"/>
                <w:lang w:val="lv-LV" w:eastAsia="lv-LV"/>
              </w:rPr>
              <w:t>(</w:t>
            </w:r>
            <w:proofErr w:type="spellStart"/>
            <w:r w:rsidRPr="0069459A">
              <w:rPr>
                <w:rFonts w:ascii="Times New Roman" w:eastAsia="Times New Roman" w:hAnsi="Times New Roman" w:cs="Times New Roman"/>
                <w:i/>
                <w:color w:val="000000"/>
                <w:sz w:val="24"/>
                <w:szCs w:val="24"/>
                <w:lang w:val="lv-LV" w:eastAsia="lv-LV"/>
              </w:rPr>
              <w:t>Labour</w:t>
            </w:r>
            <w:proofErr w:type="spellEnd"/>
            <w:r w:rsidRPr="0069459A">
              <w:rPr>
                <w:rFonts w:ascii="Times New Roman" w:eastAsia="Times New Roman" w:hAnsi="Times New Roman" w:cs="Times New Roman"/>
                <w:i/>
                <w:color w:val="000000"/>
                <w:sz w:val="24"/>
                <w:szCs w:val="24"/>
                <w:lang w:val="lv-LV" w:eastAsia="lv-LV"/>
              </w:rPr>
              <w:t xml:space="preserve"> </w:t>
            </w:r>
            <w:proofErr w:type="spellStart"/>
            <w:r w:rsidRPr="0069459A">
              <w:rPr>
                <w:rFonts w:ascii="Times New Roman" w:eastAsia="Times New Roman" w:hAnsi="Times New Roman" w:cs="Times New Roman"/>
                <w:i/>
                <w:color w:val="000000"/>
                <w:sz w:val="24"/>
                <w:szCs w:val="24"/>
                <w:lang w:val="lv-LV" w:eastAsia="lv-LV"/>
              </w:rPr>
              <w:t>market</w:t>
            </w:r>
            <w:proofErr w:type="spellEnd"/>
            <w:r w:rsidRPr="0069459A">
              <w:rPr>
                <w:rFonts w:ascii="Times New Roman" w:eastAsia="Times New Roman" w:hAnsi="Times New Roman" w:cs="Times New Roman"/>
                <w:i/>
                <w:color w:val="000000"/>
                <w:sz w:val="24"/>
                <w:szCs w:val="24"/>
                <w:lang w:val="lv-LV" w:eastAsia="lv-LV"/>
              </w:rPr>
              <w:t xml:space="preserve">: </w:t>
            </w:r>
            <w:proofErr w:type="spellStart"/>
            <w:r w:rsidRPr="009D1BB4">
              <w:rPr>
                <w:rFonts w:ascii="Times New Roman" w:eastAsia="Times New Roman" w:hAnsi="Times New Roman" w:cs="Times New Roman"/>
                <w:i/>
                <w:color w:val="000000"/>
                <w:sz w:val="24"/>
                <w:szCs w:val="24"/>
                <w:lang w:val="lv-LV" w:eastAsia="lv-LV"/>
              </w:rPr>
              <w:t>Wages</w:t>
            </w:r>
            <w:proofErr w:type="spellEnd"/>
            <w:r w:rsidRPr="009D1BB4">
              <w:rPr>
                <w:rFonts w:ascii="Times New Roman" w:eastAsia="Times New Roman" w:hAnsi="Times New Roman" w:cs="Times New Roman"/>
                <w:i/>
                <w:color w:val="000000"/>
                <w:sz w:val="24"/>
                <w:szCs w:val="24"/>
                <w:lang w:val="lv-LV" w:eastAsia="lv-LV"/>
              </w:rPr>
              <w:t>/</w:t>
            </w:r>
            <w:proofErr w:type="spellStart"/>
            <w:r w:rsidRPr="009D1BB4">
              <w:rPr>
                <w:rFonts w:ascii="Times New Roman" w:eastAsia="Times New Roman" w:hAnsi="Times New Roman" w:cs="Times New Roman"/>
                <w:i/>
                <w:color w:val="000000"/>
                <w:sz w:val="24"/>
                <w:szCs w:val="24"/>
                <w:lang w:val="lv-LV" w:eastAsia="lv-LV"/>
              </w:rPr>
              <w:t>Earnings</w:t>
            </w:r>
            <w:proofErr w:type="spellEnd"/>
            <w:r w:rsidRPr="009D1BB4">
              <w:rPr>
                <w:rFonts w:ascii="Times New Roman" w:eastAsia="Times New Roman" w:hAnsi="Times New Roman" w:cs="Times New Roman"/>
                <w:color w:val="000000"/>
                <w:sz w:val="24"/>
                <w:szCs w:val="24"/>
                <w:lang w:val="lv-LV" w:eastAsia="lv-LV"/>
              </w:rPr>
              <w:t>)</w:t>
            </w:r>
          </w:p>
        </w:tc>
        <w:tc>
          <w:tcPr>
            <w:tcW w:w="1559" w:type="dxa"/>
          </w:tcPr>
          <w:p w14:paraId="18437723" w14:textId="65129334"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Pr="0069459A">
              <w:rPr>
                <w:rFonts w:ascii="Times New Roman" w:hAnsi="Times New Roman" w:cs="Times New Roman"/>
                <w:sz w:val="24"/>
                <w:szCs w:val="24"/>
                <w:vertAlign w:val="superscript"/>
                <w:lang w:val="lv-LV"/>
              </w:rPr>
              <w:t>2</w:t>
            </w:r>
            <w:r w:rsidRPr="0069459A">
              <w:rPr>
                <w:rFonts w:ascii="Times New Roman" w:hAnsi="Times New Roman" w:cs="Times New Roman"/>
                <w:sz w:val="24"/>
                <w:szCs w:val="24"/>
                <w:lang w:val="lv-LV"/>
              </w:rPr>
              <w:t xml:space="preserve"> </w:t>
            </w:r>
          </w:p>
        </w:tc>
        <w:tc>
          <w:tcPr>
            <w:tcW w:w="1647" w:type="dxa"/>
          </w:tcPr>
          <w:p w14:paraId="6F3E2B51" w14:textId="77777777"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CSP</w:t>
            </w:r>
          </w:p>
        </w:tc>
      </w:tr>
      <w:tr w:rsidR="00877455" w:rsidRPr="0069459A" w14:paraId="1951D774" w14:textId="77777777" w:rsidTr="00A66ACE">
        <w:tc>
          <w:tcPr>
            <w:tcW w:w="675" w:type="dxa"/>
          </w:tcPr>
          <w:p w14:paraId="4EA4705C" w14:textId="77777777"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7.</w:t>
            </w:r>
          </w:p>
        </w:tc>
        <w:tc>
          <w:tcPr>
            <w:tcW w:w="5812" w:type="dxa"/>
          </w:tcPr>
          <w:p w14:paraId="22702259" w14:textId="77777777" w:rsidR="00877455" w:rsidRPr="0069459A" w:rsidRDefault="00877455" w:rsidP="00702512">
            <w:pPr>
              <w:rPr>
                <w:rFonts w:ascii="Times New Roman" w:eastAsia="Times New Roman" w:hAnsi="Times New Roman" w:cs="Times New Roman"/>
                <w:color w:val="000000"/>
                <w:sz w:val="24"/>
                <w:szCs w:val="24"/>
                <w:lang w:val="lv-LV" w:eastAsia="lv-LV"/>
              </w:rPr>
            </w:pPr>
            <w:r w:rsidRPr="0069459A">
              <w:rPr>
                <w:rFonts w:ascii="Times New Roman" w:eastAsia="Times New Roman" w:hAnsi="Times New Roman" w:cs="Times New Roman"/>
                <w:color w:val="000000"/>
                <w:sz w:val="24"/>
                <w:szCs w:val="24"/>
                <w:lang w:val="lv-LV" w:eastAsia="lv-LV"/>
              </w:rPr>
              <w:t xml:space="preserve">Cenu indeksi: patēriņa cenas </w:t>
            </w:r>
          </w:p>
          <w:p w14:paraId="15774C5F" w14:textId="0BD917BB" w:rsidR="00877455" w:rsidRPr="009D1BB4" w:rsidRDefault="00877455" w:rsidP="00702512">
            <w:pPr>
              <w:rPr>
                <w:rFonts w:ascii="Times New Roman" w:eastAsia="Times New Roman" w:hAnsi="Times New Roman" w:cs="Times New Roman"/>
                <w:color w:val="000000"/>
                <w:sz w:val="24"/>
                <w:szCs w:val="24"/>
                <w:lang w:val="lv-LV" w:eastAsia="lv-LV"/>
              </w:rPr>
            </w:pPr>
            <w:r w:rsidRPr="009D1BB4">
              <w:rPr>
                <w:rFonts w:ascii="Times New Roman" w:eastAsia="Times New Roman" w:hAnsi="Times New Roman" w:cs="Times New Roman"/>
                <w:color w:val="000000"/>
                <w:sz w:val="24"/>
                <w:szCs w:val="24"/>
                <w:lang w:val="lv-LV" w:eastAsia="lv-LV"/>
              </w:rPr>
              <w:t>(</w:t>
            </w:r>
            <w:proofErr w:type="spellStart"/>
            <w:r w:rsidRPr="009D1BB4">
              <w:rPr>
                <w:rFonts w:ascii="Times New Roman" w:eastAsia="Times New Roman" w:hAnsi="Times New Roman" w:cs="Times New Roman"/>
                <w:i/>
                <w:color w:val="000000"/>
                <w:sz w:val="24"/>
                <w:szCs w:val="24"/>
                <w:lang w:val="lv-LV" w:eastAsia="lv-LV"/>
              </w:rPr>
              <w:t>Price</w:t>
            </w:r>
            <w:proofErr w:type="spellEnd"/>
            <w:r w:rsidRPr="009D1BB4">
              <w:rPr>
                <w:rFonts w:ascii="Times New Roman" w:eastAsia="Times New Roman" w:hAnsi="Times New Roman" w:cs="Times New Roman"/>
                <w:i/>
                <w:color w:val="000000"/>
                <w:sz w:val="24"/>
                <w:szCs w:val="24"/>
                <w:lang w:val="lv-LV" w:eastAsia="lv-LV"/>
              </w:rPr>
              <w:t xml:space="preserve"> </w:t>
            </w:r>
            <w:proofErr w:type="spellStart"/>
            <w:r w:rsidRPr="009D1BB4">
              <w:rPr>
                <w:rFonts w:ascii="Times New Roman" w:eastAsia="Times New Roman" w:hAnsi="Times New Roman" w:cs="Times New Roman"/>
                <w:i/>
                <w:color w:val="000000"/>
                <w:sz w:val="24"/>
                <w:szCs w:val="24"/>
                <w:lang w:val="lv-LV" w:eastAsia="lv-LV"/>
              </w:rPr>
              <w:t>Indices</w:t>
            </w:r>
            <w:proofErr w:type="spellEnd"/>
            <w:r w:rsidRPr="009D1BB4">
              <w:rPr>
                <w:rFonts w:ascii="Times New Roman" w:eastAsia="Times New Roman" w:hAnsi="Times New Roman" w:cs="Times New Roman"/>
                <w:i/>
                <w:color w:val="000000"/>
                <w:sz w:val="24"/>
                <w:szCs w:val="24"/>
                <w:lang w:val="lv-LV" w:eastAsia="lv-LV"/>
              </w:rPr>
              <w:t xml:space="preserve">: </w:t>
            </w:r>
            <w:proofErr w:type="spellStart"/>
            <w:r w:rsidRPr="009D1BB4">
              <w:rPr>
                <w:rFonts w:ascii="Times New Roman" w:eastAsia="Times New Roman" w:hAnsi="Times New Roman" w:cs="Times New Roman"/>
                <w:i/>
                <w:color w:val="000000"/>
                <w:sz w:val="24"/>
                <w:szCs w:val="24"/>
                <w:lang w:val="lv-LV" w:eastAsia="lv-LV"/>
              </w:rPr>
              <w:t>Consumer</w:t>
            </w:r>
            <w:proofErr w:type="spellEnd"/>
            <w:r w:rsidRPr="009D1BB4">
              <w:rPr>
                <w:rFonts w:ascii="Times New Roman" w:eastAsia="Times New Roman" w:hAnsi="Times New Roman" w:cs="Times New Roman"/>
                <w:i/>
                <w:color w:val="000000"/>
                <w:sz w:val="24"/>
                <w:szCs w:val="24"/>
                <w:lang w:val="lv-LV" w:eastAsia="lv-LV"/>
              </w:rPr>
              <w:t xml:space="preserve"> </w:t>
            </w:r>
            <w:proofErr w:type="spellStart"/>
            <w:r w:rsidRPr="009D1BB4">
              <w:rPr>
                <w:rFonts w:ascii="Times New Roman" w:eastAsia="Times New Roman" w:hAnsi="Times New Roman" w:cs="Times New Roman"/>
                <w:i/>
                <w:color w:val="000000"/>
                <w:sz w:val="24"/>
                <w:szCs w:val="24"/>
                <w:lang w:val="lv-LV" w:eastAsia="lv-LV"/>
              </w:rPr>
              <w:t>prices</w:t>
            </w:r>
            <w:proofErr w:type="spellEnd"/>
            <w:r w:rsidRPr="009D1BB4">
              <w:rPr>
                <w:rFonts w:ascii="Times New Roman" w:eastAsia="Times New Roman" w:hAnsi="Times New Roman" w:cs="Times New Roman"/>
                <w:color w:val="000000"/>
                <w:sz w:val="24"/>
                <w:szCs w:val="24"/>
                <w:lang w:val="lv-LV" w:eastAsia="lv-LV"/>
              </w:rPr>
              <w:t>)</w:t>
            </w:r>
          </w:p>
        </w:tc>
        <w:tc>
          <w:tcPr>
            <w:tcW w:w="1559" w:type="dxa"/>
          </w:tcPr>
          <w:p w14:paraId="1CB98EEA" w14:textId="448C6F08"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Pr="0069459A">
              <w:rPr>
                <w:rFonts w:ascii="Times New Roman" w:hAnsi="Times New Roman" w:cs="Times New Roman"/>
                <w:sz w:val="24"/>
                <w:szCs w:val="24"/>
                <w:vertAlign w:val="superscript"/>
                <w:lang w:val="lv-LV"/>
              </w:rPr>
              <w:t>2</w:t>
            </w:r>
            <w:r w:rsidRPr="0069459A">
              <w:rPr>
                <w:rFonts w:ascii="Times New Roman" w:hAnsi="Times New Roman" w:cs="Times New Roman"/>
                <w:sz w:val="24"/>
                <w:szCs w:val="24"/>
                <w:lang w:val="lv-LV"/>
              </w:rPr>
              <w:t xml:space="preserve"> </w:t>
            </w:r>
          </w:p>
        </w:tc>
        <w:tc>
          <w:tcPr>
            <w:tcW w:w="1647" w:type="dxa"/>
          </w:tcPr>
          <w:p w14:paraId="15AC558B" w14:textId="77777777"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CSP</w:t>
            </w:r>
          </w:p>
        </w:tc>
      </w:tr>
      <w:tr w:rsidR="00877455" w:rsidRPr="0069459A" w14:paraId="303D5DF5" w14:textId="77777777" w:rsidTr="00A66ACE">
        <w:trPr>
          <w:trHeight w:val="662"/>
        </w:trPr>
        <w:tc>
          <w:tcPr>
            <w:tcW w:w="675" w:type="dxa"/>
          </w:tcPr>
          <w:p w14:paraId="73C332A3" w14:textId="77777777"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8.</w:t>
            </w:r>
          </w:p>
        </w:tc>
        <w:tc>
          <w:tcPr>
            <w:tcW w:w="5812" w:type="dxa"/>
          </w:tcPr>
          <w:p w14:paraId="056607FC" w14:textId="77777777" w:rsidR="00877455" w:rsidRPr="0069459A" w:rsidRDefault="00877455" w:rsidP="00702512">
            <w:pPr>
              <w:rPr>
                <w:rFonts w:ascii="Times New Roman" w:eastAsia="Times New Roman" w:hAnsi="Times New Roman" w:cs="Times New Roman"/>
                <w:color w:val="000000"/>
                <w:sz w:val="24"/>
                <w:szCs w:val="24"/>
                <w:lang w:val="lv-LV" w:eastAsia="lv-LV"/>
              </w:rPr>
            </w:pPr>
            <w:r w:rsidRPr="0069459A">
              <w:rPr>
                <w:rFonts w:ascii="Times New Roman" w:eastAsia="Times New Roman" w:hAnsi="Times New Roman" w:cs="Times New Roman"/>
                <w:color w:val="000000"/>
                <w:sz w:val="24"/>
                <w:szCs w:val="24"/>
                <w:lang w:val="lv-LV" w:eastAsia="lv-LV"/>
              </w:rPr>
              <w:t xml:space="preserve">Cenu indeksi: ražotāja cenas </w:t>
            </w:r>
          </w:p>
          <w:p w14:paraId="227A8B95" w14:textId="50D38BFB" w:rsidR="00877455" w:rsidRPr="0069459A" w:rsidRDefault="00877455" w:rsidP="00702512">
            <w:pPr>
              <w:rPr>
                <w:rFonts w:ascii="Times New Roman" w:eastAsia="Times New Roman" w:hAnsi="Times New Roman" w:cs="Times New Roman"/>
                <w:color w:val="000000"/>
                <w:sz w:val="24"/>
                <w:szCs w:val="24"/>
                <w:lang w:val="lv-LV" w:eastAsia="lv-LV"/>
              </w:rPr>
            </w:pPr>
            <w:r w:rsidRPr="009D1BB4">
              <w:rPr>
                <w:rFonts w:ascii="Times New Roman" w:eastAsia="Times New Roman" w:hAnsi="Times New Roman" w:cs="Times New Roman"/>
                <w:color w:val="000000"/>
                <w:sz w:val="24"/>
                <w:szCs w:val="24"/>
                <w:lang w:val="lv-LV" w:eastAsia="lv-LV"/>
              </w:rPr>
              <w:t>(</w:t>
            </w:r>
            <w:proofErr w:type="spellStart"/>
            <w:r w:rsidRPr="009D1BB4">
              <w:rPr>
                <w:rFonts w:ascii="Times New Roman" w:eastAsia="Times New Roman" w:hAnsi="Times New Roman" w:cs="Times New Roman"/>
                <w:i/>
                <w:color w:val="000000"/>
                <w:sz w:val="24"/>
                <w:szCs w:val="24"/>
                <w:lang w:val="lv-LV" w:eastAsia="lv-LV"/>
              </w:rPr>
              <w:t>Price</w:t>
            </w:r>
            <w:proofErr w:type="spellEnd"/>
            <w:r w:rsidRPr="009D1BB4">
              <w:rPr>
                <w:rFonts w:ascii="Times New Roman" w:eastAsia="Times New Roman" w:hAnsi="Times New Roman" w:cs="Times New Roman"/>
                <w:i/>
                <w:color w:val="000000"/>
                <w:sz w:val="24"/>
                <w:szCs w:val="24"/>
                <w:lang w:val="lv-LV" w:eastAsia="lv-LV"/>
              </w:rPr>
              <w:t xml:space="preserve"> </w:t>
            </w:r>
            <w:proofErr w:type="spellStart"/>
            <w:r w:rsidRPr="009D1BB4">
              <w:rPr>
                <w:rFonts w:ascii="Times New Roman" w:eastAsia="Times New Roman" w:hAnsi="Times New Roman" w:cs="Times New Roman"/>
                <w:i/>
                <w:color w:val="000000"/>
                <w:sz w:val="24"/>
                <w:szCs w:val="24"/>
                <w:lang w:val="lv-LV" w:eastAsia="lv-LV"/>
              </w:rPr>
              <w:t>Indices</w:t>
            </w:r>
            <w:proofErr w:type="spellEnd"/>
            <w:r w:rsidRPr="009D1BB4">
              <w:rPr>
                <w:rFonts w:ascii="Times New Roman" w:eastAsia="Times New Roman" w:hAnsi="Times New Roman" w:cs="Times New Roman"/>
                <w:i/>
                <w:color w:val="000000"/>
                <w:sz w:val="24"/>
                <w:szCs w:val="24"/>
                <w:lang w:val="lv-LV" w:eastAsia="lv-LV"/>
              </w:rPr>
              <w:t xml:space="preserve">: </w:t>
            </w:r>
            <w:proofErr w:type="spellStart"/>
            <w:r w:rsidRPr="009D1BB4">
              <w:rPr>
                <w:rFonts w:ascii="Times New Roman" w:eastAsia="Times New Roman" w:hAnsi="Times New Roman" w:cs="Times New Roman"/>
                <w:i/>
                <w:color w:val="000000"/>
                <w:sz w:val="24"/>
                <w:szCs w:val="24"/>
                <w:lang w:val="lv-LV" w:eastAsia="lv-LV"/>
              </w:rPr>
              <w:t>Producer</w:t>
            </w:r>
            <w:proofErr w:type="spellEnd"/>
            <w:r w:rsidRPr="009D1BB4">
              <w:rPr>
                <w:rFonts w:ascii="Times New Roman" w:eastAsia="Times New Roman" w:hAnsi="Times New Roman" w:cs="Times New Roman"/>
                <w:i/>
                <w:color w:val="000000"/>
                <w:sz w:val="24"/>
                <w:szCs w:val="24"/>
                <w:lang w:val="lv-LV" w:eastAsia="lv-LV"/>
              </w:rPr>
              <w:t xml:space="preserve"> </w:t>
            </w:r>
            <w:proofErr w:type="spellStart"/>
            <w:r w:rsidRPr="009D1BB4">
              <w:rPr>
                <w:rFonts w:ascii="Times New Roman" w:eastAsia="Times New Roman" w:hAnsi="Times New Roman" w:cs="Times New Roman"/>
                <w:i/>
                <w:color w:val="000000"/>
                <w:sz w:val="24"/>
                <w:szCs w:val="24"/>
                <w:lang w:val="lv-LV" w:eastAsia="lv-LV"/>
              </w:rPr>
              <w:t>prices</w:t>
            </w:r>
            <w:proofErr w:type="spellEnd"/>
            <w:r w:rsidRPr="009D1BB4">
              <w:rPr>
                <w:rFonts w:ascii="Times New Roman" w:eastAsia="Times New Roman" w:hAnsi="Times New Roman" w:cs="Times New Roman"/>
                <w:color w:val="000000"/>
                <w:sz w:val="24"/>
                <w:szCs w:val="24"/>
                <w:lang w:val="lv-LV" w:eastAsia="lv-LV"/>
              </w:rPr>
              <w:t>)</w:t>
            </w:r>
          </w:p>
        </w:tc>
        <w:tc>
          <w:tcPr>
            <w:tcW w:w="1559" w:type="dxa"/>
          </w:tcPr>
          <w:p w14:paraId="52498A0D" w14:textId="56EE6C4C"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Pr="0069459A">
              <w:rPr>
                <w:rFonts w:ascii="Times New Roman" w:hAnsi="Times New Roman" w:cs="Times New Roman"/>
                <w:sz w:val="24"/>
                <w:szCs w:val="24"/>
                <w:vertAlign w:val="superscript"/>
                <w:lang w:val="lv-LV"/>
              </w:rPr>
              <w:t>2</w:t>
            </w:r>
          </w:p>
        </w:tc>
        <w:tc>
          <w:tcPr>
            <w:tcW w:w="1647" w:type="dxa"/>
          </w:tcPr>
          <w:p w14:paraId="6A41F407" w14:textId="77777777"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CSP</w:t>
            </w:r>
          </w:p>
        </w:tc>
      </w:tr>
      <w:tr w:rsidR="00877455" w:rsidRPr="0069459A" w14:paraId="69642564" w14:textId="77777777" w:rsidTr="00680837">
        <w:tc>
          <w:tcPr>
            <w:tcW w:w="9693" w:type="dxa"/>
            <w:gridSpan w:val="4"/>
          </w:tcPr>
          <w:p w14:paraId="50DD91D9" w14:textId="77777777" w:rsidR="00877455" w:rsidRPr="0069459A" w:rsidRDefault="00877455" w:rsidP="00877455">
            <w:pPr>
              <w:rPr>
                <w:rFonts w:ascii="Times New Roman" w:hAnsi="Times New Roman" w:cs="Times New Roman"/>
                <w:b/>
                <w:caps/>
                <w:sz w:val="24"/>
                <w:szCs w:val="24"/>
                <w:lang w:val="lv-LV"/>
              </w:rPr>
            </w:pPr>
            <w:r w:rsidRPr="0069459A">
              <w:rPr>
                <w:rFonts w:ascii="Times New Roman" w:hAnsi="Times New Roman" w:cs="Times New Roman"/>
                <w:b/>
                <w:caps/>
                <w:sz w:val="24"/>
                <w:szCs w:val="24"/>
                <w:lang w:val="lv-LV"/>
              </w:rPr>
              <w:t xml:space="preserve">Fiskālais sektors </w:t>
            </w:r>
          </w:p>
          <w:p w14:paraId="3D347C91" w14:textId="5F310BAB"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b/>
                <w:caps/>
                <w:sz w:val="24"/>
                <w:szCs w:val="24"/>
                <w:lang w:val="lv-LV"/>
              </w:rPr>
              <w:t>(</w:t>
            </w:r>
            <w:r w:rsidRPr="0069459A">
              <w:rPr>
                <w:rFonts w:ascii="Times New Roman" w:hAnsi="Times New Roman" w:cs="Times New Roman"/>
                <w:b/>
                <w:i/>
                <w:caps/>
                <w:sz w:val="24"/>
                <w:szCs w:val="24"/>
                <w:lang w:val="lv-LV"/>
              </w:rPr>
              <w:t>Fiscal sector</w:t>
            </w:r>
            <w:r w:rsidRPr="0069459A">
              <w:rPr>
                <w:rFonts w:ascii="Times New Roman" w:hAnsi="Times New Roman" w:cs="Times New Roman"/>
                <w:b/>
                <w:caps/>
                <w:sz w:val="24"/>
                <w:szCs w:val="24"/>
                <w:lang w:val="lv-LV"/>
              </w:rPr>
              <w:t>)</w:t>
            </w:r>
          </w:p>
        </w:tc>
      </w:tr>
      <w:tr w:rsidR="00877455" w:rsidRPr="0069459A" w14:paraId="10228A20" w14:textId="77777777" w:rsidTr="001D0426">
        <w:trPr>
          <w:trHeight w:val="809"/>
        </w:trPr>
        <w:tc>
          <w:tcPr>
            <w:tcW w:w="675" w:type="dxa"/>
          </w:tcPr>
          <w:p w14:paraId="5F2D7844" w14:textId="77777777"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9.</w:t>
            </w:r>
          </w:p>
        </w:tc>
        <w:tc>
          <w:tcPr>
            <w:tcW w:w="5812" w:type="dxa"/>
          </w:tcPr>
          <w:p w14:paraId="4679B6D4" w14:textId="5FAA2675" w:rsidR="00877455" w:rsidRPr="0069459A" w:rsidRDefault="00877455" w:rsidP="00702512">
            <w:pPr>
              <w:rPr>
                <w:rFonts w:ascii="Times New Roman" w:hAnsi="Times New Roman" w:cs="Times New Roman"/>
                <w:sz w:val="24"/>
                <w:szCs w:val="24"/>
                <w:lang w:val="lv-LV"/>
              </w:rPr>
            </w:pPr>
            <w:r w:rsidRPr="0069459A">
              <w:rPr>
                <w:rFonts w:ascii="Times New Roman" w:hAnsi="Times New Roman" w:cs="Times New Roman"/>
                <w:sz w:val="24"/>
                <w:szCs w:val="24"/>
                <w:lang w:val="lv-LV"/>
              </w:rPr>
              <w:t>Vispārējās valdības darījumi</w:t>
            </w:r>
            <w:r w:rsidR="003B47BF">
              <w:rPr>
                <w:rFonts w:ascii="Times New Roman" w:hAnsi="Times New Roman" w:cs="Times New Roman"/>
                <w:sz w:val="24"/>
                <w:szCs w:val="24"/>
                <w:vertAlign w:val="superscript"/>
                <w:lang w:val="lv-LV"/>
              </w:rPr>
              <w:t>6</w:t>
            </w:r>
          </w:p>
          <w:p w14:paraId="6E6BBFFD" w14:textId="4667B417" w:rsidR="00877455" w:rsidRPr="009D1BB4" w:rsidRDefault="00877455" w:rsidP="00702512">
            <w:pPr>
              <w:rPr>
                <w:rFonts w:ascii="Times New Roman" w:hAnsi="Times New Roman" w:cs="Times New Roman"/>
                <w:sz w:val="24"/>
                <w:szCs w:val="24"/>
                <w:lang w:val="lv-LV"/>
              </w:rPr>
            </w:pPr>
            <w:r w:rsidRPr="009D1BB4">
              <w:rPr>
                <w:rFonts w:ascii="Times New Roman" w:eastAsia="Times New Roman" w:hAnsi="Times New Roman" w:cs="Times New Roman"/>
                <w:color w:val="000000"/>
                <w:sz w:val="24"/>
                <w:szCs w:val="24"/>
                <w:lang w:val="lv-LV" w:eastAsia="lv-LV"/>
              </w:rPr>
              <w:t>(</w:t>
            </w:r>
            <w:proofErr w:type="spellStart"/>
            <w:r w:rsidRPr="009D1BB4">
              <w:rPr>
                <w:rFonts w:ascii="Times New Roman" w:hAnsi="Times New Roman" w:cs="Times New Roman"/>
                <w:i/>
                <w:sz w:val="24"/>
                <w:szCs w:val="24"/>
                <w:lang w:val="lv-LV"/>
              </w:rPr>
              <w:t>General</w:t>
            </w:r>
            <w:proofErr w:type="spellEnd"/>
            <w:r w:rsidRPr="009D1BB4">
              <w:rPr>
                <w:rFonts w:ascii="Times New Roman" w:hAnsi="Times New Roman" w:cs="Times New Roman"/>
                <w:i/>
                <w:sz w:val="24"/>
                <w:szCs w:val="24"/>
                <w:lang w:val="lv-LV"/>
              </w:rPr>
              <w:t xml:space="preserve"> </w:t>
            </w:r>
            <w:proofErr w:type="spellStart"/>
            <w:r w:rsidRPr="009D1BB4">
              <w:rPr>
                <w:rFonts w:ascii="Times New Roman" w:hAnsi="Times New Roman" w:cs="Times New Roman"/>
                <w:i/>
                <w:sz w:val="24"/>
                <w:szCs w:val="24"/>
                <w:lang w:val="lv-LV"/>
              </w:rPr>
              <w:t>Government</w:t>
            </w:r>
            <w:proofErr w:type="spellEnd"/>
            <w:r w:rsidRPr="009D1BB4">
              <w:rPr>
                <w:rFonts w:ascii="Times New Roman" w:hAnsi="Times New Roman" w:cs="Times New Roman"/>
                <w:i/>
                <w:sz w:val="24"/>
                <w:szCs w:val="24"/>
                <w:lang w:val="lv-LV"/>
              </w:rPr>
              <w:t xml:space="preserve"> </w:t>
            </w:r>
            <w:proofErr w:type="spellStart"/>
            <w:r w:rsidRPr="009D1BB4">
              <w:rPr>
                <w:rFonts w:ascii="Times New Roman" w:hAnsi="Times New Roman" w:cs="Times New Roman"/>
                <w:i/>
                <w:sz w:val="24"/>
                <w:szCs w:val="24"/>
                <w:lang w:val="lv-LV"/>
              </w:rPr>
              <w:t>Operations</w:t>
            </w:r>
            <w:proofErr w:type="spellEnd"/>
            <w:r w:rsidRPr="009D1BB4">
              <w:rPr>
                <w:rFonts w:ascii="Times New Roman" w:eastAsia="Times New Roman" w:hAnsi="Times New Roman" w:cs="Times New Roman"/>
                <w:color w:val="000000"/>
                <w:sz w:val="24"/>
                <w:szCs w:val="24"/>
                <w:lang w:val="lv-LV" w:eastAsia="lv-LV"/>
              </w:rPr>
              <w:t>)</w:t>
            </w:r>
          </w:p>
        </w:tc>
        <w:tc>
          <w:tcPr>
            <w:tcW w:w="1559" w:type="dxa"/>
          </w:tcPr>
          <w:p w14:paraId="36B12D58" w14:textId="6A081E7F" w:rsidR="00877455" w:rsidRPr="0069459A" w:rsidRDefault="00877455" w:rsidP="00092AD1">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Pr="0069459A">
              <w:rPr>
                <w:rFonts w:ascii="Times New Roman" w:hAnsi="Times New Roman" w:cs="Times New Roman"/>
                <w:sz w:val="24"/>
                <w:szCs w:val="24"/>
                <w:vertAlign w:val="superscript"/>
                <w:lang w:val="lv-LV"/>
              </w:rPr>
              <w:t>2</w:t>
            </w:r>
            <w:r w:rsidRPr="0069459A">
              <w:rPr>
                <w:rFonts w:ascii="Times New Roman" w:hAnsi="Times New Roman" w:cs="Times New Roman"/>
                <w:sz w:val="24"/>
                <w:szCs w:val="24"/>
                <w:lang w:val="lv-LV"/>
              </w:rPr>
              <w:t xml:space="preserve"> un</w:t>
            </w:r>
          </w:p>
          <w:p w14:paraId="46255A1E" w14:textId="50FB83FF" w:rsidR="00877455" w:rsidRPr="0069459A" w:rsidRDefault="00877455" w:rsidP="00092AD1">
            <w:pPr>
              <w:rPr>
                <w:rFonts w:ascii="Times New Roman" w:hAnsi="Times New Roman" w:cs="Times New Roman"/>
                <w:sz w:val="24"/>
                <w:szCs w:val="24"/>
                <w:lang w:val="lv-LV"/>
              </w:rPr>
            </w:pPr>
            <w:r w:rsidRPr="0069459A">
              <w:rPr>
                <w:rFonts w:ascii="Times New Roman" w:hAnsi="Times New Roman" w:cs="Times New Roman"/>
                <w:sz w:val="24"/>
                <w:szCs w:val="24"/>
                <w:lang w:val="lv-LV"/>
              </w:rPr>
              <w:t>SDIS Plus</w:t>
            </w:r>
            <w:r w:rsidRPr="0069459A">
              <w:rPr>
                <w:rFonts w:ascii="Times New Roman" w:hAnsi="Times New Roman" w:cs="Times New Roman"/>
                <w:sz w:val="24"/>
                <w:szCs w:val="24"/>
                <w:vertAlign w:val="superscript"/>
                <w:lang w:val="lv-LV"/>
              </w:rPr>
              <w:t>4</w:t>
            </w:r>
          </w:p>
        </w:tc>
        <w:tc>
          <w:tcPr>
            <w:tcW w:w="1647" w:type="dxa"/>
          </w:tcPr>
          <w:p w14:paraId="21FEFFE0" w14:textId="554DAFF3" w:rsidR="00877455" w:rsidRPr="0069459A" w:rsidRDefault="00877455" w:rsidP="001E75AF">
            <w:pPr>
              <w:rPr>
                <w:rFonts w:ascii="Times New Roman" w:hAnsi="Times New Roman" w:cs="Times New Roman"/>
                <w:sz w:val="24"/>
                <w:szCs w:val="24"/>
                <w:lang w:val="lv-LV"/>
              </w:rPr>
            </w:pPr>
            <w:r w:rsidRPr="0069459A">
              <w:rPr>
                <w:rFonts w:ascii="Times New Roman" w:hAnsi="Times New Roman" w:cs="Times New Roman"/>
                <w:sz w:val="24"/>
                <w:szCs w:val="24"/>
                <w:lang w:val="lv-LV"/>
              </w:rPr>
              <w:t>Valsts kase/ CSP</w:t>
            </w:r>
          </w:p>
        </w:tc>
      </w:tr>
      <w:tr w:rsidR="00877455" w:rsidRPr="0069459A" w14:paraId="08E2CF5B" w14:textId="77777777" w:rsidTr="001D0426">
        <w:trPr>
          <w:trHeight w:val="708"/>
        </w:trPr>
        <w:tc>
          <w:tcPr>
            <w:tcW w:w="675" w:type="dxa"/>
          </w:tcPr>
          <w:p w14:paraId="4F2D6664" w14:textId="6FD4755A"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10.</w:t>
            </w:r>
          </w:p>
        </w:tc>
        <w:tc>
          <w:tcPr>
            <w:tcW w:w="5812" w:type="dxa"/>
          </w:tcPr>
          <w:p w14:paraId="44A6FE1F" w14:textId="77777777"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Vispārējās valdības kopējais bruto parāds</w:t>
            </w:r>
          </w:p>
          <w:p w14:paraId="1BBDF4BB" w14:textId="556FD1FD" w:rsidR="00877455" w:rsidRPr="009D1BB4" w:rsidRDefault="00877455" w:rsidP="00E567A4">
            <w:pPr>
              <w:rPr>
                <w:rFonts w:ascii="Times New Roman" w:hAnsi="Times New Roman" w:cs="Times New Roman"/>
                <w:sz w:val="24"/>
                <w:szCs w:val="24"/>
                <w:lang w:val="lv-LV"/>
              </w:rPr>
            </w:pPr>
            <w:r w:rsidRPr="009D1BB4">
              <w:rPr>
                <w:rFonts w:ascii="Times New Roman" w:hAnsi="Times New Roman" w:cs="Times New Roman"/>
                <w:sz w:val="24"/>
                <w:szCs w:val="24"/>
                <w:lang w:val="lv-LV"/>
              </w:rPr>
              <w:t>(</w:t>
            </w:r>
            <w:proofErr w:type="spellStart"/>
            <w:r w:rsidRPr="009D1BB4">
              <w:rPr>
                <w:rFonts w:ascii="Times New Roman" w:hAnsi="Times New Roman" w:cs="Times New Roman"/>
                <w:i/>
                <w:iCs/>
                <w:sz w:val="24"/>
                <w:szCs w:val="24"/>
                <w:lang w:val="lv-LV"/>
              </w:rPr>
              <w:t>General</w:t>
            </w:r>
            <w:proofErr w:type="spellEnd"/>
            <w:r w:rsidRPr="009D1BB4">
              <w:rPr>
                <w:rFonts w:ascii="Times New Roman" w:hAnsi="Times New Roman" w:cs="Times New Roman"/>
                <w:i/>
                <w:iCs/>
                <w:sz w:val="24"/>
                <w:szCs w:val="24"/>
                <w:lang w:val="lv-LV"/>
              </w:rPr>
              <w:t xml:space="preserve"> </w:t>
            </w:r>
            <w:proofErr w:type="spellStart"/>
            <w:r w:rsidRPr="009D1BB4">
              <w:rPr>
                <w:rFonts w:ascii="Times New Roman" w:hAnsi="Times New Roman" w:cs="Times New Roman"/>
                <w:i/>
                <w:iCs/>
                <w:sz w:val="24"/>
                <w:szCs w:val="24"/>
                <w:lang w:val="lv-LV"/>
              </w:rPr>
              <w:t>Government</w:t>
            </w:r>
            <w:proofErr w:type="spellEnd"/>
            <w:r w:rsidRPr="009D1BB4">
              <w:rPr>
                <w:rFonts w:ascii="Times New Roman" w:hAnsi="Times New Roman" w:cs="Times New Roman"/>
                <w:i/>
                <w:iCs/>
                <w:sz w:val="24"/>
                <w:szCs w:val="24"/>
                <w:lang w:val="lv-LV"/>
              </w:rPr>
              <w:t xml:space="preserve"> </w:t>
            </w:r>
            <w:proofErr w:type="spellStart"/>
            <w:r w:rsidRPr="009D1BB4">
              <w:rPr>
                <w:rFonts w:ascii="Times New Roman" w:hAnsi="Times New Roman" w:cs="Times New Roman"/>
                <w:i/>
                <w:iCs/>
                <w:sz w:val="24"/>
                <w:szCs w:val="24"/>
                <w:lang w:val="lv-LV"/>
              </w:rPr>
              <w:t>Total</w:t>
            </w:r>
            <w:proofErr w:type="spellEnd"/>
            <w:r w:rsidRPr="009D1BB4">
              <w:rPr>
                <w:rFonts w:ascii="Times New Roman" w:hAnsi="Times New Roman" w:cs="Times New Roman"/>
                <w:i/>
                <w:iCs/>
                <w:sz w:val="24"/>
                <w:szCs w:val="24"/>
                <w:lang w:val="lv-LV"/>
              </w:rPr>
              <w:t xml:space="preserve"> </w:t>
            </w:r>
            <w:proofErr w:type="spellStart"/>
            <w:r w:rsidRPr="009D1BB4">
              <w:rPr>
                <w:rFonts w:ascii="Times New Roman" w:hAnsi="Times New Roman" w:cs="Times New Roman"/>
                <w:i/>
                <w:iCs/>
                <w:sz w:val="24"/>
                <w:szCs w:val="24"/>
                <w:lang w:val="lv-LV"/>
              </w:rPr>
              <w:t>Gross</w:t>
            </w:r>
            <w:proofErr w:type="spellEnd"/>
            <w:r w:rsidRPr="009D1BB4">
              <w:rPr>
                <w:rFonts w:ascii="Times New Roman" w:hAnsi="Times New Roman" w:cs="Times New Roman"/>
                <w:i/>
                <w:iCs/>
                <w:sz w:val="24"/>
                <w:szCs w:val="24"/>
                <w:lang w:val="lv-LV"/>
              </w:rPr>
              <w:t xml:space="preserve"> </w:t>
            </w:r>
            <w:proofErr w:type="spellStart"/>
            <w:r w:rsidRPr="009D1BB4">
              <w:rPr>
                <w:rFonts w:ascii="Times New Roman" w:hAnsi="Times New Roman" w:cs="Times New Roman"/>
                <w:i/>
                <w:iCs/>
                <w:sz w:val="24"/>
                <w:szCs w:val="24"/>
                <w:lang w:val="lv-LV"/>
              </w:rPr>
              <w:t>Debt</w:t>
            </w:r>
            <w:proofErr w:type="spellEnd"/>
            <w:r w:rsidRPr="009D1BB4">
              <w:rPr>
                <w:rFonts w:ascii="Times New Roman" w:eastAsia="Times New Roman" w:hAnsi="Times New Roman" w:cs="Times New Roman"/>
                <w:color w:val="000000"/>
                <w:sz w:val="24"/>
                <w:szCs w:val="24"/>
                <w:lang w:val="lv-LV" w:eastAsia="lv-LV"/>
              </w:rPr>
              <w:t>)</w:t>
            </w:r>
          </w:p>
        </w:tc>
        <w:tc>
          <w:tcPr>
            <w:tcW w:w="1559" w:type="dxa"/>
          </w:tcPr>
          <w:p w14:paraId="61625AB6" w14:textId="3DD7B1E0"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SDIS Plus</w:t>
            </w:r>
            <w:r w:rsidRPr="0069459A">
              <w:rPr>
                <w:rFonts w:ascii="Times New Roman" w:hAnsi="Times New Roman" w:cs="Times New Roman"/>
                <w:sz w:val="24"/>
                <w:szCs w:val="24"/>
                <w:vertAlign w:val="superscript"/>
                <w:lang w:val="lv-LV"/>
              </w:rPr>
              <w:t>3</w:t>
            </w:r>
          </w:p>
        </w:tc>
        <w:tc>
          <w:tcPr>
            <w:tcW w:w="1647" w:type="dxa"/>
          </w:tcPr>
          <w:p w14:paraId="153EDB7A" w14:textId="16CFA57C"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CSP</w:t>
            </w:r>
          </w:p>
        </w:tc>
      </w:tr>
      <w:tr w:rsidR="00877455" w:rsidRPr="0069459A" w14:paraId="27476BBD" w14:textId="77777777" w:rsidTr="001D0426">
        <w:trPr>
          <w:trHeight w:val="704"/>
        </w:trPr>
        <w:tc>
          <w:tcPr>
            <w:tcW w:w="675" w:type="dxa"/>
          </w:tcPr>
          <w:p w14:paraId="5EA4E2C8" w14:textId="2E79372B"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11.</w:t>
            </w:r>
          </w:p>
        </w:tc>
        <w:tc>
          <w:tcPr>
            <w:tcW w:w="5812" w:type="dxa"/>
          </w:tcPr>
          <w:p w14:paraId="7B4647F5" w14:textId="77777777" w:rsidR="00877455" w:rsidRPr="0069459A" w:rsidRDefault="00877455" w:rsidP="00E567A4">
            <w:pPr>
              <w:rPr>
                <w:rFonts w:ascii="Times New Roman" w:hAnsi="Times New Roman" w:cs="Times New Roman"/>
                <w:i/>
                <w:sz w:val="24"/>
                <w:szCs w:val="24"/>
                <w:lang w:val="lv-LV"/>
              </w:rPr>
            </w:pPr>
            <w:r w:rsidRPr="0069459A">
              <w:rPr>
                <w:rFonts w:ascii="Times New Roman" w:hAnsi="Times New Roman" w:cs="Times New Roman"/>
                <w:sz w:val="24"/>
                <w:szCs w:val="24"/>
                <w:lang w:val="lv-LV"/>
              </w:rPr>
              <w:t>Centrālās valdības parāds</w:t>
            </w:r>
            <w:r w:rsidRPr="0069459A">
              <w:rPr>
                <w:rFonts w:ascii="Times New Roman" w:hAnsi="Times New Roman" w:cs="Times New Roman"/>
                <w:i/>
                <w:sz w:val="24"/>
                <w:szCs w:val="24"/>
                <w:lang w:val="lv-LV"/>
              </w:rPr>
              <w:t xml:space="preserve"> </w:t>
            </w:r>
          </w:p>
          <w:p w14:paraId="769D049F" w14:textId="52436BF4" w:rsidR="00877455" w:rsidRPr="009D1BB4" w:rsidRDefault="00877455" w:rsidP="00E567A4">
            <w:pPr>
              <w:rPr>
                <w:rFonts w:ascii="Times New Roman" w:hAnsi="Times New Roman" w:cs="Times New Roman"/>
                <w:sz w:val="24"/>
                <w:szCs w:val="24"/>
                <w:lang w:val="lv-LV"/>
              </w:rPr>
            </w:pPr>
            <w:r w:rsidRPr="009D1BB4">
              <w:rPr>
                <w:rFonts w:ascii="Times New Roman" w:eastAsia="Times New Roman" w:hAnsi="Times New Roman" w:cs="Times New Roman"/>
                <w:color w:val="000000"/>
                <w:sz w:val="24"/>
                <w:szCs w:val="24"/>
                <w:lang w:val="lv-LV" w:eastAsia="lv-LV"/>
              </w:rPr>
              <w:t>(</w:t>
            </w:r>
            <w:proofErr w:type="spellStart"/>
            <w:r w:rsidRPr="009D1BB4">
              <w:rPr>
                <w:rFonts w:ascii="Times New Roman" w:hAnsi="Times New Roman" w:cs="Times New Roman"/>
                <w:i/>
                <w:sz w:val="24"/>
                <w:szCs w:val="24"/>
                <w:lang w:val="lv-LV"/>
              </w:rPr>
              <w:t>Central</w:t>
            </w:r>
            <w:proofErr w:type="spellEnd"/>
            <w:r w:rsidRPr="009D1BB4">
              <w:rPr>
                <w:rFonts w:ascii="Times New Roman" w:hAnsi="Times New Roman" w:cs="Times New Roman"/>
                <w:i/>
                <w:sz w:val="24"/>
                <w:szCs w:val="24"/>
                <w:lang w:val="lv-LV"/>
              </w:rPr>
              <w:t xml:space="preserve"> </w:t>
            </w:r>
            <w:proofErr w:type="spellStart"/>
            <w:r w:rsidRPr="009D1BB4">
              <w:rPr>
                <w:rFonts w:ascii="Times New Roman" w:hAnsi="Times New Roman" w:cs="Times New Roman"/>
                <w:i/>
                <w:sz w:val="24"/>
                <w:szCs w:val="24"/>
                <w:lang w:val="lv-LV"/>
              </w:rPr>
              <w:t>Government</w:t>
            </w:r>
            <w:proofErr w:type="spellEnd"/>
            <w:r w:rsidRPr="009D1BB4">
              <w:rPr>
                <w:rFonts w:ascii="Times New Roman" w:hAnsi="Times New Roman" w:cs="Times New Roman"/>
                <w:i/>
                <w:sz w:val="24"/>
                <w:szCs w:val="24"/>
                <w:lang w:val="lv-LV"/>
              </w:rPr>
              <w:t xml:space="preserve"> </w:t>
            </w:r>
            <w:proofErr w:type="spellStart"/>
            <w:r w:rsidRPr="009D1BB4">
              <w:rPr>
                <w:rFonts w:ascii="Times New Roman" w:hAnsi="Times New Roman" w:cs="Times New Roman"/>
                <w:i/>
                <w:sz w:val="24"/>
                <w:szCs w:val="24"/>
                <w:lang w:val="lv-LV"/>
              </w:rPr>
              <w:t>Debt</w:t>
            </w:r>
            <w:proofErr w:type="spellEnd"/>
            <w:r w:rsidRPr="009D1BB4">
              <w:rPr>
                <w:rFonts w:ascii="Times New Roman" w:eastAsia="Times New Roman" w:hAnsi="Times New Roman" w:cs="Times New Roman"/>
                <w:color w:val="000000"/>
                <w:sz w:val="24"/>
                <w:szCs w:val="24"/>
                <w:lang w:val="lv-LV" w:eastAsia="lv-LV"/>
              </w:rPr>
              <w:t>)</w:t>
            </w:r>
          </w:p>
        </w:tc>
        <w:tc>
          <w:tcPr>
            <w:tcW w:w="1559" w:type="dxa"/>
          </w:tcPr>
          <w:p w14:paraId="00C72C2B" w14:textId="7F91437B"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Pr="0069459A">
              <w:rPr>
                <w:rFonts w:ascii="Times New Roman" w:hAnsi="Times New Roman" w:cs="Times New Roman"/>
                <w:sz w:val="24"/>
                <w:szCs w:val="24"/>
                <w:vertAlign w:val="superscript"/>
                <w:lang w:val="lv-LV"/>
              </w:rPr>
              <w:t>2</w:t>
            </w:r>
          </w:p>
        </w:tc>
        <w:tc>
          <w:tcPr>
            <w:tcW w:w="1647" w:type="dxa"/>
          </w:tcPr>
          <w:p w14:paraId="73F63061" w14:textId="02D6CFB5"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Valsts kase</w:t>
            </w:r>
          </w:p>
        </w:tc>
      </w:tr>
      <w:tr w:rsidR="00877455" w:rsidRPr="0069459A" w14:paraId="15BD71A3" w14:textId="77777777" w:rsidTr="001D0426">
        <w:trPr>
          <w:trHeight w:val="685"/>
        </w:trPr>
        <w:tc>
          <w:tcPr>
            <w:tcW w:w="675" w:type="dxa"/>
          </w:tcPr>
          <w:p w14:paraId="64D386DB" w14:textId="065505DD"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12.</w:t>
            </w:r>
          </w:p>
        </w:tc>
        <w:tc>
          <w:tcPr>
            <w:tcW w:w="5812" w:type="dxa"/>
          </w:tcPr>
          <w:p w14:paraId="06CE907B" w14:textId="77777777" w:rsidR="00877455" w:rsidRPr="0069459A" w:rsidRDefault="00877455" w:rsidP="00E567A4">
            <w:pPr>
              <w:rPr>
                <w:rFonts w:ascii="Times New Roman" w:hAnsi="Times New Roman" w:cs="Times New Roman"/>
                <w:i/>
                <w:sz w:val="24"/>
                <w:szCs w:val="24"/>
                <w:lang w:val="lv-LV"/>
              </w:rPr>
            </w:pPr>
            <w:r w:rsidRPr="0069459A">
              <w:rPr>
                <w:rFonts w:ascii="Times New Roman" w:hAnsi="Times New Roman" w:cs="Times New Roman"/>
                <w:sz w:val="24"/>
                <w:szCs w:val="24"/>
                <w:lang w:val="lv-LV"/>
              </w:rPr>
              <w:t>Centrālās valdības darījumi</w:t>
            </w:r>
            <w:r w:rsidRPr="0069459A">
              <w:rPr>
                <w:rFonts w:ascii="Times New Roman" w:hAnsi="Times New Roman" w:cs="Times New Roman"/>
                <w:i/>
                <w:sz w:val="24"/>
                <w:szCs w:val="24"/>
                <w:lang w:val="lv-LV"/>
              </w:rPr>
              <w:t xml:space="preserve"> </w:t>
            </w:r>
          </w:p>
          <w:p w14:paraId="21E95D99" w14:textId="3D898411" w:rsidR="00877455" w:rsidRPr="009D1BB4" w:rsidRDefault="00877455" w:rsidP="00E567A4">
            <w:pPr>
              <w:rPr>
                <w:rFonts w:ascii="Times New Roman" w:hAnsi="Times New Roman" w:cs="Times New Roman"/>
                <w:sz w:val="24"/>
                <w:szCs w:val="24"/>
                <w:lang w:val="lv-LV"/>
              </w:rPr>
            </w:pPr>
            <w:r w:rsidRPr="009D1BB4">
              <w:rPr>
                <w:rFonts w:ascii="Times New Roman" w:eastAsia="Times New Roman" w:hAnsi="Times New Roman" w:cs="Times New Roman"/>
                <w:color w:val="000000"/>
                <w:sz w:val="24"/>
                <w:szCs w:val="24"/>
                <w:lang w:val="lv-LV" w:eastAsia="lv-LV"/>
              </w:rPr>
              <w:t>(</w:t>
            </w:r>
            <w:proofErr w:type="spellStart"/>
            <w:r w:rsidRPr="009D1BB4">
              <w:rPr>
                <w:rFonts w:ascii="Times New Roman" w:hAnsi="Times New Roman" w:cs="Times New Roman"/>
                <w:i/>
                <w:sz w:val="24"/>
                <w:szCs w:val="24"/>
                <w:lang w:val="lv-LV"/>
              </w:rPr>
              <w:t>Central</w:t>
            </w:r>
            <w:proofErr w:type="spellEnd"/>
            <w:r w:rsidRPr="009D1BB4">
              <w:rPr>
                <w:rFonts w:ascii="Times New Roman" w:hAnsi="Times New Roman" w:cs="Times New Roman"/>
                <w:i/>
                <w:sz w:val="24"/>
                <w:szCs w:val="24"/>
                <w:lang w:val="lv-LV"/>
              </w:rPr>
              <w:t xml:space="preserve"> </w:t>
            </w:r>
            <w:proofErr w:type="spellStart"/>
            <w:r w:rsidRPr="009D1BB4">
              <w:rPr>
                <w:rFonts w:ascii="Times New Roman" w:hAnsi="Times New Roman" w:cs="Times New Roman"/>
                <w:i/>
                <w:sz w:val="24"/>
                <w:szCs w:val="24"/>
                <w:lang w:val="lv-LV"/>
              </w:rPr>
              <w:t>Government</w:t>
            </w:r>
            <w:proofErr w:type="spellEnd"/>
            <w:r w:rsidRPr="009D1BB4">
              <w:rPr>
                <w:rFonts w:ascii="Times New Roman" w:hAnsi="Times New Roman" w:cs="Times New Roman"/>
                <w:i/>
                <w:sz w:val="24"/>
                <w:szCs w:val="24"/>
                <w:lang w:val="lv-LV"/>
              </w:rPr>
              <w:t xml:space="preserve"> </w:t>
            </w:r>
            <w:proofErr w:type="spellStart"/>
            <w:r w:rsidRPr="009D1BB4">
              <w:rPr>
                <w:rFonts w:ascii="Times New Roman" w:hAnsi="Times New Roman" w:cs="Times New Roman"/>
                <w:i/>
                <w:sz w:val="24"/>
                <w:szCs w:val="24"/>
                <w:lang w:val="lv-LV"/>
              </w:rPr>
              <w:t>Operations</w:t>
            </w:r>
            <w:proofErr w:type="spellEnd"/>
            <w:r w:rsidRPr="009D1BB4">
              <w:rPr>
                <w:rFonts w:ascii="Times New Roman" w:eastAsia="Times New Roman" w:hAnsi="Times New Roman" w:cs="Times New Roman"/>
                <w:color w:val="000000"/>
                <w:sz w:val="24"/>
                <w:szCs w:val="24"/>
                <w:lang w:val="lv-LV" w:eastAsia="lv-LV"/>
              </w:rPr>
              <w:t>)</w:t>
            </w:r>
          </w:p>
        </w:tc>
        <w:tc>
          <w:tcPr>
            <w:tcW w:w="1559" w:type="dxa"/>
          </w:tcPr>
          <w:p w14:paraId="10B8687D" w14:textId="5F9C61A8"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Pr="0069459A">
              <w:rPr>
                <w:rFonts w:ascii="Times New Roman" w:hAnsi="Times New Roman" w:cs="Times New Roman"/>
                <w:sz w:val="24"/>
                <w:szCs w:val="24"/>
                <w:vertAlign w:val="superscript"/>
                <w:lang w:val="lv-LV"/>
              </w:rPr>
              <w:t>2</w:t>
            </w:r>
          </w:p>
        </w:tc>
        <w:tc>
          <w:tcPr>
            <w:tcW w:w="1647" w:type="dxa"/>
          </w:tcPr>
          <w:p w14:paraId="0D8D35D7" w14:textId="0D5B4FF0"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Valsts kase</w:t>
            </w:r>
          </w:p>
        </w:tc>
      </w:tr>
      <w:tr w:rsidR="00877455" w:rsidRPr="0069459A" w14:paraId="0F71EE38" w14:textId="77777777" w:rsidTr="001D0426">
        <w:trPr>
          <w:trHeight w:val="695"/>
        </w:trPr>
        <w:tc>
          <w:tcPr>
            <w:tcW w:w="9693" w:type="dxa"/>
            <w:gridSpan w:val="4"/>
          </w:tcPr>
          <w:p w14:paraId="0B847D22" w14:textId="77777777" w:rsidR="00877455" w:rsidRPr="0069459A" w:rsidRDefault="00877455" w:rsidP="00877455">
            <w:pPr>
              <w:rPr>
                <w:rFonts w:ascii="Times New Roman" w:hAnsi="Times New Roman" w:cs="Times New Roman"/>
                <w:b/>
                <w:caps/>
                <w:sz w:val="24"/>
                <w:szCs w:val="24"/>
                <w:lang w:val="lv-LV"/>
              </w:rPr>
            </w:pPr>
            <w:r w:rsidRPr="0069459A">
              <w:rPr>
                <w:rFonts w:ascii="Times New Roman" w:hAnsi="Times New Roman" w:cs="Times New Roman"/>
                <w:b/>
                <w:caps/>
                <w:sz w:val="24"/>
                <w:szCs w:val="24"/>
                <w:lang w:val="lv-LV"/>
              </w:rPr>
              <w:t xml:space="preserve">Finanšu sektors </w:t>
            </w:r>
          </w:p>
          <w:p w14:paraId="30F4FF60" w14:textId="74C13C51"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b/>
                <w:caps/>
                <w:sz w:val="24"/>
                <w:szCs w:val="24"/>
                <w:lang w:val="lv-LV"/>
              </w:rPr>
              <w:t>(</w:t>
            </w:r>
            <w:r w:rsidRPr="0069459A">
              <w:rPr>
                <w:rFonts w:ascii="Times New Roman" w:hAnsi="Times New Roman" w:cs="Times New Roman"/>
                <w:b/>
                <w:i/>
                <w:caps/>
                <w:sz w:val="24"/>
                <w:szCs w:val="24"/>
                <w:lang w:val="lv-LV"/>
              </w:rPr>
              <w:t>Financial sector</w:t>
            </w:r>
            <w:r w:rsidRPr="0069459A">
              <w:rPr>
                <w:rFonts w:ascii="Times New Roman" w:hAnsi="Times New Roman" w:cs="Times New Roman"/>
                <w:b/>
                <w:caps/>
                <w:sz w:val="24"/>
                <w:szCs w:val="24"/>
                <w:lang w:val="lv-LV"/>
              </w:rPr>
              <w:t>)</w:t>
            </w:r>
          </w:p>
        </w:tc>
      </w:tr>
      <w:tr w:rsidR="00877455" w:rsidRPr="0069459A" w14:paraId="5949039E" w14:textId="77777777" w:rsidTr="001D0426">
        <w:trPr>
          <w:trHeight w:val="706"/>
        </w:trPr>
        <w:tc>
          <w:tcPr>
            <w:tcW w:w="675" w:type="dxa"/>
          </w:tcPr>
          <w:p w14:paraId="18643605" w14:textId="5625D572"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13.</w:t>
            </w:r>
          </w:p>
        </w:tc>
        <w:tc>
          <w:tcPr>
            <w:tcW w:w="5812" w:type="dxa"/>
          </w:tcPr>
          <w:p w14:paraId="047A573A" w14:textId="77777777"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 xml:space="preserve">Banku sistēmas monetārie rādītāji </w:t>
            </w:r>
          </w:p>
          <w:p w14:paraId="5779120A" w14:textId="6470F342" w:rsidR="00877455" w:rsidRPr="009D1BB4" w:rsidRDefault="00877455" w:rsidP="00E567A4">
            <w:pPr>
              <w:rPr>
                <w:rFonts w:ascii="Times New Roman" w:hAnsi="Times New Roman" w:cs="Times New Roman"/>
                <w:sz w:val="24"/>
                <w:szCs w:val="24"/>
                <w:lang w:val="lv-LV"/>
              </w:rPr>
            </w:pPr>
            <w:r w:rsidRPr="009D1BB4">
              <w:rPr>
                <w:rFonts w:ascii="Times New Roman" w:eastAsia="Times New Roman" w:hAnsi="Times New Roman" w:cs="Times New Roman"/>
                <w:color w:val="000000"/>
                <w:sz w:val="24"/>
                <w:szCs w:val="24"/>
                <w:lang w:val="lv-LV" w:eastAsia="lv-LV"/>
              </w:rPr>
              <w:t>(</w:t>
            </w:r>
            <w:proofErr w:type="spellStart"/>
            <w:r w:rsidRPr="009D1BB4">
              <w:rPr>
                <w:rFonts w:ascii="Times New Roman" w:hAnsi="Times New Roman" w:cs="Times New Roman"/>
                <w:i/>
                <w:sz w:val="24"/>
                <w:szCs w:val="24"/>
                <w:lang w:val="lv-LV"/>
              </w:rPr>
              <w:t>Depository</w:t>
            </w:r>
            <w:proofErr w:type="spellEnd"/>
            <w:r w:rsidRPr="009D1BB4">
              <w:rPr>
                <w:rFonts w:ascii="Times New Roman" w:hAnsi="Times New Roman" w:cs="Times New Roman"/>
                <w:i/>
                <w:sz w:val="24"/>
                <w:szCs w:val="24"/>
                <w:lang w:val="lv-LV"/>
              </w:rPr>
              <w:t xml:space="preserve"> </w:t>
            </w:r>
            <w:proofErr w:type="spellStart"/>
            <w:r w:rsidRPr="009D1BB4">
              <w:rPr>
                <w:rFonts w:ascii="Times New Roman" w:hAnsi="Times New Roman" w:cs="Times New Roman"/>
                <w:i/>
                <w:sz w:val="24"/>
                <w:szCs w:val="24"/>
                <w:lang w:val="lv-LV"/>
              </w:rPr>
              <w:t>Corporations</w:t>
            </w:r>
            <w:proofErr w:type="spellEnd"/>
            <w:r w:rsidRPr="009D1BB4">
              <w:rPr>
                <w:rFonts w:ascii="Times New Roman" w:hAnsi="Times New Roman" w:cs="Times New Roman"/>
                <w:i/>
                <w:sz w:val="24"/>
                <w:szCs w:val="24"/>
                <w:lang w:val="lv-LV"/>
              </w:rPr>
              <w:t xml:space="preserve"> </w:t>
            </w:r>
            <w:proofErr w:type="spellStart"/>
            <w:r w:rsidRPr="009D1BB4">
              <w:rPr>
                <w:rFonts w:ascii="Times New Roman" w:hAnsi="Times New Roman" w:cs="Times New Roman"/>
                <w:i/>
                <w:sz w:val="24"/>
                <w:szCs w:val="24"/>
                <w:lang w:val="lv-LV"/>
              </w:rPr>
              <w:t>Survey</w:t>
            </w:r>
            <w:proofErr w:type="spellEnd"/>
            <w:r w:rsidRPr="009D1BB4">
              <w:rPr>
                <w:rFonts w:ascii="Times New Roman" w:eastAsia="Times New Roman" w:hAnsi="Times New Roman" w:cs="Times New Roman"/>
                <w:color w:val="000000"/>
                <w:sz w:val="24"/>
                <w:szCs w:val="24"/>
                <w:lang w:val="lv-LV" w:eastAsia="lv-LV"/>
              </w:rPr>
              <w:t>)</w:t>
            </w:r>
          </w:p>
        </w:tc>
        <w:tc>
          <w:tcPr>
            <w:tcW w:w="1559" w:type="dxa"/>
          </w:tcPr>
          <w:p w14:paraId="5AB5FAA0" w14:textId="5C3104BD"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Pr="0069459A">
              <w:rPr>
                <w:rFonts w:ascii="Times New Roman" w:hAnsi="Times New Roman" w:cs="Times New Roman"/>
                <w:sz w:val="24"/>
                <w:szCs w:val="24"/>
                <w:vertAlign w:val="superscript"/>
                <w:lang w:val="lv-LV"/>
              </w:rPr>
              <w:t>2</w:t>
            </w:r>
          </w:p>
        </w:tc>
        <w:tc>
          <w:tcPr>
            <w:tcW w:w="1647" w:type="dxa"/>
          </w:tcPr>
          <w:p w14:paraId="125CA2AC" w14:textId="5F8FB7BA"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LB</w:t>
            </w:r>
          </w:p>
        </w:tc>
      </w:tr>
      <w:tr w:rsidR="00877455" w:rsidRPr="0069459A" w14:paraId="0B6C7E35" w14:textId="77777777" w:rsidTr="001D0426">
        <w:trPr>
          <w:trHeight w:val="702"/>
        </w:trPr>
        <w:tc>
          <w:tcPr>
            <w:tcW w:w="675" w:type="dxa"/>
          </w:tcPr>
          <w:p w14:paraId="20E264A1" w14:textId="2483F92C"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14.</w:t>
            </w:r>
          </w:p>
        </w:tc>
        <w:tc>
          <w:tcPr>
            <w:tcW w:w="5812" w:type="dxa"/>
          </w:tcPr>
          <w:p w14:paraId="75FADD14" w14:textId="77777777"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 xml:space="preserve">Latvijas Bankas monetārie rādītāji </w:t>
            </w:r>
          </w:p>
          <w:p w14:paraId="283B3E12" w14:textId="34004F23" w:rsidR="00877455" w:rsidRPr="009D1BB4" w:rsidRDefault="00877455" w:rsidP="00E567A4">
            <w:pPr>
              <w:rPr>
                <w:rFonts w:ascii="Times New Roman" w:hAnsi="Times New Roman" w:cs="Times New Roman"/>
                <w:sz w:val="24"/>
                <w:szCs w:val="24"/>
                <w:lang w:val="lv-LV"/>
              </w:rPr>
            </w:pPr>
            <w:r w:rsidRPr="009D1BB4">
              <w:rPr>
                <w:rFonts w:ascii="Times New Roman" w:eastAsia="Times New Roman" w:hAnsi="Times New Roman" w:cs="Times New Roman"/>
                <w:color w:val="000000"/>
                <w:sz w:val="24"/>
                <w:szCs w:val="24"/>
                <w:lang w:val="lv-LV" w:eastAsia="lv-LV"/>
              </w:rPr>
              <w:t>(</w:t>
            </w:r>
            <w:proofErr w:type="spellStart"/>
            <w:r w:rsidRPr="009D1BB4">
              <w:rPr>
                <w:rFonts w:ascii="Times New Roman" w:hAnsi="Times New Roman" w:cs="Times New Roman"/>
                <w:i/>
                <w:sz w:val="24"/>
                <w:szCs w:val="24"/>
                <w:lang w:val="lv-LV"/>
              </w:rPr>
              <w:t>Central</w:t>
            </w:r>
            <w:proofErr w:type="spellEnd"/>
            <w:r w:rsidRPr="009D1BB4">
              <w:rPr>
                <w:rFonts w:ascii="Times New Roman" w:hAnsi="Times New Roman" w:cs="Times New Roman"/>
                <w:i/>
                <w:sz w:val="24"/>
                <w:szCs w:val="24"/>
                <w:lang w:val="lv-LV"/>
              </w:rPr>
              <w:t xml:space="preserve"> </w:t>
            </w:r>
            <w:proofErr w:type="spellStart"/>
            <w:r w:rsidRPr="009D1BB4">
              <w:rPr>
                <w:rFonts w:ascii="Times New Roman" w:hAnsi="Times New Roman" w:cs="Times New Roman"/>
                <w:i/>
                <w:sz w:val="24"/>
                <w:szCs w:val="24"/>
                <w:lang w:val="lv-LV"/>
              </w:rPr>
              <w:t>Bank</w:t>
            </w:r>
            <w:proofErr w:type="spellEnd"/>
            <w:r w:rsidRPr="009D1BB4">
              <w:rPr>
                <w:rFonts w:ascii="Times New Roman" w:hAnsi="Times New Roman" w:cs="Times New Roman"/>
                <w:i/>
                <w:sz w:val="24"/>
                <w:szCs w:val="24"/>
                <w:lang w:val="lv-LV"/>
              </w:rPr>
              <w:t xml:space="preserve"> </w:t>
            </w:r>
            <w:proofErr w:type="spellStart"/>
            <w:r w:rsidRPr="009D1BB4">
              <w:rPr>
                <w:rFonts w:ascii="Times New Roman" w:hAnsi="Times New Roman" w:cs="Times New Roman"/>
                <w:i/>
                <w:sz w:val="24"/>
                <w:szCs w:val="24"/>
                <w:lang w:val="lv-LV"/>
              </w:rPr>
              <w:t>Survey</w:t>
            </w:r>
            <w:proofErr w:type="spellEnd"/>
            <w:r w:rsidRPr="009D1BB4">
              <w:rPr>
                <w:rFonts w:ascii="Times New Roman" w:eastAsia="Times New Roman" w:hAnsi="Times New Roman" w:cs="Times New Roman"/>
                <w:color w:val="000000"/>
                <w:sz w:val="24"/>
                <w:szCs w:val="24"/>
                <w:lang w:val="lv-LV" w:eastAsia="lv-LV"/>
              </w:rPr>
              <w:t>)</w:t>
            </w:r>
          </w:p>
        </w:tc>
        <w:tc>
          <w:tcPr>
            <w:tcW w:w="1559" w:type="dxa"/>
          </w:tcPr>
          <w:p w14:paraId="03C8FA41" w14:textId="0AE8C9C2"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Pr="0069459A">
              <w:rPr>
                <w:rFonts w:ascii="Times New Roman" w:hAnsi="Times New Roman" w:cs="Times New Roman"/>
                <w:sz w:val="24"/>
                <w:szCs w:val="24"/>
                <w:vertAlign w:val="superscript"/>
                <w:lang w:val="lv-LV"/>
              </w:rPr>
              <w:t>2</w:t>
            </w:r>
          </w:p>
        </w:tc>
        <w:tc>
          <w:tcPr>
            <w:tcW w:w="1647" w:type="dxa"/>
          </w:tcPr>
          <w:p w14:paraId="50354E8D" w14:textId="1F90DB5D"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LB</w:t>
            </w:r>
          </w:p>
        </w:tc>
      </w:tr>
      <w:tr w:rsidR="00877455" w:rsidRPr="0069459A" w14:paraId="08FC551A" w14:textId="77777777" w:rsidTr="001D0426">
        <w:trPr>
          <w:trHeight w:val="704"/>
        </w:trPr>
        <w:tc>
          <w:tcPr>
            <w:tcW w:w="675" w:type="dxa"/>
          </w:tcPr>
          <w:p w14:paraId="11617BE7" w14:textId="237FDD3A"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15.</w:t>
            </w:r>
          </w:p>
        </w:tc>
        <w:tc>
          <w:tcPr>
            <w:tcW w:w="5812" w:type="dxa"/>
          </w:tcPr>
          <w:p w14:paraId="7B56AD05" w14:textId="77777777"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 xml:space="preserve">Citu finanšu sabiedrību pārskats </w:t>
            </w:r>
          </w:p>
          <w:p w14:paraId="63DB0D94" w14:textId="47388670" w:rsidR="00877455" w:rsidRPr="009D1BB4" w:rsidRDefault="00877455" w:rsidP="00E567A4">
            <w:pPr>
              <w:rPr>
                <w:rFonts w:ascii="Times New Roman" w:hAnsi="Times New Roman" w:cs="Times New Roman"/>
                <w:sz w:val="24"/>
                <w:szCs w:val="24"/>
                <w:lang w:val="lv-LV"/>
              </w:rPr>
            </w:pPr>
            <w:r w:rsidRPr="009D1BB4">
              <w:rPr>
                <w:rFonts w:ascii="Times New Roman" w:hAnsi="Times New Roman" w:cs="Times New Roman"/>
                <w:sz w:val="24"/>
                <w:szCs w:val="24"/>
                <w:lang w:val="lv-LV"/>
              </w:rPr>
              <w:t>(</w:t>
            </w:r>
            <w:proofErr w:type="spellStart"/>
            <w:r w:rsidRPr="009D1BB4">
              <w:rPr>
                <w:rFonts w:ascii="Times New Roman" w:hAnsi="Times New Roman" w:cs="Times New Roman"/>
                <w:i/>
                <w:sz w:val="24"/>
                <w:szCs w:val="24"/>
                <w:lang w:val="lv-LV"/>
              </w:rPr>
              <w:t>Other</w:t>
            </w:r>
            <w:proofErr w:type="spellEnd"/>
            <w:r w:rsidRPr="009D1BB4">
              <w:rPr>
                <w:rFonts w:ascii="Times New Roman" w:hAnsi="Times New Roman" w:cs="Times New Roman"/>
                <w:i/>
                <w:sz w:val="24"/>
                <w:szCs w:val="24"/>
                <w:lang w:val="lv-LV"/>
              </w:rPr>
              <w:t xml:space="preserve"> </w:t>
            </w:r>
            <w:proofErr w:type="spellStart"/>
            <w:r w:rsidRPr="009D1BB4">
              <w:rPr>
                <w:rFonts w:ascii="Times New Roman" w:hAnsi="Times New Roman" w:cs="Times New Roman"/>
                <w:i/>
                <w:sz w:val="24"/>
                <w:szCs w:val="24"/>
                <w:lang w:val="lv-LV"/>
              </w:rPr>
              <w:t>Financial</w:t>
            </w:r>
            <w:proofErr w:type="spellEnd"/>
            <w:r w:rsidRPr="009D1BB4">
              <w:rPr>
                <w:rFonts w:ascii="Times New Roman" w:hAnsi="Times New Roman" w:cs="Times New Roman"/>
                <w:i/>
                <w:sz w:val="24"/>
                <w:szCs w:val="24"/>
                <w:lang w:val="lv-LV"/>
              </w:rPr>
              <w:t xml:space="preserve"> </w:t>
            </w:r>
            <w:proofErr w:type="spellStart"/>
            <w:r w:rsidRPr="009D1BB4">
              <w:rPr>
                <w:rFonts w:ascii="Times New Roman" w:hAnsi="Times New Roman" w:cs="Times New Roman"/>
                <w:i/>
                <w:sz w:val="24"/>
                <w:szCs w:val="24"/>
                <w:lang w:val="lv-LV"/>
              </w:rPr>
              <w:t>Corporations</w:t>
            </w:r>
            <w:proofErr w:type="spellEnd"/>
            <w:r w:rsidRPr="009D1BB4">
              <w:rPr>
                <w:rFonts w:ascii="Times New Roman" w:hAnsi="Times New Roman" w:cs="Times New Roman"/>
                <w:i/>
                <w:sz w:val="24"/>
                <w:szCs w:val="24"/>
                <w:lang w:val="lv-LV"/>
              </w:rPr>
              <w:t xml:space="preserve"> </w:t>
            </w:r>
            <w:proofErr w:type="spellStart"/>
            <w:r w:rsidRPr="009D1BB4">
              <w:rPr>
                <w:rFonts w:ascii="Times New Roman" w:hAnsi="Times New Roman" w:cs="Times New Roman"/>
                <w:i/>
                <w:sz w:val="24"/>
                <w:szCs w:val="24"/>
                <w:lang w:val="lv-LV"/>
              </w:rPr>
              <w:t>Survey</w:t>
            </w:r>
            <w:proofErr w:type="spellEnd"/>
            <w:r w:rsidRPr="009D1BB4">
              <w:rPr>
                <w:rFonts w:ascii="Times New Roman" w:eastAsia="Times New Roman" w:hAnsi="Times New Roman" w:cs="Times New Roman"/>
                <w:color w:val="000000"/>
                <w:sz w:val="24"/>
                <w:szCs w:val="24"/>
                <w:lang w:val="lv-LV" w:eastAsia="lv-LV"/>
              </w:rPr>
              <w:t>)</w:t>
            </w:r>
          </w:p>
        </w:tc>
        <w:tc>
          <w:tcPr>
            <w:tcW w:w="1559" w:type="dxa"/>
          </w:tcPr>
          <w:p w14:paraId="65A4DD9A" w14:textId="5E8A46A2"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SDIS Plus</w:t>
            </w:r>
            <w:r w:rsidRPr="0069459A">
              <w:rPr>
                <w:rFonts w:ascii="Times New Roman" w:hAnsi="Times New Roman" w:cs="Times New Roman"/>
                <w:sz w:val="24"/>
                <w:szCs w:val="24"/>
                <w:vertAlign w:val="superscript"/>
                <w:lang w:val="lv-LV"/>
              </w:rPr>
              <w:t>4</w:t>
            </w:r>
          </w:p>
        </w:tc>
        <w:tc>
          <w:tcPr>
            <w:tcW w:w="1647" w:type="dxa"/>
          </w:tcPr>
          <w:p w14:paraId="00D639EF" w14:textId="79C4ADC8"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LB</w:t>
            </w:r>
          </w:p>
        </w:tc>
      </w:tr>
      <w:tr w:rsidR="00877455" w:rsidRPr="0069459A" w14:paraId="52ABE513" w14:textId="77777777" w:rsidTr="001D0426">
        <w:trPr>
          <w:trHeight w:val="704"/>
        </w:trPr>
        <w:tc>
          <w:tcPr>
            <w:tcW w:w="675" w:type="dxa"/>
          </w:tcPr>
          <w:p w14:paraId="7F2E1EFF" w14:textId="227BB935"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16.</w:t>
            </w:r>
          </w:p>
        </w:tc>
        <w:tc>
          <w:tcPr>
            <w:tcW w:w="5812" w:type="dxa"/>
          </w:tcPr>
          <w:p w14:paraId="7F7CED82" w14:textId="1D923391" w:rsidR="00877455" w:rsidRPr="0069459A" w:rsidRDefault="00877455" w:rsidP="00E567A4">
            <w:pPr>
              <w:rPr>
                <w:rFonts w:ascii="Times New Roman" w:hAnsi="Times New Roman" w:cs="Times New Roman"/>
                <w:sz w:val="24"/>
                <w:szCs w:val="24"/>
                <w:vertAlign w:val="superscript"/>
                <w:lang w:val="lv-LV"/>
              </w:rPr>
            </w:pPr>
            <w:r w:rsidRPr="0069459A">
              <w:rPr>
                <w:rFonts w:ascii="Times New Roman" w:hAnsi="Times New Roman" w:cs="Times New Roman"/>
                <w:sz w:val="24"/>
                <w:szCs w:val="24"/>
                <w:lang w:val="lv-LV"/>
              </w:rPr>
              <w:t>Finanšu stabilitātes rādītāji</w:t>
            </w:r>
            <w:r w:rsidR="0051554D">
              <w:rPr>
                <w:rFonts w:ascii="Times New Roman" w:hAnsi="Times New Roman" w:cs="Times New Roman"/>
                <w:sz w:val="24"/>
                <w:szCs w:val="24"/>
                <w:vertAlign w:val="superscript"/>
                <w:lang w:val="lv-LV"/>
              </w:rPr>
              <w:t>7</w:t>
            </w:r>
          </w:p>
          <w:p w14:paraId="276816EC" w14:textId="76B08A76"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w:t>
            </w:r>
            <w:proofErr w:type="spellStart"/>
            <w:r w:rsidRPr="0069459A">
              <w:rPr>
                <w:rFonts w:ascii="Times New Roman" w:hAnsi="Times New Roman" w:cs="Times New Roman"/>
                <w:i/>
                <w:sz w:val="24"/>
                <w:szCs w:val="24"/>
                <w:lang w:val="lv-LV"/>
              </w:rPr>
              <w:t>Financial</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Soundness</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Indicators</w:t>
            </w:r>
            <w:proofErr w:type="spellEnd"/>
            <w:r w:rsidRPr="0069459A">
              <w:rPr>
                <w:rFonts w:ascii="Times New Roman" w:eastAsia="Times New Roman" w:hAnsi="Times New Roman" w:cs="Times New Roman"/>
                <w:color w:val="000000"/>
                <w:sz w:val="24"/>
                <w:szCs w:val="24"/>
                <w:lang w:val="lv-LV" w:eastAsia="lv-LV"/>
              </w:rPr>
              <w:t>)</w:t>
            </w:r>
          </w:p>
        </w:tc>
        <w:tc>
          <w:tcPr>
            <w:tcW w:w="1559" w:type="dxa"/>
          </w:tcPr>
          <w:p w14:paraId="5F441FFE" w14:textId="6DBCC2FB"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SDIS Plus</w:t>
            </w:r>
            <w:r w:rsidRPr="0069459A">
              <w:rPr>
                <w:rFonts w:ascii="Times New Roman" w:hAnsi="Times New Roman" w:cs="Times New Roman"/>
                <w:sz w:val="24"/>
                <w:szCs w:val="24"/>
                <w:vertAlign w:val="superscript"/>
                <w:lang w:val="lv-LV"/>
              </w:rPr>
              <w:t>4</w:t>
            </w:r>
          </w:p>
        </w:tc>
        <w:tc>
          <w:tcPr>
            <w:tcW w:w="1647" w:type="dxa"/>
          </w:tcPr>
          <w:p w14:paraId="538C3F52" w14:textId="529ECEC9" w:rsidR="00877455" w:rsidRPr="0069459A" w:rsidRDefault="007173A8" w:rsidP="00E567A4">
            <w:pPr>
              <w:rPr>
                <w:rFonts w:ascii="Times New Roman" w:hAnsi="Times New Roman" w:cs="Times New Roman"/>
                <w:sz w:val="24"/>
                <w:szCs w:val="24"/>
                <w:lang w:val="lv-LV"/>
              </w:rPr>
            </w:pPr>
            <w:r>
              <w:rPr>
                <w:rFonts w:ascii="Times New Roman" w:hAnsi="Times New Roman" w:cs="Times New Roman"/>
                <w:sz w:val="24"/>
                <w:szCs w:val="24"/>
                <w:lang w:val="lv-LV"/>
              </w:rPr>
              <w:t>FKTK</w:t>
            </w:r>
            <w:r w:rsidR="00D74EC7">
              <w:rPr>
                <w:rFonts w:ascii="Times New Roman" w:hAnsi="Times New Roman" w:cs="Times New Roman"/>
                <w:sz w:val="24"/>
                <w:szCs w:val="24"/>
                <w:lang w:val="lv-LV"/>
              </w:rPr>
              <w:t xml:space="preserve"> </w:t>
            </w:r>
            <w:r w:rsidR="00877455" w:rsidRPr="0069459A">
              <w:rPr>
                <w:rFonts w:ascii="Times New Roman" w:hAnsi="Times New Roman" w:cs="Times New Roman"/>
                <w:sz w:val="24"/>
                <w:szCs w:val="24"/>
                <w:lang w:val="lv-LV"/>
              </w:rPr>
              <w:t>un CSP</w:t>
            </w:r>
          </w:p>
        </w:tc>
      </w:tr>
      <w:tr w:rsidR="00877455" w:rsidRPr="0069459A" w14:paraId="05A47A77" w14:textId="77777777" w:rsidTr="001D0426">
        <w:trPr>
          <w:trHeight w:val="558"/>
        </w:trPr>
        <w:tc>
          <w:tcPr>
            <w:tcW w:w="675" w:type="dxa"/>
          </w:tcPr>
          <w:p w14:paraId="419B66D3" w14:textId="610D9A21"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lastRenderedPageBreak/>
              <w:t>17.</w:t>
            </w:r>
          </w:p>
        </w:tc>
        <w:tc>
          <w:tcPr>
            <w:tcW w:w="5812" w:type="dxa"/>
          </w:tcPr>
          <w:p w14:paraId="61DEDF65" w14:textId="77777777"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 xml:space="preserve">Parāda vērtspapīri </w:t>
            </w:r>
          </w:p>
          <w:p w14:paraId="01C48226" w14:textId="3E2D05C0"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w:t>
            </w:r>
            <w:proofErr w:type="spellStart"/>
            <w:r w:rsidRPr="0069459A">
              <w:rPr>
                <w:rFonts w:ascii="Times New Roman" w:hAnsi="Times New Roman" w:cs="Times New Roman"/>
                <w:i/>
                <w:sz w:val="24"/>
                <w:szCs w:val="24"/>
                <w:lang w:val="lv-LV"/>
              </w:rPr>
              <w:t>Debt</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Securities</w:t>
            </w:r>
            <w:proofErr w:type="spellEnd"/>
            <w:r w:rsidRPr="0069459A">
              <w:rPr>
                <w:rFonts w:ascii="Times New Roman" w:eastAsia="Times New Roman" w:hAnsi="Times New Roman" w:cs="Times New Roman"/>
                <w:color w:val="000000"/>
                <w:sz w:val="24"/>
                <w:szCs w:val="24"/>
                <w:lang w:val="lv-LV" w:eastAsia="lv-LV"/>
              </w:rPr>
              <w:t>)</w:t>
            </w:r>
          </w:p>
        </w:tc>
        <w:tc>
          <w:tcPr>
            <w:tcW w:w="1559" w:type="dxa"/>
          </w:tcPr>
          <w:p w14:paraId="6AC1A8F2" w14:textId="60426B58"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SDIS Plus</w:t>
            </w:r>
            <w:r w:rsidRPr="0069459A">
              <w:rPr>
                <w:rFonts w:ascii="Times New Roman" w:hAnsi="Times New Roman" w:cs="Times New Roman"/>
                <w:sz w:val="24"/>
                <w:szCs w:val="24"/>
                <w:vertAlign w:val="superscript"/>
                <w:lang w:val="lv-LV"/>
              </w:rPr>
              <w:t>4</w:t>
            </w:r>
          </w:p>
        </w:tc>
        <w:tc>
          <w:tcPr>
            <w:tcW w:w="1647" w:type="dxa"/>
          </w:tcPr>
          <w:p w14:paraId="227B2E26" w14:textId="6F1CEB94"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LB</w:t>
            </w:r>
          </w:p>
        </w:tc>
      </w:tr>
      <w:tr w:rsidR="00877455" w:rsidRPr="0069459A" w14:paraId="5703C383" w14:textId="77777777" w:rsidTr="001D0426">
        <w:trPr>
          <w:trHeight w:val="694"/>
        </w:trPr>
        <w:tc>
          <w:tcPr>
            <w:tcW w:w="675" w:type="dxa"/>
          </w:tcPr>
          <w:p w14:paraId="502737C4" w14:textId="662C8ED9"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18.</w:t>
            </w:r>
          </w:p>
        </w:tc>
        <w:tc>
          <w:tcPr>
            <w:tcW w:w="5812" w:type="dxa"/>
          </w:tcPr>
          <w:p w14:paraId="56710BAC" w14:textId="77777777"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 xml:space="preserve">Procentu likmes </w:t>
            </w:r>
          </w:p>
          <w:p w14:paraId="0B934102" w14:textId="49D9B474"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w:t>
            </w:r>
            <w:proofErr w:type="spellStart"/>
            <w:r w:rsidRPr="0069459A">
              <w:rPr>
                <w:rFonts w:ascii="Times New Roman" w:hAnsi="Times New Roman" w:cs="Times New Roman"/>
                <w:i/>
                <w:sz w:val="24"/>
                <w:szCs w:val="24"/>
                <w:lang w:val="lv-LV"/>
              </w:rPr>
              <w:t>Interest</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Rates</w:t>
            </w:r>
            <w:proofErr w:type="spellEnd"/>
            <w:r w:rsidRPr="0069459A">
              <w:rPr>
                <w:rFonts w:ascii="Times New Roman" w:eastAsia="Times New Roman" w:hAnsi="Times New Roman" w:cs="Times New Roman"/>
                <w:color w:val="000000"/>
                <w:sz w:val="24"/>
                <w:szCs w:val="24"/>
                <w:lang w:val="lv-LV" w:eastAsia="lv-LV"/>
              </w:rPr>
              <w:t>)</w:t>
            </w:r>
          </w:p>
        </w:tc>
        <w:tc>
          <w:tcPr>
            <w:tcW w:w="1559" w:type="dxa"/>
          </w:tcPr>
          <w:p w14:paraId="2B31A54C" w14:textId="0BB6F2BB" w:rsidR="00877455" w:rsidRPr="0069459A" w:rsidRDefault="009C319D" w:rsidP="009C319D">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Pr>
                <w:rFonts w:ascii="Times New Roman" w:hAnsi="Times New Roman" w:cs="Times New Roman"/>
                <w:sz w:val="24"/>
                <w:szCs w:val="24"/>
                <w:vertAlign w:val="superscript"/>
                <w:lang w:val="lv-LV"/>
              </w:rPr>
              <w:t>2</w:t>
            </w:r>
            <w:r w:rsidR="00343BD1">
              <w:rPr>
                <w:rFonts w:ascii="Times New Roman" w:hAnsi="Times New Roman" w:cs="Times New Roman"/>
                <w:sz w:val="24"/>
                <w:szCs w:val="24"/>
                <w:vertAlign w:val="superscript"/>
                <w:lang w:val="lv-LV"/>
              </w:rPr>
              <w:t xml:space="preserve"> 5</w:t>
            </w:r>
          </w:p>
        </w:tc>
        <w:tc>
          <w:tcPr>
            <w:tcW w:w="1647" w:type="dxa"/>
          </w:tcPr>
          <w:p w14:paraId="2A9F1799" w14:textId="73D09135"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LB</w:t>
            </w:r>
          </w:p>
        </w:tc>
      </w:tr>
      <w:tr w:rsidR="00877455" w:rsidRPr="0069459A" w14:paraId="1B173E21" w14:textId="77777777" w:rsidTr="001D0426">
        <w:trPr>
          <w:trHeight w:val="704"/>
        </w:trPr>
        <w:tc>
          <w:tcPr>
            <w:tcW w:w="675" w:type="dxa"/>
          </w:tcPr>
          <w:p w14:paraId="52C7D159" w14:textId="0B774644"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19.</w:t>
            </w:r>
          </w:p>
        </w:tc>
        <w:tc>
          <w:tcPr>
            <w:tcW w:w="5812" w:type="dxa"/>
          </w:tcPr>
          <w:p w14:paraId="79CF5672" w14:textId="773AB912"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eastAsia="lv-LV"/>
              </w:rPr>
              <w:t>Akciju tirgus: Akciju cenu indekss</w:t>
            </w:r>
          </w:p>
          <w:p w14:paraId="56B72C15" w14:textId="22345903"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w:t>
            </w:r>
            <w:proofErr w:type="spellStart"/>
            <w:r w:rsidRPr="0069459A">
              <w:rPr>
                <w:rFonts w:ascii="Times New Roman" w:hAnsi="Times New Roman" w:cs="Times New Roman"/>
                <w:i/>
                <w:sz w:val="24"/>
                <w:szCs w:val="24"/>
                <w:lang w:val="lv-LV"/>
              </w:rPr>
              <w:t>Stock</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Market</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Share</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Price</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Index</w:t>
            </w:r>
            <w:proofErr w:type="spellEnd"/>
            <w:r w:rsidRPr="0069459A">
              <w:rPr>
                <w:rFonts w:ascii="Times New Roman" w:eastAsia="Times New Roman" w:hAnsi="Times New Roman" w:cs="Times New Roman"/>
                <w:color w:val="000000"/>
                <w:sz w:val="24"/>
                <w:szCs w:val="24"/>
                <w:lang w:val="lv-LV" w:eastAsia="lv-LV"/>
              </w:rPr>
              <w:t>)</w:t>
            </w:r>
          </w:p>
        </w:tc>
        <w:tc>
          <w:tcPr>
            <w:tcW w:w="1559" w:type="dxa"/>
          </w:tcPr>
          <w:p w14:paraId="4D479CD5" w14:textId="2BE71E95" w:rsidR="00877455" w:rsidRPr="0069459A" w:rsidRDefault="00343BD1"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007966E6">
              <w:rPr>
                <w:rFonts w:ascii="Times New Roman" w:hAnsi="Times New Roman" w:cs="Times New Roman"/>
                <w:sz w:val="24"/>
                <w:szCs w:val="24"/>
                <w:vertAlign w:val="superscript"/>
                <w:lang w:val="lv-LV"/>
              </w:rPr>
              <w:t>2 5</w:t>
            </w:r>
          </w:p>
          <w:p w14:paraId="4C22F8EC" w14:textId="77777777" w:rsidR="00877455" w:rsidRPr="0069459A" w:rsidRDefault="00877455" w:rsidP="00E567A4">
            <w:pPr>
              <w:rPr>
                <w:rFonts w:ascii="Times New Roman" w:hAnsi="Times New Roman" w:cs="Times New Roman"/>
                <w:sz w:val="24"/>
                <w:szCs w:val="24"/>
                <w:lang w:val="lv-LV"/>
              </w:rPr>
            </w:pPr>
          </w:p>
        </w:tc>
        <w:tc>
          <w:tcPr>
            <w:tcW w:w="1647" w:type="dxa"/>
          </w:tcPr>
          <w:p w14:paraId="74B440A9" w14:textId="377274E8" w:rsidR="00877455" w:rsidRPr="0069459A" w:rsidRDefault="00C17EEE" w:rsidP="00602554">
            <w:pPr>
              <w:rPr>
                <w:rFonts w:ascii="Times New Roman" w:hAnsi="Times New Roman" w:cs="Times New Roman"/>
                <w:sz w:val="24"/>
                <w:szCs w:val="24"/>
                <w:lang w:val="lv-LV"/>
              </w:rPr>
            </w:pPr>
            <w:r w:rsidRPr="00825750">
              <w:rPr>
                <w:rFonts w:ascii="Times New Roman" w:hAnsi="Times New Roman" w:cs="Times New Roman"/>
                <w:sz w:val="24"/>
                <w:szCs w:val="24"/>
                <w:lang w:val="lv-LV"/>
              </w:rPr>
              <w:t xml:space="preserve">Datus un </w:t>
            </w:r>
            <w:proofErr w:type="spellStart"/>
            <w:r w:rsidRPr="00825750">
              <w:rPr>
                <w:rFonts w:ascii="Times New Roman" w:hAnsi="Times New Roman" w:cs="Times New Roman"/>
                <w:sz w:val="24"/>
                <w:szCs w:val="24"/>
                <w:lang w:val="lv-LV"/>
              </w:rPr>
              <w:t>metadatus</w:t>
            </w:r>
            <w:proofErr w:type="spellEnd"/>
            <w:r w:rsidRPr="00825750">
              <w:rPr>
                <w:rFonts w:ascii="Times New Roman" w:hAnsi="Times New Roman" w:cs="Times New Roman"/>
                <w:sz w:val="24"/>
                <w:szCs w:val="24"/>
                <w:lang w:val="lv-LV"/>
              </w:rPr>
              <w:t xml:space="preserve"> nodrošina</w:t>
            </w:r>
            <w:r>
              <w:rPr>
                <w:rFonts w:ascii="Times New Roman" w:hAnsi="Times New Roman" w:cs="Times New Roman"/>
                <w:i/>
                <w:sz w:val="24"/>
                <w:szCs w:val="24"/>
                <w:lang w:val="lv-LV"/>
              </w:rPr>
              <w:t xml:space="preserve"> </w:t>
            </w:r>
            <w:r w:rsidR="00602554" w:rsidRPr="00667EBF">
              <w:rPr>
                <w:rFonts w:ascii="Times New Roman" w:hAnsi="Times New Roman" w:cs="Times New Roman"/>
                <w:sz w:val="24"/>
                <w:szCs w:val="24"/>
                <w:lang w:val="lv-LV"/>
              </w:rPr>
              <w:t xml:space="preserve">AS </w:t>
            </w:r>
            <w:r w:rsidR="00E75730" w:rsidRPr="009D1BB4">
              <w:rPr>
                <w:rFonts w:ascii="Times New Roman" w:hAnsi="Times New Roman" w:cs="Times New Roman"/>
                <w:i/>
                <w:sz w:val="24"/>
                <w:szCs w:val="24"/>
                <w:lang w:val="lv-LV"/>
              </w:rPr>
              <w:t>N</w:t>
            </w:r>
            <w:r w:rsidR="00602554">
              <w:rPr>
                <w:rFonts w:ascii="Times New Roman" w:hAnsi="Times New Roman" w:cs="Times New Roman"/>
                <w:i/>
                <w:sz w:val="24"/>
                <w:szCs w:val="24"/>
                <w:lang w:val="lv-LV"/>
              </w:rPr>
              <w:t>asdaq</w:t>
            </w:r>
            <w:r w:rsidR="00E75730" w:rsidRPr="009D1BB4">
              <w:rPr>
                <w:rFonts w:ascii="Times New Roman" w:hAnsi="Times New Roman" w:cs="Times New Roman"/>
                <w:i/>
                <w:sz w:val="24"/>
                <w:szCs w:val="24"/>
                <w:lang w:val="lv-LV"/>
              </w:rPr>
              <w:t xml:space="preserve"> </w:t>
            </w:r>
            <w:proofErr w:type="spellStart"/>
            <w:r w:rsidR="00E75730" w:rsidRPr="009D1BB4">
              <w:rPr>
                <w:rFonts w:ascii="Times New Roman" w:hAnsi="Times New Roman" w:cs="Times New Roman"/>
                <w:i/>
                <w:sz w:val="24"/>
                <w:szCs w:val="24"/>
                <w:lang w:val="lv-LV"/>
              </w:rPr>
              <w:t>Riga</w:t>
            </w:r>
            <w:proofErr w:type="spellEnd"/>
            <w:r w:rsidR="00E75730" w:rsidRPr="0069459A">
              <w:rPr>
                <w:rFonts w:ascii="Times New Roman" w:hAnsi="Times New Roman" w:cs="Times New Roman"/>
                <w:sz w:val="24"/>
                <w:szCs w:val="24"/>
                <w:lang w:val="lv-LV"/>
              </w:rPr>
              <w:t xml:space="preserve"> </w:t>
            </w:r>
          </w:p>
        </w:tc>
      </w:tr>
      <w:tr w:rsidR="00877455" w:rsidRPr="0069459A" w14:paraId="362BBEAD" w14:textId="77777777" w:rsidTr="001D0426">
        <w:trPr>
          <w:trHeight w:val="686"/>
        </w:trPr>
        <w:tc>
          <w:tcPr>
            <w:tcW w:w="9693" w:type="dxa"/>
            <w:gridSpan w:val="4"/>
          </w:tcPr>
          <w:p w14:paraId="61A85051" w14:textId="77777777" w:rsidR="00877455" w:rsidRPr="0069459A" w:rsidRDefault="00877455" w:rsidP="00877455">
            <w:pPr>
              <w:rPr>
                <w:rFonts w:ascii="Times New Roman" w:hAnsi="Times New Roman" w:cs="Times New Roman"/>
                <w:b/>
                <w:caps/>
                <w:sz w:val="24"/>
                <w:szCs w:val="24"/>
                <w:lang w:val="lv-LV"/>
              </w:rPr>
            </w:pPr>
            <w:r w:rsidRPr="0069459A">
              <w:rPr>
                <w:rFonts w:ascii="Times New Roman" w:hAnsi="Times New Roman" w:cs="Times New Roman"/>
                <w:b/>
                <w:caps/>
                <w:sz w:val="24"/>
                <w:szCs w:val="24"/>
                <w:lang w:val="lv-LV"/>
              </w:rPr>
              <w:t xml:space="preserve">Ārējais sektors </w:t>
            </w:r>
          </w:p>
          <w:p w14:paraId="01BA200B" w14:textId="111E2F23"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b/>
                <w:sz w:val="24"/>
                <w:szCs w:val="24"/>
                <w:lang w:val="lv-LV"/>
              </w:rPr>
              <w:t>(</w:t>
            </w:r>
            <w:r w:rsidRPr="0069459A">
              <w:rPr>
                <w:rFonts w:ascii="Times New Roman" w:hAnsi="Times New Roman" w:cs="Times New Roman"/>
                <w:b/>
                <w:i/>
                <w:caps/>
                <w:sz w:val="24"/>
                <w:szCs w:val="24"/>
                <w:lang w:val="lv-LV"/>
              </w:rPr>
              <w:t>External sector</w:t>
            </w:r>
            <w:r w:rsidRPr="0069459A">
              <w:rPr>
                <w:rFonts w:ascii="Times New Roman" w:hAnsi="Times New Roman" w:cs="Times New Roman"/>
                <w:b/>
                <w:caps/>
                <w:sz w:val="24"/>
                <w:szCs w:val="24"/>
                <w:lang w:val="lv-LV"/>
              </w:rPr>
              <w:t>)</w:t>
            </w:r>
          </w:p>
        </w:tc>
      </w:tr>
      <w:tr w:rsidR="00877455" w:rsidRPr="0069459A" w14:paraId="75DD73C7" w14:textId="77777777" w:rsidTr="001D0426">
        <w:trPr>
          <w:trHeight w:val="709"/>
        </w:trPr>
        <w:tc>
          <w:tcPr>
            <w:tcW w:w="675" w:type="dxa"/>
          </w:tcPr>
          <w:p w14:paraId="1DC960DB" w14:textId="72F33C03"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20.</w:t>
            </w:r>
          </w:p>
        </w:tc>
        <w:tc>
          <w:tcPr>
            <w:tcW w:w="5812" w:type="dxa"/>
          </w:tcPr>
          <w:p w14:paraId="785223F1" w14:textId="77777777"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 xml:space="preserve">Maksājumu bilance </w:t>
            </w:r>
          </w:p>
          <w:p w14:paraId="51957C90" w14:textId="0239C147" w:rsidR="00877455" w:rsidRPr="0069459A" w:rsidRDefault="00877455" w:rsidP="00E567A4">
            <w:pPr>
              <w:rPr>
                <w:rFonts w:ascii="Times New Roman" w:hAnsi="Times New Roman" w:cs="Times New Roman"/>
                <w:sz w:val="24"/>
                <w:szCs w:val="24"/>
                <w:lang w:val="lv-LV" w:eastAsia="lv-LV"/>
              </w:rPr>
            </w:pPr>
            <w:r w:rsidRPr="0069459A">
              <w:rPr>
                <w:rFonts w:ascii="Times New Roman" w:hAnsi="Times New Roman" w:cs="Times New Roman"/>
                <w:sz w:val="24"/>
                <w:szCs w:val="24"/>
                <w:lang w:val="lv-LV"/>
              </w:rPr>
              <w:t>(</w:t>
            </w:r>
            <w:proofErr w:type="spellStart"/>
            <w:r w:rsidRPr="0069459A">
              <w:rPr>
                <w:rFonts w:ascii="Times New Roman" w:hAnsi="Times New Roman" w:cs="Times New Roman"/>
                <w:i/>
                <w:sz w:val="24"/>
                <w:szCs w:val="24"/>
                <w:lang w:val="lv-LV"/>
              </w:rPr>
              <w:t>Balance</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of</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Payments</w:t>
            </w:r>
            <w:proofErr w:type="spellEnd"/>
            <w:r w:rsidRPr="0069459A">
              <w:rPr>
                <w:rFonts w:ascii="Times New Roman" w:eastAsia="Times New Roman" w:hAnsi="Times New Roman" w:cs="Times New Roman"/>
                <w:color w:val="000000"/>
                <w:sz w:val="24"/>
                <w:szCs w:val="24"/>
                <w:lang w:val="lv-LV" w:eastAsia="lv-LV"/>
              </w:rPr>
              <w:t>)</w:t>
            </w:r>
          </w:p>
        </w:tc>
        <w:tc>
          <w:tcPr>
            <w:tcW w:w="1559" w:type="dxa"/>
          </w:tcPr>
          <w:p w14:paraId="6ED87355" w14:textId="7CB8637B"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Pr="0069459A">
              <w:rPr>
                <w:rFonts w:ascii="Times New Roman" w:hAnsi="Times New Roman" w:cs="Times New Roman"/>
                <w:sz w:val="24"/>
                <w:szCs w:val="24"/>
                <w:vertAlign w:val="superscript"/>
                <w:lang w:val="lv-LV"/>
              </w:rPr>
              <w:t>2</w:t>
            </w:r>
          </w:p>
        </w:tc>
        <w:tc>
          <w:tcPr>
            <w:tcW w:w="1647" w:type="dxa"/>
          </w:tcPr>
          <w:p w14:paraId="00CD679D" w14:textId="48CD69B6"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LB</w:t>
            </w:r>
          </w:p>
        </w:tc>
      </w:tr>
      <w:tr w:rsidR="00877455" w:rsidRPr="0069459A" w14:paraId="29838237" w14:textId="77777777" w:rsidTr="001D0426">
        <w:trPr>
          <w:trHeight w:val="692"/>
        </w:trPr>
        <w:tc>
          <w:tcPr>
            <w:tcW w:w="675" w:type="dxa"/>
          </w:tcPr>
          <w:p w14:paraId="1DC4328D" w14:textId="32E07210"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21.</w:t>
            </w:r>
          </w:p>
        </w:tc>
        <w:tc>
          <w:tcPr>
            <w:tcW w:w="5812" w:type="dxa"/>
          </w:tcPr>
          <w:p w14:paraId="6784956B" w14:textId="77777777"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 xml:space="preserve">Rezerves aktīvi </w:t>
            </w:r>
          </w:p>
          <w:p w14:paraId="0AD4188D" w14:textId="64652042"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w:t>
            </w:r>
            <w:proofErr w:type="spellStart"/>
            <w:r w:rsidRPr="0069459A">
              <w:rPr>
                <w:rFonts w:ascii="Times New Roman" w:hAnsi="Times New Roman" w:cs="Times New Roman"/>
                <w:i/>
                <w:sz w:val="24"/>
                <w:szCs w:val="24"/>
                <w:lang w:val="lv-LV"/>
              </w:rPr>
              <w:t>Official</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Reserve</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Assets</w:t>
            </w:r>
            <w:proofErr w:type="spellEnd"/>
            <w:r w:rsidRPr="0069459A">
              <w:rPr>
                <w:rFonts w:ascii="Times New Roman" w:eastAsia="Times New Roman" w:hAnsi="Times New Roman" w:cs="Times New Roman"/>
                <w:color w:val="000000"/>
                <w:sz w:val="24"/>
                <w:szCs w:val="24"/>
                <w:lang w:val="lv-LV" w:eastAsia="lv-LV"/>
              </w:rPr>
              <w:t>)</w:t>
            </w:r>
          </w:p>
        </w:tc>
        <w:tc>
          <w:tcPr>
            <w:tcW w:w="1559" w:type="dxa"/>
          </w:tcPr>
          <w:p w14:paraId="05BE9E16" w14:textId="16935D85"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Pr="0069459A">
              <w:rPr>
                <w:rFonts w:ascii="Times New Roman" w:hAnsi="Times New Roman" w:cs="Times New Roman"/>
                <w:sz w:val="24"/>
                <w:szCs w:val="24"/>
                <w:vertAlign w:val="superscript"/>
                <w:lang w:val="lv-LV"/>
              </w:rPr>
              <w:t>2</w:t>
            </w:r>
          </w:p>
        </w:tc>
        <w:tc>
          <w:tcPr>
            <w:tcW w:w="1647" w:type="dxa"/>
          </w:tcPr>
          <w:p w14:paraId="7CC362B1" w14:textId="2E776D1E"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LB</w:t>
            </w:r>
          </w:p>
        </w:tc>
      </w:tr>
      <w:tr w:rsidR="00877455" w:rsidRPr="0069459A" w14:paraId="2EEB2C20" w14:textId="77777777" w:rsidTr="001D0426">
        <w:trPr>
          <w:trHeight w:val="843"/>
        </w:trPr>
        <w:tc>
          <w:tcPr>
            <w:tcW w:w="675" w:type="dxa"/>
          </w:tcPr>
          <w:p w14:paraId="5184F49E" w14:textId="7A07001C"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22.</w:t>
            </w:r>
          </w:p>
        </w:tc>
        <w:tc>
          <w:tcPr>
            <w:tcW w:w="5812" w:type="dxa"/>
          </w:tcPr>
          <w:p w14:paraId="799C1CF1" w14:textId="77777777"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 xml:space="preserve">Starptautisko rezervju matrica </w:t>
            </w:r>
          </w:p>
          <w:p w14:paraId="74A93FEA" w14:textId="750F439B"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w:t>
            </w:r>
            <w:proofErr w:type="spellStart"/>
            <w:r w:rsidRPr="0069459A">
              <w:rPr>
                <w:rFonts w:ascii="Times New Roman" w:hAnsi="Times New Roman" w:cs="Times New Roman"/>
                <w:i/>
                <w:sz w:val="24"/>
                <w:szCs w:val="24"/>
                <w:lang w:val="lv-LV"/>
              </w:rPr>
              <w:t>Data</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Template</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on</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International</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Reserves</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and</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Foreign</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Currency</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Liquidity</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Reserves</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Template</w:t>
            </w:r>
            <w:proofErr w:type="spellEnd"/>
            <w:r w:rsidRPr="0069459A">
              <w:rPr>
                <w:rFonts w:ascii="Times New Roman" w:hAnsi="Times New Roman" w:cs="Times New Roman"/>
                <w:i/>
                <w:sz w:val="24"/>
                <w:szCs w:val="24"/>
                <w:lang w:val="lv-LV"/>
              </w:rPr>
              <w:t>)</w:t>
            </w:r>
            <w:r w:rsidRPr="0069459A">
              <w:rPr>
                <w:rFonts w:ascii="Times New Roman" w:eastAsia="Times New Roman" w:hAnsi="Times New Roman" w:cs="Times New Roman"/>
                <w:color w:val="000000"/>
                <w:sz w:val="24"/>
                <w:szCs w:val="24"/>
                <w:lang w:val="lv-LV" w:eastAsia="lv-LV"/>
              </w:rPr>
              <w:t>)</w:t>
            </w:r>
          </w:p>
        </w:tc>
        <w:tc>
          <w:tcPr>
            <w:tcW w:w="1559" w:type="dxa"/>
          </w:tcPr>
          <w:p w14:paraId="1C05F124" w14:textId="65A18D76"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Pr="0069459A">
              <w:rPr>
                <w:rFonts w:ascii="Times New Roman" w:hAnsi="Times New Roman" w:cs="Times New Roman"/>
                <w:sz w:val="24"/>
                <w:szCs w:val="24"/>
                <w:vertAlign w:val="superscript"/>
                <w:lang w:val="lv-LV"/>
              </w:rPr>
              <w:t>2</w:t>
            </w:r>
          </w:p>
        </w:tc>
        <w:tc>
          <w:tcPr>
            <w:tcW w:w="1647" w:type="dxa"/>
          </w:tcPr>
          <w:p w14:paraId="2B00B2BE" w14:textId="01BCE753"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LB</w:t>
            </w:r>
          </w:p>
        </w:tc>
      </w:tr>
      <w:tr w:rsidR="00877455" w:rsidRPr="0069459A" w14:paraId="23062974" w14:textId="77777777" w:rsidTr="001D0426">
        <w:trPr>
          <w:trHeight w:val="699"/>
        </w:trPr>
        <w:tc>
          <w:tcPr>
            <w:tcW w:w="675" w:type="dxa"/>
          </w:tcPr>
          <w:p w14:paraId="62E2FEB5" w14:textId="540C6DFC"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23.</w:t>
            </w:r>
          </w:p>
        </w:tc>
        <w:tc>
          <w:tcPr>
            <w:tcW w:w="5812" w:type="dxa"/>
          </w:tcPr>
          <w:p w14:paraId="7BE438EE" w14:textId="77777777"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 xml:space="preserve">Tirdzniecība </w:t>
            </w:r>
          </w:p>
          <w:p w14:paraId="39524A15" w14:textId="7D69013C"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w:t>
            </w:r>
            <w:proofErr w:type="spellStart"/>
            <w:r w:rsidRPr="0069459A">
              <w:rPr>
                <w:rFonts w:ascii="Times New Roman" w:hAnsi="Times New Roman" w:cs="Times New Roman"/>
                <w:i/>
                <w:sz w:val="24"/>
                <w:szCs w:val="24"/>
                <w:lang w:val="lv-LV"/>
              </w:rPr>
              <w:t>Merchandise</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Trade</w:t>
            </w:r>
            <w:proofErr w:type="spellEnd"/>
            <w:r w:rsidRPr="0069459A">
              <w:rPr>
                <w:rFonts w:ascii="Times New Roman" w:hAnsi="Times New Roman" w:cs="Times New Roman"/>
                <w:i/>
                <w:sz w:val="24"/>
                <w:szCs w:val="24"/>
                <w:lang w:val="lv-LV"/>
              </w:rPr>
              <w:t>)</w:t>
            </w:r>
          </w:p>
        </w:tc>
        <w:tc>
          <w:tcPr>
            <w:tcW w:w="1559" w:type="dxa"/>
          </w:tcPr>
          <w:p w14:paraId="24F0E9C9" w14:textId="406167E3"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Pr="0069459A">
              <w:rPr>
                <w:rFonts w:ascii="Times New Roman" w:hAnsi="Times New Roman" w:cs="Times New Roman"/>
                <w:sz w:val="24"/>
                <w:szCs w:val="24"/>
                <w:vertAlign w:val="superscript"/>
                <w:lang w:val="lv-LV"/>
              </w:rPr>
              <w:t>2</w:t>
            </w:r>
          </w:p>
        </w:tc>
        <w:tc>
          <w:tcPr>
            <w:tcW w:w="1647" w:type="dxa"/>
          </w:tcPr>
          <w:p w14:paraId="49459BE9" w14:textId="73DB4A80"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CSP</w:t>
            </w:r>
          </w:p>
        </w:tc>
      </w:tr>
      <w:tr w:rsidR="00877455" w:rsidRPr="0069459A" w14:paraId="601B6D8A" w14:textId="77777777" w:rsidTr="001D0426">
        <w:trPr>
          <w:trHeight w:val="696"/>
        </w:trPr>
        <w:tc>
          <w:tcPr>
            <w:tcW w:w="675" w:type="dxa"/>
          </w:tcPr>
          <w:p w14:paraId="23E04213" w14:textId="123AF29E"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24.</w:t>
            </w:r>
          </w:p>
        </w:tc>
        <w:tc>
          <w:tcPr>
            <w:tcW w:w="5812" w:type="dxa"/>
          </w:tcPr>
          <w:p w14:paraId="7A7A604D" w14:textId="77777777"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 xml:space="preserve">Starptautisko investīciju bilance </w:t>
            </w:r>
          </w:p>
          <w:p w14:paraId="6D539762" w14:textId="43CD600F"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w:t>
            </w:r>
            <w:proofErr w:type="spellStart"/>
            <w:r w:rsidRPr="0069459A">
              <w:rPr>
                <w:rFonts w:ascii="Times New Roman" w:hAnsi="Times New Roman" w:cs="Times New Roman"/>
                <w:i/>
                <w:sz w:val="24"/>
                <w:szCs w:val="24"/>
                <w:lang w:val="lv-LV"/>
              </w:rPr>
              <w:t>International</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Investment</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Position</w:t>
            </w:r>
            <w:proofErr w:type="spellEnd"/>
            <w:r w:rsidRPr="0069459A">
              <w:rPr>
                <w:rFonts w:ascii="Times New Roman" w:eastAsia="Times New Roman" w:hAnsi="Times New Roman" w:cs="Times New Roman"/>
                <w:color w:val="000000"/>
                <w:sz w:val="24"/>
                <w:szCs w:val="24"/>
                <w:lang w:val="lv-LV" w:eastAsia="lv-LV"/>
              </w:rPr>
              <w:t>)</w:t>
            </w:r>
          </w:p>
        </w:tc>
        <w:tc>
          <w:tcPr>
            <w:tcW w:w="1559" w:type="dxa"/>
          </w:tcPr>
          <w:p w14:paraId="3AE38B8E" w14:textId="38EB037B"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Pr="0069459A">
              <w:rPr>
                <w:rFonts w:ascii="Times New Roman" w:hAnsi="Times New Roman" w:cs="Times New Roman"/>
                <w:sz w:val="24"/>
                <w:szCs w:val="24"/>
                <w:vertAlign w:val="superscript"/>
                <w:lang w:val="lv-LV"/>
              </w:rPr>
              <w:t>2</w:t>
            </w:r>
          </w:p>
        </w:tc>
        <w:tc>
          <w:tcPr>
            <w:tcW w:w="1647" w:type="dxa"/>
          </w:tcPr>
          <w:p w14:paraId="466D914A" w14:textId="2AF14BF8"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LB</w:t>
            </w:r>
          </w:p>
        </w:tc>
      </w:tr>
      <w:tr w:rsidR="00877455" w:rsidRPr="0069459A" w14:paraId="5C42ABA4" w14:textId="77777777" w:rsidTr="001D0426">
        <w:trPr>
          <w:trHeight w:val="706"/>
        </w:trPr>
        <w:tc>
          <w:tcPr>
            <w:tcW w:w="675" w:type="dxa"/>
          </w:tcPr>
          <w:p w14:paraId="364E4302" w14:textId="5A5836E8"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25.</w:t>
            </w:r>
          </w:p>
        </w:tc>
        <w:tc>
          <w:tcPr>
            <w:tcW w:w="5812" w:type="dxa"/>
          </w:tcPr>
          <w:p w14:paraId="053F3F45" w14:textId="77777777"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 xml:space="preserve">Ārējais parāds </w:t>
            </w:r>
          </w:p>
          <w:p w14:paraId="736D832F" w14:textId="666AFD80"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w:t>
            </w:r>
            <w:proofErr w:type="spellStart"/>
            <w:r w:rsidRPr="0069459A">
              <w:rPr>
                <w:rFonts w:ascii="Times New Roman" w:hAnsi="Times New Roman" w:cs="Times New Roman"/>
                <w:i/>
                <w:sz w:val="24"/>
                <w:szCs w:val="24"/>
                <w:lang w:val="lv-LV"/>
              </w:rPr>
              <w:t>External</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Debt</w:t>
            </w:r>
            <w:proofErr w:type="spellEnd"/>
            <w:r w:rsidRPr="0069459A">
              <w:rPr>
                <w:rFonts w:ascii="Times New Roman" w:eastAsia="Times New Roman" w:hAnsi="Times New Roman" w:cs="Times New Roman"/>
                <w:color w:val="000000"/>
                <w:sz w:val="24"/>
                <w:szCs w:val="24"/>
                <w:lang w:val="lv-LV" w:eastAsia="lv-LV"/>
              </w:rPr>
              <w:t>)</w:t>
            </w:r>
          </w:p>
        </w:tc>
        <w:tc>
          <w:tcPr>
            <w:tcW w:w="1559" w:type="dxa"/>
          </w:tcPr>
          <w:p w14:paraId="4B4E8BA6" w14:textId="318C039F"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Pr="0069459A">
              <w:rPr>
                <w:rFonts w:ascii="Times New Roman" w:hAnsi="Times New Roman" w:cs="Times New Roman"/>
                <w:sz w:val="24"/>
                <w:szCs w:val="24"/>
                <w:vertAlign w:val="superscript"/>
                <w:lang w:val="lv-LV"/>
              </w:rPr>
              <w:t>2</w:t>
            </w:r>
          </w:p>
        </w:tc>
        <w:tc>
          <w:tcPr>
            <w:tcW w:w="1647" w:type="dxa"/>
          </w:tcPr>
          <w:p w14:paraId="1F503699" w14:textId="6373C8B8"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LB</w:t>
            </w:r>
          </w:p>
        </w:tc>
      </w:tr>
      <w:tr w:rsidR="00877455" w:rsidRPr="0069459A" w14:paraId="3D32440F" w14:textId="77777777" w:rsidTr="001D0426">
        <w:trPr>
          <w:trHeight w:val="688"/>
        </w:trPr>
        <w:tc>
          <w:tcPr>
            <w:tcW w:w="675" w:type="dxa"/>
          </w:tcPr>
          <w:p w14:paraId="3F55A3C8" w14:textId="046F6FB0"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26.</w:t>
            </w:r>
          </w:p>
        </w:tc>
        <w:tc>
          <w:tcPr>
            <w:tcW w:w="5812" w:type="dxa"/>
          </w:tcPr>
          <w:p w14:paraId="421C745A" w14:textId="77777777"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 xml:space="preserve">Saskaņotais </w:t>
            </w:r>
            <w:proofErr w:type="spellStart"/>
            <w:r w:rsidRPr="0069459A">
              <w:rPr>
                <w:rFonts w:ascii="Times New Roman" w:hAnsi="Times New Roman" w:cs="Times New Roman"/>
                <w:sz w:val="24"/>
                <w:szCs w:val="24"/>
                <w:lang w:val="lv-LV"/>
              </w:rPr>
              <w:t>portfeļieguldījumu</w:t>
            </w:r>
            <w:proofErr w:type="spellEnd"/>
            <w:r w:rsidRPr="0069459A">
              <w:rPr>
                <w:rFonts w:ascii="Times New Roman" w:hAnsi="Times New Roman" w:cs="Times New Roman"/>
                <w:sz w:val="24"/>
                <w:szCs w:val="24"/>
                <w:lang w:val="lv-LV"/>
              </w:rPr>
              <w:t xml:space="preserve"> pārskats </w:t>
            </w:r>
          </w:p>
          <w:p w14:paraId="5378FACF" w14:textId="58A86A20"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w:t>
            </w:r>
            <w:proofErr w:type="spellStart"/>
            <w:r w:rsidRPr="0069459A">
              <w:rPr>
                <w:rFonts w:ascii="Times New Roman" w:hAnsi="Times New Roman" w:cs="Times New Roman"/>
                <w:i/>
                <w:sz w:val="24"/>
                <w:szCs w:val="24"/>
                <w:lang w:val="lv-LV"/>
              </w:rPr>
              <w:t>Coordinated</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Portfolio</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Investment</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Survey</w:t>
            </w:r>
            <w:proofErr w:type="spellEnd"/>
            <w:r w:rsidRPr="0069459A">
              <w:rPr>
                <w:rFonts w:ascii="Times New Roman" w:hAnsi="Times New Roman" w:cs="Times New Roman"/>
                <w:i/>
                <w:sz w:val="24"/>
                <w:szCs w:val="24"/>
                <w:lang w:val="lv-LV"/>
              </w:rPr>
              <w:t>)</w:t>
            </w:r>
          </w:p>
        </w:tc>
        <w:tc>
          <w:tcPr>
            <w:tcW w:w="1559" w:type="dxa"/>
          </w:tcPr>
          <w:p w14:paraId="633AB828" w14:textId="3351E17A"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SDIS Plus</w:t>
            </w:r>
            <w:r w:rsidRPr="0069459A">
              <w:rPr>
                <w:rFonts w:ascii="Times New Roman" w:hAnsi="Times New Roman" w:cs="Times New Roman"/>
                <w:sz w:val="24"/>
                <w:szCs w:val="24"/>
                <w:vertAlign w:val="superscript"/>
                <w:lang w:val="lv-LV"/>
              </w:rPr>
              <w:t>3</w:t>
            </w:r>
            <w:r w:rsidR="00A53273">
              <w:rPr>
                <w:rFonts w:ascii="Times New Roman" w:hAnsi="Times New Roman" w:cs="Times New Roman"/>
                <w:sz w:val="24"/>
                <w:szCs w:val="24"/>
                <w:vertAlign w:val="superscript"/>
                <w:lang w:val="lv-LV"/>
              </w:rPr>
              <w:t xml:space="preserve"> 5</w:t>
            </w:r>
          </w:p>
        </w:tc>
        <w:tc>
          <w:tcPr>
            <w:tcW w:w="1647" w:type="dxa"/>
          </w:tcPr>
          <w:p w14:paraId="5EB7B204" w14:textId="178E5163"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LB</w:t>
            </w:r>
          </w:p>
        </w:tc>
      </w:tr>
      <w:tr w:rsidR="00877455" w:rsidRPr="0069459A" w14:paraId="54756AE1" w14:textId="77777777" w:rsidTr="001D0426">
        <w:trPr>
          <w:trHeight w:val="711"/>
        </w:trPr>
        <w:tc>
          <w:tcPr>
            <w:tcW w:w="675" w:type="dxa"/>
          </w:tcPr>
          <w:p w14:paraId="77C07D85" w14:textId="369BA6DB"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27.</w:t>
            </w:r>
          </w:p>
        </w:tc>
        <w:tc>
          <w:tcPr>
            <w:tcW w:w="5812" w:type="dxa"/>
          </w:tcPr>
          <w:p w14:paraId="0C5CE026" w14:textId="77777777"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 xml:space="preserve">Saskaņotais tiešo investīciju pārskats </w:t>
            </w:r>
          </w:p>
          <w:p w14:paraId="2E9C44DD" w14:textId="620FDB4F"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w:t>
            </w:r>
            <w:proofErr w:type="spellStart"/>
            <w:r w:rsidRPr="0069459A">
              <w:rPr>
                <w:rFonts w:ascii="Times New Roman" w:hAnsi="Times New Roman" w:cs="Times New Roman"/>
                <w:i/>
                <w:sz w:val="24"/>
                <w:szCs w:val="24"/>
                <w:lang w:val="lv-LV"/>
              </w:rPr>
              <w:t>Coordinated</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Direct</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Investment</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Survey</w:t>
            </w:r>
            <w:proofErr w:type="spellEnd"/>
            <w:r w:rsidRPr="0069459A">
              <w:rPr>
                <w:rFonts w:ascii="Times New Roman" w:eastAsia="Times New Roman" w:hAnsi="Times New Roman" w:cs="Times New Roman"/>
                <w:color w:val="000000"/>
                <w:sz w:val="24"/>
                <w:szCs w:val="24"/>
                <w:lang w:val="lv-LV" w:eastAsia="lv-LV"/>
              </w:rPr>
              <w:t>)</w:t>
            </w:r>
          </w:p>
        </w:tc>
        <w:tc>
          <w:tcPr>
            <w:tcW w:w="1559" w:type="dxa"/>
          </w:tcPr>
          <w:p w14:paraId="3C0A9B57" w14:textId="6743DA70"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SDIS Plus</w:t>
            </w:r>
            <w:r w:rsidRPr="0069459A">
              <w:rPr>
                <w:rFonts w:ascii="Times New Roman" w:hAnsi="Times New Roman" w:cs="Times New Roman"/>
                <w:sz w:val="24"/>
                <w:szCs w:val="24"/>
                <w:vertAlign w:val="superscript"/>
                <w:lang w:val="lv-LV"/>
              </w:rPr>
              <w:t>3</w:t>
            </w:r>
            <w:r w:rsidR="00A53273">
              <w:rPr>
                <w:rFonts w:ascii="Times New Roman" w:hAnsi="Times New Roman" w:cs="Times New Roman"/>
                <w:sz w:val="24"/>
                <w:szCs w:val="24"/>
                <w:vertAlign w:val="superscript"/>
                <w:lang w:val="lv-LV"/>
              </w:rPr>
              <w:t xml:space="preserve"> 5</w:t>
            </w:r>
          </w:p>
        </w:tc>
        <w:tc>
          <w:tcPr>
            <w:tcW w:w="1647" w:type="dxa"/>
          </w:tcPr>
          <w:p w14:paraId="7DF63643" w14:textId="36723643"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LB</w:t>
            </w:r>
          </w:p>
        </w:tc>
      </w:tr>
      <w:tr w:rsidR="00877455" w:rsidRPr="0069459A" w14:paraId="7ABE8358" w14:textId="77777777" w:rsidTr="001D0426">
        <w:trPr>
          <w:trHeight w:val="978"/>
        </w:trPr>
        <w:tc>
          <w:tcPr>
            <w:tcW w:w="675" w:type="dxa"/>
          </w:tcPr>
          <w:p w14:paraId="31227F45" w14:textId="0ED909B0"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28.</w:t>
            </w:r>
          </w:p>
        </w:tc>
        <w:tc>
          <w:tcPr>
            <w:tcW w:w="5812" w:type="dxa"/>
          </w:tcPr>
          <w:p w14:paraId="37554EE6" w14:textId="77777777" w:rsidR="00877455" w:rsidRPr="0069459A" w:rsidRDefault="00877455" w:rsidP="00E567A4">
            <w:pPr>
              <w:rPr>
                <w:rFonts w:ascii="Times New Roman" w:hAnsi="Times New Roman" w:cs="Times New Roman"/>
                <w:i/>
                <w:sz w:val="24"/>
                <w:szCs w:val="24"/>
                <w:lang w:val="lv-LV"/>
              </w:rPr>
            </w:pPr>
            <w:r w:rsidRPr="0069459A">
              <w:rPr>
                <w:rFonts w:ascii="Times New Roman" w:hAnsi="Times New Roman" w:cs="Times New Roman"/>
                <w:sz w:val="24"/>
                <w:szCs w:val="24"/>
                <w:lang w:val="lv-LV"/>
              </w:rPr>
              <w:t>Rezerves aktīvi valūtu dalījumā</w:t>
            </w:r>
            <w:r w:rsidRPr="0069459A">
              <w:rPr>
                <w:rFonts w:ascii="Times New Roman" w:hAnsi="Times New Roman" w:cs="Times New Roman"/>
                <w:i/>
                <w:sz w:val="24"/>
                <w:szCs w:val="24"/>
                <w:lang w:val="lv-LV"/>
              </w:rPr>
              <w:t xml:space="preserve"> </w:t>
            </w:r>
          </w:p>
          <w:p w14:paraId="13793C9B" w14:textId="5EC09C9A" w:rsidR="00877455" w:rsidRPr="0069459A" w:rsidRDefault="00877455" w:rsidP="00E567A4">
            <w:pPr>
              <w:rPr>
                <w:rFonts w:ascii="Times New Roman" w:hAnsi="Times New Roman" w:cs="Times New Roman"/>
                <w:sz w:val="24"/>
                <w:szCs w:val="24"/>
                <w:lang w:val="lv-LV"/>
              </w:rPr>
            </w:pPr>
            <w:r w:rsidRPr="0069459A">
              <w:rPr>
                <w:rFonts w:ascii="Times New Roman" w:eastAsia="Times New Roman" w:hAnsi="Times New Roman" w:cs="Times New Roman"/>
                <w:color w:val="000000"/>
                <w:sz w:val="24"/>
                <w:szCs w:val="24"/>
                <w:lang w:val="lv-LV" w:eastAsia="lv-LV"/>
              </w:rPr>
              <w:t>(</w:t>
            </w:r>
            <w:proofErr w:type="spellStart"/>
            <w:r w:rsidRPr="0069459A">
              <w:rPr>
                <w:rFonts w:ascii="Times New Roman" w:hAnsi="Times New Roman" w:cs="Times New Roman"/>
                <w:i/>
                <w:sz w:val="24"/>
                <w:szCs w:val="24"/>
                <w:lang w:val="lv-LV"/>
              </w:rPr>
              <w:t>Currency</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Composition</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of</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Official</w:t>
            </w:r>
            <w:proofErr w:type="spellEnd"/>
            <w:r w:rsidRPr="0069459A">
              <w:rPr>
                <w:rFonts w:ascii="Times New Roman" w:hAnsi="Times New Roman" w:cs="Times New Roman"/>
                <w:i/>
                <w:sz w:val="24"/>
                <w:szCs w:val="24"/>
                <w:lang w:val="lv-LV"/>
              </w:rPr>
              <w:t xml:space="preserve"> </w:t>
            </w:r>
            <w:proofErr w:type="spellStart"/>
            <w:r w:rsidRPr="0069459A">
              <w:rPr>
                <w:rFonts w:ascii="Times New Roman" w:hAnsi="Times New Roman" w:cs="Times New Roman"/>
                <w:i/>
                <w:sz w:val="24"/>
                <w:szCs w:val="24"/>
                <w:lang w:val="lv-LV"/>
              </w:rPr>
              <w:t>Foreign</w:t>
            </w:r>
            <w:proofErr w:type="spellEnd"/>
            <w:r w:rsidRPr="0069459A">
              <w:rPr>
                <w:rFonts w:ascii="Times New Roman" w:hAnsi="Times New Roman" w:cs="Times New Roman"/>
                <w:i/>
                <w:sz w:val="24"/>
                <w:szCs w:val="24"/>
                <w:lang w:val="lv-LV"/>
              </w:rPr>
              <w:t xml:space="preserve"> Exchange </w:t>
            </w:r>
            <w:proofErr w:type="spellStart"/>
            <w:r w:rsidRPr="0069459A">
              <w:rPr>
                <w:rFonts w:ascii="Times New Roman" w:hAnsi="Times New Roman" w:cs="Times New Roman"/>
                <w:i/>
                <w:sz w:val="24"/>
                <w:szCs w:val="24"/>
                <w:lang w:val="lv-LV"/>
              </w:rPr>
              <w:t>Reserves</w:t>
            </w:r>
            <w:proofErr w:type="spellEnd"/>
            <w:r w:rsidRPr="0069459A">
              <w:rPr>
                <w:rFonts w:ascii="Times New Roman" w:eastAsia="Times New Roman" w:hAnsi="Times New Roman" w:cs="Times New Roman"/>
                <w:color w:val="000000"/>
                <w:sz w:val="24"/>
                <w:szCs w:val="24"/>
                <w:lang w:val="lv-LV" w:eastAsia="lv-LV"/>
              </w:rPr>
              <w:t>)</w:t>
            </w:r>
          </w:p>
        </w:tc>
        <w:tc>
          <w:tcPr>
            <w:tcW w:w="1559" w:type="dxa"/>
          </w:tcPr>
          <w:p w14:paraId="2D16C52D" w14:textId="311FE1B7"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SDIS Plus</w:t>
            </w:r>
            <w:r w:rsidRPr="0069459A">
              <w:rPr>
                <w:rFonts w:ascii="Times New Roman" w:hAnsi="Times New Roman" w:cs="Times New Roman"/>
                <w:sz w:val="24"/>
                <w:szCs w:val="24"/>
                <w:vertAlign w:val="superscript"/>
                <w:lang w:val="lv-LV"/>
              </w:rPr>
              <w:t>3</w:t>
            </w:r>
            <w:r w:rsidR="00A53273">
              <w:rPr>
                <w:rFonts w:ascii="Times New Roman" w:hAnsi="Times New Roman" w:cs="Times New Roman"/>
                <w:sz w:val="24"/>
                <w:szCs w:val="24"/>
                <w:vertAlign w:val="superscript"/>
                <w:lang w:val="lv-LV"/>
              </w:rPr>
              <w:t xml:space="preserve"> 5</w:t>
            </w:r>
          </w:p>
        </w:tc>
        <w:tc>
          <w:tcPr>
            <w:tcW w:w="1647" w:type="dxa"/>
          </w:tcPr>
          <w:p w14:paraId="5D971208" w14:textId="4C6CFBEB"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LB</w:t>
            </w:r>
          </w:p>
        </w:tc>
      </w:tr>
      <w:tr w:rsidR="00877455" w:rsidRPr="0069459A" w14:paraId="145DF91B" w14:textId="77777777" w:rsidTr="001D0426">
        <w:trPr>
          <w:trHeight w:val="693"/>
        </w:trPr>
        <w:tc>
          <w:tcPr>
            <w:tcW w:w="675" w:type="dxa"/>
          </w:tcPr>
          <w:p w14:paraId="1857F3A8" w14:textId="5BC0EBC2"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29.</w:t>
            </w:r>
          </w:p>
        </w:tc>
        <w:tc>
          <w:tcPr>
            <w:tcW w:w="5812" w:type="dxa"/>
          </w:tcPr>
          <w:p w14:paraId="13214733" w14:textId="77777777"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 xml:space="preserve">Valūtas kursi </w:t>
            </w:r>
          </w:p>
          <w:p w14:paraId="012B3C7E" w14:textId="7EB51B35" w:rsidR="00877455" w:rsidRPr="0069459A" w:rsidRDefault="00877455" w:rsidP="00E567A4">
            <w:pPr>
              <w:rPr>
                <w:rFonts w:ascii="Times New Roman" w:hAnsi="Times New Roman" w:cs="Times New Roman"/>
                <w:sz w:val="24"/>
                <w:szCs w:val="24"/>
                <w:lang w:val="lv-LV"/>
              </w:rPr>
            </w:pPr>
            <w:r w:rsidRPr="0069459A">
              <w:rPr>
                <w:rFonts w:ascii="Times New Roman" w:eastAsia="Times New Roman" w:hAnsi="Times New Roman" w:cs="Times New Roman"/>
                <w:color w:val="000000"/>
                <w:sz w:val="24"/>
                <w:szCs w:val="24"/>
                <w:lang w:val="lv-LV" w:eastAsia="lv-LV"/>
              </w:rPr>
              <w:t>(</w:t>
            </w:r>
            <w:r w:rsidRPr="0069459A">
              <w:rPr>
                <w:rFonts w:ascii="Times New Roman" w:hAnsi="Times New Roman" w:cs="Times New Roman"/>
                <w:i/>
                <w:sz w:val="24"/>
                <w:szCs w:val="24"/>
                <w:lang w:val="lv-LV"/>
              </w:rPr>
              <w:t xml:space="preserve">Exchange </w:t>
            </w:r>
            <w:proofErr w:type="spellStart"/>
            <w:r w:rsidRPr="0069459A">
              <w:rPr>
                <w:rFonts w:ascii="Times New Roman" w:hAnsi="Times New Roman" w:cs="Times New Roman"/>
                <w:i/>
                <w:sz w:val="24"/>
                <w:szCs w:val="24"/>
                <w:lang w:val="lv-LV"/>
              </w:rPr>
              <w:t>Rates</w:t>
            </w:r>
            <w:proofErr w:type="spellEnd"/>
            <w:r w:rsidRPr="0069459A">
              <w:rPr>
                <w:rFonts w:ascii="Times New Roman" w:eastAsia="Times New Roman" w:hAnsi="Times New Roman" w:cs="Times New Roman"/>
                <w:color w:val="000000"/>
                <w:sz w:val="24"/>
                <w:szCs w:val="24"/>
                <w:lang w:val="lv-LV" w:eastAsia="lv-LV"/>
              </w:rPr>
              <w:t>)</w:t>
            </w:r>
          </w:p>
        </w:tc>
        <w:tc>
          <w:tcPr>
            <w:tcW w:w="1559" w:type="dxa"/>
          </w:tcPr>
          <w:p w14:paraId="72BC53AF" w14:textId="27EFC52D" w:rsidR="00877455" w:rsidRPr="0069459A" w:rsidRDefault="009C319D" w:rsidP="009C319D">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Pr>
                <w:rFonts w:ascii="Times New Roman" w:hAnsi="Times New Roman" w:cs="Times New Roman"/>
                <w:sz w:val="24"/>
                <w:szCs w:val="24"/>
                <w:vertAlign w:val="superscript"/>
                <w:lang w:val="lv-LV"/>
              </w:rPr>
              <w:t>2</w:t>
            </w:r>
            <w:r w:rsidR="00343BD1">
              <w:rPr>
                <w:rFonts w:ascii="Times New Roman" w:hAnsi="Times New Roman" w:cs="Times New Roman"/>
                <w:sz w:val="24"/>
                <w:szCs w:val="24"/>
                <w:vertAlign w:val="superscript"/>
                <w:lang w:val="lv-LV"/>
              </w:rPr>
              <w:t xml:space="preserve"> 5</w:t>
            </w:r>
          </w:p>
        </w:tc>
        <w:tc>
          <w:tcPr>
            <w:tcW w:w="1647" w:type="dxa"/>
          </w:tcPr>
          <w:p w14:paraId="3DE35D55" w14:textId="6308C12E"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LB</w:t>
            </w:r>
          </w:p>
        </w:tc>
      </w:tr>
      <w:tr w:rsidR="00877455" w:rsidRPr="0069459A" w14:paraId="5C6515AC" w14:textId="77777777" w:rsidTr="001D0426">
        <w:trPr>
          <w:trHeight w:val="704"/>
        </w:trPr>
        <w:tc>
          <w:tcPr>
            <w:tcW w:w="9693" w:type="dxa"/>
            <w:gridSpan w:val="4"/>
          </w:tcPr>
          <w:p w14:paraId="64B24EAB" w14:textId="77777777" w:rsidR="00877455" w:rsidRPr="0069459A" w:rsidRDefault="00877455" w:rsidP="00877455">
            <w:pPr>
              <w:rPr>
                <w:rFonts w:ascii="Times New Roman" w:hAnsi="Times New Roman" w:cs="Times New Roman"/>
                <w:b/>
                <w:caps/>
                <w:sz w:val="24"/>
                <w:szCs w:val="24"/>
                <w:lang w:val="lv-LV"/>
              </w:rPr>
            </w:pPr>
            <w:r w:rsidRPr="0069459A">
              <w:rPr>
                <w:rFonts w:ascii="Times New Roman" w:hAnsi="Times New Roman" w:cs="Times New Roman"/>
                <w:b/>
                <w:caps/>
                <w:sz w:val="24"/>
                <w:szCs w:val="24"/>
                <w:lang w:val="lv-LV"/>
              </w:rPr>
              <w:t xml:space="preserve">Iedzīvotāji </w:t>
            </w:r>
          </w:p>
          <w:p w14:paraId="2FCE2CDD" w14:textId="2780D9B4"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b/>
                <w:sz w:val="24"/>
                <w:szCs w:val="24"/>
                <w:lang w:val="lv-LV"/>
              </w:rPr>
              <w:t>(</w:t>
            </w:r>
            <w:r w:rsidRPr="0069459A">
              <w:rPr>
                <w:rFonts w:ascii="Times New Roman" w:hAnsi="Times New Roman" w:cs="Times New Roman"/>
                <w:b/>
                <w:i/>
                <w:caps/>
                <w:sz w:val="24"/>
                <w:szCs w:val="24"/>
                <w:lang w:val="lv-LV"/>
              </w:rPr>
              <w:t>Population</w:t>
            </w:r>
            <w:r w:rsidRPr="0069459A">
              <w:rPr>
                <w:rFonts w:ascii="Times New Roman" w:hAnsi="Times New Roman" w:cs="Times New Roman"/>
                <w:b/>
                <w:caps/>
                <w:sz w:val="24"/>
                <w:szCs w:val="24"/>
                <w:lang w:val="lv-LV"/>
              </w:rPr>
              <w:t>)</w:t>
            </w:r>
          </w:p>
        </w:tc>
      </w:tr>
      <w:tr w:rsidR="00877455" w:rsidRPr="0069459A" w14:paraId="1C456613" w14:textId="77777777" w:rsidTr="001D0426">
        <w:trPr>
          <w:trHeight w:val="700"/>
        </w:trPr>
        <w:tc>
          <w:tcPr>
            <w:tcW w:w="675" w:type="dxa"/>
          </w:tcPr>
          <w:p w14:paraId="06C6FF4C" w14:textId="68F916A6"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30.</w:t>
            </w:r>
          </w:p>
        </w:tc>
        <w:tc>
          <w:tcPr>
            <w:tcW w:w="5812" w:type="dxa"/>
          </w:tcPr>
          <w:p w14:paraId="36E6C0FC" w14:textId="77777777"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 xml:space="preserve">Iedzīvotāji </w:t>
            </w:r>
          </w:p>
          <w:p w14:paraId="1B3CB9F0" w14:textId="4D8665DA"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w:t>
            </w:r>
            <w:proofErr w:type="spellStart"/>
            <w:r w:rsidRPr="0069459A">
              <w:rPr>
                <w:rFonts w:ascii="Times New Roman" w:hAnsi="Times New Roman" w:cs="Times New Roman"/>
                <w:i/>
                <w:sz w:val="24"/>
                <w:szCs w:val="24"/>
                <w:lang w:val="lv-LV"/>
              </w:rPr>
              <w:t>Population</w:t>
            </w:r>
            <w:proofErr w:type="spellEnd"/>
            <w:r w:rsidRPr="0069459A">
              <w:rPr>
                <w:rFonts w:ascii="Times New Roman" w:eastAsia="Times New Roman" w:hAnsi="Times New Roman" w:cs="Times New Roman"/>
                <w:color w:val="000000"/>
                <w:sz w:val="24"/>
                <w:szCs w:val="24"/>
                <w:lang w:val="lv-LV" w:eastAsia="lv-LV"/>
              </w:rPr>
              <w:t>)</w:t>
            </w:r>
          </w:p>
        </w:tc>
        <w:tc>
          <w:tcPr>
            <w:tcW w:w="1559" w:type="dxa"/>
          </w:tcPr>
          <w:p w14:paraId="03B5EFED" w14:textId="37FE4206"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SDIS</w:t>
            </w:r>
            <w:r w:rsidRPr="0069459A">
              <w:rPr>
                <w:rFonts w:ascii="Times New Roman" w:hAnsi="Times New Roman" w:cs="Times New Roman"/>
                <w:sz w:val="24"/>
                <w:szCs w:val="24"/>
                <w:vertAlign w:val="superscript"/>
                <w:lang w:val="lv-LV"/>
              </w:rPr>
              <w:t>2</w:t>
            </w:r>
          </w:p>
        </w:tc>
        <w:tc>
          <w:tcPr>
            <w:tcW w:w="1647" w:type="dxa"/>
          </w:tcPr>
          <w:p w14:paraId="75C2125D" w14:textId="3037B440" w:rsidR="00877455" w:rsidRPr="0069459A" w:rsidRDefault="00877455" w:rsidP="00E567A4">
            <w:pPr>
              <w:rPr>
                <w:rFonts w:ascii="Times New Roman" w:hAnsi="Times New Roman" w:cs="Times New Roman"/>
                <w:sz w:val="24"/>
                <w:szCs w:val="24"/>
                <w:lang w:val="lv-LV"/>
              </w:rPr>
            </w:pPr>
            <w:r w:rsidRPr="0069459A">
              <w:rPr>
                <w:rFonts w:ascii="Times New Roman" w:hAnsi="Times New Roman" w:cs="Times New Roman"/>
                <w:sz w:val="24"/>
                <w:szCs w:val="24"/>
                <w:lang w:val="lv-LV"/>
              </w:rPr>
              <w:t>CSP</w:t>
            </w:r>
          </w:p>
        </w:tc>
      </w:tr>
    </w:tbl>
    <w:p w14:paraId="04CF1030" w14:textId="4906C52C" w:rsidR="00213B64" w:rsidRPr="0069459A" w:rsidRDefault="00213B64" w:rsidP="00213B64">
      <w:pPr>
        <w:pStyle w:val="FootnoteText"/>
        <w:rPr>
          <w:rFonts w:ascii="Times New Roman" w:hAnsi="Times New Roman" w:cs="Times New Roman"/>
          <w:sz w:val="24"/>
          <w:szCs w:val="24"/>
          <w:lang w:val="lv-LV"/>
        </w:rPr>
      </w:pPr>
    </w:p>
    <w:p w14:paraId="16ACACAD" w14:textId="116C8E15" w:rsidR="00213B64" w:rsidRPr="0069459A" w:rsidRDefault="00EE3AA6" w:rsidP="00877455">
      <w:pPr>
        <w:pStyle w:val="FootnoteText"/>
        <w:jc w:val="both"/>
        <w:rPr>
          <w:rFonts w:ascii="Times New Roman" w:hAnsi="Times New Roman" w:cs="Times New Roman"/>
          <w:iCs/>
          <w:sz w:val="24"/>
          <w:szCs w:val="24"/>
          <w:lang w:val="lv-LV"/>
        </w:rPr>
      </w:pPr>
      <w:r w:rsidRPr="0069459A">
        <w:rPr>
          <w:rFonts w:ascii="Times New Roman" w:hAnsi="Times New Roman" w:cs="Times New Roman"/>
          <w:iCs/>
          <w:sz w:val="24"/>
          <w:szCs w:val="24"/>
          <w:vertAlign w:val="superscript"/>
          <w:lang w:val="lv-LV"/>
        </w:rPr>
        <w:t>1</w:t>
      </w:r>
      <w:r w:rsidRPr="0069459A">
        <w:rPr>
          <w:lang w:val="lv-LV"/>
        </w:rPr>
        <w:t xml:space="preserve"> </w:t>
      </w:r>
      <w:r w:rsidRPr="0069459A">
        <w:rPr>
          <w:rFonts w:ascii="Times New Roman" w:hAnsi="Times New Roman" w:cs="Times New Roman"/>
          <w:iCs/>
          <w:sz w:val="24"/>
          <w:szCs w:val="24"/>
          <w:lang w:val="lv-LV"/>
        </w:rPr>
        <w:t>Atbilstoši</w:t>
      </w:r>
      <w:r w:rsidR="005949A3" w:rsidRPr="009D1BB4">
        <w:rPr>
          <w:rFonts w:ascii="Times New Roman" w:hAnsi="Times New Roman" w:cs="Times New Roman"/>
          <w:sz w:val="24"/>
          <w:szCs w:val="24"/>
          <w:lang w:val="lv-LV"/>
        </w:rPr>
        <w:t xml:space="preserve"> </w:t>
      </w:r>
      <w:r w:rsidRPr="0069459A">
        <w:rPr>
          <w:rFonts w:ascii="Times New Roman" w:hAnsi="Times New Roman" w:cs="Times New Roman"/>
          <w:iCs/>
          <w:sz w:val="24"/>
          <w:szCs w:val="24"/>
          <w:lang w:val="lv-LV"/>
        </w:rPr>
        <w:t>“</w:t>
      </w:r>
      <w:proofErr w:type="spellStart"/>
      <w:r w:rsidRPr="0069459A">
        <w:rPr>
          <w:rFonts w:ascii="Times New Roman" w:hAnsi="Times New Roman" w:cs="Times New Roman"/>
          <w:iCs/>
          <w:sz w:val="24"/>
          <w:szCs w:val="24"/>
          <w:lang w:val="lv-LV"/>
        </w:rPr>
        <w:t>The</w:t>
      </w:r>
      <w:proofErr w:type="spellEnd"/>
      <w:r w:rsidRPr="0069459A">
        <w:rPr>
          <w:rFonts w:ascii="Times New Roman" w:hAnsi="Times New Roman" w:cs="Times New Roman"/>
          <w:iCs/>
          <w:sz w:val="24"/>
          <w:szCs w:val="24"/>
          <w:lang w:val="lv-LV"/>
        </w:rPr>
        <w:t xml:space="preserve"> </w:t>
      </w:r>
      <w:proofErr w:type="spellStart"/>
      <w:r w:rsidRPr="0069459A">
        <w:rPr>
          <w:rFonts w:ascii="Times New Roman" w:hAnsi="Times New Roman" w:cs="Times New Roman"/>
          <w:iCs/>
          <w:sz w:val="24"/>
          <w:szCs w:val="24"/>
          <w:lang w:val="lv-LV"/>
        </w:rPr>
        <w:t>Special</w:t>
      </w:r>
      <w:proofErr w:type="spellEnd"/>
      <w:r w:rsidRPr="0069459A">
        <w:rPr>
          <w:rFonts w:ascii="Times New Roman" w:hAnsi="Times New Roman" w:cs="Times New Roman"/>
          <w:iCs/>
          <w:sz w:val="24"/>
          <w:szCs w:val="24"/>
          <w:lang w:val="lv-LV"/>
        </w:rPr>
        <w:t xml:space="preserve"> </w:t>
      </w:r>
      <w:proofErr w:type="spellStart"/>
      <w:r w:rsidRPr="0069459A">
        <w:rPr>
          <w:rFonts w:ascii="Times New Roman" w:hAnsi="Times New Roman" w:cs="Times New Roman"/>
          <w:iCs/>
          <w:sz w:val="24"/>
          <w:szCs w:val="24"/>
          <w:lang w:val="lv-LV"/>
        </w:rPr>
        <w:t>Data</w:t>
      </w:r>
      <w:proofErr w:type="spellEnd"/>
      <w:r w:rsidRPr="0069459A">
        <w:rPr>
          <w:rFonts w:ascii="Times New Roman" w:hAnsi="Times New Roman" w:cs="Times New Roman"/>
          <w:iCs/>
          <w:sz w:val="24"/>
          <w:szCs w:val="24"/>
          <w:lang w:val="lv-LV"/>
        </w:rPr>
        <w:t xml:space="preserve"> </w:t>
      </w:r>
      <w:proofErr w:type="spellStart"/>
      <w:r w:rsidRPr="0069459A">
        <w:rPr>
          <w:rFonts w:ascii="Times New Roman" w:hAnsi="Times New Roman" w:cs="Times New Roman"/>
          <w:iCs/>
          <w:sz w:val="24"/>
          <w:szCs w:val="24"/>
          <w:lang w:val="lv-LV"/>
        </w:rPr>
        <w:t>Dissemination</w:t>
      </w:r>
      <w:proofErr w:type="spellEnd"/>
      <w:r w:rsidRPr="0069459A">
        <w:rPr>
          <w:rFonts w:ascii="Times New Roman" w:hAnsi="Times New Roman" w:cs="Times New Roman"/>
          <w:iCs/>
          <w:sz w:val="24"/>
          <w:szCs w:val="24"/>
          <w:lang w:val="lv-LV"/>
        </w:rPr>
        <w:t xml:space="preserve"> Standard Plus </w:t>
      </w:r>
      <w:proofErr w:type="spellStart"/>
      <w:r w:rsidRPr="0069459A">
        <w:rPr>
          <w:rFonts w:ascii="Times New Roman" w:hAnsi="Times New Roman" w:cs="Times New Roman"/>
          <w:iCs/>
          <w:sz w:val="24"/>
          <w:szCs w:val="24"/>
          <w:lang w:val="lv-LV"/>
        </w:rPr>
        <w:t>Guide</w:t>
      </w:r>
      <w:proofErr w:type="spellEnd"/>
      <w:r w:rsidRPr="0069459A">
        <w:rPr>
          <w:rFonts w:ascii="Times New Roman" w:hAnsi="Times New Roman" w:cs="Times New Roman"/>
          <w:iCs/>
          <w:sz w:val="24"/>
          <w:szCs w:val="24"/>
          <w:lang w:val="lv-LV"/>
        </w:rPr>
        <w:t xml:space="preserve"> </w:t>
      </w:r>
      <w:proofErr w:type="spellStart"/>
      <w:r w:rsidRPr="0069459A">
        <w:rPr>
          <w:rFonts w:ascii="Times New Roman" w:hAnsi="Times New Roman" w:cs="Times New Roman"/>
          <w:iCs/>
          <w:sz w:val="24"/>
          <w:szCs w:val="24"/>
          <w:lang w:val="lv-LV"/>
        </w:rPr>
        <w:t>for</w:t>
      </w:r>
      <w:proofErr w:type="spellEnd"/>
      <w:r w:rsidRPr="0069459A">
        <w:rPr>
          <w:rFonts w:ascii="Times New Roman" w:hAnsi="Times New Roman" w:cs="Times New Roman"/>
          <w:iCs/>
          <w:sz w:val="24"/>
          <w:szCs w:val="24"/>
          <w:lang w:val="lv-LV"/>
        </w:rPr>
        <w:t xml:space="preserve"> </w:t>
      </w:r>
      <w:proofErr w:type="spellStart"/>
      <w:r w:rsidRPr="0069459A">
        <w:rPr>
          <w:rFonts w:ascii="Times New Roman" w:hAnsi="Times New Roman" w:cs="Times New Roman"/>
          <w:iCs/>
          <w:sz w:val="24"/>
          <w:szCs w:val="24"/>
          <w:lang w:val="lv-LV"/>
        </w:rPr>
        <w:t>Adherents</w:t>
      </w:r>
      <w:proofErr w:type="spellEnd"/>
      <w:r w:rsidRPr="0069459A">
        <w:rPr>
          <w:rFonts w:ascii="Times New Roman" w:hAnsi="Times New Roman" w:cs="Times New Roman"/>
          <w:iCs/>
          <w:sz w:val="24"/>
          <w:szCs w:val="24"/>
          <w:lang w:val="lv-LV"/>
        </w:rPr>
        <w:t xml:space="preserve"> </w:t>
      </w:r>
      <w:proofErr w:type="spellStart"/>
      <w:r w:rsidRPr="0069459A">
        <w:rPr>
          <w:rFonts w:ascii="Times New Roman" w:hAnsi="Times New Roman" w:cs="Times New Roman"/>
          <w:iCs/>
          <w:sz w:val="24"/>
          <w:szCs w:val="24"/>
          <w:lang w:val="lv-LV"/>
        </w:rPr>
        <w:t>and</w:t>
      </w:r>
      <w:proofErr w:type="spellEnd"/>
      <w:r w:rsidRPr="0069459A">
        <w:rPr>
          <w:rFonts w:ascii="Times New Roman" w:hAnsi="Times New Roman" w:cs="Times New Roman"/>
          <w:iCs/>
          <w:sz w:val="24"/>
          <w:szCs w:val="24"/>
          <w:lang w:val="lv-LV"/>
        </w:rPr>
        <w:t xml:space="preserve"> </w:t>
      </w:r>
      <w:proofErr w:type="spellStart"/>
      <w:r w:rsidRPr="0069459A">
        <w:rPr>
          <w:rFonts w:ascii="Times New Roman" w:hAnsi="Times New Roman" w:cs="Times New Roman"/>
          <w:iCs/>
          <w:sz w:val="24"/>
          <w:szCs w:val="24"/>
          <w:lang w:val="lv-LV"/>
        </w:rPr>
        <w:t>Users</w:t>
      </w:r>
      <w:proofErr w:type="spellEnd"/>
      <w:r w:rsidRPr="0069459A">
        <w:rPr>
          <w:rFonts w:ascii="Times New Roman" w:hAnsi="Times New Roman" w:cs="Times New Roman"/>
          <w:iCs/>
          <w:sz w:val="24"/>
          <w:szCs w:val="24"/>
          <w:lang w:val="lv-LV"/>
        </w:rPr>
        <w:t>”</w:t>
      </w:r>
      <w:r w:rsidR="004356CB">
        <w:rPr>
          <w:rFonts w:ascii="Times New Roman" w:hAnsi="Times New Roman" w:cs="Times New Roman"/>
          <w:iCs/>
          <w:sz w:val="24"/>
          <w:szCs w:val="24"/>
          <w:lang w:val="lv-LV"/>
        </w:rPr>
        <w:t xml:space="preserve"> (</w:t>
      </w:r>
      <w:r w:rsidR="004356CB" w:rsidRPr="002B53B0">
        <w:rPr>
          <w:rFonts w:ascii="Times New Roman" w:hAnsi="Times New Roman" w:cs="Times New Roman"/>
          <w:sz w:val="24"/>
          <w:szCs w:val="24"/>
          <w:lang w:val="lv-LV"/>
        </w:rPr>
        <w:t>IMF</w:t>
      </w:r>
      <w:r w:rsidR="004356CB">
        <w:rPr>
          <w:rFonts w:ascii="Times New Roman" w:hAnsi="Times New Roman" w:cs="Times New Roman"/>
          <w:sz w:val="24"/>
          <w:szCs w:val="24"/>
          <w:lang w:val="lv-LV"/>
        </w:rPr>
        <w:t>)</w:t>
      </w:r>
      <w:r w:rsidR="005949A3" w:rsidRPr="0069459A">
        <w:rPr>
          <w:rFonts w:ascii="Times New Roman" w:hAnsi="Times New Roman" w:cs="Times New Roman"/>
          <w:iCs/>
          <w:sz w:val="24"/>
          <w:szCs w:val="24"/>
          <w:lang w:val="lv-LV"/>
        </w:rPr>
        <w:t xml:space="preserve">, </w:t>
      </w:r>
      <w:proofErr w:type="spellStart"/>
      <w:r w:rsidR="005949A3" w:rsidRPr="0069459A">
        <w:rPr>
          <w:rFonts w:ascii="Times New Roman" w:hAnsi="Times New Roman" w:cs="Times New Roman"/>
          <w:iCs/>
          <w:sz w:val="24"/>
          <w:szCs w:val="24"/>
          <w:lang w:val="lv-LV"/>
        </w:rPr>
        <w:t>December</w:t>
      </w:r>
      <w:proofErr w:type="spellEnd"/>
      <w:r w:rsidR="005949A3" w:rsidRPr="0069459A">
        <w:rPr>
          <w:rFonts w:ascii="Times New Roman" w:hAnsi="Times New Roman" w:cs="Times New Roman"/>
          <w:iCs/>
          <w:sz w:val="24"/>
          <w:szCs w:val="24"/>
          <w:lang w:val="lv-LV"/>
        </w:rPr>
        <w:t xml:space="preserve"> 2015,</w:t>
      </w:r>
      <w:r w:rsidR="005949A3" w:rsidRPr="009D1BB4">
        <w:rPr>
          <w:rFonts w:ascii="Times New Roman" w:hAnsi="Times New Roman" w:cs="Times New Roman"/>
          <w:sz w:val="24"/>
          <w:szCs w:val="24"/>
          <w:lang w:val="lv-LV"/>
        </w:rPr>
        <w:t xml:space="preserve"> </w:t>
      </w:r>
      <w:hyperlink r:id="rId12" w:history="1">
        <w:r w:rsidR="005949A3" w:rsidRPr="0069459A">
          <w:rPr>
            <w:rStyle w:val="Hyperlink"/>
            <w:rFonts w:cs="Times New Roman"/>
            <w:sz w:val="24"/>
            <w:szCs w:val="24"/>
          </w:rPr>
          <w:t>http://www.imf.org/external/pubs/ft/sdds/guide/plus/2015/sddsplus15.pdf</w:t>
        </w:r>
      </w:hyperlink>
      <w:r w:rsidRPr="0069459A">
        <w:rPr>
          <w:rFonts w:ascii="Times New Roman" w:hAnsi="Times New Roman" w:cs="Times New Roman"/>
          <w:iCs/>
          <w:sz w:val="24"/>
          <w:szCs w:val="24"/>
          <w:lang w:val="lv-LV"/>
        </w:rPr>
        <w:t>;</w:t>
      </w:r>
    </w:p>
    <w:p w14:paraId="0A7462FB" w14:textId="77777777" w:rsidR="00EE3AA6" w:rsidRPr="0069459A" w:rsidRDefault="00EE3AA6" w:rsidP="00877455">
      <w:pPr>
        <w:pStyle w:val="FootnoteText"/>
        <w:jc w:val="both"/>
        <w:rPr>
          <w:rFonts w:ascii="Times New Roman" w:hAnsi="Times New Roman" w:cs="Times New Roman"/>
          <w:iCs/>
          <w:sz w:val="24"/>
          <w:szCs w:val="24"/>
          <w:vertAlign w:val="superscript"/>
          <w:lang w:val="lv-LV"/>
        </w:rPr>
      </w:pPr>
    </w:p>
    <w:p w14:paraId="4F53DAA0" w14:textId="67E36B2C" w:rsidR="00213B64" w:rsidRPr="00843922" w:rsidRDefault="00A90105" w:rsidP="00877455">
      <w:pPr>
        <w:pStyle w:val="FootnoteText"/>
        <w:jc w:val="both"/>
        <w:rPr>
          <w:rFonts w:ascii="Times New Roman" w:hAnsi="Times New Roman" w:cs="Times New Roman"/>
          <w:sz w:val="24"/>
          <w:szCs w:val="24"/>
          <w:lang w:val="lv-LV"/>
        </w:rPr>
      </w:pPr>
      <w:r w:rsidRPr="0069459A">
        <w:rPr>
          <w:rFonts w:ascii="Times New Roman" w:hAnsi="Times New Roman" w:cs="Times New Roman"/>
          <w:iCs/>
          <w:vertAlign w:val="superscript"/>
          <w:lang w:val="lv-LV"/>
        </w:rPr>
        <w:lastRenderedPageBreak/>
        <w:t>2</w:t>
      </w:r>
      <w:r w:rsidR="004356CB">
        <w:rPr>
          <w:rFonts w:ascii="Times New Roman" w:hAnsi="Times New Roman" w:cs="Times New Roman"/>
          <w:iCs/>
          <w:vertAlign w:val="superscript"/>
          <w:lang w:val="lv-LV"/>
        </w:rPr>
        <w:t xml:space="preserve"> </w:t>
      </w:r>
      <w:r w:rsidR="009C319D" w:rsidRPr="00843922">
        <w:rPr>
          <w:rFonts w:ascii="Times New Roman" w:hAnsi="Times New Roman" w:cs="Times New Roman"/>
          <w:sz w:val="24"/>
          <w:szCs w:val="24"/>
          <w:lang w:val="lv-LV"/>
        </w:rPr>
        <w:t xml:space="preserve">SDIS datu kategorija, kurai </w:t>
      </w:r>
      <w:r w:rsidR="004D1E8A" w:rsidRPr="00843922" w:rsidDel="009C319D">
        <w:rPr>
          <w:rFonts w:ascii="Times New Roman" w:hAnsi="Times New Roman" w:cs="Times New Roman"/>
          <w:sz w:val="24"/>
          <w:szCs w:val="24"/>
          <w:lang w:val="lv-LV"/>
        </w:rPr>
        <w:t xml:space="preserve">līdz </w:t>
      </w:r>
      <w:r w:rsidR="00213B64" w:rsidRPr="00843922" w:rsidDel="009C319D">
        <w:rPr>
          <w:rFonts w:ascii="Times New Roman" w:hAnsi="Times New Roman" w:cs="Times New Roman"/>
          <w:sz w:val="24"/>
          <w:szCs w:val="24"/>
          <w:lang w:val="lv-LV"/>
        </w:rPr>
        <w:t>2017.</w:t>
      </w:r>
      <w:r w:rsidR="009C319D" w:rsidRPr="00843922">
        <w:rPr>
          <w:rFonts w:ascii="Times New Roman" w:hAnsi="Times New Roman" w:cs="Times New Roman"/>
          <w:sz w:val="24"/>
          <w:szCs w:val="24"/>
          <w:lang w:val="lv-LV"/>
        </w:rPr>
        <w:t xml:space="preserve"> </w:t>
      </w:r>
      <w:r w:rsidR="00213B64" w:rsidRPr="00843922" w:rsidDel="009C319D">
        <w:rPr>
          <w:rFonts w:ascii="Times New Roman" w:hAnsi="Times New Roman" w:cs="Times New Roman"/>
          <w:sz w:val="24"/>
          <w:szCs w:val="24"/>
          <w:lang w:val="lv-LV"/>
        </w:rPr>
        <w:t>ga</w:t>
      </w:r>
      <w:r w:rsidR="004D1E8A" w:rsidRPr="00843922" w:rsidDel="009C319D">
        <w:rPr>
          <w:rFonts w:ascii="Times New Roman" w:hAnsi="Times New Roman" w:cs="Times New Roman"/>
          <w:sz w:val="24"/>
          <w:szCs w:val="24"/>
          <w:lang w:val="lv-LV"/>
        </w:rPr>
        <w:t>da 30.</w:t>
      </w:r>
      <w:r w:rsidR="009C319D" w:rsidRPr="00843922">
        <w:rPr>
          <w:rFonts w:ascii="Times New Roman" w:hAnsi="Times New Roman" w:cs="Times New Roman"/>
          <w:sz w:val="24"/>
          <w:szCs w:val="24"/>
          <w:lang w:val="lv-LV"/>
        </w:rPr>
        <w:t xml:space="preserve"> </w:t>
      </w:r>
      <w:r w:rsidR="004D1E8A" w:rsidRPr="00843922" w:rsidDel="009C319D">
        <w:rPr>
          <w:rFonts w:ascii="Times New Roman" w:hAnsi="Times New Roman" w:cs="Times New Roman"/>
          <w:sz w:val="24"/>
          <w:szCs w:val="24"/>
          <w:lang w:val="lv-LV"/>
        </w:rPr>
        <w:t>jūnijam</w:t>
      </w:r>
      <w:r w:rsidR="00213B64" w:rsidRPr="00843922" w:rsidDel="009C319D">
        <w:rPr>
          <w:rFonts w:ascii="Times New Roman" w:hAnsi="Times New Roman" w:cs="Times New Roman"/>
          <w:sz w:val="24"/>
          <w:szCs w:val="24"/>
          <w:lang w:val="lv-LV"/>
        </w:rPr>
        <w:t xml:space="preserve"> </w:t>
      </w:r>
      <w:r w:rsidR="009C319D" w:rsidRPr="00843922">
        <w:rPr>
          <w:rFonts w:ascii="Times New Roman" w:hAnsi="Times New Roman" w:cs="Times New Roman"/>
          <w:sz w:val="24"/>
          <w:szCs w:val="24"/>
          <w:lang w:val="lv-LV"/>
        </w:rPr>
        <w:t>jāīsteno SDIS Plus vadlīnijās noteiktās prasības</w:t>
      </w:r>
      <w:r w:rsidR="00EE3AA6" w:rsidRPr="00843922">
        <w:rPr>
          <w:rFonts w:ascii="Times New Roman" w:hAnsi="Times New Roman" w:cs="Times New Roman"/>
          <w:sz w:val="24"/>
          <w:szCs w:val="24"/>
          <w:lang w:val="lv-LV"/>
        </w:rPr>
        <w:t>;</w:t>
      </w:r>
    </w:p>
    <w:p w14:paraId="5BFA7FE3" w14:textId="77777777" w:rsidR="007657AE" w:rsidRPr="00843922" w:rsidRDefault="007657AE" w:rsidP="00877455">
      <w:pPr>
        <w:pStyle w:val="FootnoteText"/>
        <w:jc w:val="both"/>
        <w:rPr>
          <w:rFonts w:ascii="Times New Roman" w:hAnsi="Times New Roman" w:cs="Times New Roman"/>
          <w:iCs/>
          <w:sz w:val="24"/>
          <w:szCs w:val="24"/>
          <w:lang w:val="lv-LV"/>
        </w:rPr>
      </w:pPr>
    </w:p>
    <w:p w14:paraId="5EF71DF1" w14:textId="146C8942" w:rsidR="00213B64" w:rsidRPr="00843922" w:rsidRDefault="00EE3AA6" w:rsidP="00877455">
      <w:pPr>
        <w:pStyle w:val="FootnoteText"/>
        <w:jc w:val="both"/>
        <w:rPr>
          <w:rFonts w:ascii="Times New Roman" w:hAnsi="Times New Roman" w:cs="Times New Roman"/>
          <w:sz w:val="24"/>
          <w:szCs w:val="24"/>
          <w:lang w:val="lv-LV"/>
        </w:rPr>
      </w:pPr>
      <w:r w:rsidRPr="00843922">
        <w:rPr>
          <w:rFonts w:ascii="Times New Roman" w:hAnsi="Times New Roman" w:cs="Times New Roman"/>
          <w:iCs/>
          <w:sz w:val="24"/>
          <w:szCs w:val="24"/>
          <w:vertAlign w:val="superscript"/>
          <w:lang w:val="lv-LV"/>
        </w:rPr>
        <w:t>3</w:t>
      </w:r>
      <w:r w:rsidR="00213B64" w:rsidRPr="00843922">
        <w:rPr>
          <w:rFonts w:ascii="Times New Roman" w:hAnsi="Times New Roman" w:cs="Times New Roman"/>
          <w:iCs/>
          <w:sz w:val="24"/>
          <w:szCs w:val="24"/>
          <w:lang w:val="lv-LV"/>
        </w:rPr>
        <w:t xml:space="preserve"> SDIS Plus datu kategorij</w:t>
      </w:r>
      <w:r w:rsidR="002A20DD" w:rsidRPr="00843922">
        <w:rPr>
          <w:rFonts w:ascii="Times New Roman" w:hAnsi="Times New Roman" w:cs="Times New Roman"/>
          <w:iCs/>
          <w:sz w:val="24"/>
          <w:szCs w:val="24"/>
          <w:lang w:val="lv-LV"/>
        </w:rPr>
        <w:t>a, kurai</w:t>
      </w:r>
      <w:r w:rsidR="00213B64" w:rsidRPr="00843922">
        <w:rPr>
          <w:rFonts w:ascii="Times New Roman" w:hAnsi="Times New Roman" w:cs="Times New Roman"/>
          <w:iCs/>
          <w:sz w:val="24"/>
          <w:szCs w:val="24"/>
          <w:lang w:val="lv-LV"/>
        </w:rPr>
        <w:t xml:space="preserve"> </w:t>
      </w:r>
      <w:r w:rsidR="004D1E8A" w:rsidRPr="00843922">
        <w:rPr>
          <w:rFonts w:ascii="Times New Roman" w:hAnsi="Times New Roman" w:cs="Times New Roman"/>
          <w:sz w:val="24"/>
          <w:szCs w:val="24"/>
          <w:lang w:val="lv-LV"/>
        </w:rPr>
        <w:t>līdz 2017.</w:t>
      </w:r>
      <w:r w:rsidR="002A20DD" w:rsidRPr="00843922">
        <w:rPr>
          <w:rFonts w:ascii="Times New Roman" w:hAnsi="Times New Roman" w:cs="Times New Roman"/>
          <w:sz w:val="24"/>
          <w:szCs w:val="24"/>
          <w:lang w:val="lv-LV"/>
        </w:rPr>
        <w:t xml:space="preserve"> </w:t>
      </w:r>
      <w:r w:rsidR="004D1E8A" w:rsidRPr="00843922">
        <w:rPr>
          <w:rFonts w:ascii="Times New Roman" w:hAnsi="Times New Roman" w:cs="Times New Roman"/>
          <w:sz w:val="24"/>
          <w:szCs w:val="24"/>
          <w:lang w:val="lv-LV"/>
        </w:rPr>
        <w:t>gada 30.</w:t>
      </w:r>
      <w:r w:rsidR="002A20DD" w:rsidRPr="00843922">
        <w:rPr>
          <w:rFonts w:ascii="Times New Roman" w:hAnsi="Times New Roman" w:cs="Times New Roman"/>
          <w:sz w:val="24"/>
          <w:szCs w:val="24"/>
          <w:lang w:val="lv-LV"/>
        </w:rPr>
        <w:t xml:space="preserve"> </w:t>
      </w:r>
      <w:r w:rsidR="004D1E8A" w:rsidRPr="00843922">
        <w:rPr>
          <w:rFonts w:ascii="Times New Roman" w:hAnsi="Times New Roman" w:cs="Times New Roman"/>
          <w:sz w:val="24"/>
          <w:szCs w:val="24"/>
          <w:lang w:val="lv-LV"/>
        </w:rPr>
        <w:t>jūnijam</w:t>
      </w:r>
      <w:r w:rsidR="002A20DD" w:rsidRPr="00843922">
        <w:rPr>
          <w:rFonts w:ascii="Times New Roman" w:hAnsi="Times New Roman" w:cs="Times New Roman"/>
          <w:sz w:val="24"/>
          <w:szCs w:val="24"/>
          <w:lang w:val="lv-LV"/>
        </w:rPr>
        <w:t xml:space="preserve"> jāīsteno SDIS Plus vadlīnijās noteiktās prasības</w:t>
      </w:r>
      <w:r w:rsidRPr="00843922">
        <w:rPr>
          <w:rFonts w:ascii="Times New Roman" w:hAnsi="Times New Roman" w:cs="Times New Roman"/>
          <w:sz w:val="24"/>
          <w:szCs w:val="24"/>
          <w:lang w:val="lv-LV"/>
        </w:rPr>
        <w:t>;</w:t>
      </w:r>
    </w:p>
    <w:p w14:paraId="49447D05" w14:textId="77777777" w:rsidR="00213B64" w:rsidRPr="00843922" w:rsidRDefault="00213B64" w:rsidP="00877455">
      <w:pPr>
        <w:pStyle w:val="FootnoteText"/>
        <w:jc w:val="both"/>
        <w:rPr>
          <w:rFonts w:ascii="Times New Roman" w:hAnsi="Times New Roman" w:cs="Times New Roman"/>
          <w:sz w:val="24"/>
          <w:szCs w:val="24"/>
          <w:lang w:val="lv-LV"/>
        </w:rPr>
      </w:pPr>
    </w:p>
    <w:p w14:paraId="637CF3D1" w14:textId="2F475DCE" w:rsidR="00213B64" w:rsidRPr="00843922" w:rsidRDefault="00EE3AA6" w:rsidP="00877455">
      <w:pPr>
        <w:pStyle w:val="FootnoteText"/>
        <w:jc w:val="both"/>
        <w:rPr>
          <w:rFonts w:ascii="Times New Roman" w:hAnsi="Times New Roman" w:cs="Times New Roman"/>
          <w:sz w:val="24"/>
          <w:szCs w:val="24"/>
          <w:lang w:val="lv-LV"/>
        </w:rPr>
      </w:pPr>
      <w:r w:rsidRPr="00843922">
        <w:rPr>
          <w:rFonts w:ascii="Times New Roman" w:hAnsi="Times New Roman" w:cs="Times New Roman"/>
          <w:iCs/>
          <w:sz w:val="24"/>
          <w:szCs w:val="24"/>
          <w:vertAlign w:val="superscript"/>
          <w:lang w:val="lv-LV"/>
        </w:rPr>
        <w:t>4</w:t>
      </w:r>
      <w:r w:rsidR="00213B64" w:rsidRPr="00843922">
        <w:rPr>
          <w:rFonts w:ascii="Times New Roman" w:hAnsi="Times New Roman" w:cs="Times New Roman"/>
          <w:iCs/>
          <w:sz w:val="24"/>
          <w:szCs w:val="24"/>
          <w:lang w:val="lv-LV"/>
        </w:rPr>
        <w:t xml:space="preserve"> SDIS Plus datu kategorij</w:t>
      </w:r>
      <w:r w:rsidR="002A20DD" w:rsidRPr="00843922">
        <w:rPr>
          <w:rFonts w:ascii="Times New Roman" w:hAnsi="Times New Roman" w:cs="Times New Roman"/>
          <w:iCs/>
          <w:sz w:val="24"/>
          <w:szCs w:val="24"/>
          <w:lang w:val="lv-LV"/>
        </w:rPr>
        <w:t xml:space="preserve">a, </w:t>
      </w:r>
      <w:r w:rsidR="00CB1A8B" w:rsidRPr="00843922">
        <w:rPr>
          <w:rFonts w:ascii="Times New Roman" w:hAnsi="Times New Roman" w:cs="Times New Roman"/>
          <w:iCs/>
          <w:sz w:val="24"/>
          <w:szCs w:val="24"/>
          <w:lang w:val="lv-LV"/>
        </w:rPr>
        <w:t xml:space="preserve">kurai līdz 2017. gada 30. jūnijam jāizstrādā </w:t>
      </w:r>
      <w:r w:rsidR="00A16108" w:rsidRPr="00843922">
        <w:rPr>
          <w:rFonts w:ascii="Times New Roman" w:hAnsi="Times New Roman" w:cs="Times New Roman"/>
          <w:iCs/>
          <w:sz w:val="24"/>
          <w:szCs w:val="24"/>
          <w:lang w:val="lv-LV"/>
        </w:rPr>
        <w:t>pasākumu</w:t>
      </w:r>
      <w:r w:rsidR="00CB1A8B" w:rsidRPr="00843922">
        <w:rPr>
          <w:rFonts w:ascii="Times New Roman" w:hAnsi="Times New Roman" w:cs="Times New Roman"/>
          <w:iCs/>
          <w:sz w:val="24"/>
          <w:szCs w:val="24"/>
          <w:lang w:val="lv-LV"/>
        </w:rPr>
        <w:t xml:space="preserve"> un </w:t>
      </w:r>
      <w:r w:rsidR="00A16108" w:rsidRPr="00843922">
        <w:rPr>
          <w:rFonts w:ascii="Times New Roman" w:hAnsi="Times New Roman" w:cs="Times New Roman"/>
          <w:iCs/>
          <w:sz w:val="24"/>
          <w:szCs w:val="24"/>
          <w:lang w:val="lv-LV"/>
        </w:rPr>
        <w:t>to</w:t>
      </w:r>
      <w:r w:rsidR="00CB1A8B" w:rsidRPr="00843922">
        <w:rPr>
          <w:rFonts w:ascii="Times New Roman" w:hAnsi="Times New Roman" w:cs="Times New Roman"/>
          <w:iCs/>
          <w:sz w:val="24"/>
          <w:szCs w:val="24"/>
          <w:lang w:val="lv-LV"/>
        </w:rPr>
        <w:t xml:space="preserve"> izpildes termiņu plāns un </w:t>
      </w:r>
      <w:r w:rsidR="002A20DD" w:rsidRPr="00843922">
        <w:rPr>
          <w:rFonts w:ascii="Times New Roman" w:hAnsi="Times New Roman" w:cs="Times New Roman"/>
          <w:iCs/>
          <w:sz w:val="24"/>
          <w:szCs w:val="24"/>
          <w:lang w:val="lv-LV"/>
        </w:rPr>
        <w:t>līdz 2019. gada beigām jāīsteno</w:t>
      </w:r>
      <w:r w:rsidR="00213B64" w:rsidRPr="00843922">
        <w:rPr>
          <w:rFonts w:ascii="Times New Roman" w:hAnsi="Times New Roman" w:cs="Times New Roman"/>
          <w:iCs/>
          <w:sz w:val="24"/>
          <w:szCs w:val="24"/>
          <w:lang w:val="lv-LV"/>
        </w:rPr>
        <w:t xml:space="preserve"> </w:t>
      </w:r>
      <w:r w:rsidR="002A20DD" w:rsidRPr="00843922">
        <w:rPr>
          <w:rFonts w:ascii="Times New Roman" w:hAnsi="Times New Roman" w:cs="Times New Roman"/>
          <w:sz w:val="24"/>
          <w:szCs w:val="24"/>
          <w:lang w:val="lv-LV"/>
        </w:rPr>
        <w:t>SDIS Plus vadlīnijās noteiktās prasības</w:t>
      </w:r>
      <w:r w:rsidRPr="00843922">
        <w:rPr>
          <w:rFonts w:ascii="Times New Roman" w:hAnsi="Times New Roman" w:cs="Times New Roman"/>
          <w:sz w:val="24"/>
          <w:szCs w:val="24"/>
          <w:lang w:val="lv-LV"/>
        </w:rPr>
        <w:t>;</w:t>
      </w:r>
    </w:p>
    <w:p w14:paraId="4BA2924F" w14:textId="77777777" w:rsidR="00213B64" w:rsidRPr="00843922" w:rsidRDefault="00213B64" w:rsidP="00877455">
      <w:pPr>
        <w:pStyle w:val="FootnoteText"/>
        <w:jc w:val="both"/>
        <w:rPr>
          <w:rFonts w:ascii="Times New Roman" w:hAnsi="Times New Roman" w:cs="Times New Roman"/>
          <w:sz w:val="24"/>
          <w:szCs w:val="24"/>
          <w:lang w:val="lv-LV"/>
        </w:rPr>
      </w:pPr>
    </w:p>
    <w:p w14:paraId="7BE9BFFE" w14:textId="3AD457AA" w:rsidR="003B47BF" w:rsidRPr="00843922" w:rsidRDefault="003B47BF" w:rsidP="00877455">
      <w:pPr>
        <w:pStyle w:val="FootnoteText"/>
        <w:jc w:val="both"/>
        <w:rPr>
          <w:rFonts w:ascii="Times New Roman" w:hAnsi="Times New Roman" w:cs="Times New Roman"/>
          <w:sz w:val="24"/>
          <w:szCs w:val="24"/>
          <w:lang w:val="lv-LV"/>
        </w:rPr>
      </w:pPr>
      <w:r w:rsidRPr="00843922">
        <w:rPr>
          <w:rFonts w:ascii="Times New Roman" w:hAnsi="Times New Roman" w:cs="Times New Roman"/>
          <w:iCs/>
          <w:sz w:val="24"/>
          <w:szCs w:val="24"/>
          <w:vertAlign w:val="superscript"/>
          <w:lang w:val="lv-LV"/>
        </w:rPr>
        <w:t xml:space="preserve">5 </w:t>
      </w:r>
      <w:r w:rsidRPr="00843922">
        <w:rPr>
          <w:rFonts w:ascii="Times New Roman" w:hAnsi="Times New Roman" w:cs="Times New Roman"/>
          <w:iCs/>
          <w:sz w:val="24"/>
          <w:szCs w:val="24"/>
          <w:lang w:val="lv-LV"/>
        </w:rPr>
        <w:t xml:space="preserve"> </w:t>
      </w:r>
      <w:r w:rsidR="000019D0" w:rsidRPr="00843922">
        <w:rPr>
          <w:rFonts w:ascii="Times New Roman" w:hAnsi="Times New Roman" w:cs="Times New Roman"/>
          <w:iCs/>
          <w:sz w:val="24"/>
          <w:szCs w:val="24"/>
          <w:lang w:val="lv-LV"/>
        </w:rPr>
        <w:t xml:space="preserve">SDIS Plus nenosaka attiecīgajām datu kategorijām datu </w:t>
      </w:r>
      <w:proofErr w:type="spellStart"/>
      <w:r w:rsidR="000019D0" w:rsidRPr="00843922">
        <w:rPr>
          <w:rFonts w:ascii="Times New Roman" w:hAnsi="Times New Roman" w:cs="Times New Roman"/>
          <w:iCs/>
          <w:sz w:val="24"/>
          <w:szCs w:val="24"/>
          <w:lang w:val="lv-LV"/>
        </w:rPr>
        <w:t>laikrindas</w:t>
      </w:r>
      <w:proofErr w:type="spellEnd"/>
      <w:r w:rsidR="000019D0" w:rsidRPr="00843922">
        <w:rPr>
          <w:rFonts w:ascii="Times New Roman" w:hAnsi="Times New Roman" w:cs="Times New Roman"/>
          <w:iCs/>
          <w:sz w:val="24"/>
          <w:szCs w:val="24"/>
          <w:lang w:val="lv-LV"/>
        </w:rPr>
        <w:t xml:space="preserve"> SDMX – ML formātā; </w:t>
      </w:r>
    </w:p>
    <w:p w14:paraId="517768AF" w14:textId="77777777" w:rsidR="003B47BF" w:rsidRPr="00843922" w:rsidRDefault="003B47BF" w:rsidP="00877455">
      <w:pPr>
        <w:pStyle w:val="FootnoteText"/>
        <w:jc w:val="both"/>
        <w:rPr>
          <w:rFonts w:ascii="Times New Roman" w:hAnsi="Times New Roman" w:cs="Times New Roman"/>
          <w:sz w:val="24"/>
          <w:szCs w:val="24"/>
          <w:lang w:val="lv-LV"/>
        </w:rPr>
      </w:pPr>
    </w:p>
    <w:p w14:paraId="2D974F7F" w14:textId="76309373" w:rsidR="00EE3AA6" w:rsidRPr="00843922" w:rsidRDefault="003B47BF" w:rsidP="00877455">
      <w:pPr>
        <w:jc w:val="both"/>
        <w:rPr>
          <w:rFonts w:ascii="Times New Roman" w:hAnsi="Times New Roman" w:cs="Times New Roman"/>
          <w:iCs/>
          <w:sz w:val="24"/>
          <w:szCs w:val="24"/>
          <w:lang w:val="lv-LV"/>
        </w:rPr>
      </w:pPr>
      <w:r w:rsidRPr="00843922">
        <w:rPr>
          <w:rFonts w:ascii="Times New Roman" w:hAnsi="Times New Roman" w:cs="Times New Roman"/>
          <w:iCs/>
          <w:sz w:val="24"/>
          <w:szCs w:val="24"/>
          <w:vertAlign w:val="superscript"/>
          <w:lang w:val="lv-LV"/>
        </w:rPr>
        <w:t>6</w:t>
      </w:r>
      <w:r w:rsidR="00CB1A8B" w:rsidRPr="00843922">
        <w:rPr>
          <w:rFonts w:ascii="Times New Roman" w:hAnsi="Times New Roman" w:cs="Times New Roman"/>
          <w:iCs/>
          <w:sz w:val="24"/>
          <w:szCs w:val="24"/>
          <w:vertAlign w:val="superscript"/>
          <w:lang w:val="lv-LV"/>
        </w:rPr>
        <w:t xml:space="preserve"> </w:t>
      </w:r>
      <w:r w:rsidR="00EE3AA6" w:rsidRPr="00843922">
        <w:rPr>
          <w:rFonts w:ascii="Times New Roman" w:hAnsi="Times New Roman" w:cs="Times New Roman"/>
          <w:iCs/>
          <w:sz w:val="24"/>
          <w:szCs w:val="24"/>
          <w:lang w:val="lv-LV"/>
        </w:rPr>
        <w:t>Līdz 2018. gada beigām datu kategorija ir Valsts kases atbildībā, no 2019. gada 1. janvāra datu kategorija ir CSP atbildībā;</w:t>
      </w:r>
    </w:p>
    <w:p w14:paraId="0521641B" w14:textId="6CF11C35" w:rsidR="00877455" w:rsidRPr="00843922" w:rsidRDefault="0051554D" w:rsidP="00902126">
      <w:pPr>
        <w:pStyle w:val="ListParagraph"/>
        <w:tabs>
          <w:tab w:val="left" w:pos="142"/>
        </w:tabs>
        <w:ind w:left="0"/>
        <w:jc w:val="both"/>
        <w:rPr>
          <w:rFonts w:ascii="Times New Roman" w:hAnsi="Times New Roman" w:cs="Times New Roman"/>
          <w:sz w:val="24"/>
          <w:szCs w:val="24"/>
          <w:lang w:val="lv-LV"/>
        </w:rPr>
      </w:pPr>
      <w:r w:rsidRPr="00843922">
        <w:rPr>
          <w:rFonts w:ascii="Times New Roman" w:hAnsi="Times New Roman" w:cs="Times New Roman"/>
          <w:iCs/>
          <w:sz w:val="24"/>
          <w:szCs w:val="24"/>
          <w:vertAlign w:val="superscript"/>
          <w:lang w:val="lv-LV"/>
        </w:rPr>
        <w:t>7</w:t>
      </w:r>
      <w:r w:rsidR="00902126" w:rsidRPr="00843922">
        <w:rPr>
          <w:rFonts w:ascii="Times New Roman" w:hAnsi="Times New Roman" w:cs="Times New Roman"/>
          <w:iCs/>
          <w:sz w:val="24"/>
          <w:szCs w:val="24"/>
          <w:vertAlign w:val="superscript"/>
          <w:lang w:val="lv-LV"/>
        </w:rPr>
        <w:t xml:space="preserve"> </w:t>
      </w:r>
      <w:r w:rsidR="00877455" w:rsidRPr="00843922">
        <w:rPr>
          <w:rFonts w:ascii="Times New Roman" w:hAnsi="Times New Roman" w:cs="Times New Roman"/>
          <w:sz w:val="24"/>
          <w:szCs w:val="24"/>
          <w:lang w:val="lv-LV"/>
        </w:rPr>
        <w:t xml:space="preserve">CSP </w:t>
      </w:r>
      <w:r w:rsidR="00CB1A8B" w:rsidRPr="00843922">
        <w:rPr>
          <w:rFonts w:ascii="Times New Roman" w:hAnsi="Times New Roman" w:cs="Times New Roman"/>
          <w:sz w:val="24"/>
          <w:szCs w:val="24"/>
          <w:lang w:val="lv-LV"/>
        </w:rPr>
        <w:t xml:space="preserve">ir </w:t>
      </w:r>
      <w:r w:rsidR="00877455" w:rsidRPr="00843922">
        <w:rPr>
          <w:rFonts w:ascii="Times New Roman" w:hAnsi="Times New Roman" w:cs="Times New Roman"/>
          <w:sz w:val="24"/>
          <w:szCs w:val="24"/>
          <w:lang w:val="lv-LV"/>
        </w:rPr>
        <w:t>atbild</w:t>
      </w:r>
      <w:r w:rsidR="00CB1A8B" w:rsidRPr="00843922">
        <w:rPr>
          <w:rFonts w:ascii="Times New Roman" w:hAnsi="Times New Roman" w:cs="Times New Roman"/>
          <w:sz w:val="24"/>
          <w:szCs w:val="24"/>
          <w:lang w:val="lv-LV"/>
        </w:rPr>
        <w:t>īgā institūcija</w:t>
      </w:r>
      <w:r w:rsidR="00877455" w:rsidRPr="00843922">
        <w:rPr>
          <w:rFonts w:ascii="Times New Roman" w:hAnsi="Times New Roman" w:cs="Times New Roman"/>
          <w:sz w:val="24"/>
          <w:szCs w:val="24"/>
          <w:lang w:val="lv-LV"/>
        </w:rPr>
        <w:t xml:space="preserve"> par </w:t>
      </w:r>
      <w:r w:rsidR="00D05A20" w:rsidRPr="00843922">
        <w:rPr>
          <w:rFonts w:ascii="Times New Roman" w:hAnsi="Times New Roman" w:cs="Times New Roman"/>
          <w:sz w:val="24"/>
          <w:szCs w:val="24"/>
          <w:lang w:val="lv-LV"/>
        </w:rPr>
        <w:t xml:space="preserve">datu </w:t>
      </w:r>
      <w:r w:rsidR="00CB1A8B" w:rsidRPr="00843922">
        <w:rPr>
          <w:rFonts w:ascii="Times New Roman" w:hAnsi="Times New Roman" w:cs="Times New Roman"/>
          <w:sz w:val="24"/>
          <w:szCs w:val="24"/>
          <w:lang w:val="lv-LV"/>
        </w:rPr>
        <w:t xml:space="preserve">kategorijas </w:t>
      </w:r>
      <w:r w:rsidR="005305FD" w:rsidRPr="00843922">
        <w:rPr>
          <w:rFonts w:ascii="Times New Roman" w:hAnsi="Times New Roman" w:cs="Times New Roman"/>
          <w:sz w:val="24"/>
          <w:szCs w:val="24"/>
          <w:lang w:val="lv-LV"/>
        </w:rPr>
        <w:t xml:space="preserve">“Finanšu stabilitātes rādītāji” </w:t>
      </w:r>
      <w:r w:rsidR="00CB1A8B" w:rsidRPr="00843922">
        <w:rPr>
          <w:rFonts w:ascii="Times New Roman" w:hAnsi="Times New Roman" w:cs="Times New Roman"/>
          <w:sz w:val="24"/>
          <w:szCs w:val="24"/>
          <w:lang w:val="lv-LV"/>
        </w:rPr>
        <w:t xml:space="preserve">datu </w:t>
      </w:r>
      <w:proofErr w:type="spellStart"/>
      <w:r w:rsidR="00877455" w:rsidRPr="00843922">
        <w:rPr>
          <w:rFonts w:ascii="Times New Roman" w:hAnsi="Times New Roman" w:cs="Times New Roman"/>
          <w:sz w:val="24"/>
          <w:szCs w:val="24"/>
          <w:lang w:val="lv-LV"/>
        </w:rPr>
        <w:t>apakškategoriju</w:t>
      </w:r>
      <w:proofErr w:type="spellEnd"/>
      <w:r w:rsidR="00877455" w:rsidRPr="00843922">
        <w:rPr>
          <w:rFonts w:ascii="Times New Roman" w:hAnsi="Times New Roman" w:cs="Times New Roman"/>
          <w:sz w:val="24"/>
          <w:szCs w:val="24"/>
          <w:lang w:val="lv-LV"/>
        </w:rPr>
        <w:t xml:space="preserve"> "Dzīvojamā nekustamā īpašuma cenas"</w:t>
      </w:r>
      <w:r w:rsidR="00277E26" w:rsidRPr="00843922">
        <w:rPr>
          <w:rFonts w:ascii="Times New Roman" w:hAnsi="Times New Roman" w:cs="Times New Roman"/>
          <w:sz w:val="24"/>
          <w:szCs w:val="24"/>
          <w:lang w:val="lv-LV"/>
        </w:rPr>
        <w:t xml:space="preserve">. </w:t>
      </w:r>
      <w:r w:rsidR="00CB1A8B" w:rsidRPr="00843922">
        <w:rPr>
          <w:rFonts w:ascii="Times New Roman" w:hAnsi="Times New Roman" w:cs="Times New Roman"/>
          <w:sz w:val="24"/>
          <w:szCs w:val="24"/>
          <w:lang w:val="lv-LV"/>
        </w:rPr>
        <w:t xml:space="preserve">FKTK ir atbildīgā institūcija </w:t>
      </w:r>
      <w:r w:rsidR="00877455" w:rsidRPr="00843922">
        <w:rPr>
          <w:rFonts w:ascii="Times New Roman" w:hAnsi="Times New Roman" w:cs="Times New Roman"/>
          <w:sz w:val="24"/>
          <w:szCs w:val="24"/>
          <w:lang w:val="lv-LV"/>
        </w:rPr>
        <w:t>par datu</w:t>
      </w:r>
      <w:r w:rsidR="00CB1A8B" w:rsidRPr="00843922">
        <w:rPr>
          <w:rFonts w:ascii="Times New Roman" w:hAnsi="Times New Roman" w:cs="Times New Roman"/>
          <w:sz w:val="24"/>
          <w:szCs w:val="24"/>
          <w:lang w:val="lv-LV"/>
        </w:rPr>
        <w:t xml:space="preserve"> kategorijas </w:t>
      </w:r>
      <w:r w:rsidR="005305FD" w:rsidRPr="00843922">
        <w:rPr>
          <w:rFonts w:ascii="Times New Roman" w:hAnsi="Times New Roman" w:cs="Times New Roman"/>
          <w:sz w:val="24"/>
          <w:szCs w:val="24"/>
          <w:lang w:val="lv-LV"/>
        </w:rPr>
        <w:t xml:space="preserve">“Finanšu stabilitātes rādītāji” </w:t>
      </w:r>
      <w:r w:rsidR="00CB1A8B" w:rsidRPr="00843922">
        <w:rPr>
          <w:rFonts w:ascii="Times New Roman" w:hAnsi="Times New Roman" w:cs="Times New Roman"/>
          <w:sz w:val="24"/>
          <w:szCs w:val="24"/>
          <w:lang w:val="lv-LV"/>
        </w:rPr>
        <w:t>datu</w:t>
      </w:r>
      <w:r w:rsidR="00877455" w:rsidRPr="00843922">
        <w:rPr>
          <w:rFonts w:ascii="Times New Roman" w:hAnsi="Times New Roman" w:cs="Times New Roman"/>
          <w:sz w:val="24"/>
          <w:szCs w:val="24"/>
          <w:lang w:val="lv-LV"/>
        </w:rPr>
        <w:t xml:space="preserve"> </w:t>
      </w:r>
      <w:proofErr w:type="spellStart"/>
      <w:r w:rsidR="00D05A20" w:rsidRPr="00843922">
        <w:rPr>
          <w:rFonts w:ascii="Times New Roman" w:hAnsi="Times New Roman" w:cs="Times New Roman"/>
          <w:sz w:val="24"/>
          <w:szCs w:val="24"/>
          <w:lang w:val="lv-LV"/>
        </w:rPr>
        <w:t>apakš</w:t>
      </w:r>
      <w:r w:rsidR="00877455" w:rsidRPr="00843922">
        <w:rPr>
          <w:rFonts w:ascii="Times New Roman" w:hAnsi="Times New Roman" w:cs="Times New Roman"/>
          <w:sz w:val="24"/>
          <w:szCs w:val="24"/>
          <w:lang w:val="lv-LV"/>
        </w:rPr>
        <w:t>kategorijām</w:t>
      </w:r>
      <w:proofErr w:type="spellEnd"/>
      <w:r w:rsidR="00877455" w:rsidRPr="00843922">
        <w:rPr>
          <w:rFonts w:ascii="Times New Roman" w:hAnsi="Times New Roman" w:cs="Times New Roman"/>
          <w:sz w:val="24"/>
          <w:szCs w:val="24"/>
          <w:lang w:val="lv-LV"/>
        </w:rPr>
        <w:t xml:space="preserve"> "Normatīvajos aktos noteiktā 1.</w:t>
      </w:r>
      <w:r w:rsidR="00FF0C1E" w:rsidRPr="00843922">
        <w:rPr>
          <w:rFonts w:ascii="Times New Roman" w:hAnsi="Times New Roman" w:cs="Times New Roman"/>
          <w:sz w:val="24"/>
          <w:szCs w:val="24"/>
          <w:lang w:val="lv-LV"/>
        </w:rPr>
        <w:t> </w:t>
      </w:r>
      <w:r w:rsidR="00877455" w:rsidRPr="00843922">
        <w:rPr>
          <w:rFonts w:ascii="Times New Roman" w:hAnsi="Times New Roman" w:cs="Times New Roman"/>
          <w:sz w:val="24"/>
          <w:szCs w:val="24"/>
          <w:lang w:val="lv-LV"/>
        </w:rPr>
        <w:t>līmeņa kapitāla attiecība pret riska svērtajiem aktīviem", "Normatīvajos aktos noteiktā 1. līmeņa kapitāla attiecība pret aktīviem", "Ieņēmumus nenesošu kredītu (neietverot uzkrājumus) attiecība pret kapitālu", "Ieņēmumus nenesošu kredītu attiecība pret bruto kredītu kopapjomu", "Aktīvu atdeve"</w:t>
      </w:r>
      <w:r w:rsidR="00277E26" w:rsidRPr="00843922">
        <w:rPr>
          <w:rFonts w:ascii="Times New Roman" w:hAnsi="Times New Roman" w:cs="Times New Roman"/>
          <w:sz w:val="24"/>
          <w:szCs w:val="24"/>
          <w:lang w:val="lv-LV"/>
        </w:rPr>
        <w:t xml:space="preserve"> un</w:t>
      </w:r>
      <w:r w:rsidR="00877455" w:rsidRPr="00843922">
        <w:rPr>
          <w:rFonts w:ascii="Times New Roman" w:hAnsi="Times New Roman" w:cs="Times New Roman"/>
          <w:sz w:val="24"/>
          <w:szCs w:val="24"/>
          <w:lang w:val="lv-LV"/>
        </w:rPr>
        <w:t xml:space="preserve"> "Likvīdo aktīvu attiecība pret īstermiņa saistībām"</w:t>
      </w:r>
      <w:r w:rsidR="005305FD" w:rsidRPr="00843922">
        <w:rPr>
          <w:rFonts w:ascii="Times New Roman" w:hAnsi="Times New Roman" w:cs="Times New Roman"/>
          <w:sz w:val="24"/>
          <w:szCs w:val="24"/>
          <w:lang w:val="lv-LV"/>
        </w:rPr>
        <w:t>.</w:t>
      </w:r>
    </w:p>
    <w:p w14:paraId="40584B43" w14:textId="77777777" w:rsidR="00B6677F" w:rsidRDefault="00B6677F" w:rsidP="00B6677F">
      <w:pPr>
        <w:jc w:val="both"/>
        <w:rPr>
          <w:rFonts w:ascii="Times New Roman" w:hAnsi="Times New Roman" w:cs="Times New Roman"/>
          <w:sz w:val="24"/>
          <w:szCs w:val="24"/>
          <w:lang w:val="lv-LV"/>
        </w:rPr>
      </w:pPr>
    </w:p>
    <w:p w14:paraId="66C9F0AC" w14:textId="77777777" w:rsidR="00E23E59" w:rsidRPr="0069459A" w:rsidRDefault="00E23E59" w:rsidP="00B6677F">
      <w:pPr>
        <w:jc w:val="both"/>
        <w:rPr>
          <w:rFonts w:ascii="Times New Roman" w:hAnsi="Times New Roman" w:cs="Times New Roman"/>
          <w:sz w:val="24"/>
          <w:szCs w:val="24"/>
          <w:lang w:val="lv-LV"/>
        </w:rPr>
      </w:pPr>
    </w:p>
    <w:p w14:paraId="6C5FEC9C" w14:textId="2883A196" w:rsidR="00B6677F" w:rsidRPr="009D1BB4" w:rsidRDefault="00B6677F" w:rsidP="009D1BB4">
      <w:pPr>
        <w:tabs>
          <w:tab w:val="right" w:pos="9639"/>
        </w:tabs>
        <w:autoSpaceDE w:val="0"/>
        <w:autoSpaceDN w:val="0"/>
        <w:adjustRightInd w:val="0"/>
        <w:spacing w:after="0" w:line="240" w:lineRule="auto"/>
        <w:ind w:right="-766"/>
        <w:jc w:val="both"/>
        <w:rPr>
          <w:rFonts w:ascii="Times New Roman" w:eastAsia="Times New Roman" w:hAnsi="Times New Roman" w:cs="Times New Roman"/>
          <w:sz w:val="24"/>
          <w:szCs w:val="28"/>
          <w:lang w:val="lv-LV" w:eastAsia="lv-LV"/>
        </w:rPr>
      </w:pPr>
      <w:r w:rsidRPr="009D1BB4">
        <w:rPr>
          <w:rFonts w:ascii="Times New Roman" w:eastAsia="Times New Roman" w:hAnsi="Times New Roman" w:cs="Times New Roman"/>
          <w:sz w:val="24"/>
          <w:szCs w:val="28"/>
          <w:lang w:val="lv-LV" w:eastAsia="lv-LV"/>
        </w:rPr>
        <w:t>Finanšu ministre</w:t>
      </w:r>
      <w:r w:rsidRPr="009D1BB4">
        <w:rPr>
          <w:rFonts w:ascii="Times New Roman" w:eastAsia="Times New Roman" w:hAnsi="Times New Roman" w:cs="Times New Roman"/>
          <w:sz w:val="24"/>
          <w:szCs w:val="28"/>
          <w:lang w:val="lv-LV" w:eastAsia="lv-LV"/>
        </w:rPr>
        <w:tab/>
        <w:t>D.</w:t>
      </w:r>
      <w:r w:rsidR="00513526">
        <w:rPr>
          <w:rFonts w:ascii="Times New Roman" w:eastAsia="Times New Roman" w:hAnsi="Times New Roman" w:cs="Times New Roman"/>
          <w:sz w:val="24"/>
          <w:szCs w:val="28"/>
          <w:lang w:val="lv-LV" w:eastAsia="lv-LV"/>
        </w:rPr>
        <w:t> </w:t>
      </w:r>
      <w:proofErr w:type="spellStart"/>
      <w:r w:rsidRPr="009D1BB4">
        <w:rPr>
          <w:rFonts w:ascii="Times New Roman" w:eastAsia="Times New Roman" w:hAnsi="Times New Roman" w:cs="Times New Roman"/>
          <w:sz w:val="24"/>
          <w:szCs w:val="28"/>
          <w:lang w:val="lv-LV" w:eastAsia="lv-LV"/>
        </w:rPr>
        <w:t>Reizniece-Ozola</w:t>
      </w:r>
      <w:proofErr w:type="spellEnd"/>
    </w:p>
    <w:p w14:paraId="37051994" w14:textId="77777777" w:rsidR="00B6677F" w:rsidRPr="009D1BB4" w:rsidRDefault="00B6677F" w:rsidP="009D1BB4">
      <w:pPr>
        <w:spacing w:after="60"/>
        <w:ind w:right="185"/>
        <w:jc w:val="both"/>
        <w:rPr>
          <w:rFonts w:ascii="Times New Roman" w:hAnsi="Times New Roman" w:cs="Times New Roman"/>
          <w:b/>
          <w:sz w:val="24"/>
          <w:szCs w:val="24"/>
          <w:lang w:val="lv-LV"/>
        </w:rPr>
      </w:pPr>
    </w:p>
    <w:p w14:paraId="164C25CE" w14:textId="77777777" w:rsidR="00B6677F" w:rsidRPr="0069459A" w:rsidRDefault="00B6677F" w:rsidP="00B6677F">
      <w:pPr>
        <w:jc w:val="both"/>
        <w:rPr>
          <w:rFonts w:ascii="Times New Roman" w:hAnsi="Times New Roman" w:cs="Times New Roman"/>
          <w:sz w:val="24"/>
          <w:szCs w:val="24"/>
          <w:lang w:val="lv-LV"/>
        </w:rPr>
      </w:pPr>
    </w:p>
    <w:p w14:paraId="45BD52F2" w14:textId="77777777" w:rsidR="00B13DA6" w:rsidRDefault="00B13DA6" w:rsidP="00B6677F">
      <w:pPr>
        <w:jc w:val="both"/>
        <w:rPr>
          <w:rFonts w:ascii="Times New Roman" w:hAnsi="Times New Roman" w:cs="Times New Roman"/>
          <w:sz w:val="24"/>
          <w:szCs w:val="24"/>
          <w:lang w:val="lv-LV"/>
        </w:rPr>
      </w:pPr>
    </w:p>
    <w:p w14:paraId="383F1308" w14:textId="77777777" w:rsidR="00E23E59" w:rsidRDefault="00E23E59" w:rsidP="00B6677F">
      <w:pPr>
        <w:jc w:val="both"/>
        <w:rPr>
          <w:rFonts w:ascii="Times New Roman" w:hAnsi="Times New Roman" w:cs="Times New Roman"/>
          <w:sz w:val="24"/>
          <w:szCs w:val="24"/>
          <w:lang w:val="lv-LV"/>
        </w:rPr>
      </w:pPr>
    </w:p>
    <w:p w14:paraId="624CFBD8" w14:textId="77777777" w:rsidR="004A053B" w:rsidRDefault="004A053B" w:rsidP="00B6677F">
      <w:pPr>
        <w:jc w:val="both"/>
        <w:rPr>
          <w:rFonts w:ascii="Times New Roman" w:hAnsi="Times New Roman" w:cs="Times New Roman"/>
          <w:sz w:val="24"/>
          <w:szCs w:val="24"/>
          <w:lang w:val="lv-LV"/>
        </w:rPr>
      </w:pPr>
    </w:p>
    <w:p w14:paraId="3E66838E" w14:textId="77777777" w:rsidR="004A053B" w:rsidRDefault="004A053B" w:rsidP="00B6677F">
      <w:pPr>
        <w:jc w:val="both"/>
        <w:rPr>
          <w:rFonts w:ascii="Times New Roman" w:hAnsi="Times New Roman" w:cs="Times New Roman"/>
          <w:sz w:val="24"/>
          <w:szCs w:val="24"/>
          <w:lang w:val="lv-LV"/>
        </w:rPr>
      </w:pPr>
    </w:p>
    <w:p w14:paraId="7DD1C29D" w14:textId="77777777" w:rsidR="004A053B" w:rsidRDefault="004A053B" w:rsidP="00B6677F">
      <w:pPr>
        <w:jc w:val="both"/>
        <w:rPr>
          <w:rFonts w:ascii="Times New Roman" w:hAnsi="Times New Roman" w:cs="Times New Roman"/>
          <w:sz w:val="24"/>
          <w:szCs w:val="24"/>
          <w:lang w:val="lv-LV"/>
        </w:rPr>
      </w:pPr>
    </w:p>
    <w:p w14:paraId="7323EDAE" w14:textId="77777777" w:rsidR="004A053B" w:rsidRDefault="004A053B" w:rsidP="00B6677F">
      <w:pPr>
        <w:jc w:val="both"/>
        <w:rPr>
          <w:rFonts w:ascii="Times New Roman" w:hAnsi="Times New Roman" w:cs="Times New Roman"/>
          <w:sz w:val="24"/>
          <w:szCs w:val="24"/>
          <w:lang w:val="lv-LV"/>
        </w:rPr>
      </w:pPr>
    </w:p>
    <w:p w14:paraId="5CDAC065" w14:textId="77777777" w:rsidR="00513526" w:rsidRDefault="00513526" w:rsidP="00B6677F">
      <w:pPr>
        <w:jc w:val="both"/>
        <w:rPr>
          <w:rFonts w:ascii="Times New Roman" w:hAnsi="Times New Roman" w:cs="Times New Roman"/>
          <w:sz w:val="24"/>
          <w:szCs w:val="24"/>
          <w:lang w:val="lv-LV"/>
        </w:rPr>
      </w:pPr>
    </w:p>
    <w:p w14:paraId="4F13D8C7" w14:textId="77777777" w:rsidR="00513526" w:rsidRDefault="00513526" w:rsidP="00B6677F">
      <w:pPr>
        <w:jc w:val="both"/>
        <w:rPr>
          <w:rFonts w:ascii="Times New Roman" w:hAnsi="Times New Roman" w:cs="Times New Roman"/>
          <w:sz w:val="24"/>
          <w:szCs w:val="24"/>
          <w:lang w:val="lv-LV"/>
        </w:rPr>
      </w:pPr>
    </w:p>
    <w:p w14:paraId="47702E52" w14:textId="77777777" w:rsidR="00513526" w:rsidRPr="00B13DA6" w:rsidRDefault="00513526" w:rsidP="00B6677F">
      <w:pPr>
        <w:jc w:val="both"/>
        <w:rPr>
          <w:rFonts w:ascii="Times New Roman" w:hAnsi="Times New Roman" w:cs="Times New Roman"/>
          <w:sz w:val="24"/>
          <w:szCs w:val="24"/>
          <w:lang w:val="lv-LV"/>
        </w:rPr>
      </w:pPr>
    </w:p>
    <w:p w14:paraId="2C32C3A6" w14:textId="77777777" w:rsidR="005C589D" w:rsidRPr="009D1BB4" w:rsidRDefault="005C589D" w:rsidP="005C589D">
      <w:pPr>
        <w:spacing w:after="0" w:line="240" w:lineRule="auto"/>
        <w:rPr>
          <w:rFonts w:ascii="Times New Roman" w:eastAsia="Times New Roman" w:hAnsi="Times New Roman" w:cs="Times New Roman"/>
          <w:sz w:val="20"/>
          <w:szCs w:val="20"/>
          <w:lang w:val="lv-LV"/>
        </w:rPr>
      </w:pPr>
      <w:bookmarkStart w:id="1" w:name="OLE_LINK3"/>
      <w:bookmarkStart w:id="2" w:name="OLE_LINK4"/>
      <w:r w:rsidRPr="009D1BB4">
        <w:rPr>
          <w:rFonts w:ascii="Times New Roman" w:eastAsia="Times New Roman" w:hAnsi="Times New Roman" w:cs="Times New Roman"/>
          <w:sz w:val="20"/>
          <w:szCs w:val="20"/>
          <w:lang w:val="lv-LV"/>
        </w:rPr>
        <w:t>Meldere</w:t>
      </w:r>
    </w:p>
    <w:p w14:paraId="32887FE9" w14:textId="77777777" w:rsidR="005C589D" w:rsidRPr="009D1BB4" w:rsidRDefault="005C589D" w:rsidP="005C589D">
      <w:pPr>
        <w:spacing w:after="60" w:line="240" w:lineRule="auto"/>
        <w:ind w:right="185"/>
        <w:jc w:val="both"/>
        <w:rPr>
          <w:rFonts w:ascii="Times New Roman" w:eastAsia="Times New Roman" w:hAnsi="Times New Roman" w:cs="Times New Roman"/>
          <w:sz w:val="20"/>
          <w:szCs w:val="20"/>
          <w:lang w:val="lv-LV"/>
        </w:rPr>
      </w:pPr>
      <w:r w:rsidRPr="009D1BB4">
        <w:rPr>
          <w:rFonts w:ascii="Times New Roman" w:eastAsia="Times New Roman" w:hAnsi="Times New Roman" w:cs="Times New Roman"/>
          <w:sz w:val="20"/>
          <w:szCs w:val="20"/>
          <w:lang w:val="lv-LV"/>
        </w:rPr>
        <w:t>67094309</w:t>
      </w:r>
    </w:p>
    <w:p w14:paraId="7E12A437" w14:textId="2F1A39A3" w:rsidR="005C589D" w:rsidRPr="0069459A" w:rsidRDefault="00DA4DCE" w:rsidP="009D1BB4">
      <w:pPr>
        <w:spacing w:after="60" w:line="240" w:lineRule="auto"/>
        <w:ind w:right="185"/>
        <w:jc w:val="both"/>
        <w:rPr>
          <w:rFonts w:ascii="Times New Roman" w:hAnsi="Times New Roman" w:cs="Times New Roman"/>
          <w:sz w:val="24"/>
          <w:szCs w:val="24"/>
          <w:lang w:val="lv-LV"/>
        </w:rPr>
      </w:pPr>
      <w:hyperlink r:id="rId13" w:history="1">
        <w:r w:rsidR="00513526" w:rsidRPr="00537828">
          <w:rPr>
            <w:rStyle w:val="Hyperlink"/>
            <w:rFonts w:eastAsia="Times New Roman" w:cs="Times New Roman"/>
            <w:sz w:val="20"/>
            <w:szCs w:val="20"/>
          </w:rPr>
          <w:t>Ilze.Meldere@kase.gov.lv</w:t>
        </w:r>
      </w:hyperlink>
      <w:bookmarkEnd w:id="1"/>
      <w:bookmarkEnd w:id="2"/>
    </w:p>
    <w:sectPr w:rsidR="005C589D" w:rsidRPr="0069459A" w:rsidSect="001D0426">
      <w:headerReference w:type="default" r:id="rId14"/>
      <w:footerReference w:type="default" r:id="rId15"/>
      <w:footerReference w:type="first" r:id="rId16"/>
      <w:endnotePr>
        <w:numFmt w:val="decimal"/>
      </w:endnotePr>
      <w:pgSz w:w="11906" w:h="16838"/>
      <w:pgMar w:top="680" w:right="991" w:bottom="1440" w:left="1276" w:header="709" w:footer="709" w:gutter="0"/>
      <w:cols w:space="708"/>
      <w:titlePg/>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DCE41AA" w15:done="0"/>
  <w15:commentEx w15:paraId="6FDFD845"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0D5B57B" w14:textId="77777777" w:rsidR="001225F7" w:rsidRDefault="001225F7" w:rsidP="006A5212">
      <w:pPr>
        <w:spacing w:after="0" w:line="240" w:lineRule="auto"/>
      </w:pPr>
      <w:r>
        <w:separator/>
      </w:r>
    </w:p>
  </w:endnote>
  <w:endnote w:type="continuationSeparator" w:id="0">
    <w:p w14:paraId="52B155D3" w14:textId="77777777" w:rsidR="001225F7" w:rsidRDefault="001225F7" w:rsidP="006A52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2B59D6" w14:textId="46BF4E34" w:rsidR="00DF269D" w:rsidRPr="00DF269D" w:rsidRDefault="0045451A" w:rsidP="00DF269D">
    <w:pPr>
      <w:pStyle w:val="Footer"/>
      <w:rPr>
        <w:rFonts w:ascii="Times New Roman" w:hAnsi="Times New Roman" w:cs="Times New Roman"/>
        <w:sz w:val="16"/>
        <w:szCs w:val="16"/>
        <w:lang w:val="lv-LV"/>
      </w:rPr>
    </w:pPr>
    <w:r>
      <w:rPr>
        <w:rFonts w:ascii="Times New Roman" w:hAnsi="Times New Roman" w:cs="Times New Roman"/>
        <w:sz w:val="16"/>
        <w:szCs w:val="16"/>
        <w:lang w:val="lv-LV"/>
      </w:rPr>
      <w:t>FM</w:t>
    </w:r>
    <w:r w:rsidR="00FA6603">
      <w:rPr>
        <w:rFonts w:ascii="Times New Roman" w:hAnsi="Times New Roman" w:cs="Times New Roman"/>
        <w:sz w:val="16"/>
        <w:szCs w:val="16"/>
        <w:lang w:val="lv-LV"/>
      </w:rPr>
      <w:t>Z</w:t>
    </w:r>
    <w:r>
      <w:rPr>
        <w:rFonts w:ascii="Times New Roman" w:hAnsi="Times New Roman" w:cs="Times New Roman"/>
        <w:sz w:val="16"/>
        <w:szCs w:val="16"/>
        <w:lang w:val="lv-LV"/>
      </w:rPr>
      <w:t>in</w:t>
    </w:r>
    <w:r w:rsidR="00FA6603">
      <w:rPr>
        <w:rFonts w:ascii="Times New Roman" w:hAnsi="Times New Roman" w:cs="Times New Roman"/>
        <w:sz w:val="16"/>
        <w:szCs w:val="16"/>
        <w:lang w:val="lv-LV"/>
      </w:rPr>
      <w:t>op</w:t>
    </w:r>
    <w:r w:rsidR="00D241E7">
      <w:rPr>
        <w:rFonts w:ascii="Times New Roman" w:hAnsi="Times New Roman" w:cs="Times New Roman"/>
        <w:sz w:val="16"/>
        <w:szCs w:val="16"/>
        <w:lang w:val="lv-LV"/>
      </w:rPr>
      <w:t>_</w:t>
    </w:r>
    <w:r w:rsidR="00A94EFB">
      <w:rPr>
        <w:rFonts w:ascii="Times New Roman" w:hAnsi="Times New Roman" w:cs="Times New Roman"/>
        <w:sz w:val="16"/>
        <w:szCs w:val="16"/>
        <w:lang w:val="lv-LV"/>
      </w:rPr>
      <w:t>1601</w:t>
    </w:r>
    <w:r w:rsidR="00E53DE0">
      <w:rPr>
        <w:rFonts w:ascii="Times New Roman" w:hAnsi="Times New Roman" w:cs="Times New Roman"/>
        <w:sz w:val="16"/>
        <w:szCs w:val="16"/>
        <w:lang w:val="lv-LV"/>
      </w:rPr>
      <w:t>1</w:t>
    </w:r>
    <w:r w:rsidR="00A94EFB">
      <w:rPr>
        <w:rFonts w:ascii="Times New Roman" w:hAnsi="Times New Roman" w:cs="Times New Roman"/>
        <w:sz w:val="16"/>
        <w:szCs w:val="16"/>
        <w:lang w:val="lv-LV"/>
      </w:rPr>
      <w:t>7</w:t>
    </w:r>
    <w:r w:rsidR="00E53DE0" w:rsidRPr="00FA6603">
      <w:rPr>
        <w:rFonts w:ascii="Times New Roman" w:hAnsi="Times New Roman" w:cs="Times New Roman"/>
        <w:sz w:val="16"/>
        <w:szCs w:val="16"/>
        <w:lang w:val="lv-LV"/>
      </w:rPr>
      <w:t>_</w:t>
    </w:r>
    <w:r w:rsidR="00D241E7" w:rsidRPr="00FA6603">
      <w:rPr>
        <w:rFonts w:ascii="Times New Roman" w:hAnsi="Times New Roman" w:cs="Times New Roman"/>
        <w:sz w:val="16"/>
        <w:szCs w:val="16"/>
        <w:lang w:val="lv-LV"/>
      </w:rPr>
      <w:t>SVF</w:t>
    </w:r>
    <w:r w:rsidR="00FA6603" w:rsidRPr="00FA6603">
      <w:rPr>
        <w:rFonts w:ascii="Times New Roman" w:hAnsi="Times New Roman" w:cs="Times New Roman"/>
        <w:sz w:val="16"/>
        <w:szCs w:val="16"/>
        <w:lang w:val="lv-LV"/>
      </w:rPr>
      <w:t>_</w:t>
    </w:r>
    <w:r w:rsidR="00843922">
      <w:rPr>
        <w:rFonts w:ascii="Times New Roman" w:hAnsi="Times New Roman" w:cs="Times New Roman"/>
        <w:sz w:val="16"/>
        <w:szCs w:val="16"/>
        <w:lang w:val="lv-LV"/>
      </w:rPr>
      <w:t>1147.docx</w:t>
    </w:r>
    <w:r w:rsidR="00FA6603" w:rsidRPr="00FA6603">
      <w:rPr>
        <w:rFonts w:ascii="Times New Roman" w:hAnsi="Times New Roman" w:cs="Times New Roman"/>
        <w:sz w:val="16"/>
        <w:szCs w:val="16"/>
        <w:lang w:val="lv-LV"/>
      </w:rPr>
      <w:t xml:space="preserve"> </w:t>
    </w:r>
  </w:p>
  <w:p w14:paraId="3DFE0723" w14:textId="44671053" w:rsidR="00B02611" w:rsidRDefault="00B02611" w:rsidP="00DF269D">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E9EFDC3" w14:textId="3535082C" w:rsidR="00233A80" w:rsidRPr="00DF269D" w:rsidRDefault="00233A80" w:rsidP="00233A80">
    <w:pPr>
      <w:pStyle w:val="Footer"/>
      <w:rPr>
        <w:rFonts w:ascii="Times New Roman" w:hAnsi="Times New Roman" w:cs="Times New Roman"/>
        <w:sz w:val="16"/>
        <w:szCs w:val="16"/>
        <w:lang w:val="lv-LV"/>
      </w:rPr>
    </w:pPr>
    <w:r>
      <w:rPr>
        <w:rFonts w:ascii="Times New Roman" w:hAnsi="Times New Roman" w:cs="Times New Roman"/>
        <w:sz w:val="16"/>
        <w:szCs w:val="16"/>
        <w:lang w:val="lv-LV"/>
      </w:rPr>
      <w:t>FMZinop_</w:t>
    </w:r>
    <w:r w:rsidR="00E96EBC">
      <w:rPr>
        <w:rFonts w:ascii="Times New Roman" w:hAnsi="Times New Roman" w:cs="Times New Roman"/>
        <w:sz w:val="16"/>
        <w:szCs w:val="16"/>
        <w:lang w:val="lv-LV"/>
      </w:rPr>
      <w:t>1601</w:t>
    </w:r>
    <w:r>
      <w:rPr>
        <w:rFonts w:ascii="Times New Roman" w:hAnsi="Times New Roman" w:cs="Times New Roman"/>
        <w:sz w:val="16"/>
        <w:szCs w:val="16"/>
        <w:lang w:val="lv-LV"/>
      </w:rPr>
      <w:t>1</w:t>
    </w:r>
    <w:r w:rsidR="00E96EBC">
      <w:rPr>
        <w:rFonts w:ascii="Times New Roman" w:hAnsi="Times New Roman" w:cs="Times New Roman"/>
        <w:sz w:val="16"/>
        <w:szCs w:val="16"/>
        <w:lang w:val="lv-LV"/>
      </w:rPr>
      <w:t>7</w:t>
    </w:r>
    <w:r w:rsidRPr="00FA6603">
      <w:rPr>
        <w:rFonts w:ascii="Times New Roman" w:hAnsi="Times New Roman" w:cs="Times New Roman"/>
        <w:sz w:val="16"/>
        <w:szCs w:val="16"/>
        <w:lang w:val="lv-LV"/>
      </w:rPr>
      <w:t>_SVF_</w:t>
    </w:r>
    <w:r w:rsidR="00F627B4">
      <w:rPr>
        <w:rFonts w:ascii="Times New Roman" w:hAnsi="Times New Roman" w:cs="Times New Roman"/>
        <w:sz w:val="16"/>
        <w:szCs w:val="16"/>
        <w:lang w:val="lv-LV"/>
      </w:rPr>
      <w:t xml:space="preserve">1147.docx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AD6A0C6" w14:textId="77777777" w:rsidR="001225F7" w:rsidRDefault="001225F7" w:rsidP="006A5212">
      <w:pPr>
        <w:spacing w:after="0" w:line="240" w:lineRule="auto"/>
      </w:pPr>
      <w:r>
        <w:separator/>
      </w:r>
    </w:p>
  </w:footnote>
  <w:footnote w:type="continuationSeparator" w:id="0">
    <w:p w14:paraId="4E7FF970" w14:textId="77777777" w:rsidR="001225F7" w:rsidRDefault="001225F7" w:rsidP="006A521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96044887"/>
      <w:docPartObj>
        <w:docPartGallery w:val="Page Numbers (Top of Page)"/>
        <w:docPartUnique/>
      </w:docPartObj>
    </w:sdtPr>
    <w:sdtEndPr>
      <w:rPr>
        <w:noProof/>
      </w:rPr>
    </w:sdtEndPr>
    <w:sdtContent>
      <w:p w14:paraId="7B02FF27" w14:textId="649F0059" w:rsidR="00FE28D3" w:rsidRDefault="00FE28D3">
        <w:pPr>
          <w:pStyle w:val="Header"/>
          <w:jc w:val="right"/>
        </w:pPr>
        <w:r>
          <w:fldChar w:fldCharType="begin"/>
        </w:r>
        <w:r>
          <w:instrText xml:space="preserve"> PAGE   \* MERGEFORMAT </w:instrText>
        </w:r>
        <w:r>
          <w:fldChar w:fldCharType="separate"/>
        </w:r>
        <w:r w:rsidR="00DA4DCE">
          <w:rPr>
            <w:noProof/>
          </w:rPr>
          <w:t>2</w:t>
        </w:r>
        <w:r>
          <w:rPr>
            <w:noProof/>
          </w:rPr>
          <w:fldChar w:fldCharType="end"/>
        </w:r>
      </w:p>
    </w:sdtContent>
  </w:sdt>
  <w:p w14:paraId="2620E24D" w14:textId="77777777" w:rsidR="00DF269D" w:rsidRDefault="00DF269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E3798C"/>
    <w:multiLevelType w:val="hybridMultilevel"/>
    <w:tmpl w:val="0356554C"/>
    <w:lvl w:ilvl="0" w:tplc="C284E84A">
      <w:start w:val="1"/>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0AEE6C88"/>
    <w:multiLevelType w:val="hybridMultilevel"/>
    <w:tmpl w:val="CC440A66"/>
    <w:lvl w:ilvl="0" w:tplc="A3709CC6">
      <w:start w:val="1"/>
      <w:numFmt w:val="bullet"/>
      <w:lvlText w:val=""/>
      <w:lvlJc w:val="left"/>
      <w:pPr>
        <w:ind w:left="720" w:hanging="360"/>
      </w:pPr>
      <w:rPr>
        <w:rFonts w:ascii="Symbol" w:eastAsiaTheme="minorEastAsia" w:hAnsi="Symbol"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nsid w:val="175B4418"/>
    <w:multiLevelType w:val="hybridMultilevel"/>
    <w:tmpl w:val="2E1688FC"/>
    <w:lvl w:ilvl="0" w:tplc="2CE4ACA8">
      <w:start w:val="7"/>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nsid w:val="2A5E25EE"/>
    <w:multiLevelType w:val="hybridMultilevel"/>
    <w:tmpl w:val="401AB692"/>
    <w:lvl w:ilvl="0" w:tplc="7BBE87DA">
      <w:start w:val="28"/>
      <w:numFmt w:val="bullet"/>
      <w:lvlText w:val="-"/>
      <w:lvlJc w:val="left"/>
      <w:pPr>
        <w:ind w:left="720" w:hanging="360"/>
      </w:pPr>
      <w:rPr>
        <w:rFonts w:ascii="Times New Roman" w:eastAsiaTheme="minorHAnsi"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514221AC"/>
    <w:multiLevelType w:val="hybridMultilevel"/>
    <w:tmpl w:val="B238AB7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nsid w:val="6285672F"/>
    <w:multiLevelType w:val="hybridMultilevel"/>
    <w:tmpl w:val="A64E6F78"/>
    <w:lvl w:ilvl="0" w:tplc="D6BA5B98">
      <w:start w:val="7"/>
      <w:numFmt w:val="decimal"/>
      <w:lvlText w:val="%1"/>
      <w:lvlJc w:val="left"/>
      <w:pPr>
        <w:ind w:left="720" w:hanging="360"/>
      </w:pPr>
      <w:rPr>
        <w:rFonts w:hint="default"/>
        <w:vertAlign w:val="superscrip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nsid w:val="70AB1CD4"/>
    <w:multiLevelType w:val="hybridMultilevel"/>
    <w:tmpl w:val="9488B75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785652AD"/>
    <w:multiLevelType w:val="hybridMultilevel"/>
    <w:tmpl w:val="95A21132"/>
    <w:lvl w:ilvl="0" w:tplc="0A721FBA">
      <w:start w:val="5"/>
      <w:numFmt w:val="decimal"/>
      <w:lvlText w:val="%1"/>
      <w:lvlJc w:val="left"/>
      <w:pPr>
        <w:ind w:left="644" w:hanging="360"/>
      </w:pPr>
      <w:rPr>
        <w:rFonts w:hint="default"/>
        <w:vertAlign w:val="superscript"/>
      </w:rPr>
    </w:lvl>
    <w:lvl w:ilvl="1" w:tplc="04260019" w:tentative="1">
      <w:start w:val="1"/>
      <w:numFmt w:val="lowerLetter"/>
      <w:lvlText w:val="%2."/>
      <w:lvlJc w:val="left"/>
      <w:pPr>
        <w:ind w:left="1364" w:hanging="360"/>
      </w:pPr>
    </w:lvl>
    <w:lvl w:ilvl="2" w:tplc="0426001B" w:tentative="1">
      <w:start w:val="1"/>
      <w:numFmt w:val="lowerRoman"/>
      <w:lvlText w:val="%3."/>
      <w:lvlJc w:val="right"/>
      <w:pPr>
        <w:ind w:left="2084" w:hanging="180"/>
      </w:pPr>
    </w:lvl>
    <w:lvl w:ilvl="3" w:tplc="0426000F" w:tentative="1">
      <w:start w:val="1"/>
      <w:numFmt w:val="decimal"/>
      <w:lvlText w:val="%4."/>
      <w:lvlJc w:val="left"/>
      <w:pPr>
        <w:ind w:left="2804" w:hanging="360"/>
      </w:pPr>
    </w:lvl>
    <w:lvl w:ilvl="4" w:tplc="04260019" w:tentative="1">
      <w:start w:val="1"/>
      <w:numFmt w:val="lowerLetter"/>
      <w:lvlText w:val="%5."/>
      <w:lvlJc w:val="left"/>
      <w:pPr>
        <w:ind w:left="3524" w:hanging="360"/>
      </w:pPr>
    </w:lvl>
    <w:lvl w:ilvl="5" w:tplc="0426001B" w:tentative="1">
      <w:start w:val="1"/>
      <w:numFmt w:val="lowerRoman"/>
      <w:lvlText w:val="%6."/>
      <w:lvlJc w:val="right"/>
      <w:pPr>
        <w:ind w:left="4244" w:hanging="180"/>
      </w:pPr>
    </w:lvl>
    <w:lvl w:ilvl="6" w:tplc="0426000F" w:tentative="1">
      <w:start w:val="1"/>
      <w:numFmt w:val="decimal"/>
      <w:lvlText w:val="%7."/>
      <w:lvlJc w:val="left"/>
      <w:pPr>
        <w:ind w:left="4964" w:hanging="360"/>
      </w:pPr>
    </w:lvl>
    <w:lvl w:ilvl="7" w:tplc="04260019" w:tentative="1">
      <w:start w:val="1"/>
      <w:numFmt w:val="lowerLetter"/>
      <w:lvlText w:val="%8."/>
      <w:lvlJc w:val="left"/>
      <w:pPr>
        <w:ind w:left="5684" w:hanging="360"/>
      </w:pPr>
    </w:lvl>
    <w:lvl w:ilvl="8" w:tplc="0426001B" w:tentative="1">
      <w:start w:val="1"/>
      <w:numFmt w:val="lowerRoman"/>
      <w:lvlText w:val="%9."/>
      <w:lvlJc w:val="right"/>
      <w:pPr>
        <w:ind w:left="6404" w:hanging="180"/>
      </w:pPr>
    </w:lvl>
  </w:abstractNum>
  <w:num w:numId="1">
    <w:abstractNumId w:val="4"/>
  </w:num>
  <w:num w:numId="2">
    <w:abstractNumId w:val="6"/>
  </w:num>
  <w:num w:numId="3">
    <w:abstractNumId w:val="3"/>
  </w:num>
  <w:num w:numId="4">
    <w:abstractNumId w:val="1"/>
  </w:num>
  <w:num w:numId="5">
    <w:abstractNumId w:val="0"/>
  </w:num>
  <w:num w:numId="6">
    <w:abstractNumId w:val="2"/>
  </w:num>
  <w:num w:numId="7">
    <w:abstractNumId w:val="5"/>
  </w:num>
  <w:num w:numId="8">
    <w:abstractNumId w:val="7"/>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Aiga Ose">
    <w15:presenceInfo w15:providerId="AD" w15:userId="S-1-5-21-55386287-797075260-1908750753-677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3EC6"/>
    <w:rsid w:val="000019D0"/>
    <w:rsid w:val="000025C3"/>
    <w:rsid w:val="0001620B"/>
    <w:rsid w:val="00016FDA"/>
    <w:rsid w:val="00042216"/>
    <w:rsid w:val="00053B4F"/>
    <w:rsid w:val="00053CEF"/>
    <w:rsid w:val="000558A2"/>
    <w:rsid w:val="00073B16"/>
    <w:rsid w:val="00092AD1"/>
    <w:rsid w:val="000A3365"/>
    <w:rsid w:val="000A75BE"/>
    <w:rsid w:val="000B636F"/>
    <w:rsid w:val="000C6D4E"/>
    <w:rsid w:val="000E70F5"/>
    <w:rsid w:val="000F353B"/>
    <w:rsid w:val="000F7810"/>
    <w:rsid w:val="00106281"/>
    <w:rsid w:val="001132AC"/>
    <w:rsid w:val="00114620"/>
    <w:rsid w:val="001225F7"/>
    <w:rsid w:val="001502B5"/>
    <w:rsid w:val="00150B70"/>
    <w:rsid w:val="00151A9C"/>
    <w:rsid w:val="001807E6"/>
    <w:rsid w:val="00190FE4"/>
    <w:rsid w:val="001A29B3"/>
    <w:rsid w:val="001C0438"/>
    <w:rsid w:val="001D0426"/>
    <w:rsid w:val="001D1A90"/>
    <w:rsid w:val="001E75AF"/>
    <w:rsid w:val="001F3D17"/>
    <w:rsid w:val="0020017B"/>
    <w:rsid w:val="00204D5D"/>
    <w:rsid w:val="00213B64"/>
    <w:rsid w:val="0022066B"/>
    <w:rsid w:val="00233A80"/>
    <w:rsid w:val="002462F3"/>
    <w:rsid w:val="0027010C"/>
    <w:rsid w:val="0027216B"/>
    <w:rsid w:val="00277E26"/>
    <w:rsid w:val="0028012C"/>
    <w:rsid w:val="00294678"/>
    <w:rsid w:val="002A20DD"/>
    <w:rsid w:val="002A5DA5"/>
    <w:rsid w:val="002B1DCB"/>
    <w:rsid w:val="002E1F61"/>
    <w:rsid w:val="002F6AED"/>
    <w:rsid w:val="002F7AD6"/>
    <w:rsid w:val="003020DF"/>
    <w:rsid w:val="00304621"/>
    <w:rsid w:val="00331137"/>
    <w:rsid w:val="003348D8"/>
    <w:rsid w:val="00343BD1"/>
    <w:rsid w:val="00345F6B"/>
    <w:rsid w:val="003626CA"/>
    <w:rsid w:val="00363AD2"/>
    <w:rsid w:val="003A0B41"/>
    <w:rsid w:val="003B47BF"/>
    <w:rsid w:val="003C1E54"/>
    <w:rsid w:val="0043318A"/>
    <w:rsid w:val="004356CB"/>
    <w:rsid w:val="00435DCE"/>
    <w:rsid w:val="0045451A"/>
    <w:rsid w:val="0045547B"/>
    <w:rsid w:val="00455699"/>
    <w:rsid w:val="004751E4"/>
    <w:rsid w:val="004A053B"/>
    <w:rsid w:val="004D1E8A"/>
    <w:rsid w:val="004F52CE"/>
    <w:rsid w:val="004F76A3"/>
    <w:rsid w:val="00513526"/>
    <w:rsid w:val="00515287"/>
    <w:rsid w:val="0051554D"/>
    <w:rsid w:val="005305FD"/>
    <w:rsid w:val="005651D0"/>
    <w:rsid w:val="005949A3"/>
    <w:rsid w:val="005C589D"/>
    <w:rsid w:val="005F0331"/>
    <w:rsid w:val="00602554"/>
    <w:rsid w:val="00612323"/>
    <w:rsid w:val="00623FD3"/>
    <w:rsid w:val="00666A8E"/>
    <w:rsid w:val="00667D6F"/>
    <w:rsid w:val="00667EBF"/>
    <w:rsid w:val="00685990"/>
    <w:rsid w:val="00687EE7"/>
    <w:rsid w:val="0069459A"/>
    <w:rsid w:val="006A2F9B"/>
    <w:rsid w:val="006A5212"/>
    <w:rsid w:val="006A6FA7"/>
    <w:rsid w:val="006B5D26"/>
    <w:rsid w:val="006D6315"/>
    <w:rsid w:val="006F1209"/>
    <w:rsid w:val="00702512"/>
    <w:rsid w:val="007173A8"/>
    <w:rsid w:val="007237B0"/>
    <w:rsid w:val="007341CD"/>
    <w:rsid w:val="007359A1"/>
    <w:rsid w:val="007415B2"/>
    <w:rsid w:val="00764716"/>
    <w:rsid w:val="007657AE"/>
    <w:rsid w:val="007671DA"/>
    <w:rsid w:val="007712A9"/>
    <w:rsid w:val="00780D53"/>
    <w:rsid w:val="007825D1"/>
    <w:rsid w:val="0078594C"/>
    <w:rsid w:val="007966E6"/>
    <w:rsid w:val="007A774C"/>
    <w:rsid w:val="007B0542"/>
    <w:rsid w:val="007B2B8D"/>
    <w:rsid w:val="007D7005"/>
    <w:rsid w:val="007E7FE3"/>
    <w:rsid w:val="00804C21"/>
    <w:rsid w:val="00825750"/>
    <w:rsid w:val="00843922"/>
    <w:rsid w:val="00854943"/>
    <w:rsid w:val="00877455"/>
    <w:rsid w:val="00880EEC"/>
    <w:rsid w:val="00883F94"/>
    <w:rsid w:val="008B523D"/>
    <w:rsid w:val="008B53E2"/>
    <w:rsid w:val="008C215D"/>
    <w:rsid w:val="008C676E"/>
    <w:rsid w:val="008D5E5F"/>
    <w:rsid w:val="00902126"/>
    <w:rsid w:val="00905443"/>
    <w:rsid w:val="00937C32"/>
    <w:rsid w:val="00992F2D"/>
    <w:rsid w:val="009C319D"/>
    <w:rsid w:val="009C3E4F"/>
    <w:rsid w:val="009C67B0"/>
    <w:rsid w:val="009D10D5"/>
    <w:rsid w:val="009D1BB4"/>
    <w:rsid w:val="009D4366"/>
    <w:rsid w:val="009D4D31"/>
    <w:rsid w:val="009F26A0"/>
    <w:rsid w:val="00A048E3"/>
    <w:rsid w:val="00A16108"/>
    <w:rsid w:val="00A23B5D"/>
    <w:rsid w:val="00A53273"/>
    <w:rsid w:val="00A57408"/>
    <w:rsid w:val="00A60389"/>
    <w:rsid w:val="00A66ACE"/>
    <w:rsid w:val="00A90105"/>
    <w:rsid w:val="00A94EFB"/>
    <w:rsid w:val="00AA47D4"/>
    <w:rsid w:val="00AB429E"/>
    <w:rsid w:val="00AB6772"/>
    <w:rsid w:val="00AD219F"/>
    <w:rsid w:val="00AE46C0"/>
    <w:rsid w:val="00AE6832"/>
    <w:rsid w:val="00AF522C"/>
    <w:rsid w:val="00B02611"/>
    <w:rsid w:val="00B13DA6"/>
    <w:rsid w:val="00B23FA8"/>
    <w:rsid w:val="00B25352"/>
    <w:rsid w:val="00B33FC9"/>
    <w:rsid w:val="00B33FD1"/>
    <w:rsid w:val="00B42C6B"/>
    <w:rsid w:val="00B56836"/>
    <w:rsid w:val="00B6677F"/>
    <w:rsid w:val="00B7339C"/>
    <w:rsid w:val="00B8648A"/>
    <w:rsid w:val="00BA0EB5"/>
    <w:rsid w:val="00BA659C"/>
    <w:rsid w:val="00BC667F"/>
    <w:rsid w:val="00BD7280"/>
    <w:rsid w:val="00BF694A"/>
    <w:rsid w:val="00C02D9D"/>
    <w:rsid w:val="00C140CD"/>
    <w:rsid w:val="00C152C5"/>
    <w:rsid w:val="00C17EEE"/>
    <w:rsid w:val="00C2387C"/>
    <w:rsid w:val="00C23EC6"/>
    <w:rsid w:val="00C35F25"/>
    <w:rsid w:val="00C8051D"/>
    <w:rsid w:val="00CA14C4"/>
    <w:rsid w:val="00CB1A8B"/>
    <w:rsid w:val="00CB4485"/>
    <w:rsid w:val="00CB69DC"/>
    <w:rsid w:val="00D05A20"/>
    <w:rsid w:val="00D12895"/>
    <w:rsid w:val="00D1608D"/>
    <w:rsid w:val="00D241E7"/>
    <w:rsid w:val="00D26F89"/>
    <w:rsid w:val="00D45D25"/>
    <w:rsid w:val="00D55444"/>
    <w:rsid w:val="00D56A5B"/>
    <w:rsid w:val="00D64AA5"/>
    <w:rsid w:val="00D66335"/>
    <w:rsid w:val="00D71CC1"/>
    <w:rsid w:val="00D74EC7"/>
    <w:rsid w:val="00D770A6"/>
    <w:rsid w:val="00D81303"/>
    <w:rsid w:val="00D8583B"/>
    <w:rsid w:val="00DA03C5"/>
    <w:rsid w:val="00DA4DCE"/>
    <w:rsid w:val="00DB0D4B"/>
    <w:rsid w:val="00DB525A"/>
    <w:rsid w:val="00DB68EB"/>
    <w:rsid w:val="00DC3D25"/>
    <w:rsid w:val="00DE799F"/>
    <w:rsid w:val="00DF269D"/>
    <w:rsid w:val="00E010F1"/>
    <w:rsid w:val="00E04A70"/>
    <w:rsid w:val="00E12BDF"/>
    <w:rsid w:val="00E23A35"/>
    <w:rsid w:val="00E23E59"/>
    <w:rsid w:val="00E34C90"/>
    <w:rsid w:val="00E425B7"/>
    <w:rsid w:val="00E53DE0"/>
    <w:rsid w:val="00E567A4"/>
    <w:rsid w:val="00E61175"/>
    <w:rsid w:val="00E64C93"/>
    <w:rsid w:val="00E65E21"/>
    <w:rsid w:val="00E70DA5"/>
    <w:rsid w:val="00E75730"/>
    <w:rsid w:val="00E96EBC"/>
    <w:rsid w:val="00EA134B"/>
    <w:rsid w:val="00EA7ECF"/>
    <w:rsid w:val="00EB4A42"/>
    <w:rsid w:val="00EC2F4A"/>
    <w:rsid w:val="00ED3A46"/>
    <w:rsid w:val="00EE3AA6"/>
    <w:rsid w:val="00EF2C3B"/>
    <w:rsid w:val="00EF2E88"/>
    <w:rsid w:val="00F2148C"/>
    <w:rsid w:val="00F44277"/>
    <w:rsid w:val="00F53636"/>
    <w:rsid w:val="00F627B4"/>
    <w:rsid w:val="00F73E9E"/>
    <w:rsid w:val="00F753C8"/>
    <w:rsid w:val="00FA43B4"/>
    <w:rsid w:val="00FA6603"/>
    <w:rsid w:val="00FB075A"/>
    <w:rsid w:val="00FC0437"/>
    <w:rsid w:val="00FC53B4"/>
    <w:rsid w:val="00FE0FB0"/>
    <w:rsid w:val="00FE28D3"/>
    <w:rsid w:val="00FF0367"/>
    <w:rsid w:val="00FF0C1E"/>
    <w:rsid w:val="00FF485D"/>
    <w:rsid w:val="00FF54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332C8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66B"/>
    <w:rPr>
      <w:rFonts w:ascii="Tahoma" w:hAnsi="Tahoma" w:cs="Tahoma"/>
      <w:sz w:val="16"/>
      <w:szCs w:val="16"/>
    </w:rPr>
  </w:style>
  <w:style w:type="table" w:styleId="LightShading">
    <w:name w:val="Light Shading"/>
    <w:basedOn w:val="TableNormal"/>
    <w:uiPriority w:val="60"/>
    <w:rsid w:val="00B33F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B33F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33F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EF2C3B"/>
    <w:rPr>
      <w:sz w:val="16"/>
      <w:szCs w:val="16"/>
    </w:rPr>
  </w:style>
  <w:style w:type="paragraph" w:styleId="CommentText">
    <w:name w:val="annotation text"/>
    <w:basedOn w:val="Normal"/>
    <w:link w:val="CommentTextChar"/>
    <w:uiPriority w:val="99"/>
    <w:unhideWhenUsed/>
    <w:rsid w:val="00EF2C3B"/>
    <w:pPr>
      <w:spacing w:line="240" w:lineRule="auto"/>
    </w:pPr>
    <w:rPr>
      <w:sz w:val="20"/>
      <w:szCs w:val="20"/>
    </w:rPr>
  </w:style>
  <w:style w:type="character" w:customStyle="1" w:styleId="CommentTextChar">
    <w:name w:val="Comment Text Char"/>
    <w:basedOn w:val="DefaultParagraphFont"/>
    <w:link w:val="CommentText"/>
    <w:uiPriority w:val="99"/>
    <w:rsid w:val="00EF2C3B"/>
    <w:rPr>
      <w:sz w:val="20"/>
      <w:szCs w:val="20"/>
    </w:rPr>
  </w:style>
  <w:style w:type="paragraph" w:styleId="CommentSubject">
    <w:name w:val="annotation subject"/>
    <w:basedOn w:val="CommentText"/>
    <w:next w:val="CommentText"/>
    <w:link w:val="CommentSubjectChar"/>
    <w:uiPriority w:val="99"/>
    <w:semiHidden/>
    <w:unhideWhenUsed/>
    <w:rsid w:val="00EF2C3B"/>
    <w:rPr>
      <w:b/>
      <w:bCs/>
    </w:rPr>
  </w:style>
  <w:style w:type="character" w:customStyle="1" w:styleId="CommentSubjectChar">
    <w:name w:val="Comment Subject Char"/>
    <w:basedOn w:val="CommentTextChar"/>
    <w:link w:val="CommentSubject"/>
    <w:uiPriority w:val="99"/>
    <w:semiHidden/>
    <w:rsid w:val="00EF2C3B"/>
    <w:rPr>
      <w:b/>
      <w:bCs/>
      <w:sz w:val="20"/>
      <w:szCs w:val="20"/>
    </w:rPr>
  </w:style>
  <w:style w:type="table" w:styleId="LightShading-Accent5">
    <w:name w:val="Light Shading Accent 5"/>
    <w:basedOn w:val="TableNormal"/>
    <w:uiPriority w:val="60"/>
    <w:rsid w:val="00CB69D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1">
    <w:name w:val="Medium Grid 3 Accent 1"/>
    <w:basedOn w:val="TableNormal"/>
    <w:uiPriority w:val="69"/>
    <w:rsid w:val="00CB69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6A52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5212"/>
  </w:style>
  <w:style w:type="paragraph" w:styleId="Footer">
    <w:name w:val="footer"/>
    <w:basedOn w:val="Normal"/>
    <w:link w:val="FooterChar"/>
    <w:uiPriority w:val="99"/>
    <w:unhideWhenUsed/>
    <w:rsid w:val="006A52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5212"/>
  </w:style>
  <w:style w:type="paragraph" w:styleId="ListParagraph">
    <w:name w:val="List Paragraph"/>
    <w:basedOn w:val="Normal"/>
    <w:uiPriority w:val="34"/>
    <w:qFormat/>
    <w:rsid w:val="009D4366"/>
    <w:pPr>
      <w:ind w:left="720"/>
      <w:contextualSpacing/>
    </w:pPr>
  </w:style>
  <w:style w:type="paragraph" w:styleId="FootnoteText">
    <w:name w:val="footnote text"/>
    <w:basedOn w:val="Normal"/>
    <w:link w:val="FootnoteTextChar"/>
    <w:uiPriority w:val="99"/>
    <w:unhideWhenUsed/>
    <w:rsid w:val="00F44277"/>
    <w:pPr>
      <w:spacing w:after="0" w:line="240" w:lineRule="auto"/>
    </w:pPr>
    <w:rPr>
      <w:sz w:val="20"/>
      <w:szCs w:val="20"/>
    </w:rPr>
  </w:style>
  <w:style w:type="character" w:customStyle="1" w:styleId="FootnoteTextChar">
    <w:name w:val="Footnote Text Char"/>
    <w:basedOn w:val="DefaultParagraphFont"/>
    <w:link w:val="FootnoteText"/>
    <w:uiPriority w:val="99"/>
    <w:rsid w:val="00F44277"/>
    <w:rPr>
      <w:sz w:val="20"/>
      <w:szCs w:val="20"/>
    </w:rPr>
  </w:style>
  <w:style w:type="character" w:styleId="FootnoteReference">
    <w:name w:val="footnote reference"/>
    <w:basedOn w:val="DefaultParagraphFont"/>
    <w:uiPriority w:val="99"/>
    <w:semiHidden/>
    <w:unhideWhenUsed/>
    <w:rsid w:val="00F44277"/>
    <w:rPr>
      <w:vertAlign w:val="superscript"/>
    </w:rPr>
  </w:style>
  <w:style w:type="paragraph" w:styleId="Revision">
    <w:name w:val="Revision"/>
    <w:hidden/>
    <w:uiPriority w:val="99"/>
    <w:semiHidden/>
    <w:rsid w:val="00053CEF"/>
    <w:pPr>
      <w:spacing w:after="0" w:line="240" w:lineRule="auto"/>
    </w:pPr>
  </w:style>
  <w:style w:type="paragraph" w:customStyle="1" w:styleId="Default">
    <w:name w:val="Default"/>
    <w:rsid w:val="00702512"/>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B864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648A"/>
    <w:rPr>
      <w:sz w:val="20"/>
      <w:szCs w:val="20"/>
    </w:rPr>
  </w:style>
  <w:style w:type="character" w:styleId="EndnoteReference">
    <w:name w:val="endnote reference"/>
    <w:basedOn w:val="DefaultParagraphFont"/>
    <w:uiPriority w:val="99"/>
    <w:semiHidden/>
    <w:unhideWhenUsed/>
    <w:rsid w:val="00B8648A"/>
    <w:rPr>
      <w:vertAlign w:val="superscript"/>
    </w:rPr>
  </w:style>
  <w:style w:type="character" w:styleId="Hyperlink">
    <w:name w:val="Hyperlink"/>
    <w:semiHidden/>
    <w:rsid w:val="005949A3"/>
    <w:rPr>
      <w:rFonts w:ascii="Times New Roman" w:hAnsi="Times New Roman"/>
      <w:noProof w:val="0"/>
      <w:color w:val="0000FF"/>
      <w:u w:val="single"/>
      <w:lang w:val="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C6D4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22066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066B"/>
    <w:rPr>
      <w:rFonts w:ascii="Tahoma" w:hAnsi="Tahoma" w:cs="Tahoma"/>
      <w:sz w:val="16"/>
      <w:szCs w:val="16"/>
    </w:rPr>
  </w:style>
  <w:style w:type="table" w:styleId="LightShading">
    <w:name w:val="Light Shading"/>
    <w:basedOn w:val="TableNormal"/>
    <w:uiPriority w:val="60"/>
    <w:rsid w:val="00B33FC9"/>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List-Accent1">
    <w:name w:val="Light List Accent 1"/>
    <w:basedOn w:val="TableNormal"/>
    <w:uiPriority w:val="61"/>
    <w:rsid w:val="00B33FC9"/>
    <w:pPr>
      <w:spacing w:after="0"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5">
    <w:name w:val="Light List Accent 5"/>
    <w:basedOn w:val="TableNormal"/>
    <w:uiPriority w:val="61"/>
    <w:rsid w:val="00B33FC9"/>
    <w:pPr>
      <w:spacing w:after="0"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character" w:styleId="CommentReference">
    <w:name w:val="annotation reference"/>
    <w:basedOn w:val="DefaultParagraphFont"/>
    <w:uiPriority w:val="99"/>
    <w:semiHidden/>
    <w:unhideWhenUsed/>
    <w:rsid w:val="00EF2C3B"/>
    <w:rPr>
      <w:sz w:val="16"/>
      <w:szCs w:val="16"/>
    </w:rPr>
  </w:style>
  <w:style w:type="paragraph" w:styleId="CommentText">
    <w:name w:val="annotation text"/>
    <w:basedOn w:val="Normal"/>
    <w:link w:val="CommentTextChar"/>
    <w:uiPriority w:val="99"/>
    <w:unhideWhenUsed/>
    <w:rsid w:val="00EF2C3B"/>
    <w:pPr>
      <w:spacing w:line="240" w:lineRule="auto"/>
    </w:pPr>
    <w:rPr>
      <w:sz w:val="20"/>
      <w:szCs w:val="20"/>
    </w:rPr>
  </w:style>
  <w:style w:type="character" w:customStyle="1" w:styleId="CommentTextChar">
    <w:name w:val="Comment Text Char"/>
    <w:basedOn w:val="DefaultParagraphFont"/>
    <w:link w:val="CommentText"/>
    <w:uiPriority w:val="99"/>
    <w:rsid w:val="00EF2C3B"/>
    <w:rPr>
      <w:sz w:val="20"/>
      <w:szCs w:val="20"/>
    </w:rPr>
  </w:style>
  <w:style w:type="paragraph" w:styleId="CommentSubject">
    <w:name w:val="annotation subject"/>
    <w:basedOn w:val="CommentText"/>
    <w:next w:val="CommentText"/>
    <w:link w:val="CommentSubjectChar"/>
    <w:uiPriority w:val="99"/>
    <w:semiHidden/>
    <w:unhideWhenUsed/>
    <w:rsid w:val="00EF2C3B"/>
    <w:rPr>
      <w:b/>
      <w:bCs/>
    </w:rPr>
  </w:style>
  <w:style w:type="character" w:customStyle="1" w:styleId="CommentSubjectChar">
    <w:name w:val="Comment Subject Char"/>
    <w:basedOn w:val="CommentTextChar"/>
    <w:link w:val="CommentSubject"/>
    <w:uiPriority w:val="99"/>
    <w:semiHidden/>
    <w:rsid w:val="00EF2C3B"/>
    <w:rPr>
      <w:b/>
      <w:bCs/>
      <w:sz w:val="20"/>
      <w:szCs w:val="20"/>
    </w:rPr>
  </w:style>
  <w:style w:type="table" w:styleId="LightShading-Accent5">
    <w:name w:val="Light Shading Accent 5"/>
    <w:basedOn w:val="TableNormal"/>
    <w:uiPriority w:val="60"/>
    <w:rsid w:val="00CB69DC"/>
    <w:pPr>
      <w:spacing w:after="0"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MediumGrid3-Accent1">
    <w:name w:val="Medium Grid 3 Accent 1"/>
    <w:basedOn w:val="TableNormal"/>
    <w:uiPriority w:val="69"/>
    <w:rsid w:val="00CB69D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paragraph" w:styleId="Header">
    <w:name w:val="header"/>
    <w:basedOn w:val="Normal"/>
    <w:link w:val="HeaderChar"/>
    <w:uiPriority w:val="99"/>
    <w:unhideWhenUsed/>
    <w:rsid w:val="006A5212"/>
    <w:pPr>
      <w:tabs>
        <w:tab w:val="center" w:pos="4153"/>
        <w:tab w:val="right" w:pos="8306"/>
      </w:tabs>
      <w:spacing w:after="0" w:line="240" w:lineRule="auto"/>
    </w:pPr>
  </w:style>
  <w:style w:type="character" w:customStyle="1" w:styleId="HeaderChar">
    <w:name w:val="Header Char"/>
    <w:basedOn w:val="DefaultParagraphFont"/>
    <w:link w:val="Header"/>
    <w:uiPriority w:val="99"/>
    <w:rsid w:val="006A5212"/>
  </w:style>
  <w:style w:type="paragraph" w:styleId="Footer">
    <w:name w:val="footer"/>
    <w:basedOn w:val="Normal"/>
    <w:link w:val="FooterChar"/>
    <w:uiPriority w:val="99"/>
    <w:unhideWhenUsed/>
    <w:rsid w:val="006A5212"/>
    <w:pPr>
      <w:tabs>
        <w:tab w:val="center" w:pos="4153"/>
        <w:tab w:val="right" w:pos="8306"/>
      </w:tabs>
      <w:spacing w:after="0" w:line="240" w:lineRule="auto"/>
    </w:pPr>
  </w:style>
  <w:style w:type="character" w:customStyle="1" w:styleId="FooterChar">
    <w:name w:val="Footer Char"/>
    <w:basedOn w:val="DefaultParagraphFont"/>
    <w:link w:val="Footer"/>
    <w:uiPriority w:val="99"/>
    <w:rsid w:val="006A5212"/>
  </w:style>
  <w:style w:type="paragraph" w:styleId="ListParagraph">
    <w:name w:val="List Paragraph"/>
    <w:basedOn w:val="Normal"/>
    <w:uiPriority w:val="34"/>
    <w:qFormat/>
    <w:rsid w:val="009D4366"/>
    <w:pPr>
      <w:ind w:left="720"/>
      <w:contextualSpacing/>
    </w:pPr>
  </w:style>
  <w:style w:type="paragraph" w:styleId="FootnoteText">
    <w:name w:val="footnote text"/>
    <w:basedOn w:val="Normal"/>
    <w:link w:val="FootnoteTextChar"/>
    <w:uiPriority w:val="99"/>
    <w:unhideWhenUsed/>
    <w:rsid w:val="00F44277"/>
    <w:pPr>
      <w:spacing w:after="0" w:line="240" w:lineRule="auto"/>
    </w:pPr>
    <w:rPr>
      <w:sz w:val="20"/>
      <w:szCs w:val="20"/>
    </w:rPr>
  </w:style>
  <w:style w:type="character" w:customStyle="1" w:styleId="FootnoteTextChar">
    <w:name w:val="Footnote Text Char"/>
    <w:basedOn w:val="DefaultParagraphFont"/>
    <w:link w:val="FootnoteText"/>
    <w:uiPriority w:val="99"/>
    <w:rsid w:val="00F44277"/>
    <w:rPr>
      <w:sz w:val="20"/>
      <w:szCs w:val="20"/>
    </w:rPr>
  </w:style>
  <w:style w:type="character" w:styleId="FootnoteReference">
    <w:name w:val="footnote reference"/>
    <w:basedOn w:val="DefaultParagraphFont"/>
    <w:uiPriority w:val="99"/>
    <w:semiHidden/>
    <w:unhideWhenUsed/>
    <w:rsid w:val="00F44277"/>
    <w:rPr>
      <w:vertAlign w:val="superscript"/>
    </w:rPr>
  </w:style>
  <w:style w:type="paragraph" w:styleId="Revision">
    <w:name w:val="Revision"/>
    <w:hidden/>
    <w:uiPriority w:val="99"/>
    <w:semiHidden/>
    <w:rsid w:val="00053CEF"/>
    <w:pPr>
      <w:spacing w:after="0" w:line="240" w:lineRule="auto"/>
    </w:pPr>
  </w:style>
  <w:style w:type="paragraph" w:customStyle="1" w:styleId="Default">
    <w:name w:val="Default"/>
    <w:rsid w:val="00702512"/>
    <w:pPr>
      <w:autoSpaceDE w:val="0"/>
      <w:autoSpaceDN w:val="0"/>
      <w:adjustRightInd w:val="0"/>
      <w:spacing w:after="0" w:line="240" w:lineRule="auto"/>
    </w:pPr>
    <w:rPr>
      <w:rFonts w:ascii="Times New Roman" w:hAnsi="Times New Roman" w:cs="Times New Roman"/>
      <w:color w:val="000000"/>
      <w:sz w:val="24"/>
      <w:szCs w:val="24"/>
    </w:rPr>
  </w:style>
  <w:style w:type="paragraph" w:styleId="EndnoteText">
    <w:name w:val="endnote text"/>
    <w:basedOn w:val="Normal"/>
    <w:link w:val="EndnoteTextChar"/>
    <w:uiPriority w:val="99"/>
    <w:semiHidden/>
    <w:unhideWhenUsed/>
    <w:rsid w:val="00B8648A"/>
    <w:pPr>
      <w:spacing w:after="0" w:line="240" w:lineRule="auto"/>
    </w:pPr>
    <w:rPr>
      <w:sz w:val="20"/>
      <w:szCs w:val="20"/>
    </w:rPr>
  </w:style>
  <w:style w:type="character" w:customStyle="1" w:styleId="EndnoteTextChar">
    <w:name w:val="Endnote Text Char"/>
    <w:basedOn w:val="DefaultParagraphFont"/>
    <w:link w:val="EndnoteText"/>
    <w:uiPriority w:val="99"/>
    <w:semiHidden/>
    <w:rsid w:val="00B8648A"/>
    <w:rPr>
      <w:sz w:val="20"/>
      <w:szCs w:val="20"/>
    </w:rPr>
  </w:style>
  <w:style w:type="character" w:styleId="EndnoteReference">
    <w:name w:val="endnote reference"/>
    <w:basedOn w:val="DefaultParagraphFont"/>
    <w:uiPriority w:val="99"/>
    <w:semiHidden/>
    <w:unhideWhenUsed/>
    <w:rsid w:val="00B8648A"/>
    <w:rPr>
      <w:vertAlign w:val="superscript"/>
    </w:rPr>
  </w:style>
  <w:style w:type="character" w:styleId="Hyperlink">
    <w:name w:val="Hyperlink"/>
    <w:semiHidden/>
    <w:rsid w:val="005949A3"/>
    <w:rPr>
      <w:rFonts w:ascii="Times New Roman" w:hAnsi="Times New Roman"/>
      <w:noProof w:val="0"/>
      <w:color w:val="0000FF"/>
      <w:u w:val="single"/>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824196">
      <w:bodyDiv w:val="1"/>
      <w:marLeft w:val="0"/>
      <w:marRight w:val="0"/>
      <w:marTop w:val="0"/>
      <w:marBottom w:val="0"/>
      <w:divBdr>
        <w:top w:val="none" w:sz="0" w:space="0" w:color="auto"/>
        <w:left w:val="none" w:sz="0" w:space="0" w:color="auto"/>
        <w:bottom w:val="none" w:sz="0" w:space="0" w:color="auto"/>
        <w:right w:val="none" w:sz="0" w:space="0" w:color="auto"/>
      </w:divBdr>
    </w:div>
    <w:div w:id="1348867669">
      <w:bodyDiv w:val="1"/>
      <w:marLeft w:val="0"/>
      <w:marRight w:val="0"/>
      <w:marTop w:val="0"/>
      <w:marBottom w:val="0"/>
      <w:divBdr>
        <w:top w:val="none" w:sz="0" w:space="0" w:color="auto"/>
        <w:left w:val="none" w:sz="0" w:space="0" w:color="auto"/>
        <w:bottom w:val="none" w:sz="0" w:space="0" w:color="auto"/>
        <w:right w:val="none" w:sz="0" w:space="0" w:color="auto"/>
      </w:divBdr>
    </w:div>
    <w:div w:id="1676764214">
      <w:bodyDiv w:val="1"/>
      <w:marLeft w:val="0"/>
      <w:marRight w:val="0"/>
      <w:marTop w:val="0"/>
      <w:marBottom w:val="0"/>
      <w:divBdr>
        <w:top w:val="none" w:sz="0" w:space="0" w:color="auto"/>
        <w:left w:val="none" w:sz="0" w:space="0" w:color="auto"/>
        <w:bottom w:val="none" w:sz="0" w:space="0" w:color="auto"/>
        <w:right w:val="none" w:sz="0" w:space="0" w:color="auto"/>
      </w:divBdr>
      <w:divsChild>
        <w:div w:id="2022587904">
          <w:marLeft w:val="0"/>
          <w:marRight w:val="0"/>
          <w:marTop w:val="0"/>
          <w:marBottom w:val="0"/>
          <w:divBdr>
            <w:top w:val="none" w:sz="0" w:space="0" w:color="auto"/>
            <w:left w:val="none" w:sz="0" w:space="0" w:color="auto"/>
            <w:bottom w:val="none" w:sz="0" w:space="0" w:color="auto"/>
            <w:right w:val="none" w:sz="0" w:space="0" w:color="auto"/>
          </w:divBdr>
        </w:div>
        <w:div w:id="817573252">
          <w:marLeft w:val="0"/>
          <w:marRight w:val="0"/>
          <w:marTop w:val="0"/>
          <w:marBottom w:val="0"/>
          <w:divBdr>
            <w:top w:val="none" w:sz="0" w:space="0" w:color="auto"/>
            <w:left w:val="none" w:sz="0" w:space="0" w:color="auto"/>
            <w:bottom w:val="none" w:sz="0" w:space="0" w:color="auto"/>
            <w:right w:val="none" w:sz="0" w:space="0" w:color="auto"/>
          </w:divBdr>
        </w:div>
        <w:div w:id="803349423">
          <w:marLeft w:val="0"/>
          <w:marRight w:val="0"/>
          <w:marTop w:val="0"/>
          <w:marBottom w:val="0"/>
          <w:divBdr>
            <w:top w:val="none" w:sz="0" w:space="0" w:color="auto"/>
            <w:left w:val="none" w:sz="0" w:space="0" w:color="auto"/>
            <w:bottom w:val="none" w:sz="0" w:space="0" w:color="auto"/>
            <w:right w:val="none" w:sz="0" w:space="0" w:color="auto"/>
          </w:divBdr>
        </w:div>
        <w:div w:id="2064214486">
          <w:marLeft w:val="0"/>
          <w:marRight w:val="0"/>
          <w:marTop w:val="0"/>
          <w:marBottom w:val="0"/>
          <w:divBdr>
            <w:top w:val="none" w:sz="0" w:space="0" w:color="auto"/>
            <w:left w:val="none" w:sz="0" w:space="0" w:color="auto"/>
            <w:bottom w:val="none" w:sz="0" w:space="0" w:color="auto"/>
            <w:right w:val="none" w:sz="0" w:space="0" w:color="auto"/>
          </w:divBdr>
        </w:div>
        <w:div w:id="18499797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Ilze.Meldere@kase.gov.lv"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imf.org/external/pubs/ft/sdds/guide/plus/2015/sddsplus15.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2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17C0365FDA3237408C10BF7E5E49454A" ma:contentTypeVersion="5" ma:contentTypeDescription="Izveidot jaunu dokumentu." ma:contentTypeScope="" ma:versionID="98740496d29cb6b21c0987a64f47c0cf">
  <xsd:schema xmlns:xsd="http://www.w3.org/2001/XMLSchema" xmlns:p="http://schemas.microsoft.com/office/2006/metadata/properties" xmlns:ns1="2e5bb04e-596e-45bd-9003-43ca78b1ba16" targetNamespace="http://schemas.microsoft.com/office/2006/metadata/properties" ma:root="true" ma:fieldsID="a7a4cd7a1a4e1337807e99d9572c92dc" ns1:_="">
    <xsd:import namespace="2e5bb04e-596e-45bd-9003-43ca78b1ba16"/>
    <xsd:element name="properties">
      <xsd:complexType>
        <xsd:sequence>
          <xsd:element name="documentManagement">
            <xsd:complexType>
              <xsd:all>
                <xsd:element ref="ns1:DKP" minOccurs="0"/>
                <xsd:element ref="ns1:Kategorija"/>
                <xsd:element ref="ns1:Vad_x012b_t_x0101_js" minOccurs="0"/>
              </xsd:all>
            </xsd:complexType>
          </xsd:element>
        </xsd:sequence>
      </xsd:complexType>
    </xsd:element>
  </xsd:schema>
  <xsd:schema xmlns:xsd="http://www.w3.org/2001/XMLSchema" xmlns:dms="http://schemas.microsoft.com/office/2006/documentManagement/types" targetNamespace="2e5bb04e-596e-45bd-9003-43ca78b1ba16" elementFormDefault="qualified">
    <xsd:import namespace="http://schemas.microsoft.com/office/2006/documentManagement/types"/>
    <xsd:element name="DKP" ma:index="0" nillable="true" ma:displayName="TAP" ma:list="{C21BC0C6-5826-4222-BA60-BC921D0FA295}" ma:internalName="DKP" ma:readOnly="false" ma:showField="NPK">
      <xsd:simpleType>
        <xsd:restriction base="dms:Lookup"/>
      </xsd:simpleType>
    </xsd:element>
    <xsd:element name="Kategorija" ma:index="3"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4" nillable="true" ma:displayName="Vadītājs" ma:internalName="Vad_x012b_t_x0101_js">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5" ma:displayName="Autors"/>
        <xsd:element ref="dcterms:created" minOccurs="0" maxOccurs="1"/>
        <xsd:element ref="dc:identifier" minOccurs="0" maxOccurs="1"/>
        <xsd:element name="contentType" minOccurs="0" maxOccurs="1" type="xsd:string" ma:index="8" ma:displayName="Satura tips" ma:readOnly="true"/>
        <xsd:element ref="dc:title" minOccurs="0" maxOccurs="1" ma:index="2"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Vad_x012b_t_x0101_js xmlns="2e5bb04e-596e-45bd-9003-43ca78b1ba16">L.Agleniece/Valsts kase</Vad_x012b_t_x0101_js>
    <Kategorija xmlns="2e5bb04e-596e-45bd-9003-43ca78b1ba16">Pielikums</Kategorija>
    <DKP xmlns="2e5bb04e-596e-45bd-9003-43ca78b1ba16">186</DKP>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799BE6-2A44-4F84-8B4A-6DBD9E4FFC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9B5F412A-0077-489D-A28D-425A188AB099}">
  <ds:schemaRefs>
    <ds:schemaRef ds:uri="http://schemas.microsoft.com/office/2006/metadata/properties"/>
    <ds:schemaRef ds:uri="http://purl.org/dc/elements/1.1/"/>
    <ds:schemaRef ds:uri="2e5bb04e-596e-45bd-9003-43ca78b1ba16"/>
    <ds:schemaRef ds:uri="http://purl.org/dc/dcmitype/"/>
    <ds:schemaRef ds:uri="http://schemas.microsoft.com/office/2006/documentManagement/types"/>
    <ds:schemaRef ds:uri="http://www.w3.org/XML/1998/namespace"/>
    <ds:schemaRef ds:uri="http://schemas.openxmlformats.org/package/2006/metadata/core-properties"/>
    <ds:schemaRef ds:uri="http://purl.org/dc/terms/"/>
  </ds:schemaRefs>
</ds:datastoreItem>
</file>

<file path=customXml/itemProps3.xml><?xml version="1.0" encoding="utf-8"?>
<ds:datastoreItem xmlns:ds="http://schemas.openxmlformats.org/officeDocument/2006/customXml" ds:itemID="{CC3C1414-AD26-4E52-8765-2DFDD63F46D6}">
  <ds:schemaRefs>
    <ds:schemaRef ds:uri="http://schemas.microsoft.com/sharepoint/v3/contenttype/forms"/>
  </ds:schemaRefs>
</ds:datastoreItem>
</file>

<file path=customXml/itemProps4.xml><?xml version="1.0" encoding="utf-8"?>
<ds:datastoreItem xmlns:ds="http://schemas.openxmlformats.org/officeDocument/2006/customXml" ds:itemID="{1DCCB262-1CB4-4E39-8D5B-39159B2E80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3</Pages>
  <Words>2851</Words>
  <Characters>1626</Characters>
  <Application>Microsoft Office Word</Application>
  <DocSecurity>0</DocSecurity>
  <Lines>13</Lines>
  <Paragraphs>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Informatīvā ziņojuma "Par Starptautiskā Valūtas fonda statistikas prasību nodrošināšanu atbilstoši speciālajiem datu izplatīšanas standartiem" pielikums</vt:lpstr>
      <vt:lpstr/>
    </vt:vector>
  </TitlesOfParts>
  <Company>Valsts kase</Company>
  <LinksUpToDate>false</LinksUpToDate>
  <CharactersWithSpaces>4469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Informatīvā ziņojuma "Par Starptautiskā Valūtas fonda statistikas prasību nodrošināšanu atbilstoši speciālajiem datu izplatīšanas standartiem" pielikums</dc:title>
  <dc:subject>Pielikums</dc:subject>
  <dc:creator>Ilze.Meldere@kase.gov.lv</dc:creator>
  <dc:description>67094309 Ilze.Meldere@kase.gov.lv</dc:description>
  <cp:lastModifiedBy>Ilze Meldere</cp:lastModifiedBy>
  <cp:revision>8</cp:revision>
  <cp:lastPrinted>2017-01-11T14:19:00Z</cp:lastPrinted>
  <dcterms:created xsi:type="dcterms:W3CDTF">2017-01-26T15:34:00Z</dcterms:created>
  <dcterms:modified xsi:type="dcterms:W3CDTF">2017-01-30T11:11:00Z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0x01010017C0365FDA3237408C10BF7E5E49454A</vt:lpwstr>
  </property>
</Properties>
</file>