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0D" w:rsidRDefault="005128C9" w:rsidP="00A85F0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28C9">
        <w:rPr>
          <w:b/>
          <w:bCs/>
          <w:sz w:val="28"/>
          <w:szCs w:val="28"/>
        </w:rPr>
        <w:t xml:space="preserve">Ministru kabineta </w:t>
      </w:r>
      <w:r w:rsidR="00E57FA2">
        <w:rPr>
          <w:b/>
          <w:bCs/>
          <w:sz w:val="28"/>
          <w:szCs w:val="28"/>
        </w:rPr>
        <w:t xml:space="preserve">rīkojuma </w:t>
      </w:r>
      <w:r w:rsidRPr="005128C9">
        <w:rPr>
          <w:b/>
          <w:bCs/>
          <w:sz w:val="28"/>
          <w:szCs w:val="28"/>
        </w:rPr>
        <w:t xml:space="preserve">projekta </w:t>
      </w:r>
    </w:p>
    <w:p w:rsidR="00D32E0D" w:rsidRDefault="005128C9" w:rsidP="00A85F0F">
      <w:pPr>
        <w:pStyle w:val="Heading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5128C9">
        <w:rPr>
          <w:sz w:val="28"/>
          <w:szCs w:val="28"/>
        </w:rPr>
        <w:t>„</w:t>
      </w:r>
      <w:r w:rsidR="00A85F0F">
        <w:t xml:space="preserve">Grozījumi Ministru kabineta </w:t>
      </w:r>
      <w:proofErr w:type="gramStart"/>
      <w:r w:rsidR="00A85F0F">
        <w:t>2014 gada</w:t>
      </w:r>
      <w:proofErr w:type="gramEnd"/>
      <w:r w:rsidR="00A85F0F">
        <w:t xml:space="preserve"> 29.jūlija rīkojumā Nr. 382 “Par Iekšlietu ministrijas ilgtermiņa saistībām ceļu satiksmes pārkāpumu fiksēšanas tehnisko līdzekļu (fotoradaru) darbības nodrošināšanai”</w:t>
      </w:r>
    </w:p>
    <w:p w:rsidR="005128C9" w:rsidRPr="005128C9" w:rsidRDefault="005128C9" w:rsidP="00A85F0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28C9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5128C9">
          <w:rPr>
            <w:b/>
            <w:bCs/>
            <w:sz w:val="28"/>
            <w:szCs w:val="28"/>
          </w:rPr>
          <w:t>ziņojums</w:t>
        </w:r>
      </w:smartTag>
      <w:r w:rsidRPr="005128C9">
        <w:rPr>
          <w:b/>
          <w:bCs/>
          <w:sz w:val="28"/>
          <w:szCs w:val="28"/>
        </w:rPr>
        <w:t xml:space="preserve"> (anotācija)</w:t>
      </w:r>
    </w:p>
    <w:p w:rsidR="007F6B1C" w:rsidRPr="005128C9" w:rsidRDefault="007F6B1C" w:rsidP="007F6B1C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29"/>
        <w:gridCol w:w="6930"/>
      </w:tblGrid>
      <w:tr w:rsidR="007F6B1C" w:rsidRPr="005128C9" w:rsidTr="00A85F0F">
        <w:trPr>
          <w:trHeight w:val="419"/>
        </w:trPr>
        <w:tc>
          <w:tcPr>
            <w:tcW w:w="5000" w:type="pct"/>
            <w:gridSpan w:val="3"/>
            <w:vAlign w:val="center"/>
          </w:tcPr>
          <w:p w:rsidR="007F6B1C" w:rsidRPr="005128C9" w:rsidRDefault="007F6B1C" w:rsidP="006A32EF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128C9">
              <w:rPr>
                <w:b/>
              </w:rPr>
              <w:t>I. Tiesību akta projekta izstrādes nepieciešamība</w:t>
            </w:r>
          </w:p>
        </w:tc>
      </w:tr>
      <w:tr w:rsidR="007F6B1C" w:rsidRPr="005128C9" w:rsidTr="00A85F0F">
        <w:trPr>
          <w:trHeight w:val="415"/>
        </w:trPr>
        <w:tc>
          <w:tcPr>
            <w:tcW w:w="221" w:type="pct"/>
          </w:tcPr>
          <w:p w:rsidR="007F6B1C" w:rsidRPr="005128C9" w:rsidRDefault="007F6B1C" w:rsidP="006A32E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128C9">
              <w:t>1.</w:t>
            </w:r>
          </w:p>
        </w:tc>
        <w:tc>
          <w:tcPr>
            <w:tcW w:w="1123" w:type="pct"/>
          </w:tcPr>
          <w:p w:rsidR="00E51480" w:rsidRDefault="007F6B1C" w:rsidP="006A32EF">
            <w:pPr>
              <w:pStyle w:val="naiskr"/>
              <w:spacing w:before="0" w:beforeAutospacing="0" w:after="0" w:afterAutospacing="0"/>
              <w:ind w:left="57" w:right="57"/>
            </w:pPr>
            <w:r w:rsidRPr="005128C9">
              <w:t>Pamatojums</w:t>
            </w:r>
          </w:p>
          <w:p w:rsidR="00E51480" w:rsidRPr="00E51480" w:rsidRDefault="00E51480" w:rsidP="00E51480">
            <w:pPr>
              <w:rPr>
                <w:lang w:eastAsia="lv-LV"/>
              </w:rPr>
            </w:pPr>
          </w:p>
          <w:p w:rsidR="00E51480" w:rsidRPr="00E51480" w:rsidRDefault="00E51480" w:rsidP="00E51480">
            <w:pPr>
              <w:rPr>
                <w:lang w:eastAsia="lv-LV"/>
              </w:rPr>
            </w:pPr>
          </w:p>
          <w:p w:rsidR="00E51480" w:rsidRPr="00E51480" w:rsidRDefault="00E51480" w:rsidP="00E51480">
            <w:pPr>
              <w:rPr>
                <w:lang w:eastAsia="lv-LV"/>
              </w:rPr>
            </w:pPr>
          </w:p>
          <w:p w:rsidR="00E51480" w:rsidRPr="00E51480" w:rsidRDefault="00E51480" w:rsidP="00E51480">
            <w:pPr>
              <w:rPr>
                <w:lang w:eastAsia="lv-LV"/>
              </w:rPr>
            </w:pPr>
          </w:p>
          <w:p w:rsidR="00E51480" w:rsidRDefault="00E51480" w:rsidP="00E51480">
            <w:pPr>
              <w:rPr>
                <w:lang w:eastAsia="lv-LV"/>
              </w:rPr>
            </w:pPr>
          </w:p>
          <w:p w:rsidR="007F6B1C" w:rsidRPr="00E51480" w:rsidRDefault="007F6B1C" w:rsidP="00E51480">
            <w:pPr>
              <w:ind w:firstLine="720"/>
              <w:rPr>
                <w:lang w:eastAsia="lv-LV"/>
              </w:rPr>
            </w:pPr>
          </w:p>
        </w:tc>
        <w:tc>
          <w:tcPr>
            <w:tcW w:w="3656" w:type="pct"/>
          </w:tcPr>
          <w:p w:rsidR="00942314" w:rsidRDefault="000A25FF" w:rsidP="00942314">
            <w:pPr>
              <w:pStyle w:val="naiskr"/>
              <w:spacing w:before="0" w:beforeAutospacing="0" w:after="0" w:afterAutospacing="0"/>
              <w:ind w:firstLine="424"/>
              <w:jc w:val="both"/>
            </w:pPr>
            <w:r w:rsidRPr="008B1082">
              <w:t>Ministru kabineta rīkojuma projekts „</w:t>
            </w:r>
            <w:r w:rsidR="00A85F0F">
              <w:t xml:space="preserve">Grozījumi Ministru kabineta </w:t>
            </w:r>
            <w:proofErr w:type="gramStart"/>
            <w:r w:rsidR="00A85F0F">
              <w:t>2014 gada</w:t>
            </w:r>
            <w:proofErr w:type="gramEnd"/>
            <w:r w:rsidR="006B72B9">
              <w:t xml:space="preserve"> 29.jūlija rīkojumā Nr.</w:t>
            </w:r>
            <w:r w:rsidR="00A85F0F">
              <w:t>382 “Par Iekšlietu ministrijas ilgtermiņa saistībām ceļu satiksmes pārkāpumu fiksēšanas tehnisko līdzekļu (fotoradaru) darbības nodrošināšanai”</w:t>
            </w:r>
            <w:r w:rsidRPr="008B1082">
              <w:t>” (turpmāk – rīkojuma projek</w:t>
            </w:r>
            <w:r w:rsidR="00465061">
              <w:t>ts) sagatavots, pamatojoties uz</w:t>
            </w:r>
            <w:r w:rsidR="00942314">
              <w:t>:</w:t>
            </w:r>
          </w:p>
          <w:p w:rsidR="007F6B1C" w:rsidRDefault="000A25FF" w:rsidP="008F1047">
            <w:pPr>
              <w:pStyle w:val="naiskr"/>
              <w:numPr>
                <w:ilvl w:val="0"/>
                <w:numId w:val="6"/>
              </w:numPr>
              <w:spacing w:before="0" w:beforeAutospacing="0" w:after="0" w:afterAutospacing="0"/>
              <w:ind w:left="141" w:firstLine="425"/>
              <w:jc w:val="both"/>
            </w:pPr>
            <w:r w:rsidRPr="008B1082">
              <w:t xml:space="preserve">Ministru kabineta </w:t>
            </w:r>
            <w:proofErr w:type="gramStart"/>
            <w:r w:rsidR="00A85F0F">
              <w:t>2016.gada</w:t>
            </w:r>
            <w:proofErr w:type="gramEnd"/>
            <w:r w:rsidR="00A85F0F">
              <w:t xml:space="preserve"> </w:t>
            </w:r>
            <w:r w:rsidR="00942314">
              <w:t>8.novembra</w:t>
            </w:r>
            <w:r w:rsidR="00A85F0F">
              <w:t xml:space="preserve"> sēdē nolemto (prot. Nr. </w:t>
            </w:r>
            <w:r w:rsidR="00942314">
              <w:t>60 56.§);</w:t>
            </w:r>
          </w:p>
          <w:p w:rsidR="00942314" w:rsidRPr="00465061" w:rsidRDefault="00942314" w:rsidP="008F1047">
            <w:pPr>
              <w:pStyle w:val="naiskr"/>
              <w:numPr>
                <w:ilvl w:val="0"/>
                <w:numId w:val="6"/>
              </w:numPr>
              <w:spacing w:before="0" w:beforeAutospacing="0" w:after="0" w:afterAutospacing="0"/>
              <w:ind w:left="141" w:firstLine="425"/>
              <w:jc w:val="both"/>
            </w:pPr>
            <w:r>
              <w:t xml:space="preserve">Ministru kabineta </w:t>
            </w:r>
            <w:proofErr w:type="gramStart"/>
            <w:r>
              <w:t>2016.gada</w:t>
            </w:r>
            <w:proofErr w:type="gramEnd"/>
            <w:r>
              <w:t xml:space="preserve"> </w:t>
            </w:r>
            <w:r w:rsidR="005C346C">
              <w:t>14</w:t>
            </w:r>
            <w:r w:rsidRPr="005C346C">
              <w:t>.novembra rīkojuma Nr.</w:t>
            </w:r>
            <w:r w:rsidR="005C346C" w:rsidRPr="005C346C">
              <w:t>678</w:t>
            </w:r>
            <w:r w:rsidR="005C346C">
              <w:t xml:space="preserve"> </w:t>
            </w:r>
            <w:r w:rsidRPr="005C346C">
              <w:t>”Par  konceptuālo ziņojumu  “Par val</w:t>
            </w:r>
            <w:r w:rsidRPr="00DB4FDC">
              <w:t>sts akciju sabiedrības “Ceļu satiksmes drošības  direkcija” uzstādīto stacionāro fotoradaru darbības rezultātiem, priekšlikumiem</w:t>
            </w:r>
            <w:r>
              <w:t xml:space="preserve"> </w:t>
            </w:r>
            <w:r w:rsidRPr="00DB4FDC">
              <w:t>par tehnisko līdzekļu (</w:t>
            </w:r>
            <w:proofErr w:type="spellStart"/>
            <w:r w:rsidRPr="00DB4FDC">
              <w:t>fotoiekārtu</w:t>
            </w:r>
            <w:proofErr w:type="spellEnd"/>
            <w:r w:rsidRPr="00DB4FDC">
              <w:t xml:space="preserve"> vai videoiekārtu) turpmāko izmantošanu un</w:t>
            </w:r>
            <w:r>
              <w:t xml:space="preserve"> </w:t>
            </w:r>
            <w:r w:rsidRPr="00DB4FDC">
              <w:t>fotoradaru iegādes, uzstādīšanas un darbības nodrošināšanas finansēšanu”</w:t>
            </w:r>
            <w:r>
              <w:t xml:space="preserve">”  (turpmāk – rīkojums </w:t>
            </w:r>
            <w:r w:rsidR="005C346C" w:rsidRPr="005C346C">
              <w:t>Nr.678</w:t>
            </w:r>
            <w:r w:rsidR="008F1047" w:rsidRPr="005C346C">
              <w:t>) 3</w:t>
            </w:r>
            <w:r w:rsidRPr="005C346C">
              <w:t>.</w:t>
            </w:r>
            <w:r>
              <w:t>3.apakšpunktu.</w:t>
            </w:r>
          </w:p>
        </w:tc>
      </w:tr>
      <w:tr w:rsidR="007F6B1C" w:rsidRPr="005128C9" w:rsidTr="00A85F0F">
        <w:trPr>
          <w:trHeight w:val="472"/>
        </w:trPr>
        <w:tc>
          <w:tcPr>
            <w:tcW w:w="221" w:type="pct"/>
          </w:tcPr>
          <w:p w:rsidR="007F6B1C" w:rsidRPr="005128C9" w:rsidRDefault="007F6B1C" w:rsidP="006A32E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128C9">
              <w:t>2.</w:t>
            </w:r>
          </w:p>
        </w:tc>
        <w:tc>
          <w:tcPr>
            <w:tcW w:w="1123" w:type="pct"/>
          </w:tcPr>
          <w:p w:rsidR="007F6B1C" w:rsidRPr="005128C9" w:rsidRDefault="007F6B1C" w:rsidP="006A32EF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5128C9">
              <w:t>Pašreizējā situācija un problēmas, kuru risināšanai tiesību akta projekts izstrādāts, tiesiskā regulējuma mērķis un būtība</w:t>
            </w:r>
          </w:p>
        </w:tc>
        <w:tc>
          <w:tcPr>
            <w:tcW w:w="3656" w:type="pct"/>
          </w:tcPr>
          <w:p w:rsidR="00AF4354" w:rsidRDefault="00942314" w:rsidP="000A7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2016.gada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8.novembra sēdē (prot. Nr.6, 56.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tika izskatīts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konceptuālais ziņojums</w:t>
            </w:r>
            <w:r w:rsidRPr="00DB4FDC">
              <w:rPr>
                <w:rFonts w:ascii="Times New Roman" w:hAnsi="Times New Roman" w:cs="Times New Roman"/>
                <w:sz w:val="24"/>
                <w:szCs w:val="24"/>
              </w:rPr>
              <w:t xml:space="preserve"> “Par valsts akciju sabiedrības “Ceļu satiksmes drošības  direkcija” uzstādīto stacionāro fotoradaru darbības rezultātiem, priekšlikumiem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FDC">
              <w:rPr>
                <w:rFonts w:ascii="Times New Roman" w:hAnsi="Times New Roman" w:cs="Times New Roman"/>
                <w:sz w:val="24"/>
                <w:szCs w:val="24"/>
              </w:rPr>
              <w:t>par tehnisko līdzekļu (</w:t>
            </w:r>
            <w:proofErr w:type="spellStart"/>
            <w:r w:rsidRPr="00DB4FDC">
              <w:rPr>
                <w:rFonts w:ascii="Times New Roman" w:hAnsi="Times New Roman" w:cs="Times New Roman"/>
                <w:sz w:val="24"/>
                <w:szCs w:val="24"/>
              </w:rPr>
              <w:t>fotoiekārtu</w:t>
            </w:r>
            <w:proofErr w:type="spellEnd"/>
            <w:r w:rsidRPr="00DB4FDC">
              <w:rPr>
                <w:rFonts w:ascii="Times New Roman" w:hAnsi="Times New Roman" w:cs="Times New Roman"/>
                <w:sz w:val="24"/>
                <w:szCs w:val="24"/>
              </w:rPr>
              <w:t xml:space="preserve"> vai videoiekārtu) turpmāko izmantošanu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FDC">
              <w:rPr>
                <w:rFonts w:ascii="Times New Roman" w:hAnsi="Times New Roman" w:cs="Times New Roman"/>
                <w:sz w:val="24"/>
                <w:szCs w:val="24"/>
              </w:rPr>
              <w:t>fotoradaru iegādes, uzstādīšanas un darbības nodrošināšanas finansēšanu”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konceptuālais ziņojums), kur</w:t>
            </w:r>
            <w:r w:rsidR="008A10F2">
              <w:rPr>
                <w:rFonts w:ascii="Times New Roman" w:hAnsi="Times New Roman"/>
                <w:sz w:val="24"/>
                <w:szCs w:val="24"/>
              </w:rPr>
              <w:t xml:space="preserve">ā sniegti priekšlikumi par fotoradaru turpmāko izmantošanu.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10F2" w:rsidRPr="005C346C">
              <w:rPr>
                <w:rFonts w:ascii="Times New Roman" w:hAnsi="Times New Roman"/>
                <w:sz w:val="24"/>
                <w:szCs w:val="24"/>
              </w:rPr>
              <w:t>R</w:t>
            </w:r>
            <w:r w:rsidR="00A85ED2" w:rsidRPr="005C346C">
              <w:rPr>
                <w:rFonts w:ascii="Times New Roman" w:hAnsi="Times New Roman"/>
                <w:sz w:val="24"/>
                <w:szCs w:val="24"/>
              </w:rPr>
              <w:t>īkojuma</w:t>
            </w:r>
            <w:r w:rsidRPr="005C346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5C346C" w:rsidRPr="005C346C">
              <w:rPr>
                <w:rFonts w:ascii="Times New Roman" w:hAnsi="Times New Roman"/>
                <w:sz w:val="24"/>
                <w:szCs w:val="24"/>
              </w:rPr>
              <w:t>678</w:t>
            </w:r>
            <w:r w:rsidR="008A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047">
              <w:rPr>
                <w:rFonts w:ascii="Times New Roman" w:hAnsi="Times New Roman"/>
                <w:sz w:val="24"/>
                <w:szCs w:val="24"/>
              </w:rPr>
              <w:t>1</w:t>
            </w:r>
            <w:r w:rsidR="00A85ED2">
              <w:rPr>
                <w:rFonts w:ascii="Times New Roman" w:hAnsi="Times New Roman"/>
                <w:sz w:val="24"/>
                <w:szCs w:val="24"/>
              </w:rPr>
              <w:t xml:space="preserve">.punkts </w:t>
            </w:r>
            <w:r w:rsidR="00D06492">
              <w:rPr>
                <w:rFonts w:ascii="Times New Roman" w:hAnsi="Times New Roman"/>
                <w:sz w:val="24"/>
                <w:szCs w:val="24"/>
              </w:rPr>
              <w:t>paredz</w:t>
            </w:r>
            <w:r w:rsidR="00A85ED2">
              <w:rPr>
                <w:rFonts w:ascii="Times New Roman" w:hAnsi="Times New Roman" w:cs="Times New Roman"/>
                <w:sz w:val="24"/>
                <w:szCs w:val="24"/>
              </w:rPr>
              <w:t xml:space="preserve"> atbalstīt konceptuālajā ziņojumā ietverto</w:t>
            </w:r>
            <w:r w:rsidR="00D064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5ED2" w:rsidRPr="000671F3" w:rsidRDefault="001752CF" w:rsidP="000A7E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4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F3">
              <w:rPr>
                <w:rFonts w:ascii="Times New Roman" w:hAnsi="Times New Roman" w:cs="Times New Roman"/>
                <w:sz w:val="24"/>
                <w:szCs w:val="24"/>
              </w:rPr>
              <w:t xml:space="preserve">turpmākās fotoradaru ieviešanas </w:t>
            </w:r>
            <w:r w:rsidR="00A85ED2" w:rsidRPr="000671F3">
              <w:rPr>
                <w:rFonts w:ascii="Times New Roman" w:hAnsi="Times New Roman" w:cs="Times New Roman"/>
                <w:sz w:val="24"/>
                <w:szCs w:val="24"/>
              </w:rPr>
              <w:t>risinājuma 2.var</w:t>
            </w:r>
            <w:r w:rsidRPr="000671F3">
              <w:rPr>
                <w:rFonts w:ascii="Times New Roman" w:hAnsi="Times New Roman" w:cs="Times New Roman"/>
                <w:sz w:val="24"/>
                <w:szCs w:val="24"/>
              </w:rPr>
              <w:t>iantu (</w:t>
            </w:r>
            <w:r w:rsidR="00A85ED2" w:rsidRPr="000671F3">
              <w:rPr>
                <w:rFonts w:ascii="Times New Roman" w:hAnsi="Times New Roman"/>
                <w:sz w:val="24"/>
                <w:szCs w:val="24"/>
              </w:rPr>
              <w:t xml:space="preserve">izdevumus segt tikai no </w:t>
            </w:r>
            <w:r w:rsidR="00A85ED2" w:rsidRPr="000671F3">
              <w:rPr>
                <w:rFonts w:ascii="Times New Roman" w:hAnsi="Times New Roman" w:cs="Times New Roman"/>
                <w:sz w:val="24"/>
                <w:szCs w:val="24"/>
              </w:rPr>
              <w:t>valsts akciju sabiedrības “Ceļu satiksmes drošības direkcija”</w:t>
            </w:r>
            <w:r w:rsidR="00A85ED2" w:rsidRPr="0006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ED2" w:rsidRPr="000671F3">
              <w:rPr>
                <w:rFonts w:ascii="Times New Roman" w:hAnsi="Times New Roman" w:cs="Times New Roman"/>
                <w:sz w:val="24"/>
                <w:szCs w:val="24"/>
              </w:rPr>
              <w:t xml:space="preserve">dividendēm (ieviest 100 fotoradarus 4 kārtās šādos termiņos: (1.kārta – 16 (realizēta </w:t>
            </w:r>
            <w:proofErr w:type="gramStart"/>
            <w:r w:rsidR="00A85ED2" w:rsidRPr="000671F3">
              <w:rPr>
                <w:rFonts w:ascii="Times New Roman" w:hAnsi="Times New Roman" w:cs="Times New Roman"/>
                <w:sz w:val="24"/>
                <w:szCs w:val="24"/>
              </w:rPr>
              <w:t>2015.gadā</w:t>
            </w:r>
            <w:proofErr w:type="gramEnd"/>
            <w:r w:rsidR="00A85ED2" w:rsidRPr="000671F3">
              <w:rPr>
                <w:rFonts w:ascii="Times New Roman" w:hAnsi="Times New Roman" w:cs="Times New Roman"/>
                <w:sz w:val="24"/>
                <w:szCs w:val="24"/>
              </w:rPr>
              <w:t>), 2.kārta – 24 (tiek realizēta 2016.gada  laikā), 3.kārta –</w:t>
            </w:r>
            <w:r w:rsidR="000A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ED2" w:rsidRPr="000671F3">
              <w:rPr>
                <w:rFonts w:ascii="Times New Roman" w:hAnsi="Times New Roman" w:cs="Times New Roman"/>
                <w:sz w:val="24"/>
                <w:szCs w:val="24"/>
              </w:rPr>
              <w:t>20 (2017.gadā), 4.kārta – 40 (2018.gadā));</w:t>
            </w:r>
          </w:p>
          <w:p w:rsidR="00495A4D" w:rsidRPr="00495A4D" w:rsidRDefault="00A85ED2" w:rsidP="00D26E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4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D">
              <w:rPr>
                <w:rFonts w:ascii="Times New Roman" w:hAnsi="Times New Roman" w:cs="Times New Roman"/>
                <w:sz w:val="24"/>
                <w:szCs w:val="24"/>
              </w:rPr>
              <w:t>samaksa</w:t>
            </w:r>
            <w:r w:rsidR="000B35FB" w:rsidRPr="00495A4D">
              <w:rPr>
                <w:rFonts w:ascii="Times New Roman" w:hAnsi="Times New Roman" w:cs="Times New Roman"/>
                <w:sz w:val="24"/>
                <w:szCs w:val="24"/>
              </w:rPr>
              <w:t xml:space="preserve">s apmēra noteikšanas 2.A modeli </w:t>
            </w:r>
            <w:r w:rsidRPr="00495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5A4D" w:rsidRPr="00495A4D">
              <w:rPr>
                <w:rFonts w:ascii="Times New Roman" w:hAnsi="Times New Roman" w:cs="Times New Roman"/>
                <w:sz w:val="24"/>
                <w:szCs w:val="24"/>
              </w:rPr>
              <w:t>galvenie rādītāji: izmaksās net</w:t>
            </w:r>
            <w:r w:rsidR="009664A9">
              <w:rPr>
                <w:rFonts w:ascii="Times New Roman" w:hAnsi="Times New Roman" w:cs="Times New Roman"/>
                <w:sz w:val="24"/>
                <w:szCs w:val="24"/>
              </w:rPr>
              <w:t xml:space="preserve">iek iekļauta summa, kas atbilst </w:t>
            </w:r>
            <w:r w:rsidR="000511F8" w:rsidRPr="000671F3">
              <w:rPr>
                <w:rFonts w:ascii="Times New Roman" w:hAnsi="Times New Roman" w:cs="Times New Roman"/>
                <w:sz w:val="24"/>
                <w:szCs w:val="24"/>
              </w:rPr>
              <w:t>valsts akciju sabiedrības “Ceļu satiksmes drošības direkcija”</w:t>
            </w:r>
            <w:r w:rsidR="00495A4D" w:rsidRPr="00495A4D">
              <w:rPr>
                <w:rFonts w:ascii="Times New Roman" w:hAnsi="Times New Roman" w:cs="Times New Roman"/>
                <w:sz w:val="24"/>
                <w:szCs w:val="24"/>
              </w:rPr>
              <w:t xml:space="preserve"> fotoradaru ikgadējam nolietojumam; izmaksās tiek iekļauta plānotā peļņa 5% apmērā</w:t>
            </w:r>
            <w:r w:rsidR="00495A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5A4D" w:rsidRPr="000C68C9" w:rsidRDefault="00495A4D" w:rsidP="00D26E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4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55044508"/>
            <w:r w:rsidRPr="000C68C9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="000C68C9" w:rsidRPr="000C68C9">
              <w:rPr>
                <w:rFonts w:ascii="Times New Roman" w:hAnsi="Times New Roman" w:cs="Times New Roman"/>
                <w:sz w:val="24"/>
                <w:szCs w:val="24"/>
              </w:rPr>
              <w:t>eģēto uzdevumu apmaksas kārtības 1.modeli</w:t>
            </w:r>
            <w:r w:rsidRPr="000C68C9">
              <w:rPr>
                <w:rFonts w:ascii="Times New Roman" w:hAnsi="Times New Roman" w:cs="Times New Roman"/>
                <w:sz w:val="24"/>
                <w:szCs w:val="24"/>
              </w:rPr>
              <w:t xml:space="preserve"> (1.modeli</w:t>
            </w:r>
            <w:bookmarkEnd w:id="0"/>
            <w:r w:rsidRPr="000C68C9">
              <w:rPr>
                <w:rFonts w:ascii="Times New Roman" w:hAnsi="Times New Roman" w:cs="Times New Roman"/>
                <w:sz w:val="24"/>
                <w:szCs w:val="24"/>
              </w:rPr>
              <w:t xml:space="preserve">s: “vienības cena” (vienas </w:t>
            </w:r>
            <w:proofErr w:type="spellStart"/>
            <w:r w:rsidRPr="000C68C9">
              <w:rPr>
                <w:rFonts w:ascii="Times New Roman" w:hAnsi="Times New Roman" w:cs="Times New Roman"/>
                <w:sz w:val="24"/>
                <w:szCs w:val="24"/>
              </w:rPr>
              <w:t>radardienas</w:t>
            </w:r>
            <w:proofErr w:type="spellEnd"/>
            <w:r w:rsidRPr="000C68C9">
              <w:rPr>
                <w:rFonts w:ascii="Times New Roman" w:hAnsi="Times New Roman" w:cs="Times New Roman"/>
                <w:sz w:val="24"/>
                <w:szCs w:val="24"/>
              </w:rPr>
              <w:t xml:space="preserve"> izmaksas) – samaksas apmērs atkarīgs no faktisko </w:t>
            </w:r>
            <w:proofErr w:type="spellStart"/>
            <w:r w:rsidRPr="000C68C9">
              <w:rPr>
                <w:rFonts w:ascii="Times New Roman" w:hAnsi="Times New Roman" w:cs="Times New Roman"/>
                <w:sz w:val="24"/>
                <w:szCs w:val="24"/>
              </w:rPr>
              <w:t>radardienu</w:t>
            </w:r>
            <w:proofErr w:type="spellEnd"/>
            <w:r w:rsidRPr="000C68C9">
              <w:rPr>
                <w:rFonts w:ascii="Times New Roman" w:hAnsi="Times New Roman" w:cs="Times New Roman"/>
                <w:sz w:val="24"/>
                <w:szCs w:val="24"/>
              </w:rPr>
              <w:t xml:space="preserve"> skaita);</w:t>
            </w:r>
          </w:p>
          <w:p w:rsidR="00495A4D" w:rsidRPr="00633D38" w:rsidRDefault="002B33D4" w:rsidP="00D26E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4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normatīvā regulējuma pilnveidošanas </w:t>
            </w:r>
            <w:r w:rsidR="008F1047">
              <w:rPr>
                <w:rFonts w:ascii="Times New Roman" w:hAnsi="Times New Roman" w:cs="Times New Roman"/>
                <w:sz w:val="24"/>
                <w:szCs w:val="24"/>
              </w:rPr>
              <w:t xml:space="preserve">risinājuma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variantu</w:t>
            </w:r>
            <w:r w:rsidR="0063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3D38" w:rsidRPr="00633D38"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</w:rPr>
              <w:t>Ceļu satiksmes likumā, papildinot 43.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</w:rPr>
              <w:t xml:space="preserve"> pantu ar trešo daļu un paredzot, ka Ministru kabinets nosaka </w:t>
            </w:r>
            <w:r w:rsidR="008F1047">
              <w:rPr>
                <w:rFonts w:ascii="Times New Roman" w:hAnsi="Times New Roman" w:cs="Times New Roman"/>
                <w:sz w:val="24"/>
                <w:szCs w:val="24"/>
              </w:rPr>
              <w:t xml:space="preserve">izdevumus, </w:t>
            </w:r>
            <w:r w:rsidR="008F1047" w:rsidRPr="00633D38">
              <w:rPr>
                <w:rFonts w:ascii="Times New Roman" w:hAnsi="Times New Roman" w:cs="Times New Roman"/>
                <w:sz w:val="24"/>
                <w:szCs w:val="24"/>
              </w:rPr>
              <w:t xml:space="preserve">kādi tiek segti </w:t>
            </w:r>
            <w:r w:rsidR="008F1047">
              <w:rPr>
                <w:rFonts w:ascii="Times New Roman" w:hAnsi="Times New Roman" w:cs="Times New Roman"/>
                <w:sz w:val="24"/>
                <w:szCs w:val="24"/>
              </w:rPr>
              <w:t>valsts akciju sabiedrībai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</w:rPr>
              <w:t xml:space="preserve"> “Ceļu satiksmes drošības 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direkcija” </w:t>
            </w:r>
            <w:r w:rsidR="008F1047">
              <w:rPr>
                <w:rFonts w:ascii="Times New Roman" w:hAnsi="Times New Roman" w:cs="Times New Roman"/>
                <w:sz w:val="24"/>
                <w:szCs w:val="24"/>
              </w:rPr>
              <w:t xml:space="preserve">saistībā ar attiecīgā panta </w:t>
            </w:r>
            <w:r w:rsidR="00633D38" w:rsidRPr="00633D38">
              <w:rPr>
                <w:rFonts w:ascii="Times New Roman" w:hAnsi="Times New Roman" w:cs="Times New Roman"/>
                <w:sz w:val="24"/>
                <w:szCs w:val="24"/>
              </w:rPr>
              <w:t>pirmajā un otrajā daļā minēto valsts pārvaldes uzdevumu izpildi, kā arī to segšanas kārtību)</w:t>
            </w:r>
            <w:r w:rsidRPr="00633D38">
              <w:rPr>
                <w:rFonts w:ascii="Times New Roman" w:hAnsi="Times New Roman" w:cs="Times New Roman"/>
                <w:sz w:val="24"/>
                <w:szCs w:val="24"/>
              </w:rPr>
              <w:t>, līdz 1.risinājuma varianta ieviešanai – 3.risinājuma variantu</w:t>
            </w:r>
            <w:r w:rsidR="00633D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74E9" w:rsidRPr="009D74E9">
              <w:rPr>
                <w:rFonts w:ascii="Times New Roman" w:hAnsi="Times New Roman" w:cs="Times New Roman"/>
                <w:sz w:val="24"/>
                <w:szCs w:val="24"/>
              </w:rPr>
              <w:t xml:space="preserve">sagatavot grozījumu projektu Ministru kabineta </w:t>
            </w:r>
            <w:proofErr w:type="gramStart"/>
            <w:r w:rsidR="009D74E9" w:rsidRPr="009D74E9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="009D74E9" w:rsidRPr="009D74E9">
              <w:rPr>
                <w:rFonts w:ascii="Times New Roman" w:hAnsi="Times New Roman" w:cs="Times New Roman"/>
                <w:sz w:val="24"/>
                <w:szCs w:val="24"/>
              </w:rPr>
              <w:t xml:space="preserve"> 29.jūlija rīkojumā Nr.382 “Par Iekšlietu ministrijas ilgtermiņa saistībām ceļu satiksmes pārkāpumu fiksēšanas tehnisko līdzekļu (fotoradaru) darbības nodrošināšanai”)</w:t>
            </w:r>
            <w:r w:rsidR="009D7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314" w:rsidRDefault="00942314" w:rsidP="00942314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43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projekts sagatavots, lai </w:t>
            </w:r>
            <w:r w:rsidR="008A10F2">
              <w:rPr>
                <w:rFonts w:ascii="Times New Roman" w:hAnsi="Times New Roman" w:cs="Times New Roman"/>
                <w:sz w:val="24"/>
                <w:szCs w:val="24"/>
              </w:rPr>
              <w:t xml:space="preserve">nodrošinātu atbilstību </w:t>
            </w:r>
            <w:r w:rsidR="00263BA4" w:rsidRPr="005C34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A10F2" w:rsidRPr="005C346C">
              <w:rPr>
                <w:rFonts w:ascii="Times New Roman" w:hAnsi="Times New Roman" w:cs="Times New Roman"/>
                <w:sz w:val="24"/>
                <w:szCs w:val="24"/>
              </w:rPr>
              <w:t>īkojum</w:t>
            </w:r>
            <w:r w:rsidR="00263BA4" w:rsidRPr="005C34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0F2" w:rsidRPr="005C346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5C346C" w:rsidRPr="005C346C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8F1047" w:rsidRPr="005C34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A10F2" w:rsidRPr="005C346C">
              <w:rPr>
                <w:rFonts w:ascii="Times New Roman" w:hAnsi="Times New Roman" w:cs="Times New Roman"/>
                <w:sz w:val="24"/>
                <w:szCs w:val="24"/>
              </w:rPr>
              <w:t>.punktam</w:t>
            </w:r>
            <w:r w:rsidR="008A10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8C9" w:rsidRPr="00685C2D" w:rsidRDefault="00B26813" w:rsidP="00685C2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D">
              <w:rPr>
                <w:rFonts w:ascii="Times New Roman" w:hAnsi="Times New Roman" w:cs="Times New Roman"/>
                <w:sz w:val="24"/>
                <w:szCs w:val="24"/>
              </w:rPr>
              <w:t xml:space="preserve">Rīkojuma </w:t>
            </w:r>
            <w:r w:rsidR="00666400" w:rsidRPr="00685C2D">
              <w:rPr>
                <w:rFonts w:ascii="Times New Roman" w:hAnsi="Times New Roman" w:cs="Times New Roman"/>
                <w:sz w:val="24"/>
                <w:szCs w:val="24"/>
              </w:rPr>
              <w:t>projekts paredz</w:t>
            </w:r>
            <w:r w:rsidR="000C68C9" w:rsidRPr="00685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05D" w:rsidRPr="00C35B2C" w:rsidRDefault="00016770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  <w:rPr>
                <w:b/>
              </w:rPr>
            </w:pPr>
            <w:r w:rsidRPr="00C35B2C">
              <w:rPr>
                <w:bCs/>
              </w:rPr>
              <w:t xml:space="preserve">atļaut Iekšlietu ministrijai uzņemties ilgtermiņa saistības tehnisko līdzekļu (fotoradaru) darbības nodrošināšanai laikposmā no 2015. līdz </w:t>
            </w:r>
            <w:proofErr w:type="gramStart"/>
            <w:r w:rsidRPr="00C35B2C">
              <w:rPr>
                <w:bCs/>
              </w:rPr>
              <w:t>2022.gadam</w:t>
            </w:r>
            <w:proofErr w:type="gramEnd"/>
            <w:r w:rsidRPr="00C35B2C">
              <w:rPr>
                <w:bCs/>
              </w:rPr>
              <w:t>, tai skaitā sadalījumā pa gadiem;</w:t>
            </w:r>
          </w:p>
          <w:p w:rsidR="00363705" w:rsidRPr="00C35B2C" w:rsidRDefault="00363705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  <w:rPr>
                <w:b/>
              </w:rPr>
            </w:pPr>
            <w:r w:rsidRPr="00C35B2C">
              <w:rPr>
                <w:bCs/>
              </w:rPr>
              <w:t>atļaut Valsts policijai noslēgt valsts pārvaldes uzdevumu deleģēšanas līgumu ar valsts akciju sabiedrību “</w:t>
            </w:r>
            <w:r w:rsidRPr="00C35B2C">
              <w:t>Ceļu satiksmes drošības direkcija” par 60 tehnisko līdzekļu (fotoradaru) uzstādīšanu un to darbības nodrošināšanu;</w:t>
            </w:r>
          </w:p>
          <w:p w:rsidR="001F796F" w:rsidRPr="005D04AA" w:rsidRDefault="001F796F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  <w:rPr>
                <w:bCs/>
              </w:rPr>
            </w:pPr>
            <w:r w:rsidRPr="005D04AA">
              <w:rPr>
                <w:bCs/>
              </w:rPr>
              <w:t>noteikt prognozēto valsts pamatbudžeta ieņēmumu apmēru no naudas sodiem, ko uzliek Valsts policija par pārkāpumiem ceļu satiksmē, kas fiksēti ar Ceļu satiksmes drošības direkcijai piederošajiem tehniskajiem līdzekļiem</w:t>
            </w:r>
            <w:r w:rsidR="00232342" w:rsidRPr="005D04AA">
              <w:rPr>
                <w:bCs/>
              </w:rPr>
              <w:t xml:space="preserve"> (fotoradariem)</w:t>
            </w:r>
            <w:r w:rsidRPr="005D04AA">
              <w:rPr>
                <w:bCs/>
              </w:rPr>
              <w:t>:</w:t>
            </w:r>
          </w:p>
          <w:p w:rsidR="00383B9A" w:rsidRPr="005D04AA" w:rsidRDefault="00383B9A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  <w:rPr>
                <w:bCs/>
              </w:rPr>
            </w:pPr>
            <w:r w:rsidRPr="005D04AA">
              <w:rPr>
                <w:bCs/>
              </w:rPr>
              <w:t>noteikt Iekšlietu ministrijas ilgtermiņa saistību apmēru pasākumam “Ceļu satiksmes pārkāpumu fiksēšanas tehnisko līdzekļu (fotoradaru) darbības nodrošināšana” sadalījumā pa gadiem un budžeta apakšprogrammām;</w:t>
            </w:r>
          </w:p>
          <w:p w:rsidR="001F796F" w:rsidRPr="00232342" w:rsidRDefault="00232342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</w:pPr>
            <w:r w:rsidRPr="00232342">
              <w:t>n</w:t>
            </w:r>
            <w:r>
              <w:t>oteikt</w:t>
            </w:r>
            <w:r w:rsidRPr="00232342">
              <w:t xml:space="preserve">, </w:t>
            </w:r>
            <w:r w:rsidR="00AE571C">
              <w:t xml:space="preserve">ko nozīmē samaksas aprēķinos pielietotā </w:t>
            </w:r>
            <w:r w:rsidRPr="00232342">
              <w:t>viena fotoradara darbības diena</w:t>
            </w:r>
            <w:r w:rsidR="00AE571C">
              <w:t xml:space="preserve"> –</w:t>
            </w:r>
            <w:r w:rsidRPr="00232342">
              <w:t xml:space="preserve"> fotoradars </w:t>
            </w:r>
            <w:r w:rsidR="000F7FE0">
              <w:t>diennaktī</w:t>
            </w:r>
            <w:r w:rsidRPr="00232342">
              <w:t xml:space="preserve"> ir darbojies vismaz 16 stundas</w:t>
            </w:r>
            <w:r w:rsidR="00AE571C">
              <w:t>;</w:t>
            </w:r>
          </w:p>
          <w:p w:rsidR="004A1CD7" w:rsidRPr="004A1CD7" w:rsidRDefault="004A1CD7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  <w:rPr>
                <w:b/>
              </w:rPr>
            </w:pPr>
            <w:r w:rsidRPr="004A1CD7">
              <w:t xml:space="preserve">noteikt </w:t>
            </w:r>
            <w:r w:rsidR="00473355">
              <w:t xml:space="preserve">nosacījumus, kādus Valsts policija piemēro, nosakot </w:t>
            </w:r>
            <w:r w:rsidR="00473355" w:rsidRPr="00473355">
              <w:t>samaksu</w:t>
            </w:r>
            <w:r w:rsidRPr="00473355">
              <w:t xml:space="preserve"> </w:t>
            </w:r>
            <w:r>
              <w:t>valsts akciju sabiedrībai</w:t>
            </w:r>
            <w:r w:rsidRPr="00633D38">
              <w:t xml:space="preserve"> “Ceļu satiksmes drošības direkcija”</w:t>
            </w:r>
            <w:r>
              <w:rPr>
                <w:b/>
              </w:rPr>
              <w:t xml:space="preserve"> </w:t>
            </w:r>
            <w:r>
              <w:t xml:space="preserve">par valsts pārvaldes </w:t>
            </w:r>
            <w:r w:rsidR="00473355">
              <w:t xml:space="preserve">deleģēto </w:t>
            </w:r>
            <w:r>
              <w:t>uzdevumu izpildi;</w:t>
            </w:r>
          </w:p>
          <w:p w:rsidR="00016770" w:rsidRPr="004A1CD7" w:rsidRDefault="004A1CD7" w:rsidP="004A1CD7">
            <w:pPr>
              <w:pStyle w:val="naiskr"/>
              <w:numPr>
                <w:ilvl w:val="0"/>
                <w:numId w:val="10"/>
              </w:numPr>
              <w:spacing w:before="0" w:beforeAutospacing="0" w:after="0" w:afterAutospacing="0"/>
              <w:ind w:left="141" w:firstLine="283"/>
              <w:jc w:val="both"/>
              <w:rPr>
                <w:b/>
              </w:rPr>
            </w:pPr>
            <w:r>
              <w:t xml:space="preserve"> noteikt </w:t>
            </w:r>
            <w:r w:rsidRPr="005B37BB">
              <w:t>izmaksu apmēru</w:t>
            </w:r>
            <w:r>
              <w:t xml:space="preserve"> par:</w:t>
            </w:r>
          </w:p>
          <w:p w:rsidR="00CA133C" w:rsidRPr="00CA133C" w:rsidRDefault="00E8344C" w:rsidP="00B725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9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tehnisko līdzekļu (fotoradaru), kas iegādāti</w:t>
            </w:r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>2015.gadā</w:t>
            </w:r>
            <w:proofErr w:type="gramEnd"/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33C" w:rsidRPr="00CA133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vienu fotoradara darbības dienu (30,60 </w:t>
            </w:r>
            <w:proofErr w:type="spellStart"/>
            <w:r w:rsidR="00CA133C" w:rsidRPr="00CA133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A133C" w:rsidRPr="00CA133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CA133C" w:rsidRPr="00CA133C" w:rsidRDefault="00E8344C" w:rsidP="00B725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tehnisko līdzekļu (fotoradaru), kas iegādāti</w:t>
            </w:r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 xml:space="preserve"> pēc </w:t>
            </w:r>
            <w:proofErr w:type="gramStart"/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>2015.gada</w:t>
            </w:r>
            <w:proofErr w:type="gramEnd"/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 xml:space="preserve">, vienu fotoradara darbības dienu (39,99 </w:t>
            </w:r>
            <w:proofErr w:type="spellStart"/>
            <w:r w:rsidR="00CA133C" w:rsidRPr="00CA13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CA133C" w:rsidRPr="00CA133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E0B55" w:rsidRPr="003C5AA8" w:rsidRDefault="00EE0B55" w:rsidP="00B725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39" w:hanging="357"/>
              <w:jc w:val="both"/>
              <w:rPr>
                <w:sz w:val="28"/>
                <w:szCs w:val="28"/>
                <w:lang w:eastAsia="lv-LV"/>
              </w:rPr>
            </w:pPr>
            <w:r w:rsidRPr="003C5AA8">
              <w:rPr>
                <w:rFonts w:ascii="Times New Roman" w:hAnsi="Times New Roman" w:cs="Times New Roman"/>
                <w:sz w:val="24"/>
                <w:szCs w:val="24"/>
              </w:rPr>
              <w:t xml:space="preserve">no tehniskajiem līdzekļiem (fotoradariem) saņemtās informācijas apstrādi transportlīdzekļu un to vadītāju valsts reģistrā, un protokolu–lēmumu projektu sagatavošanu un nosūtīšanu Valsts policijai </w:t>
            </w:r>
            <w:r w:rsidR="003C5AA8" w:rsidRPr="003C5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5AA8">
              <w:rPr>
                <w:rFonts w:ascii="Times New Roman" w:hAnsi="Times New Roman" w:cs="Times New Roman"/>
                <w:sz w:val="24"/>
                <w:szCs w:val="24"/>
              </w:rPr>
              <w:t>viena protokola–lēmuma projekta sagatavošanas izmaksas</w:t>
            </w:r>
            <w:r w:rsidR="003C5AA8" w:rsidRPr="003C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A8">
              <w:rPr>
                <w:rFonts w:ascii="Times New Roman" w:hAnsi="Times New Roman" w:cs="Times New Roman"/>
                <w:sz w:val="24"/>
                <w:szCs w:val="24"/>
              </w:rPr>
              <w:t xml:space="preserve">0,57 </w:t>
            </w:r>
            <w:proofErr w:type="spellStart"/>
            <w:r w:rsidRPr="003C5AA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C5AA8" w:rsidRPr="003C5AA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3C5AA8">
              <w:rPr>
                <w:sz w:val="28"/>
                <w:szCs w:val="28"/>
                <w:lang w:eastAsia="lv-LV"/>
              </w:rPr>
              <w:t xml:space="preserve"> </w:t>
            </w:r>
          </w:p>
          <w:p w:rsidR="00CA133C" w:rsidRPr="00075F29" w:rsidRDefault="00CA133C" w:rsidP="00B725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vēstules sagatavošanu (0,078 </w:t>
            </w:r>
            <w:proofErr w:type="spellStart"/>
            <w:r w:rsidRPr="00CA13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75F29" w:rsidRPr="00075F29" w:rsidRDefault="00AE571C" w:rsidP="00AE571C">
            <w:pPr>
              <w:autoSpaceDE w:val="0"/>
              <w:autoSpaceDN w:val="0"/>
              <w:adjustRightInd w:val="0"/>
              <w:spacing w:after="0" w:line="240" w:lineRule="auto"/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ar to r</w:t>
            </w:r>
            <w:r w:rsidR="00075F29" w:rsidRPr="00075F29">
              <w:rPr>
                <w:rFonts w:ascii="Times New Roman" w:hAnsi="Times New Roman" w:cs="Times New Roman"/>
                <w:sz w:val="24"/>
                <w:szCs w:val="24"/>
              </w:rPr>
              <w:t xml:space="preserve">īkojuma projekts </w:t>
            </w:r>
            <w:r w:rsidR="00975153">
              <w:rPr>
                <w:rFonts w:ascii="Times New Roman" w:hAnsi="Times New Roman" w:cs="Times New Roman"/>
                <w:sz w:val="24"/>
                <w:szCs w:val="24"/>
              </w:rPr>
              <w:t xml:space="preserve">nodrošinās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975153">
              <w:rPr>
                <w:rFonts w:ascii="Times New Roman" w:hAnsi="Times New Roman" w:cs="Times New Roman"/>
                <w:sz w:val="24"/>
                <w:szCs w:val="24"/>
              </w:rPr>
              <w:t xml:space="preserve">atbilstību </w:t>
            </w:r>
            <w:r w:rsidR="00D36494" w:rsidRPr="005C346C">
              <w:rPr>
                <w:rFonts w:ascii="Times New Roman" w:hAnsi="Times New Roman" w:cs="Times New Roman"/>
                <w:sz w:val="24"/>
                <w:szCs w:val="24"/>
              </w:rPr>
              <w:t xml:space="preserve">rīkojuma Nr.678 </w:t>
            </w:r>
            <w:r w:rsidR="0097515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4.apakš</w:t>
            </w:r>
            <w:r w:rsidR="00975153">
              <w:rPr>
                <w:rFonts w:ascii="Times New Roman" w:hAnsi="Times New Roman"/>
                <w:sz w:val="24"/>
                <w:szCs w:val="24"/>
              </w:rPr>
              <w:t>punktam līdz b</w:t>
            </w:r>
            <w:r w:rsidR="003B1F3C">
              <w:rPr>
                <w:rFonts w:ascii="Times New Roman" w:hAnsi="Times New Roman"/>
                <w:sz w:val="24"/>
                <w:szCs w:val="24"/>
              </w:rPr>
              <w:t>r</w:t>
            </w:r>
            <w:r w:rsidR="00975153">
              <w:rPr>
                <w:rFonts w:ascii="Times New Roman" w:hAnsi="Times New Roman"/>
                <w:sz w:val="24"/>
                <w:szCs w:val="24"/>
              </w:rPr>
              <w:t xml:space="preserve">īdim, </w:t>
            </w:r>
            <w:proofErr w:type="gramStart"/>
            <w:r w:rsidR="00DF0AE8">
              <w:rPr>
                <w:rFonts w:ascii="Times New Roman" w:hAnsi="Times New Roman"/>
                <w:sz w:val="24"/>
                <w:szCs w:val="24"/>
              </w:rPr>
              <w:t>kad tiks</w:t>
            </w:r>
            <w:proofErr w:type="gramEnd"/>
            <w:r w:rsidR="00975153">
              <w:rPr>
                <w:rFonts w:ascii="Times New Roman" w:hAnsi="Times New Roman"/>
                <w:sz w:val="24"/>
                <w:szCs w:val="24"/>
              </w:rPr>
              <w:t xml:space="preserve"> pieņemti grozījumi Ceļu satiksmes likumā un pieņemti attiecīgi Ministru kabineta noteikumi.</w:t>
            </w:r>
            <w:r w:rsidR="0097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B1C" w:rsidRPr="005128C9" w:rsidTr="00A85F0F">
        <w:trPr>
          <w:trHeight w:val="476"/>
        </w:trPr>
        <w:tc>
          <w:tcPr>
            <w:tcW w:w="221" w:type="pct"/>
          </w:tcPr>
          <w:p w:rsidR="007F6B1C" w:rsidRPr="005128C9" w:rsidRDefault="007F6B1C" w:rsidP="006A32E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128C9">
              <w:lastRenderedPageBreak/>
              <w:t>3.</w:t>
            </w:r>
          </w:p>
        </w:tc>
        <w:tc>
          <w:tcPr>
            <w:tcW w:w="1123" w:type="pct"/>
          </w:tcPr>
          <w:p w:rsidR="007F6B1C" w:rsidRPr="005128C9" w:rsidRDefault="007F6B1C" w:rsidP="006A32EF">
            <w:pPr>
              <w:pStyle w:val="naiskr"/>
              <w:spacing w:before="0" w:beforeAutospacing="0" w:after="0" w:afterAutospacing="0"/>
              <w:ind w:left="57" w:right="57"/>
            </w:pPr>
            <w:r w:rsidRPr="005128C9">
              <w:t>Projekta izstrādē iesaistītās institūcijas</w:t>
            </w:r>
          </w:p>
        </w:tc>
        <w:tc>
          <w:tcPr>
            <w:tcW w:w="3656" w:type="pct"/>
          </w:tcPr>
          <w:p w:rsidR="007F6B1C" w:rsidRPr="005128C9" w:rsidRDefault="00687885" w:rsidP="00AE571C">
            <w:pPr>
              <w:pStyle w:val="naiskr"/>
              <w:spacing w:before="0" w:beforeAutospacing="0" w:after="0" w:afterAutospacing="0"/>
              <w:ind w:left="57" w:right="57" w:firstLine="449"/>
              <w:jc w:val="both"/>
              <w:rPr>
                <w:b/>
              </w:rPr>
            </w:pPr>
            <w:r>
              <w:t>Iekšlietu ministrija</w:t>
            </w:r>
            <w:r w:rsidR="00A85F0F">
              <w:t>.</w:t>
            </w:r>
          </w:p>
        </w:tc>
      </w:tr>
      <w:tr w:rsidR="007F6B1C" w:rsidRPr="005128C9" w:rsidTr="00A85F0F">
        <w:tc>
          <w:tcPr>
            <w:tcW w:w="221" w:type="pct"/>
          </w:tcPr>
          <w:p w:rsidR="007F6B1C" w:rsidRPr="005128C9" w:rsidRDefault="007F6B1C" w:rsidP="006A32EF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128C9">
              <w:t>4.</w:t>
            </w:r>
          </w:p>
        </w:tc>
        <w:tc>
          <w:tcPr>
            <w:tcW w:w="1123" w:type="pct"/>
          </w:tcPr>
          <w:p w:rsidR="007F6B1C" w:rsidRPr="005128C9" w:rsidRDefault="007F6B1C" w:rsidP="006A32EF">
            <w:pPr>
              <w:pStyle w:val="naiskr"/>
              <w:spacing w:before="0" w:beforeAutospacing="0" w:after="0" w:afterAutospacing="0"/>
              <w:ind w:left="57" w:right="57"/>
            </w:pPr>
            <w:r w:rsidRPr="005128C9">
              <w:t>Cita informācija</w:t>
            </w:r>
          </w:p>
        </w:tc>
        <w:tc>
          <w:tcPr>
            <w:tcW w:w="3656" w:type="pct"/>
          </w:tcPr>
          <w:p w:rsidR="007F6B1C" w:rsidRPr="005128C9" w:rsidRDefault="00687885" w:rsidP="006A32EF">
            <w:pPr>
              <w:pStyle w:val="naiskr"/>
              <w:spacing w:before="0" w:beforeAutospacing="0" w:after="0" w:afterAutospacing="0"/>
              <w:ind w:left="57" w:right="57"/>
            </w:pPr>
            <w:r>
              <w:t>Nav.</w:t>
            </w:r>
          </w:p>
        </w:tc>
      </w:tr>
    </w:tbl>
    <w:p w:rsidR="007F6B1C" w:rsidRPr="005128C9" w:rsidRDefault="004A544B" w:rsidP="004A544B">
      <w:pPr>
        <w:tabs>
          <w:tab w:val="left" w:pos="9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6B1C" w:rsidRPr="005128C9" w:rsidRDefault="007F6B1C" w:rsidP="007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05"/>
        <w:gridCol w:w="1671"/>
        <w:gridCol w:w="1492"/>
        <w:gridCol w:w="1587"/>
        <w:gridCol w:w="1587"/>
      </w:tblGrid>
      <w:tr w:rsidR="007F6B1C" w:rsidRPr="005128C9" w:rsidTr="00A75633">
        <w:trPr>
          <w:trHeight w:val="361"/>
          <w:jc w:val="center"/>
        </w:trPr>
        <w:tc>
          <w:tcPr>
            <w:tcW w:w="9403" w:type="dxa"/>
            <w:gridSpan w:val="6"/>
            <w:vAlign w:val="center"/>
          </w:tcPr>
          <w:p w:rsidR="007F6B1C" w:rsidRPr="005128C9" w:rsidRDefault="007F6B1C" w:rsidP="006A32EF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128C9">
              <w:br w:type="page"/>
            </w:r>
            <w:r w:rsidRPr="005128C9">
              <w:rPr>
                <w:b/>
              </w:rPr>
              <w:t>III. Tiesību akta projekta ietekme uz valsts budžetu un pašvaldību budžetiem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  <w:vMerge w:val="restart"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5128C9">
              <w:rPr>
                <w:b/>
              </w:rPr>
              <w:t>Rādītāji</w:t>
            </w:r>
          </w:p>
        </w:tc>
        <w:tc>
          <w:tcPr>
            <w:tcW w:w="2690" w:type="dxa"/>
            <w:gridSpan w:val="2"/>
            <w:vMerge w:val="restart"/>
            <w:vAlign w:val="center"/>
          </w:tcPr>
          <w:p w:rsidR="007F6B1C" w:rsidRPr="005128C9" w:rsidRDefault="00A85F0F" w:rsidP="006A32EF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596" w:type="dxa"/>
            <w:gridSpan w:val="3"/>
            <w:vAlign w:val="center"/>
          </w:tcPr>
          <w:p w:rsidR="007F6B1C" w:rsidRPr="005128C9" w:rsidRDefault="00E7737A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Turpmākie trīs gadi (</w:t>
            </w:r>
            <w:proofErr w:type="spellStart"/>
            <w:r w:rsidRPr="00E7737A">
              <w:rPr>
                <w:i/>
              </w:rPr>
              <w:t>euro</w:t>
            </w:r>
            <w:proofErr w:type="spellEnd"/>
            <w:r w:rsidR="007F6B1C" w:rsidRPr="005128C9">
              <w:t>)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  <w:vMerge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:rsidR="007F6B1C" w:rsidRPr="005128C9" w:rsidRDefault="00A85F0F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223" w:type="dxa"/>
            <w:vAlign w:val="center"/>
          </w:tcPr>
          <w:p w:rsidR="007F6B1C" w:rsidRPr="005128C9" w:rsidRDefault="00A85F0F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23" w:type="dxa"/>
            <w:vAlign w:val="center"/>
          </w:tcPr>
          <w:p w:rsidR="007F6B1C" w:rsidRPr="005128C9" w:rsidRDefault="00A85F0F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2019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  <w:vMerge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64" w:type="dxa"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128C9">
              <w:t>saskaņā ar valsts budžetu kārtējam gadam</w:t>
            </w:r>
          </w:p>
        </w:tc>
        <w:tc>
          <w:tcPr>
            <w:tcW w:w="1426" w:type="dxa"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128C9">
              <w:t>izmaiņas kārtējā gadā, salīdzinot ar budžetu kārtējam gadam</w:t>
            </w:r>
          </w:p>
        </w:tc>
        <w:tc>
          <w:tcPr>
            <w:tcW w:w="1150" w:type="dxa"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128C9">
              <w:t>izm</w:t>
            </w:r>
            <w:r w:rsidR="001204D1">
              <w:t>a</w:t>
            </w:r>
            <w:r w:rsidR="00C17F99">
              <w:t>iņas, salīdzinot ar kārtējo 2016</w:t>
            </w:r>
            <w:r w:rsidR="001204D1">
              <w:t>.</w:t>
            </w:r>
            <w:r w:rsidRPr="005128C9">
              <w:t xml:space="preserve"> gadu</w:t>
            </w:r>
          </w:p>
        </w:tc>
        <w:tc>
          <w:tcPr>
            <w:tcW w:w="1223" w:type="dxa"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128C9">
              <w:t>izma</w:t>
            </w:r>
            <w:r w:rsidR="00C17F99">
              <w:t xml:space="preserve">iņas, salīdzinot ar kārtējo </w:t>
            </w:r>
            <w:proofErr w:type="gramStart"/>
            <w:r w:rsidR="00C17F99">
              <w:t>2016</w:t>
            </w:r>
            <w:r w:rsidR="001204D1">
              <w:t>.</w:t>
            </w:r>
            <w:r w:rsidRPr="005128C9">
              <w:t>gadu</w:t>
            </w:r>
            <w:proofErr w:type="gramEnd"/>
          </w:p>
        </w:tc>
        <w:tc>
          <w:tcPr>
            <w:tcW w:w="1223" w:type="dxa"/>
            <w:vAlign w:val="center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128C9">
              <w:t>izmaiņas,</w:t>
            </w:r>
            <w:r w:rsidR="00C17F99">
              <w:t xml:space="preserve"> salīdzinot ar kārtējo </w:t>
            </w:r>
            <w:proofErr w:type="gramStart"/>
            <w:r w:rsidR="00C17F99">
              <w:t>2016</w:t>
            </w:r>
            <w:r w:rsidR="001204D1">
              <w:t>.</w:t>
            </w:r>
            <w:r w:rsidRPr="005128C9">
              <w:t>gadu</w:t>
            </w:r>
            <w:proofErr w:type="gramEnd"/>
          </w:p>
        </w:tc>
      </w:tr>
      <w:tr w:rsidR="007F6B1C" w:rsidRPr="005128C9" w:rsidTr="00A75633">
        <w:trPr>
          <w:jc w:val="center"/>
        </w:trPr>
        <w:tc>
          <w:tcPr>
            <w:tcW w:w="3117" w:type="dxa"/>
            <w:vAlign w:val="center"/>
          </w:tcPr>
          <w:p w:rsidR="007F6B1C" w:rsidRPr="001204D1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204D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64" w:type="dxa"/>
            <w:vAlign w:val="center"/>
          </w:tcPr>
          <w:p w:rsidR="007F6B1C" w:rsidRPr="001204D1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204D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:rsidR="007F6B1C" w:rsidRPr="001204D1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204D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vAlign w:val="center"/>
          </w:tcPr>
          <w:p w:rsidR="007F6B1C" w:rsidRPr="001204D1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204D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3" w:type="dxa"/>
            <w:vAlign w:val="center"/>
          </w:tcPr>
          <w:p w:rsidR="007F6B1C" w:rsidRPr="001204D1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204D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3" w:type="dxa"/>
            <w:vAlign w:val="center"/>
          </w:tcPr>
          <w:p w:rsidR="007F6B1C" w:rsidRPr="001204D1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1204D1">
              <w:rPr>
                <w:bCs/>
                <w:sz w:val="18"/>
                <w:szCs w:val="18"/>
              </w:rPr>
              <w:t>6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5128C9">
              <w:t>1. Budžeta ieņēmumi:</w:t>
            </w:r>
          </w:p>
        </w:tc>
        <w:tc>
          <w:tcPr>
            <w:tcW w:w="1264" w:type="dxa"/>
          </w:tcPr>
          <w:p w:rsidR="007F6B1C" w:rsidRPr="00C17F99" w:rsidRDefault="00C17F99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3 195 598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C17F99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1 600 951</w:t>
            </w:r>
          </w:p>
        </w:tc>
        <w:tc>
          <w:tcPr>
            <w:tcW w:w="1223" w:type="dxa"/>
          </w:tcPr>
          <w:p w:rsidR="007F6B1C" w:rsidRPr="00C17F99" w:rsidRDefault="00C17F99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3 206 642</w:t>
            </w:r>
          </w:p>
        </w:tc>
        <w:tc>
          <w:tcPr>
            <w:tcW w:w="1223" w:type="dxa"/>
          </w:tcPr>
          <w:p w:rsidR="007F6B1C" w:rsidRPr="00C17F99" w:rsidRDefault="00C17F99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3 602 652</w:t>
            </w:r>
          </w:p>
        </w:tc>
      </w:tr>
      <w:tr w:rsidR="00C17F99" w:rsidRPr="005128C9" w:rsidTr="00A75633">
        <w:trPr>
          <w:jc w:val="center"/>
        </w:trPr>
        <w:tc>
          <w:tcPr>
            <w:tcW w:w="3117" w:type="dxa"/>
          </w:tcPr>
          <w:p w:rsidR="00C17F99" w:rsidRPr="005128C9" w:rsidRDefault="00C17F99" w:rsidP="00C17F99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5128C9">
              <w:t>1.1. valsts pamatbudžets, tai skaitā ieņēmumi no maksas pakalpojumiem un citi pašu ieņēmumi</w:t>
            </w:r>
          </w:p>
        </w:tc>
        <w:tc>
          <w:tcPr>
            <w:tcW w:w="1264" w:type="dxa"/>
          </w:tcPr>
          <w:p w:rsidR="00C17F99" w:rsidRPr="00C17F99" w:rsidRDefault="00C17F99" w:rsidP="00C17F99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3 195 598</w:t>
            </w:r>
          </w:p>
        </w:tc>
        <w:tc>
          <w:tcPr>
            <w:tcW w:w="1426" w:type="dxa"/>
          </w:tcPr>
          <w:p w:rsidR="00C17F99" w:rsidRPr="00C17F99" w:rsidRDefault="00C17F99" w:rsidP="00C17F99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C17F99" w:rsidRPr="00C17F99" w:rsidRDefault="00C17F99" w:rsidP="00C17F99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1 600 951</w:t>
            </w:r>
          </w:p>
        </w:tc>
        <w:tc>
          <w:tcPr>
            <w:tcW w:w="1223" w:type="dxa"/>
          </w:tcPr>
          <w:p w:rsidR="00C17F99" w:rsidRPr="00C17F99" w:rsidRDefault="00C17F99" w:rsidP="00C17F99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3 206 642</w:t>
            </w:r>
          </w:p>
        </w:tc>
        <w:tc>
          <w:tcPr>
            <w:tcW w:w="1223" w:type="dxa"/>
          </w:tcPr>
          <w:p w:rsidR="00C17F99" w:rsidRPr="00C17F99" w:rsidRDefault="00C17F99" w:rsidP="00C17F99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3 602 652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5128C9">
              <w:t>1.2. valsts speciālais budžets</w:t>
            </w:r>
          </w:p>
        </w:tc>
        <w:tc>
          <w:tcPr>
            <w:tcW w:w="1264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5128C9">
              <w:t>1.3. pašvaldību budžets</w:t>
            </w:r>
          </w:p>
        </w:tc>
        <w:tc>
          <w:tcPr>
            <w:tcW w:w="1264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64" w:type="dxa"/>
          </w:tcPr>
          <w:p w:rsidR="007F6B1C" w:rsidRPr="00C17F99" w:rsidRDefault="00C17F99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1 393 452</w:t>
            </w:r>
          </w:p>
        </w:tc>
        <w:tc>
          <w:tcPr>
            <w:tcW w:w="1426" w:type="dxa"/>
          </w:tcPr>
          <w:p w:rsidR="007F6B1C" w:rsidRPr="00C17F99" w:rsidRDefault="000E3988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-103 609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108 505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108 505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264" w:type="dxa"/>
          </w:tcPr>
          <w:p w:rsidR="007F6B1C" w:rsidRPr="00C17F99" w:rsidRDefault="00C17F99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1 393 452</w:t>
            </w:r>
          </w:p>
        </w:tc>
        <w:tc>
          <w:tcPr>
            <w:tcW w:w="1426" w:type="dxa"/>
          </w:tcPr>
          <w:p w:rsidR="007F6B1C" w:rsidRPr="00C17F99" w:rsidRDefault="000E3988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-103 609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108 505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108 505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264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1264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0E3988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1 704 560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3 098 137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3 494 147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264" w:type="dxa"/>
            <w:shd w:val="clear" w:color="auto" w:fill="auto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0E3988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1 704 560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3 098 137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3 494 147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264" w:type="dxa"/>
            <w:shd w:val="clear" w:color="auto" w:fill="auto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1264" w:type="dxa"/>
            <w:shd w:val="clear" w:color="auto" w:fill="auto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A75633" w:rsidRPr="005128C9" w:rsidTr="00A75633">
        <w:trPr>
          <w:jc w:val="center"/>
        </w:trPr>
        <w:tc>
          <w:tcPr>
            <w:tcW w:w="3117" w:type="dxa"/>
            <w:vMerge w:val="restart"/>
          </w:tcPr>
          <w:p w:rsidR="00A75633" w:rsidRPr="005128C9" w:rsidRDefault="00A75633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 xml:space="preserve">4. Finanšu līdzekļi papildu izdevumu finansēšanai (kompensējošu izdevumu </w:t>
            </w:r>
            <w:r w:rsidRPr="0051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samazinājumu norāda ar "+" zīmi)</w:t>
            </w:r>
          </w:p>
        </w:tc>
        <w:tc>
          <w:tcPr>
            <w:tcW w:w="1264" w:type="dxa"/>
            <w:vMerge w:val="restart"/>
          </w:tcPr>
          <w:p w:rsidR="00A75633" w:rsidRPr="00C17F99" w:rsidRDefault="00A75633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1426" w:type="dxa"/>
            <w:vMerge w:val="restart"/>
            <w:vAlign w:val="center"/>
          </w:tcPr>
          <w:p w:rsidR="00A75633" w:rsidRPr="00C17F99" w:rsidRDefault="000E3988" w:rsidP="00A75633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A75633" w:rsidRPr="005128C9" w:rsidTr="00A75633">
        <w:trPr>
          <w:jc w:val="center"/>
        </w:trPr>
        <w:tc>
          <w:tcPr>
            <w:tcW w:w="3117" w:type="dxa"/>
            <w:vMerge/>
          </w:tcPr>
          <w:p w:rsidR="00A75633" w:rsidRPr="005128C9" w:rsidRDefault="00A75633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75633" w:rsidRPr="00C17F99" w:rsidRDefault="00A75633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A75633" w:rsidRPr="005128C9" w:rsidTr="00A75633">
        <w:trPr>
          <w:jc w:val="center"/>
        </w:trPr>
        <w:tc>
          <w:tcPr>
            <w:tcW w:w="3117" w:type="dxa"/>
            <w:vMerge/>
          </w:tcPr>
          <w:p w:rsidR="00A75633" w:rsidRPr="005128C9" w:rsidRDefault="00A75633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75633" w:rsidRPr="00C17F99" w:rsidRDefault="00A75633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A75633" w:rsidRPr="00C17F99" w:rsidRDefault="00A75633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264" w:type="dxa"/>
            <w:vMerge w:val="restart"/>
          </w:tcPr>
          <w:p w:rsidR="007F6B1C" w:rsidRPr="00C17F9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X</w:t>
            </w: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1 704 560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3 098 137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3 494 147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264" w:type="dxa"/>
            <w:vMerge/>
            <w:vAlign w:val="center"/>
          </w:tcPr>
          <w:p w:rsidR="007F6B1C" w:rsidRPr="00C17F9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1 704 560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3 098 137</w:t>
            </w:r>
          </w:p>
        </w:tc>
        <w:tc>
          <w:tcPr>
            <w:tcW w:w="1223" w:type="dxa"/>
          </w:tcPr>
          <w:p w:rsidR="007F6B1C" w:rsidRPr="00C17F99" w:rsidRDefault="0076151F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3 494 147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264" w:type="dxa"/>
            <w:vMerge/>
            <w:vAlign w:val="center"/>
          </w:tcPr>
          <w:p w:rsidR="007F6B1C" w:rsidRPr="00C17F9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1264" w:type="dxa"/>
            <w:vMerge/>
            <w:vAlign w:val="center"/>
          </w:tcPr>
          <w:p w:rsidR="007F6B1C" w:rsidRPr="00C17F99" w:rsidRDefault="007F6B1C" w:rsidP="006A32EF">
            <w:pPr>
              <w:pStyle w:val="nais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6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</w:tcPr>
          <w:p w:rsidR="007F6B1C" w:rsidRPr="00C17F99" w:rsidRDefault="00E7737A" w:rsidP="00E7737A">
            <w:pPr>
              <w:pStyle w:val="nais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7F99">
              <w:rPr>
                <w:sz w:val="22"/>
                <w:szCs w:val="22"/>
              </w:rPr>
              <w:t>0</w:t>
            </w: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</w:t>
            </w:r>
            <w:r w:rsidRPr="005128C9">
              <w:rPr>
                <w:rFonts w:ascii="Times New Roman" w:hAnsi="Times New Roman" w:cs="Times New Roman"/>
                <w:sz w:val="24"/>
                <w:szCs w:val="24"/>
              </w:rPr>
              <w:softHyphen/>
              <w:t>ciešams, detalizētu ieņēmumu un izdevumu aprēķinu var pie</w:t>
            </w:r>
            <w:r w:rsidRPr="005128C9">
              <w:rPr>
                <w:rFonts w:ascii="Times New Roman" w:hAnsi="Times New Roman" w:cs="Times New Roman"/>
                <w:sz w:val="24"/>
                <w:szCs w:val="24"/>
              </w:rPr>
              <w:softHyphen/>
              <w:t>vienot anotācijas pielikumā):</w:t>
            </w:r>
          </w:p>
        </w:tc>
        <w:tc>
          <w:tcPr>
            <w:tcW w:w="6286" w:type="dxa"/>
            <w:gridSpan w:val="5"/>
            <w:vMerge w:val="restart"/>
            <w:vAlign w:val="center"/>
          </w:tcPr>
          <w:p w:rsidR="003B0EF5" w:rsidRDefault="0027754D" w:rsidP="003B0EF5">
            <w:pPr>
              <w:pStyle w:val="naisf"/>
              <w:spacing w:before="0" w:after="0"/>
            </w:pPr>
            <w:r>
              <w:t>Kopsavilkums</w:t>
            </w:r>
            <w:r w:rsidR="009C5C80">
              <w:t xml:space="preserve"> (d</w:t>
            </w:r>
            <w:r w:rsidR="009C5C80" w:rsidRPr="00DB4FDC">
              <w:t xml:space="preserve">etalizēti aprēķini iekļauti </w:t>
            </w:r>
            <w:r w:rsidR="009C5C80">
              <w:t>konceptuālajā ziņojumā).</w:t>
            </w:r>
          </w:p>
          <w:tbl>
            <w:tblPr>
              <w:tblW w:w="7616" w:type="dxa"/>
              <w:tblLook w:val="04A0" w:firstRow="1" w:lastRow="0" w:firstColumn="1" w:lastColumn="0" w:noHBand="0" w:noVBand="1"/>
            </w:tblPr>
            <w:tblGrid>
              <w:gridCol w:w="1300"/>
              <w:gridCol w:w="420"/>
              <w:gridCol w:w="760"/>
              <w:gridCol w:w="796"/>
              <w:gridCol w:w="720"/>
              <w:gridCol w:w="760"/>
              <w:gridCol w:w="700"/>
              <w:gridCol w:w="700"/>
              <w:gridCol w:w="720"/>
              <w:gridCol w:w="740"/>
            </w:tblGrid>
            <w:tr w:rsidR="00C600D1" w:rsidRPr="00C600D1" w:rsidTr="00C600D1">
              <w:trPr>
                <w:trHeight w:val="300"/>
              </w:trPr>
              <w:tc>
                <w:tcPr>
                  <w:tcW w:w="1720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 xml:space="preserve">Rādītāji </w:t>
                  </w:r>
                </w:p>
              </w:tc>
              <w:tc>
                <w:tcPr>
                  <w:tcW w:w="76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2016.g.</w:t>
                  </w:r>
                  <w:proofErr w:type="gramEnd"/>
                </w:p>
              </w:tc>
              <w:tc>
                <w:tcPr>
                  <w:tcW w:w="79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2017.g.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2018.g.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2019.g.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2020.g.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2021.g.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2022.g.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2023.g.</w:t>
                  </w:r>
                  <w:proofErr w:type="gramEnd"/>
                </w:p>
              </w:tc>
            </w:tr>
            <w:tr w:rsidR="00C600D1" w:rsidRPr="00C600D1" w:rsidTr="00C600D1">
              <w:trPr>
                <w:trHeight w:val="375"/>
              </w:trPr>
              <w:tc>
                <w:tcPr>
                  <w:tcW w:w="7616" w:type="dxa"/>
                  <w:gridSpan w:val="10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Ieņēmumi no naudas sodiem, ko uzliek Valsts policija par pārkāpumiem ceļu satiksmē, kas fiksēti ar CSDD piederošajiem tehniskajiem līdzekļiem</w:t>
                  </w:r>
                </w:p>
              </w:tc>
            </w:tr>
            <w:tr w:rsidR="00C600D1" w:rsidRPr="00C600D1" w:rsidTr="00C600D1">
              <w:trPr>
                <w:trHeight w:val="555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 xml:space="preserve">Saskaņā ar MK 29.07.2014.rīk.Nr.382 </w:t>
                  </w: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br/>
                    <w:t>(40 fotoradari)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1.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3 195 598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4 288 680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4 548 600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4 808 520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3 563 936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1 079 470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</w:tr>
            <w:tr w:rsidR="00C600D1" w:rsidRPr="00C600D1" w:rsidTr="00C600D1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Precizētie ieņēmumi (60 fotoradari)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4 796 549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6 402 240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6 798 250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5 683 422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4 642 128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1 990 161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265 734</w:t>
                  </w:r>
                </w:p>
              </w:tc>
            </w:tr>
            <w:tr w:rsidR="00C600D1" w:rsidRPr="00C600D1" w:rsidTr="00C600D1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 xml:space="preserve">Precizētie ieņēmumi salīdzinot ar </w:t>
                  </w: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2016.gadu</w:t>
                  </w:r>
                  <w:proofErr w:type="gramEnd"/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(2.rinda - 3 195 598)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1 600 951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3 206 642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3 602 652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2 487 824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1 446 530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-1 205 437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-2 929 864</w:t>
                  </w:r>
                </w:p>
              </w:tc>
            </w:tr>
            <w:tr w:rsidR="00C600D1" w:rsidRPr="00C600D1" w:rsidTr="00C600D1">
              <w:trPr>
                <w:trHeight w:val="390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Papildu ieņēmumi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3.</w:t>
                  </w: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br/>
                    <w:t xml:space="preserve"> (2.-1.)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507 869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1 853 640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1 989 730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2 119 486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3 562 658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1 990 161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2CC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265 734</w:t>
                  </w:r>
                </w:p>
              </w:tc>
            </w:tr>
            <w:tr w:rsidR="00C600D1" w:rsidRPr="00C600D1" w:rsidTr="00C600D1">
              <w:trPr>
                <w:trHeight w:val="420"/>
              </w:trPr>
              <w:tc>
                <w:tcPr>
                  <w:tcW w:w="7616" w:type="dxa"/>
                  <w:gridSpan w:val="10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Izdevumi</w:t>
                  </w: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 xml:space="preserve">  </w:t>
                  </w:r>
                  <w:proofErr w:type="gramEnd"/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(06.01.00. "Valsts policija" un 02.03.00 "Vienotās sakaru un informācijas sistēmas uzturēšana un vadība")</w:t>
                  </w:r>
                </w:p>
              </w:tc>
            </w:tr>
            <w:tr w:rsidR="00C600D1" w:rsidRPr="00C600D1" w:rsidTr="00C600D1">
              <w:trPr>
                <w:trHeight w:val="555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 xml:space="preserve">Saskaņā ar MK 29.07.2014.rīk.Nr.382 </w:t>
                  </w: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br/>
                    <w:t>(40 fotoradari)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4.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1 393 452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1 634 579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1 599 067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1 599 067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1 228 068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574 516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</w:tr>
            <w:tr w:rsidR="00C600D1" w:rsidRPr="00C600D1" w:rsidTr="00C600D1">
              <w:trPr>
                <w:trHeight w:val="315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Precizētie izdevumi (60 fotoradari)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5.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1 289 843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1 501 957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1 501 957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1 313 519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1 086 302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540 313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</w:tr>
            <w:tr w:rsidR="00C600D1" w:rsidRPr="00C600D1" w:rsidTr="00C600D1">
              <w:trPr>
                <w:trHeight w:val="315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 xml:space="preserve">Precizētie izdevumi salīdzinot ar </w:t>
                  </w: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2016.gadu</w:t>
                  </w:r>
                  <w:proofErr w:type="gramEnd"/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lv-LV"/>
                    </w:rPr>
                    <w:t>(5.rinda - 1 393 452)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-103 609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108 505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108 505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-79 933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-307 150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-853 139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lv-LV"/>
                    </w:rPr>
                    <w:t>-1 393 452</w:t>
                  </w:r>
                </w:p>
              </w:tc>
            </w:tr>
            <w:tr w:rsidR="00C600D1" w:rsidRPr="00C600D1" w:rsidTr="00C600D1">
              <w:trPr>
                <w:trHeight w:val="390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Papildu izdevumi (+) vai izdevumu samazinājums (-)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 xml:space="preserve">6. </w:t>
                  </w: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br/>
                    <w:t>(5.-4.)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-344 736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-97 110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-97 110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85 451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511 786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540 313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E2EFDA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0</w:t>
                  </w:r>
                </w:p>
              </w:tc>
            </w:tr>
            <w:tr w:rsidR="00C600D1" w:rsidRPr="00C600D1" w:rsidTr="00C600D1">
              <w:trPr>
                <w:trHeight w:val="375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Bilance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7.</w:t>
                  </w: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br/>
                    <w:t xml:space="preserve"> (3.-6.)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852 605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1 950 750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2 086 840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2 034 035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3 050 872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1 449 848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265 734</w:t>
                  </w:r>
                </w:p>
              </w:tc>
            </w:tr>
            <w:tr w:rsidR="00C600D1" w:rsidRPr="00C600D1" w:rsidTr="00C600D1">
              <w:trPr>
                <w:trHeight w:val="570"/>
              </w:trPr>
              <w:tc>
                <w:tcPr>
                  <w:tcW w:w="130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Tīrā bilance (precizētie ieņēmumi - precizētie</w:t>
                  </w:r>
                  <w:proofErr w:type="gramStart"/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 xml:space="preserve">  </w:t>
                  </w:r>
                  <w:proofErr w:type="gramEnd"/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izdevumi)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 xml:space="preserve">8. </w:t>
                  </w: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br/>
                    <w:t>(2.-5.)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3 506 706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4 900 283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5 296 293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4 369 903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3 555 826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1 449 848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9D9D9"/>
                  <w:noWrap/>
                  <w:vAlign w:val="center"/>
                  <w:hideMark/>
                </w:tcPr>
                <w:p w:rsidR="00C600D1" w:rsidRPr="00C600D1" w:rsidRDefault="00C600D1" w:rsidP="00C60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</w:pPr>
                  <w:r w:rsidRPr="00C60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lv-LV"/>
                    </w:rPr>
                    <w:t>265 734</w:t>
                  </w:r>
                </w:p>
              </w:tc>
            </w:tr>
          </w:tbl>
          <w:p w:rsidR="00C600D1" w:rsidRDefault="00C600D1" w:rsidP="003B0EF5">
            <w:pPr>
              <w:pStyle w:val="naisf"/>
              <w:spacing w:before="0" w:beforeAutospacing="0" w:after="0" w:afterAutospacing="0"/>
            </w:pPr>
          </w:p>
          <w:p w:rsidR="00296B15" w:rsidRPr="000E3988" w:rsidRDefault="00296B15" w:rsidP="006A32EF">
            <w:pPr>
              <w:pStyle w:val="naisf"/>
              <w:spacing w:before="0" w:beforeAutospacing="0" w:after="0" w:afterAutospacing="0"/>
            </w:pP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286" w:type="dxa"/>
            <w:gridSpan w:val="5"/>
            <w:vMerge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7F6B1C" w:rsidRPr="005128C9" w:rsidTr="00A75633">
        <w:trPr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286" w:type="dxa"/>
            <w:gridSpan w:val="5"/>
            <w:vMerge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7F6B1C" w:rsidRPr="005128C9" w:rsidTr="00A75633">
        <w:trPr>
          <w:trHeight w:val="556"/>
          <w:jc w:val="center"/>
        </w:trPr>
        <w:tc>
          <w:tcPr>
            <w:tcW w:w="3117" w:type="dxa"/>
          </w:tcPr>
          <w:p w:rsidR="007F6B1C" w:rsidRPr="005128C9" w:rsidRDefault="007F6B1C" w:rsidP="006A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9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286" w:type="dxa"/>
            <w:gridSpan w:val="5"/>
          </w:tcPr>
          <w:p w:rsidR="007F6B1C" w:rsidRPr="00D74204" w:rsidRDefault="00FE4C22" w:rsidP="004119E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74204">
              <w:rPr>
                <w:rFonts w:ascii="Times New Roman" w:hAnsi="Times New Roman"/>
                <w:sz w:val="24"/>
                <w:szCs w:val="24"/>
                <w:lang w:val="lv-LV"/>
              </w:rPr>
              <w:t>Anotācijas pielikumā iekļauti šādi aprēķini:</w:t>
            </w:r>
          </w:p>
          <w:p w:rsidR="00783623" w:rsidRPr="00D74204" w:rsidRDefault="00D74204" w:rsidP="007B0075">
            <w:pPr>
              <w:pStyle w:val="tv213"/>
              <w:numPr>
                <w:ilvl w:val="0"/>
                <w:numId w:val="13"/>
              </w:numPr>
              <w:spacing w:before="0" w:beforeAutospacing="0" w:after="0" w:afterAutospacing="0"/>
              <w:ind w:left="0" w:firstLine="305"/>
              <w:jc w:val="both"/>
            </w:pPr>
            <w:r>
              <w:t>c</w:t>
            </w:r>
            <w:r w:rsidR="00783623" w:rsidRPr="00D74204">
              <w:t xml:space="preserve">eļu satiksmes pārkāpumu fiksēšanas tehniska līdzekļa (fotoradara), kurš iegādāts </w:t>
            </w:r>
            <w:proofErr w:type="gramStart"/>
            <w:r w:rsidR="00783623" w:rsidRPr="00D74204">
              <w:t>2015.gadā</w:t>
            </w:r>
            <w:proofErr w:type="gramEnd"/>
            <w:r w:rsidR="00783623" w:rsidRPr="00D74204">
              <w:t>, vienas fotoradara darbības dienas izmaksu aprēķins</w:t>
            </w:r>
            <w:r>
              <w:t xml:space="preserve"> (1.tabula);</w:t>
            </w:r>
          </w:p>
          <w:p w:rsidR="00783623" w:rsidRPr="00D74204" w:rsidRDefault="00D74204" w:rsidP="007B0075">
            <w:pPr>
              <w:pStyle w:val="tv213"/>
              <w:numPr>
                <w:ilvl w:val="0"/>
                <w:numId w:val="13"/>
              </w:numPr>
              <w:spacing w:before="0" w:beforeAutospacing="0" w:after="0" w:afterAutospacing="0"/>
              <w:ind w:left="0" w:firstLine="305"/>
              <w:jc w:val="both"/>
            </w:pPr>
            <w:r>
              <w:t>c</w:t>
            </w:r>
            <w:r w:rsidR="00783623" w:rsidRPr="00D74204">
              <w:t xml:space="preserve">eļu satiksmes pārkāpumu fiksēšanas tehniskā līdzekļa (fotoradara), kurš iegādāts pēc </w:t>
            </w:r>
            <w:proofErr w:type="gramStart"/>
            <w:r w:rsidR="00783623" w:rsidRPr="00D74204">
              <w:t>2015.gada</w:t>
            </w:r>
            <w:proofErr w:type="gramEnd"/>
            <w:r w:rsidR="00783623" w:rsidRPr="00D74204">
              <w:t>, vienas fotoradara darbības dienas izmaksu aprēķins</w:t>
            </w:r>
            <w:r>
              <w:t xml:space="preserve"> (2.tabula);</w:t>
            </w:r>
          </w:p>
          <w:p w:rsidR="00FE4C22" w:rsidRPr="003E04C7" w:rsidRDefault="009E660A" w:rsidP="002B6B78">
            <w:pPr>
              <w:pStyle w:val="tv213"/>
              <w:spacing w:before="0" w:beforeAutospacing="0" w:after="0" w:afterAutospacing="0"/>
              <w:jc w:val="both"/>
            </w:pPr>
            <w:r>
              <w:t>I</w:t>
            </w:r>
            <w:r w:rsidR="00D74204" w:rsidRPr="00D74204">
              <w:t>nformācijas, kas saņemta no ceļu satiksmes pārkāpumu fiksēšanas tehniskā līdzekļa (fotoradara</w:t>
            </w:r>
            <w:r>
              <w:t xml:space="preserve">), apstrādes transportlīdzekļu </w:t>
            </w:r>
            <w:r w:rsidR="00D74204" w:rsidRPr="00D74204">
              <w:t>un to vadītāju valsts reģistrā un viena protokola–lēmuma projekta sagatavošanas un nosūtīšanas Valsts policijai izmaksu aprēķins</w:t>
            </w:r>
            <w:r>
              <w:t xml:space="preserve"> iekļaus Ministru kabineta </w:t>
            </w:r>
            <w:proofErr w:type="gramStart"/>
            <w:r>
              <w:t>2014.gada</w:t>
            </w:r>
            <w:proofErr w:type="gramEnd"/>
            <w:r>
              <w:t xml:space="preserve"> 29.jūlija rīkojuma Nr.382 “Par Iekšlietu ministrijas ilgtermiņa saistībām ceļu satiksmes pārkāpumu fiksēšanas tehnisko līdzekļu (fotoradaru) darbības nodrošināšanai” anotācijas 1.pielikuma 2..-2.a tabulā.</w:t>
            </w:r>
          </w:p>
        </w:tc>
      </w:tr>
    </w:tbl>
    <w:p w:rsidR="007F6B1C" w:rsidRPr="005128C9" w:rsidRDefault="007F6B1C" w:rsidP="007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615"/>
        <w:gridCol w:w="5244"/>
      </w:tblGrid>
      <w:tr w:rsidR="007F6B1C" w:rsidRPr="005128C9" w:rsidTr="00043787">
        <w:trPr>
          <w:trHeight w:val="381"/>
          <w:jc w:val="center"/>
        </w:trPr>
        <w:tc>
          <w:tcPr>
            <w:tcW w:w="9443" w:type="dxa"/>
            <w:gridSpan w:val="3"/>
            <w:vAlign w:val="center"/>
          </w:tcPr>
          <w:p w:rsidR="007F6B1C" w:rsidRPr="005128C9" w:rsidRDefault="007F6B1C" w:rsidP="006A32EF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5128C9">
              <w:rPr>
                <w:b/>
              </w:rPr>
              <w:t>VII. Tiesību akta projekta izpildes nodrošināšana un tās ietekme uz institūcijām</w:t>
            </w:r>
          </w:p>
        </w:tc>
      </w:tr>
      <w:tr w:rsidR="007F6B1C" w:rsidRPr="005128C9" w:rsidTr="00043787">
        <w:trPr>
          <w:trHeight w:val="427"/>
          <w:jc w:val="center"/>
        </w:trPr>
        <w:tc>
          <w:tcPr>
            <w:tcW w:w="584" w:type="dxa"/>
          </w:tcPr>
          <w:p w:rsidR="007F6B1C" w:rsidRPr="005128C9" w:rsidRDefault="007F6B1C" w:rsidP="006A32EF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128C9">
              <w:t>1.</w:t>
            </w:r>
          </w:p>
        </w:tc>
        <w:tc>
          <w:tcPr>
            <w:tcW w:w="3615" w:type="dxa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ind w:left="57" w:right="57"/>
            </w:pPr>
            <w:r w:rsidRPr="005128C9">
              <w:t>Projekta izpildē iesaistītās institūcijas</w:t>
            </w:r>
          </w:p>
        </w:tc>
        <w:tc>
          <w:tcPr>
            <w:tcW w:w="5244" w:type="dxa"/>
          </w:tcPr>
          <w:p w:rsidR="007F6B1C" w:rsidRPr="00793F29" w:rsidRDefault="00F35F3D" w:rsidP="00AE57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policija, </w:t>
            </w:r>
            <w:r w:rsidR="00793F29" w:rsidRPr="00793F29">
              <w:rPr>
                <w:rFonts w:ascii="Times New Roman" w:hAnsi="Times New Roman" w:cs="Times New Roman"/>
                <w:sz w:val="24"/>
                <w:szCs w:val="24"/>
              </w:rPr>
              <w:t>Iekšlietu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inistrijas Informācijas centrs</w:t>
            </w:r>
            <w:r w:rsidR="00AE571C">
              <w:rPr>
                <w:rFonts w:ascii="Times New Roman" w:hAnsi="Times New Roman" w:cs="Times New Roman"/>
                <w:sz w:val="24"/>
                <w:szCs w:val="24"/>
              </w:rPr>
              <w:t>, valsts akciju sabiedrība “Ceļu satiksmes drošības direkcija”.</w:t>
            </w:r>
          </w:p>
        </w:tc>
      </w:tr>
      <w:tr w:rsidR="007F6B1C" w:rsidRPr="005128C9" w:rsidTr="00043787">
        <w:trPr>
          <w:trHeight w:val="463"/>
          <w:jc w:val="center"/>
        </w:trPr>
        <w:tc>
          <w:tcPr>
            <w:tcW w:w="584" w:type="dxa"/>
          </w:tcPr>
          <w:p w:rsidR="007F6B1C" w:rsidRPr="005128C9" w:rsidRDefault="007F6B1C" w:rsidP="006A32EF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128C9">
              <w:t>2.</w:t>
            </w:r>
          </w:p>
        </w:tc>
        <w:tc>
          <w:tcPr>
            <w:tcW w:w="3615" w:type="dxa"/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ind w:left="57" w:right="57"/>
            </w:pPr>
            <w:r w:rsidRPr="005128C9">
              <w:t>Projekta izpildes ietekme uz pār</w:t>
            </w:r>
            <w:r w:rsidRPr="005128C9">
              <w:softHyphen/>
              <w:t>valdes funkcijām un institucionālo struktūru.</w:t>
            </w:r>
          </w:p>
          <w:p w:rsidR="007F6B1C" w:rsidRPr="005128C9" w:rsidRDefault="007F6B1C" w:rsidP="006A32EF">
            <w:pPr>
              <w:pStyle w:val="naisf"/>
              <w:spacing w:before="0" w:beforeAutospacing="0" w:after="0" w:afterAutospacing="0"/>
              <w:ind w:left="57" w:right="57"/>
            </w:pPr>
            <w:r w:rsidRPr="005128C9">
              <w:t>Jaunu institūciju izveide, esošu institūciju likvidācija vai reorga</w:t>
            </w:r>
            <w:r w:rsidRPr="005128C9">
              <w:softHyphen/>
              <w:t>nizācija, to ietekme uz institūcijas cilvēkresursiem.</w:t>
            </w:r>
          </w:p>
        </w:tc>
        <w:tc>
          <w:tcPr>
            <w:tcW w:w="5244" w:type="dxa"/>
          </w:tcPr>
          <w:p w:rsidR="007F6B1C" w:rsidRPr="005128C9" w:rsidRDefault="00793F29" w:rsidP="006A3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F2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F6B1C" w:rsidRPr="005128C9" w:rsidTr="00043787">
        <w:trPr>
          <w:trHeight w:val="4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1C" w:rsidRPr="005128C9" w:rsidRDefault="007F6B1C" w:rsidP="006A32EF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128C9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1C" w:rsidRPr="005128C9" w:rsidRDefault="007F6B1C" w:rsidP="006A32EF">
            <w:pPr>
              <w:pStyle w:val="naisf"/>
              <w:spacing w:before="0" w:beforeAutospacing="0" w:after="0" w:afterAutospacing="0"/>
              <w:ind w:left="57" w:right="57"/>
            </w:pPr>
            <w:r w:rsidRPr="005128C9">
              <w:t>Cita informācija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1C" w:rsidRPr="005128C9" w:rsidRDefault="00793F29" w:rsidP="006A32E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85A6B" w:rsidRDefault="00A85A6B" w:rsidP="005128C9">
      <w:pPr>
        <w:pStyle w:val="naisf"/>
        <w:spacing w:before="0" w:beforeAutospacing="0" w:after="0" w:afterAutospacing="0"/>
      </w:pPr>
    </w:p>
    <w:p w:rsidR="005128C9" w:rsidRPr="005128C9" w:rsidRDefault="00A85F0F" w:rsidP="005128C9">
      <w:pPr>
        <w:pStyle w:val="naisf"/>
        <w:spacing w:before="0" w:beforeAutospacing="0" w:after="0" w:afterAutospacing="0"/>
      </w:pPr>
      <w:r>
        <w:t>Anotācijas II, IV, V un</w:t>
      </w:r>
      <w:r w:rsidR="005128C9" w:rsidRPr="001204D1">
        <w:t xml:space="preserve"> </w:t>
      </w:r>
      <w:r w:rsidR="005128C9" w:rsidRPr="001204D1">
        <w:rPr>
          <w:bCs/>
        </w:rPr>
        <w:t xml:space="preserve">VI </w:t>
      </w:r>
      <w:r w:rsidR="005128C9" w:rsidRPr="001204D1">
        <w:t>sadaļa</w:t>
      </w:r>
      <w:r w:rsidR="005128C9" w:rsidRPr="005128C9">
        <w:t xml:space="preserve"> – projekts šīs jomas neskar.</w:t>
      </w:r>
    </w:p>
    <w:p w:rsidR="005128C9" w:rsidRDefault="005128C9" w:rsidP="005128C9">
      <w:pPr>
        <w:spacing w:after="0" w:line="240" w:lineRule="auto"/>
        <w:ind w:left="283" w:firstLine="437"/>
        <w:rPr>
          <w:rFonts w:ascii="Times New Roman" w:hAnsi="Times New Roman" w:cs="Times New Roman"/>
          <w:sz w:val="28"/>
          <w:szCs w:val="28"/>
        </w:rPr>
      </w:pPr>
    </w:p>
    <w:p w:rsidR="005128C9" w:rsidRDefault="005128C9" w:rsidP="005128C9">
      <w:pPr>
        <w:spacing w:after="0" w:line="240" w:lineRule="auto"/>
        <w:ind w:left="283" w:firstLine="437"/>
        <w:rPr>
          <w:rFonts w:ascii="Times New Roman" w:hAnsi="Times New Roman" w:cs="Times New Roman"/>
          <w:sz w:val="28"/>
          <w:szCs w:val="28"/>
        </w:rPr>
      </w:pPr>
    </w:p>
    <w:p w:rsidR="002B6B78" w:rsidRDefault="002B6B78" w:rsidP="005128C9">
      <w:pPr>
        <w:spacing w:after="0" w:line="240" w:lineRule="auto"/>
        <w:ind w:left="283" w:firstLine="437"/>
        <w:rPr>
          <w:rFonts w:ascii="Times New Roman" w:hAnsi="Times New Roman" w:cs="Times New Roman"/>
          <w:sz w:val="28"/>
          <w:szCs w:val="28"/>
        </w:rPr>
      </w:pPr>
    </w:p>
    <w:p w:rsidR="005128C9" w:rsidRPr="005128C9" w:rsidRDefault="00577B1B" w:rsidP="00BE7D6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 w:rsidR="00BE7D63">
        <w:rPr>
          <w:rFonts w:ascii="Times New Roman" w:hAnsi="Times New Roman" w:cs="Times New Roman"/>
          <w:sz w:val="28"/>
          <w:szCs w:val="28"/>
        </w:rPr>
        <w:t xml:space="preserve">Rihards </w:t>
      </w:r>
      <w:r w:rsidR="005128C9" w:rsidRPr="005128C9">
        <w:rPr>
          <w:rFonts w:ascii="Times New Roman" w:hAnsi="Times New Roman" w:cs="Times New Roman"/>
          <w:sz w:val="28"/>
          <w:szCs w:val="28"/>
        </w:rPr>
        <w:t>Kozlovskis</w:t>
      </w:r>
    </w:p>
    <w:p w:rsidR="009430FC" w:rsidRDefault="009430FC" w:rsidP="0051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C9" w:rsidRPr="005128C9" w:rsidRDefault="005128C9" w:rsidP="0051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C9">
        <w:rPr>
          <w:rFonts w:ascii="Times New Roman" w:hAnsi="Times New Roman" w:cs="Times New Roman"/>
          <w:sz w:val="28"/>
          <w:szCs w:val="28"/>
        </w:rPr>
        <w:tab/>
      </w:r>
      <w:r w:rsidRPr="005128C9">
        <w:rPr>
          <w:rFonts w:ascii="Times New Roman" w:hAnsi="Times New Roman" w:cs="Times New Roman"/>
          <w:sz w:val="28"/>
          <w:szCs w:val="28"/>
        </w:rPr>
        <w:tab/>
      </w:r>
      <w:r w:rsidRPr="005128C9">
        <w:rPr>
          <w:rFonts w:ascii="Times New Roman" w:hAnsi="Times New Roman" w:cs="Times New Roman"/>
          <w:sz w:val="28"/>
          <w:szCs w:val="28"/>
        </w:rPr>
        <w:tab/>
      </w:r>
      <w:r w:rsidRPr="005128C9">
        <w:rPr>
          <w:rFonts w:ascii="Times New Roman" w:hAnsi="Times New Roman" w:cs="Times New Roman"/>
          <w:sz w:val="28"/>
          <w:szCs w:val="28"/>
        </w:rPr>
        <w:tab/>
      </w:r>
      <w:r w:rsidRPr="005128C9">
        <w:rPr>
          <w:rFonts w:ascii="Times New Roman" w:hAnsi="Times New Roman" w:cs="Times New Roman"/>
          <w:sz w:val="28"/>
          <w:szCs w:val="28"/>
        </w:rPr>
        <w:tab/>
      </w:r>
      <w:r w:rsidRPr="005128C9">
        <w:rPr>
          <w:rFonts w:ascii="Times New Roman" w:hAnsi="Times New Roman" w:cs="Times New Roman"/>
          <w:sz w:val="28"/>
          <w:szCs w:val="28"/>
        </w:rPr>
        <w:tab/>
      </w:r>
      <w:r w:rsidRPr="005128C9">
        <w:rPr>
          <w:rFonts w:ascii="Times New Roman" w:hAnsi="Times New Roman" w:cs="Times New Roman"/>
          <w:sz w:val="28"/>
          <w:szCs w:val="28"/>
        </w:rPr>
        <w:tab/>
      </w:r>
    </w:p>
    <w:p w:rsidR="005128C9" w:rsidRPr="005128C9" w:rsidRDefault="005128C9" w:rsidP="00BE7D63">
      <w:pPr>
        <w:pStyle w:val="naisf"/>
        <w:tabs>
          <w:tab w:val="left" w:pos="6096"/>
        </w:tabs>
        <w:spacing w:before="0" w:beforeAutospacing="0" w:after="0" w:afterAutospacing="0"/>
        <w:rPr>
          <w:sz w:val="28"/>
          <w:szCs w:val="28"/>
        </w:rPr>
      </w:pPr>
      <w:r w:rsidRPr="005128C9">
        <w:rPr>
          <w:sz w:val="28"/>
          <w:szCs w:val="28"/>
        </w:rPr>
        <w:t xml:space="preserve">Vīza: valsts sekretāre </w:t>
      </w:r>
      <w:r w:rsidR="00577B1B">
        <w:rPr>
          <w:sz w:val="28"/>
          <w:szCs w:val="28"/>
        </w:rPr>
        <w:tab/>
      </w:r>
      <w:r w:rsidR="00BE7D63">
        <w:rPr>
          <w:sz w:val="28"/>
          <w:szCs w:val="28"/>
        </w:rPr>
        <w:t xml:space="preserve">Ilze </w:t>
      </w:r>
      <w:r w:rsidRPr="005128C9">
        <w:rPr>
          <w:sz w:val="28"/>
          <w:szCs w:val="28"/>
        </w:rPr>
        <w:t>Pētersone</w:t>
      </w:r>
      <w:r>
        <w:rPr>
          <w:sz w:val="28"/>
          <w:szCs w:val="28"/>
        </w:rPr>
        <w:t>–</w:t>
      </w:r>
      <w:r w:rsidRPr="005128C9">
        <w:rPr>
          <w:sz w:val="28"/>
          <w:szCs w:val="28"/>
        </w:rPr>
        <w:t>Godmane</w:t>
      </w:r>
    </w:p>
    <w:p w:rsidR="009430FC" w:rsidRDefault="009430FC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43787" w:rsidRDefault="00043787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62DA8" w:rsidRDefault="00A62DA8" w:rsidP="005128C9">
      <w:pPr>
        <w:pStyle w:val="naisf"/>
        <w:spacing w:before="0" w:beforeAutospacing="0" w:after="0" w:afterAutospacing="0"/>
        <w:rPr>
          <w:sz w:val="28"/>
          <w:szCs w:val="28"/>
        </w:rPr>
      </w:pPr>
      <w:bookmarkStart w:id="5" w:name="_GoBack"/>
      <w:bookmarkEnd w:id="5"/>
    </w:p>
    <w:p w:rsidR="009430FC" w:rsidRPr="005128C9" w:rsidRDefault="009430FC" w:rsidP="00512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5128C9" w:rsidRPr="005128C9" w:rsidRDefault="005128C9" w:rsidP="005128C9">
      <w:pPr>
        <w:pStyle w:val="naisf"/>
        <w:spacing w:before="0" w:beforeAutospacing="0" w:after="0" w:afterAutospacing="0"/>
        <w:rPr>
          <w:sz w:val="20"/>
          <w:szCs w:val="20"/>
        </w:rPr>
      </w:pPr>
      <w:r w:rsidRPr="005128C9">
        <w:rPr>
          <w:sz w:val="20"/>
          <w:szCs w:val="20"/>
        </w:rPr>
        <w:fldChar w:fldCharType="begin"/>
      </w:r>
      <w:r w:rsidRPr="005128C9">
        <w:rPr>
          <w:sz w:val="20"/>
          <w:szCs w:val="20"/>
          <w:lang w:val="ru-RU"/>
        </w:rPr>
        <w:instrText xml:space="preserve"> TIME \@ "dd.MM.yyyy H:mm" </w:instrText>
      </w:r>
      <w:r w:rsidRPr="005128C9">
        <w:rPr>
          <w:sz w:val="20"/>
          <w:szCs w:val="20"/>
        </w:rPr>
        <w:fldChar w:fldCharType="separate"/>
      </w:r>
      <w:r w:rsidR="002B6B78">
        <w:rPr>
          <w:noProof/>
          <w:sz w:val="20"/>
          <w:szCs w:val="20"/>
          <w:lang w:val="ru-RU"/>
        </w:rPr>
        <w:t>08.12.2016 9:30</w:t>
      </w:r>
      <w:r w:rsidRPr="005128C9">
        <w:rPr>
          <w:sz w:val="20"/>
          <w:szCs w:val="20"/>
        </w:rPr>
        <w:fldChar w:fldCharType="end"/>
      </w:r>
    </w:p>
    <w:p w:rsidR="005128C9" w:rsidRPr="00D91C88" w:rsidRDefault="005128C9" w:rsidP="0051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C88">
        <w:rPr>
          <w:rFonts w:ascii="Times New Roman" w:hAnsi="Times New Roman" w:cs="Times New Roman"/>
          <w:sz w:val="20"/>
          <w:szCs w:val="20"/>
        </w:rPr>
        <w:fldChar w:fldCharType="begin"/>
      </w:r>
      <w:r w:rsidRPr="00D91C88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D91C88">
        <w:rPr>
          <w:rFonts w:ascii="Times New Roman" w:hAnsi="Times New Roman" w:cs="Times New Roman"/>
          <w:sz w:val="20"/>
          <w:szCs w:val="20"/>
        </w:rPr>
        <w:fldChar w:fldCharType="separate"/>
      </w:r>
      <w:r w:rsidR="002B6B78">
        <w:rPr>
          <w:rFonts w:ascii="Times New Roman" w:hAnsi="Times New Roman" w:cs="Times New Roman"/>
          <w:noProof/>
          <w:sz w:val="20"/>
          <w:szCs w:val="20"/>
        </w:rPr>
        <w:t>1417</w:t>
      </w:r>
      <w:r w:rsidRPr="00D91C88">
        <w:rPr>
          <w:rFonts w:ascii="Times New Roman" w:hAnsi="Times New Roman" w:cs="Times New Roman"/>
          <w:sz w:val="20"/>
          <w:szCs w:val="20"/>
        </w:rPr>
        <w:fldChar w:fldCharType="end"/>
      </w:r>
    </w:p>
    <w:p w:rsidR="00A3364E" w:rsidRPr="00A3364E" w:rsidRDefault="00A3364E" w:rsidP="00A3364E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r w:rsidRPr="00A3364E">
        <w:rPr>
          <w:noProof/>
          <w:sz w:val="20"/>
          <w:szCs w:val="20"/>
          <w:lang w:val="en-US"/>
        </w:rPr>
        <w:t>I.Potjomkina</w:t>
      </w:r>
    </w:p>
    <w:p w:rsidR="007F6B1C" w:rsidRPr="005128C9" w:rsidRDefault="00A3364E" w:rsidP="00AA5D90">
      <w:pPr>
        <w:pStyle w:val="naisf"/>
        <w:spacing w:before="0" w:beforeAutospacing="0" w:after="0" w:afterAutospacing="0"/>
      </w:pPr>
      <w:r w:rsidRPr="00A3364E">
        <w:rPr>
          <w:noProof/>
          <w:sz w:val="20"/>
          <w:szCs w:val="20"/>
          <w:lang w:val="en-US"/>
        </w:rPr>
        <w:t>6721960</w:t>
      </w:r>
      <w:r>
        <w:rPr>
          <w:noProof/>
          <w:sz w:val="20"/>
          <w:szCs w:val="20"/>
        </w:rPr>
        <w:t>6</w:t>
      </w:r>
      <w:r w:rsidRPr="00A3364E">
        <w:rPr>
          <w:noProof/>
          <w:sz w:val="20"/>
          <w:szCs w:val="20"/>
          <w:lang w:val="en-US"/>
        </w:rPr>
        <w:t xml:space="preserve">, </w:t>
      </w:r>
      <w:hyperlink r:id="rId8" w:history="1">
        <w:r w:rsidRPr="008151FC">
          <w:rPr>
            <w:rStyle w:val="Hyperlink"/>
            <w:noProof/>
            <w:color w:val="auto"/>
            <w:sz w:val="20"/>
            <w:szCs w:val="20"/>
            <w:u w:val="none"/>
            <w:lang w:val="en-US"/>
          </w:rPr>
          <w:t>ieva.potjomkina@iem.gov.lv</w:t>
        </w:r>
      </w:hyperlink>
    </w:p>
    <w:sectPr w:rsidR="007F6B1C" w:rsidRPr="005128C9" w:rsidSect="009A31A8">
      <w:headerReference w:type="default" r:id="rId9"/>
      <w:footerReference w:type="default" r:id="rId10"/>
      <w:footerReference w:type="firs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A2" w:rsidRDefault="005466A2" w:rsidP="00A61504">
      <w:pPr>
        <w:spacing w:after="0" w:line="240" w:lineRule="auto"/>
      </w:pPr>
      <w:r>
        <w:separator/>
      </w:r>
    </w:p>
  </w:endnote>
  <w:endnote w:type="continuationSeparator" w:id="0">
    <w:p w:rsidR="005466A2" w:rsidRDefault="005466A2" w:rsidP="00A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51" w:rsidRPr="00AA26E2" w:rsidRDefault="00295B51" w:rsidP="00AA26E2">
    <w:pPr>
      <w:pStyle w:val="NormalWeb"/>
      <w:spacing w:before="0" w:beforeAutospacing="0" w:after="0" w:afterAutospacing="0"/>
      <w:jc w:val="both"/>
    </w:pPr>
    <w:r w:rsidRPr="008B5BA6">
      <w:rPr>
        <w:sz w:val="18"/>
        <w:szCs w:val="18"/>
      </w:rPr>
      <w:fldChar w:fldCharType="begin"/>
    </w:r>
    <w:r w:rsidRPr="008B5BA6">
      <w:rPr>
        <w:sz w:val="18"/>
        <w:szCs w:val="18"/>
      </w:rPr>
      <w:instrText xml:space="preserve"> FILENAME </w:instrText>
    </w:r>
    <w:r w:rsidRPr="008B5BA6">
      <w:rPr>
        <w:sz w:val="18"/>
        <w:szCs w:val="18"/>
      </w:rPr>
      <w:fldChar w:fldCharType="separate"/>
    </w:r>
    <w:r w:rsidR="002B6B78">
      <w:rPr>
        <w:noProof/>
        <w:sz w:val="18"/>
        <w:szCs w:val="18"/>
      </w:rPr>
      <w:t>IEMAnot_081216_groz382</w:t>
    </w:r>
    <w:r w:rsidRPr="008B5BA6">
      <w:rPr>
        <w:sz w:val="18"/>
        <w:szCs w:val="18"/>
      </w:rPr>
      <w:fldChar w:fldCharType="end"/>
    </w:r>
    <w:r w:rsidRPr="008B5BA6">
      <w:rPr>
        <w:sz w:val="18"/>
        <w:szCs w:val="18"/>
      </w:rPr>
      <w:t xml:space="preserve">; </w:t>
    </w:r>
    <w:r w:rsidRPr="00DA0C9C">
      <w:rPr>
        <w:noProof/>
        <w:sz w:val="18"/>
        <w:szCs w:val="18"/>
      </w:rPr>
      <w:t>Ministru kabineta rīkojuma projekta „Grozījumi Ministru kabineta 2014 gada 29.jūlija rīkojumā Nr. 382 “Par Iekšlietu ministrijas ilgtermiņa saistībām ceļu satiksmes pārkāpumu fiksēšanas tehnisko līdzekļu (fotoradaru) darbības nodrošināšanai”</w:t>
    </w:r>
    <w:r>
      <w:rPr>
        <w:noProof/>
        <w:sz w:val="18"/>
        <w:szCs w:val="18"/>
      </w:rPr>
      <w:t xml:space="preserve"> </w:t>
    </w:r>
    <w:r w:rsidRPr="00DA0C9C">
      <w:rPr>
        <w:noProof/>
        <w:sz w:val="18"/>
        <w:szCs w:val="18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DA0C9C">
        <w:rPr>
          <w:noProof/>
          <w:sz w:val="18"/>
          <w:szCs w:val="18"/>
        </w:rPr>
        <w:t>ziņojums</w:t>
      </w:r>
    </w:smartTag>
    <w:r w:rsidRPr="00DA0C9C">
      <w:rPr>
        <w:noProof/>
        <w:sz w:val="18"/>
        <w:szCs w:val="18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51" w:rsidRDefault="00295B51" w:rsidP="00DA0C9C">
    <w:pPr>
      <w:pStyle w:val="NormalWeb"/>
      <w:spacing w:before="0" w:beforeAutospacing="0" w:after="0" w:afterAutospacing="0"/>
      <w:jc w:val="both"/>
    </w:pPr>
    <w:r w:rsidRPr="008B5BA6">
      <w:rPr>
        <w:sz w:val="18"/>
        <w:szCs w:val="18"/>
      </w:rPr>
      <w:fldChar w:fldCharType="begin"/>
    </w:r>
    <w:r w:rsidRPr="008B5BA6">
      <w:rPr>
        <w:sz w:val="18"/>
        <w:szCs w:val="18"/>
      </w:rPr>
      <w:instrText xml:space="preserve"> FILENAME </w:instrText>
    </w:r>
    <w:r w:rsidRPr="008B5BA6">
      <w:rPr>
        <w:sz w:val="18"/>
        <w:szCs w:val="18"/>
      </w:rPr>
      <w:fldChar w:fldCharType="separate"/>
    </w:r>
    <w:r w:rsidR="002B6B78">
      <w:rPr>
        <w:noProof/>
        <w:sz w:val="18"/>
        <w:szCs w:val="18"/>
      </w:rPr>
      <w:t>IEMAnot_081216_groz382</w:t>
    </w:r>
    <w:r w:rsidRPr="008B5BA6">
      <w:rPr>
        <w:sz w:val="18"/>
        <w:szCs w:val="18"/>
      </w:rPr>
      <w:fldChar w:fldCharType="end"/>
    </w:r>
    <w:r w:rsidRPr="008B5BA6">
      <w:rPr>
        <w:sz w:val="18"/>
        <w:szCs w:val="18"/>
      </w:rPr>
      <w:t xml:space="preserve">; </w:t>
    </w:r>
    <w:r w:rsidRPr="00DA0C9C">
      <w:rPr>
        <w:noProof/>
        <w:sz w:val="18"/>
        <w:szCs w:val="18"/>
      </w:rPr>
      <w:t>Ministru kabineta rīkojuma projekta „Grozījumi Ministru kabineta 2014 gada 29.jūlija rīkojumā Nr. 382 “Par Iekšlietu ministrijas ilgtermiņa saistībām ceļu satiksmes pārkāpumu fiksēšanas tehnisko līdzekļu (fotoradaru) darbības nodrošināšanai”</w:t>
    </w:r>
    <w:r>
      <w:rPr>
        <w:noProof/>
        <w:sz w:val="18"/>
        <w:szCs w:val="18"/>
      </w:rPr>
      <w:t xml:space="preserve"> </w:t>
    </w:r>
    <w:r w:rsidRPr="00DA0C9C">
      <w:rPr>
        <w:noProof/>
        <w:sz w:val="18"/>
        <w:szCs w:val="18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DA0C9C">
        <w:rPr>
          <w:noProof/>
          <w:sz w:val="18"/>
          <w:szCs w:val="18"/>
        </w:rPr>
        <w:t>ziņojums</w:t>
      </w:r>
    </w:smartTag>
    <w:r w:rsidRPr="00DA0C9C">
      <w:rPr>
        <w:noProof/>
        <w:sz w:val="18"/>
        <w:szCs w:val="18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A2" w:rsidRDefault="005466A2" w:rsidP="00A61504">
      <w:pPr>
        <w:spacing w:after="0" w:line="240" w:lineRule="auto"/>
      </w:pPr>
      <w:r>
        <w:separator/>
      </w:r>
    </w:p>
  </w:footnote>
  <w:footnote w:type="continuationSeparator" w:id="0">
    <w:p w:rsidR="005466A2" w:rsidRDefault="005466A2" w:rsidP="00A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6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95B51" w:rsidRPr="00855CB7" w:rsidRDefault="00295B5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5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5CB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5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6B7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55CB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95B51" w:rsidRDefault="00295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27"/>
    <w:multiLevelType w:val="hybridMultilevel"/>
    <w:tmpl w:val="93FA78A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C7B"/>
    <w:multiLevelType w:val="hybridMultilevel"/>
    <w:tmpl w:val="F9E2D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FA7"/>
    <w:multiLevelType w:val="multilevel"/>
    <w:tmpl w:val="E44E0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B368D5"/>
    <w:multiLevelType w:val="hybridMultilevel"/>
    <w:tmpl w:val="F29E286A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021A"/>
    <w:multiLevelType w:val="hybridMultilevel"/>
    <w:tmpl w:val="9F32AE8A"/>
    <w:lvl w:ilvl="0" w:tplc="2FF2A8D8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2F311915"/>
    <w:multiLevelType w:val="hybridMultilevel"/>
    <w:tmpl w:val="52CA8F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4053"/>
    <w:multiLevelType w:val="hybridMultilevel"/>
    <w:tmpl w:val="DC100EFC"/>
    <w:lvl w:ilvl="0" w:tplc="2FF2A8D8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354F63D5"/>
    <w:multiLevelType w:val="hybridMultilevel"/>
    <w:tmpl w:val="4320A3F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06B3"/>
    <w:multiLevelType w:val="hybridMultilevel"/>
    <w:tmpl w:val="7FBAA624"/>
    <w:lvl w:ilvl="0" w:tplc="2FF2A8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BA95BF9"/>
    <w:multiLevelType w:val="hybridMultilevel"/>
    <w:tmpl w:val="61AC73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519D2"/>
    <w:multiLevelType w:val="hybridMultilevel"/>
    <w:tmpl w:val="6BE6BDAC"/>
    <w:lvl w:ilvl="0" w:tplc="2FF2A8D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E643AAC"/>
    <w:multiLevelType w:val="hybridMultilevel"/>
    <w:tmpl w:val="159696B6"/>
    <w:lvl w:ilvl="0" w:tplc="2FF2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287D51"/>
    <w:multiLevelType w:val="hybridMultilevel"/>
    <w:tmpl w:val="D4568AB8"/>
    <w:lvl w:ilvl="0" w:tplc="2FF2A8D8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1C"/>
    <w:rsid w:val="00012896"/>
    <w:rsid w:val="000151E2"/>
    <w:rsid w:val="00016770"/>
    <w:rsid w:val="00024B05"/>
    <w:rsid w:val="00031DB9"/>
    <w:rsid w:val="00043787"/>
    <w:rsid w:val="0004394C"/>
    <w:rsid w:val="000511F8"/>
    <w:rsid w:val="00054DF4"/>
    <w:rsid w:val="00061364"/>
    <w:rsid w:val="000633DD"/>
    <w:rsid w:val="000671F3"/>
    <w:rsid w:val="0007000B"/>
    <w:rsid w:val="00075F29"/>
    <w:rsid w:val="000A0997"/>
    <w:rsid w:val="000A25FF"/>
    <w:rsid w:val="000A2CE4"/>
    <w:rsid w:val="000A7E4D"/>
    <w:rsid w:val="000B35FB"/>
    <w:rsid w:val="000B42F6"/>
    <w:rsid w:val="000C16DB"/>
    <w:rsid w:val="000C1C8B"/>
    <w:rsid w:val="000C68C9"/>
    <w:rsid w:val="000E1939"/>
    <w:rsid w:val="000E1FA9"/>
    <w:rsid w:val="000E3747"/>
    <w:rsid w:val="000E3988"/>
    <w:rsid w:val="000E5D44"/>
    <w:rsid w:val="000F11B4"/>
    <w:rsid w:val="000F7FE0"/>
    <w:rsid w:val="00106C2F"/>
    <w:rsid w:val="0011356C"/>
    <w:rsid w:val="00113A21"/>
    <w:rsid w:val="00115224"/>
    <w:rsid w:val="001204D1"/>
    <w:rsid w:val="001536C4"/>
    <w:rsid w:val="0015426A"/>
    <w:rsid w:val="0016241F"/>
    <w:rsid w:val="001630B8"/>
    <w:rsid w:val="001752CF"/>
    <w:rsid w:val="00175F96"/>
    <w:rsid w:val="0018161D"/>
    <w:rsid w:val="001F119D"/>
    <w:rsid w:val="001F5815"/>
    <w:rsid w:val="001F63DB"/>
    <w:rsid w:val="001F796F"/>
    <w:rsid w:val="00206EB2"/>
    <w:rsid w:val="002137D1"/>
    <w:rsid w:val="002160EE"/>
    <w:rsid w:val="00221047"/>
    <w:rsid w:val="00232342"/>
    <w:rsid w:val="0023282D"/>
    <w:rsid w:val="00237953"/>
    <w:rsid w:val="002402B9"/>
    <w:rsid w:val="00244611"/>
    <w:rsid w:val="00252931"/>
    <w:rsid w:val="00254FBE"/>
    <w:rsid w:val="00261284"/>
    <w:rsid w:val="00263BA4"/>
    <w:rsid w:val="00270810"/>
    <w:rsid w:val="00272D32"/>
    <w:rsid w:val="002745F3"/>
    <w:rsid w:val="00274E33"/>
    <w:rsid w:val="002768A0"/>
    <w:rsid w:val="00276D0F"/>
    <w:rsid w:val="0027754D"/>
    <w:rsid w:val="00294D01"/>
    <w:rsid w:val="00295B51"/>
    <w:rsid w:val="00296342"/>
    <w:rsid w:val="00296B15"/>
    <w:rsid w:val="002A0F0B"/>
    <w:rsid w:val="002B33D4"/>
    <w:rsid w:val="002B5FEF"/>
    <w:rsid w:val="002B6B78"/>
    <w:rsid w:val="002C57AF"/>
    <w:rsid w:val="002C584B"/>
    <w:rsid w:val="002E41A1"/>
    <w:rsid w:val="002F0CF9"/>
    <w:rsid w:val="002F3B27"/>
    <w:rsid w:val="002F5386"/>
    <w:rsid w:val="003179BD"/>
    <w:rsid w:val="0032329A"/>
    <w:rsid w:val="00355839"/>
    <w:rsid w:val="00363705"/>
    <w:rsid w:val="00366C28"/>
    <w:rsid w:val="00373006"/>
    <w:rsid w:val="00381BBA"/>
    <w:rsid w:val="00383B9A"/>
    <w:rsid w:val="003B079D"/>
    <w:rsid w:val="003B0B3A"/>
    <w:rsid w:val="003B0EF5"/>
    <w:rsid w:val="003B1F3C"/>
    <w:rsid w:val="003B27F0"/>
    <w:rsid w:val="003B4E8D"/>
    <w:rsid w:val="003C30ED"/>
    <w:rsid w:val="003C39A4"/>
    <w:rsid w:val="003C5AA8"/>
    <w:rsid w:val="003C73C4"/>
    <w:rsid w:val="003D54C1"/>
    <w:rsid w:val="003E04C7"/>
    <w:rsid w:val="003E4A60"/>
    <w:rsid w:val="003E708D"/>
    <w:rsid w:val="003F0AA4"/>
    <w:rsid w:val="003F0BAB"/>
    <w:rsid w:val="00402A75"/>
    <w:rsid w:val="004106EE"/>
    <w:rsid w:val="004119EE"/>
    <w:rsid w:val="0042053F"/>
    <w:rsid w:val="00442772"/>
    <w:rsid w:val="00442ECB"/>
    <w:rsid w:val="00453B99"/>
    <w:rsid w:val="004572F3"/>
    <w:rsid w:val="00462ACB"/>
    <w:rsid w:val="004642BE"/>
    <w:rsid w:val="00465061"/>
    <w:rsid w:val="00473355"/>
    <w:rsid w:val="00480764"/>
    <w:rsid w:val="00486655"/>
    <w:rsid w:val="00494BDF"/>
    <w:rsid w:val="00495A4D"/>
    <w:rsid w:val="004A1CD7"/>
    <w:rsid w:val="004A544B"/>
    <w:rsid w:val="004B2F4B"/>
    <w:rsid w:val="004B4383"/>
    <w:rsid w:val="004C010F"/>
    <w:rsid w:val="004C1170"/>
    <w:rsid w:val="004C40CA"/>
    <w:rsid w:val="004C596A"/>
    <w:rsid w:val="004D2F40"/>
    <w:rsid w:val="004D670C"/>
    <w:rsid w:val="004D73A8"/>
    <w:rsid w:val="004E456A"/>
    <w:rsid w:val="004E69F3"/>
    <w:rsid w:val="004E7960"/>
    <w:rsid w:val="004F53A5"/>
    <w:rsid w:val="00501EB3"/>
    <w:rsid w:val="005039D7"/>
    <w:rsid w:val="00507B59"/>
    <w:rsid w:val="005128C9"/>
    <w:rsid w:val="00512B41"/>
    <w:rsid w:val="00516201"/>
    <w:rsid w:val="00523629"/>
    <w:rsid w:val="0052442F"/>
    <w:rsid w:val="0052773D"/>
    <w:rsid w:val="00532841"/>
    <w:rsid w:val="005466A2"/>
    <w:rsid w:val="0056058E"/>
    <w:rsid w:val="00566910"/>
    <w:rsid w:val="005703A9"/>
    <w:rsid w:val="00577B1B"/>
    <w:rsid w:val="00592A8A"/>
    <w:rsid w:val="005B2F8E"/>
    <w:rsid w:val="005B37BB"/>
    <w:rsid w:val="005B664B"/>
    <w:rsid w:val="005B6BA2"/>
    <w:rsid w:val="005C346C"/>
    <w:rsid w:val="005D04AA"/>
    <w:rsid w:val="005D3FF0"/>
    <w:rsid w:val="005D4098"/>
    <w:rsid w:val="005D4BBC"/>
    <w:rsid w:val="005E051F"/>
    <w:rsid w:val="005E62FF"/>
    <w:rsid w:val="005E6C75"/>
    <w:rsid w:val="005F06D6"/>
    <w:rsid w:val="006017AF"/>
    <w:rsid w:val="0061711F"/>
    <w:rsid w:val="00620445"/>
    <w:rsid w:val="006214EC"/>
    <w:rsid w:val="00622743"/>
    <w:rsid w:val="00626F16"/>
    <w:rsid w:val="00627215"/>
    <w:rsid w:val="00633D38"/>
    <w:rsid w:val="006411A2"/>
    <w:rsid w:val="00654056"/>
    <w:rsid w:val="00654250"/>
    <w:rsid w:val="00655E2E"/>
    <w:rsid w:val="00660E8D"/>
    <w:rsid w:val="00666400"/>
    <w:rsid w:val="00666F26"/>
    <w:rsid w:val="006726AF"/>
    <w:rsid w:val="00674A10"/>
    <w:rsid w:val="00681EE2"/>
    <w:rsid w:val="00685C2D"/>
    <w:rsid w:val="006873B9"/>
    <w:rsid w:val="00687885"/>
    <w:rsid w:val="00697D42"/>
    <w:rsid w:val="006A2C83"/>
    <w:rsid w:val="006A32EF"/>
    <w:rsid w:val="006A37D2"/>
    <w:rsid w:val="006A58DD"/>
    <w:rsid w:val="006B0FC0"/>
    <w:rsid w:val="006B4385"/>
    <w:rsid w:val="006B68A0"/>
    <w:rsid w:val="006B72B9"/>
    <w:rsid w:val="006C2FAB"/>
    <w:rsid w:val="006C4BD5"/>
    <w:rsid w:val="006D1851"/>
    <w:rsid w:val="006D1C8F"/>
    <w:rsid w:val="006E1317"/>
    <w:rsid w:val="006E1B95"/>
    <w:rsid w:val="006E334B"/>
    <w:rsid w:val="006F2295"/>
    <w:rsid w:val="006F2976"/>
    <w:rsid w:val="007208E0"/>
    <w:rsid w:val="00750974"/>
    <w:rsid w:val="0076151F"/>
    <w:rsid w:val="00772B7E"/>
    <w:rsid w:val="007777B9"/>
    <w:rsid w:val="00783623"/>
    <w:rsid w:val="0078619B"/>
    <w:rsid w:val="00793F29"/>
    <w:rsid w:val="00793F93"/>
    <w:rsid w:val="007955EC"/>
    <w:rsid w:val="007959DF"/>
    <w:rsid w:val="007B0075"/>
    <w:rsid w:val="007B440A"/>
    <w:rsid w:val="007C242C"/>
    <w:rsid w:val="007D23D0"/>
    <w:rsid w:val="007E31E0"/>
    <w:rsid w:val="007F443B"/>
    <w:rsid w:val="007F55A5"/>
    <w:rsid w:val="007F601A"/>
    <w:rsid w:val="007F6B1C"/>
    <w:rsid w:val="00811544"/>
    <w:rsid w:val="0081399B"/>
    <w:rsid w:val="008151FC"/>
    <w:rsid w:val="008156E0"/>
    <w:rsid w:val="0082505A"/>
    <w:rsid w:val="0082519E"/>
    <w:rsid w:val="0084195E"/>
    <w:rsid w:val="00842573"/>
    <w:rsid w:val="008501FE"/>
    <w:rsid w:val="00855CB7"/>
    <w:rsid w:val="00890339"/>
    <w:rsid w:val="00892A95"/>
    <w:rsid w:val="008964CB"/>
    <w:rsid w:val="008A10F2"/>
    <w:rsid w:val="008B5664"/>
    <w:rsid w:val="008B7AAE"/>
    <w:rsid w:val="008D15DE"/>
    <w:rsid w:val="008D2B3A"/>
    <w:rsid w:val="008E3AB6"/>
    <w:rsid w:val="008F1047"/>
    <w:rsid w:val="008F3877"/>
    <w:rsid w:val="00900E86"/>
    <w:rsid w:val="00902AF8"/>
    <w:rsid w:val="00922983"/>
    <w:rsid w:val="00926E30"/>
    <w:rsid w:val="0093413E"/>
    <w:rsid w:val="00937B6B"/>
    <w:rsid w:val="00942314"/>
    <w:rsid w:val="009430FC"/>
    <w:rsid w:val="009512EC"/>
    <w:rsid w:val="009664A9"/>
    <w:rsid w:val="00966D4C"/>
    <w:rsid w:val="00974374"/>
    <w:rsid w:val="00975153"/>
    <w:rsid w:val="0097777A"/>
    <w:rsid w:val="00997D1C"/>
    <w:rsid w:val="009A2D67"/>
    <w:rsid w:val="009A31A8"/>
    <w:rsid w:val="009C310A"/>
    <w:rsid w:val="009C4288"/>
    <w:rsid w:val="009C5C80"/>
    <w:rsid w:val="009D2772"/>
    <w:rsid w:val="009D74E9"/>
    <w:rsid w:val="009E3138"/>
    <w:rsid w:val="009E660A"/>
    <w:rsid w:val="009E755D"/>
    <w:rsid w:val="009F1D70"/>
    <w:rsid w:val="009F27AD"/>
    <w:rsid w:val="009F4B2B"/>
    <w:rsid w:val="00A017FF"/>
    <w:rsid w:val="00A12148"/>
    <w:rsid w:val="00A230B5"/>
    <w:rsid w:val="00A27AA8"/>
    <w:rsid w:val="00A3211C"/>
    <w:rsid w:val="00A3364E"/>
    <w:rsid w:val="00A5227C"/>
    <w:rsid w:val="00A61504"/>
    <w:rsid w:val="00A626B2"/>
    <w:rsid w:val="00A62DA8"/>
    <w:rsid w:val="00A64D8F"/>
    <w:rsid w:val="00A7505D"/>
    <w:rsid w:val="00A75633"/>
    <w:rsid w:val="00A84269"/>
    <w:rsid w:val="00A85A6B"/>
    <w:rsid w:val="00A85D64"/>
    <w:rsid w:val="00A85ED2"/>
    <w:rsid w:val="00A85F0F"/>
    <w:rsid w:val="00AA26E2"/>
    <w:rsid w:val="00AA3B38"/>
    <w:rsid w:val="00AA3CF7"/>
    <w:rsid w:val="00AA5D90"/>
    <w:rsid w:val="00AB6808"/>
    <w:rsid w:val="00AD0530"/>
    <w:rsid w:val="00AD1D95"/>
    <w:rsid w:val="00AE571C"/>
    <w:rsid w:val="00AF1646"/>
    <w:rsid w:val="00AF34EE"/>
    <w:rsid w:val="00AF4354"/>
    <w:rsid w:val="00AF798C"/>
    <w:rsid w:val="00B0122C"/>
    <w:rsid w:val="00B01E2A"/>
    <w:rsid w:val="00B077A5"/>
    <w:rsid w:val="00B10DE5"/>
    <w:rsid w:val="00B14C19"/>
    <w:rsid w:val="00B177E3"/>
    <w:rsid w:val="00B20337"/>
    <w:rsid w:val="00B20B82"/>
    <w:rsid w:val="00B26813"/>
    <w:rsid w:val="00B31433"/>
    <w:rsid w:val="00B342E5"/>
    <w:rsid w:val="00B40F2A"/>
    <w:rsid w:val="00B41719"/>
    <w:rsid w:val="00B45526"/>
    <w:rsid w:val="00B568ED"/>
    <w:rsid w:val="00B57317"/>
    <w:rsid w:val="00B650FC"/>
    <w:rsid w:val="00B65C58"/>
    <w:rsid w:val="00B7256C"/>
    <w:rsid w:val="00B72D92"/>
    <w:rsid w:val="00B826DA"/>
    <w:rsid w:val="00BA6E1C"/>
    <w:rsid w:val="00BB0F81"/>
    <w:rsid w:val="00BB3668"/>
    <w:rsid w:val="00BC2AAC"/>
    <w:rsid w:val="00BD471C"/>
    <w:rsid w:val="00BE201E"/>
    <w:rsid w:val="00BE4B16"/>
    <w:rsid w:val="00BE7D63"/>
    <w:rsid w:val="00C01DB3"/>
    <w:rsid w:val="00C12078"/>
    <w:rsid w:val="00C146F5"/>
    <w:rsid w:val="00C154E9"/>
    <w:rsid w:val="00C15D00"/>
    <w:rsid w:val="00C17F99"/>
    <w:rsid w:val="00C22E47"/>
    <w:rsid w:val="00C23A90"/>
    <w:rsid w:val="00C23DE8"/>
    <w:rsid w:val="00C303A5"/>
    <w:rsid w:val="00C35B2C"/>
    <w:rsid w:val="00C50716"/>
    <w:rsid w:val="00C600D1"/>
    <w:rsid w:val="00C61C43"/>
    <w:rsid w:val="00C7383C"/>
    <w:rsid w:val="00C76ED3"/>
    <w:rsid w:val="00C85537"/>
    <w:rsid w:val="00CA133C"/>
    <w:rsid w:val="00CA68BE"/>
    <w:rsid w:val="00CA68F3"/>
    <w:rsid w:val="00CA6FB7"/>
    <w:rsid w:val="00CB4301"/>
    <w:rsid w:val="00CC4390"/>
    <w:rsid w:val="00CC6ACA"/>
    <w:rsid w:val="00CC6D6A"/>
    <w:rsid w:val="00CC7EAF"/>
    <w:rsid w:val="00CD17CD"/>
    <w:rsid w:val="00CD63CC"/>
    <w:rsid w:val="00CD6B8D"/>
    <w:rsid w:val="00CE136D"/>
    <w:rsid w:val="00CE22F1"/>
    <w:rsid w:val="00CF0DF5"/>
    <w:rsid w:val="00CF67C3"/>
    <w:rsid w:val="00CF7E15"/>
    <w:rsid w:val="00D058F0"/>
    <w:rsid w:val="00D06492"/>
    <w:rsid w:val="00D26E84"/>
    <w:rsid w:val="00D30253"/>
    <w:rsid w:val="00D30AB4"/>
    <w:rsid w:val="00D32114"/>
    <w:rsid w:val="00D32E0D"/>
    <w:rsid w:val="00D34D63"/>
    <w:rsid w:val="00D36494"/>
    <w:rsid w:val="00D4036D"/>
    <w:rsid w:val="00D6090E"/>
    <w:rsid w:val="00D61C5B"/>
    <w:rsid w:val="00D72CE8"/>
    <w:rsid w:val="00D74204"/>
    <w:rsid w:val="00D80B81"/>
    <w:rsid w:val="00D84A8E"/>
    <w:rsid w:val="00D96D63"/>
    <w:rsid w:val="00DA0C9C"/>
    <w:rsid w:val="00DA72B7"/>
    <w:rsid w:val="00DB4163"/>
    <w:rsid w:val="00DB4FDC"/>
    <w:rsid w:val="00DC045E"/>
    <w:rsid w:val="00DD2AF7"/>
    <w:rsid w:val="00DE7370"/>
    <w:rsid w:val="00DF0AE8"/>
    <w:rsid w:val="00E01FC7"/>
    <w:rsid w:val="00E125D7"/>
    <w:rsid w:val="00E24423"/>
    <w:rsid w:val="00E24D34"/>
    <w:rsid w:val="00E35508"/>
    <w:rsid w:val="00E42CF5"/>
    <w:rsid w:val="00E47A7C"/>
    <w:rsid w:val="00E51480"/>
    <w:rsid w:val="00E57FA2"/>
    <w:rsid w:val="00E678FC"/>
    <w:rsid w:val="00E770FB"/>
    <w:rsid w:val="00E7737A"/>
    <w:rsid w:val="00E82C06"/>
    <w:rsid w:val="00E8344C"/>
    <w:rsid w:val="00E8460E"/>
    <w:rsid w:val="00E91C83"/>
    <w:rsid w:val="00EB1DCF"/>
    <w:rsid w:val="00EB29B2"/>
    <w:rsid w:val="00ED329B"/>
    <w:rsid w:val="00ED6686"/>
    <w:rsid w:val="00ED7E01"/>
    <w:rsid w:val="00EE0B55"/>
    <w:rsid w:val="00EE2703"/>
    <w:rsid w:val="00EF2D9A"/>
    <w:rsid w:val="00F05486"/>
    <w:rsid w:val="00F21548"/>
    <w:rsid w:val="00F2425D"/>
    <w:rsid w:val="00F278BC"/>
    <w:rsid w:val="00F308E5"/>
    <w:rsid w:val="00F35F3D"/>
    <w:rsid w:val="00F4121E"/>
    <w:rsid w:val="00F442F0"/>
    <w:rsid w:val="00F46DCD"/>
    <w:rsid w:val="00F6781E"/>
    <w:rsid w:val="00F72BA7"/>
    <w:rsid w:val="00F91913"/>
    <w:rsid w:val="00F94283"/>
    <w:rsid w:val="00F96D10"/>
    <w:rsid w:val="00FA14E1"/>
    <w:rsid w:val="00FA35E3"/>
    <w:rsid w:val="00FA36B2"/>
    <w:rsid w:val="00FA4F4D"/>
    <w:rsid w:val="00FB5862"/>
    <w:rsid w:val="00FC2E21"/>
    <w:rsid w:val="00FC59C8"/>
    <w:rsid w:val="00FE4C22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C5846AD-F4AF-4E76-8407-B8B9EB5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1C"/>
  </w:style>
  <w:style w:type="paragraph" w:styleId="Heading3">
    <w:name w:val="heading 3"/>
    <w:basedOn w:val="Normal"/>
    <w:link w:val="Heading3Char"/>
    <w:uiPriority w:val="9"/>
    <w:qFormat/>
    <w:rsid w:val="007F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B1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7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51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61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04"/>
  </w:style>
  <w:style w:type="paragraph" w:styleId="Footer">
    <w:name w:val="footer"/>
    <w:basedOn w:val="Normal"/>
    <w:link w:val="FooterChar"/>
    <w:uiPriority w:val="99"/>
    <w:unhideWhenUsed/>
    <w:rsid w:val="00A61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04"/>
  </w:style>
  <w:style w:type="character" w:styleId="Hyperlink">
    <w:name w:val="Hyperlink"/>
    <w:basedOn w:val="DefaultParagraphFont"/>
    <w:uiPriority w:val="99"/>
    <w:unhideWhenUsed/>
    <w:rsid w:val="00A33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3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54E9"/>
  </w:style>
  <w:style w:type="paragraph" w:styleId="BalloonText">
    <w:name w:val="Balloon Text"/>
    <w:basedOn w:val="Normal"/>
    <w:link w:val="BalloonTextChar"/>
    <w:uiPriority w:val="99"/>
    <w:semiHidden/>
    <w:unhideWhenUsed/>
    <w:rsid w:val="0066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4F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78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148-974B-4000-B836-248E7750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1450</Words>
  <Characters>8846</Characters>
  <Application>Microsoft Office Word</Application>
  <DocSecurity>0</DocSecurity>
  <Lines>552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Frolova</dc:creator>
  <cp:lastModifiedBy>Ieva Potjomkina</cp:lastModifiedBy>
  <cp:revision>5</cp:revision>
  <cp:lastPrinted>2015-10-14T12:50:00Z</cp:lastPrinted>
  <dcterms:created xsi:type="dcterms:W3CDTF">2016-12-07T13:24:00Z</dcterms:created>
  <dcterms:modified xsi:type="dcterms:W3CDTF">2016-12-08T07:32:00Z</dcterms:modified>
</cp:coreProperties>
</file>