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7733" w14:textId="77777777" w:rsidR="0019233E" w:rsidRPr="00495AE6" w:rsidRDefault="0019233E" w:rsidP="0019233E">
      <w:pPr>
        <w:pStyle w:val="naislab"/>
        <w:spacing w:before="0" w:after="0"/>
        <w:jc w:val="center"/>
        <w:outlineLvl w:val="0"/>
        <w:rPr>
          <w:b/>
          <w:bCs/>
        </w:rPr>
      </w:pPr>
      <w:r w:rsidRPr="00495AE6">
        <w:rPr>
          <w:b/>
          <w:bCs/>
        </w:rPr>
        <w:t>Ministru kabineta rīkojuma projekta „</w:t>
      </w:r>
      <w:r w:rsidR="00A5492F" w:rsidRPr="00495AE6">
        <w:rPr>
          <w:b/>
          <w:bCs/>
        </w:rPr>
        <w:t>Grozījum</w:t>
      </w:r>
      <w:r w:rsidR="006C05DA" w:rsidRPr="00495AE6">
        <w:rPr>
          <w:b/>
          <w:bCs/>
        </w:rPr>
        <w:t>i</w:t>
      </w:r>
      <w:r w:rsidRPr="00495AE6">
        <w:rPr>
          <w:b/>
          <w:bCs/>
        </w:rPr>
        <w:t xml:space="preserve"> Ministru kabineta 2011.gada 27.jūlija rīkojumā Nr.347 </w:t>
      </w:r>
      <w:r w:rsidR="00313739" w:rsidRPr="00495AE6">
        <w:rPr>
          <w:b/>
          <w:bCs/>
        </w:rPr>
        <w:t>„</w:t>
      </w:r>
      <w:r w:rsidRPr="00495AE6">
        <w:rPr>
          <w:b/>
          <w:bCs/>
        </w:rPr>
        <w:t xml:space="preserve">Par informācijas sistēmas darbības koncepcijas aprakstu </w:t>
      </w:r>
      <w:r w:rsidR="00313739" w:rsidRPr="00495AE6">
        <w:rPr>
          <w:b/>
          <w:bCs/>
        </w:rPr>
        <w:t>„</w:t>
      </w:r>
      <w:r w:rsidRPr="00495AE6">
        <w:rPr>
          <w:b/>
          <w:bCs/>
        </w:rPr>
        <w:t>Pasu sistēmas un Vienotās migrācijas informācijas sistēmas attīstība elektronisko identifikācijas karšu un elektronisko uzturēšanās atļauju (karšu) izsniegšanai</w:t>
      </w:r>
      <w:r w:rsidR="00313739" w:rsidRPr="00495AE6">
        <w:rPr>
          <w:b/>
          <w:bCs/>
        </w:rPr>
        <w:t>””</w:t>
      </w:r>
      <w:r w:rsidRPr="00495AE6">
        <w:rPr>
          <w:b/>
          <w:bCs/>
        </w:rPr>
        <w:t xml:space="preserve"> sākotnējās ietekmes novērtējuma </w:t>
      </w:r>
      <w:smartTag w:uri="schemas-tilde-lv/tildestengine" w:element="veidnes">
        <w:smartTagPr>
          <w:attr w:name="id" w:val="-1"/>
          <w:attr w:name="baseform" w:val="ziņojums"/>
          <w:attr w:name="text" w:val="ziņojums"/>
        </w:smartTagPr>
        <w:r w:rsidRPr="00495AE6">
          <w:rPr>
            <w:b/>
            <w:bCs/>
          </w:rPr>
          <w:t>ziņojums</w:t>
        </w:r>
      </w:smartTag>
      <w:r w:rsidRPr="00495AE6">
        <w:rPr>
          <w:b/>
          <w:bCs/>
        </w:rPr>
        <w:t xml:space="preserve"> (anotācija)</w:t>
      </w:r>
    </w:p>
    <w:p w14:paraId="5A2CB1F2" w14:textId="77777777" w:rsidR="006C05DA" w:rsidRPr="00495AE6" w:rsidRDefault="006C05DA" w:rsidP="0019233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476"/>
        <w:gridCol w:w="6087"/>
      </w:tblGrid>
      <w:tr w:rsidR="00F50741" w:rsidRPr="00495AE6" w14:paraId="25B38A81" w14:textId="77777777"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3899F" w14:textId="77777777"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F50741" w:rsidRPr="00495AE6" w14:paraId="743B9347" w14:textId="77777777" w:rsidTr="00EF65EF">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3D54682" w14:textId="77777777" w:rsidR="00F50741" w:rsidRPr="00495AE6" w:rsidRDefault="00F50741" w:rsidP="00EC3625">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351" w:type="pct"/>
            <w:tcBorders>
              <w:top w:val="outset" w:sz="6" w:space="0" w:color="auto"/>
              <w:left w:val="outset" w:sz="6" w:space="0" w:color="auto"/>
              <w:bottom w:val="outset" w:sz="6" w:space="0" w:color="auto"/>
              <w:right w:val="outset" w:sz="6" w:space="0" w:color="auto"/>
            </w:tcBorders>
            <w:hideMark/>
          </w:tcPr>
          <w:p w14:paraId="57FEECA6" w14:textId="77777777" w:rsidR="00F50741" w:rsidRPr="00495AE6" w:rsidRDefault="00F50741" w:rsidP="006C05DA">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336" w:type="pct"/>
            <w:tcBorders>
              <w:top w:val="outset" w:sz="6" w:space="0" w:color="auto"/>
              <w:left w:val="outset" w:sz="6" w:space="0" w:color="auto"/>
              <w:bottom w:val="outset" w:sz="6" w:space="0" w:color="auto"/>
              <w:right w:val="outset" w:sz="6" w:space="0" w:color="auto"/>
            </w:tcBorders>
            <w:hideMark/>
          </w:tcPr>
          <w:p w14:paraId="69C98D38" w14:textId="528F6C6F" w:rsidR="00F50741" w:rsidRPr="00EA3DBA" w:rsidRDefault="0058711C" w:rsidP="0058711C">
            <w:pPr>
              <w:pStyle w:val="Heading3"/>
              <w:spacing w:after="0"/>
              <w:jc w:val="both"/>
              <w:rPr>
                <w:b w:val="0"/>
                <w:sz w:val="24"/>
                <w:szCs w:val="24"/>
                <w:lang w:eastAsia="en-US"/>
              </w:rPr>
            </w:pPr>
            <w:r>
              <w:rPr>
                <w:b w:val="0"/>
                <w:sz w:val="24"/>
                <w:szCs w:val="24"/>
                <w:lang w:eastAsia="en-US"/>
              </w:rPr>
              <w:t xml:space="preserve">Ministru kabinets 2016.gada 16.augusta sēdē  </w:t>
            </w:r>
            <w:r w:rsidR="00963015">
              <w:rPr>
                <w:b w:val="0"/>
                <w:sz w:val="24"/>
                <w:szCs w:val="24"/>
                <w:lang w:eastAsia="en-US"/>
              </w:rPr>
              <w:t>(</w:t>
            </w:r>
            <w:r>
              <w:rPr>
                <w:b w:val="0"/>
                <w:sz w:val="24"/>
                <w:szCs w:val="24"/>
                <w:lang w:eastAsia="en-US"/>
              </w:rPr>
              <w:t>(protokols Nr.40. 59.§</w:t>
            </w:r>
            <w:r w:rsidR="00F25CCC">
              <w:rPr>
                <w:b w:val="0"/>
                <w:sz w:val="24"/>
                <w:szCs w:val="24"/>
                <w:lang w:eastAsia="en-US"/>
              </w:rPr>
              <w:t>)</w:t>
            </w:r>
            <w:r>
              <w:rPr>
                <w:b w:val="0"/>
                <w:sz w:val="24"/>
                <w:szCs w:val="24"/>
                <w:lang w:eastAsia="en-US"/>
              </w:rPr>
              <w:t xml:space="preserve"> “</w:t>
            </w:r>
            <w:r w:rsidRPr="0058711C">
              <w:rPr>
                <w:b w:val="0"/>
                <w:sz w:val="24"/>
                <w:szCs w:val="24"/>
                <w:lang w:eastAsia="en-US"/>
              </w:rPr>
              <w:t>Informatīvais ziņojums "Par priekšlikumiem valsts budžeta ieņēmumiem un izdevumiem 2017.gadam un ietvaram 2017.–2019.gadam"</w:t>
            </w:r>
            <w:r>
              <w:rPr>
                <w:b w:val="0"/>
                <w:sz w:val="24"/>
                <w:szCs w:val="24"/>
                <w:lang w:eastAsia="en-US"/>
              </w:rPr>
              <w:t>) uzdeva Iekšlietu ministrijai a</w:t>
            </w:r>
            <w:r w:rsidRPr="0058711C">
              <w:rPr>
                <w:b w:val="0"/>
                <w:sz w:val="24"/>
                <w:szCs w:val="24"/>
                <w:lang w:eastAsia="en-US"/>
              </w:rPr>
              <w:t>tbilstoši Ministru kabineta 2016.gada 31.maija sēdes protokola Nr.26 39.§ 3.2.apakšpunktā noteiktajam un šī protokollēmuma 21.punktam Iekšlietu ministrijai sagatavot un iesniegt grozījumu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00D558D9">
              <w:rPr>
                <w:b w:val="0"/>
                <w:sz w:val="24"/>
                <w:szCs w:val="24"/>
                <w:lang w:eastAsia="en-US"/>
              </w:rPr>
              <w:t xml:space="preserve"> (turpmāk – Rīkojums)</w:t>
            </w:r>
            <w:r w:rsidRPr="0058711C">
              <w:rPr>
                <w:b w:val="0"/>
                <w:sz w:val="24"/>
                <w:szCs w:val="24"/>
                <w:lang w:eastAsia="en-US"/>
              </w:rPr>
              <w:t>, samazinot ilgtermiņa saistību apjomu 2017.gadā par 880 880 EUR un 2018.gadā par 787 293 EUR.</w:t>
            </w:r>
          </w:p>
        </w:tc>
      </w:tr>
      <w:tr w:rsidR="00F50741" w:rsidRPr="00495AE6" w14:paraId="25FA21A3" w14:textId="77777777" w:rsidTr="00EF65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C8E0740"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351" w:type="pct"/>
            <w:tcBorders>
              <w:top w:val="outset" w:sz="6" w:space="0" w:color="auto"/>
              <w:left w:val="outset" w:sz="6" w:space="0" w:color="auto"/>
              <w:bottom w:val="outset" w:sz="6" w:space="0" w:color="auto"/>
              <w:right w:val="outset" w:sz="6" w:space="0" w:color="auto"/>
            </w:tcBorders>
            <w:hideMark/>
          </w:tcPr>
          <w:p w14:paraId="5FB8F0D9" w14:textId="77777777"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54FCA36D" w14:textId="41E53CE1" w:rsidR="0058711C" w:rsidRPr="0058711C" w:rsidRDefault="0058711C" w:rsidP="00972678">
            <w:pPr>
              <w:jc w:val="both"/>
              <w:rPr>
                <w:rFonts w:ascii="Times New Roman" w:eastAsia="Times New Roman" w:hAnsi="Times New Roman" w:cs="Times New Roman"/>
                <w:bCs/>
                <w:sz w:val="24"/>
                <w:szCs w:val="24"/>
              </w:rPr>
            </w:pPr>
            <w:r w:rsidRPr="0058711C">
              <w:rPr>
                <w:rFonts w:ascii="Times New Roman" w:eastAsia="Times New Roman" w:hAnsi="Times New Roman" w:cs="Times New Roman"/>
                <w:bCs/>
                <w:sz w:val="24"/>
                <w:szCs w:val="24"/>
              </w:rPr>
              <w:t xml:space="preserve">Pašlaik </w:t>
            </w:r>
            <w:r w:rsidR="00D558D9">
              <w:rPr>
                <w:rFonts w:ascii="Times New Roman" w:eastAsia="Times New Roman" w:hAnsi="Times New Roman" w:cs="Times New Roman"/>
                <w:bCs/>
                <w:sz w:val="24"/>
                <w:szCs w:val="24"/>
              </w:rPr>
              <w:t>Rīkojumā</w:t>
            </w:r>
            <w:r w:rsidRPr="005871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paredzēts ilgtermiņa saistību apjoms</w:t>
            </w:r>
            <w:r w:rsidRPr="0058711C">
              <w:rPr>
                <w:rFonts w:ascii="Times New Roman" w:eastAsia="Times New Roman" w:hAnsi="Times New Roman" w:cs="Times New Roman"/>
                <w:bCs/>
                <w:sz w:val="24"/>
                <w:szCs w:val="24"/>
              </w:rPr>
              <w:t xml:space="preserve"> 2017.gadā  880 880 EUR un 2018.gadā  787 293 EUR</w:t>
            </w:r>
            <w:r>
              <w:rPr>
                <w:rFonts w:ascii="Times New Roman" w:eastAsia="Times New Roman" w:hAnsi="Times New Roman" w:cs="Times New Roman"/>
                <w:bCs/>
                <w:sz w:val="24"/>
                <w:szCs w:val="24"/>
              </w:rPr>
              <w:t xml:space="preserve">, kas nepieciešams, lai nodrošinātu uzticama sertifikācijas pakalpojumu sniedzēja Latvijas radio un televīzijas centra pakalpojumus. </w:t>
            </w:r>
            <w:r w:rsidR="00D558D9">
              <w:rPr>
                <w:rFonts w:ascii="Times New Roman" w:eastAsia="Times New Roman" w:hAnsi="Times New Roman" w:cs="Times New Roman"/>
                <w:bCs/>
                <w:sz w:val="24"/>
                <w:szCs w:val="24"/>
              </w:rPr>
              <w:t xml:space="preserve">Likumā “Par valsts budžetu 2017.gadam” nav paredzēti </w:t>
            </w:r>
            <w:r w:rsidR="004D1C9A">
              <w:rPr>
                <w:rFonts w:ascii="Times New Roman" w:eastAsia="Times New Roman" w:hAnsi="Times New Roman" w:cs="Times New Roman"/>
                <w:bCs/>
                <w:sz w:val="24"/>
                <w:szCs w:val="24"/>
              </w:rPr>
              <w:t>finansējums</w:t>
            </w:r>
            <w:r w:rsidR="00D558D9">
              <w:rPr>
                <w:rFonts w:ascii="Times New Roman" w:eastAsia="Times New Roman" w:hAnsi="Times New Roman" w:cs="Times New Roman"/>
                <w:bCs/>
                <w:sz w:val="24"/>
                <w:szCs w:val="24"/>
              </w:rPr>
              <w:t xml:space="preserve"> </w:t>
            </w:r>
            <w:r w:rsidR="00D558D9" w:rsidRPr="0058711C">
              <w:rPr>
                <w:rFonts w:ascii="Times New Roman" w:eastAsia="Times New Roman" w:hAnsi="Times New Roman" w:cs="Times New Roman"/>
                <w:bCs/>
                <w:sz w:val="24"/>
                <w:szCs w:val="24"/>
              </w:rPr>
              <w:t>2017.gadā  880 880 EUR un 2018.gadā  787 293 EUR</w:t>
            </w:r>
            <w:r w:rsidR="00D558D9">
              <w:rPr>
                <w:rFonts w:ascii="Times New Roman" w:eastAsia="Times New Roman" w:hAnsi="Times New Roman" w:cs="Times New Roman"/>
                <w:bCs/>
                <w:sz w:val="24"/>
                <w:szCs w:val="24"/>
              </w:rPr>
              <w:t xml:space="preserve">, kas nepieciešams, lai nodrošinātu uzticama sertifikācijas pakalpojumu sniedzēja Latvijas radio un televīzijas centra pakalpojumus, tādēļ sagatavots </w:t>
            </w:r>
            <w:r w:rsidR="00D558D9" w:rsidRPr="00D558D9">
              <w:rPr>
                <w:rFonts w:ascii="Times New Roman" w:eastAsia="Times New Roman" w:hAnsi="Times New Roman" w:cs="Times New Roman"/>
                <w:bCs/>
                <w:sz w:val="24"/>
                <w:szCs w:val="24"/>
              </w:rPr>
              <w:t>Ministru kabineta rīkojuma projekt</w:t>
            </w:r>
            <w:r w:rsidR="00D558D9">
              <w:rPr>
                <w:rFonts w:ascii="Times New Roman" w:eastAsia="Times New Roman" w:hAnsi="Times New Roman" w:cs="Times New Roman"/>
                <w:bCs/>
                <w:sz w:val="24"/>
                <w:szCs w:val="24"/>
              </w:rPr>
              <w:t>s</w:t>
            </w:r>
            <w:r w:rsidR="00D558D9" w:rsidRPr="00D558D9">
              <w:rPr>
                <w:rFonts w:ascii="Times New Roman" w:eastAsia="Times New Roman" w:hAnsi="Times New Roman" w:cs="Times New Roman"/>
                <w:bCs/>
                <w:sz w:val="24"/>
                <w:szCs w:val="24"/>
              </w:rPr>
              <w:t xml:space="preserve"> „Grozījumi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w:t>
            </w:r>
            <w:r w:rsidR="00D558D9">
              <w:rPr>
                <w:rFonts w:ascii="Times New Roman" w:eastAsia="Times New Roman" w:hAnsi="Times New Roman" w:cs="Times New Roman"/>
                <w:bCs/>
                <w:sz w:val="24"/>
                <w:szCs w:val="24"/>
              </w:rPr>
              <w:t xml:space="preserve"> (turpmāk – Projekts), kas paredz minēt</w:t>
            </w:r>
            <w:r w:rsidR="004D1C9A">
              <w:rPr>
                <w:rFonts w:ascii="Times New Roman" w:eastAsia="Times New Roman" w:hAnsi="Times New Roman" w:cs="Times New Roman"/>
                <w:bCs/>
                <w:sz w:val="24"/>
                <w:szCs w:val="24"/>
              </w:rPr>
              <w:t>ā</w:t>
            </w:r>
            <w:r w:rsidR="00D558D9">
              <w:rPr>
                <w:rFonts w:ascii="Times New Roman" w:eastAsia="Times New Roman" w:hAnsi="Times New Roman" w:cs="Times New Roman"/>
                <w:bCs/>
                <w:sz w:val="24"/>
                <w:szCs w:val="24"/>
              </w:rPr>
              <w:t xml:space="preserve"> finansējuma samazinājumu 2017. un 2018.gadā.</w:t>
            </w:r>
          </w:p>
          <w:p w14:paraId="2C16C378" w14:textId="77777777" w:rsidR="00BE2B64" w:rsidRDefault="00EF65EF" w:rsidP="00EB507D">
            <w:pPr>
              <w:jc w:val="both"/>
              <w:rPr>
                <w:rFonts w:ascii="Times New Roman" w:eastAsia="Times New Roman" w:hAnsi="Times New Roman" w:cs="Times New Roman"/>
                <w:bCs/>
                <w:sz w:val="24"/>
                <w:szCs w:val="24"/>
              </w:rPr>
            </w:pPr>
            <w:r w:rsidRPr="00EF65EF">
              <w:rPr>
                <w:rFonts w:ascii="Times New Roman" w:eastAsia="Times New Roman" w:hAnsi="Times New Roman" w:cs="Times New Roman"/>
                <w:bCs/>
                <w:sz w:val="24"/>
                <w:szCs w:val="24"/>
              </w:rPr>
              <w:t xml:space="preserve">Ministru kabinets 2016.gada 8.novembrī nolēma, ka, sākot no 2019.gada, personas apliecība izsniedzama kā obligāts personu apliecinos dokuments visiem Latvijā dzīvojošiem pilsoņiem un nepilsoņiem (protokols Nr.60, 62.§). Tas nozīmē, ka būs jāprecizē </w:t>
            </w:r>
            <w:r w:rsidR="003B46E2" w:rsidRPr="00EF65EF">
              <w:rPr>
                <w:rFonts w:ascii="Times New Roman" w:eastAsia="Times New Roman" w:hAnsi="Times New Roman" w:cs="Times New Roman"/>
                <w:bCs/>
                <w:sz w:val="24"/>
                <w:szCs w:val="24"/>
              </w:rPr>
              <w:t>informācij</w:t>
            </w:r>
            <w:r w:rsidRPr="00EF65EF">
              <w:rPr>
                <w:rFonts w:ascii="Times New Roman" w:eastAsia="Times New Roman" w:hAnsi="Times New Roman" w:cs="Times New Roman"/>
                <w:bCs/>
                <w:sz w:val="24"/>
                <w:szCs w:val="24"/>
              </w:rPr>
              <w:t>a</w:t>
            </w:r>
            <w:r w:rsidR="003B46E2" w:rsidRPr="00EF65EF">
              <w:rPr>
                <w:rFonts w:ascii="Times New Roman" w:eastAsia="Times New Roman" w:hAnsi="Times New Roman" w:cs="Times New Roman"/>
                <w:bCs/>
                <w:sz w:val="24"/>
                <w:szCs w:val="24"/>
              </w:rPr>
              <w:t xml:space="preserve"> par pasu un personas apliecību sagatavju skait</w:t>
            </w:r>
            <w:r w:rsidRPr="00EF65EF">
              <w:rPr>
                <w:rFonts w:ascii="Times New Roman" w:eastAsia="Times New Roman" w:hAnsi="Times New Roman" w:cs="Times New Roman"/>
                <w:bCs/>
                <w:sz w:val="24"/>
                <w:szCs w:val="24"/>
              </w:rPr>
              <w:t>a</w:t>
            </w:r>
            <w:r w:rsidR="003B46E2" w:rsidRPr="00EF65EF">
              <w:rPr>
                <w:rFonts w:ascii="Times New Roman" w:eastAsia="Times New Roman" w:hAnsi="Times New Roman" w:cs="Times New Roman"/>
                <w:bCs/>
                <w:sz w:val="24"/>
                <w:szCs w:val="24"/>
              </w:rPr>
              <w:t xml:space="preserve"> un izdevumu apmēra izmaiņām</w:t>
            </w:r>
            <w:r w:rsidR="003B46E2">
              <w:rPr>
                <w:rFonts w:ascii="Times New Roman" w:eastAsia="Times New Roman" w:hAnsi="Times New Roman" w:cs="Times New Roman"/>
                <w:bCs/>
                <w:sz w:val="24"/>
                <w:szCs w:val="24"/>
              </w:rPr>
              <w:t xml:space="preserve"> 2019.gadā.</w:t>
            </w:r>
            <w:r>
              <w:rPr>
                <w:rFonts w:ascii="Times New Roman" w:eastAsia="Times New Roman" w:hAnsi="Times New Roman" w:cs="Times New Roman"/>
                <w:bCs/>
                <w:sz w:val="24"/>
                <w:szCs w:val="24"/>
              </w:rPr>
              <w:t xml:space="preserve"> Pašlaik ir uzsākta iepirkuma procedūra (konkurss) par personas apliecību sagatavju izgatavošanu un piegādi, pretendentu piedāvātās sagatavju cenas būs zināmas ne agrāk </w:t>
            </w:r>
            <w:r>
              <w:rPr>
                <w:rFonts w:ascii="Times New Roman" w:eastAsia="Times New Roman" w:hAnsi="Times New Roman" w:cs="Times New Roman"/>
                <w:bCs/>
                <w:sz w:val="24"/>
                <w:szCs w:val="24"/>
              </w:rPr>
              <w:lastRenderedPageBreak/>
              <w:t>kā 2017.gada aprīlī,</w:t>
            </w:r>
            <w:r w:rsidR="00EB507D">
              <w:rPr>
                <w:rFonts w:ascii="Times New Roman" w:eastAsia="Times New Roman" w:hAnsi="Times New Roman" w:cs="Times New Roman"/>
                <w:bCs/>
                <w:sz w:val="24"/>
                <w:szCs w:val="24"/>
              </w:rPr>
              <w:t xml:space="preserve"> tādējādi</w:t>
            </w:r>
            <w:r>
              <w:rPr>
                <w:rFonts w:ascii="Times New Roman" w:eastAsia="Times New Roman" w:hAnsi="Times New Roman" w:cs="Times New Roman"/>
                <w:bCs/>
                <w:sz w:val="24"/>
                <w:szCs w:val="24"/>
              </w:rPr>
              <w:t xml:space="preserve"> </w:t>
            </w:r>
            <w:r w:rsidR="00EB507D">
              <w:rPr>
                <w:rFonts w:ascii="Times New Roman" w:eastAsia="Times New Roman" w:hAnsi="Times New Roman" w:cs="Times New Roman"/>
                <w:bCs/>
                <w:sz w:val="24"/>
                <w:szCs w:val="24"/>
              </w:rPr>
              <w:t>izdevumi turpmākajiem gadiem var tikt precizēti.</w:t>
            </w:r>
          </w:p>
          <w:p w14:paraId="7B166A54" w14:textId="02D8990C" w:rsidR="00017D5D" w:rsidRPr="00D558D9" w:rsidRDefault="00017D5D" w:rsidP="00EB507D">
            <w:pPr>
              <w:jc w:val="both"/>
              <w:rPr>
                <w:rFonts w:ascii="Times New Roman" w:eastAsia="Times New Roman" w:hAnsi="Times New Roman" w:cs="Times New Roman"/>
                <w:bCs/>
                <w:sz w:val="24"/>
                <w:szCs w:val="24"/>
              </w:rPr>
            </w:pPr>
            <w:r w:rsidRPr="003D5C29">
              <w:rPr>
                <w:rFonts w:ascii="Times New Roman" w:eastAsia="Times New Roman" w:hAnsi="Times New Roman" w:cs="Times New Roman"/>
                <w:bCs/>
                <w:sz w:val="24"/>
                <w:szCs w:val="24"/>
              </w:rPr>
              <w:t>Vienlaikus, atbilstoši faktiskajai situācijai nepieciešams precizēt Iekšlietu ministrijas Informācijas centram (budžeta apakšprogramma 02.03.00 “Vienotās sakaru un informācijas sistēmas uzturēšana un vadība”) plānoto izdevumu sadalījumu pa pasākumiem un izdevumu ekonomiskās klasifikācijas kodiem (aprēķins anotācijas pielikumā).</w:t>
            </w:r>
          </w:p>
        </w:tc>
      </w:tr>
      <w:tr w:rsidR="00F50741" w:rsidRPr="00495AE6" w14:paraId="0FD1423C" w14:textId="77777777" w:rsidTr="00EF65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7E92D48"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351" w:type="pct"/>
            <w:tcBorders>
              <w:top w:val="outset" w:sz="6" w:space="0" w:color="auto"/>
              <w:left w:val="outset" w:sz="6" w:space="0" w:color="auto"/>
              <w:bottom w:val="outset" w:sz="6" w:space="0" w:color="auto"/>
              <w:right w:val="outset" w:sz="6" w:space="0" w:color="auto"/>
            </w:tcBorders>
            <w:hideMark/>
          </w:tcPr>
          <w:p w14:paraId="177AC613" w14:textId="77777777"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5C0D931A" w14:textId="655E5167" w:rsidR="00F50741" w:rsidRPr="00495AE6" w:rsidRDefault="009B1BC5" w:rsidP="00FD37D8">
            <w:pPr>
              <w:spacing w:after="0"/>
              <w:jc w:val="both"/>
              <w:rPr>
                <w:rFonts w:ascii="Times New Roman" w:eastAsia="Times New Roman" w:hAnsi="Times New Roman" w:cs="Times New Roman"/>
                <w:sz w:val="24"/>
                <w:szCs w:val="24"/>
                <w:lang w:eastAsia="lv-LV"/>
              </w:rPr>
            </w:pPr>
            <w:r w:rsidRPr="003D5C29">
              <w:rPr>
                <w:rFonts w:ascii="Times New Roman" w:eastAsia="Times New Roman" w:hAnsi="Times New Roman" w:cs="Times New Roman"/>
                <w:sz w:val="24"/>
                <w:szCs w:val="24"/>
                <w:lang w:eastAsia="lv-LV"/>
              </w:rPr>
              <w:t xml:space="preserve">Iekšlietu ministrija, </w:t>
            </w:r>
            <w:r w:rsidR="0064637A" w:rsidRPr="003D5C29">
              <w:rPr>
                <w:rFonts w:ascii="Times New Roman" w:eastAsia="Times New Roman" w:hAnsi="Times New Roman" w:cs="Times New Roman"/>
                <w:sz w:val="24"/>
                <w:szCs w:val="24"/>
                <w:lang w:eastAsia="lv-LV"/>
              </w:rPr>
              <w:t>Pilsonības un migrācijas lietu pārvalde</w:t>
            </w:r>
            <w:r w:rsidR="00CA734C" w:rsidRPr="003D5C29">
              <w:rPr>
                <w:rFonts w:ascii="Times New Roman" w:eastAsia="Times New Roman" w:hAnsi="Times New Roman" w:cs="Times New Roman"/>
                <w:sz w:val="24"/>
                <w:szCs w:val="24"/>
                <w:lang w:eastAsia="lv-LV"/>
              </w:rPr>
              <w:t xml:space="preserve">, </w:t>
            </w:r>
            <w:r w:rsidR="00CA734C" w:rsidRPr="003D5C29">
              <w:rPr>
                <w:rFonts w:ascii="Times New Roman" w:eastAsia="Times New Roman" w:hAnsi="Times New Roman" w:cs="Times New Roman"/>
                <w:bCs/>
                <w:sz w:val="24"/>
                <w:szCs w:val="24"/>
              </w:rPr>
              <w:t>Iekšlietu ministrijas Informācijas centrs.</w:t>
            </w:r>
          </w:p>
        </w:tc>
      </w:tr>
      <w:tr w:rsidR="00F50741" w:rsidRPr="00495AE6" w14:paraId="1E75BBEF" w14:textId="77777777" w:rsidTr="00EF65E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9E6BFF3" w14:textId="77777777"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351" w:type="pct"/>
            <w:tcBorders>
              <w:top w:val="outset" w:sz="6" w:space="0" w:color="auto"/>
              <w:left w:val="outset" w:sz="6" w:space="0" w:color="auto"/>
              <w:bottom w:val="outset" w:sz="6" w:space="0" w:color="auto"/>
              <w:right w:val="outset" w:sz="6" w:space="0" w:color="auto"/>
            </w:tcBorders>
            <w:hideMark/>
          </w:tcPr>
          <w:p w14:paraId="545ECA68" w14:textId="77777777"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387DEA8" w14:textId="77777777" w:rsidR="00F50741" w:rsidRPr="00495AE6" w:rsidRDefault="00207436" w:rsidP="00207436">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14:paraId="25B77EB1" w14:textId="77777777"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14:paraId="0B840EFE" w14:textId="77777777"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263"/>
        <w:gridCol w:w="1418"/>
        <w:gridCol w:w="2268"/>
        <w:gridCol w:w="1701"/>
        <w:gridCol w:w="1417"/>
      </w:tblGrid>
      <w:tr w:rsidR="00BC08D6" w:rsidRPr="008E6CDC" w14:paraId="7E9D42EC" w14:textId="77777777" w:rsidTr="00BC08D6">
        <w:trPr>
          <w:trHeight w:val="361"/>
          <w:jc w:val="center"/>
        </w:trPr>
        <w:tc>
          <w:tcPr>
            <w:tcW w:w="9776" w:type="dxa"/>
            <w:gridSpan w:val="6"/>
            <w:vAlign w:val="center"/>
          </w:tcPr>
          <w:p w14:paraId="643FCCB6" w14:textId="77777777" w:rsidR="00BC08D6" w:rsidRPr="00BC08D6" w:rsidRDefault="00BC08D6" w:rsidP="007D02DE">
            <w:pPr>
              <w:pStyle w:val="naisnod"/>
              <w:spacing w:before="0" w:beforeAutospacing="0" w:after="0" w:afterAutospacing="0"/>
              <w:jc w:val="center"/>
              <w:rPr>
                <w:b/>
                <w:i/>
              </w:rPr>
            </w:pPr>
            <w:r w:rsidRPr="00BC08D6">
              <w:br w:type="page"/>
            </w:r>
            <w:r w:rsidRPr="00BC08D6">
              <w:rPr>
                <w:b/>
              </w:rPr>
              <w:t>III. Tiesību akta projekta ietekme uz valsts budžetu un pašvaldību budžetiem</w:t>
            </w:r>
          </w:p>
        </w:tc>
      </w:tr>
      <w:tr w:rsidR="00BC08D6" w:rsidRPr="005128C9" w14:paraId="09A95BCD" w14:textId="77777777" w:rsidTr="00BC08D6">
        <w:trPr>
          <w:jc w:val="center"/>
        </w:trPr>
        <w:tc>
          <w:tcPr>
            <w:tcW w:w="1709" w:type="dxa"/>
            <w:vMerge w:val="restart"/>
            <w:vAlign w:val="center"/>
          </w:tcPr>
          <w:p w14:paraId="721D4BA5" w14:textId="77777777" w:rsidR="00BC08D6" w:rsidRPr="00BC08D6" w:rsidRDefault="00BC08D6" w:rsidP="007D02DE">
            <w:pPr>
              <w:pStyle w:val="naisf"/>
              <w:spacing w:before="0" w:after="0"/>
              <w:jc w:val="center"/>
              <w:rPr>
                <w:b/>
                <w:szCs w:val="24"/>
              </w:rPr>
            </w:pPr>
            <w:r w:rsidRPr="00BC08D6">
              <w:rPr>
                <w:b/>
                <w:szCs w:val="24"/>
              </w:rPr>
              <w:t>Rādītāji</w:t>
            </w:r>
          </w:p>
        </w:tc>
        <w:tc>
          <w:tcPr>
            <w:tcW w:w="2681" w:type="dxa"/>
            <w:gridSpan w:val="2"/>
            <w:vMerge w:val="restart"/>
            <w:vAlign w:val="center"/>
          </w:tcPr>
          <w:p w14:paraId="68EBF924" w14:textId="77777777" w:rsidR="00BC08D6" w:rsidRPr="00BC08D6" w:rsidRDefault="00BC08D6" w:rsidP="00C473CB">
            <w:pPr>
              <w:pStyle w:val="naisf"/>
              <w:spacing w:before="0" w:after="0"/>
              <w:jc w:val="center"/>
              <w:rPr>
                <w:b/>
                <w:szCs w:val="24"/>
              </w:rPr>
            </w:pPr>
            <w:r w:rsidRPr="00BC08D6">
              <w:rPr>
                <w:b/>
                <w:szCs w:val="24"/>
              </w:rPr>
              <w:t>201</w:t>
            </w:r>
            <w:r w:rsidR="00C473CB">
              <w:rPr>
                <w:b/>
                <w:szCs w:val="24"/>
              </w:rPr>
              <w:t>7</w:t>
            </w:r>
          </w:p>
        </w:tc>
        <w:tc>
          <w:tcPr>
            <w:tcW w:w="5386" w:type="dxa"/>
            <w:gridSpan w:val="3"/>
            <w:vAlign w:val="center"/>
          </w:tcPr>
          <w:p w14:paraId="3FC1D230" w14:textId="77777777" w:rsidR="00BC08D6" w:rsidRPr="00BC08D6" w:rsidRDefault="00BC08D6" w:rsidP="007D02DE">
            <w:pPr>
              <w:pStyle w:val="naisf"/>
              <w:spacing w:before="0" w:after="0"/>
              <w:jc w:val="center"/>
              <w:rPr>
                <w:b/>
                <w:i/>
                <w:szCs w:val="24"/>
              </w:rPr>
            </w:pPr>
            <w:r w:rsidRPr="00BC08D6">
              <w:rPr>
                <w:szCs w:val="24"/>
              </w:rPr>
              <w:t>Turpmākie trīs gadi (</w:t>
            </w:r>
            <w:r w:rsidRPr="00BC08D6">
              <w:rPr>
                <w:i/>
                <w:szCs w:val="24"/>
              </w:rPr>
              <w:t>euro</w:t>
            </w:r>
            <w:r w:rsidRPr="00BC08D6">
              <w:rPr>
                <w:szCs w:val="24"/>
              </w:rPr>
              <w:t>)</w:t>
            </w:r>
          </w:p>
        </w:tc>
      </w:tr>
      <w:tr w:rsidR="00BC08D6" w:rsidRPr="005128C9" w14:paraId="56DCC382" w14:textId="77777777" w:rsidTr="00BC08D6">
        <w:trPr>
          <w:jc w:val="center"/>
        </w:trPr>
        <w:tc>
          <w:tcPr>
            <w:tcW w:w="1709" w:type="dxa"/>
            <w:vMerge/>
            <w:vAlign w:val="center"/>
          </w:tcPr>
          <w:p w14:paraId="41336B37" w14:textId="77777777" w:rsidR="00BC08D6" w:rsidRPr="00BC08D6" w:rsidRDefault="00BC08D6" w:rsidP="007D02DE">
            <w:pPr>
              <w:pStyle w:val="naisf"/>
              <w:spacing w:before="0" w:after="0"/>
              <w:jc w:val="center"/>
              <w:rPr>
                <w:b/>
                <w:i/>
                <w:szCs w:val="24"/>
              </w:rPr>
            </w:pPr>
          </w:p>
        </w:tc>
        <w:tc>
          <w:tcPr>
            <w:tcW w:w="2681" w:type="dxa"/>
            <w:gridSpan w:val="2"/>
            <w:vMerge/>
            <w:vAlign w:val="center"/>
          </w:tcPr>
          <w:p w14:paraId="6CA4E91B" w14:textId="77777777" w:rsidR="00BC08D6" w:rsidRPr="00BC08D6" w:rsidRDefault="00BC08D6" w:rsidP="007D02DE">
            <w:pPr>
              <w:pStyle w:val="naisf"/>
              <w:spacing w:before="0" w:after="0"/>
              <w:jc w:val="center"/>
              <w:rPr>
                <w:b/>
                <w:i/>
                <w:szCs w:val="24"/>
              </w:rPr>
            </w:pPr>
          </w:p>
        </w:tc>
        <w:tc>
          <w:tcPr>
            <w:tcW w:w="2268" w:type="dxa"/>
            <w:vAlign w:val="center"/>
          </w:tcPr>
          <w:p w14:paraId="0D8F9FA2" w14:textId="77777777" w:rsidR="00BC08D6" w:rsidRPr="00BC08D6" w:rsidRDefault="00BC08D6" w:rsidP="00C473CB">
            <w:pPr>
              <w:pStyle w:val="naisf"/>
              <w:spacing w:before="0" w:after="0"/>
              <w:jc w:val="center"/>
              <w:rPr>
                <w:b/>
                <w:i/>
                <w:szCs w:val="24"/>
              </w:rPr>
            </w:pPr>
            <w:r w:rsidRPr="00BC08D6">
              <w:rPr>
                <w:b/>
                <w:bCs/>
                <w:szCs w:val="24"/>
              </w:rPr>
              <w:t>201</w:t>
            </w:r>
            <w:r w:rsidR="00C473CB">
              <w:rPr>
                <w:b/>
                <w:bCs/>
                <w:szCs w:val="24"/>
              </w:rPr>
              <w:t>8</w:t>
            </w:r>
          </w:p>
        </w:tc>
        <w:tc>
          <w:tcPr>
            <w:tcW w:w="1701" w:type="dxa"/>
            <w:vAlign w:val="center"/>
          </w:tcPr>
          <w:p w14:paraId="59EBAFD7" w14:textId="77777777" w:rsidR="00BC08D6" w:rsidRPr="00BC08D6" w:rsidRDefault="00BC08D6" w:rsidP="00C473CB">
            <w:pPr>
              <w:pStyle w:val="naisf"/>
              <w:spacing w:before="0" w:after="0"/>
              <w:jc w:val="center"/>
              <w:rPr>
                <w:b/>
                <w:i/>
                <w:szCs w:val="24"/>
              </w:rPr>
            </w:pPr>
            <w:r w:rsidRPr="00BC08D6">
              <w:rPr>
                <w:b/>
                <w:bCs/>
                <w:szCs w:val="24"/>
              </w:rPr>
              <w:t>201</w:t>
            </w:r>
            <w:r w:rsidR="00C473CB">
              <w:rPr>
                <w:b/>
                <w:bCs/>
                <w:szCs w:val="24"/>
              </w:rPr>
              <w:t>9</w:t>
            </w:r>
          </w:p>
        </w:tc>
        <w:tc>
          <w:tcPr>
            <w:tcW w:w="1417" w:type="dxa"/>
            <w:vAlign w:val="center"/>
          </w:tcPr>
          <w:p w14:paraId="41C5A877" w14:textId="77777777" w:rsidR="00BC08D6" w:rsidRPr="00BC08D6" w:rsidRDefault="00BC08D6" w:rsidP="00C473CB">
            <w:pPr>
              <w:pStyle w:val="naisf"/>
              <w:spacing w:before="0" w:after="0"/>
              <w:jc w:val="center"/>
              <w:rPr>
                <w:b/>
                <w:i/>
                <w:szCs w:val="24"/>
              </w:rPr>
            </w:pPr>
            <w:r w:rsidRPr="00BC08D6">
              <w:rPr>
                <w:b/>
                <w:bCs/>
                <w:szCs w:val="24"/>
              </w:rPr>
              <w:t>20</w:t>
            </w:r>
            <w:r w:rsidR="00C473CB">
              <w:rPr>
                <w:b/>
                <w:bCs/>
                <w:szCs w:val="24"/>
              </w:rPr>
              <w:t>20</w:t>
            </w:r>
          </w:p>
        </w:tc>
      </w:tr>
      <w:tr w:rsidR="00BC08D6" w:rsidRPr="005128C9" w14:paraId="37A108B1" w14:textId="77777777" w:rsidTr="00BC08D6">
        <w:trPr>
          <w:jc w:val="center"/>
        </w:trPr>
        <w:tc>
          <w:tcPr>
            <w:tcW w:w="1709" w:type="dxa"/>
            <w:vMerge/>
            <w:vAlign w:val="center"/>
          </w:tcPr>
          <w:p w14:paraId="6E4529BE" w14:textId="77777777" w:rsidR="00BC08D6" w:rsidRPr="00BC08D6" w:rsidRDefault="00BC08D6" w:rsidP="007D02DE">
            <w:pPr>
              <w:pStyle w:val="naisf"/>
              <w:spacing w:before="0" w:after="0"/>
              <w:jc w:val="center"/>
              <w:rPr>
                <w:b/>
                <w:i/>
                <w:szCs w:val="24"/>
              </w:rPr>
            </w:pPr>
          </w:p>
        </w:tc>
        <w:tc>
          <w:tcPr>
            <w:tcW w:w="1263" w:type="dxa"/>
            <w:vAlign w:val="center"/>
          </w:tcPr>
          <w:p w14:paraId="6E5F3DDB" w14:textId="77777777" w:rsidR="00BC08D6" w:rsidRPr="00BC08D6" w:rsidRDefault="00BC08D6" w:rsidP="007D02DE">
            <w:pPr>
              <w:pStyle w:val="naisf"/>
              <w:spacing w:before="0" w:after="0"/>
              <w:jc w:val="center"/>
              <w:rPr>
                <w:b/>
                <w:i/>
                <w:szCs w:val="24"/>
              </w:rPr>
            </w:pPr>
            <w:r w:rsidRPr="00BC08D6">
              <w:rPr>
                <w:szCs w:val="24"/>
              </w:rPr>
              <w:t>saskaņā ar valsts budžetu kārtējam gadam</w:t>
            </w:r>
          </w:p>
        </w:tc>
        <w:tc>
          <w:tcPr>
            <w:tcW w:w="1418" w:type="dxa"/>
            <w:vAlign w:val="center"/>
          </w:tcPr>
          <w:p w14:paraId="56D4E0AF" w14:textId="77777777" w:rsidR="00BC08D6" w:rsidRPr="00BC08D6" w:rsidRDefault="00BC08D6" w:rsidP="007D02DE">
            <w:pPr>
              <w:pStyle w:val="naisf"/>
              <w:spacing w:before="0" w:after="0"/>
              <w:jc w:val="center"/>
              <w:rPr>
                <w:b/>
                <w:i/>
                <w:szCs w:val="24"/>
              </w:rPr>
            </w:pPr>
            <w:r w:rsidRPr="00BC08D6">
              <w:rPr>
                <w:szCs w:val="24"/>
              </w:rPr>
              <w:t>izmaiņas kārtējā gadā, salīdzinot ar budžetu kārtējam gadam</w:t>
            </w:r>
          </w:p>
        </w:tc>
        <w:tc>
          <w:tcPr>
            <w:tcW w:w="2268" w:type="dxa"/>
            <w:vAlign w:val="center"/>
          </w:tcPr>
          <w:p w14:paraId="3FBC8998" w14:textId="77777777" w:rsidR="00BC08D6" w:rsidRPr="00BC08D6" w:rsidRDefault="00BC08D6" w:rsidP="00A43769">
            <w:pPr>
              <w:pStyle w:val="naisf"/>
              <w:spacing w:before="0" w:after="0"/>
              <w:jc w:val="center"/>
              <w:rPr>
                <w:b/>
                <w:i/>
                <w:szCs w:val="24"/>
              </w:rPr>
            </w:pPr>
            <w:r w:rsidRPr="00BC08D6">
              <w:rPr>
                <w:szCs w:val="24"/>
              </w:rPr>
              <w:t>izmaiņas, salīdzinot ar kārtējo 201</w:t>
            </w:r>
            <w:r w:rsidR="00A43769">
              <w:rPr>
                <w:szCs w:val="24"/>
              </w:rPr>
              <w:t>7</w:t>
            </w:r>
            <w:r w:rsidRPr="00BC08D6">
              <w:rPr>
                <w:szCs w:val="24"/>
              </w:rPr>
              <w:t>. gadu</w:t>
            </w:r>
          </w:p>
        </w:tc>
        <w:tc>
          <w:tcPr>
            <w:tcW w:w="1701" w:type="dxa"/>
            <w:vAlign w:val="center"/>
          </w:tcPr>
          <w:p w14:paraId="3EF754E6" w14:textId="77777777" w:rsidR="00BC08D6" w:rsidRPr="00BC08D6" w:rsidRDefault="00BC08D6" w:rsidP="00A43769">
            <w:pPr>
              <w:pStyle w:val="naisf"/>
              <w:spacing w:before="0" w:after="0"/>
              <w:jc w:val="center"/>
              <w:rPr>
                <w:b/>
                <w:i/>
                <w:szCs w:val="24"/>
              </w:rPr>
            </w:pPr>
            <w:r w:rsidRPr="00BC08D6">
              <w:rPr>
                <w:szCs w:val="24"/>
              </w:rPr>
              <w:t>izmaiņas, salīdzinot ar kārtējo 201</w:t>
            </w:r>
            <w:r w:rsidR="00A43769">
              <w:rPr>
                <w:szCs w:val="24"/>
              </w:rPr>
              <w:t>7</w:t>
            </w:r>
            <w:r w:rsidRPr="00BC08D6">
              <w:rPr>
                <w:szCs w:val="24"/>
              </w:rPr>
              <w:t>. gadu</w:t>
            </w:r>
          </w:p>
        </w:tc>
        <w:tc>
          <w:tcPr>
            <w:tcW w:w="1417" w:type="dxa"/>
            <w:vAlign w:val="center"/>
          </w:tcPr>
          <w:p w14:paraId="3180DCBD" w14:textId="77777777" w:rsidR="00BC08D6" w:rsidRPr="00BC08D6" w:rsidRDefault="00BC08D6" w:rsidP="00A43769">
            <w:pPr>
              <w:pStyle w:val="naisf"/>
              <w:spacing w:before="0" w:after="0"/>
              <w:jc w:val="center"/>
              <w:rPr>
                <w:b/>
                <w:i/>
                <w:szCs w:val="24"/>
              </w:rPr>
            </w:pPr>
            <w:r w:rsidRPr="00BC08D6">
              <w:rPr>
                <w:szCs w:val="24"/>
              </w:rPr>
              <w:t>izmaiņas, salīdzinot ar kārtējo 201</w:t>
            </w:r>
            <w:r w:rsidR="00A43769">
              <w:rPr>
                <w:szCs w:val="24"/>
              </w:rPr>
              <w:t>7</w:t>
            </w:r>
            <w:r w:rsidRPr="00BC08D6">
              <w:rPr>
                <w:szCs w:val="24"/>
              </w:rPr>
              <w:t>. gadu</w:t>
            </w:r>
          </w:p>
        </w:tc>
      </w:tr>
      <w:tr w:rsidR="00BC08D6" w:rsidRPr="005128C9" w14:paraId="02CB2923" w14:textId="77777777" w:rsidTr="00BC08D6">
        <w:trPr>
          <w:jc w:val="center"/>
        </w:trPr>
        <w:tc>
          <w:tcPr>
            <w:tcW w:w="1709" w:type="dxa"/>
            <w:vAlign w:val="center"/>
          </w:tcPr>
          <w:p w14:paraId="37D73376" w14:textId="77777777" w:rsidR="00BC08D6" w:rsidRPr="00BC08D6" w:rsidRDefault="00BC08D6" w:rsidP="007D02DE">
            <w:pPr>
              <w:pStyle w:val="naisf"/>
              <w:spacing w:before="0" w:after="0"/>
              <w:jc w:val="center"/>
              <w:rPr>
                <w:bCs/>
                <w:szCs w:val="24"/>
              </w:rPr>
            </w:pPr>
            <w:r w:rsidRPr="00BC08D6">
              <w:rPr>
                <w:bCs/>
                <w:szCs w:val="24"/>
              </w:rPr>
              <w:t>1</w:t>
            </w:r>
          </w:p>
        </w:tc>
        <w:tc>
          <w:tcPr>
            <w:tcW w:w="1263" w:type="dxa"/>
            <w:vAlign w:val="center"/>
          </w:tcPr>
          <w:p w14:paraId="55DE0271" w14:textId="77777777" w:rsidR="00BC08D6" w:rsidRPr="00BC08D6" w:rsidRDefault="00BC08D6" w:rsidP="007D02DE">
            <w:pPr>
              <w:pStyle w:val="naisf"/>
              <w:spacing w:before="0" w:after="0"/>
              <w:jc w:val="center"/>
              <w:rPr>
                <w:bCs/>
                <w:szCs w:val="24"/>
              </w:rPr>
            </w:pPr>
            <w:r w:rsidRPr="00BC08D6">
              <w:rPr>
                <w:bCs/>
                <w:szCs w:val="24"/>
              </w:rPr>
              <w:t>2</w:t>
            </w:r>
          </w:p>
        </w:tc>
        <w:tc>
          <w:tcPr>
            <w:tcW w:w="1418" w:type="dxa"/>
            <w:vAlign w:val="center"/>
          </w:tcPr>
          <w:p w14:paraId="41109B51" w14:textId="77777777" w:rsidR="00BC08D6" w:rsidRPr="00BC08D6" w:rsidRDefault="00BC08D6" w:rsidP="007D02DE">
            <w:pPr>
              <w:pStyle w:val="naisf"/>
              <w:spacing w:before="0" w:after="0"/>
              <w:jc w:val="center"/>
              <w:rPr>
                <w:bCs/>
                <w:szCs w:val="24"/>
              </w:rPr>
            </w:pPr>
            <w:r w:rsidRPr="00BC08D6">
              <w:rPr>
                <w:bCs/>
                <w:szCs w:val="24"/>
              </w:rPr>
              <w:t>3</w:t>
            </w:r>
          </w:p>
        </w:tc>
        <w:tc>
          <w:tcPr>
            <w:tcW w:w="2268" w:type="dxa"/>
            <w:vAlign w:val="center"/>
          </w:tcPr>
          <w:p w14:paraId="35234C57" w14:textId="77777777" w:rsidR="00BC08D6" w:rsidRPr="00BC08D6" w:rsidRDefault="00BC08D6" w:rsidP="007D02DE">
            <w:pPr>
              <w:pStyle w:val="naisf"/>
              <w:spacing w:before="0" w:after="0"/>
              <w:jc w:val="center"/>
              <w:rPr>
                <w:bCs/>
                <w:szCs w:val="24"/>
              </w:rPr>
            </w:pPr>
            <w:r w:rsidRPr="00BC08D6">
              <w:rPr>
                <w:bCs/>
                <w:szCs w:val="24"/>
              </w:rPr>
              <w:t>4</w:t>
            </w:r>
          </w:p>
        </w:tc>
        <w:tc>
          <w:tcPr>
            <w:tcW w:w="1701" w:type="dxa"/>
            <w:vAlign w:val="center"/>
          </w:tcPr>
          <w:p w14:paraId="26347E3F" w14:textId="77777777" w:rsidR="00BC08D6" w:rsidRPr="00BC08D6" w:rsidRDefault="00BC08D6" w:rsidP="007D02DE">
            <w:pPr>
              <w:pStyle w:val="naisf"/>
              <w:spacing w:before="0" w:after="0"/>
              <w:jc w:val="center"/>
              <w:rPr>
                <w:bCs/>
                <w:szCs w:val="24"/>
              </w:rPr>
            </w:pPr>
            <w:r w:rsidRPr="00BC08D6">
              <w:rPr>
                <w:bCs/>
                <w:szCs w:val="24"/>
              </w:rPr>
              <w:t>5</w:t>
            </w:r>
          </w:p>
        </w:tc>
        <w:tc>
          <w:tcPr>
            <w:tcW w:w="1417" w:type="dxa"/>
            <w:vAlign w:val="center"/>
          </w:tcPr>
          <w:p w14:paraId="46DC0C28" w14:textId="77777777" w:rsidR="00BC08D6" w:rsidRPr="00BC08D6" w:rsidRDefault="00BC08D6" w:rsidP="007D02DE">
            <w:pPr>
              <w:pStyle w:val="naisf"/>
              <w:spacing w:before="0" w:after="0"/>
              <w:jc w:val="center"/>
              <w:rPr>
                <w:bCs/>
                <w:szCs w:val="24"/>
              </w:rPr>
            </w:pPr>
            <w:r w:rsidRPr="00BC08D6">
              <w:rPr>
                <w:bCs/>
                <w:szCs w:val="24"/>
              </w:rPr>
              <w:t>6</w:t>
            </w:r>
          </w:p>
        </w:tc>
      </w:tr>
      <w:tr w:rsidR="00BC08D6" w:rsidRPr="00E7737A" w14:paraId="27FA9DE3" w14:textId="77777777" w:rsidTr="00BC08D6">
        <w:trPr>
          <w:jc w:val="center"/>
        </w:trPr>
        <w:tc>
          <w:tcPr>
            <w:tcW w:w="1709" w:type="dxa"/>
          </w:tcPr>
          <w:p w14:paraId="46F5C595" w14:textId="77777777" w:rsidR="00BC08D6" w:rsidRPr="00BC08D6" w:rsidRDefault="00BC08D6" w:rsidP="007D02DE">
            <w:pPr>
              <w:pStyle w:val="naisf"/>
              <w:spacing w:before="0" w:after="0"/>
              <w:rPr>
                <w:i/>
                <w:szCs w:val="24"/>
              </w:rPr>
            </w:pPr>
            <w:r w:rsidRPr="00BC08D6">
              <w:rPr>
                <w:szCs w:val="24"/>
              </w:rPr>
              <w:t>1. Budžeta ieņēmumi:</w:t>
            </w:r>
          </w:p>
        </w:tc>
        <w:tc>
          <w:tcPr>
            <w:tcW w:w="1263" w:type="dxa"/>
          </w:tcPr>
          <w:p w14:paraId="5DA9C2DD" w14:textId="77777777" w:rsidR="00BC08D6" w:rsidRPr="00BC08D6" w:rsidRDefault="00A43769" w:rsidP="007D02DE">
            <w:pPr>
              <w:pStyle w:val="naisf"/>
              <w:spacing w:before="0" w:after="0"/>
              <w:jc w:val="center"/>
              <w:rPr>
                <w:szCs w:val="24"/>
              </w:rPr>
            </w:pPr>
            <w:r>
              <w:rPr>
                <w:szCs w:val="24"/>
              </w:rPr>
              <w:t>9 672 187</w:t>
            </w:r>
          </w:p>
        </w:tc>
        <w:tc>
          <w:tcPr>
            <w:tcW w:w="1418" w:type="dxa"/>
          </w:tcPr>
          <w:p w14:paraId="54A5920B" w14:textId="77777777" w:rsidR="00BC08D6" w:rsidRPr="00BC08D6" w:rsidRDefault="00BC08D6" w:rsidP="007D02DE">
            <w:pPr>
              <w:pStyle w:val="naisf"/>
              <w:spacing w:before="0" w:after="0"/>
              <w:jc w:val="center"/>
              <w:rPr>
                <w:szCs w:val="24"/>
              </w:rPr>
            </w:pPr>
            <w:r w:rsidRPr="00BC08D6">
              <w:rPr>
                <w:szCs w:val="24"/>
              </w:rPr>
              <w:t>0</w:t>
            </w:r>
          </w:p>
        </w:tc>
        <w:tc>
          <w:tcPr>
            <w:tcW w:w="2268" w:type="dxa"/>
          </w:tcPr>
          <w:p w14:paraId="6EE09034" w14:textId="73D72F27" w:rsidR="00BC08D6" w:rsidRPr="00BC08D6" w:rsidRDefault="004D1C9A" w:rsidP="007D02DE">
            <w:pPr>
              <w:pStyle w:val="naisf"/>
              <w:spacing w:before="0" w:after="0"/>
              <w:jc w:val="center"/>
              <w:rPr>
                <w:szCs w:val="24"/>
              </w:rPr>
            </w:pPr>
            <w:r>
              <w:rPr>
                <w:szCs w:val="24"/>
              </w:rPr>
              <w:t>0</w:t>
            </w:r>
          </w:p>
        </w:tc>
        <w:tc>
          <w:tcPr>
            <w:tcW w:w="1701" w:type="dxa"/>
          </w:tcPr>
          <w:p w14:paraId="3808FD6C" w14:textId="2138F0EB" w:rsidR="00BC08D6" w:rsidRPr="00BC08D6" w:rsidRDefault="004D1C9A" w:rsidP="007D02DE">
            <w:pPr>
              <w:pStyle w:val="naisf"/>
              <w:spacing w:before="0" w:after="0"/>
              <w:jc w:val="center"/>
              <w:rPr>
                <w:szCs w:val="24"/>
              </w:rPr>
            </w:pPr>
            <w:r>
              <w:rPr>
                <w:szCs w:val="24"/>
              </w:rPr>
              <w:t>0</w:t>
            </w:r>
          </w:p>
        </w:tc>
        <w:tc>
          <w:tcPr>
            <w:tcW w:w="1417" w:type="dxa"/>
          </w:tcPr>
          <w:p w14:paraId="4BEEECAE" w14:textId="4888F93E" w:rsidR="00BC08D6" w:rsidRPr="00BC08D6" w:rsidRDefault="004D1C9A" w:rsidP="007D02DE">
            <w:pPr>
              <w:pStyle w:val="naisf"/>
              <w:spacing w:before="0" w:after="0"/>
              <w:jc w:val="center"/>
              <w:rPr>
                <w:szCs w:val="24"/>
              </w:rPr>
            </w:pPr>
            <w:r>
              <w:rPr>
                <w:szCs w:val="24"/>
              </w:rPr>
              <w:t>0</w:t>
            </w:r>
          </w:p>
        </w:tc>
      </w:tr>
      <w:tr w:rsidR="00BC08D6" w:rsidRPr="00E7737A" w14:paraId="589E2306" w14:textId="77777777" w:rsidTr="00BC08D6">
        <w:trPr>
          <w:jc w:val="center"/>
        </w:trPr>
        <w:tc>
          <w:tcPr>
            <w:tcW w:w="1709" w:type="dxa"/>
          </w:tcPr>
          <w:p w14:paraId="5487DCAA" w14:textId="77777777" w:rsidR="00BC08D6" w:rsidRPr="00BC08D6" w:rsidRDefault="00BC08D6" w:rsidP="007D02DE">
            <w:pPr>
              <w:pStyle w:val="naisf"/>
              <w:spacing w:before="0" w:after="0"/>
              <w:rPr>
                <w:i/>
                <w:szCs w:val="24"/>
              </w:rPr>
            </w:pPr>
            <w:r w:rsidRPr="00BC08D6">
              <w:rPr>
                <w:szCs w:val="24"/>
              </w:rPr>
              <w:t>1.1. valsts pamatbudžets, tai skaitā ieņēmumi no maksas pakalpojumiem un citi pašu ieņēmumi</w:t>
            </w:r>
          </w:p>
        </w:tc>
        <w:tc>
          <w:tcPr>
            <w:tcW w:w="1263" w:type="dxa"/>
          </w:tcPr>
          <w:p w14:paraId="7B293F5E" w14:textId="77777777" w:rsidR="00BC08D6" w:rsidRPr="00BC08D6" w:rsidRDefault="00C473CB" w:rsidP="007D02DE">
            <w:pPr>
              <w:pStyle w:val="naisf"/>
              <w:spacing w:before="0" w:after="0"/>
              <w:jc w:val="center"/>
              <w:rPr>
                <w:szCs w:val="24"/>
              </w:rPr>
            </w:pPr>
            <w:r>
              <w:rPr>
                <w:szCs w:val="24"/>
              </w:rPr>
              <w:t>9 672 187</w:t>
            </w:r>
          </w:p>
        </w:tc>
        <w:tc>
          <w:tcPr>
            <w:tcW w:w="1418" w:type="dxa"/>
          </w:tcPr>
          <w:p w14:paraId="787102A4" w14:textId="77777777" w:rsidR="00BC08D6" w:rsidRPr="00BC08D6" w:rsidRDefault="00BC08D6" w:rsidP="007D02DE">
            <w:pPr>
              <w:pStyle w:val="naisf"/>
              <w:spacing w:before="0" w:after="0"/>
              <w:jc w:val="center"/>
              <w:rPr>
                <w:szCs w:val="24"/>
              </w:rPr>
            </w:pPr>
            <w:r w:rsidRPr="00BC08D6">
              <w:rPr>
                <w:szCs w:val="24"/>
              </w:rPr>
              <w:t>0</w:t>
            </w:r>
          </w:p>
        </w:tc>
        <w:tc>
          <w:tcPr>
            <w:tcW w:w="2268" w:type="dxa"/>
          </w:tcPr>
          <w:p w14:paraId="227F3368" w14:textId="49CEA55A" w:rsidR="00BC08D6" w:rsidRPr="00BC08D6" w:rsidRDefault="004D1C9A" w:rsidP="007D02DE">
            <w:pPr>
              <w:pStyle w:val="naisf"/>
              <w:spacing w:before="0" w:after="0"/>
              <w:jc w:val="center"/>
              <w:rPr>
                <w:szCs w:val="24"/>
              </w:rPr>
            </w:pPr>
            <w:r>
              <w:rPr>
                <w:szCs w:val="24"/>
              </w:rPr>
              <w:t>0</w:t>
            </w:r>
          </w:p>
        </w:tc>
        <w:tc>
          <w:tcPr>
            <w:tcW w:w="1701" w:type="dxa"/>
          </w:tcPr>
          <w:p w14:paraId="04E3F0EE" w14:textId="79A9CE65" w:rsidR="00BC08D6" w:rsidRPr="00BC08D6" w:rsidRDefault="004D1C9A" w:rsidP="007D02DE">
            <w:pPr>
              <w:pStyle w:val="naisf"/>
              <w:spacing w:before="0" w:after="0"/>
              <w:jc w:val="center"/>
              <w:rPr>
                <w:szCs w:val="24"/>
              </w:rPr>
            </w:pPr>
            <w:r>
              <w:rPr>
                <w:szCs w:val="24"/>
              </w:rPr>
              <w:t>0</w:t>
            </w:r>
          </w:p>
        </w:tc>
        <w:tc>
          <w:tcPr>
            <w:tcW w:w="1417" w:type="dxa"/>
          </w:tcPr>
          <w:p w14:paraId="379E8D43" w14:textId="385A89AA" w:rsidR="00BC08D6" w:rsidRPr="00BC08D6" w:rsidRDefault="004D1C9A" w:rsidP="007D02DE">
            <w:pPr>
              <w:pStyle w:val="naisf"/>
              <w:spacing w:before="0" w:after="0"/>
              <w:jc w:val="center"/>
              <w:rPr>
                <w:szCs w:val="24"/>
              </w:rPr>
            </w:pPr>
            <w:r>
              <w:rPr>
                <w:szCs w:val="24"/>
              </w:rPr>
              <w:t>0</w:t>
            </w:r>
          </w:p>
        </w:tc>
      </w:tr>
      <w:tr w:rsidR="00BC08D6" w:rsidRPr="00E7737A" w14:paraId="3DB0742F" w14:textId="77777777" w:rsidTr="00BC08D6">
        <w:trPr>
          <w:jc w:val="center"/>
        </w:trPr>
        <w:tc>
          <w:tcPr>
            <w:tcW w:w="1709" w:type="dxa"/>
          </w:tcPr>
          <w:p w14:paraId="45B2754C" w14:textId="77777777" w:rsidR="00BC08D6" w:rsidRPr="00BC08D6" w:rsidRDefault="00BC08D6" w:rsidP="007D02DE">
            <w:pPr>
              <w:pStyle w:val="naisf"/>
              <w:spacing w:before="0" w:after="0"/>
              <w:rPr>
                <w:i/>
                <w:szCs w:val="24"/>
              </w:rPr>
            </w:pPr>
            <w:r w:rsidRPr="00BC08D6">
              <w:rPr>
                <w:szCs w:val="24"/>
              </w:rPr>
              <w:t>1.2. valsts speciālais budžets</w:t>
            </w:r>
          </w:p>
        </w:tc>
        <w:tc>
          <w:tcPr>
            <w:tcW w:w="1263" w:type="dxa"/>
          </w:tcPr>
          <w:p w14:paraId="6A4AAF76" w14:textId="77777777" w:rsidR="00BC08D6" w:rsidRPr="00BC08D6" w:rsidRDefault="00BC08D6" w:rsidP="007D02DE">
            <w:pPr>
              <w:pStyle w:val="naisf"/>
              <w:spacing w:before="0" w:after="0"/>
              <w:jc w:val="center"/>
              <w:rPr>
                <w:szCs w:val="24"/>
              </w:rPr>
            </w:pPr>
            <w:r w:rsidRPr="00BC08D6">
              <w:rPr>
                <w:szCs w:val="24"/>
              </w:rPr>
              <w:t>0</w:t>
            </w:r>
          </w:p>
        </w:tc>
        <w:tc>
          <w:tcPr>
            <w:tcW w:w="1418" w:type="dxa"/>
          </w:tcPr>
          <w:p w14:paraId="4E3A2D50" w14:textId="77777777" w:rsidR="00BC08D6" w:rsidRPr="00BC08D6" w:rsidRDefault="00BC08D6" w:rsidP="007D02DE">
            <w:pPr>
              <w:pStyle w:val="naisf"/>
              <w:spacing w:before="0" w:after="0"/>
              <w:jc w:val="center"/>
              <w:rPr>
                <w:szCs w:val="24"/>
              </w:rPr>
            </w:pPr>
            <w:r w:rsidRPr="00BC08D6">
              <w:rPr>
                <w:szCs w:val="24"/>
              </w:rPr>
              <w:t>0</w:t>
            </w:r>
          </w:p>
        </w:tc>
        <w:tc>
          <w:tcPr>
            <w:tcW w:w="2268" w:type="dxa"/>
          </w:tcPr>
          <w:p w14:paraId="28E94209" w14:textId="77777777" w:rsidR="00BC08D6" w:rsidRPr="00BC08D6" w:rsidRDefault="00BC08D6" w:rsidP="007D02DE">
            <w:pPr>
              <w:pStyle w:val="naisf"/>
              <w:spacing w:before="0" w:after="0"/>
              <w:jc w:val="center"/>
              <w:rPr>
                <w:szCs w:val="24"/>
              </w:rPr>
            </w:pPr>
            <w:r w:rsidRPr="00BC08D6">
              <w:rPr>
                <w:szCs w:val="24"/>
              </w:rPr>
              <w:t>0</w:t>
            </w:r>
          </w:p>
        </w:tc>
        <w:tc>
          <w:tcPr>
            <w:tcW w:w="1701" w:type="dxa"/>
          </w:tcPr>
          <w:p w14:paraId="1797234C" w14:textId="77777777" w:rsidR="00BC08D6" w:rsidRPr="00BC08D6" w:rsidRDefault="00BC08D6" w:rsidP="007D02DE">
            <w:pPr>
              <w:pStyle w:val="naisf"/>
              <w:spacing w:before="0" w:after="0"/>
              <w:jc w:val="center"/>
              <w:rPr>
                <w:szCs w:val="24"/>
              </w:rPr>
            </w:pPr>
            <w:r w:rsidRPr="00BC08D6">
              <w:rPr>
                <w:szCs w:val="24"/>
              </w:rPr>
              <w:t>0</w:t>
            </w:r>
          </w:p>
        </w:tc>
        <w:tc>
          <w:tcPr>
            <w:tcW w:w="1417" w:type="dxa"/>
          </w:tcPr>
          <w:p w14:paraId="1C31CDCA" w14:textId="77777777" w:rsidR="00BC08D6" w:rsidRPr="00BC08D6" w:rsidRDefault="00BC08D6" w:rsidP="007D02DE">
            <w:pPr>
              <w:pStyle w:val="naisf"/>
              <w:spacing w:before="0" w:after="0"/>
              <w:jc w:val="center"/>
              <w:rPr>
                <w:szCs w:val="24"/>
              </w:rPr>
            </w:pPr>
            <w:r w:rsidRPr="00BC08D6">
              <w:rPr>
                <w:szCs w:val="24"/>
              </w:rPr>
              <w:t>0</w:t>
            </w:r>
          </w:p>
        </w:tc>
      </w:tr>
      <w:tr w:rsidR="00BC08D6" w:rsidRPr="00E7737A" w14:paraId="79FF2CD9" w14:textId="77777777" w:rsidTr="00BC08D6">
        <w:trPr>
          <w:jc w:val="center"/>
        </w:trPr>
        <w:tc>
          <w:tcPr>
            <w:tcW w:w="1709" w:type="dxa"/>
          </w:tcPr>
          <w:p w14:paraId="3565F296" w14:textId="77777777" w:rsidR="00BC08D6" w:rsidRPr="00BC08D6" w:rsidRDefault="00BC08D6" w:rsidP="007D02DE">
            <w:pPr>
              <w:pStyle w:val="naisf"/>
              <w:spacing w:before="0" w:after="0"/>
              <w:rPr>
                <w:i/>
                <w:szCs w:val="24"/>
              </w:rPr>
            </w:pPr>
            <w:r w:rsidRPr="00BC08D6">
              <w:rPr>
                <w:szCs w:val="24"/>
              </w:rPr>
              <w:t>1.3. pašvaldību budžets</w:t>
            </w:r>
          </w:p>
        </w:tc>
        <w:tc>
          <w:tcPr>
            <w:tcW w:w="1263" w:type="dxa"/>
          </w:tcPr>
          <w:p w14:paraId="23183139" w14:textId="77777777" w:rsidR="00BC08D6" w:rsidRPr="00BC08D6" w:rsidRDefault="00BC08D6" w:rsidP="007D02DE">
            <w:pPr>
              <w:pStyle w:val="naisf"/>
              <w:spacing w:before="0" w:after="0"/>
              <w:jc w:val="center"/>
              <w:rPr>
                <w:szCs w:val="24"/>
              </w:rPr>
            </w:pPr>
            <w:r w:rsidRPr="00BC08D6">
              <w:rPr>
                <w:szCs w:val="24"/>
              </w:rPr>
              <w:t>0</w:t>
            </w:r>
          </w:p>
        </w:tc>
        <w:tc>
          <w:tcPr>
            <w:tcW w:w="1418" w:type="dxa"/>
          </w:tcPr>
          <w:p w14:paraId="72250B2E" w14:textId="77777777" w:rsidR="00BC08D6" w:rsidRPr="00BC08D6" w:rsidRDefault="00BC08D6" w:rsidP="007D02DE">
            <w:pPr>
              <w:pStyle w:val="naisf"/>
              <w:spacing w:before="0" w:after="0"/>
              <w:jc w:val="center"/>
              <w:rPr>
                <w:szCs w:val="24"/>
              </w:rPr>
            </w:pPr>
            <w:r w:rsidRPr="00BC08D6">
              <w:rPr>
                <w:szCs w:val="24"/>
              </w:rPr>
              <w:t>0</w:t>
            </w:r>
          </w:p>
        </w:tc>
        <w:tc>
          <w:tcPr>
            <w:tcW w:w="2268" w:type="dxa"/>
          </w:tcPr>
          <w:p w14:paraId="122ADBC0" w14:textId="77777777" w:rsidR="00BC08D6" w:rsidRPr="00BC08D6" w:rsidRDefault="00BC08D6" w:rsidP="007D02DE">
            <w:pPr>
              <w:pStyle w:val="naisf"/>
              <w:spacing w:before="0" w:after="0"/>
              <w:jc w:val="center"/>
              <w:rPr>
                <w:szCs w:val="24"/>
              </w:rPr>
            </w:pPr>
            <w:r w:rsidRPr="00BC08D6">
              <w:rPr>
                <w:szCs w:val="24"/>
              </w:rPr>
              <w:t>0</w:t>
            </w:r>
          </w:p>
        </w:tc>
        <w:tc>
          <w:tcPr>
            <w:tcW w:w="1701" w:type="dxa"/>
          </w:tcPr>
          <w:p w14:paraId="113D07EE" w14:textId="77777777" w:rsidR="00BC08D6" w:rsidRPr="00BC08D6" w:rsidRDefault="00BC08D6" w:rsidP="007D02DE">
            <w:pPr>
              <w:pStyle w:val="naisf"/>
              <w:spacing w:before="0" w:after="0"/>
              <w:jc w:val="center"/>
              <w:rPr>
                <w:szCs w:val="24"/>
              </w:rPr>
            </w:pPr>
            <w:r w:rsidRPr="00BC08D6">
              <w:rPr>
                <w:szCs w:val="24"/>
              </w:rPr>
              <w:t>0</w:t>
            </w:r>
          </w:p>
        </w:tc>
        <w:tc>
          <w:tcPr>
            <w:tcW w:w="1417" w:type="dxa"/>
          </w:tcPr>
          <w:p w14:paraId="6D65EB42" w14:textId="77777777" w:rsidR="00BC08D6" w:rsidRPr="00BC08D6" w:rsidRDefault="00BC08D6" w:rsidP="007D02DE">
            <w:pPr>
              <w:pStyle w:val="naisf"/>
              <w:spacing w:before="0" w:after="0"/>
              <w:jc w:val="center"/>
              <w:rPr>
                <w:szCs w:val="24"/>
              </w:rPr>
            </w:pPr>
            <w:r w:rsidRPr="00BC08D6">
              <w:rPr>
                <w:szCs w:val="24"/>
              </w:rPr>
              <w:t>0</w:t>
            </w:r>
          </w:p>
        </w:tc>
      </w:tr>
      <w:tr w:rsidR="00A43769" w:rsidRPr="00E7737A" w14:paraId="79DD59E5" w14:textId="77777777" w:rsidTr="00BC08D6">
        <w:trPr>
          <w:jc w:val="center"/>
        </w:trPr>
        <w:tc>
          <w:tcPr>
            <w:tcW w:w="1709" w:type="dxa"/>
          </w:tcPr>
          <w:p w14:paraId="4D6873FF"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2. Budžeta izdevumi:</w:t>
            </w:r>
          </w:p>
        </w:tc>
        <w:tc>
          <w:tcPr>
            <w:tcW w:w="1263" w:type="dxa"/>
          </w:tcPr>
          <w:p w14:paraId="3B36DE85" w14:textId="77777777" w:rsidR="00A43769" w:rsidRPr="00BC08D6" w:rsidRDefault="00A43769" w:rsidP="00A43769">
            <w:pPr>
              <w:pStyle w:val="naisf"/>
              <w:spacing w:before="0" w:after="0"/>
              <w:jc w:val="center"/>
              <w:rPr>
                <w:szCs w:val="24"/>
              </w:rPr>
            </w:pPr>
            <w:r w:rsidRPr="00BC08D6">
              <w:rPr>
                <w:szCs w:val="24"/>
              </w:rPr>
              <w:t>4 887 951</w:t>
            </w:r>
          </w:p>
        </w:tc>
        <w:tc>
          <w:tcPr>
            <w:tcW w:w="1418" w:type="dxa"/>
          </w:tcPr>
          <w:p w14:paraId="430368D6"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74D9AF62" w14:textId="04600D24" w:rsidR="00A43769" w:rsidRPr="00BC08D6" w:rsidRDefault="00A43769" w:rsidP="00A43769">
            <w:pPr>
              <w:pStyle w:val="naisf"/>
              <w:spacing w:before="0" w:after="0"/>
              <w:jc w:val="center"/>
              <w:rPr>
                <w:szCs w:val="24"/>
              </w:rPr>
            </w:pPr>
            <w:r w:rsidRPr="00BC08D6">
              <w:rPr>
                <w:szCs w:val="24"/>
              </w:rPr>
              <w:t>0</w:t>
            </w:r>
          </w:p>
        </w:tc>
        <w:tc>
          <w:tcPr>
            <w:tcW w:w="1701" w:type="dxa"/>
          </w:tcPr>
          <w:p w14:paraId="5E2A340B" w14:textId="73E4C20A" w:rsidR="00A43769" w:rsidRPr="00BC08D6" w:rsidRDefault="004D1C9A" w:rsidP="00A43769">
            <w:pPr>
              <w:pStyle w:val="naisf"/>
              <w:spacing w:before="0" w:after="0"/>
              <w:rPr>
                <w:szCs w:val="24"/>
              </w:rPr>
            </w:pPr>
            <w:r>
              <w:rPr>
                <w:szCs w:val="24"/>
              </w:rPr>
              <w:t>0</w:t>
            </w:r>
          </w:p>
        </w:tc>
        <w:tc>
          <w:tcPr>
            <w:tcW w:w="1417" w:type="dxa"/>
          </w:tcPr>
          <w:p w14:paraId="141B6423" w14:textId="29F50108" w:rsidR="00A43769" w:rsidRPr="00BC08D6" w:rsidRDefault="004D1C9A" w:rsidP="00A43769">
            <w:pPr>
              <w:pStyle w:val="naisf"/>
              <w:spacing w:before="0" w:after="0"/>
              <w:rPr>
                <w:szCs w:val="24"/>
              </w:rPr>
            </w:pPr>
            <w:r>
              <w:rPr>
                <w:szCs w:val="24"/>
              </w:rPr>
              <w:t>0</w:t>
            </w:r>
          </w:p>
        </w:tc>
      </w:tr>
      <w:tr w:rsidR="00A43769" w:rsidRPr="00E7737A" w14:paraId="78C0F81B" w14:textId="77777777" w:rsidTr="00BC08D6">
        <w:trPr>
          <w:jc w:val="center"/>
        </w:trPr>
        <w:tc>
          <w:tcPr>
            <w:tcW w:w="1709" w:type="dxa"/>
          </w:tcPr>
          <w:p w14:paraId="3BCE9576"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2.1. valsts pamatbudžets</w:t>
            </w:r>
          </w:p>
        </w:tc>
        <w:tc>
          <w:tcPr>
            <w:tcW w:w="1263" w:type="dxa"/>
          </w:tcPr>
          <w:p w14:paraId="7F489FAA" w14:textId="77777777" w:rsidR="00A43769" w:rsidRPr="00BC08D6" w:rsidRDefault="00A43769" w:rsidP="00A43769">
            <w:pPr>
              <w:pStyle w:val="naisf"/>
              <w:spacing w:before="0" w:after="0"/>
              <w:jc w:val="center"/>
              <w:rPr>
                <w:szCs w:val="24"/>
              </w:rPr>
            </w:pPr>
            <w:r w:rsidRPr="00BC08D6">
              <w:rPr>
                <w:szCs w:val="24"/>
              </w:rPr>
              <w:t>4 887 951</w:t>
            </w:r>
          </w:p>
        </w:tc>
        <w:tc>
          <w:tcPr>
            <w:tcW w:w="1418" w:type="dxa"/>
          </w:tcPr>
          <w:p w14:paraId="202227C2"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595BFFA3" w14:textId="37354C13" w:rsidR="00A43769" w:rsidRPr="00BC08D6" w:rsidRDefault="00A43769" w:rsidP="00A43769">
            <w:pPr>
              <w:pStyle w:val="naisf"/>
              <w:spacing w:before="0" w:after="0"/>
              <w:jc w:val="center"/>
              <w:rPr>
                <w:szCs w:val="24"/>
              </w:rPr>
            </w:pPr>
            <w:r w:rsidRPr="00BC08D6">
              <w:rPr>
                <w:szCs w:val="24"/>
              </w:rPr>
              <w:t>0</w:t>
            </w:r>
          </w:p>
        </w:tc>
        <w:tc>
          <w:tcPr>
            <w:tcW w:w="1701" w:type="dxa"/>
          </w:tcPr>
          <w:p w14:paraId="396AF8F7" w14:textId="12B44946" w:rsidR="00A43769" w:rsidRPr="00BC08D6" w:rsidRDefault="004D1C9A" w:rsidP="00A43769">
            <w:pPr>
              <w:pStyle w:val="naisf"/>
              <w:spacing w:before="0" w:after="0"/>
              <w:rPr>
                <w:szCs w:val="24"/>
              </w:rPr>
            </w:pPr>
            <w:r>
              <w:rPr>
                <w:szCs w:val="24"/>
              </w:rPr>
              <w:t>0</w:t>
            </w:r>
          </w:p>
        </w:tc>
        <w:tc>
          <w:tcPr>
            <w:tcW w:w="1417" w:type="dxa"/>
          </w:tcPr>
          <w:p w14:paraId="57DDF305" w14:textId="296BCA23" w:rsidR="00A43769" w:rsidRPr="00BC08D6" w:rsidRDefault="004D1C9A" w:rsidP="00A43769">
            <w:pPr>
              <w:pStyle w:val="naisf"/>
              <w:spacing w:before="0" w:after="0"/>
              <w:jc w:val="center"/>
              <w:rPr>
                <w:szCs w:val="24"/>
              </w:rPr>
            </w:pPr>
            <w:r>
              <w:rPr>
                <w:szCs w:val="24"/>
              </w:rPr>
              <w:t>0</w:t>
            </w:r>
          </w:p>
        </w:tc>
      </w:tr>
      <w:tr w:rsidR="00A43769" w:rsidRPr="00E7737A" w14:paraId="7FEDA3EA" w14:textId="77777777" w:rsidTr="00BC08D6">
        <w:trPr>
          <w:jc w:val="center"/>
        </w:trPr>
        <w:tc>
          <w:tcPr>
            <w:tcW w:w="1709" w:type="dxa"/>
          </w:tcPr>
          <w:p w14:paraId="1DFB163A"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2.2. valsts speciālais budžets</w:t>
            </w:r>
          </w:p>
        </w:tc>
        <w:tc>
          <w:tcPr>
            <w:tcW w:w="1263" w:type="dxa"/>
          </w:tcPr>
          <w:p w14:paraId="449070A2" w14:textId="77777777" w:rsidR="00A43769" w:rsidRPr="00BC08D6" w:rsidRDefault="00A43769" w:rsidP="00A43769">
            <w:pPr>
              <w:pStyle w:val="naisf"/>
              <w:spacing w:before="0" w:after="0"/>
              <w:jc w:val="center"/>
              <w:rPr>
                <w:szCs w:val="24"/>
              </w:rPr>
            </w:pPr>
            <w:r w:rsidRPr="00BC08D6">
              <w:rPr>
                <w:szCs w:val="24"/>
              </w:rPr>
              <w:t>0</w:t>
            </w:r>
          </w:p>
        </w:tc>
        <w:tc>
          <w:tcPr>
            <w:tcW w:w="1418" w:type="dxa"/>
          </w:tcPr>
          <w:p w14:paraId="743DCE37"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021D0C3F"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2F6B6E88"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477C203D"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1E6CC33D" w14:textId="77777777" w:rsidTr="00BC08D6">
        <w:trPr>
          <w:jc w:val="center"/>
        </w:trPr>
        <w:tc>
          <w:tcPr>
            <w:tcW w:w="1709" w:type="dxa"/>
          </w:tcPr>
          <w:p w14:paraId="5AB64D74"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lastRenderedPageBreak/>
              <w:t xml:space="preserve">2.3. pašvaldību budžets </w:t>
            </w:r>
          </w:p>
        </w:tc>
        <w:tc>
          <w:tcPr>
            <w:tcW w:w="1263" w:type="dxa"/>
          </w:tcPr>
          <w:p w14:paraId="1EC64850" w14:textId="77777777" w:rsidR="00A43769" w:rsidRPr="00BC08D6" w:rsidRDefault="00A43769" w:rsidP="00A43769">
            <w:pPr>
              <w:pStyle w:val="naisf"/>
              <w:spacing w:before="0" w:after="0"/>
              <w:jc w:val="center"/>
              <w:rPr>
                <w:szCs w:val="24"/>
              </w:rPr>
            </w:pPr>
            <w:r w:rsidRPr="00BC08D6">
              <w:rPr>
                <w:szCs w:val="24"/>
              </w:rPr>
              <w:t>0</w:t>
            </w:r>
          </w:p>
        </w:tc>
        <w:tc>
          <w:tcPr>
            <w:tcW w:w="1418" w:type="dxa"/>
          </w:tcPr>
          <w:p w14:paraId="37D0F17D"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65CD2CBD"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0B3A30D2"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526F99D1"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5B60A3D1" w14:textId="77777777" w:rsidTr="00BC08D6">
        <w:trPr>
          <w:jc w:val="center"/>
        </w:trPr>
        <w:tc>
          <w:tcPr>
            <w:tcW w:w="1709" w:type="dxa"/>
          </w:tcPr>
          <w:p w14:paraId="4D8ACC9B"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3. Finansiālā ietekme:</w:t>
            </w:r>
          </w:p>
        </w:tc>
        <w:tc>
          <w:tcPr>
            <w:tcW w:w="1263" w:type="dxa"/>
            <w:shd w:val="clear" w:color="auto" w:fill="auto"/>
            <w:vAlign w:val="center"/>
          </w:tcPr>
          <w:p w14:paraId="60D84128" w14:textId="77777777" w:rsidR="00A43769" w:rsidRPr="00BC08D6" w:rsidRDefault="00A43769" w:rsidP="00A43769">
            <w:pPr>
              <w:pStyle w:val="naisf"/>
              <w:spacing w:before="0" w:after="0"/>
              <w:jc w:val="center"/>
              <w:rPr>
                <w:szCs w:val="24"/>
              </w:rPr>
            </w:pPr>
            <w:r w:rsidRPr="00BC08D6">
              <w:rPr>
                <w:szCs w:val="24"/>
              </w:rPr>
              <w:t>0</w:t>
            </w:r>
          </w:p>
        </w:tc>
        <w:tc>
          <w:tcPr>
            <w:tcW w:w="1418" w:type="dxa"/>
          </w:tcPr>
          <w:p w14:paraId="6348761E"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6DE84DE3" w14:textId="27367409" w:rsidR="00A43769" w:rsidRPr="00BC08D6" w:rsidRDefault="004D1C9A" w:rsidP="00A43769">
            <w:pPr>
              <w:pStyle w:val="naisf"/>
              <w:spacing w:before="0" w:after="0"/>
              <w:jc w:val="center"/>
              <w:rPr>
                <w:szCs w:val="24"/>
              </w:rPr>
            </w:pPr>
            <w:r>
              <w:rPr>
                <w:szCs w:val="24"/>
              </w:rPr>
              <w:t>0</w:t>
            </w:r>
          </w:p>
        </w:tc>
        <w:tc>
          <w:tcPr>
            <w:tcW w:w="1701" w:type="dxa"/>
          </w:tcPr>
          <w:p w14:paraId="0400FA60" w14:textId="6F0E5682" w:rsidR="00A43769" w:rsidRPr="00BC08D6" w:rsidRDefault="004D1C9A" w:rsidP="00A43769">
            <w:pPr>
              <w:pStyle w:val="naisf"/>
              <w:spacing w:before="0" w:after="0"/>
              <w:jc w:val="center"/>
              <w:rPr>
                <w:szCs w:val="24"/>
              </w:rPr>
            </w:pPr>
            <w:r>
              <w:rPr>
                <w:szCs w:val="24"/>
              </w:rPr>
              <w:t>0</w:t>
            </w:r>
          </w:p>
        </w:tc>
        <w:tc>
          <w:tcPr>
            <w:tcW w:w="1417" w:type="dxa"/>
          </w:tcPr>
          <w:p w14:paraId="3491E08F" w14:textId="36174EE2" w:rsidR="00A43769" w:rsidRPr="00BC08D6" w:rsidRDefault="004D1C9A" w:rsidP="00A43769">
            <w:pPr>
              <w:pStyle w:val="naisf"/>
              <w:spacing w:before="0" w:after="0"/>
              <w:jc w:val="center"/>
              <w:rPr>
                <w:szCs w:val="24"/>
              </w:rPr>
            </w:pPr>
            <w:r>
              <w:rPr>
                <w:szCs w:val="24"/>
              </w:rPr>
              <w:t>0</w:t>
            </w:r>
          </w:p>
        </w:tc>
      </w:tr>
      <w:tr w:rsidR="00A43769" w:rsidRPr="00E7737A" w14:paraId="61667A0D" w14:textId="77777777" w:rsidTr="00BC08D6">
        <w:trPr>
          <w:jc w:val="center"/>
        </w:trPr>
        <w:tc>
          <w:tcPr>
            <w:tcW w:w="1709" w:type="dxa"/>
          </w:tcPr>
          <w:p w14:paraId="257968E9"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3.1. valsts pamatbudžets</w:t>
            </w:r>
          </w:p>
        </w:tc>
        <w:tc>
          <w:tcPr>
            <w:tcW w:w="1263" w:type="dxa"/>
            <w:shd w:val="clear" w:color="auto" w:fill="auto"/>
          </w:tcPr>
          <w:p w14:paraId="3DBA8045" w14:textId="77777777" w:rsidR="00A43769" w:rsidRPr="00BC08D6" w:rsidRDefault="00A43769" w:rsidP="00A43769">
            <w:pPr>
              <w:pStyle w:val="naisf"/>
              <w:spacing w:before="0" w:after="0"/>
              <w:jc w:val="center"/>
              <w:rPr>
                <w:szCs w:val="24"/>
              </w:rPr>
            </w:pPr>
            <w:r w:rsidRPr="00BC08D6">
              <w:rPr>
                <w:szCs w:val="24"/>
              </w:rPr>
              <w:t>0</w:t>
            </w:r>
          </w:p>
        </w:tc>
        <w:tc>
          <w:tcPr>
            <w:tcW w:w="1418" w:type="dxa"/>
          </w:tcPr>
          <w:p w14:paraId="36D7B7CD"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0CB2FA0F" w14:textId="373A0D44" w:rsidR="00A43769" w:rsidRPr="00BC08D6" w:rsidRDefault="004D1C9A" w:rsidP="00A43769">
            <w:pPr>
              <w:pStyle w:val="naisf"/>
              <w:spacing w:before="0" w:after="0"/>
              <w:jc w:val="center"/>
              <w:rPr>
                <w:szCs w:val="24"/>
              </w:rPr>
            </w:pPr>
            <w:r>
              <w:rPr>
                <w:szCs w:val="24"/>
              </w:rPr>
              <w:t>0</w:t>
            </w:r>
          </w:p>
        </w:tc>
        <w:tc>
          <w:tcPr>
            <w:tcW w:w="1701" w:type="dxa"/>
          </w:tcPr>
          <w:p w14:paraId="492FC8F9" w14:textId="491BC963" w:rsidR="00A43769" w:rsidRPr="00BC08D6" w:rsidRDefault="004D1C9A" w:rsidP="00A43769">
            <w:pPr>
              <w:pStyle w:val="naisf"/>
              <w:spacing w:before="0" w:after="0"/>
              <w:jc w:val="center"/>
              <w:rPr>
                <w:szCs w:val="24"/>
              </w:rPr>
            </w:pPr>
            <w:r>
              <w:rPr>
                <w:szCs w:val="24"/>
              </w:rPr>
              <w:t>0</w:t>
            </w:r>
          </w:p>
        </w:tc>
        <w:tc>
          <w:tcPr>
            <w:tcW w:w="1417" w:type="dxa"/>
          </w:tcPr>
          <w:p w14:paraId="493DC2C9" w14:textId="7127F77B" w:rsidR="00A43769" w:rsidRPr="00BC08D6" w:rsidRDefault="004D1C9A" w:rsidP="00A43769">
            <w:pPr>
              <w:pStyle w:val="naisf"/>
              <w:spacing w:before="0" w:after="0"/>
              <w:jc w:val="center"/>
              <w:rPr>
                <w:szCs w:val="24"/>
              </w:rPr>
            </w:pPr>
            <w:r>
              <w:rPr>
                <w:szCs w:val="24"/>
              </w:rPr>
              <w:t>0</w:t>
            </w:r>
          </w:p>
        </w:tc>
      </w:tr>
      <w:tr w:rsidR="00A43769" w:rsidRPr="00E7737A" w14:paraId="32F0BFF6" w14:textId="77777777" w:rsidTr="00BC08D6">
        <w:trPr>
          <w:jc w:val="center"/>
        </w:trPr>
        <w:tc>
          <w:tcPr>
            <w:tcW w:w="1709" w:type="dxa"/>
          </w:tcPr>
          <w:p w14:paraId="3365272E"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3.2. speciālais budžets</w:t>
            </w:r>
          </w:p>
        </w:tc>
        <w:tc>
          <w:tcPr>
            <w:tcW w:w="1263" w:type="dxa"/>
            <w:shd w:val="clear" w:color="auto" w:fill="auto"/>
          </w:tcPr>
          <w:p w14:paraId="4A9CDD1D" w14:textId="77777777" w:rsidR="00A43769" w:rsidRPr="00BC08D6" w:rsidRDefault="00A43769" w:rsidP="00A43769">
            <w:pPr>
              <w:pStyle w:val="naisf"/>
              <w:spacing w:before="0" w:after="0"/>
              <w:jc w:val="center"/>
              <w:rPr>
                <w:szCs w:val="24"/>
              </w:rPr>
            </w:pPr>
            <w:r w:rsidRPr="00BC08D6">
              <w:rPr>
                <w:szCs w:val="24"/>
              </w:rPr>
              <w:t>0</w:t>
            </w:r>
          </w:p>
        </w:tc>
        <w:tc>
          <w:tcPr>
            <w:tcW w:w="1418" w:type="dxa"/>
          </w:tcPr>
          <w:p w14:paraId="7EDB6D5C"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42FF5BBB"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596EF1C5"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103DEE6F"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4021AA8F" w14:textId="77777777" w:rsidTr="00BC08D6">
        <w:trPr>
          <w:jc w:val="center"/>
        </w:trPr>
        <w:tc>
          <w:tcPr>
            <w:tcW w:w="1709" w:type="dxa"/>
          </w:tcPr>
          <w:p w14:paraId="59011D94"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 xml:space="preserve">3.3. pašvaldību budžets </w:t>
            </w:r>
          </w:p>
        </w:tc>
        <w:tc>
          <w:tcPr>
            <w:tcW w:w="1263" w:type="dxa"/>
            <w:shd w:val="clear" w:color="auto" w:fill="auto"/>
          </w:tcPr>
          <w:p w14:paraId="1AD88F1C" w14:textId="77777777" w:rsidR="00A43769" w:rsidRPr="00BC08D6" w:rsidRDefault="00A43769" w:rsidP="00A43769">
            <w:pPr>
              <w:pStyle w:val="naisf"/>
              <w:spacing w:before="0" w:after="0"/>
              <w:jc w:val="center"/>
              <w:rPr>
                <w:szCs w:val="24"/>
              </w:rPr>
            </w:pPr>
            <w:r w:rsidRPr="00BC08D6">
              <w:rPr>
                <w:szCs w:val="24"/>
              </w:rPr>
              <w:t>0</w:t>
            </w:r>
          </w:p>
        </w:tc>
        <w:tc>
          <w:tcPr>
            <w:tcW w:w="1418" w:type="dxa"/>
          </w:tcPr>
          <w:p w14:paraId="00F6DE92"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19C53FC3"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3F2BE293"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119FF25E"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78B98DD5" w14:textId="77777777" w:rsidTr="00BC08D6">
        <w:trPr>
          <w:jc w:val="center"/>
        </w:trPr>
        <w:tc>
          <w:tcPr>
            <w:tcW w:w="1709" w:type="dxa"/>
            <w:vMerge w:val="restart"/>
          </w:tcPr>
          <w:p w14:paraId="66990271"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4. Finanšu līdzekļi papildu izdevumu finansēšanai (kompensējošu izdevumu samazinājumu norāda ar "+" zīmi)</w:t>
            </w:r>
          </w:p>
        </w:tc>
        <w:tc>
          <w:tcPr>
            <w:tcW w:w="1263" w:type="dxa"/>
            <w:vMerge w:val="restart"/>
          </w:tcPr>
          <w:p w14:paraId="16FFA8BB" w14:textId="77777777" w:rsidR="00A43769" w:rsidRPr="00BC08D6" w:rsidRDefault="00A43769" w:rsidP="00A43769">
            <w:pPr>
              <w:pStyle w:val="naisf"/>
              <w:spacing w:before="0" w:after="0"/>
              <w:jc w:val="center"/>
              <w:rPr>
                <w:i/>
                <w:szCs w:val="24"/>
              </w:rPr>
            </w:pPr>
            <w:r w:rsidRPr="00BC08D6">
              <w:rPr>
                <w:szCs w:val="24"/>
              </w:rPr>
              <w:t>X</w:t>
            </w:r>
          </w:p>
        </w:tc>
        <w:tc>
          <w:tcPr>
            <w:tcW w:w="1418" w:type="dxa"/>
          </w:tcPr>
          <w:p w14:paraId="68F8D530"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2D1788AD"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7AE32072"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7660C02E"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28EE888A" w14:textId="77777777" w:rsidTr="00BC08D6">
        <w:trPr>
          <w:jc w:val="center"/>
        </w:trPr>
        <w:tc>
          <w:tcPr>
            <w:tcW w:w="1709" w:type="dxa"/>
            <w:vMerge/>
          </w:tcPr>
          <w:p w14:paraId="01831E97" w14:textId="77777777" w:rsidR="00A43769" w:rsidRPr="00BC08D6" w:rsidRDefault="00A43769" w:rsidP="00A43769">
            <w:pPr>
              <w:spacing w:after="0"/>
              <w:rPr>
                <w:rFonts w:ascii="Times New Roman" w:hAnsi="Times New Roman"/>
                <w:sz w:val="24"/>
                <w:szCs w:val="24"/>
              </w:rPr>
            </w:pPr>
          </w:p>
        </w:tc>
        <w:tc>
          <w:tcPr>
            <w:tcW w:w="1263" w:type="dxa"/>
            <w:vMerge/>
          </w:tcPr>
          <w:p w14:paraId="1E394439" w14:textId="77777777" w:rsidR="00A43769" w:rsidRPr="00BC08D6" w:rsidRDefault="00A43769" w:rsidP="00A43769">
            <w:pPr>
              <w:pStyle w:val="naisf"/>
              <w:spacing w:before="0" w:after="0"/>
              <w:jc w:val="center"/>
              <w:rPr>
                <w:i/>
                <w:szCs w:val="24"/>
              </w:rPr>
            </w:pPr>
          </w:p>
        </w:tc>
        <w:tc>
          <w:tcPr>
            <w:tcW w:w="1418" w:type="dxa"/>
          </w:tcPr>
          <w:p w14:paraId="15FB0F7C"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5B8DBFAE"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67FF5E2C"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4ACCABFB"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07C8BFBE" w14:textId="77777777" w:rsidTr="00BC08D6">
        <w:trPr>
          <w:jc w:val="center"/>
        </w:trPr>
        <w:tc>
          <w:tcPr>
            <w:tcW w:w="1709" w:type="dxa"/>
            <w:vMerge/>
          </w:tcPr>
          <w:p w14:paraId="61F8CD21" w14:textId="77777777" w:rsidR="00A43769" w:rsidRPr="00BC08D6" w:rsidRDefault="00A43769" w:rsidP="00A43769">
            <w:pPr>
              <w:spacing w:after="0"/>
              <w:rPr>
                <w:rFonts w:ascii="Times New Roman" w:hAnsi="Times New Roman"/>
                <w:sz w:val="24"/>
                <w:szCs w:val="24"/>
              </w:rPr>
            </w:pPr>
          </w:p>
        </w:tc>
        <w:tc>
          <w:tcPr>
            <w:tcW w:w="1263" w:type="dxa"/>
            <w:vMerge/>
          </w:tcPr>
          <w:p w14:paraId="20E25145" w14:textId="77777777" w:rsidR="00A43769" w:rsidRPr="00BC08D6" w:rsidRDefault="00A43769" w:rsidP="00A43769">
            <w:pPr>
              <w:pStyle w:val="naisf"/>
              <w:spacing w:before="0" w:after="0"/>
              <w:jc w:val="center"/>
              <w:rPr>
                <w:i/>
                <w:szCs w:val="24"/>
              </w:rPr>
            </w:pPr>
          </w:p>
        </w:tc>
        <w:tc>
          <w:tcPr>
            <w:tcW w:w="1418" w:type="dxa"/>
          </w:tcPr>
          <w:p w14:paraId="25547539"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3421C52E"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0E963567"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338B7308"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23E822C2" w14:textId="77777777" w:rsidTr="00BC08D6">
        <w:trPr>
          <w:jc w:val="center"/>
        </w:trPr>
        <w:tc>
          <w:tcPr>
            <w:tcW w:w="1709" w:type="dxa"/>
          </w:tcPr>
          <w:p w14:paraId="3B709A97"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5. Precizēta finansiālā ietekme:</w:t>
            </w:r>
          </w:p>
        </w:tc>
        <w:tc>
          <w:tcPr>
            <w:tcW w:w="1263" w:type="dxa"/>
            <w:vMerge w:val="restart"/>
          </w:tcPr>
          <w:p w14:paraId="69E76008" w14:textId="77777777" w:rsidR="00A43769" w:rsidRPr="00BC08D6" w:rsidRDefault="00A43769" w:rsidP="00A43769">
            <w:pPr>
              <w:pStyle w:val="naisf"/>
              <w:spacing w:before="0" w:after="0"/>
              <w:jc w:val="center"/>
              <w:rPr>
                <w:i/>
                <w:szCs w:val="24"/>
              </w:rPr>
            </w:pPr>
            <w:r w:rsidRPr="00BC08D6">
              <w:rPr>
                <w:szCs w:val="24"/>
              </w:rPr>
              <w:t>X</w:t>
            </w:r>
          </w:p>
        </w:tc>
        <w:tc>
          <w:tcPr>
            <w:tcW w:w="1418" w:type="dxa"/>
          </w:tcPr>
          <w:p w14:paraId="6C5BF031"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1E1A671D" w14:textId="254E1522" w:rsidR="00A43769" w:rsidRPr="00BC08D6" w:rsidRDefault="004D1C9A" w:rsidP="00A43769">
            <w:pPr>
              <w:pStyle w:val="naisf"/>
              <w:spacing w:before="0" w:after="0"/>
              <w:jc w:val="center"/>
              <w:rPr>
                <w:szCs w:val="24"/>
              </w:rPr>
            </w:pPr>
            <w:r>
              <w:rPr>
                <w:szCs w:val="24"/>
              </w:rPr>
              <w:t>0</w:t>
            </w:r>
          </w:p>
        </w:tc>
        <w:tc>
          <w:tcPr>
            <w:tcW w:w="1701" w:type="dxa"/>
          </w:tcPr>
          <w:p w14:paraId="75F278CE" w14:textId="3F8D7F1C" w:rsidR="00A43769" w:rsidRPr="00BC08D6" w:rsidRDefault="004D1C9A" w:rsidP="00A43769">
            <w:pPr>
              <w:pStyle w:val="naisf"/>
              <w:spacing w:before="0" w:after="0"/>
              <w:jc w:val="center"/>
              <w:rPr>
                <w:szCs w:val="24"/>
              </w:rPr>
            </w:pPr>
            <w:r>
              <w:rPr>
                <w:szCs w:val="24"/>
              </w:rPr>
              <w:t>0</w:t>
            </w:r>
          </w:p>
        </w:tc>
        <w:tc>
          <w:tcPr>
            <w:tcW w:w="1417" w:type="dxa"/>
          </w:tcPr>
          <w:p w14:paraId="72117CA8" w14:textId="168070A7" w:rsidR="00A43769" w:rsidRPr="00BC08D6" w:rsidRDefault="004D1C9A" w:rsidP="00A43769">
            <w:pPr>
              <w:pStyle w:val="naisf"/>
              <w:spacing w:before="0" w:after="0"/>
              <w:jc w:val="center"/>
              <w:rPr>
                <w:szCs w:val="24"/>
              </w:rPr>
            </w:pPr>
            <w:r>
              <w:rPr>
                <w:szCs w:val="24"/>
              </w:rPr>
              <w:t>0</w:t>
            </w:r>
          </w:p>
        </w:tc>
      </w:tr>
      <w:tr w:rsidR="00A43769" w:rsidRPr="00E7737A" w14:paraId="345C7EB4" w14:textId="77777777" w:rsidTr="00BC08D6">
        <w:trPr>
          <w:jc w:val="center"/>
        </w:trPr>
        <w:tc>
          <w:tcPr>
            <w:tcW w:w="1709" w:type="dxa"/>
          </w:tcPr>
          <w:p w14:paraId="1B8A2B58"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5.1. valsts pamatbudžets</w:t>
            </w:r>
          </w:p>
        </w:tc>
        <w:tc>
          <w:tcPr>
            <w:tcW w:w="1263" w:type="dxa"/>
            <w:vMerge/>
            <w:vAlign w:val="center"/>
          </w:tcPr>
          <w:p w14:paraId="1EAD91A8" w14:textId="77777777" w:rsidR="00A43769" w:rsidRPr="00BC08D6" w:rsidRDefault="00A43769" w:rsidP="00A43769">
            <w:pPr>
              <w:pStyle w:val="naisf"/>
              <w:spacing w:before="0" w:after="0"/>
              <w:jc w:val="center"/>
              <w:rPr>
                <w:i/>
                <w:szCs w:val="24"/>
              </w:rPr>
            </w:pPr>
          </w:p>
        </w:tc>
        <w:tc>
          <w:tcPr>
            <w:tcW w:w="1418" w:type="dxa"/>
          </w:tcPr>
          <w:p w14:paraId="03B9A6D6"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04421A31" w14:textId="586E6D37" w:rsidR="00A43769" w:rsidRPr="00BC08D6" w:rsidRDefault="004D1C9A" w:rsidP="00A43769">
            <w:pPr>
              <w:pStyle w:val="naisf"/>
              <w:spacing w:before="0" w:after="0"/>
              <w:jc w:val="center"/>
              <w:rPr>
                <w:szCs w:val="24"/>
              </w:rPr>
            </w:pPr>
            <w:r>
              <w:rPr>
                <w:szCs w:val="24"/>
              </w:rPr>
              <w:t>0</w:t>
            </w:r>
          </w:p>
        </w:tc>
        <w:tc>
          <w:tcPr>
            <w:tcW w:w="1701" w:type="dxa"/>
          </w:tcPr>
          <w:p w14:paraId="76F370FC" w14:textId="1F60B9D0" w:rsidR="00A43769" w:rsidRPr="00BC08D6" w:rsidRDefault="004D1C9A" w:rsidP="00A43769">
            <w:pPr>
              <w:pStyle w:val="naisf"/>
              <w:spacing w:before="0" w:after="0"/>
              <w:jc w:val="center"/>
              <w:rPr>
                <w:szCs w:val="24"/>
              </w:rPr>
            </w:pPr>
            <w:r>
              <w:rPr>
                <w:szCs w:val="24"/>
              </w:rPr>
              <w:t>0</w:t>
            </w:r>
          </w:p>
        </w:tc>
        <w:tc>
          <w:tcPr>
            <w:tcW w:w="1417" w:type="dxa"/>
          </w:tcPr>
          <w:p w14:paraId="744273AC" w14:textId="12FA0EA4" w:rsidR="00A43769" w:rsidRPr="00BC08D6" w:rsidRDefault="004D1C9A" w:rsidP="00A43769">
            <w:pPr>
              <w:pStyle w:val="naisf"/>
              <w:spacing w:before="0" w:after="0"/>
              <w:jc w:val="center"/>
              <w:rPr>
                <w:szCs w:val="24"/>
              </w:rPr>
            </w:pPr>
            <w:r>
              <w:rPr>
                <w:szCs w:val="24"/>
              </w:rPr>
              <w:t>0</w:t>
            </w:r>
          </w:p>
        </w:tc>
      </w:tr>
      <w:tr w:rsidR="00A43769" w:rsidRPr="00E7737A" w14:paraId="1416CFD8" w14:textId="77777777" w:rsidTr="00BC08D6">
        <w:trPr>
          <w:jc w:val="center"/>
        </w:trPr>
        <w:tc>
          <w:tcPr>
            <w:tcW w:w="1709" w:type="dxa"/>
          </w:tcPr>
          <w:p w14:paraId="5B75848C"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5.2. speciālais budžets</w:t>
            </w:r>
          </w:p>
        </w:tc>
        <w:tc>
          <w:tcPr>
            <w:tcW w:w="1263" w:type="dxa"/>
            <w:vMerge/>
            <w:vAlign w:val="center"/>
          </w:tcPr>
          <w:p w14:paraId="466AE1CD" w14:textId="77777777" w:rsidR="00A43769" w:rsidRPr="00BC08D6" w:rsidRDefault="00A43769" w:rsidP="00A43769">
            <w:pPr>
              <w:pStyle w:val="naisf"/>
              <w:spacing w:before="0" w:after="0"/>
              <w:jc w:val="center"/>
              <w:rPr>
                <w:i/>
                <w:szCs w:val="24"/>
              </w:rPr>
            </w:pPr>
          </w:p>
        </w:tc>
        <w:tc>
          <w:tcPr>
            <w:tcW w:w="1418" w:type="dxa"/>
          </w:tcPr>
          <w:p w14:paraId="0D654161"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0089D9CB"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4374F306"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789C0272" w14:textId="77777777" w:rsidR="00A43769" w:rsidRPr="00BC08D6" w:rsidRDefault="00A43769" w:rsidP="00A43769">
            <w:pPr>
              <w:pStyle w:val="naisf"/>
              <w:spacing w:before="0" w:after="0"/>
              <w:jc w:val="center"/>
              <w:rPr>
                <w:szCs w:val="24"/>
              </w:rPr>
            </w:pPr>
            <w:r w:rsidRPr="00BC08D6">
              <w:rPr>
                <w:szCs w:val="24"/>
              </w:rPr>
              <w:t>0</w:t>
            </w:r>
          </w:p>
        </w:tc>
      </w:tr>
      <w:tr w:rsidR="00A43769" w:rsidRPr="00E7737A" w14:paraId="7E397E71" w14:textId="77777777" w:rsidTr="00BC08D6">
        <w:trPr>
          <w:jc w:val="center"/>
        </w:trPr>
        <w:tc>
          <w:tcPr>
            <w:tcW w:w="1709" w:type="dxa"/>
          </w:tcPr>
          <w:p w14:paraId="4A3051D5"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 xml:space="preserve">5.3. pašvaldību budžets </w:t>
            </w:r>
          </w:p>
        </w:tc>
        <w:tc>
          <w:tcPr>
            <w:tcW w:w="1263" w:type="dxa"/>
            <w:vMerge/>
            <w:vAlign w:val="center"/>
          </w:tcPr>
          <w:p w14:paraId="3AC03358" w14:textId="77777777" w:rsidR="00A43769" w:rsidRPr="00BC08D6" w:rsidRDefault="00A43769" w:rsidP="00A43769">
            <w:pPr>
              <w:pStyle w:val="naisf"/>
              <w:spacing w:before="0" w:after="0"/>
              <w:jc w:val="center"/>
              <w:rPr>
                <w:i/>
                <w:szCs w:val="24"/>
              </w:rPr>
            </w:pPr>
          </w:p>
        </w:tc>
        <w:tc>
          <w:tcPr>
            <w:tcW w:w="1418" w:type="dxa"/>
          </w:tcPr>
          <w:p w14:paraId="7A7E7E13" w14:textId="77777777" w:rsidR="00A43769" w:rsidRPr="00BC08D6" w:rsidRDefault="00A43769" w:rsidP="00A43769">
            <w:pPr>
              <w:pStyle w:val="naisf"/>
              <w:spacing w:before="0" w:after="0"/>
              <w:jc w:val="center"/>
              <w:rPr>
                <w:szCs w:val="24"/>
              </w:rPr>
            </w:pPr>
            <w:r w:rsidRPr="00BC08D6">
              <w:rPr>
                <w:szCs w:val="24"/>
              </w:rPr>
              <w:t>0</w:t>
            </w:r>
          </w:p>
        </w:tc>
        <w:tc>
          <w:tcPr>
            <w:tcW w:w="2268" w:type="dxa"/>
          </w:tcPr>
          <w:p w14:paraId="61B78733" w14:textId="77777777" w:rsidR="00A43769" w:rsidRPr="00BC08D6" w:rsidRDefault="00A43769" w:rsidP="00A43769">
            <w:pPr>
              <w:pStyle w:val="naisf"/>
              <w:spacing w:before="0" w:after="0"/>
              <w:jc w:val="center"/>
              <w:rPr>
                <w:szCs w:val="24"/>
              </w:rPr>
            </w:pPr>
            <w:r w:rsidRPr="00BC08D6">
              <w:rPr>
                <w:szCs w:val="24"/>
              </w:rPr>
              <w:t>0</w:t>
            </w:r>
          </w:p>
        </w:tc>
        <w:tc>
          <w:tcPr>
            <w:tcW w:w="1701" w:type="dxa"/>
          </w:tcPr>
          <w:p w14:paraId="58CAA9BC" w14:textId="77777777" w:rsidR="00A43769" w:rsidRPr="00BC08D6" w:rsidRDefault="00A43769" w:rsidP="00A43769">
            <w:pPr>
              <w:pStyle w:val="naisf"/>
              <w:spacing w:before="0" w:after="0"/>
              <w:jc w:val="center"/>
              <w:rPr>
                <w:szCs w:val="24"/>
              </w:rPr>
            </w:pPr>
            <w:r w:rsidRPr="00BC08D6">
              <w:rPr>
                <w:szCs w:val="24"/>
              </w:rPr>
              <w:t>0</w:t>
            </w:r>
          </w:p>
        </w:tc>
        <w:tc>
          <w:tcPr>
            <w:tcW w:w="1417" w:type="dxa"/>
          </w:tcPr>
          <w:p w14:paraId="71DE74F3" w14:textId="77777777" w:rsidR="00A43769" w:rsidRPr="00BC08D6" w:rsidRDefault="00A43769" w:rsidP="00A43769">
            <w:pPr>
              <w:pStyle w:val="naisf"/>
              <w:spacing w:before="0" w:after="0"/>
              <w:jc w:val="center"/>
              <w:rPr>
                <w:szCs w:val="24"/>
              </w:rPr>
            </w:pPr>
            <w:r w:rsidRPr="00BC08D6">
              <w:rPr>
                <w:szCs w:val="24"/>
              </w:rPr>
              <w:t>0</w:t>
            </w:r>
          </w:p>
        </w:tc>
      </w:tr>
      <w:tr w:rsidR="00A43769" w:rsidRPr="002744F5" w14:paraId="79F9E19C" w14:textId="77777777" w:rsidTr="00040266">
        <w:trPr>
          <w:trHeight w:val="2173"/>
          <w:jc w:val="center"/>
        </w:trPr>
        <w:tc>
          <w:tcPr>
            <w:tcW w:w="1709" w:type="dxa"/>
          </w:tcPr>
          <w:p w14:paraId="7EB4B21A"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6. Detalizēts ieņēmumu un izdevumu aprēķins (ja nepie</w:t>
            </w:r>
            <w:r w:rsidRPr="00BC08D6">
              <w:rPr>
                <w:rFonts w:ascii="Times New Roman" w:hAnsi="Times New Roman"/>
                <w:sz w:val="24"/>
                <w:szCs w:val="24"/>
              </w:rPr>
              <w:softHyphen/>
              <w:t>ciešams, detalizētu ieņēmumu un izdevumu aprēķinu var pie</w:t>
            </w:r>
            <w:r w:rsidRPr="00BC08D6">
              <w:rPr>
                <w:rFonts w:ascii="Times New Roman" w:hAnsi="Times New Roman"/>
                <w:sz w:val="24"/>
                <w:szCs w:val="24"/>
              </w:rPr>
              <w:softHyphen/>
              <w:t>vienot anotācijas pielikumā):</w:t>
            </w:r>
          </w:p>
        </w:tc>
        <w:tc>
          <w:tcPr>
            <w:tcW w:w="8067" w:type="dxa"/>
            <w:gridSpan w:val="5"/>
            <w:vMerge w:val="restart"/>
            <w:vAlign w:val="center"/>
          </w:tcPr>
          <w:p w14:paraId="752195CA" w14:textId="1E105809" w:rsidR="00A43769" w:rsidRDefault="00A618CE" w:rsidP="00A43769">
            <w:pPr>
              <w:pStyle w:val="naisf"/>
              <w:spacing w:before="0" w:after="0"/>
              <w:rPr>
                <w:szCs w:val="24"/>
              </w:rPr>
            </w:pPr>
            <w:r>
              <w:rPr>
                <w:szCs w:val="24"/>
              </w:rPr>
              <w:t>P</w:t>
            </w:r>
            <w:r w:rsidR="00A43769" w:rsidRPr="00BC08D6">
              <w:rPr>
                <w:szCs w:val="24"/>
              </w:rPr>
              <w:t xml:space="preserve">rojektam nav ietekme uz </w:t>
            </w:r>
            <w:r w:rsidR="004D1C9A">
              <w:rPr>
                <w:szCs w:val="24"/>
              </w:rPr>
              <w:t xml:space="preserve">likumā “Par valsts budžetu 2017.gadam” </w:t>
            </w:r>
            <w:r w:rsidR="00A43769" w:rsidRPr="00BC08D6">
              <w:rPr>
                <w:szCs w:val="24"/>
              </w:rPr>
              <w:t>plānotajiem budžeta izdevumiem 2017. un 2018.gadā.</w:t>
            </w:r>
          </w:p>
          <w:p w14:paraId="549097D2" w14:textId="77777777" w:rsidR="00984A73" w:rsidRDefault="00984A73" w:rsidP="00A43769">
            <w:pPr>
              <w:pStyle w:val="naisf"/>
              <w:spacing w:before="0" w:after="0"/>
              <w:rPr>
                <w:szCs w:val="24"/>
              </w:rPr>
            </w:pPr>
          </w:p>
          <w:p w14:paraId="4A1D45C7" w14:textId="1697B92D" w:rsidR="00984A73" w:rsidRDefault="00984A73" w:rsidP="00A43769">
            <w:pPr>
              <w:pStyle w:val="naisf"/>
              <w:spacing w:before="0" w:after="0"/>
              <w:rPr>
                <w:szCs w:val="24"/>
              </w:rPr>
            </w:pPr>
            <w:r>
              <w:rPr>
                <w:szCs w:val="24"/>
              </w:rPr>
              <w:t>Saskaņā ar likumu “Par valsts budžetu 2017.gadam” pasākumam “Eiropas Savienības prasībām atbilstošu pasu, elektronisko identifikācijas karšu uzturēšanās atļauju izsniegšana” paredzētas ilgtermiņa saistības šādā apmērā:</w:t>
            </w:r>
          </w:p>
          <w:p w14:paraId="55A7AA7E" w14:textId="10C58A43" w:rsidR="00984A73" w:rsidRDefault="00984A73" w:rsidP="00A43769">
            <w:pPr>
              <w:pStyle w:val="naisf"/>
              <w:spacing w:before="0" w:after="0"/>
              <w:rPr>
                <w:szCs w:val="24"/>
              </w:rPr>
            </w:pPr>
            <w:r>
              <w:rPr>
                <w:szCs w:val="24"/>
              </w:rPr>
              <w:t>- budžeta apakšprogrammā 02.03.00 “Vienotās sakaru un informācijas sistēmas uzturēšana un vadība”</w:t>
            </w:r>
          </w:p>
          <w:p w14:paraId="0555F121" w14:textId="7E3F75A3" w:rsidR="00984A73" w:rsidRDefault="00984A73" w:rsidP="00A43769">
            <w:pPr>
              <w:pStyle w:val="naisf"/>
              <w:spacing w:before="0" w:after="0"/>
              <w:rPr>
                <w:szCs w:val="24"/>
              </w:rPr>
            </w:pPr>
            <w:r>
              <w:rPr>
                <w:szCs w:val="24"/>
              </w:rPr>
              <w:t xml:space="preserve">2017.gadā 171 063 </w:t>
            </w:r>
            <w:r w:rsidRPr="00EF65EF">
              <w:rPr>
                <w:i/>
                <w:szCs w:val="24"/>
              </w:rPr>
              <w:t>euro</w:t>
            </w:r>
            <w:r>
              <w:rPr>
                <w:szCs w:val="24"/>
              </w:rPr>
              <w:t>;</w:t>
            </w:r>
          </w:p>
          <w:p w14:paraId="6390E4C0" w14:textId="4D5F15E0" w:rsidR="00984A73" w:rsidRDefault="00984A73" w:rsidP="00A43769">
            <w:pPr>
              <w:pStyle w:val="naisf"/>
              <w:spacing w:before="0" w:after="0"/>
              <w:rPr>
                <w:i/>
                <w:szCs w:val="24"/>
              </w:rPr>
            </w:pPr>
            <w:r>
              <w:rPr>
                <w:szCs w:val="24"/>
              </w:rPr>
              <w:t xml:space="preserve">2018.gadā 171 063 </w:t>
            </w:r>
            <w:r w:rsidRPr="00A2005C">
              <w:rPr>
                <w:i/>
                <w:szCs w:val="24"/>
              </w:rPr>
              <w:t>euro</w:t>
            </w:r>
            <w:r>
              <w:rPr>
                <w:i/>
                <w:szCs w:val="24"/>
              </w:rPr>
              <w:t>;</w:t>
            </w:r>
          </w:p>
          <w:p w14:paraId="7F9952A8" w14:textId="79D7645A" w:rsidR="00984A73" w:rsidRDefault="00984A73" w:rsidP="00A43769">
            <w:pPr>
              <w:pStyle w:val="naisf"/>
              <w:spacing w:before="0" w:after="0"/>
              <w:rPr>
                <w:i/>
                <w:szCs w:val="24"/>
              </w:rPr>
            </w:pPr>
            <w:r>
              <w:rPr>
                <w:szCs w:val="24"/>
              </w:rPr>
              <w:t xml:space="preserve">2019.gadā 171 063 </w:t>
            </w:r>
            <w:r w:rsidRPr="00A2005C">
              <w:rPr>
                <w:i/>
                <w:szCs w:val="24"/>
              </w:rPr>
              <w:t>euro</w:t>
            </w:r>
            <w:r>
              <w:rPr>
                <w:i/>
                <w:szCs w:val="24"/>
              </w:rPr>
              <w:t>;</w:t>
            </w:r>
          </w:p>
          <w:p w14:paraId="5731BDF1" w14:textId="77777777" w:rsidR="00984A73" w:rsidRDefault="00984A73" w:rsidP="00A43769">
            <w:pPr>
              <w:pStyle w:val="naisf"/>
              <w:spacing w:before="0" w:after="0"/>
              <w:rPr>
                <w:szCs w:val="24"/>
              </w:rPr>
            </w:pPr>
          </w:p>
          <w:p w14:paraId="7475353D" w14:textId="532E9E92" w:rsidR="00984A73" w:rsidRDefault="00984A73" w:rsidP="00984A73">
            <w:pPr>
              <w:pStyle w:val="naisf"/>
              <w:spacing w:before="0" w:after="0"/>
              <w:rPr>
                <w:szCs w:val="24"/>
              </w:rPr>
            </w:pPr>
            <w:r>
              <w:rPr>
                <w:szCs w:val="24"/>
              </w:rPr>
              <w:t>- budžeta apakšprogrammā 11.01.00 “Pilsonības un migrācijas lietu pārvalde”</w:t>
            </w:r>
          </w:p>
          <w:p w14:paraId="4F884B70" w14:textId="01637F7F" w:rsidR="00984A73" w:rsidRDefault="00984A73" w:rsidP="00984A73">
            <w:pPr>
              <w:pStyle w:val="naisf"/>
              <w:spacing w:before="0" w:after="0"/>
              <w:rPr>
                <w:szCs w:val="24"/>
              </w:rPr>
            </w:pPr>
            <w:r>
              <w:rPr>
                <w:szCs w:val="24"/>
              </w:rPr>
              <w:t xml:space="preserve">2017.gadā 4 716 888 </w:t>
            </w:r>
            <w:r w:rsidRPr="00A2005C">
              <w:rPr>
                <w:i/>
                <w:szCs w:val="24"/>
              </w:rPr>
              <w:t>euro</w:t>
            </w:r>
            <w:r>
              <w:rPr>
                <w:szCs w:val="24"/>
              </w:rPr>
              <w:t>;</w:t>
            </w:r>
          </w:p>
          <w:p w14:paraId="3AC2DF48" w14:textId="71FB8192" w:rsidR="00984A73" w:rsidRDefault="00984A73" w:rsidP="00984A73">
            <w:pPr>
              <w:pStyle w:val="naisf"/>
              <w:spacing w:before="0" w:after="0"/>
              <w:rPr>
                <w:i/>
                <w:szCs w:val="24"/>
              </w:rPr>
            </w:pPr>
            <w:r>
              <w:rPr>
                <w:szCs w:val="24"/>
              </w:rPr>
              <w:t xml:space="preserve">2018.gadā 4 716 888 </w:t>
            </w:r>
            <w:r w:rsidRPr="00A2005C">
              <w:rPr>
                <w:i/>
                <w:szCs w:val="24"/>
              </w:rPr>
              <w:t>euro</w:t>
            </w:r>
            <w:r>
              <w:rPr>
                <w:i/>
                <w:szCs w:val="24"/>
              </w:rPr>
              <w:t>;</w:t>
            </w:r>
          </w:p>
          <w:p w14:paraId="60FC8D98" w14:textId="54A57979" w:rsidR="00984A73" w:rsidRDefault="00984A73" w:rsidP="00984A73">
            <w:pPr>
              <w:pStyle w:val="naisf"/>
              <w:spacing w:before="0" w:after="0"/>
              <w:rPr>
                <w:szCs w:val="24"/>
              </w:rPr>
            </w:pPr>
            <w:r>
              <w:rPr>
                <w:szCs w:val="24"/>
              </w:rPr>
              <w:lastRenderedPageBreak/>
              <w:t xml:space="preserve">2019.gadā 3 439 128 </w:t>
            </w:r>
            <w:r w:rsidRPr="00A2005C">
              <w:rPr>
                <w:i/>
                <w:szCs w:val="24"/>
              </w:rPr>
              <w:t>euro</w:t>
            </w:r>
            <w:r w:rsidR="00687F57">
              <w:rPr>
                <w:i/>
                <w:szCs w:val="24"/>
              </w:rPr>
              <w:t>.</w:t>
            </w:r>
          </w:p>
          <w:p w14:paraId="6B31FE22" w14:textId="77777777" w:rsidR="00687F57" w:rsidRDefault="00687F57" w:rsidP="00984A73">
            <w:pPr>
              <w:pStyle w:val="naisf"/>
              <w:spacing w:before="0" w:after="0"/>
              <w:rPr>
                <w:szCs w:val="24"/>
              </w:rPr>
            </w:pPr>
          </w:p>
          <w:p w14:paraId="77EF3CC2" w14:textId="545FD32B" w:rsidR="00687F57" w:rsidRDefault="007E2153" w:rsidP="00984A73">
            <w:pPr>
              <w:pStyle w:val="naisf"/>
              <w:spacing w:before="0" w:after="0"/>
              <w:rPr>
                <w:szCs w:val="24"/>
              </w:rPr>
            </w:pPr>
            <w:r>
              <w:rPr>
                <w:szCs w:val="24"/>
              </w:rPr>
              <w:t xml:space="preserve">Saskaņā ar likumu “Par valsts budžetu 2017.gadam” </w:t>
            </w:r>
            <w:r w:rsidR="000B36F2">
              <w:rPr>
                <w:szCs w:val="24"/>
              </w:rPr>
              <w:t>plānoti ieņēmumi 2017.gadā no:</w:t>
            </w:r>
          </w:p>
          <w:p w14:paraId="5CFB17AD" w14:textId="01796826" w:rsidR="000B36F2" w:rsidRDefault="004D0EC5" w:rsidP="00984A73">
            <w:pPr>
              <w:pStyle w:val="naisf"/>
              <w:spacing w:before="0" w:after="0"/>
              <w:rPr>
                <w:szCs w:val="24"/>
              </w:rPr>
            </w:pPr>
            <w:r>
              <w:rPr>
                <w:szCs w:val="24"/>
              </w:rPr>
              <w:t xml:space="preserve">   </w:t>
            </w:r>
            <w:r w:rsidR="008C65C8">
              <w:rPr>
                <w:szCs w:val="24"/>
              </w:rPr>
              <w:t xml:space="preserve"> - </w:t>
            </w:r>
            <w:r w:rsidR="000B36F2">
              <w:rPr>
                <w:szCs w:val="24"/>
              </w:rPr>
              <w:t xml:space="preserve">nodevas par pasu izsniegšanu 5 516 670 </w:t>
            </w:r>
            <w:r w:rsidR="000B36F2" w:rsidRPr="00EF65EF">
              <w:rPr>
                <w:i/>
                <w:szCs w:val="24"/>
              </w:rPr>
              <w:t>euro</w:t>
            </w:r>
            <w:r w:rsidR="000B36F2">
              <w:rPr>
                <w:szCs w:val="24"/>
              </w:rPr>
              <w:t>;</w:t>
            </w:r>
          </w:p>
          <w:p w14:paraId="4130D488" w14:textId="2BF0640B" w:rsidR="000B36F2" w:rsidRPr="00EF65EF" w:rsidRDefault="004D0EC5" w:rsidP="00984A73">
            <w:pPr>
              <w:pStyle w:val="naisf"/>
              <w:spacing w:before="0" w:after="0"/>
              <w:rPr>
                <w:szCs w:val="24"/>
              </w:rPr>
            </w:pPr>
            <w:r>
              <w:rPr>
                <w:szCs w:val="24"/>
              </w:rPr>
              <w:t xml:space="preserve">   </w:t>
            </w:r>
            <w:r w:rsidR="008C65C8">
              <w:rPr>
                <w:szCs w:val="24"/>
              </w:rPr>
              <w:t xml:space="preserve">- </w:t>
            </w:r>
            <w:r w:rsidR="000B36F2">
              <w:rPr>
                <w:szCs w:val="24"/>
              </w:rPr>
              <w:t xml:space="preserve">nodevas par personas apliecību izsniegšanu 4 155 517 </w:t>
            </w:r>
            <w:r w:rsidR="000B36F2" w:rsidRPr="00EF65EF">
              <w:rPr>
                <w:i/>
                <w:szCs w:val="24"/>
              </w:rPr>
              <w:t>euro</w:t>
            </w:r>
            <w:r w:rsidR="000B36F2">
              <w:rPr>
                <w:szCs w:val="24"/>
              </w:rPr>
              <w:t>.</w:t>
            </w:r>
          </w:p>
          <w:p w14:paraId="247C5A73" w14:textId="77777777" w:rsidR="00A43769" w:rsidRPr="00BC08D6" w:rsidRDefault="00A43769" w:rsidP="00A43769">
            <w:pPr>
              <w:pStyle w:val="naisf"/>
              <w:spacing w:before="0" w:after="0"/>
              <w:rPr>
                <w:szCs w:val="24"/>
              </w:rPr>
            </w:pPr>
          </w:p>
          <w:p w14:paraId="2E39C9A7" w14:textId="3D184194" w:rsidR="00A43769" w:rsidRPr="00BC08D6" w:rsidRDefault="00A43769" w:rsidP="00A43769">
            <w:pPr>
              <w:pStyle w:val="naisf"/>
              <w:spacing w:before="0" w:after="0"/>
              <w:rPr>
                <w:szCs w:val="24"/>
              </w:rPr>
            </w:pPr>
            <w:r w:rsidRPr="00BC08D6">
              <w:rPr>
                <w:szCs w:val="24"/>
              </w:rPr>
              <w:t>Detalizēts izdevumu aprēķins ie</w:t>
            </w:r>
            <w:r w:rsidR="00AA7897">
              <w:rPr>
                <w:szCs w:val="24"/>
              </w:rPr>
              <w:t>kļauts anotācijas 1. pielikumā.</w:t>
            </w:r>
          </w:p>
        </w:tc>
      </w:tr>
      <w:tr w:rsidR="00A43769" w:rsidRPr="005128C9" w14:paraId="0A07BC58" w14:textId="77777777" w:rsidTr="00BC08D6">
        <w:trPr>
          <w:jc w:val="center"/>
        </w:trPr>
        <w:tc>
          <w:tcPr>
            <w:tcW w:w="1709" w:type="dxa"/>
          </w:tcPr>
          <w:p w14:paraId="025104A1" w14:textId="095646D1"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t>6.1. detalizēts ieņēmumu aprēķins</w:t>
            </w:r>
          </w:p>
        </w:tc>
        <w:tc>
          <w:tcPr>
            <w:tcW w:w="8067" w:type="dxa"/>
            <w:gridSpan w:val="5"/>
            <w:vMerge/>
          </w:tcPr>
          <w:p w14:paraId="792B37C7" w14:textId="77777777" w:rsidR="00A43769" w:rsidRPr="00BC08D6" w:rsidRDefault="00A43769" w:rsidP="00A43769">
            <w:pPr>
              <w:pStyle w:val="naisf"/>
              <w:spacing w:before="0" w:after="0"/>
              <w:rPr>
                <w:b/>
                <w:i/>
                <w:szCs w:val="24"/>
              </w:rPr>
            </w:pPr>
          </w:p>
        </w:tc>
      </w:tr>
      <w:tr w:rsidR="00A43769" w:rsidRPr="005128C9" w14:paraId="2E001EF9" w14:textId="77777777" w:rsidTr="00BC08D6">
        <w:trPr>
          <w:trHeight w:val="6168"/>
          <w:jc w:val="center"/>
        </w:trPr>
        <w:tc>
          <w:tcPr>
            <w:tcW w:w="1709" w:type="dxa"/>
          </w:tcPr>
          <w:p w14:paraId="65D12780"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lastRenderedPageBreak/>
              <w:t>6.2. detalizēts izdevumu aprēķins</w:t>
            </w:r>
          </w:p>
        </w:tc>
        <w:tc>
          <w:tcPr>
            <w:tcW w:w="8067" w:type="dxa"/>
            <w:gridSpan w:val="5"/>
            <w:vMerge/>
          </w:tcPr>
          <w:p w14:paraId="23E547CC" w14:textId="77777777" w:rsidR="00A43769" w:rsidRPr="002149C0" w:rsidRDefault="00A43769" w:rsidP="00A43769">
            <w:pPr>
              <w:pStyle w:val="naisf"/>
              <w:spacing w:before="0" w:after="0"/>
              <w:rPr>
                <w:b/>
                <w:i/>
                <w:sz w:val="22"/>
                <w:szCs w:val="22"/>
              </w:rPr>
            </w:pPr>
          </w:p>
        </w:tc>
      </w:tr>
      <w:tr w:rsidR="00A43769" w:rsidRPr="005128C9" w14:paraId="1B6FBA03" w14:textId="77777777" w:rsidTr="00BC08D6">
        <w:trPr>
          <w:trHeight w:val="556"/>
          <w:jc w:val="center"/>
        </w:trPr>
        <w:tc>
          <w:tcPr>
            <w:tcW w:w="1709" w:type="dxa"/>
          </w:tcPr>
          <w:p w14:paraId="55B10355" w14:textId="77777777" w:rsidR="00A43769" w:rsidRPr="00BC08D6" w:rsidRDefault="00A43769" w:rsidP="00A43769">
            <w:pPr>
              <w:spacing w:after="0"/>
              <w:rPr>
                <w:rFonts w:ascii="Times New Roman" w:hAnsi="Times New Roman"/>
                <w:sz w:val="24"/>
                <w:szCs w:val="24"/>
              </w:rPr>
            </w:pPr>
            <w:r w:rsidRPr="00BC08D6">
              <w:rPr>
                <w:rFonts w:ascii="Times New Roman" w:hAnsi="Times New Roman"/>
                <w:sz w:val="24"/>
                <w:szCs w:val="24"/>
              </w:rPr>
              <w:lastRenderedPageBreak/>
              <w:t>7. Cita informācija</w:t>
            </w:r>
          </w:p>
        </w:tc>
        <w:tc>
          <w:tcPr>
            <w:tcW w:w="8067" w:type="dxa"/>
            <w:gridSpan w:val="5"/>
          </w:tcPr>
          <w:p w14:paraId="02D9BBA9" w14:textId="2671349F" w:rsidR="00A43769" w:rsidRPr="00AA7897" w:rsidRDefault="00A43769" w:rsidP="00A43769">
            <w:pPr>
              <w:spacing w:after="0"/>
              <w:ind w:firstLine="360"/>
              <w:jc w:val="both"/>
              <w:rPr>
                <w:rFonts w:ascii="Times New Roman" w:hAnsi="Times New Roman"/>
                <w:sz w:val="24"/>
                <w:szCs w:val="24"/>
              </w:rPr>
            </w:pPr>
            <w:r w:rsidRPr="00AA7897">
              <w:rPr>
                <w:rFonts w:ascii="Times New Roman" w:hAnsi="Times New Roman"/>
                <w:sz w:val="24"/>
                <w:szCs w:val="24"/>
              </w:rPr>
              <w:t xml:space="preserve">Ministru kabinets 2016.gada 8.novembrī skatīja Vides aizsardzības un reģionālās </w:t>
            </w:r>
            <w:r w:rsidR="00963015">
              <w:rPr>
                <w:rFonts w:ascii="Times New Roman" w:hAnsi="Times New Roman"/>
                <w:sz w:val="24"/>
                <w:szCs w:val="24"/>
              </w:rPr>
              <w:t xml:space="preserve">attīstības ministrijas </w:t>
            </w:r>
            <w:r w:rsidRPr="00AA7897">
              <w:rPr>
                <w:rFonts w:ascii="Times New Roman" w:hAnsi="Times New Roman"/>
                <w:sz w:val="24"/>
                <w:szCs w:val="24"/>
              </w:rPr>
              <w:t xml:space="preserve">iesniegto Informatīvo ziņojumu par iespējamiem finansēšanas risinājumiem sertifikācijas pakalpojumu nodrošināšanai personu apliecībās (eID) un to, kā vienotu un prioritāru līdzekli personas elektroniskās identitātes nodrošināšanai (protokols Nr.60, 62.§).  Ministru kabinets pieņēma zināšanai iesniegto informatīvo ziņojumu un nolēma atbalstīt informatīvajā ziņojumā ietverto principu, kas paredz noteikt personu apliecību (eID karti) ar tajā iekļautiem aktivizētiem elektroniskā paraksta un autentifikācijas sertifikātiem un neierobežotu, bezmaksas parakstīšanās un autentifikācijas reižu skaitu, par obligātu personu apliecinošu dokumentu visiem iedzīvotājiem, paredzot pārejas periodu no 2019. līdz 2022. gadam. Tas nozīmē, ka būs jāiegādājas personas apliecību sagataves tādā skaitā, lai varētu izsniegt obligātās personas apliecības visiem Latvijas iedzīvotājiem, un būs nepieciešams papildus finansējums 2018., 2019., 2020., 2021. un 2022.gadā. Ministru kabinets atbalstīja informatīvā ziņojuma noteikto maksāšanas modeli, kas paredz lietotājiem visās eID kartēs nodrošināt parakstīšanas un autentifikācijas sertifikātus ar neierobežotu parakstīšanās reižu skaitu šim mērķim piešķirto valsts budžeta līdzekļu ietvaros. Ministru kabinets noteica, ka jautājums par Iekšlietu ministrijai nepieciešamo finansējumu 2 299 000 EUR apmērā 2019.gadā un turpmākajos gados izskatāms Ministru kabinetā </w:t>
            </w:r>
            <w:r w:rsidRPr="00C07DED">
              <w:rPr>
                <w:rFonts w:ascii="Times New Roman" w:hAnsi="Times New Roman"/>
                <w:sz w:val="24"/>
                <w:szCs w:val="24"/>
              </w:rPr>
              <w:t>kopā visu ministriju un citu centrālo valsts iestāžu jauno politikas iniciatīvu pieprasījumiem likumprojekta "Par valsts budžetu 2019.gadam" un likumprojekta "Par vidēja termiņa budžeta ietvaru 2019., 2020. un 2021.gadam" sagatavošanas procesā, bet</w:t>
            </w:r>
            <w:r w:rsidR="008E6635" w:rsidRPr="00C07DED">
              <w:rPr>
                <w:rFonts w:ascii="Times New Roman" w:hAnsi="Times New Roman"/>
                <w:sz w:val="24"/>
                <w:szCs w:val="24"/>
              </w:rPr>
              <w:t xml:space="preserve"> lai</w:t>
            </w:r>
            <w:r w:rsidRPr="00C07DED">
              <w:rPr>
                <w:rFonts w:ascii="Times New Roman" w:hAnsi="Times New Roman"/>
                <w:sz w:val="24"/>
                <w:szCs w:val="24"/>
              </w:rPr>
              <w:t xml:space="preserve"> līdz 2018.gada 31.decembrim saglabā</w:t>
            </w:r>
            <w:r w:rsidR="008E6635" w:rsidRPr="00C07DED">
              <w:rPr>
                <w:rFonts w:ascii="Times New Roman" w:hAnsi="Times New Roman"/>
                <w:sz w:val="24"/>
                <w:szCs w:val="24"/>
              </w:rPr>
              <w:t>tu</w:t>
            </w:r>
            <w:r w:rsidRPr="00C07DED">
              <w:rPr>
                <w:rFonts w:ascii="Times New Roman" w:hAnsi="Times New Roman"/>
                <w:sz w:val="24"/>
                <w:szCs w:val="24"/>
              </w:rPr>
              <w:t xml:space="preserve"> līdzšinējais maksāšanas modelis sertifikācijas pakalpojumiem eID kartēs un šim mērķim </w:t>
            </w:r>
            <w:r w:rsidR="008E6635" w:rsidRPr="00C07DED">
              <w:rPr>
                <w:rFonts w:ascii="Times New Roman" w:hAnsi="Times New Roman"/>
                <w:sz w:val="24"/>
                <w:szCs w:val="24"/>
              </w:rPr>
              <w:t xml:space="preserve">piešķirts papildus  </w:t>
            </w:r>
            <w:r w:rsidRPr="00C07DED">
              <w:rPr>
                <w:rFonts w:ascii="Times New Roman" w:hAnsi="Times New Roman"/>
                <w:sz w:val="24"/>
                <w:szCs w:val="24"/>
              </w:rPr>
              <w:t xml:space="preserve">finansējums 847 036 EUR apmērā (katru gadu) </w:t>
            </w:r>
            <w:r w:rsidR="008E6635" w:rsidRPr="00C07DED">
              <w:rPr>
                <w:rFonts w:ascii="Times New Roman" w:hAnsi="Times New Roman"/>
                <w:sz w:val="24"/>
                <w:szCs w:val="24"/>
              </w:rPr>
              <w:t xml:space="preserve">atbilstoši informatīvam ziņojumam “Par iespējamiem finansēšanas risinājumiem </w:t>
            </w:r>
            <w:r w:rsidR="008E6635" w:rsidRPr="00C07DED">
              <w:rPr>
                <w:rFonts w:ascii="Times New Roman" w:hAnsi="Times New Roman"/>
                <w:sz w:val="24"/>
                <w:szCs w:val="24"/>
              </w:rPr>
              <w:lastRenderedPageBreak/>
              <w:t xml:space="preserve">sertifikācijas pakalpojumu nodrošināšanai personu apliecībās (eID) un to, kā vienotu un prioritāru līdzekli personas elektroniskās identitātes nodrošināšanai” </w:t>
            </w:r>
            <w:r w:rsidR="00E47AA9" w:rsidRPr="00C07DED">
              <w:rPr>
                <w:rFonts w:ascii="Times New Roman" w:hAnsi="Times New Roman"/>
                <w:sz w:val="24"/>
                <w:szCs w:val="24"/>
              </w:rPr>
              <w:t>Saskaņā ar Ministru kabineta 2016.gada 8.novembrī nolemto (prot. Nr.60, 62.</w:t>
            </w:r>
            <w:r w:rsidR="00E47AA9" w:rsidRPr="00C07DED">
              <w:rPr>
                <w:rFonts w:ascii="Times New Roman" w:hAnsi="Times New Roman" w:cs="Times New Roman"/>
                <w:sz w:val="24"/>
                <w:szCs w:val="24"/>
              </w:rPr>
              <w:t>§</w:t>
            </w:r>
            <w:r w:rsidR="00E47AA9" w:rsidRPr="00C07DED">
              <w:rPr>
                <w:rFonts w:ascii="Times New Roman" w:hAnsi="Times New Roman"/>
                <w:sz w:val="24"/>
                <w:szCs w:val="24"/>
              </w:rPr>
              <w:t xml:space="preserve">),  </w:t>
            </w:r>
            <w:r w:rsidRPr="00C07DED">
              <w:rPr>
                <w:rFonts w:ascii="Times New Roman" w:hAnsi="Times New Roman"/>
                <w:sz w:val="24"/>
                <w:szCs w:val="24"/>
              </w:rPr>
              <w:t xml:space="preserve">Iekšlietu ministrijai </w:t>
            </w:r>
            <w:r w:rsidR="00E47AA9" w:rsidRPr="00C07DED">
              <w:rPr>
                <w:rFonts w:ascii="Times New Roman" w:hAnsi="Times New Roman"/>
                <w:sz w:val="24"/>
                <w:szCs w:val="24"/>
              </w:rPr>
              <w:t>jāsagat</w:t>
            </w:r>
            <w:r w:rsidR="00E0581A" w:rsidRPr="00C07DED">
              <w:rPr>
                <w:rFonts w:ascii="Times New Roman" w:hAnsi="Times New Roman"/>
                <w:sz w:val="24"/>
                <w:szCs w:val="24"/>
              </w:rPr>
              <w:t>a</w:t>
            </w:r>
            <w:r w:rsidR="00E47AA9" w:rsidRPr="00C07DED">
              <w:rPr>
                <w:rFonts w:ascii="Times New Roman" w:hAnsi="Times New Roman"/>
                <w:sz w:val="24"/>
                <w:szCs w:val="24"/>
              </w:rPr>
              <w:t xml:space="preserve">vo </w:t>
            </w:r>
            <w:r w:rsidRPr="00C07DED">
              <w:rPr>
                <w:rFonts w:ascii="Times New Roman" w:hAnsi="Times New Roman"/>
                <w:sz w:val="24"/>
                <w:szCs w:val="24"/>
              </w:rPr>
              <w:t>un iekšlietu ministram līdz</w:t>
            </w:r>
            <w:r w:rsidRPr="00E47AA9">
              <w:rPr>
                <w:rFonts w:ascii="Times New Roman" w:hAnsi="Times New Roman"/>
                <w:sz w:val="24"/>
                <w:szCs w:val="24"/>
              </w:rPr>
              <w:t xml:space="preserve"> 2018.gada 1.augustam noteiktā</w:t>
            </w:r>
            <w:r w:rsidRPr="00AA7897">
              <w:rPr>
                <w:rFonts w:ascii="Times New Roman" w:hAnsi="Times New Roman"/>
                <w:sz w:val="24"/>
                <w:szCs w:val="24"/>
              </w:rPr>
              <w:t xml:space="preserve"> kārtībā </w:t>
            </w:r>
            <w:r w:rsidR="00E47AA9">
              <w:rPr>
                <w:rFonts w:ascii="Times New Roman" w:hAnsi="Times New Roman"/>
                <w:sz w:val="24"/>
                <w:szCs w:val="24"/>
              </w:rPr>
              <w:t>jāiesniedz</w:t>
            </w:r>
            <w:r w:rsidR="00E47AA9" w:rsidRPr="00AA7897">
              <w:rPr>
                <w:rFonts w:ascii="Times New Roman" w:hAnsi="Times New Roman"/>
                <w:sz w:val="24"/>
                <w:szCs w:val="24"/>
              </w:rPr>
              <w:t xml:space="preserve"> </w:t>
            </w:r>
            <w:r w:rsidRPr="00AA7897">
              <w:rPr>
                <w:rFonts w:ascii="Times New Roman" w:hAnsi="Times New Roman"/>
                <w:sz w:val="24"/>
                <w:szCs w:val="24"/>
              </w:rPr>
              <w:t>izskatīšanai Ministru kabinetā rīkojuma projektu par grozījumiem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paredzot likumprojekta "Par valsts budžetu 2019.gadam" un likumprojekta "Par vidēja termiņa budžetu 2019., 2020. un 2021.gadam" sagatavošanas procesā precizēt valsts pamatbudžeta ieņēmumu prognozi no valsts nodevas par personas apliecību izsniegšanu un ar to saistītos izdevumus.</w:t>
            </w:r>
          </w:p>
          <w:p w14:paraId="7600E575" w14:textId="77777777" w:rsidR="00A43769" w:rsidRPr="00166481" w:rsidRDefault="00A43769" w:rsidP="00A43769">
            <w:pPr>
              <w:pStyle w:val="naisf"/>
              <w:tabs>
                <w:tab w:val="left" w:pos="4644"/>
              </w:tabs>
              <w:spacing w:before="0" w:after="0"/>
              <w:rPr>
                <w:rFonts w:eastAsiaTheme="minorHAnsi" w:cstheme="minorBidi"/>
                <w:szCs w:val="24"/>
                <w:lang w:eastAsia="en-US"/>
              </w:rPr>
            </w:pPr>
          </w:p>
        </w:tc>
      </w:tr>
    </w:tbl>
    <w:p w14:paraId="283FBCEA" w14:textId="77777777" w:rsidR="00BC08D6" w:rsidRDefault="00BC08D6" w:rsidP="00F50741">
      <w:pPr>
        <w:spacing w:after="0"/>
        <w:ind w:firstLine="300"/>
        <w:rPr>
          <w:rFonts w:ascii="Times New Roman" w:eastAsia="Times New Roman" w:hAnsi="Times New Roman" w:cs="Times New Roman"/>
          <w:sz w:val="24"/>
          <w:szCs w:val="24"/>
          <w:lang w:eastAsia="lv-LV"/>
        </w:rPr>
      </w:pPr>
    </w:p>
    <w:p w14:paraId="303F1CD9" w14:textId="77777777"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495AE6" w14:paraId="126A4A32" w14:textId="77777777"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428162" w14:textId="77777777"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VII. Tiesību akta projekta izpildes nodrošināšana un tās ietekme uz institūcijām</w:t>
            </w:r>
          </w:p>
        </w:tc>
      </w:tr>
      <w:tr w:rsidR="008B6287" w:rsidRPr="00495AE6" w14:paraId="6D6A0E5F" w14:textId="77777777"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2AD1F7C"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169D8630"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34319691" w14:textId="74CFDAA1" w:rsidR="008B6287" w:rsidRPr="00495AE6" w:rsidRDefault="008B6287" w:rsidP="00BC470A">
            <w:pPr>
              <w:ind w:left="57" w:right="57"/>
              <w:jc w:val="both"/>
              <w:rPr>
                <w:sz w:val="28"/>
              </w:rPr>
            </w:pPr>
            <w:r w:rsidRPr="00495AE6">
              <w:rPr>
                <w:rFonts w:ascii="Times New Roman" w:eastAsia="Times New Roman" w:hAnsi="Times New Roman" w:cs="Times New Roman"/>
                <w:sz w:val="24"/>
                <w:szCs w:val="24"/>
                <w:lang w:eastAsia="lv-LV"/>
              </w:rPr>
              <w:t>Pilsonības un migrācijas lietu pārvalde</w:t>
            </w:r>
            <w:r w:rsidR="00C908AB" w:rsidRPr="003D5C29">
              <w:rPr>
                <w:rFonts w:ascii="Times New Roman" w:eastAsia="Times New Roman" w:hAnsi="Times New Roman" w:cs="Times New Roman"/>
                <w:sz w:val="24"/>
                <w:szCs w:val="24"/>
                <w:lang w:eastAsia="lv-LV"/>
              </w:rPr>
              <w:t>, Iekšlietu ministrijas Informācijas centrs.</w:t>
            </w:r>
          </w:p>
        </w:tc>
      </w:tr>
      <w:tr w:rsidR="008B6287" w:rsidRPr="00495AE6" w14:paraId="1AAD2F55" w14:textId="77777777"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8B652CB"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592E806"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Projekta izpildes ietekme uz pārvaldes funkcijām un institucionālo struktūru. </w:t>
            </w:r>
          </w:p>
          <w:p w14:paraId="0FDC0374" w14:textId="77777777" w:rsidR="008B6287" w:rsidRPr="00495AE6" w:rsidRDefault="008B6287" w:rsidP="008B6287">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09764E79" w14:textId="44E4E312" w:rsidR="00040266" w:rsidRPr="00495AE6" w:rsidRDefault="00040266" w:rsidP="00C642C1">
            <w:pPr>
              <w:ind w:right="57"/>
              <w:jc w:val="both"/>
              <w:rPr>
                <w:rFonts w:ascii="Times New Roman" w:eastAsia="Times New Roman" w:hAnsi="Times New Roman" w:cs="Times New Roman"/>
                <w:sz w:val="24"/>
                <w:szCs w:val="24"/>
                <w:lang w:eastAsia="lv-LV"/>
              </w:rPr>
            </w:pPr>
            <w:r w:rsidRPr="00040266">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tc>
      </w:tr>
      <w:tr w:rsidR="008B6287" w:rsidRPr="00495AE6" w14:paraId="7A3A3801" w14:textId="77777777"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0FD8C46"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19FB1C58" w14:textId="77777777"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517B1750" w14:textId="24C1CB94" w:rsidR="008B6287" w:rsidRPr="00495AE6" w:rsidRDefault="00040266" w:rsidP="00BC470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6838217" w14:textId="77777777" w:rsidR="006C05DA" w:rsidRPr="00495AE6" w:rsidRDefault="006C05DA" w:rsidP="00AE4348">
      <w:pPr>
        <w:pStyle w:val="naisf"/>
        <w:tabs>
          <w:tab w:val="left" w:pos="6710"/>
        </w:tabs>
        <w:spacing w:before="0" w:after="120"/>
        <w:rPr>
          <w:szCs w:val="24"/>
        </w:rPr>
      </w:pPr>
    </w:p>
    <w:p w14:paraId="1E226C6C" w14:textId="77777777" w:rsidR="00AE4348" w:rsidRPr="00495AE6" w:rsidRDefault="00AE4348" w:rsidP="00AE4348">
      <w:pPr>
        <w:pStyle w:val="naisf"/>
        <w:tabs>
          <w:tab w:val="left" w:pos="6710"/>
        </w:tabs>
        <w:spacing w:before="0" w:after="120"/>
        <w:rPr>
          <w:szCs w:val="24"/>
        </w:rPr>
      </w:pPr>
      <w:r w:rsidRPr="00495AE6">
        <w:rPr>
          <w:szCs w:val="24"/>
        </w:rPr>
        <w:t xml:space="preserve">Anotācijas </w:t>
      </w:r>
      <w:r w:rsidR="00163CCE" w:rsidRPr="00495AE6">
        <w:rPr>
          <w:szCs w:val="24"/>
        </w:rPr>
        <w:t xml:space="preserve">II, </w:t>
      </w:r>
      <w:r w:rsidRPr="00495AE6">
        <w:rPr>
          <w:szCs w:val="24"/>
        </w:rPr>
        <w:t>IV, V un VI</w:t>
      </w:r>
      <w:r w:rsidR="00DA3726" w:rsidRPr="00495AE6">
        <w:rPr>
          <w:szCs w:val="24"/>
        </w:rPr>
        <w:t xml:space="preserve"> sadaļa</w:t>
      </w:r>
      <w:r w:rsidRPr="00495AE6">
        <w:rPr>
          <w:szCs w:val="24"/>
        </w:rPr>
        <w:t xml:space="preserve"> – projekts šīs jomas neskar.</w:t>
      </w:r>
    </w:p>
    <w:p w14:paraId="29A62A53" w14:textId="77777777" w:rsidR="00DA3726" w:rsidRPr="00495AE6" w:rsidRDefault="00DA3726" w:rsidP="00DA3726">
      <w:pPr>
        <w:tabs>
          <w:tab w:val="left" w:pos="6521"/>
        </w:tabs>
        <w:jc w:val="both"/>
        <w:rPr>
          <w:rFonts w:ascii="Times New Roman" w:eastAsia="Times New Roman" w:hAnsi="Times New Roman" w:cs="Times New Roman"/>
          <w:sz w:val="28"/>
          <w:szCs w:val="28"/>
          <w:lang w:eastAsia="lv-LV"/>
        </w:rPr>
      </w:pPr>
    </w:p>
    <w:p w14:paraId="66B289BE" w14:textId="1872EC61" w:rsidR="00DA3726" w:rsidRPr="00495AE6" w:rsidRDefault="00DA3726" w:rsidP="00DA3726">
      <w:pPr>
        <w:tabs>
          <w:tab w:val="left" w:pos="6521"/>
        </w:tabs>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Iekšlietu ministrs</w:t>
      </w:r>
      <w:r w:rsidRPr="00495AE6">
        <w:rPr>
          <w:rFonts w:ascii="Times New Roman" w:eastAsia="Times New Roman" w:hAnsi="Times New Roman" w:cs="Times New Roman"/>
          <w:sz w:val="24"/>
          <w:szCs w:val="24"/>
          <w:lang w:eastAsia="lv-LV"/>
        </w:rPr>
        <w:tab/>
        <w:t>R</w:t>
      </w:r>
      <w:r w:rsidR="00561A1D">
        <w:rPr>
          <w:rFonts w:ascii="Times New Roman" w:eastAsia="Times New Roman" w:hAnsi="Times New Roman" w:cs="Times New Roman"/>
          <w:sz w:val="24"/>
          <w:szCs w:val="24"/>
          <w:lang w:eastAsia="lv-LV"/>
        </w:rPr>
        <w:t xml:space="preserve">ihards </w:t>
      </w:r>
      <w:r w:rsidRPr="00495AE6">
        <w:rPr>
          <w:rFonts w:ascii="Times New Roman" w:eastAsia="Times New Roman" w:hAnsi="Times New Roman" w:cs="Times New Roman"/>
          <w:sz w:val="24"/>
          <w:szCs w:val="24"/>
          <w:lang w:eastAsia="lv-LV"/>
        </w:rPr>
        <w:t>Kozlovskis</w:t>
      </w:r>
    </w:p>
    <w:p w14:paraId="6A5B24D3" w14:textId="77777777" w:rsidR="00DA3726" w:rsidRPr="00495AE6" w:rsidRDefault="00DA3726" w:rsidP="00DA3726">
      <w:pPr>
        <w:pStyle w:val="naisf"/>
        <w:rPr>
          <w:szCs w:val="24"/>
        </w:rPr>
      </w:pPr>
    </w:p>
    <w:p w14:paraId="45A09495" w14:textId="1D46F7D6" w:rsidR="00DA3726" w:rsidRPr="00495AE6" w:rsidRDefault="00DA3726" w:rsidP="00DA3726">
      <w:pPr>
        <w:pStyle w:val="naisf"/>
        <w:rPr>
          <w:szCs w:val="24"/>
        </w:rPr>
      </w:pPr>
      <w:r w:rsidRPr="00495AE6">
        <w:rPr>
          <w:szCs w:val="24"/>
        </w:rPr>
        <w:t>Vīza: valsts sekretāre</w:t>
      </w:r>
      <w:r w:rsidRPr="00495AE6">
        <w:rPr>
          <w:szCs w:val="24"/>
        </w:rPr>
        <w:tab/>
      </w:r>
      <w:r w:rsidRPr="00495AE6">
        <w:rPr>
          <w:szCs w:val="24"/>
        </w:rPr>
        <w:tab/>
      </w:r>
      <w:r w:rsidRPr="00495AE6">
        <w:rPr>
          <w:szCs w:val="24"/>
        </w:rPr>
        <w:tab/>
      </w:r>
      <w:r w:rsidRPr="00495AE6">
        <w:rPr>
          <w:szCs w:val="24"/>
        </w:rPr>
        <w:tab/>
      </w:r>
      <w:r w:rsidRPr="00495AE6">
        <w:rPr>
          <w:szCs w:val="24"/>
        </w:rPr>
        <w:tab/>
      </w:r>
      <w:r w:rsidR="009C6554" w:rsidRPr="00495AE6">
        <w:rPr>
          <w:szCs w:val="24"/>
        </w:rPr>
        <w:tab/>
      </w:r>
      <w:r w:rsidR="009C6554" w:rsidRPr="00495AE6">
        <w:rPr>
          <w:szCs w:val="24"/>
        </w:rPr>
        <w:tab/>
      </w:r>
      <w:r w:rsidR="00561A1D">
        <w:rPr>
          <w:szCs w:val="24"/>
        </w:rPr>
        <w:t>Ilze</w:t>
      </w:r>
      <w:r w:rsidR="0059714C" w:rsidRPr="00495AE6">
        <w:rPr>
          <w:szCs w:val="24"/>
        </w:rPr>
        <w:t xml:space="preserve"> Pētersone–</w:t>
      </w:r>
      <w:r w:rsidRPr="00495AE6">
        <w:rPr>
          <w:szCs w:val="24"/>
        </w:rPr>
        <w:t>Godmane</w:t>
      </w:r>
    </w:p>
    <w:p w14:paraId="56528DFE" w14:textId="77777777" w:rsidR="00395C12" w:rsidRDefault="00395C12" w:rsidP="00DA3726">
      <w:pPr>
        <w:pStyle w:val="HTMLPreformatted"/>
        <w:jc w:val="both"/>
        <w:rPr>
          <w:rFonts w:ascii="Times New Roman" w:hAnsi="Times New Roman" w:cs="Times New Roman"/>
          <w:lang w:val="de-DE" w:eastAsia="en-US"/>
        </w:rPr>
      </w:pPr>
    </w:p>
    <w:p w14:paraId="1911AD3D" w14:textId="77777777" w:rsidR="0079754E" w:rsidRDefault="0079754E" w:rsidP="00DA3726">
      <w:pPr>
        <w:pStyle w:val="HTMLPreformatted"/>
        <w:jc w:val="both"/>
        <w:rPr>
          <w:rFonts w:ascii="Times New Roman" w:hAnsi="Times New Roman" w:cs="Times New Roman"/>
          <w:lang w:val="de-DE" w:eastAsia="en-US"/>
        </w:rPr>
      </w:pPr>
    </w:p>
    <w:p w14:paraId="562FB8F4" w14:textId="77777777" w:rsidR="0079754E" w:rsidRDefault="0079754E" w:rsidP="00DA3726">
      <w:pPr>
        <w:pStyle w:val="HTMLPreformatted"/>
        <w:jc w:val="both"/>
        <w:rPr>
          <w:rFonts w:ascii="Times New Roman" w:hAnsi="Times New Roman" w:cs="Times New Roman"/>
          <w:lang w:val="de-DE" w:eastAsia="en-US"/>
        </w:rPr>
      </w:pPr>
    </w:p>
    <w:p w14:paraId="336F5787" w14:textId="77777777" w:rsidR="003D5C29" w:rsidRDefault="003D5C29" w:rsidP="008D327A">
      <w:pPr>
        <w:pStyle w:val="HTMLPreformatted"/>
        <w:jc w:val="both"/>
        <w:rPr>
          <w:rFonts w:ascii="Times New Roman" w:hAnsi="Times New Roman" w:cs="Times New Roman"/>
          <w:lang w:val="de-DE" w:eastAsia="en-US"/>
        </w:rPr>
      </w:pPr>
    </w:p>
    <w:p w14:paraId="40F2C78D" w14:textId="7F92D0B6" w:rsidR="00DA3726" w:rsidRPr="00495AE6" w:rsidRDefault="000252F2" w:rsidP="008D327A">
      <w:pPr>
        <w:pStyle w:val="HTMLPreformatted"/>
        <w:jc w:val="both"/>
        <w:rPr>
          <w:rFonts w:ascii="Times New Roman" w:hAnsi="Times New Roman" w:cs="Times New Roman"/>
          <w:lang w:val="de-DE" w:eastAsia="en-US"/>
        </w:rPr>
      </w:pPr>
      <w:r>
        <w:rPr>
          <w:rFonts w:ascii="Times New Roman" w:hAnsi="Times New Roman" w:cs="Times New Roman"/>
          <w:lang w:val="de-DE" w:eastAsia="en-US"/>
        </w:rPr>
        <w:t>Peneze 67219521</w:t>
      </w:r>
    </w:p>
    <w:p w14:paraId="3CDE3162" w14:textId="77777777" w:rsidR="00854269" w:rsidRDefault="00902149" w:rsidP="008D327A">
      <w:pPr>
        <w:spacing w:after="0"/>
        <w:jc w:val="both"/>
        <w:rPr>
          <w:rFonts w:ascii="Times New Roman" w:eastAsia="Times New Roman" w:hAnsi="Times New Roman" w:cs="Times New Roman"/>
          <w:sz w:val="20"/>
          <w:szCs w:val="20"/>
          <w:lang w:val="de-DE"/>
        </w:rPr>
      </w:pPr>
      <w:hyperlink r:id="rId8" w:history="1">
        <w:r w:rsidR="000252F2">
          <w:rPr>
            <w:rStyle w:val="Hyperlink"/>
            <w:rFonts w:ascii="Times New Roman" w:eastAsia="Times New Roman" w:hAnsi="Times New Roman" w:cs="Times New Roman"/>
            <w:sz w:val="20"/>
            <w:szCs w:val="20"/>
            <w:lang w:val="de-DE"/>
          </w:rPr>
          <w:t>Dzintra.Peneze</w:t>
        </w:r>
        <w:r w:rsidR="00306015" w:rsidRPr="005C075A">
          <w:rPr>
            <w:rStyle w:val="Hyperlink"/>
            <w:rFonts w:ascii="Times New Roman" w:eastAsia="Times New Roman" w:hAnsi="Times New Roman" w:cs="Times New Roman"/>
            <w:sz w:val="20"/>
            <w:szCs w:val="20"/>
            <w:lang w:val="de-DE"/>
          </w:rPr>
          <w:t>@pmlp.gov.lv</w:t>
        </w:r>
      </w:hyperlink>
    </w:p>
    <w:p w14:paraId="3319492E" w14:textId="77777777" w:rsidR="00306015" w:rsidRDefault="00306015" w:rsidP="0016014D">
      <w:pPr>
        <w:spacing w:after="0"/>
        <w:jc w:val="both"/>
        <w:rPr>
          <w:rFonts w:ascii="Times New Roman" w:eastAsia="Times New Roman" w:hAnsi="Times New Roman" w:cs="Times New Roman"/>
          <w:sz w:val="20"/>
          <w:szCs w:val="20"/>
          <w:lang w:val="de-DE"/>
        </w:rPr>
      </w:pPr>
    </w:p>
    <w:p w14:paraId="28288A67" w14:textId="77777777" w:rsidR="009870B6" w:rsidRDefault="009870B6" w:rsidP="009870B6">
      <w:pPr>
        <w:spacing w:after="0"/>
        <w:jc w:val="both"/>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Brīvniece 67219453</w:t>
      </w:r>
    </w:p>
    <w:p w14:paraId="365261BE" w14:textId="77777777" w:rsidR="009870B6" w:rsidRPr="0016014D" w:rsidRDefault="009870B6" w:rsidP="009870B6">
      <w:pPr>
        <w:spacing w:after="0"/>
        <w:jc w:val="both"/>
        <w:rPr>
          <w:rFonts w:ascii="Times New Roman" w:eastAsia="Times New Roman" w:hAnsi="Times New Roman" w:cs="Times New Roman"/>
          <w:sz w:val="20"/>
          <w:szCs w:val="20"/>
          <w:lang w:val="de-DE"/>
        </w:rPr>
      </w:pPr>
      <w:hyperlink r:id="rId9" w:history="1">
        <w:r w:rsidRPr="00B7211E">
          <w:rPr>
            <w:rStyle w:val="Hyperlink"/>
            <w:rFonts w:ascii="Times New Roman" w:eastAsia="Times New Roman" w:hAnsi="Times New Roman" w:cs="Times New Roman"/>
            <w:sz w:val="20"/>
            <w:szCs w:val="20"/>
            <w:lang w:val="de-DE"/>
          </w:rPr>
          <w:t>ramona.brivniece@pmlp.gov.lv</w:t>
        </w:r>
      </w:hyperlink>
      <w:r>
        <w:rPr>
          <w:rFonts w:ascii="Times New Roman" w:eastAsia="Times New Roman" w:hAnsi="Times New Roman" w:cs="Times New Roman"/>
          <w:sz w:val="20"/>
          <w:szCs w:val="20"/>
          <w:lang w:val="de-DE"/>
        </w:rPr>
        <w:t xml:space="preserve"> </w:t>
      </w:r>
    </w:p>
    <w:p w14:paraId="58895902" w14:textId="77777777" w:rsidR="009870B6" w:rsidRDefault="009870B6" w:rsidP="0016014D">
      <w:pPr>
        <w:spacing w:after="0"/>
        <w:jc w:val="both"/>
        <w:rPr>
          <w:rFonts w:ascii="Times New Roman" w:eastAsia="Times New Roman" w:hAnsi="Times New Roman" w:cs="Times New Roman"/>
          <w:sz w:val="20"/>
          <w:szCs w:val="20"/>
          <w:lang w:val="de-DE"/>
        </w:rPr>
      </w:pPr>
      <w:bookmarkStart w:id="0" w:name="_GoBack"/>
      <w:bookmarkEnd w:id="0"/>
    </w:p>
    <w:p w14:paraId="1E2AA1F4" w14:textId="07EC8E09" w:rsidR="00306015" w:rsidRPr="0016014D" w:rsidRDefault="00306015" w:rsidP="0016014D">
      <w:pPr>
        <w:spacing w:after="0"/>
        <w:jc w:val="both"/>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 xml:space="preserve"> </w:t>
      </w:r>
    </w:p>
    <w:sectPr w:rsidR="00306015" w:rsidRPr="0016014D" w:rsidSect="000A69AC">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F86E3" w14:textId="77777777" w:rsidR="00902149" w:rsidRDefault="00902149" w:rsidP="00CE3E2E">
      <w:pPr>
        <w:spacing w:after="0"/>
      </w:pPr>
      <w:r>
        <w:separator/>
      </w:r>
    </w:p>
  </w:endnote>
  <w:endnote w:type="continuationSeparator" w:id="0">
    <w:p w14:paraId="5170DBA0" w14:textId="77777777" w:rsidR="00902149" w:rsidRDefault="00902149"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0B94" w14:textId="46821857" w:rsidR="00EA3DBA" w:rsidRDefault="0058711C" w:rsidP="004D2098">
    <w:pP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8436D">
      <w:rPr>
        <w:rFonts w:ascii="Times New Roman" w:hAnsi="Times New Roman" w:cs="Times New Roman"/>
        <w:noProof/>
        <w:sz w:val="20"/>
        <w:szCs w:val="20"/>
      </w:rPr>
      <w:t>IEMAnot_170117_groz347</w:t>
    </w:r>
    <w:r>
      <w:rPr>
        <w:rFonts w:ascii="Times New Roman" w:hAnsi="Times New Roman" w:cs="Times New Roman"/>
        <w:sz w:val="20"/>
        <w:szCs w:val="20"/>
      </w:rPr>
      <w:fldChar w:fldCharType="end"/>
    </w:r>
    <w:r>
      <w:rPr>
        <w:rFonts w:ascii="Times New Roman" w:hAnsi="Times New Roman" w:cs="Times New Roman"/>
        <w:sz w:val="20"/>
        <w:szCs w:val="20"/>
      </w:rPr>
      <w:t>;</w:t>
    </w:r>
    <w:r w:rsidR="00EA3DBA" w:rsidRPr="00E9638B">
      <w:rPr>
        <w:rFonts w:ascii="Times New Roman" w:hAnsi="Times New Roman" w:cs="Times New Roman"/>
        <w:sz w:val="20"/>
        <w:szCs w:val="20"/>
      </w:rPr>
      <w:t xml:space="preserve"> Ministru kabineta rīkojuma projekta „</w:t>
    </w:r>
    <w:r w:rsidR="00EA3DBA">
      <w:rPr>
        <w:rFonts w:ascii="Times New Roman" w:hAnsi="Times New Roman" w:cs="Times New Roman"/>
        <w:bCs/>
        <w:sz w:val="20"/>
        <w:szCs w:val="20"/>
      </w:rPr>
      <w:t>Grozījumi</w:t>
    </w:r>
    <w:r w:rsidR="00EA3DBA"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sidR="00EA3DBA">
      <w:rPr>
        <w:rFonts w:ascii="Times New Roman" w:hAnsi="Times New Roman" w:cs="Times New Roman"/>
        <w:bCs/>
        <w:sz w:val="20"/>
        <w:szCs w:val="20"/>
      </w:rPr>
      <w:t>i</w:t>
    </w:r>
    <w:r w:rsidR="00EA3DBA" w:rsidRPr="00E9638B">
      <w:rPr>
        <w:rFonts w:ascii="Times New Roman" w:hAnsi="Times New Roman" w:cs="Times New Roman"/>
        <w:bCs/>
        <w:sz w:val="20"/>
        <w:szCs w:val="20"/>
      </w:rPr>
      <w:t>”</w:t>
    </w:r>
    <w:r w:rsidR="00EA3DBA" w:rsidRPr="00E9638B">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00EA3DBA" w:rsidRPr="00E9638B">
        <w:rPr>
          <w:rFonts w:ascii="Times New Roman" w:hAnsi="Times New Roman" w:cs="Times New Roman"/>
          <w:sz w:val="20"/>
          <w:szCs w:val="20"/>
        </w:rPr>
        <w:t>ziņojums</w:t>
      </w:r>
    </w:smartTag>
    <w:r w:rsidR="00EA3DBA" w:rsidRPr="00E9638B">
      <w:rPr>
        <w:rFonts w:ascii="Times New Roman" w:hAnsi="Times New Roman" w:cs="Times New Roman"/>
        <w:sz w:val="20"/>
        <w:szCs w:val="20"/>
      </w:rPr>
      <w:t xml:space="preserve"> (anotācija)</w:t>
    </w:r>
  </w:p>
  <w:p w14:paraId="26DDFEAA" w14:textId="77777777" w:rsidR="00EA3DBA" w:rsidRDefault="00EA3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532A" w14:textId="6021C4F2" w:rsidR="00EA3DBA" w:rsidRPr="0016014D" w:rsidRDefault="00EA3DBA" w:rsidP="00A5492F">
    <w:pPr>
      <w:jc w:val="both"/>
      <w:rPr>
        <w:rFonts w:ascii="Times New Roman" w:hAnsi="Times New Roman" w:cs="Times New Roman"/>
        <w:noProof/>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8436D">
      <w:rPr>
        <w:rFonts w:ascii="Times New Roman" w:hAnsi="Times New Roman" w:cs="Times New Roman"/>
        <w:noProof/>
        <w:sz w:val="20"/>
        <w:szCs w:val="20"/>
      </w:rPr>
      <w:t>IEMAnot_170117_groz347</w:t>
    </w:r>
    <w:r>
      <w:rPr>
        <w:rFonts w:ascii="Times New Roman" w:hAnsi="Times New Roman" w:cs="Times New Roman"/>
        <w:sz w:val="20"/>
        <w:szCs w:val="20"/>
      </w:rPr>
      <w:fldChar w:fldCharType="end"/>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14:paraId="65D43F22" w14:textId="77777777" w:rsidR="00EA3DBA" w:rsidRDefault="00EA3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1DEDD" w14:textId="77777777" w:rsidR="00902149" w:rsidRDefault="00902149" w:rsidP="00CE3E2E">
      <w:pPr>
        <w:spacing w:after="0"/>
      </w:pPr>
      <w:r>
        <w:separator/>
      </w:r>
    </w:p>
  </w:footnote>
  <w:footnote w:type="continuationSeparator" w:id="0">
    <w:p w14:paraId="50042052" w14:textId="77777777" w:rsidR="00902149" w:rsidRDefault="00902149"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4D17BB6" w14:textId="77777777" w:rsidR="00EA3DBA" w:rsidRDefault="00EA3DBA">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9870B6">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14:paraId="2383E6B6" w14:textId="77777777" w:rsidR="00EA3DBA" w:rsidRDefault="00EA3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5B9"/>
    <w:multiLevelType w:val="hybridMultilevel"/>
    <w:tmpl w:val="88583C78"/>
    <w:lvl w:ilvl="0" w:tplc="DA8E1E8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2"/>
  </w:num>
  <w:num w:numId="6">
    <w:abstractNumId w:val="1"/>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17D5D"/>
    <w:rsid w:val="00022093"/>
    <w:rsid w:val="00022BC7"/>
    <w:rsid w:val="000252F2"/>
    <w:rsid w:val="00025362"/>
    <w:rsid w:val="0002583B"/>
    <w:rsid w:val="000263C2"/>
    <w:rsid w:val="0003343B"/>
    <w:rsid w:val="0003750F"/>
    <w:rsid w:val="00040266"/>
    <w:rsid w:val="000411C0"/>
    <w:rsid w:val="000438C8"/>
    <w:rsid w:val="00060BC7"/>
    <w:rsid w:val="00065271"/>
    <w:rsid w:val="00067883"/>
    <w:rsid w:val="00067D79"/>
    <w:rsid w:val="00071229"/>
    <w:rsid w:val="000737E8"/>
    <w:rsid w:val="00073EF9"/>
    <w:rsid w:val="000741DF"/>
    <w:rsid w:val="000808C1"/>
    <w:rsid w:val="000856E3"/>
    <w:rsid w:val="000A4C28"/>
    <w:rsid w:val="000A69AC"/>
    <w:rsid w:val="000B0A2C"/>
    <w:rsid w:val="000B30A8"/>
    <w:rsid w:val="000B36F2"/>
    <w:rsid w:val="000B4F8A"/>
    <w:rsid w:val="000B5285"/>
    <w:rsid w:val="000B70E3"/>
    <w:rsid w:val="000C4CE7"/>
    <w:rsid w:val="000D2EA1"/>
    <w:rsid w:val="000D469D"/>
    <w:rsid w:val="000D7D6C"/>
    <w:rsid w:val="000E5471"/>
    <w:rsid w:val="000F029B"/>
    <w:rsid w:val="000F67DF"/>
    <w:rsid w:val="00101287"/>
    <w:rsid w:val="00106D63"/>
    <w:rsid w:val="00116174"/>
    <w:rsid w:val="00116745"/>
    <w:rsid w:val="00116EB3"/>
    <w:rsid w:val="001374AA"/>
    <w:rsid w:val="001474BC"/>
    <w:rsid w:val="00151421"/>
    <w:rsid w:val="0015495B"/>
    <w:rsid w:val="00155926"/>
    <w:rsid w:val="00155EE8"/>
    <w:rsid w:val="0016014D"/>
    <w:rsid w:val="00163CCE"/>
    <w:rsid w:val="001657E9"/>
    <w:rsid w:val="00166481"/>
    <w:rsid w:val="00173476"/>
    <w:rsid w:val="001744C5"/>
    <w:rsid w:val="00175EC7"/>
    <w:rsid w:val="00177324"/>
    <w:rsid w:val="0018065F"/>
    <w:rsid w:val="0019233E"/>
    <w:rsid w:val="00197F69"/>
    <w:rsid w:val="001A26AB"/>
    <w:rsid w:val="001A5962"/>
    <w:rsid w:val="001A7365"/>
    <w:rsid w:val="001B478E"/>
    <w:rsid w:val="001B659D"/>
    <w:rsid w:val="001B7300"/>
    <w:rsid w:val="001C0E05"/>
    <w:rsid w:val="001C0FD3"/>
    <w:rsid w:val="001C7D41"/>
    <w:rsid w:val="001D2D81"/>
    <w:rsid w:val="001E03BD"/>
    <w:rsid w:val="001E6E53"/>
    <w:rsid w:val="001F05B8"/>
    <w:rsid w:val="001F0A2E"/>
    <w:rsid w:val="001F34E8"/>
    <w:rsid w:val="001F57A8"/>
    <w:rsid w:val="001F59F8"/>
    <w:rsid w:val="00201221"/>
    <w:rsid w:val="0020418C"/>
    <w:rsid w:val="00205100"/>
    <w:rsid w:val="0020516A"/>
    <w:rsid w:val="00207436"/>
    <w:rsid w:val="002150BA"/>
    <w:rsid w:val="00216094"/>
    <w:rsid w:val="00217049"/>
    <w:rsid w:val="0022623D"/>
    <w:rsid w:val="002277DE"/>
    <w:rsid w:val="00231332"/>
    <w:rsid w:val="00232E0C"/>
    <w:rsid w:val="00240A17"/>
    <w:rsid w:val="002420C4"/>
    <w:rsid w:val="00245443"/>
    <w:rsid w:val="00255AE0"/>
    <w:rsid w:val="00260D74"/>
    <w:rsid w:val="00262AFE"/>
    <w:rsid w:val="00273C93"/>
    <w:rsid w:val="00281CF0"/>
    <w:rsid w:val="00281EA1"/>
    <w:rsid w:val="002834C6"/>
    <w:rsid w:val="00291BC6"/>
    <w:rsid w:val="002A4727"/>
    <w:rsid w:val="002B42F1"/>
    <w:rsid w:val="002B6979"/>
    <w:rsid w:val="002C3356"/>
    <w:rsid w:val="002E1AEF"/>
    <w:rsid w:val="002E463E"/>
    <w:rsid w:val="002E548F"/>
    <w:rsid w:val="002E58CB"/>
    <w:rsid w:val="002F7061"/>
    <w:rsid w:val="002F7890"/>
    <w:rsid w:val="00306015"/>
    <w:rsid w:val="00313739"/>
    <w:rsid w:val="00322552"/>
    <w:rsid w:val="00323E32"/>
    <w:rsid w:val="00325561"/>
    <w:rsid w:val="00335B6F"/>
    <w:rsid w:val="00345B29"/>
    <w:rsid w:val="00354052"/>
    <w:rsid w:val="00355D79"/>
    <w:rsid w:val="00356FAB"/>
    <w:rsid w:val="00363A74"/>
    <w:rsid w:val="00375295"/>
    <w:rsid w:val="00391DFF"/>
    <w:rsid w:val="00394F03"/>
    <w:rsid w:val="00395C12"/>
    <w:rsid w:val="0039798E"/>
    <w:rsid w:val="003A0AEE"/>
    <w:rsid w:val="003B46E2"/>
    <w:rsid w:val="003C13AD"/>
    <w:rsid w:val="003C459E"/>
    <w:rsid w:val="003D5C29"/>
    <w:rsid w:val="003E0E70"/>
    <w:rsid w:val="003E24ED"/>
    <w:rsid w:val="003F13F6"/>
    <w:rsid w:val="003F42FB"/>
    <w:rsid w:val="003F470A"/>
    <w:rsid w:val="003F5377"/>
    <w:rsid w:val="00405918"/>
    <w:rsid w:val="004252C6"/>
    <w:rsid w:val="004269D4"/>
    <w:rsid w:val="00432936"/>
    <w:rsid w:val="00447ABF"/>
    <w:rsid w:val="004602F2"/>
    <w:rsid w:val="0046230E"/>
    <w:rsid w:val="00462B7B"/>
    <w:rsid w:val="004639BA"/>
    <w:rsid w:val="00466DB8"/>
    <w:rsid w:val="00473692"/>
    <w:rsid w:val="004904DF"/>
    <w:rsid w:val="004932D9"/>
    <w:rsid w:val="00495AE6"/>
    <w:rsid w:val="00497F89"/>
    <w:rsid w:val="004C1F8F"/>
    <w:rsid w:val="004D0EC5"/>
    <w:rsid w:val="004D1C9A"/>
    <w:rsid w:val="004D2098"/>
    <w:rsid w:val="004D3B6D"/>
    <w:rsid w:val="004D4A15"/>
    <w:rsid w:val="004D764F"/>
    <w:rsid w:val="004E10B9"/>
    <w:rsid w:val="004E2CBA"/>
    <w:rsid w:val="004E78DA"/>
    <w:rsid w:val="00500BD2"/>
    <w:rsid w:val="00507A25"/>
    <w:rsid w:val="005244DA"/>
    <w:rsid w:val="005245D8"/>
    <w:rsid w:val="00525932"/>
    <w:rsid w:val="00534F68"/>
    <w:rsid w:val="005359A6"/>
    <w:rsid w:val="00555F17"/>
    <w:rsid w:val="00561A1D"/>
    <w:rsid w:val="00561D77"/>
    <w:rsid w:val="00577A37"/>
    <w:rsid w:val="00583FC7"/>
    <w:rsid w:val="0058711C"/>
    <w:rsid w:val="0059714C"/>
    <w:rsid w:val="005A20C4"/>
    <w:rsid w:val="005A4210"/>
    <w:rsid w:val="005A7392"/>
    <w:rsid w:val="005C17F2"/>
    <w:rsid w:val="005D0016"/>
    <w:rsid w:val="005D1244"/>
    <w:rsid w:val="005D2490"/>
    <w:rsid w:val="005D4E3F"/>
    <w:rsid w:val="005E3165"/>
    <w:rsid w:val="005E60B5"/>
    <w:rsid w:val="005F077E"/>
    <w:rsid w:val="006101F6"/>
    <w:rsid w:val="0061110A"/>
    <w:rsid w:val="0062033C"/>
    <w:rsid w:val="00634AF6"/>
    <w:rsid w:val="00636196"/>
    <w:rsid w:val="00641D06"/>
    <w:rsid w:val="006428B7"/>
    <w:rsid w:val="0064637A"/>
    <w:rsid w:val="006634A9"/>
    <w:rsid w:val="00672282"/>
    <w:rsid w:val="006737C9"/>
    <w:rsid w:val="0068259C"/>
    <w:rsid w:val="00683839"/>
    <w:rsid w:val="00684E3B"/>
    <w:rsid w:val="00686AB6"/>
    <w:rsid w:val="00687F57"/>
    <w:rsid w:val="006931F8"/>
    <w:rsid w:val="00697E46"/>
    <w:rsid w:val="006A0061"/>
    <w:rsid w:val="006B1495"/>
    <w:rsid w:val="006B591F"/>
    <w:rsid w:val="006C05DA"/>
    <w:rsid w:val="006C4C5B"/>
    <w:rsid w:val="006D2D0C"/>
    <w:rsid w:val="006D327E"/>
    <w:rsid w:val="006D3645"/>
    <w:rsid w:val="006D68DC"/>
    <w:rsid w:val="006E1FC4"/>
    <w:rsid w:val="006F118E"/>
    <w:rsid w:val="006F4DD5"/>
    <w:rsid w:val="00704E54"/>
    <w:rsid w:val="00705519"/>
    <w:rsid w:val="00707813"/>
    <w:rsid w:val="00710F6B"/>
    <w:rsid w:val="00714815"/>
    <w:rsid w:val="007215FE"/>
    <w:rsid w:val="00751BE7"/>
    <w:rsid w:val="007539CC"/>
    <w:rsid w:val="007704B0"/>
    <w:rsid w:val="00771052"/>
    <w:rsid w:val="007939F8"/>
    <w:rsid w:val="007955C1"/>
    <w:rsid w:val="0079754E"/>
    <w:rsid w:val="007B0AE8"/>
    <w:rsid w:val="007C6035"/>
    <w:rsid w:val="007E2153"/>
    <w:rsid w:val="007E3872"/>
    <w:rsid w:val="007E3F51"/>
    <w:rsid w:val="007E59FE"/>
    <w:rsid w:val="007E7082"/>
    <w:rsid w:val="007F39EF"/>
    <w:rsid w:val="00810EE9"/>
    <w:rsid w:val="00812793"/>
    <w:rsid w:val="00813A0E"/>
    <w:rsid w:val="0081523D"/>
    <w:rsid w:val="00816FBE"/>
    <w:rsid w:val="00821DFF"/>
    <w:rsid w:val="00827873"/>
    <w:rsid w:val="00827F7E"/>
    <w:rsid w:val="00834F44"/>
    <w:rsid w:val="008451F6"/>
    <w:rsid w:val="008471C5"/>
    <w:rsid w:val="00854269"/>
    <w:rsid w:val="008556F9"/>
    <w:rsid w:val="00856E77"/>
    <w:rsid w:val="00876052"/>
    <w:rsid w:val="0088034A"/>
    <w:rsid w:val="00881488"/>
    <w:rsid w:val="00881FD2"/>
    <w:rsid w:val="00884993"/>
    <w:rsid w:val="008977AB"/>
    <w:rsid w:val="008A51C1"/>
    <w:rsid w:val="008B184E"/>
    <w:rsid w:val="008B29D9"/>
    <w:rsid w:val="008B4588"/>
    <w:rsid w:val="008B4912"/>
    <w:rsid w:val="008B4B45"/>
    <w:rsid w:val="008B6287"/>
    <w:rsid w:val="008C65C8"/>
    <w:rsid w:val="008D327A"/>
    <w:rsid w:val="008D37EB"/>
    <w:rsid w:val="008D3882"/>
    <w:rsid w:val="008D7F0D"/>
    <w:rsid w:val="008E6635"/>
    <w:rsid w:val="008E7B5C"/>
    <w:rsid w:val="008F07AD"/>
    <w:rsid w:val="008F0DAF"/>
    <w:rsid w:val="0090114C"/>
    <w:rsid w:val="00902149"/>
    <w:rsid w:val="00903BFC"/>
    <w:rsid w:val="00904241"/>
    <w:rsid w:val="00914613"/>
    <w:rsid w:val="00916D11"/>
    <w:rsid w:val="00920361"/>
    <w:rsid w:val="00922B56"/>
    <w:rsid w:val="00933E87"/>
    <w:rsid w:val="0094300D"/>
    <w:rsid w:val="00957E20"/>
    <w:rsid w:val="00963015"/>
    <w:rsid w:val="00972678"/>
    <w:rsid w:val="00984A73"/>
    <w:rsid w:val="009870B6"/>
    <w:rsid w:val="00991347"/>
    <w:rsid w:val="009B1BC5"/>
    <w:rsid w:val="009B33F9"/>
    <w:rsid w:val="009C151B"/>
    <w:rsid w:val="009C2423"/>
    <w:rsid w:val="009C6554"/>
    <w:rsid w:val="009D126D"/>
    <w:rsid w:val="009D2C20"/>
    <w:rsid w:val="009F1D41"/>
    <w:rsid w:val="009F4309"/>
    <w:rsid w:val="009F5159"/>
    <w:rsid w:val="00A12E3C"/>
    <w:rsid w:val="00A27853"/>
    <w:rsid w:val="00A3228B"/>
    <w:rsid w:val="00A35F5E"/>
    <w:rsid w:val="00A35FAC"/>
    <w:rsid w:val="00A43769"/>
    <w:rsid w:val="00A46EBA"/>
    <w:rsid w:val="00A47893"/>
    <w:rsid w:val="00A5492F"/>
    <w:rsid w:val="00A618CE"/>
    <w:rsid w:val="00A73BC2"/>
    <w:rsid w:val="00A73C41"/>
    <w:rsid w:val="00A83444"/>
    <w:rsid w:val="00A92E79"/>
    <w:rsid w:val="00A94801"/>
    <w:rsid w:val="00A97FEA"/>
    <w:rsid w:val="00AA6B36"/>
    <w:rsid w:val="00AA7897"/>
    <w:rsid w:val="00AB20B0"/>
    <w:rsid w:val="00AB3FDA"/>
    <w:rsid w:val="00AB45B4"/>
    <w:rsid w:val="00AC059A"/>
    <w:rsid w:val="00AE0B4E"/>
    <w:rsid w:val="00AE37ED"/>
    <w:rsid w:val="00AE4348"/>
    <w:rsid w:val="00AE7752"/>
    <w:rsid w:val="00B00F18"/>
    <w:rsid w:val="00B036AF"/>
    <w:rsid w:val="00B068D3"/>
    <w:rsid w:val="00B155BE"/>
    <w:rsid w:val="00B2095B"/>
    <w:rsid w:val="00B24B88"/>
    <w:rsid w:val="00B3278B"/>
    <w:rsid w:val="00B37B3D"/>
    <w:rsid w:val="00B40074"/>
    <w:rsid w:val="00B4436D"/>
    <w:rsid w:val="00B4439A"/>
    <w:rsid w:val="00B44B86"/>
    <w:rsid w:val="00B46358"/>
    <w:rsid w:val="00B4639F"/>
    <w:rsid w:val="00B65FD6"/>
    <w:rsid w:val="00B70B51"/>
    <w:rsid w:val="00B7190E"/>
    <w:rsid w:val="00B75F0A"/>
    <w:rsid w:val="00B761EE"/>
    <w:rsid w:val="00B84FF7"/>
    <w:rsid w:val="00B930D7"/>
    <w:rsid w:val="00B9587D"/>
    <w:rsid w:val="00B97928"/>
    <w:rsid w:val="00BA2B9C"/>
    <w:rsid w:val="00BB182D"/>
    <w:rsid w:val="00BB5C24"/>
    <w:rsid w:val="00BB682C"/>
    <w:rsid w:val="00BC08D6"/>
    <w:rsid w:val="00BC4666"/>
    <w:rsid w:val="00BC470A"/>
    <w:rsid w:val="00BD10BE"/>
    <w:rsid w:val="00BD1639"/>
    <w:rsid w:val="00BD6DF9"/>
    <w:rsid w:val="00BE03B2"/>
    <w:rsid w:val="00BE2B64"/>
    <w:rsid w:val="00C003FB"/>
    <w:rsid w:val="00C00685"/>
    <w:rsid w:val="00C01F08"/>
    <w:rsid w:val="00C0688F"/>
    <w:rsid w:val="00C07DED"/>
    <w:rsid w:val="00C16033"/>
    <w:rsid w:val="00C23954"/>
    <w:rsid w:val="00C3288C"/>
    <w:rsid w:val="00C36D60"/>
    <w:rsid w:val="00C44367"/>
    <w:rsid w:val="00C473CB"/>
    <w:rsid w:val="00C642C1"/>
    <w:rsid w:val="00C71ADE"/>
    <w:rsid w:val="00C73CEA"/>
    <w:rsid w:val="00C8436D"/>
    <w:rsid w:val="00C908AB"/>
    <w:rsid w:val="00C90BA8"/>
    <w:rsid w:val="00C955BF"/>
    <w:rsid w:val="00CA151D"/>
    <w:rsid w:val="00CA3508"/>
    <w:rsid w:val="00CA734C"/>
    <w:rsid w:val="00CB6C74"/>
    <w:rsid w:val="00CC1C7E"/>
    <w:rsid w:val="00CC7737"/>
    <w:rsid w:val="00CD4A79"/>
    <w:rsid w:val="00CE3E2E"/>
    <w:rsid w:val="00CE3EE9"/>
    <w:rsid w:val="00D0346D"/>
    <w:rsid w:val="00D10645"/>
    <w:rsid w:val="00D12969"/>
    <w:rsid w:val="00D265EC"/>
    <w:rsid w:val="00D26FBE"/>
    <w:rsid w:val="00D31554"/>
    <w:rsid w:val="00D3627D"/>
    <w:rsid w:val="00D45CD5"/>
    <w:rsid w:val="00D45E7F"/>
    <w:rsid w:val="00D558D9"/>
    <w:rsid w:val="00D703E2"/>
    <w:rsid w:val="00D75AB3"/>
    <w:rsid w:val="00D7663E"/>
    <w:rsid w:val="00D86935"/>
    <w:rsid w:val="00D91EBA"/>
    <w:rsid w:val="00D96828"/>
    <w:rsid w:val="00D976A9"/>
    <w:rsid w:val="00DA3726"/>
    <w:rsid w:val="00DA4CF0"/>
    <w:rsid w:val="00DA7733"/>
    <w:rsid w:val="00DB4B3E"/>
    <w:rsid w:val="00DB536F"/>
    <w:rsid w:val="00DC0AF5"/>
    <w:rsid w:val="00DC60B6"/>
    <w:rsid w:val="00DD1E93"/>
    <w:rsid w:val="00DE32F1"/>
    <w:rsid w:val="00DF1019"/>
    <w:rsid w:val="00DF6FA9"/>
    <w:rsid w:val="00E00A48"/>
    <w:rsid w:val="00E0581A"/>
    <w:rsid w:val="00E072D7"/>
    <w:rsid w:val="00E15561"/>
    <w:rsid w:val="00E22418"/>
    <w:rsid w:val="00E22953"/>
    <w:rsid w:val="00E23740"/>
    <w:rsid w:val="00E3541C"/>
    <w:rsid w:val="00E44EE3"/>
    <w:rsid w:val="00E47AA9"/>
    <w:rsid w:val="00E54B2D"/>
    <w:rsid w:val="00E63D17"/>
    <w:rsid w:val="00E751D7"/>
    <w:rsid w:val="00E7611B"/>
    <w:rsid w:val="00E76EBF"/>
    <w:rsid w:val="00E872AF"/>
    <w:rsid w:val="00E8738B"/>
    <w:rsid w:val="00E90D46"/>
    <w:rsid w:val="00E9638B"/>
    <w:rsid w:val="00EA274D"/>
    <w:rsid w:val="00EA3DBA"/>
    <w:rsid w:val="00EB507D"/>
    <w:rsid w:val="00EC3625"/>
    <w:rsid w:val="00ED0232"/>
    <w:rsid w:val="00ED6B65"/>
    <w:rsid w:val="00EE5C93"/>
    <w:rsid w:val="00EF65EF"/>
    <w:rsid w:val="00F03BB2"/>
    <w:rsid w:val="00F22F3A"/>
    <w:rsid w:val="00F233E9"/>
    <w:rsid w:val="00F25CCC"/>
    <w:rsid w:val="00F30CFC"/>
    <w:rsid w:val="00F35417"/>
    <w:rsid w:val="00F45127"/>
    <w:rsid w:val="00F50741"/>
    <w:rsid w:val="00F52DD8"/>
    <w:rsid w:val="00F57719"/>
    <w:rsid w:val="00F64599"/>
    <w:rsid w:val="00F6464A"/>
    <w:rsid w:val="00F6513D"/>
    <w:rsid w:val="00F66D59"/>
    <w:rsid w:val="00F758DC"/>
    <w:rsid w:val="00F83584"/>
    <w:rsid w:val="00F86723"/>
    <w:rsid w:val="00F91BB8"/>
    <w:rsid w:val="00F963C7"/>
    <w:rsid w:val="00FA1A93"/>
    <w:rsid w:val="00FA28B5"/>
    <w:rsid w:val="00FA3403"/>
    <w:rsid w:val="00FA35F8"/>
    <w:rsid w:val="00FA6BEE"/>
    <w:rsid w:val="00FB7477"/>
    <w:rsid w:val="00FC15A8"/>
    <w:rsid w:val="00FC7895"/>
    <w:rsid w:val="00FD37D8"/>
    <w:rsid w:val="00FF2607"/>
    <w:rsid w:val="00FF46B0"/>
    <w:rsid w:val="00FF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A32F346"/>
  <w15:docId w15:val="{C8F0C1FF-A795-45C6-B296-74D8F66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3">
    <w:name w:val="heading 3"/>
    <w:basedOn w:val="Normal"/>
    <w:link w:val="Heading3Char"/>
    <w:uiPriority w:val="9"/>
    <w:qFormat/>
    <w:rsid w:val="006101F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paragraph" w:styleId="NormalWeb">
    <w:name w:val="Normal (Web)"/>
    <w:basedOn w:val="Normal"/>
    <w:uiPriority w:val="99"/>
    <w:unhideWhenUsed/>
    <w:rsid w:val="00363A74"/>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939F8"/>
    <w:pPr>
      <w:spacing w:line="480" w:lineRule="auto"/>
    </w:pPr>
  </w:style>
  <w:style w:type="character" w:customStyle="1" w:styleId="BodyText2Char">
    <w:name w:val="Body Text 2 Char"/>
    <w:basedOn w:val="DefaultParagraphFont"/>
    <w:link w:val="BodyText2"/>
    <w:uiPriority w:val="99"/>
    <w:semiHidden/>
    <w:rsid w:val="007939F8"/>
  </w:style>
  <w:style w:type="paragraph" w:styleId="NoSpacing">
    <w:name w:val="No Spacing"/>
    <w:uiPriority w:val="1"/>
    <w:qFormat/>
    <w:rsid w:val="007939F8"/>
    <w:pPr>
      <w:spacing w:after="0"/>
    </w:pPr>
  </w:style>
  <w:style w:type="character" w:customStyle="1" w:styleId="Heading3Char">
    <w:name w:val="Heading 3 Char"/>
    <w:basedOn w:val="DefaultParagraphFont"/>
    <w:link w:val="Heading3"/>
    <w:uiPriority w:val="9"/>
    <w:rsid w:val="006101F6"/>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072D7"/>
    <w:rPr>
      <w:color w:val="0000FF"/>
      <w:u w:val="single"/>
    </w:rPr>
  </w:style>
  <w:style w:type="paragraph" w:customStyle="1" w:styleId="naisnod">
    <w:name w:val="naisnod"/>
    <w:basedOn w:val="Normal"/>
    <w:rsid w:val="00BC08D6"/>
    <w:pPr>
      <w:spacing w:before="100" w:beforeAutospacing="1" w:after="100" w:afterAutospacing="1"/>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06D63"/>
    <w:rPr>
      <w:sz w:val="16"/>
      <w:szCs w:val="16"/>
    </w:rPr>
  </w:style>
  <w:style w:type="paragraph" w:styleId="CommentText">
    <w:name w:val="annotation text"/>
    <w:basedOn w:val="Normal"/>
    <w:link w:val="CommentTextChar"/>
    <w:uiPriority w:val="99"/>
    <w:semiHidden/>
    <w:unhideWhenUsed/>
    <w:rsid w:val="00106D63"/>
    <w:rPr>
      <w:sz w:val="20"/>
      <w:szCs w:val="20"/>
    </w:rPr>
  </w:style>
  <w:style w:type="character" w:customStyle="1" w:styleId="CommentTextChar">
    <w:name w:val="Comment Text Char"/>
    <w:basedOn w:val="DefaultParagraphFont"/>
    <w:link w:val="CommentText"/>
    <w:uiPriority w:val="99"/>
    <w:semiHidden/>
    <w:rsid w:val="00106D63"/>
    <w:rPr>
      <w:sz w:val="20"/>
      <w:szCs w:val="20"/>
    </w:rPr>
  </w:style>
  <w:style w:type="paragraph" w:styleId="CommentSubject">
    <w:name w:val="annotation subject"/>
    <w:basedOn w:val="CommentText"/>
    <w:next w:val="CommentText"/>
    <w:link w:val="CommentSubjectChar"/>
    <w:uiPriority w:val="99"/>
    <w:semiHidden/>
    <w:unhideWhenUsed/>
    <w:rsid w:val="00106D63"/>
    <w:rPr>
      <w:b/>
      <w:bCs/>
    </w:rPr>
  </w:style>
  <w:style w:type="character" w:customStyle="1" w:styleId="CommentSubjectChar">
    <w:name w:val="Comment Subject Char"/>
    <w:basedOn w:val="CommentTextChar"/>
    <w:link w:val="CommentSubject"/>
    <w:uiPriority w:val="99"/>
    <w:semiHidden/>
    <w:rsid w:val="00106D63"/>
    <w:rPr>
      <w:b/>
      <w:bCs/>
      <w:sz w:val="20"/>
      <w:szCs w:val="20"/>
    </w:rPr>
  </w:style>
  <w:style w:type="paragraph" w:customStyle="1" w:styleId="likparaksts">
    <w:name w:val="lik_paraksts"/>
    <w:basedOn w:val="Normal"/>
    <w:rsid w:val="008D327A"/>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019">
      <w:bodyDiv w:val="1"/>
      <w:marLeft w:val="0"/>
      <w:marRight w:val="0"/>
      <w:marTop w:val="0"/>
      <w:marBottom w:val="0"/>
      <w:divBdr>
        <w:top w:val="none" w:sz="0" w:space="0" w:color="auto"/>
        <w:left w:val="none" w:sz="0" w:space="0" w:color="auto"/>
        <w:bottom w:val="none" w:sz="0" w:space="0" w:color="auto"/>
        <w:right w:val="none" w:sz="0" w:space="0" w:color="auto"/>
      </w:divBdr>
    </w:div>
    <w:div w:id="231427722">
      <w:bodyDiv w:val="1"/>
      <w:marLeft w:val="0"/>
      <w:marRight w:val="0"/>
      <w:marTop w:val="0"/>
      <w:marBottom w:val="0"/>
      <w:divBdr>
        <w:top w:val="none" w:sz="0" w:space="0" w:color="auto"/>
        <w:left w:val="none" w:sz="0" w:space="0" w:color="auto"/>
        <w:bottom w:val="none" w:sz="0" w:space="0" w:color="auto"/>
        <w:right w:val="none" w:sz="0" w:space="0" w:color="auto"/>
      </w:divBdr>
    </w:div>
    <w:div w:id="397947151">
      <w:bodyDiv w:val="1"/>
      <w:marLeft w:val="0"/>
      <w:marRight w:val="0"/>
      <w:marTop w:val="0"/>
      <w:marBottom w:val="0"/>
      <w:divBdr>
        <w:top w:val="none" w:sz="0" w:space="0" w:color="auto"/>
        <w:left w:val="none" w:sz="0" w:space="0" w:color="auto"/>
        <w:bottom w:val="none" w:sz="0" w:space="0" w:color="auto"/>
        <w:right w:val="none" w:sz="0" w:space="0" w:color="auto"/>
      </w:divBdr>
    </w:div>
    <w:div w:id="411704336">
      <w:bodyDiv w:val="1"/>
      <w:marLeft w:val="0"/>
      <w:marRight w:val="0"/>
      <w:marTop w:val="0"/>
      <w:marBottom w:val="0"/>
      <w:divBdr>
        <w:top w:val="none" w:sz="0" w:space="0" w:color="auto"/>
        <w:left w:val="none" w:sz="0" w:space="0" w:color="auto"/>
        <w:bottom w:val="none" w:sz="0" w:space="0" w:color="auto"/>
        <w:right w:val="none" w:sz="0" w:space="0" w:color="auto"/>
      </w:divBdr>
    </w:div>
    <w:div w:id="582765374">
      <w:bodyDiv w:val="1"/>
      <w:marLeft w:val="0"/>
      <w:marRight w:val="0"/>
      <w:marTop w:val="0"/>
      <w:marBottom w:val="0"/>
      <w:divBdr>
        <w:top w:val="none" w:sz="0" w:space="0" w:color="auto"/>
        <w:left w:val="none" w:sz="0" w:space="0" w:color="auto"/>
        <w:bottom w:val="none" w:sz="0" w:space="0" w:color="auto"/>
        <w:right w:val="none" w:sz="0" w:space="0" w:color="auto"/>
      </w:divBdr>
    </w:div>
    <w:div w:id="592053701">
      <w:bodyDiv w:val="1"/>
      <w:marLeft w:val="0"/>
      <w:marRight w:val="0"/>
      <w:marTop w:val="0"/>
      <w:marBottom w:val="0"/>
      <w:divBdr>
        <w:top w:val="none" w:sz="0" w:space="0" w:color="auto"/>
        <w:left w:val="none" w:sz="0" w:space="0" w:color="auto"/>
        <w:bottom w:val="none" w:sz="0" w:space="0" w:color="auto"/>
        <w:right w:val="none" w:sz="0" w:space="0" w:color="auto"/>
      </w:divBdr>
    </w:div>
    <w:div w:id="836186777">
      <w:bodyDiv w:val="1"/>
      <w:marLeft w:val="0"/>
      <w:marRight w:val="0"/>
      <w:marTop w:val="0"/>
      <w:marBottom w:val="0"/>
      <w:divBdr>
        <w:top w:val="none" w:sz="0" w:space="0" w:color="auto"/>
        <w:left w:val="none" w:sz="0" w:space="0" w:color="auto"/>
        <w:bottom w:val="none" w:sz="0" w:space="0" w:color="auto"/>
        <w:right w:val="none" w:sz="0" w:space="0" w:color="auto"/>
      </w:divBdr>
    </w:div>
    <w:div w:id="965156432">
      <w:bodyDiv w:val="1"/>
      <w:marLeft w:val="0"/>
      <w:marRight w:val="0"/>
      <w:marTop w:val="0"/>
      <w:marBottom w:val="0"/>
      <w:divBdr>
        <w:top w:val="none" w:sz="0" w:space="0" w:color="auto"/>
        <w:left w:val="none" w:sz="0" w:space="0" w:color="auto"/>
        <w:bottom w:val="none" w:sz="0" w:space="0" w:color="auto"/>
        <w:right w:val="none" w:sz="0" w:space="0" w:color="auto"/>
      </w:divBdr>
    </w:div>
    <w:div w:id="1044790464">
      <w:bodyDiv w:val="1"/>
      <w:marLeft w:val="0"/>
      <w:marRight w:val="0"/>
      <w:marTop w:val="0"/>
      <w:marBottom w:val="0"/>
      <w:divBdr>
        <w:top w:val="none" w:sz="0" w:space="0" w:color="auto"/>
        <w:left w:val="none" w:sz="0" w:space="0" w:color="auto"/>
        <w:bottom w:val="none" w:sz="0" w:space="0" w:color="auto"/>
        <w:right w:val="none" w:sz="0" w:space="0" w:color="auto"/>
      </w:divBdr>
    </w:div>
    <w:div w:id="1094935533">
      <w:bodyDiv w:val="1"/>
      <w:marLeft w:val="0"/>
      <w:marRight w:val="0"/>
      <w:marTop w:val="0"/>
      <w:marBottom w:val="0"/>
      <w:divBdr>
        <w:top w:val="none" w:sz="0" w:space="0" w:color="auto"/>
        <w:left w:val="none" w:sz="0" w:space="0" w:color="auto"/>
        <w:bottom w:val="none" w:sz="0" w:space="0" w:color="auto"/>
        <w:right w:val="none" w:sz="0" w:space="0" w:color="auto"/>
      </w:divBdr>
    </w:div>
    <w:div w:id="1145465911">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61081766">
      <w:bodyDiv w:val="1"/>
      <w:marLeft w:val="0"/>
      <w:marRight w:val="0"/>
      <w:marTop w:val="0"/>
      <w:marBottom w:val="0"/>
      <w:divBdr>
        <w:top w:val="none" w:sz="0" w:space="0" w:color="auto"/>
        <w:left w:val="none" w:sz="0" w:space="0" w:color="auto"/>
        <w:bottom w:val="none" w:sz="0" w:space="0" w:color="auto"/>
        <w:right w:val="none" w:sz="0" w:space="0" w:color="auto"/>
      </w:divBdr>
    </w:div>
    <w:div w:id="1544100462">
      <w:bodyDiv w:val="1"/>
      <w:marLeft w:val="0"/>
      <w:marRight w:val="0"/>
      <w:marTop w:val="0"/>
      <w:marBottom w:val="0"/>
      <w:divBdr>
        <w:top w:val="none" w:sz="0" w:space="0" w:color="auto"/>
        <w:left w:val="none" w:sz="0" w:space="0" w:color="auto"/>
        <w:bottom w:val="none" w:sz="0" w:space="0" w:color="auto"/>
        <w:right w:val="none" w:sz="0" w:space="0" w:color="auto"/>
      </w:divBdr>
    </w:div>
    <w:div w:id="1580561306">
      <w:bodyDiv w:val="1"/>
      <w:marLeft w:val="0"/>
      <w:marRight w:val="0"/>
      <w:marTop w:val="0"/>
      <w:marBottom w:val="0"/>
      <w:divBdr>
        <w:top w:val="none" w:sz="0" w:space="0" w:color="auto"/>
        <w:left w:val="none" w:sz="0" w:space="0" w:color="auto"/>
        <w:bottom w:val="none" w:sz="0" w:space="0" w:color="auto"/>
        <w:right w:val="none" w:sz="0" w:space="0" w:color="auto"/>
      </w:divBdr>
    </w:div>
    <w:div w:id="1586718033">
      <w:bodyDiv w:val="1"/>
      <w:marLeft w:val="0"/>
      <w:marRight w:val="0"/>
      <w:marTop w:val="0"/>
      <w:marBottom w:val="0"/>
      <w:divBdr>
        <w:top w:val="none" w:sz="0" w:space="0" w:color="auto"/>
        <w:left w:val="none" w:sz="0" w:space="0" w:color="auto"/>
        <w:bottom w:val="none" w:sz="0" w:space="0" w:color="auto"/>
        <w:right w:val="none" w:sz="0" w:space="0" w:color="auto"/>
      </w:divBdr>
    </w:div>
    <w:div w:id="1747410049">
      <w:bodyDiv w:val="1"/>
      <w:marLeft w:val="0"/>
      <w:marRight w:val="0"/>
      <w:marTop w:val="0"/>
      <w:marBottom w:val="0"/>
      <w:divBdr>
        <w:top w:val="none" w:sz="0" w:space="0" w:color="auto"/>
        <w:left w:val="none" w:sz="0" w:space="0" w:color="auto"/>
        <w:bottom w:val="none" w:sz="0" w:space="0" w:color="auto"/>
        <w:right w:val="none" w:sz="0" w:space="0" w:color="auto"/>
      </w:divBdr>
    </w:div>
    <w:div w:id="1778089871">
      <w:bodyDiv w:val="1"/>
      <w:marLeft w:val="0"/>
      <w:marRight w:val="0"/>
      <w:marTop w:val="0"/>
      <w:marBottom w:val="0"/>
      <w:divBdr>
        <w:top w:val="none" w:sz="0" w:space="0" w:color="auto"/>
        <w:left w:val="none" w:sz="0" w:space="0" w:color="auto"/>
        <w:bottom w:val="none" w:sz="0" w:space="0" w:color="auto"/>
        <w:right w:val="none" w:sz="0" w:space="0" w:color="auto"/>
      </w:divBdr>
    </w:div>
    <w:div w:id="1784568053">
      <w:bodyDiv w:val="1"/>
      <w:marLeft w:val="0"/>
      <w:marRight w:val="0"/>
      <w:marTop w:val="0"/>
      <w:marBottom w:val="0"/>
      <w:divBdr>
        <w:top w:val="none" w:sz="0" w:space="0" w:color="auto"/>
        <w:left w:val="none" w:sz="0" w:space="0" w:color="auto"/>
        <w:bottom w:val="none" w:sz="0" w:space="0" w:color="auto"/>
        <w:right w:val="none" w:sz="0" w:space="0" w:color="auto"/>
      </w:divBdr>
    </w:div>
    <w:div w:id="1938521348">
      <w:bodyDiv w:val="1"/>
      <w:marLeft w:val="0"/>
      <w:marRight w:val="0"/>
      <w:marTop w:val="0"/>
      <w:marBottom w:val="0"/>
      <w:divBdr>
        <w:top w:val="none" w:sz="0" w:space="0" w:color="auto"/>
        <w:left w:val="none" w:sz="0" w:space="0" w:color="auto"/>
        <w:bottom w:val="none" w:sz="0" w:space="0" w:color="auto"/>
        <w:right w:val="none" w:sz="0" w:space="0" w:color="auto"/>
      </w:divBdr>
    </w:div>
    <w:div w:id="1953707497">
      <w:bodyDiv w:val="1"/>
      <w:marLeft w:val="0"/>
      <w:marRight w:val="0"/>
      <w:marTop w:val="0"/>
      <w:marBottom w:val="0"/>
      <w:divBdr>
        <w:top w:val="none" w:sz="0" w:space="0" w:color="auto"/>
        <w:left w:val="none" w:sz="0" w:space="0" w:color="auto"/>
        <w:bottom w:val="none" w:sz="0" w:space="0" w:color="auto"/>
        <w:right w:val="none" w:sz="0" w:space="0" w:color="auto"/>
      </w:divBdr>
    </w:div>
    <w:div w:id="1979191146">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ss.treiguts@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ona.brivniec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5DA6-C535-4E8E-9F62-D499C777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6230</Words>
  <Characters>3552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Kristine Stone</cp:lastModifiedBy>
  <cp:revision>2</cp:revision>
  <cp:lastPrinted>2017-01-17T12:58:00Z</cp:lastPrinted>
  <dcterms:created xsi:type="dcterms:W3CDTF">2017-01-25T11:18:00Z</dcterms:created>
  <dcterms:modified xsi:type="dcterms:W3CDTF">2017-01-25T11:18:00Z</dcterms:modified>
</cp:coreProperties>
</file>