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5EF0" w14:textId="77777777" w:rsidR="003E274D" w:rsidRPr="00BC14F0" w:rsidRDefault="004371C5" w:rsidP="00BC14F0">
      <w:pPr>
        <w:pStyle w:val="Header"/>
        <w:spacing w:line="240" w:lineRule="auto"/>
        <w:ind w:firstLine="0"/>
        <w:jc w:val="center"/>
        <w:rPr>
          <w:sz w:val="24"/>
          <w:szCs w:val="24"/>
          <w:lang w:val="lv-LV"/>
        </w:rPr>
      </w:pPr>
      <w:r w:rsidRPr="00BC14F0">
        <w:rPr>
          <w:b/>
          <w:sz w:val="24"/>
          <w:szCs w:val="24"/>
        </w:rPr>
        <w:t>Likumprojekta „</w:t>
      </w:r>
      <w:r w:rsidR="00DE7D65" w:rsidRPr="00BC14F0">
        <w:rPr>
          <w:b/>
          <w:bCs/>
          <w:sz w:val="24"/>
          <w:szCs w:val="24"/>
        </w:rPr>
        <w:t>Grozījum</w:t>
      </w:r>
      <w:r w:rsidR="00DE7D65" w:rsidRPr="00BC14F0">
        <w:rPr>
          <w:b/>
          <w:bCs/>
          <w:sz w:val="24"/>
          <w:szCs w:val="24"/>
          <w:lang w:val="lv-LV"/>
        </w:rPr>
        <w:t>i</w:t>
      </w:r>
      <w:r w:rsidRPr="00BC14F0">
        <w:rPr>
          <w:b/>
          <w:bCs/>
          <w:sz w:val="24"/>
          <w:szCs w:val="24"/>
        </w:rPr>
        <w:t xml:space="preserve"> </w:t>
      </w:r>
      <w:r w:rsidR="00032250" w:rsidRPr="00BC14F0">
        <w:rPr>
          <w:b/>
          <w:bCs/>
          <w:sz w:val="24"/>
          <w:szCs w:val="24"/>
          <w:lang w:val="lv-LV"/>
        </w:rPr>
        <w:t xml:space="preserve">Autopārvadājumu </w:t>
      </w:r>
      <w:r w:rsidRPr="00BC14F0">
        <w:rPr>
          <w:b/>
          <w:bCs/>
          <w:sz w:val="24"/>
          <w:szCs w:val="24"/>
        </w:rPr>
        <w:t>likumā</w:t>
      </w:r>
      <w:r w:rsidRPr="00BC14F0">
        <w:rPr>
          <w:b/>
          <w:sz w:val="24"/>
          <w:szCs w:val="24"/>
        </w:rPr>
        <w:t>” sākotnējās ietekmes novērtējuma ziņojums (anotācija)</w:t>
      </w:r>
    </w:p>
    <w:p w14:paraId="360CDD2D" w14:textId="77777777" w:rsidR="00CE2351" w:rsidRPr="00BC14F0" w:rsidRDefault="00032250" w:rsidP="00BC14F0">
      <w:pPr>
        <w:pStyle w:val="Header"/>
        <w:tabs>
          <w:tab w:val="clear" w:pos="4153"/>
          <w:tab w:val="clear" w:pos="8306"/>
          <w:tab w:val="left" w:pos="6195"/>
        </w:tabs>
        <w:spacing w:line="240" w:lineRule="auto"/>
        <w:ind w:firstLine="0"/>
        <w:rPr>
          <w:sz w:val="24"/>
          <w:szCs w:val="24"/>
          <w:lang w:val="lv-LV"/>
        </w:rPr>
      </w:pPr>
      <w:r w:rsidRPr="00BC14F0">
        <w:rPr>
          <w:sz w:val="24"/>
          <w:szCs w:val="24"/>
          <w:lang w:val="lv-LV"/>
        </w:rPr>
        <w:tab/>
      </w: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1701"/>
        <w:gridCol w:w="7170"/>
      </w:tblGrid>
      <w:tr w:rsidR="00DE7249" w:rsidRPr="00BC14F0" w14:paraId="2CB6F818" w14:textId="77777777"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14:paraId="268DE5D6" w14:textId="77777777" w:rsidR="00565A60" w:rsidRPr="00BC14F0" w:rsidRDefault="00565A60" w:rsidP="00BC14F0">
            <w:pPr>
              <w:spacing w:line="240" w:lineRule="auto"/>
              <w:ind w:left="-330" w:firstLine="47"/>
              <w:jc w:val="center"/>
              <w:rPr>
                <w:rFonts w:eastAsia="Times New Roman"/>
                <w:b/>
                <w:bCs/>
                <w:sz w:val="24"/>
                <w:szCs w:val="24"/>
                <w:lang w:eastAsia="lv-LV"/>
              </w:rPr>
            </w:pPr>
            <w:r w:rsidRPr="00BC14F0">
              <w:rPr>
                <w:rFonts w:eastAsia="Times New Roman"/>
                <w:b/>
                <w:bCs/>
                <w:sz w:val="24"/>
                <w:szCs w:val="24"/>
                <w:lang w:eastAsia="lv-LV"/>
              </w:rPr>
              <w:t>I. Tiesību akta projekta izstrādes nepieciešamība</w:t>
            </w:r>
          </w:p>
        </w:tc>
      </w:tr>
      <w:tr w:rsidR="00DE7249" w:rsidRPr="00BC14F0" w14:paraId="004E5403" w14:textId="77777777" w:rsidTr="00BC14F0">
        <w:tc>
          <w:tcPr>
            <w:tcW w:w="229" w:type="pct"/>
            <w:tcBorders>
              <w:top w:val="outset" w:sz="6" w:space="0" w:color="auto"/>
              <w:left w:val="outset" w:sz="6" w:space="0" w:color="auto"/>
              <w:bottom w:val="outset" w:sz="6" w:space="0" w:color="auto"/>
              <w:right w:val="outset" w:sz="6" w:space="0" w:color="auto"/>
            </w:tcBorders>
          </w:tcPr>
          <w:p w14:paraId="025870C9" w14:textId="77777777" w:rsidR="00565A60" w:rsidRPr="00BC14F0" w:rsidRDefault="004326C0"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t>1.</w:t>
            </w:r>
          </w:p>
        </w:tc>
        <w:tc>
          <w:tcPr>
            <w:tcW w:w="915" w:type="pct"/>
            <w:tcBorders>
              <w:top w:val="outset" w:sz="6" w:space="0" w:color="auto"/>
              <w:left w:val="outset" w:sz="6" w:space="0" w:color="auto"/>
              <w:bottom w:val="outset" w:sz="6" w:space="0" w:color="auto"/>
              <w:right w:val="outset" w:sz="6" w:space="0" w:color="auto"/>
            </w:tcBorders>
          </w:tcPr>
          <w:p w14:paraId="15EB8E1D" w14:textId="77777777" w:rsidR="00565A60" w:rsidRPr="00BC14F0" w:rsidRDefault="00565A60" w:rsidP="00BC14F0">
            <w:pPr>
              <w:spacing w:line="240" w:lineRule="auto"/>
              <w:ind w:firstLine="18"/>
              <w:rPr>
                <w:rFonts w:eastAsia="Times New Roman"/>
                <w:sz w:val="24"/>
                <w:szCs w:val="24"/>
                <w:lang w:eastAsia="lv-LV"/>
              </w:rPr>
            </w:pPr>
            <w:r w:rsidRPr="00BC14F0">
              <w:rPr>
                <w:rFonts w:eastAsia="Times New Roman"/>
                <w:sz w:val="24"/>
                <w:szCs w:val="24"/>
                <w:lang w:eastAsia="lv-LV"/>
              </w:rPr>
              <w:t>Pamatojums</w:t>
            </w:r>
          </w:p>
        </w:tc>
        <w:tc>
          <w:tcPr>
            <w:tcW w:w="3856" w:type="pct"/>
            <w:tcBorders>
              <w:top w:val="outset" w:sz="6" w:space="0" w:color="auto"/>
              <w:left w:val="outset" w:sz="6" w:space="0" w:color="auto"/>
              <w:bottom w:val="outset" w:sz="6" w:space="0" w:color="auto"/>
              <w:right w:val="outset" w:sz="6" w:space="0" w:color="auto"/>
            </w:tcBorders>
          </w:tcPr>
          <w:p w14:paraId="08B79FC5" w14:textId="4CB052E1" w:rsidR="00877FE6" w:rsidRPr="00BC14F0" w:rsidRDefault="00032250" w:rsidP="00BC14F0">
            <w:pPr>
              <w:spacing w:line="240" w:lineRule="auto"/>
              <w:ind w:right="53" w:firstLine="0"/>
              <w:rPr>
                <w:sz w:val="24"/>
                <w:szCs w:val="24"/>
              </w:rPr>
            </w:pPr>
            <w:r w:rsidRPr="00BC14F0">
              <w:rPr>
                <w:sz w:val="24"/>
                <w:szCs w:val="24"/>
              </w:rPr>
              <w:t>Ministru kabineta</w:t>
            </w:r>
            <w:r w:rsidR="00D36A3E" w:rsidRPr="00BC14F0">
              <w:rPr>
                <w:sz w:val="24"/>
                <w:szCs w:val="24"/>
              </w:rPr>
              <w:t xml:space="preserve"> 2016.gada 26.aprīļa</w:t>
            </w:r>
            <w:r w:rsidR="00E3015B" w:rsidRPr="00BC14F0">
              <w:rPr>
                <w:sz w:val="24"/>
                <w:szCs w:val="24"/>
              </w:rPr>
              <w:t xml:space="preserve"> sēdes</w:t>
            </w:r>
            <w:r w:rsidR="00D36A3E" w:rsidRPr="00BC14F0">
              <w:rPr>
                <w:sz w:val="24"/>
                <w:szCs w:val="24"/>
              </w:rPr>
              <w:t xml:space="preserve"> </w:t>
            </w:r>
            <w:proofErr w:type="spellStart"/>
            <w:r w:rsidR="00D36A3E" w:rsidRPr="00BC14F0">
              <w:rPr>
                <w:sz w:val="24"/>
                <w:szCs w:val="24"/>
              </w:rPr>
              <w:t>protokollēmum</w:t>
            </w:r>
            <w:r w:rsidR="00ED4368">
              <w:rPr>
                <w:sz w:val="24"/>
                <w:szCs w:val="24"/>
              </w:rPr>
              <w:t>a</w:t>
            </w:r>
            <w:proofErr w:type="spellEnd"/>
            <w:r w:rsidR="00D36A3E" w:rsidRPr="00BC14F0">
              <w:rPr>
                <w:sz w:val="24"/>
                <w:szCs w:val="24"/>
              </w:rPr>
              <w:t xml:space="preserve"> (prot</w:t>
            </w:r>
            <w:r w:rsidR="00E3015B" w:rsidRPr="00BC14F0">
              <w:rPr>
                <w:sz w:val="24"/>
                <w:szCs w:val="24"/>
              </w:rPr>
              <w:t>.</w:t>
            </w:r>
            <w:r w:rsidR="00D36A3E" w:rsidRPr="00BC14F0">
              <w:rPr>
                <w:sz w:val="24"/>
                <w:szCs w:val="24"/>
              </w:rPr>
              <w:t xml:space="preserve"> Nr.20</w:t>
            </w:r>
            <w:r w:rsidR="00E3015B" w:rsidRPr="00BC14F0">
              <w:rPr>
                <w:sz w:val="24"/>
                <w:szCs w:val="24"/>
              </w:rPr>
              <w:t>,</w:t>
            </w:r>
            <w:r w:rsidR="00D36A3E" w:rsidRPr="00BC14F0">
              <w:rPr>
                <w:sz w:val="24"/>
                <w:szCs w:val="24"/>
              </w:rPr>
              <w:t xml:space="preserve"> 32</w:t>
            </w:r>
            <w:r w:rsidR="00296A71" w:rsidRPr="00BC14F0">
              <w:rPr>
                <w:sz w:val="24"/>
                <w:szCs w:val="24"/>
              </w:rPr>
              <w:t>.</w:t>
            </w:r>
            <w:r w:rsidR="00D36A3E" w:rsidRPr="00BC14F0">
              <w:rPr>
                <w:sz w:val="24"/>
                <w:szCs w:val="24"/>
              </w:rPr>
              <w:t xml:space="preserve">§) </w:t>
            </w:r>
            <w:r w:rsidRPr="00BC14F0">
              <w:rPr>
                <w:sz w:val="24"/>
                <w:szCs w:val="24"/>
              </w:rPr>
              <w:t xml:space="preserve"> </w:t>
            </w:r>
            <w:r w:rsidR="00D36A3E" w:rsidRPr="00BC14F0">
              <w:rPr>
                <w:sz w:val="24"/>
                <w:szCs w:val="24"/>
              </w:rPr>
              <w:t>“Informatīvais ziņojums</w:t>
            </w:r>
            <w:r w:rsidR="00013332" w:rsidRPr="00BC14F0">
              <w:rPr>
                <w:sz w:val="24"/>
                <w:szCs w:val="24"/>
              </w:rPr>
              <w:t xml:space="preserve"> “Par autoostu sistēmas pilnveidošanu, lai veicinātu sistēmas darbības efektivitāti un izmaksu samazināšanu”</w:t>
            </w:r>
            <w:r w:rsidR="00D36A3E" w:rsidRPr="00BC14F0">
              <w:rPr>
                <w:sz w:val="24"/>
                <w:szCs w:val="24"/>
              </w:rPr>
              <w:t>”</w:t>
            </w:r>
            <w:r w:rsidR="00ED4368">
              <w:rPr>
                <w:sz w:val="24"/>
                <w:szCs w:val="24"/>
              </w:rPr>
              <w:t xml:space="preserve"> 2.punkts</w:t>
            </w:r>
            <w:r w:rsidR="00D36A3E" w:rsidRPr="00BC14F0">
              <w:rPr>
                <w:sz w:val="24"/>
                <w:szCs w:val="24"/>
              </w:rPr>
              <w:t>.</w:t>
            </w:r>
          </w:p>
          <w:p w14:paraId="0778F9A6" w14:textId="23685822" w:rsidR="00C95F45" w:rsidRPr="00BC14F0" w:rsidRDefault="00C95F45" w:rsidP="00BC14F0">
            <w:pPr>
              <w:spacing w:line="240" w:lineRule="auto"/>
              <w:ind w:right="53" w:firstLine="0"/>
              <w:rPr>
                <w:sz w:val="24"/>
                <w:szCs w:val="24"/>
              </w:rPr>
            </w:pPr>
            <w:r w:rsidRPr="00BC14F0">
              <w:rPr>
                <w:sz w:val="24"/>
                <w:szCs w:val="24"/>
              </w:rPr>
              <w:t xml:space="preserve">Ministru kabineta 2016.gada 13.septembra sēdes </w:t>
            </w:r>
            <w:proofErr w:type="spellStart"/>
            <w:r w:rsidRPr="00BC14F0">
              <w:rPr>
                <w:sz w:val="24"/>
                <w:szCs w:val="24"/>
              </w:rPr>
              <w:t>protokollēmum</w:t>
            </w:r>
            <w:r w:rsidR="00ED4368">
              <w:rPr>
                <w:sz w:val="24"/>
                <w:szCs w:val="24"/>
              </w:rPr>
              <w:t>a</w:t>
            </w:r>
            <w:proofErr w:type="spellEnd"/>
            <w:r w:rsidRPr="00BC14F0">
              <w:rPr>
                <w:sz w:val="24"/>
                <w:szCs w:val="24"/>
              </w:rPr>
              <w:t xml:space="preserve"> (prot. Nr.45, 31.§)  “Informatīvais ziņojums “Pasažieru pārvadājumu ar taksometriem jomas tiesiskais regulējums un priekšlikumi tās pilnveidošanai””</w:t>
            </w:r>
            <w:r w:rsidR="00ED4368">
              <w:rPr>
                <w:sz w:val="24"/>
                <w:szCs w:val="24"/>
              </w:rPr>
              <w:t xml:space="preserve"> 2.punkts</w:t>
            </w:r>
            <w:r w:rsidRPr="00BC14F0">
              <w:rPr>
                <w:sz w:val="24"/>
                <w:szCs w:val="24"/>
              </w:rPr>
              <w:t>.</w:t>
            </w:r>
          </w:p>
          <w:p w14:paraId="470E07CE" w14:textId="77777777" w:rsidR="003423FD" w:rsidRPr="00BC14F0" w:rsidRDefault="003423FD" w:rsidP="00BC14F0">
            <w:pPr>
              <w:spacing w:line="240" w:lineRule="auto"/>
              <w:ind w:right="53" w:firstLine="0"/>
              <w:rPr>
                <w:sz w:val="24"/>
                <w:szCs w:val="24"/>
              </w:rPr>
            </w:pPr>
            <w:r w:rsidRPr="00BC14F0">
              <w:rPr>
                <w:sz w:val="24"/>
                <w:szCs w:val="24"/>
              </w:rPr>
              <w:t>Eiropas Parlamenta un Padomes 2011.gada 16.februāra Regula (ES) Nr.181/2011 par autobusu pasažieru tiesībām un par grozījumiem Regulā (EK) Nr.2006/2004 (turpmāk– regula (ES) Nr.181/2011).</w:t>
            </w:r>
          </w:p>
        </w:tc>
      </w:tr>
      <w:tr w:rsidR="00DE7249" w:rsidRPr="00BC14F0" w14:paraId="5B9ADE04" w14:textId="77777777" w:rsidTr="00BC14F0">
        <w:tc>
          <w:tcPr>
            <w:tcW w:w="229" w:type="pct"/>
            <w:tcBorders>
              <w:top w:val="outset" w:sz="6" w:space="0" w:color="auto"/>
              <w:left w:val="outset" w:sz="6" w:space="0" w:color="auto"/>
              <w:bottom w:val="outset" w:sz="6" w:space="0" w:color="auto"/>
              <w:right w:val="outset" w:sz="6" w:space="0" w:color="auto"/>
            </w:tcBorders>
            <w:shd w:val="clear" w:color="auto" w:fill="FFFFFF" w:themeFill="background1"/>
          </w:tcPr>
          <w:p w14:paraId="57F9B953" w14:textId="77777777" w:rsidR="00565A60" w:rsidRPr="00BC14F0" w:rsidRDefault="004326C0"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t>2.</w:t>
            </w:r>
          </w:p>
        </w:tc>
        <w:tc>
          <w:tcPr>
            <w:tcW w:w="915" w:type="pct"/>
            <w:tcBorders>
              <w:top w:val="outset" w:sz="6" w:space="0" w:color="auto"/>
              <w:left w:val="outset" w:sz="6" w:space="0" w:color="auto"/>
              <w:bottom w:val="outset" w:sz="6" w:space="0" w:color="auto"/>
              <w:right w:val="outset" w:sz="6" w:space="0" w:color="auto"/>
            </w:tcBorders>
            <w:shd w:val="clear" w:color="auto" w:fill="FFFFFF" w:themeFill="background1"/>
          </w:tcPr>
          <w:p w14:paraId="224794E0"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Pašreizējā situācija un problēmas, kuru risināšanai tiesību akta projekts izstrādāts, tiesiskā regulējuma mērķis un būtība</w:t>
            </w:r>
          </w:p>
        </w:tc>
        <w:tc>
          <w:tcPr>
            <w:tcW w:w="3856" w:type="pct"/>
            <w:tcBorders>
              <w:top w:val="outset" w:sz="6" w:space="0" w:color="auto"/>
              <w:left w:val="outset" w:sz="6" w:space="0" w:color="auto"/>
              <w:bottom w:val="outset" w:sz="6" w:space="0" w:color="auto"/>
              <w:right w:val="outset" w:sz="6" w:space="0" w:color="auto"/>
            </w:tcBorders>
            <w:shd w:val="clear" w:color="auto" w:fill="FFFFFF" w:themeFill="background1"/>
          </w:tcPr>
          <w:p w14:paraId="2F271092" w14:textId="77777777" w:rsidR="00350C41" w:rsidRPr="00BC14F0" w:rsidRDefault="00350C41" w:rsidP="00BC14F0">
            <w:pPr>
              <w:pStyle w:val="NormalWeb"/>
              <w:spacing w:before="0" w:beforeAutospacing="0" w:after="0" w:afterAutospacing="0"/>
              <w:ind w:right="53"/>
              <w:jc w:val="both"/>
            </w:pPr>
            <w:r w:rsidRPr="00BC14F0">
              <w:t xml:space="preserve">Ministru kabinets 2016.gada </w:t>
            </w:r>
            <w:r w:rsidR="0033511F" w:rsidRPr="00BC14F0">
              <w:t xml:space="preserve">26.aprīlī (prot.Nr.20; </w:t>
            </w:r>
            <w:bookmarkStart w:id="0" w:name="32"/>
            <w:r w:rsidR="0033511F" w:rsidRPr="00BC14F0">
              <w:t>32</w:t>
            </w:r>
            <w:bookmarkEnd w:id="0"/>
            <w:r w:rsidR="0033511F" w:rsidRPr="00BC14F0">
              <w:t>.§) apstiprināja informatīvo ziņojumu „Par autoostu sistēmas pilnveidošanu, lai veicinātu sistēmas darbības efektivitāti un izmaksu samazināšanu”, kurš tika izstrādāts, lai uzlabotu  autoostu sistēmas darbības efektivitāti un samazinātu izmaksas.</w:t>
            </w:r>
            <w:r w:rsidR="00E3015B" w:rsidRPr="00BC14F0">
              <w:t xml:space="preserve"> Tajā konstatētas sekojošas problēmas, kas tiek risinātas ar likumprojektu “Grozījumi Autopārvadājumu likumā” (turpmāk –</w:t>
            </w:r>
            <w:r w:rsidR="005A229F" w:rsidRPr="00BC14F0">
              <w:t xml:space="preserve"> l</w:t>
            </w:r>
            <w:r w:rsidR="00E3015B" w:rsidRPr="00BC14F0">
              <w:t xml:space="preserve">ikumprojekts). </w:t>
            </w:r>
          </w:p>
          <w:p w14:paraId="08B3778D" w14:textId="1525B11C" w:rsidR="00ED1308" w:rsidRPr="00BC14F0" w:rsidRDefault="00A5078D" w:rsidP="00BC14F0">
            <w:pPr>
              <w:pStyle w:val="NormalWeb"/>
              <w:spacing w:before="0" w:beforeAutospacing="0" w:after="0" w:afterAutospacing="0"/>
              <w:ind w:right="53"/>
              <w:jc w:val="both"/>
              <w:rPr>
                <w:rFonts w:eastAsia="Calibri"/>
                <w:lang w:eastAsia="en-US"/>
              </w:rPr>
            </w:pPr>
            <w:r w:rsidRPr="00BC14F0">
              <w:t>Saskaņā ar M</w:t>
            </w:r>
            <w:r w:rsidR="007F6E77" w:rsidRPr="00BC14F0">
              <w:t>inistru kabineta 2007.gada 11.decembra noteikumu Nr.846 „Noteikumi par autoostu reģistrācijas kārtību, autoostās obligāti sniedzamajiem pakalpojumiem un kārtību, kādā autobusi iebrauc un stāv autoostas teritorijā”</w:t>
            </w:r>
            <w:r w:rsidR="00394245" w:rsidRPr="00BC14F0">
              <w:t xml:space="preserve"> (turpmāk - MK noteikum</w:t>
            </w:r>
            <w:r w:rsidR="00ED4368">
              <w:t>i</w:t>
            </w:r>
            <w:r w:rsidR="00394245" w:rsidRPr="00BC14F0">
              <w:t xml:space="preserve"> Nr.846)</w:t>
            </w:r>
            <w:r w:rsidRPr="00BC14F0">
              <w:t xml:space="preserve"> 12.punktu autoostas noteiktās maksas par autoostas pakalpojumiem izvērtēšana un citu ar autoostas  darbību saistītu jautājumu risināšana ir Satiksmes ministrijas izveidot</w:t>
            </w:r>
            <w:r w:rsidR="003736FD" w:rsidRPr="00BC14F0">
              <w:t>as komisijas kompetencē. E</w:t>
            </w:r>
            <w:r w:rsidRPr="00BC14F0">
              <w:t>sošo Satiksmes ministrijas resursu ietvaros nav iespējams nodrošināt pietiekamu autoostu pārbaužu regularitāti.</w:t>
            </w:r>
            <w:r w:rsidR="00ED1308" w:rsidRPr="00BC14F0">
              <w:t xml:space="preserve"> </w:t>
            </w:r>
            <w:r w:rsidR="003736FD" w:rsidRPr="00BC14F0">
              <w:t>I</w:t>
            </w:r>
            <w:r w:rsidRPr="00BC14F0">
              <w:t>r vērojama</w:t>
            </w:r>
            <w:r w:rsidR="00132665" w:rsidRPr="00BC14F0">
              <w:t xml:space="preserve"> arī</w:t>
            </w:r>
            <w:r w:rsidRPr="00BC14F0">
              <w:t xml:space="preserve"> ļoti atšķirīga pakalpojumu kvalitāte, ko nodrošina autoostas. </w:t>
            </w:r>
            <w:r w:rsidR="00966B3D" w:rsidRPr="00BC14F0">
              <w:t xml:space="preserve">Saskaņā ar 2015.gada 28.jūlija Ministru kabineta noteikumiem Nr. 435 “Kārtība, kādā nosaka un kompensē ar sabiedriskā transporta pakalpojumu sniegšanu saistītos zaudējumus un izdevumus un nosaka sabiedriskā transporta pakalpojuma tarifu” </w:t>
            </w:r>
            <w:r w:rsidR="007A3700" w:rsidRPr="00BC14F0">
              <w:t>valsts dotē pārvadātāju izdevumus, kuru starpā ir iekļautas izmaksas par autoostas izmantošanu.</w:t>
            </w:r>
            <w:r w:rsidR="00966B3D" w:rsidRPr="00BC14F0">
              <w:t xml:space="preserve"> </w:t>
            </w:r>
            <w:r w:rsidR="00296A71" w:rsidRPr="00BC14F0">
              <w:t xml:space="preserve">Lai </w:t>
            </w:r>
            <w:r w:rsidRPr="00BC14F0">
              <w:t>optimizēt</w:t>
            </w:r>
            <w:r w:rsidR="00296A71" w:rsidRPr="00BC14F0">
              <w:t>u</w:t>
            </w:r>
            <w:r w:rsidRPr="00BC14F0">
              <w:t xml:space="preserve"> finanšu līdzekļu</w:t>
            </w:r>
            <w:r w:rsidRPr="00BC14F0">
              <w:rPr>
                <w:rFonts w:eastAsia="Calibri"/>
                <w:lang w:eastAsia="en-US"/>
              </w:rPr>
              <w:t xml:space="preserve"> lietderīgu izlietojumu, </w:t>
            </w:r>
            <w:r w:rsidR="003736FD" w:rsidRPr="00BC14F0">
              <w:rPr>
                <w:rFonts w:eastAsia="Calibri"/>
                <w:lang w:eastAsia="en-US"/>
              </w:rPr>
              <w:t xml:space="preserve">ir </w:t>
            </w:r>
            <w:r w:rsidRPr="00BC14F0">
              <w:rPr>
                <w:rFonts w:eastAsia="Calibri"/>
                <w:lang w:eastAsia="en-US"/>
              </w:rPr>
              <w:t>jāpārskata autoostu ar dažādu reģionālu nozīmi statuss un tajās obligāti snie</w:t>
            </w:r>
            <w:r w:rsidR="00ED4368">
              <w:rPr>
                <w:rFonts w:eastAsia="Calibri"/>
                <w:lang w:eastAsia="en-US"/>
              </w:rPr>
              <w:t>dzamo</w:t>
            </w:r>
            <w:r w:rsidRPr="00BC14F0">
              <w:rPr>
                <w:rFonts w:eastAsia="Calibri"/>
                <w:lang w:eastAsia="en-US"/>
              </w:rPr>
              <w:t xml:space="preserve"> pakalpojumu klāsts. Atkarībā no autoostas atrašanās vietas, cilvēku plūsmas un apkalpoto reisu skaita dienā ir atšķirīgas autoostas apmeklētāju un pasažieru prasības. Tā, piemēram, autoostās ar relatīvi mazu noslodzi var būt nepamatota prasība nodrošināt iespēju iegādāties braukšanas biļeti.</w:t>
            </w:r>
          </w:p>
          <w:p w14:paraId="67FE0CC6" w14:textId="77777777" w:rsidR="003736FD" w:rsidRPr="00BC14F0" w:rsidRDefault="00394245" w:rsidP="00BC14F0">
            <w:pPr>
              <w:pStyle w:val="NormalWeb"/>
              <w:spacing w:before="0" w:beforeAutospacing="0" w:after="0" w:afterAutospacing="0"/>
              <w:ind w:right="53"/>
              <w:jc w:val="both"/>
            </w:pPr>
            <w:r w:rsidRPr="00BC14F0">
              <w:t xml:space="preserve">Lai </w:t>
            </w:r>
            <w:r w:rsidR="00B670FB" w:rsidRPr="00BC14F0">
              <w:t xml:space="preserve">lietderīgāk tiktu izlietoti dotācijās maksātie valsts līdzekļi pārvadātājiem, kā arī </w:t>
            </w:r>
            <w:r w:rsidR="00E0218B" w:rsidRPr="00BC14F0">
              <w:t>uzlabotu autoostu darbību</w:t>
            </w:r>
            <w:r w:rsidR="00E3015B" w:rsidRPr="00BC14F0">
              <w:t>,</w:t>
            </w:r>
            <w:r w:rsidRPr="00BC14F0">
              <w:t xml:space="preserve"> </w:t>
            </w:r>
            <w:r w:rsidR="008977AB" w:rsidRPr="00BC14F0">
              <w:t>likumprojekts paredz</w:t>
            </w:r>
            <w:r w:rsidR="00C52B93" w:rsidRPr="00BC14F0">
              <w:t xml:space="preserve"> papildināt Autopārvadājumu likuma 5.</w:t>
            </w:r>
            <w:r w:rsidR="00C52B93" w:rsidRPr="00BC14F0">
              <w:rPr>
                <w:vertAlign w:val="superscript"/>
              </w:rPr>
              <w:t>1</w:t>
            </w:r>
            <w:r w:rsidR="00C52B93" w:rsidRPr="00BC14F0">
              <w:t xml:space="preserve"> panta </w:t>
            </w:r>
            <w:r w:rsidR="0001156F" w:rsidRPr="00BC14F0">
              <w:t>pirmo daļu</w:t>
            </w:r>
            <w:r w:rsidR="00296A71" w:rsidRPr="00BC14F0">
              <w:t xml:space="preserve"> ar normu</w:t>
            </w:r>
            <w:r w:rsidR="00797874" w:rsidRPr="00BC14F0">
              <w:t>, ka VSIA “Autotransporta direkcija” nodrošina autoostu reģistrāciju, pārreģistrāciju un autoostu darbības uzraudzību</w:t>
            </w:r>
            <w:r w:rsidR="007B1107" w:rsidRPr="00BC14F0">
              <w:t xml:space="preserve">. </w:t>
            </w:r>
            <w:r w:rsidR="00EF27EF" w:rsidRPr="00BC14F0">
              <w:t>Vienlaikus</w:t>
            </w:r>
            <w:r w:rsidR="0001156F" w:rsidRPr="00BC14F0">
              <w:t xml:space="preserve"> 33.panta piekt</w:t>
            </w:r>
            <w:r w:rsidR="00EF27EF" w:rsidRPr="00BC14F0">
              <w:t>ā</w:t>
            </w:r>
            <w:r w:rsidR="0001156F" w:rsidRPr="00BC14F0">
              <w:t xml:space="preserve"> daļ</w:t>
            </w:r>
            <w:r w:rsidR="00EF27EF" w:rsidRPr="00BC14F0">
              <w:t>a tiek izteikta</w:t>
            </w:r>
            <w:r w:rsidR="0001156F" w:rsidRPr="00BC14F0">
              <w:t xml:space="preserve"> jaunā redakcijā</w:t>
            </w:r>
            <w:r w:rsidR="00C52B93" w:rsidRPr="00BC14F0">
              <w:t>,</w:t>
            </w:r>
            <w:r w:rsidR="007B1107" w:rsidRPr="00BC14F0">
              <w:t xml:space="preserve"> paredzot </w:t>
            </w:r>
            <w:r w:rsidRPr="00BC14F0">
              <w:t xml:space="preserve">deleģējumu Ministru </w:t>
            </w:r>
            <w:r w:rsidR="003B2698" w:rsidRPr="00BC14F0">
              <w:t xml:space="preserve">kabinetam noteikt autoostu reģistrācijas, pārreģistrācijas, reģistrācijas apturēšanas, anulēšanas un autoostu darbības uzraudzības kārtību, </w:t>
            </w:r>
            <w:r w:rsidR="00085E1F" w:rsidRPr="00BC14F0">
              <w:t xml:space="preserve">autoostas kategorijas un </w:t>
            </w:r>
            <w:r w:rsidRPr="00BC14F0">
              <w:t>obligāti sniedzamos pakalpojumus</w:t>
            </w:r>
            <w:r w:rsidR="00EF27EF" w:rsidRPr="00BC14F0">
              <w:t>, kā arī</w:t>
            </w:r>
            <w:r w:rsidRPr="00BC14F0">
              <w:t xml:space="preserve"> </w:t>
            </w:r>
            <w:r w:rsidRPr="00BC14F0">
              <w:lastRenderedPageBreak/>
              <w:t>kārtību, kādā</w:t>
            </w:r>
            <w:r w:rsidR="00085E1F" w:rsidRPr="00BC14F0">
              <w:t xml:space="preserve"> autoosta aprēķina maksu par autoostas pakalpojumu izmantošanu pārvadātājiem, kas nodrošina sabiedriskā transporta pakalpojumus</w:t>
            </w:r>
            <w:r w:rsidRPr="00BC14F0">
              <w:t>.</w:t>
            </w:r>
          </w:p>
          <w:p w14:paraId="183CFCBF" w14:textId="62083C3D" w:rsidR="00BD36C0" w:rsidRPr="001911E1" w:rsidRDefault="00797FA8" w:rsidP="001911E1">
            <w:pPr>
              <w:pStyle w:val="NormalWeb"/>
              <w:spacing w:before="0" w:beforeAutospacing="0" w:after="0" w:afterAutospacing="0"/>
              <w:ind w:right="53"/>
              <w:jc w:val="both"/>
              <w:rPr>
                <w:rFonts w:eastAsiaTheme="minorEastAsia"/>
              </w:rPr>
            </w:pPr>
            <w:r w:rsidRPr="00BC14F0">
              <w:t xml:space="preserve">Lai VSIA “Autotransporta direkcija” </w:t>
            </w:r>
            <w:r w:rsidR="005A229F" w:rsidRPr="00BC14F0">
              <w:t>varētu</w:t>
            </w:r>
            <w:r w:rsidRPr="00BC14F0">
              <w:t xml:space="preserve"> regulēt autoostu darbību, Autopārvadājuma likuma 33.panta sesto daļu</w:t>
            </w:r>
            <w:r w:rsidR="005A229F" w:rsidRPr="00BC14F0">
              <w:t xml:space="preserve"> paredzēts izteikt</w:t>
            </w:r>
            <w:r w:rsidRPr="00BC14F0">
              <w:t xml:space="preserve"> jaunā redakcijā</w:t>
            </w:r>
            <w:r w:rsidR="005A229F" w:rsidRPr="00BC14F0">
              <w:t>,</w:t>
            </w:r>
            <w:r w:rsidRPr="00BC14F0">
              <w:t xml:space="preserve"> </w:t>
            </w:r>
            <w:r w:rsidR="00ED4368">
              <w:t>nosakot</w:t>
            </w:r>
            <w:r w:rsidRPr="00BC14F0">
              <w:t>, ka</w:t>
            </w:r>
            <w:r w:rsidR="003B2698" w:rsidRPr="00BC14F0">
              <w:t xml:space="preserve"> tā</w:t>
            </w:r>
            <w:r w:rsidR="003B2698" w:rsidRPr="00BC14F0">
              <w:rPr>
                <w:b/>
              </w:rPr>
              <w:t xml:space="preserve"> </w:t>
            </w:r>
            <w:r w:rsidR="003B2698" w:rsidRPr="00BC14F0">
              <w:t xml:space="preserve">reģistrē, </w:t>
            </w:r>
            <w:r w:rsidR="003B2698" w:rsidRPr="00BC14F0">
              <w:rPr>
                <w:rFonts w:eastAsiaTheme="minorEastAsia"/>
              </w:rPr>
              <w:t xml:space="preserve">aptur vai anulē autoostas reģistrāciju. </w:t>
            </w:r>
          </w:p>
          <w:p w14:paraId="76B8E5AE" w14:textId="3893BA5A" w:rsidR="00E3015B" w:rsidRPr="00BC14F0" w:rsidRDefault="005A229F" w:rsidP="00BC14F0">
            <w:pPr>
              <w:tabs>
                <w:tab w:val="left" w:pos="993"/>
              </w:tabs>
              <w:spacing w:line="240" w:lineRule="auto"/>
              <w:ind w:firstLine="0"/>
              <w:rPr>
                <w:sz w:val="24"/>
                <w:szCs w:val="24"/>
              </w:rPr>
            </w:pPr>
            <w:r w:rsidRPr="00BC14F0">
              <w:rPr>
                <w:sz w:val="24"/>
                <w:szCs w:val="24"/>
              </w:rPr>
              <w:t xml:space="preserve">Vienlaikus likumprojektā iekļauts regulējums, kas izriet no </w:t>
            </w:r>
            <w:r w:rsidR="007E4366" w:rsidRPr="00BC14F0">
              <w:rPr>
                <w:sz w:val="24"/>
                <w:szCs w:val="24"/>
              </w:rPr>
              <w:t>informatīvā ziņojuma “Informatīvais ziņojums “Pasažieru pārvadājumu ar taksometriem jomas tiesiskais regulējums un priekšlikumi tās pilnveidošanai”</w:t>
            </w:r>
            <w:r w:rsidR="00ED4368">
              <w:rPr>
                <w:sz w:val="24"/>
                <w:szCs w:val="24"/>
              </w:rPr>
              <w:t xml:space="preserve"> (apstiprināts 2016.gada 13.septembra Ministru kabineta sēdē </w:t>
            </w:r>
            <w:r w:rsidR="00ED4368" w:rsidRPr="00BC14F0">
              <w:rPr>
                <w:sz w:val="24"/>
                <w:szCs w:val="24"/>
              </w:rPr>
              <w:t>(prot. Nr.45, 31.§)</w:t>
            </w:r>
            <w:r w:rsidR="00ED4368">
              <w:rPr>
                <w:sz w:val="24"/>
                <w:szCs w:val="24"/>
              </w:rPr>
              <w:t>)</w:t>
            </w:r>
            <w:r w:rsidR="007E4366" w:rsidRPr="00BC14F0">
              <w:rPr>
                <w:sz w:val="24"/>
                <w:szCs w:val="24"/>
              </w:rPr>
              <w:t xml:space="preserve">, </w:t>
            </w:r>
            <w:r w:rsidRPr="00BC14F0">
              <w:rPr>
                <w:sz w:val="24"/>
                <w:szCs w:val="24"/>
              </w:rPr>
              <w:t>kurā konstatētas šādas būtiskākās problēmas taksometru nozarē, kuras plānots risināt ar likumprojektā iekļauto regulējumu:</w:t>
            </w:r>
          </w:p>
          <w:p w14:paraId="2E502A31" w14:textId="77777777" w:rsidR="005A229F" w:rsidRPr="00BC14F0" w:rsidRDefault="005A229F" w:rsidP="00BC14F0">
            <w:pPr>
              <w:tabs>
                <w:tab w:val="left" w:pos="993"/>
              </w:tabs>
              <w:spacing w:line="240" w:lineRule="auto"/>
              <w:ind w:firstLine="0"/>
              <w:rPr>
                <w:sz w:val="24"/>
                <w:szCs w:val="24"/>
              </w:rPr>
            </w:pPr>
            <w:r w:rsidRPr="00BC14F0">
              <w:rPr>
                <w:sz w:val="24"/>
                <w:szCs w:val="24"/>
              </w:rPr>
              <w:t xml:space="preserve">- </w:t>
            </w:r>
            <w:r w:rsidR="00E93723" w:rsidRPr="00BC14F0">
              <w:rPr>
                <w:sz w:val="24"/>
                <w:szCs w:val="24"/>
              </w:rPr>
              <w:t>Ievērojot to, ka atbilstoši Autopārvadājumu likuma 35.pantam t</w:t>
            </w:r>
            <w:r w:rsidRPr="00BC14F0">
              <w:rPr>
                <w:sz w:val="24"/>
                <w:szCs w:val="24"/>
              </w:rPr>
              <w:t>aksometru vadītājiem ir nepieciešams saņemt licenci katrā pašvaldībā</w:t>
            </w:r>
            <w:r w:rsidR="00E93723" w:rsidRPr="00BC14F0">
              <w:rPr>
                <w:sz w:val="24"/>
                <w:szCs w:val="24"/>
              </w:rPr>
              <w:t>, un pašvaldību sadrumstalotību</w:t>
            </w:r>
            <w:r w:rsidRPr="00BC14F0">
              <w:rPr>
                <w:sz w:val="24"/>
                <w:szCs w:val="24"/>
              </w:rPr>
              <w:t>, 74 pašvaldībās no 119 taksometru pakalpojumi nav pieejami;</w:t>
            </w:r>
          </w:p>
          <w:p w14:paraId="546F5585" w14:textId="54E202DF" w:rsidR="00E93723" w:rsidRPr="00BC14F0" w:rsidRDefault="005A229F" w:rsidP="00BC14F0">
            <w:pPr>
              <w:pStyle w:val="tv2131"/>
              <w:spacing w:line="240" w:lineRule="auto"/>
              <w:ind w:firstLine="0"/>
              <w:jc w:val="both"/>
              <w:rPr>
                <w:color w:val="auto"/>
                <w:sz w:val="24"/>
                <w:szCs w:val="24"/>
              </w:rPr>
            </w:pPr>
            <w:r w:rsidRPr="00BC14F0">
              <w:rPr>
                <w:color w:val="auto"/>
                <w:sz w:val="24"/>
                <w:szCs w:val="24"/>
              </w:rPr>
              <w:t>-</w:t>
            </w:r>
            <w:r w:rsidR="00E3015B" w:rsidRPr="00BC14F0">
              <w:rPr>
                <w:color w:val="auto"/>
                <w:sz w:val="24"/>
                <w:szCs w:val="24"/>
              </w:rPr>
              <w:t xml:space="preserve"> </w:t>
            </w:r>
            <w:r w:rsidR="00ED4368">
              <w:rPr>
                <w:color w:val="auto"/>
                <w:sz w:val="24"/>
                <w:szCs w:val="24"/>
              </w:rPr>
              <w:t>Saskaņā ar</w:t>
            </w:r>
            <w:r w:rsidR="00ED4368" w:rsidRPr="00BC14F0">
              <w:rPr>
                <w:color w:val="auto"/>
                <w:sz w:val="24"/>
                <w:szCs w:val="24"/>
              </w:rPr>
              <w:t xml:space="preserve"> </w:t>
            </w:r>
            <w:r w:rsidR="00230327" w:rsidRPr="00BC14F0">
              <w:rPr>
                <w:color w:val="auto"/>
                <w:sz w:val="24"/>
                <w:szCs w:val="24"/>
              </w:rPr>
              <w:t xml:space="preserve">Finanšu ministrijas </w:t>
            </w:r>
            <w:r w:rsidR="00ED4368">
              <w:rPr>
                <w:color w:val="auto"/>
                <w:sz w:val="24"/>
                <w:szCs w:val="24"/>
              </w:rPr>
              <w:t>sniegto informāciju</w:t>
            </w:r>
            <w:r w:rsidR="00230327" w:rsidRPr="00BC14F0">
              <w:rPr>
                <w:color w:val="auto"/>
                <w:sz w:val="24"/>
                <w:szCs w:val="24"/>
              </w:rPr>
              <w:t xml:space="preserve"> t</w:t>
            </w:r>
            <w:r w:rsidR="00E3015B" w:rsidRPr="00BC14F0">
              <w:rPr>
                <w:color w:val="auto"/>
                <w:sz w:val="24"/>
                <w:szCs w:val="24"/>
              </w:rPr>
              <w:t>aksometru pakalpojumu sniegšana ir visvairāk pakļauta „ēnu ekonomikai”, kur nav samaksāti līdz pat 80% no nodokļiem. Atskaitēs oficiāli uzrādītais darba stundu skaits un atalgojums ir neatbilstoši mazs.</w:t>
            </w:r>
            <w:r w:rsidR="00E93723" w:rsidRPr="00BC14F0">
              <w:rPr>
                <w:color w:val="auto"/>
                <w:sz w:val="24"/>
                <w:szCs w:val="24"/>
              </w:rPr>
              <w:t xml:space="preserve"> Vērtējot pēc nomaksātā PVN un nobrauktā kilometru skaita, vidējā alga sastāda 80 </w:t>
            </w:r>
            <w:proofErr w:type="spellStart"/>
            <w:r w:rsidR="00E93723" w:rsidRPr="00BC14F0">
              <w:rPr>
                <w:color w:val="auto"/>
                <w:sz w:val="24"/>
                <w:szCs w:val="24"/>
              </w:rPr>
              <w:t>euro</w:t>
            </w:r>
            <w:proofErr w:type="spellEnd"/>
            <w:r w:rsidR="00E93723" w:rsidRPr="00BC14F0">
              <w:rPr>
                <w:color w:val="auto"/>
                <w:sz w:val="24"/>
                <w:szCs w:val="24"/>
              </w:rPr>
              <w:t xml:space="preserve"> mēnesī. Taksometru pakalpojumu sniegšanas jomā nodarbinātie cilvēki ir sociāli neaizsargāti.</w:t>
            </w:r>
          </w:p>
          <w:p w14:paraId="4E30A03D" w14:textId="77777777" w:rsidR="00E3015B" w:rsidRPr="00BC14F0" w:rsidRDefault="005A229F" w:rsidP="00BC14F0">
            <w:pPr>
              <w:spacing w:line="240" w:lineRule="auto"/>
              <w:ind w:right="53" w:firstLine="0"/>
              <w:rPr>
                <w:sz w:val="24"/>
                <w:szCs w:val="24"/>
              </w:rPr>
            </w:pPr>
            <w:r w:rsidRPr="00BC14F0">
              <w:rPr>
                <w:sz w:val="24"/>
                <w:szCs w:val="24"/>
              </w:rPr>
              <w:t>-</w:t>
            </w:r>
            <w:r w:rsidR="00E3015B" w:rsidRPr="00BC14F0">
              <w:rPr>
                <w:sz w:val="24"/>
                <w:szCs w:val="24"/>
              </w:rPr>
              <w:t xml:space="preserve"> </w:t>
            </w:r>
            <w:r w:rsidR="00D37066" w:rsidRPr="00BC14F0">
              <w:rPr>
                <w:sz w:val="24"/>
                <w:szCs w:val="24"/>
              </w:rPr>
              <w:t>N</w:t>
            </w:r>
            <w:r w:rsidRPr="00BC14F0">
              <w:rPr>
                <w:sz w:val="24"/>
                <w:szCs w:val="24"/>
              </w:rPr>
              <w:t>epieciešami u</w:t>
            </w:r>
            <w:r w:rsidR="00E3015B" w:rsidRPr="00BC14F0">
              <w:rPr>
                <w:sz w:val="24"/>
                <w:szCs w:val="24"/>
              </w:rPr>
              <w:t xml:space="preserve">zlabojumi </w:t>
            </w:r>
            <w:r w:rsidRPr="00BC14F0">
              <w:rPr>
                <w:sz w:val="24"/>
                <w:szCs w:val="24"/>
              </w:rPr>
              <w:t>taksometru</w:t>
            </w:r>
            <w:r w:rsidR="00E3015B" w:rsidRPr="00BC14F0">
              <w:rPr>
                <w:sz w:val="24"/>
                <w:szCs w:val="24"/>
              </w:rPr>
              <w:t xml:space="preserve"> vadītāju profes</w:t>
            </w:r>
            <w:r w:rsidRPr="00BC14F0">
              <w:rPr>
                <w:sz w:val="24"/>
                <w:szCs w:val="24"/>
              </w:rPr>
              <w:t>ionālās kvalifikācijas jomā, kā arī</w:t>
            </w:r>
            <w:r w:rsidR="00E3015B" w:rsidRPr="00BC14F0">
              <w:rPr>
                <w:sz w:val="24"/>
                <w:szCs w:val="24"/>
              </w:rPr>
              <w:t xml:space="preserve"> paaugstinot pakalpojumu sniegšanā izmantoto transportlīdzekļu izmešu standartus</w:t>
            </w:r>
            <w:r w:rsidR="00E93723" w:rsidRPr="00BC14F0">
              <w:rPr>
                <w:sz w:val="24"/>
                <w:szCs w:val="24"/>
              </w:rPr>
              <w:t xml:space="preserve">. Ir uzlabojama vadītāju kvalifikācija, veicot </w:t>
            </w:r>
            <w:r w:rsidR="00464E12" w:rsidRPr="00A347ED">
              <w:rPr>
                <w:sz w:val="24"/>
                <w:szCs w:val="24"/>
              </w:rPr>
              <w:t>reģistrāciju</w:t>
            </w:r>
            <w:r w:rsidR="00D37066" w:rsidRPr="00A347ED">
              <w:rPr>
                <w:sz w:val="24"/>
                <w:szCs w:val="24"/>
              </w:rPr>
              <w:t>.</w:t>
            </w:r>
          </w:p>
          <w:p w14:paraId="3A802498" w14:textId="77777777" w:rsidR="00C421EA" w:rsidRPr="00BC14F0" w:rsidRDefault="00E93723" w:rsidP="00BC14F0">
            <w:pPr>
              <w:tabs>
                <w:tab w:val="left" w:pos="993"/>
              </w:tabs>
              <w:spacing w:line="240" w:lineRule="auto"/>
              <w:ind w:firstLine="0"/>
              <w:rPr>
                <w:rFonts w:eastAsia="Times New Roman"/>
                <w:sz w:val="24"/>
                <w:szCs w:val="24"/>
                <w:lang w:eastAsia="lv-LV"/>
              </w:rPr>
            </w:pPr>
            <w:bookmarkStart w:id="1" w:name="p-395337"/>
            <w:bookmarkStart w:id="2" w:name="p35"/>
            <w:bookmarkEnd w:id="1"/>
            <w:bookmarkEnd w:id="2"/>
            <w:r w:rsidRPr="00BC14F0">
              <w:rPr>
                <w:sz w:val="24"/>
                <w:szCs w:val="24"/>
              </w:rPr>
              <w:t xml:space="preserve">- </w:t>
            </w:r>
            <w:r w:rsidR="00C421EA" w:rsidRPr="00BC14F0">
              <w:rPr>
                <w:rFonts w:eastAsia="Times New Roman"/>
                <w:sz w:val="24"/>
                <w:szCs w:val="24"/>
                <w:lang w:eastAsia="lv-LV"/>
              </w:rPr>
              <w:t xml:space="preserve">Konstatēts, ka ar taksometru pakalpojumu rezervēšanas problēmām interneta vidē, </w:t>
            </w:r>
            <w:r w:rsidRPr="00BC14F0">
              <w:rPr>
                <w:rFonts w:eastAsia="Times New Roman"/>
                <w:sz w:val="24"/>
                <w:szCs w:val="24"/>
                <w:lang w:eastAsia="lv-LV"/>
              </w:rPr>
              <w:t xml:space="preserve">izmantojot </w:t>
            </w:r>
            <w:r w:rsidR="00C421EA" w:rsidRPr="00BC14F0">
              <w:rPr>
                <w:rFonts w:eastAsia="Times New Roman"/>
                <w:sz w:val="24"/>
                <w:szCs w:val="24"/>
                <w:lang w:eastAsia="lv-LV"/>
              </w:rPr>
              <w:t xml:space="preserve">tādas </w:t>
            </w:r>
            <w:r w:rsidRPr="00BC14F0">
              <w:rPr>
                <w:rFonts w:eastAsia="Times New Roman"/>
                <w:sz w:val="24"/>
                <w:szCs w:val="24"/>
                <w:lang w:eastAsia="lv-LV"/>
              </w:rPr>
              <w:t xml:space="preserve">lietotnes </w:t>
            </w:r>
            <w:r w:rsidR="00C421EA" w:rsidRPr="00BC14F0">
              <w:rPr>
                <w:rFonts w:eastAsia="Times New Roman"/>
                <w:sz w:val="24"/>
                <w:szCs w:val="24"/>
                <w:lang w:eastAsia="lv-LV"/>
              </w:rPr>
              <w:t xml:space="preserve">kā </w:t>
            </w:r>
            <w:proofErr w:type="spellStart"/>
            <w:r w:rsidR="00C421EA" w:rsidRPr="00BC14F0">
              <w:rPr>
                <w:rFonts w:eastAsia="Times New Roman"/>
                <w:sz w:val="24"/>
                <w:szCs w:val="24"/>
                <w:lang w:eastAsia="lv-LV"/>
              </w:rPr>
              <w:t>Uber</w:t>
            </w:r>
            <w:proofErr w:type="spellEnd"/>
            <w:r w:rsidR="00C421EA" w:rsidRPr="00BC14F0">
              <w:rPr>
                <w:rFonts w:eastAsia="Times New Roman"/>
                <w:sz w:val="24"/>
                <w:szCs w:val="24"/>
                <w:lang w:eastAsia="lv-LV"/>
              </w:rPr>
              <w:t xml:space="preserve">, </w:t>
            </w:r>
            <w:proofErr w:type="spellStart"/>
            <w:r w:rsidR="00C421EA" w:rsidRPr="00BC14F0">
              <w:rPr>
                <w:rFonts w:eastAsia="Times New Roman"/>
                <w:sz w:val="24"/>
                <w:szCs w:val="24"/>
                <w:lang w:eastAsia="lv-LV"/>
              </w:rPr>
              <w:t>Taxify</w:t>
            </w:r>
            <w:proofErr w:type="spellEnd"/>
            <w:r w:rsidR="00C421EA" w:rsidRPr="00BC14F0">
              <w:rPr>
                <w:rFonts w:eastAsia="Times New Roman"/>
                <w:sz w:val="24"/>
                <w:szCs w:val="24"/>
                <w:lang w:eastAsia="lv-LV"/>
              </w:rPr>
              <w:t xml:space="preserve"> un citas, saskaras ne tikai Latvijā, bet šī problēma ir aktuāla arī citur Eiropas Savienībā. Riski galvenokārt ir saistīti ar to, ka taksometra pakalpojumus var pieteikties sniegt privātpersonas bez atbilstošas taksometru vadītājiem nepieciešamās kvalifikācijas ar privātajiem </w:t>
            </w:r>
            <w:r w:rsidRPr="00BC14F0">
              <w:rPr>
                <w:rFonts w:eastAsia="Times New Roman"/>
                <w:sz w:val="24"/>
                <w:szCs w:val="24"/>
                <w:lang w:eastAsia="lv-LV"/>
              </w:rPr>
              <w:t>transportlīdzekļiem</w:t>
            </w:r>
            <w:r w:rsidR="00C421EA" w:rsidRPr="00BC14F0">
              <w:rPr>
                <w:rFonts w:eastAsia="Times New Roman"/>
                <w:sz w:val="24"/>
                <w:szCs w:val="24"/>
                <w:lang w:eastAsia="lv-LV"/>
              </w:rPr>
              <w:t>, kuri nav aprīkoti atbilstoši taksometriem noteiktajām prasībām</w:t>
            </w:r>
            <w:r w:rsidRPr="00BC14F0">
              <w:rPr>
                <w:rFonts w:eastAsia="Times New Roman"/>
                <w:sz w:val="24"/>
                <w:szCs w:val="24"/>
                <w:lang w:eastAsia="lv-LV"/>
              </w:rPr>
              <w:t>, kā arī</w:t>
            </w:r>
            <w:r w:rsidR="00C421EA" w:rsidRPr="00BC14F0">
              <w:rPr>
                <w:rFonts w:eastAsia="Times New Roman"/>
                <w:sz w:val="24"/>
                <w:szCs w:val="24"/>
                <w:lang w:eastAsia="lv-LV"/>
              </w:rPr>
              <w:t xml:space="preserve"> nodokļu nomaksa šiem pakalpojumu sniedzējiem ir neskaidra.</w:t>
            </w:r>
          </w:p>
          <w:p w14:paraId="6108AC4A" w14:textId="77777777" w:rsidR="00BD36C0" w:rsidRDefault="00D37066" w:rsidP="00BD36C0">
            <w:pPr>
              <w:tabs>
                <w:tab w:val="left" w:pos="993"/>
              </w:tabs>
              <w:spacing w:line="240" w:lineRule="auto"/>
              <w:ind w:firstLine="0"/>
              <w:rPr>
                <w:sz w:val="24"/>
                <w:szCs w:val="24"/>
              </w:rPr>
            </w:pPr>
            <w:r w:rsidRPr="00BC14F0">
              <w:rPr>
                <w:sz w:val="24"/>
                <w:szCs w:val="24"/>
              </w:rPr>
              <w:t>2016.gada 2.</w:t>
            </w:r>
            <w:r w:rsidR="008022AC" w:rsidRPr="00BC14F0">
              <w:rPr>
                <w:sz w:val="24"/>
                <w:szCs w:val="24"/>
              </w:rPr>
              <w:t xml:space="preserve">jūnijā Eiropas Komisija publicēja Eiropas </w:t>
            </w:r>
            <w:proofErr w:type="spellStart"/>
            <w:r w:rsidR="00B36BF9" w:rsidRPr="00BC14F0">
              <w:rPr>
                <w:sz w:val="24"/>
                <w:szCs w:val="24"/>
              </w:rPr>
              <w:t>sadarbīgās</w:t>
            </w:r>
            <w:proofErr w:type="spellEnd"/>
            <w:r w:rsidR="008022AC" w:rsidRPr="00BC14F0">
              <w:rPr>
                <w:sz w:val="24"/>
                <w:szCs w:val="24"/>
              </w:rPr>
              <w:t xml:space="preserve"> ekonomikas </w:t>
            </w:r>
            <w:r w:rsidR="00B36BF9" w:rsidRPr="00BC14F0">
              <w:rPr>
                <w:sz w:val="24"/>
                <w:szCs w:val="24"/>
              </w:rPr>
              <w:t>programmu</w:t>
            </w:r>
            <w:r w:rsidR="008022AC" w:rsidRPr="00BC14F0">
              <w:rPr>
                <w:sz w:val="24"/>
                <w:szCs w:val="24"/>
              </w:rPr>
              <w:t xml:space="preserve"> (COM(2016) 356 </w:t>
            </w:r>
            <w:proofErr w:type="spellStart"/>
            <w:r w:rsidR="006946CA" w:rsidRPr="00BC14F0">
              <w:rPr>
                <w:sz w:val="24"/>
                <w:szCs w:val="24"/>
              </w:rPr>
              <w:t>final</w:t>
            </w:r>
            <w:proofErr w:type="spellEnd"/>
            <w:r w:rsidR="008022AC" w:rsidRPr="00BC14F0">
              <w:rPr>
                <w:sz w:val="24"/>
                <w:szCs w:val="24"/>
              </w:rPr>
              <w:t>)</w:t>
            </w:r>
            <w:r w:rsidR="009433E3" w:rsidRPr="00BC14F0">
              <w:rPr>
                <w:sz w:val="24"/>
                <w:szCs w:val="24"/>
              </w:rPr>
              <w:t>,</w:t>
            </w:r>
            <w:r w:rsidR="00E55AF9" w:rsidRPr="00BC14F0">
              <w:rPr>
                <w:sz w:val="24"/>
                <w:szCs w:val="24"/>
              </w:rPr>
              <w:t xml:space="preserve"> kura definē galvenos </w:t>
            </w:r>
            <w:proofErr w:type="spellStart"/>
            <w:r w:rsidR="00E55AF9" w:rsidRPr="00BC14F0">
              <w:rPr>
                <w:sz w:val="24"/>
                <w:szCs w:val="24"/>
              </w:rPr>
              <w:t>sadarbīgās</w:t>
            </w:r>
            <w:proofErr w:type="spellEnd"/>
            <w:r w:rsidR="00E55AF9" w:rsidRPr="00BC14F0">
              <w:rPr>
                <w:sz w:val="24"/>
                <w:szCs w:val="24"/>
              </w:rPr>
              <w:t xml:space="preserve"> ekonomikas principus</w:t>
            </w:r>
            <w:r w:rsidR="00E619AF" w:rsidRPr="00BC14F0">
              <w:rPr>
                <w:sz w:val="24"/>
                <w:szCs w:val="24"/>
              </w:rPr>
              <w:t xml:space="preserve"> gan no tirdzniecības, gan nodarbinātības viedokļa</w:t>
            </w:r>
            <w:r w:rsidR="00E55AF9" w:rsidRPr="00BC14F0">
              <w:rPr>
                <w:sz w:val="24"/>
                <w:szCs w:val="24"/>
              </w:rPr>
              <w:t>, izmantojot tīmekļa platformas un lietotnes</w:t>
            </w:r>
            <w:r w:rsidR="00E619AF" w:rsidRPr="00BC14F0">
              <w:rPr>
                <w:sz w:val="24"/>
                <w:szCs w:val="24"/>
              </w:rPr>
              <w:t xml:space="preserve">. </w:t>
            </w:r>
            <w:r w:rsidR="00E55AF9" w:rsidRPr="00BC14F0">
              <w:rPr>
                <w:sz w:val="24"/>
                <w:szCs w:val="24"/>
              </w:rPr>
              <w:t xml:space="preserve"> Programmā </w:t>
            </w:r>
            <w:r w:rsidR="009433E3" w:rsidRPr="00BC14F0">
              <w:rPr>
                <w:sz w:val="24"/>
                <w:szCs w:val="24"/>
              </w:rPr>
              <w:t xml:space="preserve">norādīts, ka </w:t>
            </w:r>
            <w:proofErr w:type="spellStart"/>
            <w:r w:rsidR="009433E3" w:rsidRPr="00BC14F0">
              <w:rPr>
                <w:sz w:val="24"/>
                <w:szCs w:val="24"/>
              </w:rPr>
              <w:t>sadarbīgā</w:t>
            </w:r>
            <w:proofErr w:type="spellEnd"/>
            <w:r w:rsidR="009433E3" w:rsidRPr="00BC14F0">
              <w:rPr>
                <w:sz w:val="24"/>
                <w:szCs w:val="24"/>
              </w:rPr>
              <w:t xml:space="preserve"> platforma var darboties </w:t>
            </w:r>
            <w:r w:rsidR="00E55AF9" w:rsidRPr="00BC14F0">
              <w:rPr>
                <w:sz w:val="24"/>
                <w:szCs w:val="24"/>
              </w:rPr>
              <w:t xml:space="preserve">arī </w:t>
            </w:r>
            <w:r w:rsidR="009433E3" w:rsidRPr="00BC14F0">
              <w:rPr>
                <w:sz w:val="24"/>
                <w:szCs w:val="24"/>
              </w:rPr>
              <w:t xml:space="preserve">kā attiecīgā pakalpojuma (transporta vai īstermiņa īres) nodrošinātāja. Tādā gadījumā uz </w:t>
            </w:r>
            <w:proofErr w:type="spellStart"/>
            <w:r w:rsidR="009433E3" w:rsidRPr="00BC14F0">
              <w:rPr>
                <w:sz w:val="24"/>
                <w:szCs w:val="24"/>
              </w:rPr>
              <w:t>sadarbīgajām</w:t>
            </w:r>
            <w:proofErr w:type="spellEnd"/>
            <w:r w:rsidR="009433E3" w:rsidRPr="00BC14F0">
              <w:rPr>
                <w:sz w:val="24"/>
                <w:szCs w:val="24"/>
              </w:rPr>
              <w:t xml:space="preserve"> platformām varētu attiecināt attiecīgo nozares regulējumu, tostarp prasības par uzņēmējdarbības atļaujām un licencēšanu, ko parasti piemēro pakalpojumu sniedzējiem. </w:t>
            </w:r>
            <w:r w:rsidR="00E912CF" w:rsidRPr="00BC14F0">
              <w:rPr>
                <w:sz w:val="24"/>
                <w:szCs w:val="24"/>
              </w:rPr>
              <w:t xml:space="preserve">Galvenās pazīmes, lai attiecinātu nozares pakalpojumu regulējumu ir šādas: </w:t>
            </w:r>
            <w:proofErr w:type="spellStart"/>
            <w:r w:rsidR="00E912CF" w:rsidRPr="00BC14F0">
              <w:rPr>
                <w:sz w:val="24"/>
                <w:szCs w:val="24"/>
              </w:rPr>
              <w:t>sadarbīgā</w:t>
            </w:r>
            <w:proofErr w:type="spellEnd"/>
            <w:r w:rsidR="00E912CF" w:rsidRPr="00BC14F0">
              <w:rPr>
                <w:sz w:val="24"/>
                <w:szCs w:val="24"/>
              </w:rPr>
              <w:t xml:space="preserve"> platforma nosaka gala cenu, obligātus nosacījumus, pēc kādiem pakalpojums sniedzams, un </w:t>
            </w:r>
            <w:proofErr w:type="spellStart"/>
            <w:r w:rsidR="00E912CF" w:rsidRPr="00BC14F0">
              <w:rPr>
                <w:sz w:val="24"/>
                <w:szCs w:val="24"/>
              </w:rPr>
              <w:t>sadarbīgajai</w:t>
            </w:r>
            <w:proofErr w:type="spellEnd"/>
            <w:r w:rsidR="00E912CF" w:rsidRPr="00BC14F0">
              <w:rPr>
                <w:sz w:val="24"/>
                <w:szCs w:val="24"/>
              </w:rPr>
              <w:t xml:space="preserve"> platformai pieder </w:t>
            </w:r>
            <w:proofErr w:type="spellStart"/>
            <w:r w:rsidR="00E912CF" w:rsidRPr="00BC14F0">
              <w:rPr>
                <w:sz w:val="24"/>
                <w:szCs w:val="24"/>
              </w:rPr>
              <w:t>pamataktīvi</w:t>
            </w:r>
            <w:proofErr w:type="spellEnd"/>
            <w:r w:rsidR="00E912CF" w:rsidRPr="00BC14F0">
              <w:rPr>
                <w:sz w:val="24"/>
                <w:szCs w:val="24"/>
              </w:rPr>
              <w:t>, ar kuriem nodrošina pakalpojumu.</w:t>
            </w:r>
            <w:r w:rsidR="00FF29E5" w:rsidRPr="00BC14F0">
              <w:rPr>
                <w:sz w:val="24"/>
                <w:szCs w:val="24"/>
              </w:rPr>
              <w:t xml:space="preserve"> </w:t>
            </w:r>
            <w:r w:rsidR="009433E3" w:rsidRPr="00BC14F0">
              <w:rPr>
                <w:sz w:val="24"/>
                <w:szCs w:val="24"/>
              </w:rPr>
              <w:t>Vienlaikus norādīts, ka šīm prasībām jābūt nediskriminējošām un samērīgām.</w:t>
            </w:r>
            <w:r w:rsidR="00B36BF9" w:rsidRPr="00BC14F0">
              <w:rPr>
                <w:sz w:val="24"/>
                <w:szCs w:val="24"/>
              </w:rPr>
              <w:t xml:space="preserve"> </w:t>
            </w:r>
            <w:r w:rsidR="00635A4C" w:rsidRPr="00BC14F0">
              <w:rPr>
                <w:sz w:val="24"/>
                <w:szCs w:val="24"/>
              </w:rPr>
              <w:t xml:space="preserve">Eiropas Komisija norāda, ka PVN reglamentējošie normatīvie akti ir attiecināmi arī uz </w:t>
            </w:r>
            <w:proofErr w:type="spellStart"/>
            <w:r w:rsidR="00635A4C" w:rsidRPr="00BC14F0">
              <w:rPr>
                <w:sz w:val="24"/>
                <w:szCs w:val="24"/>
              </w:rPr>
              <w:t>sadarbīgajām</w:t>
            </w:r>
            <w:proofErr w:type="spellEnd"/>
            <w:r w:rsidR="00635A4C" w:rsidRPr="00BC14F0">
              <w:rPr>
                <w:sz w:val="24"/>
                <w:szCs w:val="24"/>
              </w:rPr>
              <w:t xml:space="preserve"> </w:t>
            </w:r>
            <w:r w:rsidR="00635A4C" w:rsidRPr="00BC14F0">
              <w:rPr>
                <w:sz w:val="24"/>
                <w:szCs w:val="24"/>
              </w:rPr>
              <w:lastRenderedPageBreak/>
              <w:t xml:space="preserve">platformām un to sniegtajiem pakalpojumiem, turklāt ļoti būtiska ir nodokļu nomaksa. </w:t>
            </w:r>
          </w:p>
          <w:p w14:paraId="24C68141" w14:textId="77E5D67C" w:rsidR="00BD36C0" w:rsidRPr="00BC14F0" w:rsidRDefault="00B576AD" w:rsidP="00BC14F0">
            <w:pPr>
              <w:shd w:val="clear" w:color="auto" w:fill="FFFFFF" w:themeFill="background1"/>
              <w:tabs>
                <w:tab w:val="left" w:pos="1134"/>
              </w:tabs>
              <w:spacing w:line="240" w:lineRule="auto"/>
              <w:ind w:firstLine="0"/>
              <w:rPr>
                <w:sz w:val="24"/>
                <w:szCs w:val="24"/>
              </w:rPr>
            </w:pPr>
            <w:r w:rsidRPr="00BC14F0">
              <w:rPr>
                <w:sz w:val="24"/>
                <w:szCs w:val="24"/>
              </w:rPr>
              <w:t xml:space="preserve">Likumprojektā tiek precizēts </w:t>
            </w:r>
            <w:r w:rsidR="00ED4368" w:rsidRPr="00BC14F0">
              <w:rPr>
                <w:sz w:val="24"/>
                <w:szCs w:val="24"/>
              </w:rPr>
              <w:t xml:space="preserve">termina </w:t>
            </w:r>
            <w:r w:rsidRPr="00BC14F0">
              <w:rPr>
                <w:sz w:val="24"/>
                <w:szCs w:val="24"/>
              </w:rPr>
              <w:t xml:space="preserve">“taksometrs” skaidrojums, nosakot, ka tas ir vieglais automobilis, kas ir reģistrēts kā M1 kategorijas transportlīdzeklis, ar kuru tiek veikti pasažieru komercpārvadājumi. Normas mērķis ir precizēt taksometru pārvadājumu veikšanai izmantojamo transportlīdzekļu skaidrojumu atbilstoši 2011.gada 14.jūlija </w:t>
            </w:r>
            <w:r w:rsidR="00724A24">
              <w:rPr>
                <w:sz w:val="24"/>
                <w:szCs w:val="24"/>
              </w:rPr>
              <w:t>Komisijas r</w:t>
            </w:r>
            <w:r w:rsidRPr="00BC14F0">
              <w:rPr>
                <w:sz w:val="24"/>
                <w:szCs w:val="24"/>
              </w:rPr>
              <w:t>egulā Nr.678/2011</w:t>
            </w:r>
            <w:r w:rsidR="00724A24">
              <w:rPr>
                <w:sz w:val="24"/>
                <w:szCs w:val="24"/>
              </w:rPr>
              <w:t>,</w:t>
            </w:r>
            <w:r w:rsidRPr="00BC14F0">
              <w:rPr>
                <w:sz w:val="24"/>
                <w:szCs w:val="24"/>
              </w:rPr>
              <w:t xml:space="preserve"> ar kuru aizstāj II pielikumu un groza IV, IX un XI pielikumu Eiropas Parlamenta un Padomes Direktīvā 2007/46/EK, ar ko izveido sistēmu mehānisko transportlīdzekļu un to piekabju, kā arī tādiem transportlīdzekļiem paredzētu sistēmu, sastāvdaļu un atsevišķu tehnisku vienību apstiprināšanai (pamatdirektīva)</w:t>
            </w:r>
            <w:r w:rsidR="00724A24">
              <w:rPr>
                <w:sz w:val="24"/>
                <w:szCs w:val="24"/>
              </w:rPr>
              <w:t>,</w:t>
            </w:r>
            <w:r w:rsidRPr="00BC14F0">
              <w:rPr>
                <w:sz w:val="24"/>
                <w:szCs w:val="24"/>
              </w:rPr>
              <w:t xml:space="preserve"> noteiktai transportlīdzekļu klasifikācijai, </w:t>
            </w:r>
            <w:r w:rsidR="00D86E6B">
              <w:rPr>
                <w:sz w:val="24"/>
                <w:szCs w:val="24"/>
              </w:rPr>
              <w:t>jo</w:t>
            </w:r>
            <w:r w:rsidRPr="00BC14F0">
              <w:rPr>
                <w:sz w:val="24"/>
                <w:szCs w:val="24"/>
              </w:rPr>
              <w:t xml:space="preserve"> šobrīd kā vieglais automobilis var tikt reģistrēts arī tāds transportlīdzeklis, kas nav paredzēts pasažieru pārvadāšanai. Nosakot prasību, ka taksometrs var būt tikai M1 kategorijas transportlīdzeklis, </w:t>
            </w:r>
            <w:r w:rsidR="00D86E6B">
              <w:rPr>
                <w:sz w:val="24"/>
                <w:szCs w:val="24"/>
              </w:rPr>
              <w:t xml:space="preserve">paredzēts </w:t>
            </w:r>
            <w:r w:rsidRPr="00BC14F0">
              <w:rPr>
                <w:sz w:val="24"/>
                <w:szCs w:val="24"/>
              </w:rPr>
              <w:t xml:space="preserve">nepieļaut iespēju, ka </w:t>
            </w:r>
            <w:r w:rsidR="00D86E6B">
              <w:rPr>
                <w:sz w:val="24"/>
                <w:szCs w:val="24"/>
              </w:rPr>
              <w:t xml:space="preserve">taksometra pakalpojumi tiek sniegti ar </w:t>
            </w:r>
            <w:r w:rsidR="00BD36C0" w:rsidRPr="00BD36C0">
              <w:rPr>
                <w:sz w:val="24"/>
                <w:szCs w:val="24"/>
              </w:rPr>
              <w:t>transportlīdzekļi</w:t>
            </w:r>
            <w:r w:rsidR="00D86E6B">
              <w:rPr>
                <w:sz w:val="24"/>
                <w:szCs w:val="24"/>
              </w:rPr>
              <w:t>em</w:t>
            </w:r>
            <w:r w:rsidRPr="00BD36C0">
              <w:rPr>
                <w:sz w:val="24"/>
                <w:szCs w:val="24"/>
              </w:rPr>
              <w:t>, kuri</w:t>
            </w:r>
            <w:r w:rsidRPr="00BC14F0">
              <w:rPr>
                <w:sz w:val="24"/>
                <w:szCs w:val="24"/>
              </w:rPr>
              <w:t xml:space="preserve"> </w:t>
            </w:r>
            <w:r w:rsidR="0000048D">
              <w:rPr>
                <w:sz w:val="24"/>
                <w:szCs w:val="24"/>
              </w:rPr>
              <w:t xml:space="preserve">reģistrēti kā kravas transportlīdzekļi (N1 kategorijas) vai kā </w:t>
            </w:r>
            <w:r w:rsidR="00E37A0D">
              <w:rPr>
                <w:sz w:val="24"/>
                <w:szCs w:val="24"/>
              </w:rPr>
              <w:t>kvadricikli</w:t>
            </w:r>
            <w:r w:rsidR="00D86E6B">
              <w:rPr>
                <w:sz w:val="24"/>
                <w:szCs w:val="24"/>
              </w:rPr>
              <w:t>,</w:t>
            </w:r>
            <w:r w:rsidR="0000048D">
              <w:rPr>
                <w:sz w:val="24"/>
                <w:szCs w:val="24"/>
              </w:rPr>
              <w:t xml:space="preserve"> līdz ar to radot negodīgas konkurences iespēju atšķirīgo nodokļu un tehnisko prasību dēļ</w:t>
            </w:r>
            <w:r w:rsidR="00D86E6B">
              <w:rPr>
                <w:sz w:val="24"/>
                <w:szCs w:val="24"/>
              </w:rPr>
              <w:t>.</w:t>
            </w:r>
            <w:r w:rsidR="0000048D">
              <w:rPr>
                <w:sz w:val="24"/>
                <w:szCs w:val="24"/>
              </w:rPr>
              <w:t xml:space="preserve"> </w:t>
            </w:r>
          </w:p>
          <w:p w14:paraId="6E596371" w14:textId="03F1592E" w:rsidR="00046644" w:rsidRPr="006C56C6" w:rsidRDefault="00C60AEA" w:rsidP="00046644">
            <w:pPr>
              <w:rPr>
                <w:sz w:val="24"/>
                <w:szCs w:val="24"/>
              </w:rPr>
            </w:pPr>
            <w:r w:rsidRPr="00BC14F0">
              <w:rPr>
                <w:sz w:val="24"/>
                <w:szCs w:val="24"/>
              </w:rPr>
              <w:t xml:space="preserve">Izstrādājot </w:t>
            </w:r>
            <w:r w:rsidR="009479C4" w:rsidRPr="00BC14F0">
              <w:rPr>
                <w:sz w:val="24"/>
                <w:szCs w:val="24"/>
              </w:rPr>
              <w:t>informatīv</w:t>
            </w:r>
            <w:r w:rsidRPr="00BC14F0">
              <w:rPr>
                <w:sz w:val="24"/>
                <w:szCs w:val="24"/>
              </w:rPr>
              <w:t xml:space="preserve">o </w:t>
            </w:r>
            <w:r w:rsidR="009479C4" w:rsidRPr="00BC14F0">
              <w:rPr>
                <w:sz w:val="24"/>
                <w:szCs w:val="24"/>
              </w:rPr>
              <w:t>ziņojum</w:t>
            </w:r>
            <w:r w:rsidRPr="00BC14F0">
              <w:rPr>
                <w:sz w:val="24"/>
                <w:szCs w:val="24"/>
              </w:rPr>
              <w:t>u</w:t>
            </w:r>
            <w:r w:rsidR="009479C4" w:rsidRPr="00BC14F0">
              <w:rPr>
                <w:sz w:val="24"/>
                <w:szCs w:val="24"/>
              </w:rPr>
              <w:t xml:space="preserve"> “Pasažieru pārvadājumu ar taksometriem jomas tiesiskais regulējums un priekšlikumi tās pilnveidošanai”</w:t>
            </w:r>
            <w:r w:rsidR="00D86E6B">
              <w:rPr>
                <w:sz w:val="24"/>
                <w:szCs w:val="24"/>
              </w:rPr>
              <w:t>,</w:t>
            </w:r>
            <w:r w:rsidR="009479C4" w:rsidRPr="00BC14F0">
              <w:rPr>
                <w:sz w:val="24"/>
                <w:szCs w:val="24"/>
              </w:rPr>
              <w:t xml:space="preserve"> </w:t>
            </w:r>
            <w:r w:rsidRPr="00BC14F0">
              <w:rPr>
                <w:sz w:val="24"/>
                <w:szCs w:val="24"/>
              </w:rPr>
              <w:t xml:space="preserve">darba grupa izvērtēja piemērotāko </w:t>
            </w:r>
            <w:r w:rsidRPr="00E0711F">
              <w:rPr>
                <w:sz w:val="24"/>
                <w:szCs w:val="24"/>
              </w:rPr>
              <w:t xml:space="preserve">iespēju </w:t>
            </w:r>
            <w:r w:rsidR="00227972" w:rsidRPr="00E0711F">
              <w:rPr>
                <w:sz w:val="24"/>
                <w:szCs w:val="24"/>
              </w:rPr>
              <w:t xml:space="preserve">veidot vienotu publiski pieejamu </w:t>
            </w:r>
            <w:r w:rsidRPr="00E0711F">
              <w:rPr>
                <w:sz w:val="24"/>
                <w:szCs w:val="24"/>
              </w:rPr>
              <w:t xml:space="preserve">taksometru vadītāju </w:t>
            </w:r>
            <w:r w:rsidR="00227972" w:rsidRPr="00E0711F">
              <w:rPr>
                <w:sz w:val="24"/>
                <w:szCs w:val="24"/>
              </w:rPr>
              <w:t>reģistru</w:t>
            </w:r>
            <w:r w:rsidRPr="00E0711F">
              <w:rPr>
                <w:sz w:val="24"/>
                <w:szCs w:val="24"/>
              </w:rPr>
              <w:t xml:space="preserve"> un </w:t>
            </w:r>
            <w:r w:rsidR="00D86E6B">
              <w:rPr>
                <w:sz w:val="24"/>
                <w:szCs w:val="24"/>
              </w:rPr>
              <w:t>paredzēja</w:t>
            </w:r>
            <w:r w:rsidRPr="00E0711F">
              <w:rPr>
                <w:sz w:val="24"/>
                <w:szCs w:val="24"/>
              </w:rPr>
              <w:t>, ka šī uzdevuma izpildi varētu veikt VSIA “Autotransporta direkcija”</w:t>
            </w:r>
            <w:r w:rsidR="008661CE" w:rsidRPr="00E0711F">
              <w:rPr>
                <w:sz w:val="24"/>
                <w:szCs w:val="24"/>
              </w:rPr>
              <w:t xml:space="preserve">. </w:t>
            </w:r>
            <w:r w:rsidR="00227972" w:rsidRPr="00E0711F">
              <w:rPr>
                <w:sz w:val="24"/>
                <w:szCs w:val="24"/>
              </w:rPr>
              <w:t xml:space="preserve"> Lai taksometru vadītājs tiku reģistrēts vai arī tiktu izslēgts no reģistra,  paredzēts izstrādāt noteikumus, nosakot prasības un kritērijus</w:t>
            </w:r>
            <w:r w:rsidR="00D86E6B">
              <w:rPr>
                <w:sz w:val="24"/>
                <w:szCs w:val="24"/>
              </w:rPr>
              <w:t>,</w:t>
            </w:r>
            <w:r w:rsidR="00227972" w:rsidRPr="00E0711F">
              <w:rPr>
                <w:sz w:val="24"/>
                <w:szCs w:val="24"/>
              </w:rPr>
              <w:t xml:space="preserve"> un  informācijas avotus, piemēram Transportlīdzekļu un to vadītāju reģistru, Sodu reģistru u.c. Reģistra dati būtu pieejami taksometru vadītājiem, pārvadātājiem un kontrolējošām institūcijām. </w:t>
            </w:r>
            <w:r w:rsidR="00CA3B85" w:rsidRPr="00E0711F">
              <w:rPr>
                <w:sz w:val="24"/>
                <w:szCs w:val="24"/>
              </w:rPr>
              <w:t xml:space="preserve">Izmantojot šo reģistru, tiktu </w:t>
            </w:r>
            <w:r w:rsidR="00E0711F">
              <w:rPr>
                <w:sz w:val="24"/>
                <w:szCs w:val="24"/>
              </w:rPr>
              <w:t xml:space="preserve">apliecināta </w:t>
            </w:r>
            <w:r w:rsidR="00CA3B85" w:rsidRPr="00E0711F">
              <w:rPr>
                <w:sz w:val="24"/>
                <w:szCs w:val="24"/>
              </w:rPr>
              <w:t xml:space="preserve"> vadītāja </w:t>
            </w:r>
            <w:r w:rsidR="005700F6">
              <w:rPr>
                <w:sz w:val="24"/>
                <w:szCs w:val="24"/>
              </w:rPr>
              <w:t>atbilstība vienotām prasībām</w:t>
            </w:r>
            <w:r w:rsidR="00CA3B85" w:rsidRPr="00E0711F">
              <w:rPr>
                <w:sz w:val="24"/>
                <w:szCs w:val="24"/>
              </w:rPr>
              <w:t>.</w:t>
            </w:r>
            <w:r w:rsidR="00DE109B" w:rsidRPr="00E0711F">
              <w:rPr>
                <w:sz w:val="24"/>
                <w:szCs w:val="24"/>
              </w:rPr>
              <w:t xml:space="preserve"> Šāda prakse tiek izmantota Igaunijā</w:t>
            </w:r>
            <w:r w:rsidR="00046644" w:rsidRPr="00E0711F">
              <w:rPr>
                <w:sz w:val="24"/>
                <w:szCs w:val="24"/>
              </w:rPr>
              <w:t xml:space="preserve"> – tiek izsniegta t</w:t>
            </w:r>
            <w:r w:rsidR="00DE109B" w:rsidRPr="00E0711F">
              <w:rPr>
                <w:sz w:val="24"/>
                <w:szCs w:val="24"/>
              </w:rPr>
              <w:t>aksometra vadītāja  - pakalpojuma sniedzēja karte, un</w:t>
            </w:r>
            <w:r w:rsidR="00046644" w:rsidRPr="00E0711F">
              <w:rPr>
                <w:sz w:val="24"/>
                <w:szCs w:val="24"/>
              </w:rPr>
              <w:t>,</w:t>
            </w:r>
            <w:r w:rsidR="00DE109B" w:rsidRPr="00E0711F">
              <w:rPr>
                <w:sz w:val="24"/>
                <w:szCs w:val="24"/>
              </w:rPr>
              <w:t xml:space="preserve"> lai to saņemtu</w:t>
            </w:r>
            <w:r w:rsidR="00D86E6B">
              <w:rPr>
                <w:sz w:val="24"/>
                <w:szCs w:val="24"/>
              </w:rPr>
              <w:t>,</w:t>
            </w:r>
            <w:r w:rsidR="00DE109B" w:rsidRPr="00E0711F">
              <w:rPr>
                <w:sz w:val="24"/>
                <w:szCs w:val="24"/>
              </w:rPr>
              <w:t xml:space="preserve"> vadītājam ir jāapmeklē speciāli kursi, jābūt labai reputācijai, kā arī persona nedrīkst būt krimināli</w:t>
            </w:r>
            <w:r w:rsidR="00046644" w:rsidRPr="00E0711F">
              <w:rPr>
                <w:sz w:val="24"/>
                <w:szCs w:val="24"/>
              </w:rPr>
              <w:t xml:space="preserve"> sodīta</w:t>
            </w:r>
            <w:r w:rsidR="00DE109B" w:rsidRPr="00E0711F">
              <w:rPr>
                <w:sz w:val="24"/>
                <w:szCs w:val="24"/>
              </w:rPr>
              <w:t xml:space="preserve"> </w:t>
            </w:r>
            <w:r w:rsidR="00046644" w:rsidRPr="00E0711F">
              <w:rPr>
                <w:i/>
                <w:iCs/>
                <w:sz w:val="24"/>
                <w:szCs w:val="24"/>
              </w:rPr>
              <w:t xml:space="preserve">(18.02.2015. </w:t>
            </w:r>
            <w:proofErr w:type="spellStart"/>
            <w:r w:rsidR="00046644" w:rsidRPr="00E0711F">
              <w:rPr>
                <w:i/>
                <w:iCs/>
                <w:sz w:val="24"/>
                <w:szCs w:val="24"/>
              </w:rPr>
              <w:t>Public</w:t>
            </w:r>
            <w:proofErr w:type="spellEnd"/>
            <w:r w:rsidR="00046644" w:rsidRPr="00E0711F">
              <w:rPr>
                <w:i/>
                <w:iCs/>
                <w:sz w:val="24"/>
                <w:szCs w:val="24"/>
              </w:rPr>
              <w:t xml:space="preserve"> </w:t>
            </w:r>
            <w:proofErr w:type="spellStart"/>
            <w:r w:rsidR="00046644" w:rsidRPr="00E0711F">
              <w:rPr>
                <w:i/>
                <w:iCs/>
                <w:sz w:val="24"/>
                <w:szCs w:val="24"/>
              </w:rPr>
              <w:t>Transport</w:t>
            </w:r>
            <w:proofErr w:type="spellEnd"/>
            <w:r w:rsidR="00046644" w:rsidRPr="00E0711F">
              <w:rPr>
                <w:i/>
                <w:iCs/>
                <w:sz w:val="24"/>
                <w:szCs w:val="24"/>
              </w:rPr>
              <w:t xml:space="preserve"> ACT, Igaunija)”</w:t>
            </w:r>
            <w:r w:rsidR="00046644" w:rsidRPr="00E0711F">
              <w:rPr>
                <w:sz w:val="24"/>
                <w:szCs w:val="24"/>
              </w:rPr>
              <w:t>.</w:t>
            </w:r>
          </w:p>
          <w:p w14:paraId="7648D52B" w14:textId="0813D437" w:rsidR="00B71ED1" w:rsidRDefault="00DE109B" w:rsidP="00227972">
            <w:pPr>
              <w:spacing w:line="240" w:lineRule="auto"/>
              <w:ind w:right="53" w:firstLine="0"/>
              <w:rPr>
                <w:sz w:val="24"/>
                <w:szCs w:val="24"/>
              </w:rPr>
            </w:pPr>
            <w:r>
              <w:rPr>
                <w:sz w:val="24"/>
                <w:szCs w:val="24"/>
              </w:rPr>
              <w:t xml:space="preserve"> </w:t>
            </w:r>
            <w:r w:rsidR="00227972">
              <w:rPr>
                <w:sz w:val="24"/>
                <w:szCs w:val="24"/>
              </w:rPr>
              <w:t xml:space="preserve"> </w:t>
            </w:r>
            <w:r w:rsidR="00B71ED1">
              <w:rPr>
                <w:sz w:val="24"/>
                <w:szCs w:val="24"/>
              </w:rPr>
              <w:t xml:space="preserve">Ņemot vērā </w:t>
            </w:r>
            <w:r w:rsidR="00AE6BCF">
              <w:rPr>
                <w:sz w:val="24"/>
                <w:szCs w:val="24"/>
                <w:lang w:eastAsia="lv-LV"/>
              </w:rPr>
              <w:t xml:space="preserve">Saeimā 2016.gada 23.novembrī pieņemtos grozījumus likumā </w:t>
            </w:r>
            <w:r w:rsidR="00AE6BCF">
              <w:rPr>
                <w:sz w:val="24"/>
                <w:szCs w:val="24"/>
              </w:rPr>
              <w:t>„Par valsts sociālo apdrošināšanu”</w:t>
            </w:r>
            <w:r w:rsidR="008B4871">
              <w:rPr>
                <w:sz w:val="24"/>
                <w:szCs w:val="24"/>
              </w:rPr>
              <w:t xml:space="preserve"> un 2016.gada 13.decembrī pieņemtos grozījumus Ministru kabineta</w:t>
            </w:r>
            <w:r w:rsidR="00D86E6B">
              <w:rPr>
                <w:sz w:val="24"/>
                <w:szCs w:val="24"/>
              </w:rPr>
              <w:t xml:space="preserve"> 2012.gada 3.jūlija</w:t>
            </w:r>
            <w:r w:rsidR="008B4871">
              <w:rPr>
                <w:sz w:val="24"/>
                <w:szCs w:val="24"/>
              </w:rPr>
              <w:t xml:space="preserve"> noteikumos</w:t>
            </w:r>
            <w:r w:rsidR="00D86E6B">
              <w:rPr>
                <w:sz w:val="24"/>
                <w:szCs w:val="24"/>
              </w:rPr>
              <w:t xml:space="preserve"> Nr.468</w:t>
            </w:r>
            <w:r w:rsidR="008B4871">
              <w:rPr>
                <w:sz w:val="24"/>
                <w:szCs w:val="24"/>
              </w:rPr>
              <w:t xml:space="preserve"> “</w:t>
            </w:r>
            <w:r w:rsidR="008B4871" w:rsidRPr="008B4871">
              <w:rPr>
                <w:sz w:val="24"/>
                <w:szCs w:val="24"/>
              </w:rPr>
              <w:t>Noteikumi par pasažieru pārvadāšanu ar vieglajiem taksometriem</w:t>
            </w:r>
            <w:r w:rsidR="008B4871">
              <w:rPr>
                <w:sz w:val="24"/>
                <w:szCs w:val="24"/>
              </w:rPr>
              <w:t>”</w:t>
            </w:r>
            <w:r w:rsidR="00AE6BCF">
              <w:rPr>
                <w:sz w:val="24"/>
                <w:szCs w:val="24"/>
              </w:rPr>
              <w:t>, kuri paredz i</w:t>
            </w:r>
            <w:r w:rsidR="00AE6BCF">
              <w:rPr>
                <w:color w:val="000000"/>
                <w:sz w:val="24"/>
                <w:szCs w:val="24"/>
              </w:rPr>
              <w:t xml:space="preserve">eviest obligāto valsts sociālās apdrošināšanas iemaksu - avansa maksājumu 130 </w:t>
            </w:r>
            <w:proofErr w:type="spellStart"/>
            <w:r w:rsidR="00AE6BCF">
              <w:rPr>
                <w:i/>
                <w:iCs/>
                <w:color w:val="000000"/>
                <w:sz w:val="24"/>
                <w:szCs w:val="24"/>
              </w:rPr>
              <w:t>euro</w:t>
            </w:r>
            <w:proofErr w:type="spellEnd"/>
            <w:r w:rsidR="00AE6BCF">
              <w:rPr>
                <w:color w:val="000000"/>
                <w:sz w:val="24"/>
                <w:szCs w:val="24"/>
              </w:rPr>
              <w:t xml:space="preserve"> par taksometru mēnesī</w:t>
            </w:r>
            <w:r w:rsidR="00B71ED1">
              <w:rPr>
                <w:sz w:val="24"/>
                <w:szCs w:val="24"/>
              </w:rPr>
              <w:t>, kā arī M</w:t>
            </w:r>
            <w:r w:rsidR="00DC3FF1">
              <w:rPr>
                <w:sz w:val="24"/>
                <w:szCs w:val="24"/>
              </w:rPr>
              <w:t xml:space="preserve">inistru kabineta </w:t>
            </w:r>
            <w:r w:rsidR="008B4871">
              <w:rPr>
                <w:sz w:val="24"/>
                <w:szCs w:val="24"/>
              </w:rPr>
              <w:t>2016.gada 13.septembra</w:t>
            </w:r>
            <w:r w:rsidR="00DC3FF1">
              <w:rPr>
                <w:sz w:val="24"/>
                <w:szCs w:val="24"/>
              </w:rPr>
              <w:t xml:space="preserve"> sēdes protokola Nr.45 31.§ 7.punktā doto uzdevumu - </w:t>
            </w:r>
            <w:r w:rsidR="00DC3FF1" w:rsidRPr="00DC3FF1">
              <w:rPr>
                <w:sz w:val="24"/>
                <w:szCs w:val="24"/>
              </w:rPr>
              <w:t xml:space="preserve">Satiksmes ministrijai izstrādāt normatīvo aktu projektus, kas paredz no 2018.gada 1.janvāra ieviest pašvaldību budžetā iemaksājamu valsts nodevu par licences izsniegšanu pasažieru pārvadājumu ar </w:t>
            </w:r>
            <w:r w:rsidR="00DC3FF1">
              <w:rPr>
                <w:sz w:val="24"/>
                <w:szCs w:val="24"/>
              </w:rPr>
              <w:t>taksometriem</w:t>
            </w:r>
            <w:r w:rsidR="00AE6BCF">
              <w:rPr>
                <w:sz w:val="24"/>
                <w:szCs w:val="24"/>
              </w:rPr>
              <w:t xml:space="preserve"> veikšanai</w:t>
            </w:r>
            <w:r w:rsidR="00B71ED1">
              <w:rPr>
                <w:sz w:val="24"/>
                <w:szCs w:val="24"/>
              </w:rPr>
              <w:t xml:space="preserve">, </w:t>
            </w:r>
            <w:r w:rsidR="008B4871">
              <w:rPr>
                <w:sz w:val="24"/>
                <w:szCs w:val="24"/>
              </w:rPr>
              <w:t xml:space="preserve">šajā </w:t>
            </w:r>
            <w:r w:rsidR="00B71ED1">
              <w:rPr>
                <w:sz w:val="24"/>
                <w:szCs w:val="24"/>
              </w:rPr>
              <w:t>nozarē nodarbinātiem uzņēmumiem būs vienotas prasības, kā rezultātā nav pamatota maksimālās maksas (tarifa) ierobežošana</w:t>
            </w:r>
            <w:r w:rsidR="00AE6BCF">
              <w:rPr>
                <w:sz w:val="24"/>
                <w:szCs w:val="24"/>
              </w:rPr>
              <w:t>i.</w:t>
            </w:r>
          </w:p>
          <w:p w14:paraId="6326BAD8" w14:textId="5CF6DAC1" w:rsidR="00160055" w:rsidRPr="001911E1" w:rsidRDefault="00D86E6B" w:rsidP="001911E1">
            <w:pPr>
              <w:tabs>
                <w:tab w:val="left" w:pos="1134"/>
              </w:tabs>
              <w:spacing w:line="240" w:lineRule="auto"/>
              <w:ind w:firstLine="0"/>
              <w:rPr>
                <w:sz w:val="24"/>
                <w:szCs w:val="24"/>
              </w:rPr>
            </w:pPr>
            <w:r>
              <w:rPr>
                <w:sz w:val="24"/>
                <w:szCs w:val="24"/>
              </w:rPr>
              <w:t>Lai novērstu minētās problēmas</w:t>
            </w:r>
            <w:r w:rsidR="001911E1" w:rsidRPr="001911E1">
              <w:rPr>
                <w:sz w:val="24"/>
                <w:szCs w:val="24"/>
              </w:rPr>
              <w:t xml:space="preserve">, likumprojektā paredzēts izteikt 35.pantu jaunā redakcijā, paredzot, ka </w:t>
            </w:r>
            <w:r w:rsidR="00160055" w:rsidRPr="001911E1">
              <w:rPr>
                <w:sz w:val="24"/>
                <w:szCs w:val="24"/>
              </w:rPr>
              <w:t xml:space="preserve">speciālās atļaujas (licences) izsniedz 9 </w:t>
            </w:r>
            <w:r w:rsidR="00160055" w:rsidRPr="001911E1">
              <w:rPr>
                <w:sz w:val="24"/>
                <w:szCs w:val="24"/>
              </w:rPr>
              <w:lastRenderedPageBreak/>
              <w:t>republikas pilsētas un 5 plānošanas reģioni. Tā kā 2009.gada 5.maija Ministru kabineta noteikumi Nr.391 “Par plānošanas reģionu teritorijām” nosaka, ka plānošanas reģionu teritorijās ietilpst arī republikas pilsētas, paredzēts, ka plānošanas reģiona  izsniegtā speciālā atļauja (licence) nedod tiesības veikt pasažieru komercpārvadājumus ar taksometru republikas pilsētas teritorijā un otrādi</w:t>
            </w:r>
            <w:r w:rsidR="001911E1" w:rsidRPr="001911E1">
              <w:rPr>
                <w:sz w:val="24"/>
                <w:szCs w:val="24"/>
              </w:rPr>
              <w:t xml:space="preserve"> –</w:t>
            </w:r>
            <w:r w:rsidR="00160055" w:rsidRPr="001911E1">
              <w:rPr>
                <w:sz w:val="24"/>
                <w:szCs w:val="24"/>
              </w:rPr>
              <w:t xml:space="preserve"> republikas pilsētas izsniegtā speciālā atļauja (licence) nedod tiesības veikt pasažieru komercpārvadājumus ar taksometru pārējā plānošanas reģiona teritorijā. Speciālā atļauja (licence) dod tiesības nogādāt pasažieri uz jebkuru citu vietu ārpus republikas pilsētas vai pārējās plānošanas reģiona teritorijas, kurā saņemta speciālā atļauja (licence). Šajā gadījumā, uzņemt pasažieri atpakaļceļā, teritorijā, kurā speciālā atļauja (licence) nav saņemta, ir aizliegts.</w:t>
            </w:r>
          </w:p>
          <w:p w14:paraId="5FDAE3C8" w14:textId="77777777" w:rsidR="001911E1" w:rsidRPr="00A347ED" w:rsidRDefault="001911E1" w:rsidP="001911E1">
            <w:pPr>
              <w:spacing w:line="240" w:lineRule="auto"/>
              <w:ind w:right="53" w:firstLine="0"/>
              <w:rPr>
                <w:sz w:val="24"/>
                <w:szCs w:val="24"/>
              </w:rPr>
            </w:pPr>
            <w:r w:rsidRPr="001911E1">
              <w:rPr>
                <w:sz w:val="24"/>
                <w:szCs w:val="24"/>
              </w:rPr>
              <w:t xml:space="preserve">Papildus likumprojektā paredzēts ieviest </w:t>
            </w:r>
            <w:r w:rsidRPr="001911E1">
              <w:rPr>
                <w:rFonts w:eastAsia="Times New Roman"/>
                <w:sz w:val="24"/>
                <w:szCs w:val="24"/>
              </w:rPr>
              <w:t>jaunu licencējamu pasažieru komercpārvadājumu ar vieglo automobili, k</w:t>
            </w:r>
            <w:r w:rsidRPr="001911E1">
              <w:rPr>
                <w:sz w:val="24"/>
                <w:szCs w:val="24"/>
              </w:rPr>
              <w:t xml:space="preserve">urš neatbilst  pasažieru komercpārvadājuma ar vieglo taksometru pazīmēm (pakalpojuma maksas aprēķinam netiek lietots taksometra skaitītājs, nav nepieciešams speciālais aprīkojums), pakalpojumu sniedz pēc iepriekš noslēgta distances līguma un iepriekš vienojoties par pakalpojuma maksu. Šādu </w:t>
            </w:r>
            <w:r w:rsidRPr="00A347ED">
              <w:rPr>
                <w:sz w:val="24"/>
                <w:szCs w:val="24"/>
              </w:rPr>
              <w:t>p</w:t>
            </w:r>
            <w:r w:rsidRPr="00A347ED">
              <w:rPr>
                <w:rFonts w:eastAsia="Times New Roman"/>
                <w:sz w:val="24"/>
                <w:szCs w:val="24"/>
              </w:rPr>
              <w:t>ārvadājumu veikšanas kārtība tiktu noteikta Ministru kabineta noteikumos.</w:t>
            </w:r>
          </w:p>
          <w:p w14:paraId="6B615E66" w14:textId="18807F76" w:rsidR="006F7749" w:rsidRPr="00A347ED" w:rsidRDefault="001911E1" w:rsidP="006F7749">
            <w:pPr>
              <w:tabs>
                <w:tab w:val="left" w:pos="1134"/>
              </w:tabs>
              <w:spacing w:line="240" w:lineRule="auto"/>
              <w:ind w:firstLine="0"/>
              <w:rPr>
                <w:rFonts w:eastAsia="Times New Roman"/>
                <w:sz w:val="24"/>
                <w:szCs w:val="24"/>
              </w:rPr>
            </w:pPr>
            <w:r w:rsidRPr="00A347ED">
              <w:rPr>
                <w:sz w:val="24"/>
                <w:szCs w:val="24"/>
              </w:rPr>
              <w:t xml:space="preserve">Vienlaikus </w:t>
            </w:r>
            <w:r w:rsidR="00C0155E">
              <w:rPr>
                <w:sz w:val="24"/>
                <w:szCs w:val="24"/>
              </w:rPr>
              <w:t xml:space="preserve">projektā </w:t>
            </w:r>
            <w:r w:rsidRPr="00A347ED">
              <w:rPr>
                <w:sz w:val="24"/>
                <w:szCs w:val="24"/>
              </w:rPr>
              <w:t xml:space="preserve">iekļauts deleģējums pašvaldībām </w:t>
            </w:r>
            <w:r w:rsidR="00166463" w:rsidRPr="00A347ED">
              <w:rPr>
                <w:sz w:val="24"/>
                <w:szCs w:val="24"/>
              </w:rPr>
              <w:t xml:space="preserve">noteikt </w:t>
            </w:r>
            <w:r w:rsidR="00464E12" w:rsidRPr="00A347ED">
              <w:rPr>
                <w:sz w:val="24"/>
                <w:szCs w:val="24"/>
              </w:rPr>
              <w:t>papildu prasības Ministru kabineta noteikumos noteiktajām prasībām</w:t>
            </w:r>
            <w:r w:rsidR="00166463" w:rsidRPr="00A347ED">
              <w:rPr>
                <w:sz w:val="24"/>
                <w:szCs w:val="24"/>
              </w:rPr>
              <w:t>, tostarp</w:t>
            </w:r>
            <w:r w:rsidRPr="00A347ED">
              <w:rPr>
                <w:sz w:val="24"/>
                <w:szCs w:val="24"/>
              </w:rPr>
              <w:t xml:space="preserve"> sa</w:t>
            </w:r>
            <w:r w:rsidRPr="00A347ED">
              <w:rPr>
                <w:rFonts w:eastAsia="Times New Roman"/>
                <w:sz w:val="24"/>
                <w:szCs w:val="24"/>
              </w:rPr>
              <w:t>vā administratīvajā teritorijā</w:t>
            </w:r>
            <w:r w:rsidR="006F7749" w:rsidRPr="00A347ED">
              <w:rPr>
                <w:rFonts w:eastAsia="Times New Roman"/>
                <w:sz w:val="24"/>
                <w:szCs w:val="24"/>
              </w:rPr>
              <w:t xml:space="preserve"> noteikt ierobežojumus taksometru radītajam piesārņojumam videi un siltumnīcefekta gāzu emisiju apjomam un pārvadātāja pienākumu nodrošināt iespēju taksometros, norēķinoties par pārvadātāja sniegtajiem pakalpojumiem, veikt bezskaidras naudas norēķinus ar bankas maksājumu kartēm.</w:t>
            </w:r>
          </w:p>
          <w:p w14:paraId="116F5ABB" w14:textId="5A379C03" w:rsidR="00450128" w:rsidRPr="00BC14F0" w:rsidRDefault="00450128" w:rsidP="00BC14F0">
            <w:pPr>
              <w:tabs>
                <w:tab w:val="left" w:pos="1134"/>
              </w:tabs>
              <w:spacing w:line="240" w:lineRule="auto"/>
              <w:ind w:firstLine="0"/>
              <w:rPr>
                <w:sz w:val="24"/>
                <w:szCs w:val="24"/>
              </w:rPr>
            </w:pPr>
            <w:r w:rsidRPr="00A347ED">
              <w:rPr>
                <w:sz w:val="24"/>
                <w:szCs w:val="24"/>
              </w:rPr>
              <w:t>Likumprojekts paredz veikt izmaiņas arī Autopārvadājumu likuma 5.</w:t>
            </w:r>
            <w:r w:rsidRPr="00A347ED">
              <w:rPr>
                <w:sz w:val="24"/>
                <w:szCs w:val="24"/>
                <w:vertAlign w:val="superscript"/>
              </w:rPr>
              <w:t>4</w:t>
            </w:r>
            <w:r w:rsidRPr="00A347ED">
              <w:rPr>
                <w:sz w:val="24"/>
                <w:szCs w:val="24"/>
              </w:rPr>
              <w:t xml:space="preserve"> pantā, papildinot administratīvo aktu uzskaitījumu, </w:t>
            </w:r>
            <w:r w:rsidR="00C0155E">
              <w:rPr>
                <w:sz w:val="24"/>
                <w:szCs w:val="24"/>
              </w:rPr>
              <w:t>kuru</w:t>
            </w:r>
            <w:r w:rsidRPr="00A347ED">
              <w:rPr>
                <w:sz w:val="24"/>
                <w:szCs w:val="24"/>
              </w:rPr>
              <w:t xml:space="preserve"> apstrīdēšana vai pārsūdzēšana neaptur administratīvā akta darbību vai izpildi</w:t>
            </w:r>
            <w:r w:rsidR="00FB7E11" w:rsidRPr="00A347ED">
              <w:rPr>
                <w:sz w:val="24"/>
                <w:szCs w:val="24"/>
              </w:rPr>
              <w:t>,</w:t>
            </w:r>
            <w:r w:rsidRPr="00A347ED">
              <w:rPr>
                <w:sz w:val="24"/>
                <w:szCs w:val="24"/>
              </w:rPr>
              <w:t xml:space="preserve"> ar lēmumu </w:t>
            </w:r>
            <w:r w:rsidR="00166463" w:rsidRPr="00A347ED">
              <w:rPr>
                <w:sz w:val="24"/>
                <w:szCs w:val="24"/>
              </w:rPr>
              <w:t>reģistrēt</w:t>
            </w:r>
            <w:r w:rsidR="00166463">
              <w:rPr>
                <w:sz w:val="24"/>
                <w:szCs w:val="24"/>
              </w:rPr>
              <w:t xml:space="preserve"> vai izslēgt no taksometru vadītāju reģistra </w:t>
            </w:r>
            <w:r w:rsidRPr="00BC14F0">
              <w:rPr>
                <w:sz w:val="24"/>
                <w:szCs w:val="24"/>
              </w:rPr>
              <w:t>vai speciālo atļauju (licenci) pasažieru komercpārvadājumiem ar taksometru</w:t>
            </w:r>
            <w:r w:rsidR="00890C0E">
              <w:rPr>
                <w:sz w:val="24"/>
                <w:szCs w:val="24"/>
              </w:rPr>
              <w:t xml:space="preserve"> </w:t>
            </w:r>
            <w:r w:rsidR="00890C0E" w:rsidRPr="006F7749">
              <w:rPr>
                <w:sz w:val="24"/>
                <w:szCs w:val="24"/>
              </w:rPr>
              <w:t>vai vieglo automobili</w:t>
            </w:r>
            <w:r w:rsidRPr="00BC14F0">
              <w:rPr>
                <w:sz w:val="24"/>
                <w:szCs w:val="24"/>
              </w:rPr>
              <w:t>. Šāds izņēmums no vispārējās administratīvo aktu apstrīdēšanas kārtības ir nepieciešams, jo</w:t>
            </w:r>
            <w:r w:rsidR="00520CE6" w:rsidRPr="00BC14F0">
              <w:rPr>
                <w:sz w:val="24"/>
                <w:szCs w:val="24"/>
              </w:rPr>
              <w:t>,</w:t>
            </w:r>
            <w:r w:rsidRPr="00BC14F0">
              <w:rPr>
                <w:sz w:val="24"/>
                <w:szCs w:val="24"/>
              </w:rPr>
              <w:t xml:space="preserve"> ja lēmums par minēto dokumentu anulēšanu vai apturēšanu netiek izpildīts nekavējoties, tas izveidojušos situāciju tikpat kā nemaina, jo pārvadātājam ir iespēja līdz administratīvā akta apturēšanas brīdim turpināt negodīgu</w:t>
            </w:r>
            <w:r w:rsidR="00FB7E11" w:rsidRPr="00BC14F0">
              <w:rPr>
                <w:sz w:val="24"/>
                <w:szCs w:val="24"/>
              </w:rPr>
              <w:t>, normatīvajiem aktiem neatbilstošu</w:t>
            </w:r>
            <w:r w:rsidRPr="00BC14F0">
              <w:rPr>
                <w:sz w:val="24"/>
                <w:szCs w:val="24"/>
              </w:rPr>
              <w:t xml:space="preserve"> uzņēmējdarbību, nesaņemot par to sodu, kā arī</w:t>
            </w:r>
            <w:r w:rsidR="00FB7E11" w:rsidRPr="00BC14F0">
              <w:rPr>
                <w:sz w:val="24"/>
                <w:szCs w:val="24"/>
              </w:rPr>
              <w:t>,</w:t>
            </w:r>
            <w:r w:rsidRPr="00BC14F0">
              <w:rPr>
                <w:sz w:val="24"/>
                <w:szCs w:val="24"/>
              </w:rPr>
              <w:t xml:space="preserve"> iespējams</w:t>
            </w:r>
            <w:r w:rsidR="00FB7E11" w:rsidRPr="00BC14F0">
              <w:rPr>
                <w:sz w:val="24"/>
                <w:szCs w:val="24"/>
              </w:rPr>
              <w:t>,</w:t>
            </w:r>
            <w:r w:rsidRPr="00BC14F0">
              <w:rPr>
                <w:sz w:val="24"/>
                <w:szCs w:val="24"/>
              </w:rPr>
              <w:t xml:space="preserve"> nodar</w:t>
            </w:r>
            <w:r w:rsidR="00FB7E11" w:rsidRPr="00BC14F0">
              <w:rPr>
                <w:sz w:val="24"/>
                <w:szCs w:val="24"/>
              </w:rPr>
              <w:t>o</w:t>
            </w:r>
            <w:r w:rsidRPr="00BC14F0">
              <w:rPr>
                <w:sz w:val="24"/>
                <w:szCs w:val="24"/>
              </w:rPr>
              <w:t xml:space="preserve">t kaitējumu valsts interesēm. Turklāt pārvadātājs, kas, iespējams,  ilgstoši prettiesiski un ļaunprātīgi izmanto tam piešķirtās tiesības, tiek nostādīts vienlīdzīgā situācijā ar to pārvadātāju, kas savu darbību </w:t>
            </w:r>
            <w:r w:rsidR="00C0155E">
              <w:rPr>
                <w:sz w:val="24"/>
                <w:szCs w:val="24"/>
              </w:rPr>
              <w:t>veic</w:t>
            </w:r>
            <w:r w:rsidR="00C0155E" w:rsidRPr="00BC14F0">
              <w:rPr>
                <w:sz w:val="24"/>
                <w:szCs w:val="24"/>
              </w:rPr>
              <w:t xml:space="preserve"> </w:t>
            </w:r>
            <w:r w:rsidRPr="00BC14F0">
              <w:rPr>
                <w:sz w:val="24"/>
                <w:szCs w:val="24"/>
              </w:rPr>
              <w:t xml:space="preserve">atbilstoši normatīvo </w:t>
            </w:r>
            <w:r w:rsidR="005A63F0" w:rsidRPr="00BC14F0">
              <w:rPr>
                <w:sz w:val="24"/>
                <w:szCs w:val="24"/>
              </w:rPr>
              <w:t>aktu prasībām.</w:t>
            </w:r>
          </w:p>
          <w:p w14:paraId="77F86C28" w14:textId="77777777" w:rsidR="000C4DE3" w:rsidRPr="00BC14F0" w:rsidRDefault="000C4DE3" w:rsidP="00BC14F0">
            <w:pPr>
              <w:shd w:val="clear" w:color="auto" w:fill="FFFFFF" w:themeFill="background1"/>
              <w:tabs>
                <w:tab w:val="left" w:pos="1134"/>
              </w:tabs>
              <w:spacing w:line="240" w:lineRule="auto"/>
              <w:ind w:firstLine="0"/>
              <w:rPr>
                <w:sz w:val="24"/>
                <w:szCs w:val="24"/>
              </w:rPr>
            </w:pPr>
            <w:r w:rsidRPr="006F7749">
              <w:rPr>
                <w:sz w:val="24"/>
                <w:szCs w:val="24"/>
              </w:rPr>
              <w:t>Likumprojekts paredz deleģēt jauna</w:t>
            </w:r>
            <w:r w:rsidR="007A2B27" w:rsidRPr="006F7749">
              <w:rPr>
                <w:sz w:val="24"/>
                <w:szCs w:val="24"/>
              </w:rPr>
              <w:t>s</w:t>
            </w:r>
            <w:r w:rsidRPr="006F7749">
              <w:rPr>
                <w:sz w:val="24"/>
                <w:szCs w:val="24"/>
              </w:rPr>
              <w:t xml:space="preserve"> funkcijas VSIA “Autotransporta direkcija” – taksometru vadītāju</w:t>
            </w:r>
            <w:r w:rsidR="00227972" w:rsidRPr="006F7749">
              <w:rPr>
                <w:sz w:val="24"/>
                <w:szCs w:val="24"/>
              </w:rPr>
              <w:t xml:space="preserve"> reģistrāciju</w:t>
            </w:r>
            <w:r w:rsidR="00890C0E" w:rsidRPr="006F7749">
              <w:rPr>
                <w:sz w:val="24"/>
                <w:szCs w:val="24"/>
              </w:rPr>
              <w:t>, licenču pasažieru komercpārvadājumiem ar vieglo automobili izsniegšanu</w:t>
            </w:r>
            <w:r w:rsidRPr="006F7749">
              <w:rPr>
                <w:sz w:val="24"/>
                <w:szCs w:val="24"/>
              </w:rPr>
              <w:t xml:space="preserve"> un autoostu reģistrāciju</w:t>
            </w:r>
            <w:r w:rsidR="00FB7E11" w:rsidRPr="006F7749">
              <w:rPr>
                <w:sz w:val="24"/>
                <w:szCs w:val="24"/>
              </w:rPr>
              <w:t xml:space="preserve"> un to darbības uzraudzību</w:t>
            </w:r>
            <w:r w:rsidRPr="006F7749">
              <w:rPr>
                <w:sz w:val="24"/>
                <w:szCs w:val="24"/>
              </w:rPr>
              <w:t xml:space="preserve">. </w:t>
            </w:r>
            <w:r w:rsidR="00FB7E11" w:rsidRPr="006F7749">
              <w:rPr>
                <w:sz w:val="24"/>
                <w:szCs w:val="24"/>
              </w:rPr>
              <w:t>Taksometru vadītāju</w:t>
            </w:r>
            <w:r w:rsidR="00FB7E11" w:rsidRPr="00BC14F0">
              <w:rPr>
                <w:sz w:val="24"/>
                <w:szCs w:val="24"/>
              </w:rPr>
              <w:t xml:space="preserve"> sertificēšanu un autoostu reģistrāciju</w:t>
            </w:r>
            <w:r w:rsidRPr="00BC14F0">
              <w:rPr>
                <w:sz w:val="24"/>
                <w:szCs w:val="24"/>
              </w:rPr>
              <w:t xml:space="preserve"> paredzēts sniegt kā maksas pakalpojumus, līdz ar to saistībā ar likumprojekta ieviešanu būs nepieciešams veikt izmaiņas 2013.gada 3.septembra Ministru kabineta noteikumos nr.732 “Valsts sabiedrības ar ierobežotu atbildību “Autotransporta direkcija” maksas </w:t>
            </w:r>
            <w:r w:rsidRPr="00BC14F0">
              <w:rPr>
                <w:sz w:val="24"/>
                <w:szCs w:val="24"/>
              </w:rPr>
              <w:lastRenderedPageBreak/>
              <w:t xml:space="preserve">pakalpojumu cenrādis”. </w:t>
            </w:r>
            <w:r w:rsidR="00FB7E11" w:rsidRPr="00BC14F0">
              <w:rPr>
                <w:sz w:val="24"/>
                <w:szCs w:val="24"/>
              </w:rPr>
              <w:t>Maksa par pakalpojumu ti</w:t>
            </w:r>
            <w:r w:rsidRPr="00BC14F0">
              <w:rPr>
                <w:sz w:val="24"/>
                <w:szCs w:val="24"/>
              </w:rPr>
              <w:t>ks iekasēta no attiecīgo pakalpojumu saņēmējiem.</w:t>
            </w:r>
          </w:p>
          <w:p w14:paraId="105A2B87" w14:textId="77777777" w:rsidR="003423FD" w:rsidRPr="00BC14F0" w:rsidRDefault="003423FD" w:rsidP="00BC14F0">
            <w:pPr>
              <w:tabs>
                <w:tab w:val="left" w:pos="1134"/>
              </w:tabs>
              <w:spacing w:line="240" w:lineRule="auto"/>
              <w:ind w:firstLine="0"/>
              <w:rPr>
                <w:sz w:val="24"/>
                <w:szCs w:val="24"/>
              </w:rPr>
            </w:pPr>
            <w:r w:rsidRPr="00BC14F0">
              <w:rPr>
                <w:sz w:val="24"/>
                <w:szCs w:val="24"/>
              </w:rPr>
              <w:t xml:space="preserve">Lai Eiropas Savienības līmenī ieviestu un nodrošinātu vienotu autobusu pasažieru minimālo tiesību apjomu, 2011.gada 16.februārī tika pieņemta regula (ES) Nr.181/2011, kura jāpiemēro no 2013.gada 1.marta (publicēta Eiropas Oficiālajā Vēstnesī 2011.gada 28.februārī L55/1). Regulas (ES) Nr.181/2011 mērķis ir visās dalībvalstīs autobusu pasažieriem nodrošināt līdzvērtīgu aizsardzības un palīdzības līmeni, īpašu uzmanību pievēršot personām ar invaliditāti un personām ar ierobežotām pārvietošanās spējām. Regulu (ES) Nr.181/2011 piemēro attiecībā uz pasažieriem, kas izmanto regulāros pasažieru pārvadājumus, kuriem pasažieru iekāpšanas un/vai izkāpšanas vieta atrodas dalībvalsts teritorijā un kuru plānotais attālums ir 250 km vai vairāk. Regula (ES) Nr.181/2011 nosaka nepieciešamību dalībvalstīm līdz 2013.gada 1.martam nacionālajos tiesību aktos noteikt virkni prasību un kārtību, kas saistītas ar pasažieru individuālo sūdzību izskatīšanas kārtību, uzskaites mehānismu, pārvadātāju atbildību un kompensāciju apmēriem. </w:t>
            </w:r>
          </w:p>
          <w:p w14:paraId="6E448A38" w14:textId="77777777" w:rsidR="003423FD" w:rsidRPr="00BC14F0" w:rsidRDefault="003423FD" w:rsidP="00BC14F0">
            <w:pPr>
              <w:tabs>
                <w:tab w:val="left" w:pos="1134"/>
              </w:tabs>
              <w:spacing w:line="240" w:lineRule="auto"/>
              <w:ind w:firstLine="0"/>
              <w:rPr>
                <w:sz w:val="24"/>
                <w:szCs w:val="24"/>
                <w:lang w:eastAsia="lv-LV"/>
              </w:rPr>
            </w:pPr>
            <w:r w:rsidRPr="00BC14F0">
              <w:rPr>
                <w:sz w:val="24"/>
                <w:szCs w:val="24"/>
                <w:lang w:eastAsia="lv-LV"/>
              </w:rPr>
              <w:t>Saskaņā ar regulas (ES) Nr.181/2011 2.panta 4.punkta nosacījumiem – izņemot 4. panta 2. punktā, 9. pantā, 10. panta 1. punktā, 16. panta 1. punkta b) apakšpunktā, 16. panta 2. punktā, 17. panta 1. un 2. punktā, 24. līdz 28. pantā paredzētos gadījumus, dalībvalsts var pārredzami un nediskriminējoši piešķirt iekšzemes regulāriem pārvadājumiem atbrīvojumu no šīs regulas piemērošanas. Šādu atbrīvojumu var piešķirt no šīs regulas piemērošanas dienas, ilgākais, uz četriem gadiem, un to var atjaunot vienu reizi.</w:t>
            </w:r>
          </w:p>
          <w:p w14:paraId="56777EAD" w14:textId="77777777" w:rsidR="003423FD" w:rsidRPr="00BC14F0" w:rsidRDefault="003423FD" w:rsidP="00BC14F0">
            <w:pPr>
              <w:tabs>
                <w:tab w:val="left" w:pos="1134"/>
              </w:tabs>
              <w:spacing w:line="240" w:lineRule="auto"/>
              <w:ind w:firstLine="0"/>
              <w:rPr>
                <w:sz w:val="24"/>
                <w:szCs w:val="24"/>
              </w:rPr>
            </w:pPr>
            <w:r w:rsidRPr="00BC14F0">
              <w:rPr>
                <w:sz w:val="24"/>
                <w:szCs w:val="24"/>
              </w:rPr>
              <w:t xml:space="preserve">Pašlaik spēkā esošajā Autopārvadājumu likumā ir piemērots atbrīvojums </w:t>
            </w:r>
            <w:r w:rsidRPr="00BC14F0">
              <w:rPr>
                <w:sz w:val="24"/>
                <w:szCs w:val="24"/>
                <w:lang w:eastAsia="lv-LV"/>
              </w:rPr>
              <w:t>no regulas (ES) Nr.181/2011 piemērošanas</w:t>
            </w:r>
            <w:r w:rsidRPr="00BC14F0">
              <w:rPr>
                <w:sz w:val="24"/>
                <w:szCs w:val="24"/>
              </w:rPr>
              <w:t xml:space="preserve"> līdz 2017.gada 1.martam (pārejas noteikumu 31.punkts).</w:t>
            </w:r>
          </w:p>
          <w:p w14:paraId="4143A843" w14:textId="77777777" w:rsidR="003423FD" w:rsidRPr="00BC14F0" w:rsidRDefault="003423FD" w:rsidP="00BC14F0">
            <w:pPr>
              <w:shd w:val="clear" w:color="auto" w:fill="FFFFFF" w:themeFill="background1"/>
              <w:tabs>
                <w:tab w:val="left" w:pos="1134"/>
              </w:tabs>
              <w:spacing w:line="240" w:lineRule="auto"/>
              <w:ind w:firstLine="0"/>
              <w:rPr>
                <w:sz w:val="24"/>
                <w:szCs w:val="24"/>
              </w:rPr>
            </w:pPr>
            <w:r w:rsidRPr="00BC14F0">
              <w:rPr>
                <w:sz w:val="24"/>
                <w:szCs w:val="24"/>
                <w:lang w:eastAsia="lv-LV"/>
              </w:rPr>
              <w:t xml:space="preserve">Projekts paredz pagarināt </w:t>
            </w:r>
            <w:r w:rsidRPr="00BC14F0">
              <w:rPr>
                <w:sz w:val="24"/>
                <w:szCs w:val="24"/>
              </w:rPr>
              <w:t xml:space="preserve">regulas (ES) Nr.181/2011 2.panta 4.punktā paredzēto piemērošanas atbrīvojumu attiecībā uz iekšzemes pasažieru regulāriem autobusu pārvadājumiem, izņemot </w:t>
            </w:r>
            <w:r w:rsidRPr="00BC14F0">
              <w:rPr>
                <w:sz w:val="24"/>
                <w:szCs w:val="24"/>
                <w:lang w:eastAsia="lv-LV"/>
              </w:rPr>
              <w:t>4. panta 2. punktā, 9. pantā, 10. panta 1. punktā, 16. panta 1. punkta b) apakšpunktā, 16. panta 2. punktā, 17. panta 1. un 2. punktā, 24. līdz 28. pantā paredzētos gadījumus,</w:t>
            </w:r>
            <w:r w:rsidRPr="00BC14F0">
              <w:rPr>
                <w:sz w:val="24"/>
                <w:szCs w:val="24"/>
              </w:rPr>
              <w:t xml:space="preserve"> vēl uz četriem gadiem – līdz 2021.gada 1.martam.</w:t>
            </w:r>
          </w:p>
        </w:tc>
      </w:tr>
      <w:tr w:rsidR="00DE7249" w:rsidRPr="00BC14F0" w14:paraId="46D6A183" w14:textId="77777777" w:rsidTr="00BC14F0">
        <w:tc>
          <w:tcPr>
            <w:tcW w:w="229" w:type="pct"/>
            <w:tcBorders>
              <w:top w:val="outset" w:sz="6" w:space="0" w:color="auto"/>
              <w:left w:val="outset" w:sz="6" w:space="0" w:color="auto"/>
              <w:bottom w:val="outset" w:sz="6" w:space="0" w:color="auto"/>
              <w:right w:val="outset" w:sz="6" w:space="0" w:color="auto"/>
            </w:tcBorders>
          </w:tcPr>
          <w:p w14:paraId="5F442AD3" w14:textId="77777777" w:rsidR="00565A60" w:rsidRPr="00BC14F0" w:rsidRDefault="00344EA8"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lastRenderedPageBreak/>
              <w:t>3.</w:t>
            </w:r>
          </w:p>
        </w:tc>
        <w:tc>
          <w:tcPr>
            <w:tcW w:w="915" w:type="pct"/>
            <w:tcBorders>
              <w:top w:val="outset" w:sz="6" w:space="0" w:color="auto"/>
              <w:left w:val="outset" w:sz="6" w:space="0" w:color="auto"/>
              <w:bottom w:val="outset" w:sz="6" w:space="0" w:color="auto"/>
              <w:right w:val="outset" w:sz="6" w:space="0" w:color="auto"/>
            </w:tcBorders>
          </w:tcPr>
          <w:p w14:paraId="552BC5A8" w14:textId="77777777" w:rsidR="00565A60" w:rsidRPr="00BC14F0" w:rsidRDefault="00565A60" w:rsidP="00BC14F0">
            <w:pPr>
              <w:spacing w:line="240" w:lineRule="auto"/>
              <w:ind w:firstLine="18"/>
              <w:rPr>
                <w:rFonts w:eastAsia="Times New Roman"/>
                <w:sz w:val="24"/>
                <w:szCs w:val="24"/>
                <w:lang w:eastAsia="lv-LV"/>
              </w:rPr>
            </w:pPr>
            <w:r w:rsidRPr="00BC14F0">
              <w:rPr>
                <w:rFonts w:eastAsia="Times New Roman"/>
                <w:sz w:val="24"/>
                <w:szCs w:val="24"/>
                <w:lang w:eastAsia="lv-LV"/>
              </w:rPr>
              <w:t>Projekta izstrādē iesaistītās institūcijas</w:t>
            </w:r>
          </w:p>
        </w:tc>
        <w:tc>
          <w:tcPr>
            <w:tcW w:w="3856" w:type="pct"/>
            <w:tcBorders>
              <w:top w:val="outset" w:sz="6" w:space="0" w:color="auto"/>
              <w:left w:val="outset" w:sz="6" w:space="0" w:color="auto"/>
              <w:bottom w:val="outset" w:sz="6" w:space="0" w:color="auto"/>
              <w:right w:val="outset" w:sz="6" w:space="0" w:color="auto"/>
            </w:tcBorders>
            <w:shd w:val="clear" w:color="auto" w:fill="FFFFFF" w:themeFill="background1"/>
          </w:tcPr>
          <w:p w14:paraId="0B4A922E" w14:textId="77777777" w:rsidR="00565A60" w:rsidRPr="00BC14F0" w:rsidRDefault="00230327" w:rsidP="00BC14F0">
            <w:pPr>
              <w:tabs>
                <w:tab w:val="left" w:pos="2715"/>
              </w:tabs>
              <w:spacing w:line="240" w:lineRule="auto"/>
              <w:ind w:firstLine="0"/>
              <w:rPr>
                <w:rFonts w:eastAsia="Times New Roman"/>
                <w:sz w:val="24"/>
                <w:szCs w:val="24"/>
                <w:lang w:eastAsia="lv-LV"/>
              </w:rPr>
            </w:pPr>
            <w:r w:rsidRPr="00BC14F0">
              <w:rPr>
                <w:rFonts w:eastAsia="Times New Roman"/>
                <w:sz w:val="24"/>
                <w:szCs w:val="24"/>
                <w:lang w:eastAsia="lv-LV"/>
              </w:rPr>
              <w:t>VSIA “Autotransporta direkcija”.</w:t>
            </w:r>
            <w:r w:rsidR="003423FD" w:rsidRPr="00BC14F0">
              <w:rPr>
                <w:rFonts w:eastAsia="Times New Roman"/>
                <w:sz w:val="24"/>
                <w:szCs w:val="24"/>
                <w:lang w:eastAsia="lv-LV"/>
              </w:rPr>
              <w:t xml:space="preserve"> </w:t>
            </w:r>
          </w:p>
        </w:tc>
      </w:tr>
      <w:tr w:rsidR="003E274D" w:rsidRPr="00BC14F0" w14:paraId="732875A3" w14:textId="77777777" w:rsidTr="00BC14F0">
        <w:tc>
          <w:tcPr>
            <w:tcW w:w="229" w:type="pct"/>
            <w:tcBorders>
              <w:top w:val="outset" w:sz="6" w:space="0" w:color="auto"/>
              <w:left w:val="outset" w:sz="6" w:space="0" w:color="auto"/>
              <w:bottom w:val="outset" w:sz="6" w:space="0" w:color="auto"/>
              <w:right w:val="outset" w:sz="6" w:space="0" w:color="auto"/>
            </w:tcBorders>
          </w:tcPr>
          <w:p w14:paraId="32FEFE46" w14:textId="77777777" w:rsidR="00565A60" w:rsidRPr="00BC14F0" w:rsidRDefault="00344EA8" w:rsidP="00BC14F0">
            <w:pPr>
              <w:numPr>
                <w:ilvl w:val="0"/>
                <w:numId w:val="2"/>
              </w:numPr>
              <w:spacing w:line="240" w:lineRule="auto"/>
              <w:rPr>
                <w:rFonts w:eastAsia="Times New Roman"/>
                <w:sz w:val="24"/>
                <w:szCs w:val="24"/>
                <w:lang w:eastAsia="lv-LV"/>
              </w:rPr>
            </w:pPr>
            <w:r w:rsidRPr="00BC14F0">
              <w:rPr>
                <w:rFonts w:eastAsia="Times New Roman"/>
                <w:sz w:val="24"/>
                <w:szCs w:val="24"/>
                <w:lang w:eastAsia="lv-LV"/>
              </w:rPr>
              <w:t>4.</w:t>
            </w:r>
          </w:p>
        </w:tc>
        <w:tc>
          <w:tcPr>
            <w:tcW w:w="915" w:type="pct"/>
            <w:tcBorders>
              <w:top w:val="outset" w:sz="6" w:space="0" w:color="auto"/>
              <w:left w:val="outset" w:sz="6" w:space="0" w:color="auto"/>
              <w:bottom w:val="outset" w:sz="6" w:space="0" w:color="auto"/>
              <w:right w:val="outset" w:sz="6" w:space="0" w:color="auto"/>
            </w:tcBorders>
          </w:tcPr>
          <w:p w14:paraId="7B6D9B8B" w14:textId="77777777" w:rsidR="00565A60" w:rsidRPr="00BC14F0" w:rsidRDefault="00565A60" w:rsidP="00BC14F0">
            <w:pPr>
              <w:spacing w:line="240" w:lineRule="auto"/>
              <w:ind w:firstLine="18"/>
              <w:rPr>
                <w:rFonts w:eastAsia="Times New Roman"/>
                <w:sz w:val="24"/>
                <w:szCs w:val="24"/>
                <w:lang w:eastAsia="lv-LV"/>
              </w:rPr>
            </w:pPr>
            <w:r w:rsidRPr="00BC14F0">
              <w:rPr>
                <w:rFonts w:eastAsia="Times New Roman"/>
                <w:sz w:val="24"/>
                <w:szCs w:val="24"/>
                <w:lang w:eastAsia="lv-LV"/>
              </w:rPr>
              <w:t>Cita informācija</w:t>
            </w:r>
          </w:p>
        </w:tc>
        <w:tc>
          <w:tcPr>
            <w:tcW w:w="3856" w:type="pct"/>
            <w:tcBorders>
              <w:top w:val="outset" w:sz="6" w:space="0" w:color="auto"/>
              <w:left w:val="outset" w:sz="6" w:space="0" w:color="auto"/>
              <w:bottom w:val="outset" w:sz="6" w:space="0" w:color="auto"/>
              <w:right w:val="outset" w:sz="6" w:space="0" w:color="auto"/>
            </w:tcBorders>
          </w:tcPr>
          <w:p w14:paraId="36F514B7" w14:textId="77777777" w:rsidR="00565A60" w:rsidRPr="00BC14F0" w:rsidRDefault="00CA5942" w:rsidP="00BC14F0">
            <w:pPr>
              <w:spacing w:line="240" w:lineRule="auto"/>
              <w:ind w:firstLine="0"/>
              <w:rPr>
                <w:sz w:val="24"/>
                <w:szCs w:val="24"/>
              </w:rPr>
            </w:pPr>
            <w:r w:rsidRPr="00BC14F0">
              <w:rPr>
                <w:sz w:val="24"/>
                <w:szCs w:val="24"/>
              </w:rPr>
              <w:t>Nav.</w:t>
            </w:r>
          </w:p>
        </w:tc>
      </w:tr>
    </w:tbl>
    <w:p w14:paraId="7235E127" w14:textId="77777777" w:rsidR="00565A60" w:rsidRPr="00BC14F0" w:rsidRDefault="00565A60" w:rsidP="00BC14F0">
      <w:pPr>
        <w:spacing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129"/>
        <w:gridCol w:w="6887"/>
      </w:tblGrid>
      <w:tr w:rsidR="00DE7249" w:rsidRPr="00BC14F0" w14:paraId="0D5D470F" w14:textId="77777777"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14:paraId="180B8796" w14:textId="77777777" w:rsidR="00565A60" w:rsidRPr="00BC14F0" w:rsidRDefault="00565A60" w:rsidP="00BC14F0">
            <w:pPr>
              <w:spacing w:line="240" w:lineRule="auto"/>
              <w:jc w:val="center"/>
              <w:rPr>
                <w:rFonts w:eastAsia="Times New Roman"/>
                <w:b/>
                <w:bCs/>
                <w:sz w:val="24"/>
                <w:szCs w:val="24"/>
                <w:lang w:eastAsia="lv-LV"/>
              </w:rPr>
            </w:pPr>
            <w:r w:rsidRPr="00BC14F0">
              <w:rPr>
                <w:rFonts w:eastAsia="Times New Roman"/>
                <w:b/>
                <w:bCs/>
                <w:sz w:val="24"/>
                <w:szCs w:val="24"/>
                <w:lang w:eastAsia="lv-LV"/>
              </w:rPr>
              <w:t>II. Tiesību akta projekta ietekme uz sabiedrību</w:t>
            </w:r>
            <w:r w:rsidRPr="00BC14F0">
              <w:rPr>
                <w:b/>
                <w:bCs/>
                <w:sz w:val="24"/>
                <w:szCs w:val="24"/>
                <w:shd w:val="clear" w:color="auto" w:fill="FFFFFF"/>
              </w:rPr>
              <w:t>, tautsaimniecības attīstību un administratīvo slogu</w:t>
            </w:r>
          </w:p>
        </w:tc>
      </w:tr>
      <w:tr w:rsidR="00DE7249" w:rsidRPr="00BC14F0" w14:paraId="4479C28A" w14:textId="77777777" w:rsidTr="00E76C69">
        <w:tc>
          <w:tcPr>
            <w:tcW w:w="151" w:type="pct"/>
            <w:tcBorders>
              <w:top w:val="outset" w:sz="6" w:space="0" w:color="auto"/>
              <w:left w:val="outset" w:sz="6" w:space="0" w:color="auto"/>
              <w:bottom w:val="outset" w:sz="6" w:space="0" w:color="auto"/>
              <w:right w:val="outset" w:sz="6" w:space="0" w:color="auto"/>
            </w:tcBorders>
          </w:tcPr>
          <w:p w14:paraId="4E7BBB74" w14:textId="77777777" w:rsidR="00565A60" w:rsidRPr="00BC14F0" w:rsidRDefault="003F1D89" w:rsidP="00BC14F0">
            <w:pPr>
              <w:spacing w:line="240" w:lineRule="auto"/>
              <w:rPr>
                <w:rFonts w:eastAsia="Times New Roman"/>
                <w:sz w:val="24"/>
                <w:szCs w:val="24"/>
                <w:lang w:eastAsia="lv-LV"/>
              </w:rPr>
            </w:pPr>
            <w:r w:rsidRPr="00BC14F0">
              <w:rPr>
                <w:rFonts w:eastAsia="Times New Roman"/>
                <w:sz w:val="24"/>
                <w:szCs w:val="24"/>
                <w:lang w:eastAsia="lv-LV"/>
              </w:rPr>
              <w:t>11.</w:t>
            </w:r>
          </w:p>
        </w:tc>
        <w:tc>
          <w:tcPr>
            <w:tcW w:w="1145" w:type="pct"/>
            <w:tcBorders>
              <w:top w:val="outset" w:sz="6" w:space="0" w:color="auto"/>
              <w:left w:val="outset" w:sz="6" w:space="0" w:color="auto"/>
              <w:bottom w:val="outset" w:sz="6" w:space="0" w:color="auto"/>
              <w:right w:val="outset" w:sz="6" w:space="0" w:color="auto"/>
            </w:tcBorders>
          </w:tcPr>
          <w:p w14:paraId="7BD32309"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 xml:space="preserve">Sabiedrības </w:t>
            </w:r>
            <w:proofErr w:type="spellStart"/>
            <w:r w:rsidRPr="00BC14F0">
              <w:rPr>
                <w:sz w:val="24"/>
                <w:szCs w:val="24"/>
                <w:shd w:val="clear" w:color="auto" w:fill="FFFFFF"/>
              </w:rPr>
              <w:t>mērķgrupas</w:t>
            </w:r>
            <w:proofErr w:type="spellEnd"/>
            <w:r w:rsidRPr="00BC14F0">
              <w:rPr>
                <w:sz w:val="24"/>
                <w:szCs w:val="24"/>
                <w:shd w:val="clear" w:color="auto" w:fill="FFFFFF"/>
              </w:rPr>
              <w:t>, kuras tiesiskais regulējums ietekmē vai varētu ietekmēt</w:t>
            </w:r>
          </w:p>
        </w:tc>
        <w:tc>
          <w:tcPr>
            <w:tcW w:w="3704" w:type="pct"/>
            <w:tcBorders>
              <w:top w:val="outset" w:sz="6" w:space="0" w:color="auto"/>
              <w:left w:val="outset" w:sz="6" w:space="0" w:color="auto"/>
              <w:bottom w:val="outset" w:sz="6" w:space="0" w:color="auto"/>
              <w:right w:val="outset" w:sz="6" w:space="0" w:color="auto"/>
            </w:tcBorders>
          </w:tcPr>
          <w:p w14:paraId="6DF3FE90" w14:textId="521A2F2E" w:rsidR="00A572BB" w:rsidRPr="00BC14F0" w:rsidRDefault="00560DB5" w:rsidP="00C0155E">
            <w:pPr>
              <w:spacing w:line="240" w:lineRule="auto"/>
              <w:ind w:firstLine="0"/>
              <w:rPr>
                <w:rFonts w:eastAsia="Times New Roman"/>
                <w:sz w:val="24"/>
                <w:szCs w:val="24"/>
                <w:lang w:eastAsia="lv-LV"/>
              </w:rPr>
            </w:pPr>
            <w:r w:rsidRPr="00BC14F0">
              <w:rPr>
                <w:rFonts w:eastAsia="Times New Roman"/>
                <w:sz w:val="24"/>
                <w:szCs w:val="24"/>
                <w:lang w:eastAsia="lv-LV"/>
              </w:rPr>
              <w:t xml:space="preserve">Likumprojekts attiecas uz </w:t>
            </w:r>
            <w:r w:rsidR="00A572BB" w:rsidRPr="00BC14F0">
              <w:rPr>
                <w:rFonts w:eastAsia="Times New Roman"/>
                <w:sz w:val="24"/>
                <w:szCs w:val="24"/>
                <w:lang w:eastAsia="lv-LV"/>
              </w:rPr>
              <w:t>pasažieriem, kas izmanto autobusu regulāros sabiedriskā tr</w:t>
            </w:r>
            <w:r w:rsidR="002851C8" w:rsidRPr="00BC14F0">
              <w:rPr>
                <w:rFonts w:eastAsia="Times New Roman"/>
                <w:sz w:val="24"/>
                <w:szCs w:val="24"/>
                <w:lang w:eastAsia="lv-LV"/>
              </w:rPr>
              <w:t>ansporta pakalpojumus, autoostu valdītājiem</w:t>
            </w:r>
            <w:r w:rsidR="00A572BB" w:rsidRPr="00BC14F0">
              <w:rPr>
                <w:rFonts w:eastAsia="Times New Roman"/>
                <w:sz w:val="24"/>
                <w:szCs w:val="24"/>
                <w:lang w:eastAsia="lv-LV"/>
              </w:rPr>
              <w:t>, pasažieru pārvadātājiem, kā arī sabiedriskā transporta pakalpojumu organizētājiem (pasūtītāji)</w:t>
            </w:r>
            <w:r w:rsidR="002851C8" w:rsidRPr="00BC14F0">
              <w:rPr>
                <w:rFonts w:eastAsia="Times New Roman"/>
                <w:sz w:val="24"/>
                <w:szCs w:val="24"/>
                <w:lang w:eastAsia="lv-LV"/>
              </w:rPr>
              <w:t xml:space="preserve">, </w:t>
            </w:r>
            <w:r w:rsidR="008D6F95" w:rsidRPr="00BC14F0">
              <w:rPr>
                <w:rFonts w:eastAsia="Times New Roman"/>
                <w:sz w:val="24"/>
                <w:szCs w:val="24"/>
                <w:lang w:eastAsia="lv-LV"/>
              </w:rPr>
              <w:t>komersantiem, kas veic pasažieru pārvadājumus ar taksometriem</w:t>
            </w:r>
            <w:r w:rsidR="00A572BB" w:rsidRPr="00BC14F0">
              <w:rPr>
                <w:rFonts w:eastAsia="Times New Roman"/>
                <w:sz w:val="24"/>
                <w:szCs w:val="24"/>
                <w:lang w:eastAsia="lv-LV"/>
              </w:rPr>
              <w:t xml:space="preserve"> </w:t>
            </w:r>
            <w:r w:rsidR="0097625F" w:rsidRPr="00BC14F0">
              <w:rPr>
                <w:rFonts w:eastAsia="Times New Roman"/>
                <w:sz w:val="24"/>
                <w:szCs w:val="24"/>
                <w:lang w:eastAsia="lv-LV"/>
              </w:rPr>
              <w:t>un taksometru pakalpojumu izmantotājiem</w:t>
            </w:r>
            <w:r w:rsidR="00A572BB" w:rsidRPr="00BC14F0">
              <w:rPr>
                <w:rFonts w:eastAsia="Times New Roman"/>
                <w:sz w:val="24"/>
                <w:szCs w:val="24"/>
                <w:lang w:eastAsia="lv-LV"/>
              </w:rPr>
              <w:t>.</w:t>
            </w:r>
          </w:p>
        </w:tc>
      </w:tr>
      <w:tr w:rsidR="00DE7249" w:rsidRPr="00BC14F0" w14:paraId="1FDA6EFF" w14:textId="77777777"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14:paraId="0E28F516" w14:textId="77777777" w:rsidR="00565A60" w:rsidRPr="00BC14F0" w:rsidRDefault="003F1D89" w:rsidP="00BC14F0">
            <w:pPr>
              <w:spacing w:line="240" w:lineRule="auto"/>
              <w:rPr>
                <w:rFonts w:eastAsia="Times New Roman"/>
                <w:sz w:val="24"/>
                <w:szCs w:val="24"/>
                <w:lang w:eastAsia="lv-LV"/>
              </w:rPr>
            </w:pPr>
            <w:r w:rsidRPr="00BC14F0">
              <w:rPr>
                <w:rFonts w:eastAsia="Times New Roman"/>
                <w:sz w:val="24"/>
                <w:szCs w:val="24"/>
                <w:lang w:eastAsia="lv-LV"/>
              </w:rPr>
              <w:t>22.</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14:paraId="544F155F"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 xml:space="preserve">Tiesiskā regulējuma ietekme uz tautsaimniecību un </w:t>
            </w:r>
            <w:r w:rsidRPr="00BC14F0">
              <w:rPr>
                <w:sz w:val="24"/>
                <w:szCs w:val="24"/>
                <w:shd w:val="clear" w:color="auto" w:fill="FFFFFF"/>
              </w:rPr>
              <w:lastRenderedPageBreak/>
              <w:t>administratīvo slogu</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14:paraId="78F3C92E" w14:textId="77777777" w:rsidR="00CE5C9C" w:rsidRPr="00BC14F0" w:rsidRDefault="00CE5C9C" w:rsidP="00BC14F0">
            <w:pPr>
              <w:spacing w:line="240" w:lineRule="auto"/>
              <w:ind w:firstLine="0"/>
              <w:rPr>
                <w:rFonts w:eastAsia="Times New Roman"/>
                <w:sz w:val="24"/>
                <w:szCs w:val="24"/>
                <w:lang w:eastAsia="lv-LV"/>
              </w:rPr>
            </w:pPr>
            <w:r w:rsidRPr="00BC14F0">
              <w:rPr>
                <w:rFonts w:eastAsia="Times New Roman"/>
                <w:sz w:val="24"/>
                <w:szCs w:val="24"/>
                <w:lang w:eastAsia="lv-LV"/>
              </w:rPr>
              <w:lastRenderedPageBreak/>
              <w:t>Autoostu valdītājiem likumprojekta tiesiskais regulējums administratīvo slogu nemaina.</w:t>
            </w:r>
          </w:p>
          <w:p w14:paraId="3B79EA97" w14:textId="3BCF5F61" w:rsidR="00CE5C9C" w:rsidRPr="00BC14F0" w:rsidRDefault="008D6F95"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Ievērojot to, ka licences pakalpojumu sniegšanai izsniegs plānošanas </w:t>
            </w:r>
            <w:r w:rsidRPr="00BC14F0">
              <w:rPr>
                <w:rFonts w:eastAsia="Times New Roman"/>
                <w:sz w:val="24"/>
                <w:szCs w:val="24"/>
                <w:lang w:eastAsia="lv-LV"/>
              </w:rPr>
              <w:lastRenderedPageBreak/>
              <w:t xml:space="preserve">reģioni, komersantiem, kas veic pasažieru pārvadājumus ar taksometriem, </w:t>
            </w:r>
            <w:r w:rsidR="00CE5C9C" w:rsidRPr="00BC14F0">
              <w:rPr>
                <w:rFonts w:eastAsia="Times New Roman"/>
                <w:sz w:val="24"/>
                <w:szCs w:val="24"/>
                <w:lang w:eastAsia="lv-LV"/>
              </w:rPr>
              <w:t>samazinās</w:t>
            </w:r>
            <w:r w:rsidRPr="00BC14F0">
              <w:rPr>
                <w:rFonts w:eastAsia="Times New Roman"/>
                <w:sz w:val="24"/>
                <w:szCs w:val="24"/>
                <w:lang w:eastAsia="lv-LV"/>
              </w:rPr>
              <w:t>ies</w:t>
            </w:r>
            <w:r w:rsidR="00CE5C9C" w:rsidRPr="00BC14F0">
              <w:rPr>
                <w:rFonts w:eastAsia="Times New Roman"/>
                <w:sz w:val="24"/>
                <w:szCs w:val="24"/>
                <w:lang w:eastAsia="lv-LV"/>
              </w:rPr>
              <w:t xml:space="preserve"> administratīvais slogs </w:t>
            </w:r>
            <w:r w:rsidR="000F18CF" w:rsidRPr="00BC14F0">
              <w:rPr>
                <w:rFonts w:eastAsia="Times New Roman"/>
                <w:sz w:val="24"/>
                <w:szCs w:val="24"/>
                <w:lang w:eastAsia="lv-LV"/>
              </w:rPr>
              <w:t xml:space="preserve">speciālo atļauju (licenču) </w:t>
            </w:r>
            <w:r w:rsidR="00C0155E">
              <w:rPr>
                <w:rFonts w:eastAsia="Times New Roman"/>
                <w:sz w:val="24"/>
                <w:szCs w:val="24"/>
                <w:lang w:eastAsia="lv-LV"/>
              </w:rPr>
              <w:t>saņemšanai</w:t>
            </w:r>
            <w:r w:rsidR="000F18CF" w:rsidRPr="00BC14F0">
              <w:rPr>
                <w:rFonts w:eastAsia="Times New Roman"/>
                <w:sz w:val="24"/>
                <w:szCs w:val="24"/>
                <w:lang w:eastAsia="lv-LV"/>
              </w:rPr>
              <w:t>.</w:t>
            </w:r>
          </w:p>
          <w:p w14:paraId="4F296684" w14:textId="77777777" w:rsidR="00C949CE" w:rsidRPr="00BC14F0" w:rsidRDefault="00C949CE"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VSIA “Autotransporta direkcija” </w:t>
            </w:r>
            <w:r w:rsidR="000F18CF" w:rsidRPr="00BC14F0">
              <w:rPr>
                <w:rFonts w:eastAsia="Times New Roman"/>
                <w:sz w:val="24"/>
                <w:szCs w:val="24"/>
                <w:lang w:eastAsia="lv-LV"/>
              </w:rPr>
              <w:t xml:space="preserve">tiek mainītas veicamās darbības, </w:t>
            </w:r>
            <w:r w:rsidR="000F18CF" w:rsidRPr="00BC14F0">
              <w:rPr>
                <w:sz w:val="24"/>
                <w:szCs w:val="24"/>
              </w:rPr>
              <w:t>nodrošinot</w:t>
            </w:r>
            <w:r w:rsidRPr="00BC14F0">
              <w:rPr>
                <w:sz w:val="24"/>
                <w:szCs w:val="24"/>
              </w:rPr>
              <w:t xml:space="preserve"> </w:t>
            </w:r>
            <w:r w:rsidR="000F18CF" w:rsidRPr="00BC14F0">
              <w:rPr>
                <w:rFonts w:eastAsia="Times New Roman"/>
                <w:sz w:val="24"/>
                <w:szCs w:val="24"/>
                <w:lang w:eastAsia="lv-LV"/>
              </w:rPr>
              <w:t xml:space="preserve">taksometru </w:t>
            </w:r>
            <w:r w:rsidR="000F18CF" w:rsidRPr="006F7749">
              <w:rPr>
                <w:rFonts w:eastAsia="Times New Roman"/>
                <w:sz w:val="24"/>
                <w:szCs w:val="24"/>
                <w:lang w:eastAsia="lv-LV"/>
              </w:rPr>
              <w:t xml:space="preserve">vadītāju </w:t>
            </w:r>
            <w:r w:rsidR="00227972" w:rsidRPr="006F7749">
              <w:rPr>
                <w:rFonts w:eastAsia="Times New Roman"/>
                <w:sz w:val="24"/>
                <w:szCs w:val="24"/>
                <w:lang w:eastAsia="lv-LV"/>
              </w:rPr>
              <w:t>reģistrāciju</w:t>
            </w:r>
            <w:r w:rsidR="00890C0E" w:rsidRPr="006F7749">
              <w:rPr>
                <w:rFonts w:eastAsia="Times New Roman"/>
                <w:sz w:val="24"/>
                <w:szCs w:val="24"/>
                <w:lang w:eastAsia="lv-LV"/>
              </w:rPr>
              <w:t xml:space="preserve">, licenču izsniegšanu pasažieru komercpārvadājumiem ar vieglo automobili </w:t>
            </w:r>
            <w:r w:rsidR="000F18CF" w:rsidRPr="006F7749">
              <w:rPr>
                <w:sz w:val="24"/>
                <w:szCs w:val="24"/>
              </w:rPr>
              <w:t xml:space="preserve"> un </w:t>
            </w:r>
            <w:r w:rsidRPr="006F7749">
              <w:rPr>
                <w:sz w:val="24"/>
                <w:szCs w:val="24"/>
              </w:rPr>
              <w:t>autoostu reģistrāciju, pārreģistrāciju un autoostu darbības uzraudzību un kontroli</w:t>
            </w:r>
            <w:r w:rsidRPr="006F7749">
              <w:rPr>
                <w:rFonts w:eastAsia="Times New Roman"/>
                <w:sz w:val="24"/>
                <w:szCs w:val="24"/>
                <w:lang w:eastAsia="lv-LV"/>
              </w:rPr>
              <w:t>.</w:t>
            </w:r>
          </w:p>
          <w:p w14:paraId="024EB09F" w14:textId="77777777" w:rsidR="00415BF6" w:rsidRPr="00BC14F0" w:rsidRDefault="000F18CF" w:rsidP="00BC14F0">
            <w:pPr>
              <w:spacing w:line="240" w:lineRule="auto"/>
              <w:ind w:firstLine="0"/>
              <w:rPr>
                <w:rFonts w:eastAsia="Times New Roman"/>
                <w:sz w:val="24"/>
                <w:szCs w:val="24"/>
                <w:lang w:eastAsia="lv-LV"/>
              </w:rPr>
            </w:pPr>
            <w:r w:rsidRPr="00BC14F0">
              <w:rPr>
                <w:rFonts w:eastAsia="Times New Roman"/>
                <w:sz w:val="24"/>
                <w:szCs w:val="24"/>
                <w:lang w:eastAsia="lv-LV"/>
              </w:rPr>
              <w:t>P</w:t>
            </w:r>
            <w:r w:rsidR="00C949CE" w:rsidRPr="00BC14F0">
              <w:rPr>
                <w:rFonts w:eastAsia="Times New Roman"/>
                <w:sz w:val="24"/>
                <w:szCs w:val="24"/>
                <w:lang w:eastAsia="lv-LV"/>
              </w:rPr>
              <w:t>lānošanas re</w:t>
            </w:r>
            <w:r w:rsidRPr="00BC14F0">
              <w:rPr>
                <w:rFonts w:eastAsia="Times New Roman"/>
                <w:sz w:val="24"/>
                <w:szCs w:val="24"/>
                <w:lang w:eastAsia="lv-LV"/>
              </w:rPr>
              <w:t xml:space="preserve">ģioniem tiek mainītas veicamās darbības nodrošinot </w:t>
            </w:r>
            <w:r w:rsidR="00C949CE" w:rsidRPr="00BC14F0">
              <w:rPr>
                <w:rFonts w:eastAsia="Times New Roman"/>
                <w:sz w:val="24"/>
                <w:szCs w:val="24"/>
                <w:lang w:eastAsia="lv-LV"/>
              </w:rPr>
              <w:t>taksometru speciālo atļauju (licenču) izsniegšanu.</w:t>
            </w:r>
          </w:p>
        </w:tc>
      </w:tr>
      <w:tr w:rsidR="00DE7249" w:rsidRPr="00BC14F0" w14:paraId="2B1DA458" w14:textId="77777777"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14:paraId="19E0FF10" w14:textId="77777777" w:rsidR="00565A60" w:rsidRPr="00BC14F0" w:rsidRDefault="00565A60" w:rsidP="00BC14F0">
            <w:pPr>
              <w:spacing w:line="240" w:lineRule="auto"/>
              <w:rPr>
                <w:rFonts w:eastAsia="Times New Roman"/>
                <w:sz w:val="24"/>
                <w:szCs w:val="24"/>
                <w:lang w:eastAsia="lv-LV"/>
              </w:rPr>
            </w:pPr>
            <w:r w:rsidRPr="00BC14F0">
              <w:rPr>
                <w:rFonts w:eastAsia="Times New Roman"/>
                <w:sz w:val="24"/>
                <w:szCs w:val="24"/>
                <w:lang w:eastAsia="lv-LV"/>
              </w:rPr>
              <w:lastRenderedPageBreak/>
              <w:t>3</w:t>
            </w:r>
            <w:r w:rsidR="003F1D89" w:rsidRPr="00BC14F0">
              <w:rPr>
                <w:rFonts w:eastAsia="Times New Roman"/>
                <w:sz w:val="24"/>
                <w:szCs w:val="24"/>
                <w:lang w:eastAsia="lv-LV"/>
              </w:rPr>
              <w:t>3</w:t>
            </w:r>
            <w:r w:rsidRPr="00BC14F0">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14:paraId="67A5CBCC" w14:textId="77777777" w:rsidR="00565A60" w:rsidRPr="00BC14F0" w:rsidRDefault="00565A60" w:rsidP="00BC14F0">
            <w:pPr>
              <w:spacing w:line="240" w:lineRule="auto"/>
              <w:ind w:firstLine="18"/>
              <w:rPr>
                <w:rFonts w:eastAsia="Times New Roman"/>
                <w:sz w:val="24"/>
                <w:szCs w:val="24"/>
                <w:lang w:eastAsia="lv-LV"/>
              </w:rPr>
            </w:pPr>
            <w:r w:rsidRPr="00BC14F0">
              <w:rPr>
                <w:sz w:val="24"/>
                <w:szCs w:val="24"/>
                <w:shd w:val="clear" w:color="auto" w:fill="FFFFFF"/>
              </w:rPr>
              <w:t>Administratīvo izmaksu monetārs novērtējums</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14:paraId="5E8839C8" w14:textId="77777777" w:rsidR="00565A60" w:rsidRPr="00BC14F0" w:rsidRDefault="00230327" w:rsidP="00BC14F0">
            <w:pPr>
              <w:spacing w:line="240" w:lineRule="auto"/>
              <w:ind w:firstLine="0"/>
              <w:rPr>
                <w:rFonts w:eastAsia="Times New Roman"/>
                <w:sz w:val="24"/>
                <w:szCs w:val="24"/>
                <w:lang w:eastAsia="lv-LV"/>
              </w:rPr>
            </w:pPr>
            <w:r w:rsidRPr="00BC14F0">
              <w:rPr>
                <w:rFonts w:eastAsia="Times New Roman"/>
                <w:sz w:val="24"/>
                <w:szCs w:val="24"/>
                <w:lang w:eastAsia="lv-LV"/>
              </w:rPr>
              <w:t>Administrat</w:t>
            </w:r>
            <w:r w:rsidR="008D7EB4" w:rsidRPr="00BC14F0">
              <w:rPr>
                <w:rFonts w:eastAsia="Times New Roman"/>
                <w:sz w:val="24"/>
                <w:szCs w:val="24"/>
                <w:lang w:eastAsia="lv-LV"/>
              </w:rPr>
              <w:t xml:space="preserve">īvo izmaksu aprēķins tiks veikts brīdī, kad tiks izstrādāti noteikumi par vieglo taksometru vadītāju sertificēšanu un </w:t>
            </w:r>
            <w:r w:rsidR="008D7EB4" w:rsidRPr="00BC14F0">
              <w:rPr>
                <w:sz w:val="24"/>
                <w:szCs w:val="24"/>
              </w:rPr>
              <w:t>noteikumi par autoostu reģistrācijas kārtību, autoostās obligāti sniedzamajiem pakalpojumiem un kārtību, kādā autobusi iebrauc un stāv autoostas teritorijā.</w:t>
            </w:r>
          </w:p>
        </w:tc>
      </w:tr>
      <w:tr w:rsidR="00565A60" w:rsidRPr="00BC14F0" w14:paraId="4437EB72" w14:textId="77777777" w:rsidTr="00E76C69">
        <w:tc>
          <w:tcPr>
            <w:tcW w:w="151" w:type="pct"/>
            <w:tcBorders>
              <w:top w:val="outset" w:sz="6" w:space="0" w:color="auto"/>
              <w:left w:val="outset" w:sz="6" w:space="0" w:color="auto"/>
              <w:bottom w:val="outset" w:sz="6" w:space="0" w:color="auto"/>
              <w:right w:val="outset" w:sz="6" w:space="0" w:color="auto"/>
            </w:tcBorders>
          </w:tcPr>
          <w:p w14:paraId="2B369305" w14:textId="77777777" w:rsidR="00565A60" w:rsidRPr="00BC14F0" w:rsidRDefault="00565A60" w:rsidP="00BC14F0">
            <w:pPr>
              <w:spacing w:line="240" w:lineRule="auto"/>
              <w:rPr>
                <w:rFonts w:eastAsia="Times New Roman"/>
                <w:sz w:val="24"/>
                <w:szCs w:val="24"/>
                <w:lang w:eastAsia="lv-LV"/>
              </w:rPr>
            </w:pPr>
            <w:r w:rsidRPr="00BC14F0">
              <w:rPr>
                <w:rFonts w:eastAsia="Times New Roman"/>
                <w:sz w:val="24"/>
                <w:szCs w:val="24"/>
                <w:lang w:eastAsia="lv-LV"/>
              </w:rPr>
              <w:t>4</w:t>
            </w:r>
            <w:r w:rsidR="003F1D89" w:rsidRPr="00BC14F0">
              <w:rPr>
                <w:rFonts w:eastAsia="Times New Roman"/>
                <w:sz w:val="24"/>
                <w:szCs w:val="24"/>
                <w:lang w:eastAsia="lv-LV"/>
              </w:rPr>
              <w:t>4</w:t>
            </w:r>
            <w:r w:rsidRPr="00BC14F0">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tcPr>
          <w:p w14:paraId="67B2F27E"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tcPr>
          <w:p w14:paraId="570DB725"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Nav</w:t>
            </w:r>
            <w:r w:rsidR="003F1D89" w:rsidRPr="00BC14F0">
              <w:rPr>
                <w:rFonts w:eastAsia="Times New Roman"/>
                <w:sz w:val="24"/>
                <w:szCs w:val="24"/>
                <w:lang w:eastAsia="lv-LV"/>
              </w:rPr>
              <w:t>.</w:t>
            </w:r>
          </w:p>
        </w:tc>
      </w:tr>
    </w:tbl>
    <w:p w14:paraId="3050488F" w14:textId="77777777" w:rsidR="009521B0" w:rsidRPr="00BC14F0" w:rsidRDefault="009521B0" w:rsidP="00BC14F0">
      <w:pPr>
        <w:spacing w:line="240" w:lineRule="auto"/>
        <w:rPr>
          <w:sz w:val="24"/>
          <w:szCs w:val="24"/>
        </w:rPr>
      </w:pPr>
    </w:p>
    <w:tbl>
      <w:tblPr>
        <w:tblStyle w:val="TableGrid"/>
        <w:tblW w:w="4917" w:type="pct"/>
        <w:tblInd w:w="108" w:type="dxa"/>
        <w:tblLayout w:type="fixed"/>
        <w:tblLook w:val="04A0" w:firstRow="1" w:lastRow="0" w:firstColumn="1" w:lastColumn="0" w:noHBand="0" w:noVBand="1"/>
      </w:tblPr>
      <w:tblGrid>
        <w:gridCol w:w="2834"/>
        <w:gridCol w:w="1270"/>
        <w:gridCol w:w="999"/>
        <w:gridCol w:w="1555"/>
        <w:gridCol w:w="1284"/>
        <w:gridCol w:w="1413"/>
      </w:tblGrid>
      <w:tr w:rsidR="00DE7249" w:rsidRPr="00BC14F0" w14:paraId="793F8B37" w14:textId="77777777" w:rsidTr="00D17A43">
        <w:trPr>
          <w:trHeight w:val="360"/>
        </w:trPr>
        <w:tc>
          <w:tcPr>
            <w:tcW w:w="5000" w:type="pct"/>
            <w:gridSpan w:val="6"/>
            <w:hideMark/>
          </w:tcPr>
          <w:p w14:paraId="12FC6F1E" w14:textId="77777777" w:rsidR="002F0B7B" w:rsidRPr="00BC14F0" w:rsidRDefault="002F0B7B" w:rsidP="00BC14F0">
            <w:pPr>
              <w:spacing w:line="240" w:lineRule="auto"/>
              <w:rPr>
                <w:b/>
                <w:bCs/>
                <w:sz w:val="24"/>
                <w:szCs w:val="24"/>
              </w:rPr>
            </w:pPr>
            <w:r w:rsidRPr="00BC14F0">
              <w:rPr>
                <w:b/>
                <w:bCs/>
                <w:sz w:val="24"/>
                <w:szCs w:val="24"/>
              </w:rPr>
              <w:t>III. Tiesību akta projekta ietekme uz valsts budžetu un pašvaldību budžetiem</w:t>
            </w:r>
          </w:p>
        </w:tc>
      </w:tr>
      <w:tr w:rsidR="00DE7249" w:rsidRPr="00BC14F0" w14:paraId="0CDB70DC" w14:textId="77777777" w:rsidTr="00BC14F0">
        <w:tc>
          <w:tcPr>
            <w:tcW w:w="1515" w:type="pct"/>
            <w:vMerge w:val="restart"/>
            <w:hideMark/>
          </w:tcPr>
          <w:p w14:paraId="15CCBB76" w14:textId="77777777" w:rsidR="002F0B7B" w:rsidRPr="00BC14F0" w:rsidRDefault="002F0B7B" w:rsidP="00BC14F0">
            <w:pPr>
              <w:spacing w:line="240" w:lineRule="auto"/>
              <w:rPr>
                <w:b/>
                <w:bCs/>
                <w:sz w:val="24"/>
                <w:szCs w:val="24"/>
              </w:rPr>
            </w:pPr>
            <w:r w:rsidRPr="00BC14F0">
              <w:rPr>
                <w:b/>
                <w:bCs/>
                <w:sz w:val="24"/>
                <w:szCs w:val="24"/>
              </w:rPr>
              <w:t>Rādītāji</w:t>
            </w:r>
          </w:p>
        </w:tc>
        <w:tc>
          <w:tcPr>
            <w:tcW w:w="1213" w:type="pct"/>
            <w:gridSpan w:val="2"/>
            <w:vMerge w:val="restart"/>
            <w:hideMark/>
          </w:tcPr>
          <w:p w14:paraId="6A4068B8" w14:textId="77777777" w:rsidR="002F0B7B" w:rsidRPr="00BC14F0" w:rsidRDefault="00F742B4" w:rsidP="00BC14F0">
            <w:pPr>
              <w:spacing w:line="240" w:lineRule="auto"/>
              <w:rPr>
                <w:b/>
                <w:bCs/>
                <w:sz w:val="24"/>
                <w:szCs w:val="24"/>
              </w:rPr>
            </w:pPr>
            <w:r w:rsidRPr="00BC14F0">
              <w:rPr>
                <w:b/>
                <w:bCs/>
                <w:sz w:val="24"/>
                <w:szCs w:val="24"/>
              </w:rPr>
              <w:t>2016.</w:t>
            </w:r>
            <w:r w:rsidR="002F0B7B" w:rsidRPr="00BC14F0">
              <w:rPr>
                <w:b/>
                <w:bCs/>
                <w:sz w:val="24"/>
                <w:szCs w:val="24"/>
              </w:rPr>
              <w:t xml:space="preserve"> gads</w:t>
            </w:r>
          </w:p>
        </w:tc>
        <w:tc>
          <w:tcPr>
            <w:tcW w:w="2273" w:type="pct"/>
            <w:gridSpan w:val="3"/>
            <w:hideMark/>
          </w:tcPr>
          <w:p w14:paraId="43FE464A" w14:textId="77777777" w:rsidR="002F0B7B" w:rsidRPr="00BC14F0" w:rsidRDefault="002F0B7B" w:rsidP="00BC14F0">
            <w:pPr>
              <w:spacing w:line="240" w:lineRule="auto"/>
              <w:rPr>
                <w:sz w:val="24"/>
                <w:szCs w:val="24"/>
              </w:rPr>
            </w:pPr>
            <w:r w:rsidRPr="00BC14F0">
              <w:rPr>
                <w:sz w:val="24"/>
                <w:szCs w:val="24"/>
              </w:rPr>
              <w:t>Turpmākie trīs gadi (</w:t>
            </w:r>
            <w:proofErr w:type="spellStart"/>
            <w:r w:rsidRPr="00BC14F0">
              <w:rPr>
                <w:i/>
                <w:iCs/>
                <w:sz w:val="24"/>
                <w:szCs w:val="24"/>
              </w:rPr>
              <w:t>euro</w:t>
            </w:r>
            <w:proofErr w:type="spellEnd"/>
            <w:r w:rsidRPr="00BC14F0">
              <w:rPr>
                <w:sz w:val="24"/>
                <w:szCs w:val="24"/>
              </w:rPr>
              <w:t>)</w:t>
            </w:r>
          </w:p>
        </w:tc>
      </w:tr>
      <w:tr w:rsidR="00DE7249" w:rsidRPr="00BC14F0" w14:paraId="0C7B80FA" w14:textId="77777777" w:rsidTr="00BC14F0">
        <w:tc>
          <w:tcPr>
            <w:tcW w:w="1515" w:type="pct"/>
            <w:vMerge/>
            <w:hideMark/>
          </w:tcPr>
          <w:p w14:paraId="59855195" w14:textId="77777777" w:rsidR="002F0B7B" w:rsidRPr="00BC14F0" w:rsidRDefault="002F0B7B" w:rsidP="00BC14F0">
            <w:pPr>
              <w:spacing w:line="240" w:lineRule="auto"/>
              <w:rPr>
                <w:b/>
                <w:bCs/>
                <w:sz w:val="24"/>
                <w:szCs w:val="24"/>
              </w:rPr>
            </w:pPr>
          </w:p>
        </w:tc>
        <w:tc>
          <w:tcPr>
            <w:tcW w:w="1213" w:type="pct"/>
            <w:gridSpan w:val="2"/>
            <w:vMerge/>
            <w:hideMark/>
          </w:tcPr>
          <w:p w14:paraId="6A979AAA" w14:textId="77777777" w:rsidR="002F0B7B" w:rsidRPr="00BC14F0" w:rsidRDefault="002F0B7B" w:rsidP="00BC14F0">
            <w:pPr>
              <w:spacing w:line="240" w:lineRule="auto"/>
              <w:rPr>
                <w:b/>
                <w:bCs/>
                <w:sz w:val="24"/>
                <w:szCs w:val="24"/>
              </w:rPr>
            </w:pPr>
          </w:p>
        </w:tc>
        <w:tc>
          <w:tcPr>
            <w:tcW w:w="831" w:type="pct"/>
            <w:hideMark/>
          </w:tcPr>
          <w:p w14:paraId="55156E48" w14:textId="77777777" w:rsidR="002F0B7B" w:rsidRPr="00BC14F0" w:rsidRDefault="00F742B4" w:rsidP="00BC14F0">
            <w:pPr>
              <w:spacing w:line="240" w:lineRule="auto"/>
              <w:ind w:firstLine="0"/>
              <w:rPr>
                <w:b/>
                <w:bCs/>
                <w:sz w:val="24"/>
                <w:szCs w:val="24"/>
              </w:rPr>
            </w:pPr>
            <w:r w:rsidRPr="00BC14F0">
              <w:rPr>
                <w:b/>
                <w:bCs/>
                <w:sz w:val="24"/>
                <w:szCs w:val="24"/>
              </w:rPr>
              <w:t>2017.gads</w:t>
            </w:r>
            <w:r w:rsidR="00D10EBE" w:rsidRPr="00BC14F0">
              <w:rPr>
                <w:b/>
                <w:bCs/>
                <w:sz w:val="24"/>
                <w:szCs w:val="24"/>
              </w:rPr>
              <w:t xml:space="preserve"> </w:t>
            </w:r>
          </w:p>
          <w:p w14:paraId="3234AA08" w14:textId="77777777" w:rsidR="00D10EBE" w:rsidRPr="00696F24" w:rsidRDefault="00D10EBE" w:rsidP="00BC14F0">
            <w:pPr>
              <w:spacing w:line="240" w:lineRule="auto"/>
              <w:ind w:firstLine="0"/>
              <w:rPr>
                <w:b/>
                <w:bCs/>
                <w:strike/>
                <w:sz w:val="24"/>
                <w:szCs w:val="24"/>
              </w:rPr>
            </w:pPr>
          </w:p>
        </w:tc>
        <w:tc>
          <w:tcPr>
            <w:tcW w:w="686" w:type="pct"/>
            <w:hideMark/>
          </w:tcPr>
          <w:p w14:paraId="296BC1A2" w14:textId="77777777" w:rsidR="002F0B7B" w:rsidRPr="00BC14F0" w:rsidRDefault="00F742B4" w:rsidP="00BC14F0">
            <w:pPr>
              <w:spacing w:line="240" w:lineRule="auto"/>
              <w:ind w:firstLine="0"/>
              <w:rPr>
                <w:b/>
                <w:bCs/>
                <w:sz w:val="24"/>
                <w:szCs w:val="24"/>
              </w:rPr>
            </w:pPr>
            <w:r w:rsidRPr="00BC14F0">
              <w:rPr>
                <w:b/>
                <w:bCs/>
                <w:sz w:val="24"/>
                <w:szCs w:val="24"/>
              </w:rPr>
              <w:t>2018.gads</w:t>
            </w:r>
          </w:p>
        </w:tc>
        <w:tc>
          <w:tcPr>
            <w:tcW w:w="755" w:type="pct"/>
            <w:hideMark/>
          </w:tcPr>
          <w:p w14:paraId="25F03DB1" w14:textId="77777777" w:rsidR="002F0B7B" w:rsidRPr="00BC14F0" w:rsidRDefault="00F742B4" w:rsidP="00BC14F0">
            <w:pPr>
              <w:spacing w:line="240" w:lineRule="auto"/>
              <w:ind w:firstLine="0"/>
              <w:rPr>
                <w:b/>
                <w:bCs/>
                <w:sz w:val="24"/>
                <w:szCs w:val="24"/>
              </w:rPr>
            </w:pPr>
            <w:r w:rsidRPr="00BC14F0">
              <w:rPr>
                <w:b/>
                <w:bCs/>
                <w:sz w:val="24"/>
                <w:szCs w:val="24"/>
              </w:rPr>
              <w:t>2019.gads</w:t>
            </w:r>
          </w:p>
        </w:tc>
      </w:tr>
      <w:tr w:rsidR="00DE7249" w:rsidRPr="00BC14F0" w14:paraId="5FB7E8BD" w14:textId="77777777" w:rsidTr="00BC14F0">
        <w:tc>
          <w:tcPr>
            <w:tcW w:w="1515" w:type="pct"/>
            <w:vMerge/>
            <w:hideMark/>
          </w:tcPr>
          <w:p w14:paraId="790FA9D8" w14:textId="77777777" w:rsidR="002F0B7B" w:rsidRPr="00BC14F0" w:rsidRDefault="002F0B7B" w:rsidP="00BC14F0">
            <w:pPr>
              <w:spacing w:line="240" w:lineRule="auto"/>
              <w:rPr>
                <w:b/>
                <w:bCs/>
                <w:sz w:val="24"/>
                <w:szCs w:val="24"/>
              </w:rPr>
            </w:pPr>
          </w:p>
        </w:tc>
        <w:tc>
          <w:tcPr>
            <w:tcW w:w="679" w:type="pct"/>
            <w:hideMark/>
          </w:tcPr>
          <w:p w14:paraId="68F3B80E" w14:textId="77777777" w:rsidR="002F0B7B" w:rsidRPr="00BC14F0" w:rsidRDefault="002F0B7B" w:rsidP="00BC14F0">
            <w:pPr>
              <w:spacing w:line="240" w:lineRule="auto"/>
              <w:ind w:firstLine="0"/>
              <w:rPr>
                <w:sz w:val="24"/>
                <w:szCs w:val="24"/>
              </w:rPr>
            </w:pPr>
            <w:r w:rsidRPr="00BC14F0">
              <w:rPr>
                <w:sz w:val="24"/>
                <w:szCs w:val="24"/>
              </w:rPr>
              <w:t>saskaņā ar valsts budžetu kārtējam gadam</w:t>
            </w:r>
          </w:p>
        </w:tc>
        <w:tc>
          <w:tcPr>
            <w:tcW w:w="534" w:type="pct"/>
            <w:hideMark/>
          </w:tcPr>
          <w:p w14:paraId="68E8E333" w14:textId="77777777" w:rsidR="002F0B7B" w:rsidRPr="00BC14F0" w:rsidRDefault="002F0B7B" w:rsidP="00BC14F0">
            <w:pPr>
              <w:spacing w:line="240" w:lineRule="auto"/>
              <w:ind w:firstLine="0"/>
              <w:rPr>
                <w:sz w:val="24"/>
                <w:szCs w:val="24"/>
              </w:rPr>
            </w:pPr>
            <w:r w:rsidRPr="00BC14F0">
              <w:rPr>
                <w:sz w:val="24"/>
                <w:szCs w:val="24"/>
              </w:rPr>
              <w:t>izmaiņas kārtējā gadā, salīdzinot ar valsts budžetu kārtējam gadam</w:t>
            </w:r>
          </w:p>
        </w:tc>
        <w:tc>
          <w:tcPr>
            <w:tcW w:w="831" w:type="pct"/>
            <w:hideMark/>
          </w:tcPr>
          <w:p w14:paraId="49610DDE" w14:textId="77777777" w:rsidR="002F0B7B" w:rsidRPr="00BC14F0" w:rsidRDefault="002F0B7B" w:rsidP="00BC14F0">
            <w:pPr>
              <w:spacing w:line="240" w:lineRule="auto"/>
              <w:ind w:firstLine="0"/>
              <w:rPr>
                <w:sz w:val="24"/>
                <w:szCs w:val="24"/>
              </w:rPr>
            </w:pPr>
            <w:r w:rsidRPr="00BC14F0">
              <w:rPr>
                <w:sz w:val="24"/>
                <w:szCs w:val="24"/>
              </w:rPr>
              <w:t>izmaiņas, salīdzinot ar kārtējo (n) gadu</w:t>
            </w:r>
          </w:p>
        </w:tc>
        <w:tc>
          <w:tcPr>
            <w:tcW w:w="686" w:type="pct"/>
            <w:hideMark/>
          </w:tcPr>
          <w:p w14:paraId="2B5DDE88" w14:textId="77777777" w:rsidR="002F0B7B" w:rsidRPr="00BC14F0" w:rsidRDefault="002F0B7B" w:rsidP="00BC14F0">
            <w:pPr>
              <w:spacing w:line="240" w:lineRule="auto"/>
              <w:ind w:firstLine="0"/>
              <w:rPr>
                <w:sz w:val="24"/>
                <w:szCs w:val="24"/>
              </w:rPr>
            </w:pPr>
            <w:r w:rsidRPr="00BC14F0">
              <w:rPr>
                <w:sz w:val="24"/>
                <w:szCs w:val="24"/>
              </w:rPr>
              <w:t>izmaiņas, salīdzinot ar kārtējo (n) gadu</w:t>
            </w:r>
          </w:p>
        </w:tc>
        <w:tc>
          <w:tcPr>
            <w:tcW w:w="755" w:type="pct"/>
            <w:hideMark/>
          </w:tcPr>
          <w:p w14:paraId="4B2EDBED" w14:textId="77777777" w:rsidR="002F0B7B" w:rsidRPr="00BC14F0" w:rsidRDefault="002F0B7B" w:rsidP="00BC14F0">
            <w:pPr>
              <w:spacing w:line="240" w:lineRule="auto"/>
              <w:ind w:firstLine="0"/>
              <w:rPr>
                <w:sz w:val="24"/>
                <w:szCs w:val="24"/>
              </w:rPr>
            </w:pPr>
            <w:r w:rsidRPr="00BC14F0">
              <w:rPr>
                <w:sz w:val="24"/>
                <w:szCs w:val="24"/>
              </w:rPr>
              <w:t>izmaiņas, salīdzinot ar kārtējo (n) gadu</w:t>
            </w:r>
          </w:p>
        </w:tc>
      </w:tr>
      <w:tr w:rsidR="00DE7249" w:rsidRPr="00BC14F0" w14:paraId="72B6D966" w14:textId="77777777" w:rsidTr="00BC14F0">
        <w:tc>
          <w:tcPr>
            <w:tcW w:w="1515" w:type="pct"/>
            <w:hideMark/>
          </w:tcPr>
          <w:p w14:paraId="2D688C1A" w14:textId="77777777" w:rsidR="002F0B7B" w:rsidRPr="00BC14F0" w:rsidRDefault="002F0B7B" w:rsidP="00BC14F0">
            <w:pPr>
              <w:spacing w:line="240" w:lineRule="auto"/>
              <w:rPr>
                <w:sz w:val="24"/>
                <w:szCs w:val="24"/>
              </w:rPr>
            </w:pPr>
            <w:r w:rsidRPr="00BC14F0">
              <w:rPr>
                <w:sz w:val="24"/>
                <w:szCs w:val="24"/>
              </w:rPr>
              <w:t>1</w:t>
            </w:r>
          </w:p>
        </w:tc>
        <w:tc>
          <w:tcPr>
            <w:tcW w:w="679" w:type="pct"/>
            <w:hideMark/>
          </w:tcPr>
          <w:p w14:paraId="1ED39B70" w14:textId="77777777" w:rsidR="002F0B7B" w:rsidRPr="00BC14F0" w:rsidRDefault="002F0B7B" w:rsidP="00BC14F0">
            <w:pPr>
              <w:spacing w:line="240" w:lineRule="auto"/>
              <w:ind w:firstLine="0"/>
              <w:rPr>
                <w:sz w:val="24"/>
                <w:szCs w:val="24"/>
              </w:rPr>
            </w:pPr>
            <w:r w:rsidRPr="00BC14F0">
              <w:rPr>
                <w:sz w:val="24"/>
                <w:szCs w:val="24"/>
              </w:rPr>
              <w:t>2</w:t>
            </w:r>
          </w:p>
        </w:tc>
        <w:tc>
          <w:tcPr>
            <w:tcW w:w="534" w:type="pct"/>
            <w:hideMark/>
          </w:tcPr>
          <w:p w14:paraId="36FED0EF" w14:textId="77777777" w:rsidR="002F0B7B" w:rsidRPr="00BC14F0" w:rsidRDefault="002F0B7B" w:rsidP="00BC14F0">
            <w:pPr>
              <w:spacing w:line="240" w:lineRule="auto"/>
              <w:ind w:firstLine="0"/>
              <w:rPr>
                <w:sz w:val="24"/>
                <w:szCs w:val="24"/>
              </w:rPr>
            </w:pPr>
            <w:r w:rsidRPr="00BC14F0">
              <w:rPr>
                <w:sz w:val="24"/>
                <w:szCs w:val="24"/>
              </w:rPr>
              <w:t>3</w:t>
            </w:r>
          </w:p>
        </w:tc>
        <w:tc>
          <w:tcPr>
            <w:tcW w:w="831" w:type="pct"/>
            <w:hideMark/>
          </w:tcPr>
          <w:p w14:paraId="68A231F8" w14:textId="77777777" w:rsidR="002F0B7B" w:rsidRPr="00BC14F0" w:rsidRDefault="002F0B7B" w:rsidP="00BC14F0">
            <w:pPr>
              <w:spacing w:line="240" w:lineRule="auto"/>
              <w:ind w:firstLine="0"/>
              <w:rPr>
                <w:sz w:val="24"/>
                <w:szCs w:val="24"/>
              </w:rPr>
            </w:pPr>
            <w:r w:rsidRPr="00BC14F0">
              <w:rPr>
                <w:sz w:val="24"/>
                <w:szCs w:val="24"/>
              </w:rPr>
              <w:t>4</w:t>
            </w:r>
          </w:p>
        </w:tc>
        <w:tc>
          <w:tcPr>
            <w:tcW w:w="686" w:type="pct"/>
            <w:hideMark/>
          </w:tcPr>
          <w:p w14:paraId="3163EC6F" w14:textId="77777777" w:rsidR="002F0B7B" w:rsidRPr="00BC14F0" w:rsidRDefault="002F0B7B" w:rsidP="00BC14F0">
            <w:pPr>
              <w:spacing w:line="240" w:lineRule="auto"/>
              <w:ind w:firstLine="0"/>
              <w:rPr>
                <w:sz w:val="24"/>
                <w:szCs w:val="24"/>
              </w:rPr>
            </w:pPr>
            <w:r w:rsidRPr="00BC14F0">
              <w:rPr>
                <w:sz w:val="24"/>
                <w:szCs w:val="24"/>
              </w:rPr>
              <w:t>5</w:t>
            </w:r>
          </w:p>
        </w:tc>
        <w:tc>
          <w:tcPr>
            <w:tcW w:w="755" w:type="pct"/>
            <w:hideMark/>
          </w:tcPr>
          <w:p w14:paraId="61722308" w14:textId="77777777" w:rsidR="002F0B7B" w:rsidRPr="00BC14F0" w:rsidRDefault="002F0B7B" w:rsidP="00BC14F0">
            <w:pPr>
              <w:spacing w:line="240" w:lineRule="auto"/>
              <w:ind w:firstLine="0"/>
              <w:rPr>
                <w:sz w:val="24"/>
                <w:szCs w:val="24"/>
              </w:rPr>
            </w:pPr>
            <w:r w:rsidRPr="00BC14F0">
              <w:rPr>
                <w:sz w:val="24"/>
                <w:szCs w:val="24"/>
              </w:rPr>
              <w:t>6</w:t>
            </w:r>
          </w:p>
        </w:tc>
      </w:tr>
      <w:tr w:rsidR="00DE7249" w:rsidRPr="00BC14F0" w14:paraId="2B925E00" w14:textId="77777777" w:rsidTr="00BC14F0">
        <w:tc>
          <w:tcPr>
            <w:tcW w:w="1515" w:type="pct"/>
            <w:hideMark/>
          </w:tcPr>
          <w:p w14:paraId="6BBF02AE" w14:textId="77777777" w:rsidR="002F0B7B" w:rsidRPr="00BC14F0" w:rsidRDefault="002F0B7B" w:rsidP="00BC14F0">
            <w:pPr>
              <w:spacing w:line="240" w:lineRule="auto"/>
              <w:rPr>
                <w:sz w:val="24"/>
                <w:szCs w:val="24"/>
              </w:rPr>
            </w:pPr>
            <w:r w:rsidRPr="00BC14F0">
              <w:rPr>
                <w:sz w:val="24"/>
                <w:szCs w:val="24"/>
              </w:rPr>
              <w:t>1. Budžeta ieņēmumi:</w:t>
            </w:r>
          </w:p>
        </w:tc>
        <w:tc>
          <w:tcPr>
            <w:tcW w:w="679" w:type="pct"/>
            <w:hideMark/>
          </w:tcPr>
          <w:p w14:paraId="19D6CB51" w14:textId="77777777" w:rsidR="002F0B7B" w:rsidRPr="00BC14F0" w:rsidRDefault="002F0B7B" w:rsidP="00BC14F0">
            <w:pPr>
              <w:spacing w:line="240" w:lineRule="auto"/>
              <w:ind w:firstLine="34"/>
              <w:rPr>
                <w:sz w:val="24"/>
                <w:szCs w:val="24"/>
              </w:rPr>
            </w:pPr>
            <w:r w:rsidRPr="00BC14F0">
              <w:rPr>
                <w:sz w:val="24"/>
                <w:szCs w:val="24"/>
              </w:rPr>
              <w:t> </w:t>
            </w:r>
          </w:p>
        </w:tc>
        <w:tc>
          <w:tcPr>
            <w:tcW w:w="534" w:type="pct"/>
            <w:hideMark/>
          </w:tcPr>
          <w:p w14:paraId="6042B0E0" w14:textId="77777777" w:rsidR="002F0B7B" w:rsidRPr="00BC14F0" w:rsidRDefault="002F0B7B" w:rsidP="00BC14F0">
            <w:pPr>
              <w:spacing w:line="240" w:lineRule="auto"/>
              <w:ind w:firstLine="34"/>
              <w:rPr>
                <w:sz w:val="24"/>
                <w:szCs w:val="24"/>
              </w:rPr>
            </w:pPr>
            <w:r w:rsidRPr="00BC14F0">
              <w:rPr>
                <w:sz w:val="24"/>
                <w:szCs w:val="24"/>
              </w:rPr>
              <w:t> </w:t>
            </w:r>
          </w:p>
        </w:tc>
        <w:tc>
          <w:tcPr>
            <w:tcW w:w="831" w:type="pct"/>
            <w:hideMark/>
          </w:tcPr>
          <w:p w14:paraId="79886208" w14:textId="77777777" w:rsidR="002F0B7B" w:rsidRPr="00BC14F0" w:rsidRDefault="002F0B7B" w:rsidP="00BC14F0">
            <w:pPr>
              <w:spacing w:line="240" w:lineRule="auto"/>
              <w:ind w:firstLine="34"/>
              <w:rPr>
                <w:sz w:val="24"/>
                <w:szCs w:val="24"/>
              </w:rPr>
            </w:pPr>
            <w:r w:rsidRPr="00BC14F0">
              <w:rPr>
                <w:sz w:val="24"/>
                <w:szCs w:val="24"/>
              </w:rPr>
              <w:t> </w:t>
            </w:r>
          </w:p>
        </w:tc>
        <w:tc>
          <w:tcPr>
            <w:tcW w:w="686" w:type="pct"/>
            <w:hideMark/>
          </w:tcPr>
          <w:p w14:paraId="0025B2E3" w14:textId="77777777" w:rsidR="002F0B7B" w:rsidRPr="00BC14F0" w:rsidRDefault="002F0B7B" w:rsidP="00BC14F0">
            <w:pPr>
              <w:spacing w:line="240" w:lineRule="auto"/>
              <w:ind w:firstLine="34"/>
              <w:rPr>
                <w:sz w:val="24"/>
                <w:szCs w:val="24"/>
              </w:rPr>
            </w:pPr>
            <w:r w:rsidRPr="00BC14F0">
              <w:rPr>
                <w:sz w:val="24"/>
                <w:szCs w:val="24"/>
              </w:rPr>
              <w:t> </w:t>
            </w:r>
          </w:p>
        </w:tc>
        <w:tc>
          <w:tcPr>
            <w:tcW w:w="755" w:type="pct"/>
            <w:hideMark/>
          </w:tcPr>
          <w:p w14:paraId="414C6A2F" w14:textId="77777777" w:rsidR="002F0B7B" w:rsidRPr="00BC14F0" w:rsidRDefault="002F0B7B" w:rsidP="00BC14F0">
            <w:pPr>
              <w:spacing w:line="240" w:lineRule="auto"/>
              <w:ind w:firstLine="34"/>
              <w:rPr>
                <w:sz w:val="24"/>
                <w:szCs w:val="24"/>
              </w:rPr>
            </w:pPr>
            <w:r w:rsidRPr="00BC14F0">
              <w:rPr>
                <w:sz w:val="24"/>
                <w:szCs w:val="24"/>
              </w:rPr>
              <w:t> </w:t>
            </w:r>
          </w:p>
        </w:tc>
      </w:tr>
      <w:tr w:rsidR="00DE7249" w:rsidRPr="00BC14F0" w14:paraId="74FB9068" w14:textId="77777777" w:rsidTr="00BC14F0">
        <w:tc>
          <w:tcPr>
            <w:tcW w:w="1515" w:type="pct"/>
            <w:hideMark/>
          </w:tcPr>
          <w:p w14:paraId="292CEE75" w14:textId="77777777" w:rsidR="002F0B7B" w:rsidRPr="00BC14F0" w:rsidRDefault="002F0B7B" w:rsidP="00BC14F0">
            <w:pPr>
              <w:spacing w:line="240" w:lineRule="auto"/>
              <w:rPr>
                <w:sz w:val="24"/>
                <w:szCs w:val="24"/>
              </w:rPr>
            </w:pPr>
            <w:r w:rsidRPr="00BC14F0">
              <w:rPr>
                <w:sz w:val="24"/>
                <w:szCs w:val="24"/>
              </w:rPr>
              <w:t>1.1. valsts pamatbudžets, tai skaitā ieņēmumi no maksas pakalpojumiem un citi pašu ieņēmumi</w:t>
            </w:r>
          </w:p>
        </w:tc>
        <w:tc>
          <w:tcPr>
            <w:tcW w:w="679" w:type="pct"/>
            <w:hideMark/>
          </w:tcPr>
          <w:p w14:paraId="3BC4CAC8"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534" w:type="pct"/>
            <w:hideMark/>
          </w:tcPr>
          <w:p w14:paraId="07A4310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40FA83C2"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659D809E"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665C10C0"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77F2A17A" w14:textId="77777777" w:rsidTr="00BC14F0">
        <w:tc>
          <w:tcPr>
            <w:tcW w:w="1515" w:type="pct"/>
            <w:hideMark/>
          </w:tcPr>
          <w:p w14:paraId="71DFCCE1" w14:textId="77777777" w:rsidR="002F0B7B" w:rsidRPr="00BC14F0" w:rsidRDefault="002F0B7B" w:rsidP="00BC14F0">
            <w:pPr>
              <w:spacing w:line="240" w:lineRule="auto"/>
              <w:rPr>
                <w:sz w:val="24"/>
                <w:szCs w:val="24"/>
              </w:rPr>
            </w:pPr>
            <w:r w:rsidRPr="00BC14F0">
              <w:rPr>
                <w:sz w:val="24"/>
                <w:szCs w:val="24"/>
              </w:rPr>
              <w:t>1.2. valsts speciālais budžets</w:t>
            </w:r>
          </w:p>
        </w:tc>
        <w:tc>
          <w:tcPr>
            <w:tcW w:w="679" w:type="pct"/>
            <w:hideMark/>
          </w:tcPr>
          <w:p w14:paraId="31C3D18B"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534" w:type="pct"/>
            <w:hideMark/>
          </w:tcPr>
          <w:p w14:paraId="404A9A70"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9138578"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4CF40AB5"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494BB1D9"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264AFECA" w14:textId="77777777" w:rsidTr="00BC14F0">
        <w:tc>
          <w:tcPr>
            <w:tcW w:w="1515" w:type="pct"/>
            <w:hideMark/>
          </w:tcPr>
          <w:p w14:paraId="3229C8BF" w14:textId="77777777" w:rsidR="002F0B7B" w:rsidRPr="00BC14F0" w:rsidRDefault="002F0B7B" w:rsidP="00BC14F0">
            <w:pPr>
              <w:spacing w:line="240" w:lineRule="auto"/>
              <w:rPr>
                <w:sz w:val="24"/>
                <w:szCs w:val="24"/>
              </w:rPr>
            </w:pPr>
            <w:r w:rsidRPr="00BC14F0">
              <w:rPr>
                <w:sz w:val="24"/>
                <w:szCs w:val="24"/>
              </w:rPr>
              <w:t>1.3. pašvaldību budžets</w:t>
            </w:r>
          </w:p>
        </w:tc>
        <w:tc>
          <w:tcPr>
            <w:tcW w:w="679" w:type="pct"/>
            <w:hideMark/>
          </w:tcPr>
          <w:p w14:paraId="080711F2"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534" w:type="pct"/>
            <w:hideMark/>
          </w:tcPr>
          <w:p w14:paraId="12481A21"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731F13B7"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0A44485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789925C5"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6573FDCB" w14:textId="77777777" w:rsidTr="00BC14F0">
        <w:tc>
          <w:tcPr>
            <w:tcW w:w="1515" w:type="pct"/>
            <w:hideMark/>
          </w:tcPr>
          <w:p w14:paraId="261D478D" w14:textId="77777777" w:rsidR="002F0B7B" w:rsidRPr="00BC14F0" w:rsidRDefault="002F0B7B" w:rsidP="00BC14F0">
            <w:pPr>
              <w:spacing w:line="240" w:lineRule="auto"/>
              <w:rPr>
                <w:sz w:val="24"/>
                <w:szCs w:val="24"/>
              </w:rPr>
            </w:pPr>
            <w:r w:rsidRPr="00BC14F0">
              <w:rPr>
                <w:sz w:val="24"/>
                <w:szCs w:val="24"/>
              </w:rPr>
              <w:t>2. Budžeta izdevumi:</w:t>
            </w:r>
          </w:p>
        </w:tc>
        <w:tc>
          <w:tcPr>
            <w:tcW w:w="679" w:type="pct"/>
            <w:hideMark/>
          </w:tcPr>
          <w:p w14:paraId="4C4EC097" w14:textId="77777777" w:rsidR="002F0B7B" w:rsidRPr="00BC14F0" w:rsidRDefault="002F0B7B" w:rsidP="00BC14F0">
            <w:pPr>
              <w:spacing w:line="240" w:lineRule="auto"/>
              <w:ind w:firstLine="34"/>
              <w:rPr>
                <w:sz w:val="24"/>
                <w:szCs w:val="24"/>
              </w:rPr>
            </w:pPr>
            <w:r w:rsidRPr="00BC14F0">
              <w:rPr>
                <w:sz w:val="24"/>
                <w:szCs w:val="24"/>
              </w:rPr>
              <w:t> </w:t>
            </w:r>
          </w:p>
        </w:tc>
        <w:tc>
          <w:tcPr>
            <w:tcW w:w="534" w:type="pct"/>
            <w:hideMark/>
          </w:tcPr>
          <w:p w14:paraId="043F4EEE" w14:textId="77777777" w:rsidR="002F0B7B" w:rsidRPr="00BC14F0" w:rsidRDefault="002F0B7B" w:rsidP="00BC14F0">
            <w:pPr>
              <w:spacing w:line="240" w:lineRule="auto"/>
              <w:ind w:firstLine="34"/>
              <w:rPr>
                <w:sz w:val="24"/>
                <w:szCs w:val="24"/>
              </w:rPr>
            </w:pPr>
            <w:r w:rsidRPr="00BC14F0">
              <w:rPr>
                <w:sz w:val="24"/>
                <w:szCs w:val="24"/>
              </w:rPr>
              <w:t> </w:t>
            </w:r>
          </w:p>
        </w:tc>
        <w:tc>
          <w:tcPr>
            <w:tcW w:w="831" w:type="pct"/>
            <w:hideMark/>
          </w:tcPr>
          <w:p w14:paraId="0BC3AD6C" w14:textId="77777777" w:rsidR="002F0B7B" w:rsidRPr="00BC14F0" w:rsidRDefault="002F0B7B" w:rsidP="00BC14F0">
            <w:pPr>
              <w:spacing w:line="240" w:lineRule="auto"/>
              <w:ind w:firstLine="34"/>
              <w:rPr>
                <w:sz w:val="24"/>
                <w:szCs w:val="24"/>
              </w:rPr>
            </w:pPr>
            <w:r w:rsidRPr="00BC14F0">
              <w:rPr>
                <w:sz w:val="24"/>
                <w:szCs w:val="24"/>
              </w:rPr>
              <w:t> </w:t>
            </w:r>
          </w:p>
        </w:tc>
        <w:tc>
          <w:tcPr>
            <w:tcW w:w="686" w:type="pct"/>
            <w:hideMark/>
          </w:tcPr>
          <w:p w14:paraId="6CE0BB1C" w14:textId="77777777" w:rsidR="002F0B7B" w:rsidRPr="00BC14F0" w:rsidRDefault="002F0B7B" w:rsidP="00BC14F0">
            <w:pPr>
              <w:spacing w:line="240" w:lineRule="auto"/>
              <w:ind w:firstLine="34"/>
              <w:rPr>
                <w:sz w:val="24"/>
                <w:szCs w:val="24"/>
              </w:rPr>
            </w:pPr>
            <w:r w:rsidRPr="00BC14F0">
              <w:rPr>
                <w:sz w:val="24"/>
                <w:szCs w:val="24"/>
              </w:rPr>
              <w:t> </w:t>
            </w:r>
          </w:p>
        </w:tc>
        <w:tc>
          <w:tcPr>
            <w:tcW w:w="755" w:type="pct"/>
            <w:hideMark/>
          </w:tcPr>
          <w:p w14:paraId="047707D4" w14:textId="77777777" w:rsidR="002F0B7B" w:rsidRPr="00BC14F0" w:rsidRDefault="002F0B7B" w:rsidP="00BC14F0">
            <w:pPr>
              <w:spacing w:line="240" w:lineRule="auto"/>
              <w:ind w:firstLine="34"/>
              <w:rPr>
                <w:sz w:val="24"/>
                <w:szCs w:val="24"/>
              </w:rPr>
            </w:pPr>
            <w:r w:rsidRPr="00BC14F0">
              <w:rPr>
                <w:sz w:val="24"/>
                <w:szCs w:val="24"/>
              </w:rPr>
              <w:t> </w:t>
            </w:r>
          </w:p>
        </w:tc>
      </w:tr>
      <w:tr w:rsidR="00DE7249" w:rsidRPr="00BC14F0" w14:paraId="1DE10297" w14:textId="77777777" w:rsidTr="00BC14F0">
        <w:tc>
          <w:tcPr>
            <w:tcW w:w="1515" w:type="pct"/>
            <w:hideMark/>
          </w:tcPr>
          <w:p w14:paraId="2DDC5447" w14:textId="77777777" w:rsidR="002F0B7B" w:rsidRPr="00BC14F0" w:rsidRDefault="002F0B7B" w:rsidP="00BC14F0">
            <w:pPr>
              <w:spacing w:line="240" w:lineRule="auto"/>
              <w:rPr>
                <w:sz w:val="24"/>
                <w:szCs w:val="24"/>
              </w:rPr>
            </w:pPr>
            <w:r w:rsidRPr="00BC14F0">
              <w:rPr>
                <w:sz w:val="24"/>
                <w:szCs w:val="24"/>
              </w:rPr>
              <w:t>2.1. valsts pamatbudžets</w:t>
            </w:r>
          </w:p>
        </w:tc>
        <w:tc>
          <w:tcPr>
            <w:tcW w:w="679" w:type="pct"/>
            <w:hideMark/>
          </w:tcPr>
          <w:p w14:paraId="7899E11C"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425DEDA7"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2872EA86" w14:textId="77777777" w:rsidR="002F0B7B" w:rsidRPr="000C5CCD" w:rsidRDefault="000C5CCD" w:rsidP="00BC14F0">
            <w:pPr>
              <w:spacing w:line="240" w:lineRule="auto"/>
              <w:ind w:firstLine="0"/>
              <w:rPr>
                <w:sz w:val="24"/>
                <w:szCs w:val="24"/>
              </w:rPr>
            </w:pPr>
            <w:r w:rsidRPr="000C5CCD">
              <w:rPr>
                <w:sz w:val="24"/>
                <w:szCs w:val="24"/>
              </w:rPr>
              <w:t>0</w:t>
            </w:r>
          </w:p>
        </w:tc>
        <w:tc>
          <w:tcPr>
            <w:tcW w:w="686" w:type="pct"/>
            <w:hideMark/>
          </w:tcPr>
          <w:p w14:paraId="5B9BDBC3" w14:textId="77777777" w:rsidR="002F0B7B" w:rsidRPr="00BC14F0" w:rsidRDefault="00322139" w:rsidP="00322139">
            <w:pPr>
              <w:spacing w:line="240" w:lineRule="auto"/>
              <w:ind w:firstLine="0"/>
              <w:rPr>
                <w:sz w:val="24"/>
                <w:szCs w:val="24"/>
              </w:rPr>
            </w:pPr>
            <w:r>
              <w:rPr>
                <w:sz w:val="24"/>
                <w:szCs w:val="24"/>
              </w:rPr>
              <w:t>5</w:t>
            </w:r>
            <w:r w:rsidR="000C5CCD">
              <w:rPr>
                <w:sz w:val="24"/>
                <w:szCs w:val="24"/>
              </w:rPr>
              <w:t>7</w:t>
            </w:r>
            <w:r>
              <w:rPr>
                <w:sz w:val="24"/>
                <w:szCs w:val="24"/>
              </w:rPr>
              <w:t>8</w:t>
            </w:r>
            <w:r w:rsidR="000C5CCD">
              <w:rPr>
                <w:sz w:val="24"/>
                <w:szCs w:val="24"/>
              </w:rPr>
              <w:t>5</w:t>
            </w:r>
            <w:r w:rsidR="00D10EBE" w:rsidRPr="00BC14F0">
              <w:rPr>
                <w:sz w:val="24"/>
                <w:szCs w:val="24"/>
              </w:rPr>
              <w:t>5</w:t>
            </w:r>
          </w:p>
        </w:tc>
        <w:tc>
          <w:tcPr>
            <w:tcW w:w="755" w:type="pct"/>
            <w:hideMark/>
          </w:tcPr>
          <w:p w14:paraId="054AB3D1" w14:textId="77777777" w:rsidR="002F0B7B" w:rsidRPr="00BC14F0" w:rsidRDefault="00322139" w:rsidP="00322139">
            <w:pPr>
              <w:spacing w:line="240" w:lineRule="auto"/>
              <w:ind w:firstLine="0"/>
              <w:rPr>
                <w:sz w:val="24"/>
                <w:szCs w:val="24"/>
              </w:rPr>
            </w:pPr>
            <w:r>
              <w:rPr>
                <w:sz w:val="24"/>
                <w:szCs w:val="24"/>
              </w:rPr>
              <w:t>524</w:t>
            </w:r>
            <w:r w:rsidR="00D10EBE" w:rsidRPr="00BC14F0">
              <w:rPr>
                <w:sz w:val="24"/>
                <w:szCs w:val="24"/>
              </w:rPr>
              <w:t>65</w:t>
            </w:r>
          </w:p>
        </w:tc>
      </w:tr>
      <w:tr w:rsidR="00DE7249" w:rsidRPr="00BC14F0" w14:paraId="09B47DEF" w14:textId="77777777" w:rsidTr="00BC14F0">
        <w:tc>
          <w:tcPr>
            <w:tcW w:w="1515" w:type="pct"/>
            <w:hideMark/>
          </w:tcPr>
          <w:p w14:paraId="5C2D0E08" w14:textId="77777777" w:rsidR="002F0B7B" w:rsidRPr="00BC14F0" w:rsidRDefault="002F0B7B" w:rsidP="00BC14F0">
            <w:pPr>
              <w:spacing w:line="240" w:lineRule="auto"/>
              <w:rPr>
                <w:sz w:val="24"/>
                <w:szCs w:val="24"/>
              </w:rPr>
            </w:pPr>
            <w:r w:rsidRPr="00BC14F0">
              <w:rPr>
                <w:sz w:val="24"/>
                <w:szCs w:val="24"/>
              </w:rPr>
              <w:t xml:space="preserve">2.2. valsts </w:t>
            </w:r>
            <w:r w:rsidRPr="00BC14F0">
              <w:rPr>
                <w:sz w:val="24"/>
                <w:szCs w:val="24"/>
              </w:rPr>
              <w:lastRenderedPageBreak/>
              <w:t>speciālais budžets</w:t>
            </w:r>
          </w:p>
        </w:tc>
        <w:tc>
          <w:tcPr>
            <w:tcW w:w="679" w:type="pct"/>
            <w:hideMark/>
          </w:tcPr>
          <w:p w14:paraId="47802511" w14:textId="77777777" w:rsidR="002F0B7B" w:rsidRPr="00BC14F0" w:rsidRDefault="00367BBE" w:rsidP="00BC14F0">
            <w:pPr>
              <w:spacing w:line="240" w:lineRule="auto"/>
              <w:ind w:firstLine="0"/>
              <w:rPr>
                <w:sz w:val="24"/>
                <w:szCs w:val="24"/>
              </w:rPr>
            </w:pPr>
            <w:r w:rsidRPr="00BC14F0">
              <w:rPr>
                <w:sz w:val="24"/>
                <w:szCs w:val="24"/>
              </w:rPr>
              <w:lastRenderedPageBreak/>
              <w:t>0</w:t>
            </w:r>
          </w:p>
        </w:tc>
        <w:tc>
          <w:tcPr>
            <w:tcW w:w="534" w:type="pct"/>
            <w:hideMark/>
          </w:tcPr>
          <w:p w14:paraId="1A1AE70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151EAA74"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547DD79E"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7AC59A11"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AF52CFA" w14:textId="77777777" w:rsidTr="00BC14F0">
        <w:tc>
          <w:tcPr>
            <w:tcW w:w="1515" w:type="pct"/>
            <w:hideMark/>
          </w:tcPr>
          <w:p w14:paraId="6C4FE1C2" w14:textId="77777777" w:rsidR="002F0B7B" w:rsidRPr="00BC14F0" w:rsidRDefault="002F0B7B" w:rsidP="00BC14F0">
            <w:pPr>
              <w:spacing w:line="240" w:lineRule="auto"/>
              <w:rPr>
                <w:sz w:val="24"/>
                <w:szCs w:val="24"/>
              </w:rPr>
            </w:pPr>
            <w:r w:rsidRPr="00BC14F0">
              <w:rPr>
                <w:sz w:val="24"/>
                <w:szCs w:val="24"/>
              </w:rPr>
              <w:lastRenderedPageBreak/>
              <w:t>2.3. pašvaldību budžets</w:t>
            </w:r>
          </w:p>
        </w:tc>
        <w:tc>
          <w:tcPr>
            <w:tcW w:w="679" w:type="pct"/>
            <w:hideMark/>
          </w:tcPr>
          <w:p w14:paraId="4F94C88F"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19DF042C"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1BAFC6E1"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416D76BC"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1F70F1B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3B613FD8" w14:textId="77777777" w:rsidTr="00BC14F0">
        <w:tc>
          <w:tcPr>
            <w:tcW w:w="1515" w:type="pct"/>
            <w:hideMark/>
          </w:tcPr>
          <w:p w14:paraId="3ACB6191" w14:textId="77777777" w:rsidR="002F0B7B" w:rsidRPr="00BC14F0" w:rsidRDefault="002F0B7B" w:rsidP="00BC14F0">
            <w:pPr>
              <w:spacing w:line="240" w:lineRule="auto"/>
              <w:rPr>
                <w:sz w:val="24"/>
                <w:szCs w:val="24"/>
              </w:rPr>
            </w:pPr>
            <w:r w:rsidRPr="00BC14F0">
              <w:rPr>
                <w:sz w:val="24"/>
                <w:szCs w:val="24"/>
              </w:rPr>
              <w:t>3. Finansiālā ietekme:</w:t>
            </w:r>
          </w:p>
        </w:tc>
        <w:tc>
          <w:tcPr>
            <w:tcW w:w="679" w:type="pct"/>
            <w:hideMark/>
          </w:tcPr>
          <w:p w14:paraId="276ABCFC"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44E0EA0F"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3802B7A" w14:textId="77777777" w:rsidR="002F0B7B" w:rsidRPr="000C5CCD" w:rsidRDefault="000C5CCD" w:rsidP="00BC14F0">
            <w:pPr>
              <w:spacing w:line="240" w:lineRule="auto"/>
              <w:ind w:firstLine="0"/>
              <w:rPr>
                <w:sz w:val="24"/>
                <w:szCs w:val="24"/>
              </w:rPr>
            </w:pPr>
            <w:r w:rsidRPr="000C5CCD">
              <w:rPr>
                <w:sz w:val="24"/>
                <w:szCs w:val="24"/>
              </w:rPr>
              <w:t>0</w:t>
            </w:r>
          </w:p>
        </w:tc>
        <w:tc>
          <w:tcPr>
            <w:tcW w:w="686" w:type="pct"/>
            <w:hideMark/>
          </w:tcPr>
          <w:p w14:paraId="67109B9E" w14:textId="77777777" w:rsidR="002F0B7B" w:rsidRPr="00BC14F0" w:rsidRDefault="000C5CCD" w:rsidP="00322139">
            <w:pPr>
              <w:spacing w:line="240" w:lineRule="auto"/>
              <w:ind w:firstLine="0"/>
              <w:rPr>
                <w:sz w:val="24"/>
                <w:szCs w:val="24"/>
              </w:rPr>
            </w:pPr>
            <w:r>
              <w:rPr>
                <w:sz w:val="24"/>
                <w:szCs w:val="24"/>
              </w:rPr>
              <w:t>-</w:t>
            </w:r>
            <w:r w:rsidR="00322139">
              <w:rPr>
                <w:sz w:val="24"/>
                <w:szCs w:val="24"/>
              </w:rPr>
              <w:t>5</w:t>
            </w:r>
            <w:r>
              <w:rPr>
                <w:sz w:val="24"/>
                <w:szCs w:val="24"/>
              </w:rPr>
              <w:t>7</w:t>
            </w:r>
            <w:r w:rsidR="00322139">
              <w:rPr>
                <w:sz w:val="24"/>
                <w:szCs w:val="24"/>
              </w:rPr>
              <w:t>8</w:t>
            </w:r>
            <w:r>
              <w:rPr>
                <w:sz w:val="24"/>
                <w:szCs w:val="24"/>
              </w:rPr>
              <w:t>55</w:t>
            </w:r>
          </w:p>
        </w:tc>
        <w:tc>
          <w:tcPr>
            <w:tcW w:w="755" w:type="pct"/>
            <w:hideMark/>
          </w:tcPr>
          <w:p w14:paraId="032EF45D" w14:textId="77777777" w:rsidR="002F0B7B" w:rsidRPr="00BC14F0" w:rsidRDefault="00674DAF" w:rsidP="00322139">
            <w:pPr>
              <w:spacing w:line="240" w:lineRule="auto"/>
              <w:ind w:firstLine="0"/>
              <w:rPr>
                <w:sz w:val="24"/>
                <w:szCs w:val="24"/>
              </w:rPr>
            </w:pPr>
            <w:r w:rsidRPr="00BC14F0">
              <w:rPr>
                <w:sz w:val="24"/>
                <w:szCs w:val="24"/>
              </w:rPr>
              <w:t>-</w:t>
            </w:r>
            <w:r w:rsidR="00322139">
              <w:rPr>
                <w:sz w:val="24"/>
                <w:szCs w:val="24"/>
              </w:rPr>
              <w:t>524</w:t>
            </w:r>
            <w:r w:rsidR="00D10EBE" w:rsidRPr="00BC14F0">
              <w:rPr>
                <w:sz w:val="24"/>
                <w:szCs w:val="24"/>
              </w:rPr>
              <w:t>65</w:t>
            </w:r>
          </w:p>
        </w:tc>
      </w:tr>
      <w:tr w:rsidR="00DE7249" w:rsidRPr="00BC14F0" w14:paraId="65FB0FCA" w14:textId="77777777" w:rsidTr="00BC14F0">
        <w:tc>
          <w:tcPr>
            <w:tcW w:w="1515" w:type="pct"/>
            <w:hideMark/>
          </w:tcPr>
          <w:p w14:paraId="1CDB13D2" w14:textId="77777777" w:rsidR="002F0B7B" w:rsidRPr="00BC14F0" w:rsidRDefault="002F0B7B" w:rsidP="00BC14F0">
            <w:pPr>
              <w:spacing w:line="240" w:lineRule="auto"/>
              <w:rPr>
                <w:sz w:val="24"/>
                <w:szCs w:val="24"/>
              </w:rPr>
            </w:pPr>
            <w:r w:rsidRPr="00BC14F0">
              <w:rPr>
                <w:sz w:val="24"/>
                <w:szCs w:val="24"/>
              </w:rPr>
              <w:t>3.1. valsts pamatbudžets</w:t>
            </w:r>
          </w:p>
        </w:tc>
        <w:tc>
          <w:tcPr>
            <w:tcW w:w="679" w:type="pct"/>
            <w:hideMark/>
          </w:tcPr>
          <w:p w14:paraId="1B941B4F"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1BE86C22"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3E89244D"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2E42708C"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45E464C7"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310864C" w14:textId="77777777" w:rsidTr="00BC14F0">
        <w:tc>
          <w:tcPr>
            <w:tcW w:w="1515" w:type="pct"/>
            <w:hideMark/>
          </w:tcPr>
          <w:p w14:paraId="6B99AEFE" w14:textId="77777777" w:rsidR="002F0B7B" w:rsidRPr="00BC14F0" w:rsidRDefault="002F0B7B" w:rsidP="00BC14F0">
            <w:pPr>
              <w:spacing w:line="240" w:lineRule="auto"/>
              <w:rPr>
                <w:sz w:val="24"/>
                <w:szCs w:val="24"/>
              </w:rPr>
            </w:pPr>
            <w:r w:rsidRPr="00BC14F0">
              <w:rPr>
                <w:sz w:val="24"/>
                <w:szCs w:val="24"/>
              </w:rPr>
              <w:t>3.2. speciālais budžets</w:t>
            </w:r>
          </w:p>
        </w:tc>
        <w:tc>
          <w:tcPr>
            <w:tcW w:w="679" w:type="pct"/>
            <w:hideMark/>
          </w:tcPr>
          <w:p w14:paraId="01DB34B9"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518246CB"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DE2AC5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4BF996B6"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4117A48D"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404AB196" w14:textId="77777777" w:rsidTr="00BC14F0">
        <w:tc>
          <w:tcPr>
            <w:tcW w:w="1515" w:type="pct"/>
            <w:hideMark/>
          </w:tcPr>
          <w:p w14:paraId="6BFCD99D" w14:textId="77777777" w:rsidR="002F0B7B" w:rsidRPr="00BC14F0" w:rsidRDefault="002F0B7B" w:rsidP="00BC14F0">
            <w:pPr>
              <w:spacing w:line="240" w:lineRule="auto"/>
              <w:rPr>
                <w:sz w:val="24"/>
                <w:szCs w:val="24"/>
              </w:rPr>
            </w:pPr>
            <w:r w:rsidRPr="00BC14F0">
              <w:rPr>
                <w:sz w:val="24"/>
                <w:szCs w:val="24"/>
              </w:rPr>
              <w:t>3.3. pašvaldību budžets</w:t>
            </w:r>
          </w:p>
        </w:tc>
        <w:tc>
          <w:tcPr>
            <w:tcW w:w="679" w:type="pct"/>
            <w:hideMark/>
          </w:tcPr>
          <w:p w14:paraId="5E354B3A" w14:textId="77777777" w:rsidR="002F0B7B" w:rsidRPr="00BC14F0" w:rsidRDefault="00367BBE" w:rsidP="00BC14F0">
            <w:pPr>
              <w:spacing w:line="240" w:lineRule="auto"/>
              <w:ind w:firstLine="0"/>
              <w:rPr>
                <w:sz w:val="24"/>
                <w:szCs w:val="24"/>
              </w:rPr>
            </w:pPr>
            <w:r w:rsidRPr="00BC14F0">
              <w:rPr>
                <w:sz w:val="24"/>
                <w:szCs w:val="24"/>
              </w:rPr>
              <w:t>0</w:t>
            </w:r>
          </w:p>
        </w:tc>
        <w:tc>
          <w:tcPr>
            <w:tcW w:w="534" w:type="pct"/>
            <w:hideMark/>
          </w:tcPr>
          <w:p w14:paraId="3D93DF30"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6CE61C96"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52E392C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7F822EC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7960D8ED" w14:textId="77777777" w:rsidTr="00BC14F0">
        <w:tc>
          <w:tcPr>
            <w:tcW w:w="1515" w:type="pct"/>
            <w:vMerge w:val="restart"/>
            <w:hideMark/>
          </w:tcPr>
          <w:p w14:paraId="0C8BA109" w14:textId="77777777" w:rsidR="002F0B7B" w:rsidRPr="00BC14F0" w:rsidRDefault="002F0B7B" w:rsidP="00BC14F0">
            <w:pPr>
              <w:spacing w:line="240" w:lineRule="auto"/>
              <w:rPr>
                <w:sz w:val="24"/>
                <w:szCs w:val="24"/>
              </w:rPr>
            </w:pPr>
            <w:r w:rsidRPr="00BC14F0">
              <w:rPr>
                <w:sz w:val="24"/>
                <w:szCs w:val="24"/>
              </w:rPr>
              <w:t>4. Finanšu līdzekļi papildu izdevumu finansēšanai (kompensējošu izdevumu samazinājumu norāda ar "+" zīmi)</w:t>
            </w:r>
          </w:p>
        </w:tc>
        <w:tc>
          <w:tcPr>
            <w:tcW w:w="679" w:type="pct"/>
            <w:vMerge w:val="restart"/>
            <w:hideMark/>
          </w:tcPr>
          <w:p w14:paraId="63AD8C11" w14:textId="77777777" w:rsidR="002F0B7B" w:rsidRPr="00BC14F0" w:rsidRDefault="002F0B7B" w:rsidP="00BC14F0">
            <w:pPr>
              <w:spacing w:line="240" w:lineRule="auto"/>
              <w:ind w:firstLine="0"/>
              <w:rPr>
                <w:sz w:val="24"/>
                <w:szCs w:val="24"/>
              </w:rPr>
            </w:pPr>
            <w:r w:rsidRPr="00BC14F0">
              <w:rPr>
                <w:sz w:val="24"/>
                <w:szCs w:val="24"/>
              </w:rPr>
              <w:t>X</w:t>
            </w:r>
          </w:p>
        </w:tc>
        <w:tc>
          <w:tcPr>
            <w:tcW w:w="534" w:type="pct"/>
            <w:hideMark/>
          </w:tcPr>
          <w:p w14:paraId="13E3520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12CF8974"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3ED8DA9E"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2047B113" w14:textId="77777777" w:rsidR="002F0B7B" w:rsidRPr="00BC14F0" w:rsidRDefault="00367BBE" w:rsidP="00BC14F0">
            <w:pPr>
              <w:spacing w:line="240" w:lineRule="auto"/>
              <w:ind w:firstLine="0"/>
              <w:rPr>
                <w:sz w:val="24"/>
                <w:szCs w:val="24"/>
              </w:rPr>
            </w:pPr>
            <w:r w:rsidRPr="00BC14F0">
              <w:rPr>
                <w:sz w:val="24"/>
                <w:szCs w:val="24"/>
              </w:rPr>
              <w:t>0</w:t>
            </w:r>
          </w:p>
        </w:tc>
      </w:tr>
      <w:tr w:rsidR="00DE7249" w:rsidRPr="00BC14F0" w14:paraId="2C8E3BFE" w14:textId="77777777" w:rsidTr="00BC14F0">
        <w:tc>
          <w:tcPr>
            <w:tcW w:w="1515" w:type="pct"/>
            <w:vMerge/>
            <w:hideMark/>
          </w:tcPr>
          <w:p w14:paraId="136EF0B0" w14:textId="77777777" w:rsidR="002F0B7B" w:rsidRPr="00BC14F0" w:rsidRDefault="002F0B7B" w:rsidP="00BC14F0">
            <w:pPr>
              <w:spacing w:line="240" w:lineRule="auto"/>
              <w:rPr>
                <w:sz w:val="24"/>
                <w:szCs w:val="24"/>
              </w:rPr>
            </w:pPr>
          </w:p>
        </w:tc>
        <w:tc>
          <w:tcPr>
            <w:tcW w:w="679" w:type="pct"/>
            <w:vMerge/>
            <w:hideMark/>
          </w:tcPr>
          <w:p w14:paraId="22145BB1" w14:textId="77777777" w:rsidR="002F0B7B" w:rsidRPr="00BC14F0" w:rsidRDefault="002F0B7B" w:rsidP="00BC14F0">
            <w:pPr>
              <w:spacing w:line="240" w:lineRule="auto"/>
              <w:ind w:firstLine="34"/>
              <w:rPr>
                <w:sz w:val="24"/>
                <w:szCs w:val="24"/>
              </w:rPr>
            </w:pPr>
          </w:p>
        </w:tc>
        <w:tc>
          <w:tcPr>
            <w:tcW w:w="534" w:type="pct"/>
            <w:hideMark/>
          </w:tcPr>
          <w:p w14:paraId="020E6148"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7CB6C1AC"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0A30DE5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0FCFA8D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98CC597" w14:textId="77777777" w:rsidTr="00BC14F0">
        <w:tc>
          <w:tcPr>
            <w:tcW w:w="1515" w:type="pct"/>
            <w:vMerge/>
            <w:hideMark/>
          </w:tcPr>
          <w:p w14:paraId="67A055F7" w14:textId="77777777" w:rsidR="002F0B7B" w:rsidRPr="00BC14F0" w:rsidRDefault="002F0B7B" w:rsidP="00BC14F0">
            <w:pPr>
              <w:spacing w:line="240" w:lineRule="auto"/>
              <w:rPr>
                <w:sz w:val="24"/>
                <w:szCs w:val="24"/>
              </w:rPr>
            </w:pPr>
          </w:p>
        </w:tc>
        <w:tc>
          <w:tcPr>
            <w:tcW w:w="679" w:type="pct"/>
            <w:vMerge/>
            <w:hideMark/>
          </w:tcPr>
          <w:p w14:paraId="0D0EC4A4" w14:textId="77777777" w:rsidR="002F0B7B" w:rsidRPr="00BC14F0" w:rsidRDefault="002F0B7B" w:rsidP="00BC14F0">
            <w:pPr>
              <w:spacing w:line="240" w:lineRule="auto"/>
              <w:ind w:firstLine="34"/>
              <w:rPr>
                <w:sz w:val="24"/>
                <w:szCs w:val="24"/>
              </w:rPr>
            </w:pPr>
          </w:p>
        </w:tc>
        <w:tc>
          <w:tcPr>
            <w:tcW w:w="534" w:type="pct"/>
            <w:hideMark/>
          </w:tcPr>
          <w:p w14:paraId="0A9A8E3D"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664F78A6"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11D464E1"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1C2EC6C9"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588D1798" w14:textId="77777777" w:rsidTr="00BC14F0">
        <w:tc>
          <w:tcPr>
            <w:tcW w:w="1515" w:type="pct"/>
            <w:hideMark/>
          </w:tcPr>
          <w:p w14:paraId="38851104" w14:textId="77777777" w:rsidR="002F0B7B" w:rsidRPr="00BC14F0" w:rsidRDefault="002F0B7B" w:rsidP="00BC14F0">
            <w:pPr>
              <w:spacing w:line="240" w:lineRule="auto"/>
              <w:rPr>
                <w:sz w:val="24"/>
                <w:szCs w:val="24"/>
              </w:rPr>
            </w:pPr>
            <w:r w:rsidRPr="00BC14F0">
              <w:rPr>
                <w:sz w:val="24"/>
                <w:szCs w:val="24"/>
              </w:rPr>
              <w:t>5. Precizēta finansiālā ietekme:</w:t>
            </w:r>
          </w:p>
        </w:tc>
        <w:tc>
          <w:tcPr>
            <w:tcW w:w="679" w:type="pct"/>
            <w:vMerge w:val="restart"/>
            <w:hideMark/>
          </w:tcPr>
          <w:p w14:paraId="63EA9427" w14:textId="77777777" w:rsidR="002F0B7B" w:rsidRPr="00BC14F0" w:rsidRDefault="002F0B7B" w:rsidP="00BC14F0">
            <w:pPr>
              <w:spacing w:line="240" w:lineRule="auto"/>
              <w:ind w:firstLine="0"/>
              <w:rPr>
                <w:sz w:val="24"/>
                <w:szCs w:val="24"/>
              </w:rPr>
            </w:pPr>
            <w:r w:rsidRPr="00BC14F0">
              <w:rPr>
                <w:sz w:val="24"/>
                <w:szCs w:val="24"/>
              </w:rPr>
              <w:t>X</w:t>
            </w:r>
          </w:p>
        </w:tc>
        <w:tc>
          <w:tcPr>
            <w:tcW w:w="534" w:type="pct"/>
            <w:hideMark/>
          </w:tcPr>
          <w:p w14:paraId="394283D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831" w:type="pct"/>
            <w:hideMark/>
          </w:tcPr>
          <w:p w14:paraId="47C9C479" w14:textId="77777777" w:rsidR="002F0B7B" w:rsidRPr="00BC14F0" w:rsidRDefault="00367BBE" w:rsidP="00BC14F0">
            <w:pPr>
              <w:spacing w:line="240" w:lineRule="auto"/>
              <w:ind w:firstLine="0"/>
              <w:rPr>
                <w:sz w:val="24"/>
                <w:szCs w:val="24"/>
              </w:rPr>
            </w:pPr>
            <w:r w:rsidRPr="00BC14F0">
              <w:rPr>
                <w:sz w:val="24"/>
                <w:szCs w:val="24"/>
              </w:rPr>
              <w:t>0</w:t>
            </w:r>
          </w:p>
        </w:tc>
        <w:tc>
          <w:tcPr>
            <w:tcW w:w="686" w:type="pct"/>
            <w:hideMark/>
          </w:tcPr>
          <w:p w14:paraId="22833438" w14:textId="77777777" w:rsidR="002F0B7B" w:rsidRPr="00BC14F0" w:rsidRDefault="00367BBE" w:rsidP="00BC14F0">
            <w:pPr>
              <w:spacing w:line="240" w:lineRule="auto"/>
              <w:ind w:firstLine="0"/>
              <w:rPr>
                <w:sz w:val="24"/>
                <w:szCs w:val="24"/>
              </w:rPr>
            </w:pPr>
            <w:r w:rsidRPr="00BC14F0">
              <w:rPr>
                <w:sz w:val="24"/>
                <w:szCs w:val="24"/>
              </w:rPr>
              <w:t>0</w:t>
            </w:r>
          </w:p>
        </w:tc>
        <w:tc>
          <w:tcPr>
            <w:tcW w:w="755" w:type="pct"/>
            <w:hideMark/>
          </w:tcPr>
          <w:p w14:paraId="1E770F27"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02F9EB57" w14:textId="77777777" w:rsidTr="00BC14F0">
        <w:tc>
          <w:tcPr>
            <w:tcW w:w="1515" w:type="pct"/>
            <w:hideMark/>
          </w:tcPr>
          <w:p w14:paraId="37CF068C" w14:textId="77777777" w:rsidR="002F0B7B" w:rsidRPr="00BC14F0" w:rsidRDefault="002F0B7B" w:rsidP="00BC14F0">
            <w:pPr>
              <w:spacing w:line="240" w:lineRule="auto"/>
              <w:rPr>
                <w:sz w:val="24"/>
                <w:szCs w:val="24"/>
              </w:rPr>
            </w:pPr>
            <w:r w:rsidRPr="00BC14F0">
              <w:rPr>
                <w:sz w:val="24"/>
                <w:szCs w:val="24"/>
              </w:rPr>
              <w:t>5.1. valsts pamatbudžets</w:t>
            </w:r>
          </w:p>
        </w:tc>
        <w:tc>
          <w:tcPr>
            <w:tcW w:w="679" w:type="pct"/>
            <w:vMerge/>
            <w:hideMark/>
          </w:tcPr>
          <w:p w14:paraId="1C3B0B05" w14:textId="77777777" w:rsidR="002F0B7B" w:rsidRPr="00BC14F0" w:rsidRDefault="002F0B7B" w:rsidP="00BC14F0">
            <w:pPr>
              <w:spacing w:line="240" w:lineRule="auto"/>
              <w:ind w:firstLine="34"/>
              <w:rPr>
                <w:sz w:val="24"/>
                <w:szCs w:val="24"/>
              </w:rPr>
            </w:pPr>
          </w:p>
        </w:tc>
        <w:tc>
          <w:tcPr>
            <w:tcW w:w="534" w:type="pct"/>
            <w:hideMark/>
          </w:tcPr>
          <w:p w14:paraId="20227059"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643CBC47"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090FE79B"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4234E9CB"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6DA00D6C" w14:textId="77777777" w:rsidTr="00BC14F0">
        <w:tc>
          <w:tcPr>
            <w:tcW w:w="1515" w:type="pct"/>
            <w:hideMark/>
          </w:tcPr>
          <w:p w14:paraId="48C60CDF" w14:textId="77777777" w:rsidR="002F0B7B" w:rsidRPr="00BC14F0" w:rsidRDefault="002F0B7B" w:rsidP="00BC14F0">
            <w:pPr>
              <w:spacing w:line="240" w:lineRule="auto"/>
              <w:rPr>
                <w:sz w:val="24"/>
                <w:szCs w:val="24"/>
              </w:rPr>
            </w:pPr>
            <w:r w:rsidRPr="00BC14F0">
              <w:rPr>
                <w:sz w:val="24"/>
                <w:szCs w:val="24"/>
              </w:rPr>
              <w:t>5.2. speciālais budžets</w:t>
            </w:r>
          </w:p>
        </w:tc>
        <w:tc>
          <w:tcPr>
            <w:tcW w:w="679" w:type="pct"/>
            <w:vMerge/>
            <w:hideMark/>
          </w:tcPr>
          <w:p w14:paraId="70E89D8E" w14:textId="77777777" w:rsidR="002F0B7B" w:rsidRPr="00BC14F0" w:rsidRDefault="002F0B7B" w:rsidP="00BC14F0">
            <w:pPr>
              <w:spacing w:line="240" w:lineRule="auto"/>
              <w:ind w:firstLine="34"/>
              <w:rPr>
                <w:sz w:val="24"/>
                <w:szCs w:val="24"/>
              </w:rPr>
            </w:pPr>
          </w:p>
        </w:tc>
        <w:tc>
          <w:tcPr>
            <w:tcW w:w="534" w:type="pct"/>
            <w:hideMark/>
          </w:tcPr>
          <w:p w14:paraId="26F13990"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0F3A0F39"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4166C33E"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1E5CEA95"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180D821C" w14:textId="77777777" w:rsidTr="00BC14F0">
        <w:tc>
          <w:tcPr>
            <w:tcW w:w="1515" w:type="pct"/>
            <w:hideMark/>
          </w:tcPr>
          <w:p w14:paraId="302FEA63" w14:textId="77777777" w:rsidR="002F0B7B" w:rsidRPr="00BC14F0" w:rsidRDefault="002F0B7B" w:rsidP="00BC14F0">
            <w:pPr>
              <w:spacing w:line="240" w:lineRule="auto"/>
              <w:rPr>
                <w:sz w:val="24"/>
                <w:szCs w:val="24"/>
              </w:rPr>
            </w:pPr>
            <w:r w:rsidRPr="00BC14F0">
              <w:rPr>
                <w:sz w:val="24"/>
                <w:szCs w:val="24"/>
              </w:rPr>
              <w:t>5.3. pašvaldību budžets</w:t>
            </w:r>
          </w:p>
        </w:tc>
        <w:tc>
          <w:tcPr>
            <w:tcW w:w="679" w:type="pct"/>
            <w:vMerge/>
            <w:hideMark/>
          </w:tcPr>
          <w:p w14:paraId="393F9F13" w14:textId="77777777" w:rsidR="002F0B7B" w:rsidRPr="00BC14F0" w:rsidRDefault="002F0B7B" w:rsidP="00BC14F0">
            <w:pPr>
              <w:spacing w:line="240" w:lineRule="auto"/>
              <w:ind w:firstLine="34"/>
              <w:rPr>
                <w:sz w:val="24"/>
                <w:szCs w:val="24"/>
              </w:rPr>
            </w:pPr>
          </w:p>
        </w:tc>
        <w:tc>
          <w:tcPr>
            <w:tcW w:w="534" w:type="pct"/>
            <w:hideMark/>
          </w:tcPr>
          <w:p w14:paraId="58C65DD7" w14:textId="77777777" w:rsidR="002F0B7B" w:rsidRPr="00BC14F0" w:rsidRDefault="00367BBE" w:rsidP="00BC14F0">
            <w:pPr>
              <w:spacing w:line="240" w:lineRule="auto"/>
              <w:ind w:firstLine="0"/>
              <w:rPr>
                <w:sz w:val="24"/>
                <w:szCs w:val="24"/>
              </w:rPr>
            </w:pPr>
            <w:r w:rsidRPr="00BC14F0">
              <w:rPr>
                <w:sz w:val="24"/>
                <w:szCs w:val="24"/>
              </w:rPr>
              <w:t>0</w:t>
            </w:r>
          </w:p>
        </w:tc>
        <w:tc>
          <w:tcPr>
            <w:tcW w:w="831" w:type="pct"/>
            <w:hideMark/>
          </w:tcPr>
          <w:p w14:paraId="4D0AD4F3"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686" w:type="pct"/>
            <w:hideMark/>
          </w:tcPr>
          <w:p w14:paraId="339851EF"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c>
          <w:tcPr>
            <w:tcW w:w="755" w:type="pct"/>
            <w:hideMark/>
          </w:tcPr>
          <w:p w14:paraId="758C07A0" w14:textId="77777777" w:rsidR="002F0B7B" w:rsidRPr="00BC14F0" w:rsidRDefault="00367BBE" w:rsidP="00BC14F0">
            <w:pPr>
              <w:spacing w:line="240" w:lineRule="auto"/>
              <w:ind w:firstLine="0"/>
              <w:rPr>
                <w:sz w:val="24"/>
                <w:szCs w:val="24"/>
              </w:rPr>
            </w:pPr>
            <w:r w:rsidRPr="00BC14F0">
              <w:rPr>
                <w:sz w:val="24"/>
                <w:szCs w:val="24"/>
              </w:rPr>
              <w:t>0</w:t>
            </w:r>
            <w:r w:rsidR="002F0B7B" w:rsidRPr="00BC14F0">
              <w:rPr>
                <w:sz w:val="24"/>
                <w:szCs w:val="24"/>
              </w:rPr>
              <w:t> </w:t>
            </w:r>
          </w:p>
        </w:tc>
      </w:tr>
      <w:tr w:rsidR="00DE7249" w:rsidRPr="00BC14F0" w14:paraId="4B7EC769" w14:textId="77777777" w:rsidTr="00542E8A">
        <w:tc>
          <w:tcPr>
            <w:tcW w:w="1515" w:type="pct"/>
            <w:hideMark/>
          </w:tcPr>
          <w:p w14:paraId="59451EBF" w14:textId="77777777" w:rsidR="002F0B7B" w:rsidRPr="00BC14F0" w:rsidRDefault="002F0B7B" w:rsidP="00BC14F0">
            <w:pPr>
              <w:spacing w:line="240" w:lineRule="auto"/>
              <w:rPr>
                <w:sz w:val="24"/>
                <w:szCs w:val="24"/>
              </w:rPr>
            </w:pPr>
            <w:r w:rsidRPr="00BC14F0">
              <w:rPr>
                <w:sz w:val="24"/>
                <w:szCs w:val="24"/>
              </w:rPr>
              <w:t>6. Detalizēts ieņēmumu un izdevumu aprēķins (ja nepieciešams, detalizētu ieņēmumu un izdevumu aprēķinu var pievienot anotācijas pielikumā):</w:t>
            </w:r>
          </w:p>
        </w:tc>
        <w:tc>
          <w:tcPr>
            <w:tcW w:w="3485" w:type="pct"/>
            <w:gridSpan w:val="5"/>
            <w:vMerge w:val="restart"/>
            <w:hideMark/>
          </w:tcPr>
          <w:p w14:paraId="4BB97687" w14:textId="1D8AD525" w:rsidR="00674DAF" w:rsidRPr="00215DDE" w:rsidRDefault="00674DAF" w:rsidP="00BC14F0">
            <w:pPr>
              <w:spacing w:line="240" w:lineRule="auto"/>
              <w:ind w:firstLine="0"/>
              <w:rPr>
                <w:sz w:val="24"/>
                <w:szCs w:val="24"/>
              </w:rPr>
            </w:pPr>
            <w:r w:rsidRPr="00215DDE">
              <w:rPr>
                <w:sz w:val="24"/>
                <w:szCs w:val="24"/>
              </w:rPr>
              <w:t xml:space="preserve">Lai </w:t>
            </w:r>
            <w:r w:rsidR="008D6F95" w:rsidRPr="00215DDE">
              <w:rPr>
                <w:sz w:val="24"/>
                <w:szCs w:val="24"/>
              </w:rPr>
              <w:t>VSIA “</w:t>
            </w:r>
            <w:r w:rsidRPr="00215DDE">
              <w:rPr>
                <w:sz w:val="24"/>
                <w:szCs w:val="24"/>
              </w:rPr>
              <w:t>Autotransporta direkcija</w:t>
            </w:r>
            <w:r w:rsidR="008D6F95" w:rsidRPr="00215DDE">
              <w:rPr>
                <w:sz w:val="24"/>
                <w:szCs w:val="24"/>
              </w:rPr>
              <w:t>”</w:t>
            </w:r>
            <w:r w:rsidRPr="00215DDE">
              <w:rPr>
                <w:sz w:val="24"/>
                <w:szCs w:val="24"/>
              </w:rPr>
              <w:t xml:space="preserve"> 201</w:t>
            </w:r>
            <w:r w:rsidR="00696F24" w:rsidRPr="00215DDE">
              <w:rPr>
                <w:sz w:val="24"/>
                <w:szCs w:val="24"/>
              </w:rPr>
              <w:t>8</w:t>
            </w:r>
            <w:r w:rsidRPr="00215DDE">
              <w:rPr>
                <w:sz w:val="24"/>
                <w:szCs w:val="24"/>
              </w:rPr>
              <w:t xml:space="preserve">.gadā </w:t>
            </w:r>
            <w:r w:rsidR="00D10EBE" w:rsidRPr="00215DDE">
              <w:rPr>
                <w:sz w:val="24"/>
                <w:szCs w:val="24"/>
              </w:rPr>
              <w:t>(no 01.0</w:t>
            </w:r>
            <w:r w:rsidR="00696F24" w:rsidRPr="00215DDE">
              <w:rPr>
                <w:sz w:val="24"/>
                <w:szCs w:val="24"/>
              </w:rPr>
              <w:t>1</w:t>
            </w:r>
            <w:r w:rsidR="00D10EBE" w:rsidRPr="00215DDE">
              <w:rPr>
                <w:sz w:val="24"/>
                <w:szCs w:val="24"/>
              </w:rPr>
              <w:t>.201</w:t>
            </w:r>
            <w:r w:rsidR="00696F24" w:rsidRPr="00215DDE">
              <w:rPr>
                <w:sz w:val="24"/>
                <w:szCs w:val="24"/>
              </w:rPr>
              <w:t>8</w:t>
            </w:r>
            <w:r w:rsidR="00D10EBE" w:rsidRPr="00215DDE">
              <w:rPr>
                <w:sz w:val="24"/>
                <w:szCs w:val="24"/>
              </w:rPr>
              <w:t xml:space="preserve">.) </w:t>
            </w:r>
            <w:r w:rsidRPr="00215DDE">
              <w:rPr>
                <w:sz w:val="24"/>
                <w:szCs w:val="24"/>
              </w:rPr>
              <w:t>varētu izpildīt likum</w:t>
            </w:r>
            <w:r w:rsidR="008D6F95" w:rsidRPr="00215DDE">
              <w:rPr>
                <w:sz w:val="24"/>
                <w:szCs w:val="24"/>
              </w:rPr>
              <w:t>projektā</w:t>
            </w:r>
            <w:r w:rsidRPr="00215DDE">
              <w:rPr>
                <w:sz w:val="24"/>
                <w:szCs w:val="24"/>
              </w:rPr>
              <w:t xml:space="preserve"> noteiktās funkcijas, kā arī sakarā ar plānotajām papildus funkcijām (autoostu pārraudzība, piešķirtā valsts budžeta finansējuma administrēšanu un papildus darba apjomu (uzņēmumu uzraudzības pastiprināšana, papildus informācijas apkopošana)), papildus no Satiksmes ministrijas valsts pamatbudžeta budžeta programmas 31.00.00 “Sabiedriskais transports” apakšprogrammas 31.05.00 “Dotācija Autotransporta direkcijai sabiedriskā transporta pakalpojumu organizēšanai” </w:t>
            </w:r>
            <w:r w:rsidR="00696F24" w:rsidRPr="00215DDE">
              <w:rPr>
                <w:sz w:val="24"/>
                <w:szCs w:val="24"/>
              </w:rPr>
              <w:t xml:space="preserve">2018.gadā  </w:t>
            </w:r>
            <w:r w:rsidR="000C5CCD" w:rsidRPr="00215DDE">
              <w:rPr>
                <w:sz w:val="24"/>
                <w:szCs w:val="24"/>
              </w:rPr>
              <w:t xml:space="preserve">nepieciešami </w:t>
            </w:r>
            <w:r w:rsidR="00322139" w:rsidRPr="00215DDE">
              <w:rPr>
                <w:sz w:val="24"/>
                <w:szCs w:val="24"/>
              </w:rPr>
              <w:t>578</w:t>
            </w:r>
            <w:r w:rsidR="000C5CCD" w:rsidRPr="00215DDE">
              <w:rPr>
                <w:sz w:val="24"/>
                <w:szCs w:val="24"/>
              </w:rPr>
              <w:t xml:space="preserve">55 EUR un 2019.gadā </w:t>
            </w:r>
            <w:r w:rsidRPr="00215DDE">
              <w:rPr>
                <w:sz w:val="24"/>
                <w:szCs w:val="24"/>
              </w:rPr>
              <w:t xml:space="preserve">nepieciešami </w:t>
            </w:r>
            <w:r w:rsidR="00322139" w:rsidRPr="00215DDE">
              <w:rPr>
                <w:sz w:val="24"/>
                <w:szCs w:val="24"/>
              </w:rPr>
              <w:t>52</w:t>
            </w:r>
            <w:r w:rsidR="00D10EBE" w:rsidRPr="00215DDE">
              <w:rPr>
                <w:sz w:val="24"/>
                <w:szCs w:val="24"/>
              </w:rPr>
              <w:t xml:space="preserve"> </w:t>
            </w:r>
            <w:r w:rsidR="00322139" w:rsidRPr="00215DDE">
              <w:rPr>
                <w:sz w:val="24"/>
                <w:szCs w:val="24"/>
              </w:rPr>
              <w:t>465</w:t>
            </w:r>
            <w:r w:rsidR="00BB6773" w:rsidRPr="00215DDE">
              <w:rPr>
                <w:sz w:val="24"/>
                <w:szCs w:val="24"/>
              </w:rPr>
              <w:t xml:space="preserve"> EUR gad</w:t>
            </w:r>
            <w:r w:rsidR="000C5CCD" w:rsidRPr="00215DDE">
              <w:rPr>
                <w:sz w:val="24"/>
                <w:szCs w:val="24"/>
              </w:rPr>
              <w:t>ā</w:t>
            </w:r>
            <w:r w:rsidR="00BB6773" w:rsidRPr="00215DDE">
              <w:rPr>
                <w:sz w:val="24"/>
                <w:szCs w:val="24"/>
              </w:rPr>
              <w:t xml:space="preserve">, tai skaitā papildus  izdevumi darbinieku atlīdzībai </w:t>
            </w:r>
            <w:r w:rsidR="00D10EBE" w:rsidRPr="00215DDE">
              <w:rPr>
                <w:sz w:val="24"/>
                <w:szCs w:val="24"/>
              </w:rPr>
              <w:t xml:space="preserve"> 2018.</w:t>
            </w:r>
            <w:r w:rsidR="000C5CCD" w:rsidRPr="00215DDE">
              <w:rPr>
                <w:sz w:val="24"/>
                <w:szCs w:val="24"/>
              </w:rPr>
              <w:t xml:space="preserve">un </w:t>
            </w:r>
            <w:r w:rsidR="00BB6773" w:rsidRPr="00215DDE">
              <w:rPr>
                <w:sz w:val="24"/>
                <w:szCs w:val="24"/>
              </w:rPr>
              <w:t>2019.gad</w:t>
            </w:r>
            <w:r w:rsidR="00C0155E">
              <w:rPr>
                <w:sz w:val="24"/>
                <w:szCs w:val="24"/>
              </w:rPr>
              <w:t>a</w:t>
            </w:r>
            <w:r w:rsidR="00BB6773" w:rsidRPr="00215DDE">
              <w:rPr>
                <w:sz w:val="24"/>
                <w:szCs w:val="24"/>
              </w:rPr>
              <w:t xml:space="preserve">m ir plānoti </w:t>
            </w:r>
            <w:r w:rsidR="00322139" w:rsidRPr="00215DDE">
              <w:rPr>
                <w:sz w:val="24"/>
                <w:szCs w:val="24"/>
              </w:rPr>
              <w:t>4</w:t>
            </w:r>
            <w:r w:rsidR="00D10EBE" w:rsidRPr="00215DDE">
              <w:rPr>
                <w:sz w:val="24"/>
                <w:szCs w:val="24"/>
              </w:rPr>
              <w:t>4 </w:t>
            </w:r>
            <w:r w:rsidR="00322139" w:rsidRPr="00215DDE">
              <w:rPr>
                <w:sz w:val="24"/>
                <w:szCs w:val="24"/>
              </w:rPr>
              <w:t>6</w:t>
            </w:r>
            <w:r w:rsidR="00D10EBE" w:rsidRPr="00215DDE">
              <w:rPr>
                <w:sz w:val="24"/>
                <w:szCs w:val="24"/>
              </w:rPr>
              <w:t xml:space="preserve">06 </w:t>
            </w:r>
            <w:r w:rsidR="00BB6773" w:rsidRPr="00215DDE">
              <w:rPr>
                <w:sz w:val="24"/>
                <w:szCs w:val="24"/>
              </w:rPr>
              <w:t>EUR gadā, precēm un pakalpojumiem 2018.</w:t>
            </w:r>
            <w:r w:rsidR="000C5CCD" w:rsidRPr="00215DDE">
              <w:rPr>
                <w:sz w:val="24"/>
                <w:szCs w:val="24"/>
              </w:rPr>
              <w:t xml:space="preserve">gadā 8479 EUR </w:t>
            </w:r>
            <w:r w:rsidR="00BB6773" w:rsidRPr="00215DDE">
              <w:rPr>
                <w:sz w:val="24"/>
                <w:szCs w:val="24"/>
              </w:rPr>
              <w:t xml:space="preserve">un 2019.gadā </w:t>
            </w:r>
            <w:r w:rsidR="00D10EBE" w:rsidRPr="00215DDE">
              <w:rPr>
                <w:sz w:val="24"/>
                <w:szCs w:val="24"/>
              </w:rPr>
              <w:t xml:space="preserve">7859 </w:t>
            </w:r>
            <w:r w:rsidR="00BB6773" w:rsidRPr="00215DDE">
              <w:rPr>
                <w:sz w:val="24"/>
                <w:szCs w:val="24"/>
              </w:rPr>
              <w:t xml:space="preserve">EUR. </w:t>
            </w:r>
          </w:p>
          <w:p w14:paraId="2504FD86" w14:textId="46827B49" w:rsidR="002F0B7B" w:rsidRPr="00215DDE" w:rsidRDefault="008D6F95" w:rsidP="00BC14F0">
            <w:pPr>
              <w:spacing w:line="240" w:lineRule="auto"/>
              <w:ind w:firstLine="0"/>
              <w:rPr>
                <w:sz w:val="24"/>
                <w:szCs w:val="24"/>
              </w:rPr>
            </w:pPr>
            <w:r w:rsidRPr="00215DDE">
              <w:rPr>
                <w:sz w:val="24"/>
                <w:szCs w:val="24"/>
              </w:rPr>
              <w:t>Ar papildus nepiecieša</w:t>
            </w:r>
            <w:r w:rsidR="008D7EB4" w:rsidRPr="00215DDE">
              <w:rPr>
                <w:sz w:val="24"/>
                <w:szCs w:val="24"/>
              </w:rPr>
              <w:t>ma</w:t>
            </w:r>
            <w:r w:rsidRPr="00215DDE">
              <w:rPr>
                <w:sz w:val="24"/>
                <w:szCs w:val="24"/>
              </w:rPr>
              <w:t>jiem budžeta līdzekļiem tiks segti izdevumi par</w:t>
            </w:r>
            <w:r w:rsidR="00674DAF" w:rsidRPr="00215DDE">
              <w:rPr>
                <w:sz w:val="24"/>
                <w:szCs w:val="24"/>
              </w:rPr>
              <w:t xml:space="preserve"> </w:t>
            </w:r>
            <w:r w:rsidR="00D10EBE" w:rsidRPr="00215DDE">
              <w:rPr>
                <w:sz w:val="24"/>
                <w:szCs w:val="24"/>
              </w:rPr>
              <w:t xml:space="preserve"> divu </w:t>
            </w:r>
            <w:r w:rsidR="00674DAF" w:rsidRPr="00215DDE">
              <w:rPr>
                <w:sz w:val="24"/>
                <w:szCs w:val="24"/>
              </w:rPr>
              <w:t>darba vietu izveidošan</w:t>
            </w:r>
            <w:r w:rsidRPr="00215DDE">
              <w:rPr>
                <w:sz w:val="24"/>
                <w:szCs w:val="24"/>
              </w:rPr>
              <w:t>u</w:t>
            </w:r>
            <w:r w:rsidR="00674DAF" w:rsidRPr="00215DDE">
              <w:rPr>
                <w:sz w:val="24"/>
                <w:szCs w:val="24"/>
              </w:rPr>
              <w:t xml:space="preserve"> un aprīkošan</w:t>
            </w:r>
            <w:r w:rsidRPr="00215DDE">
              <w:rPr>
                <w:sz w:val="24"/>
                <w:szCs w:val="24"/>
              </w:rPr>
              <w:t>u,</w:t>
            </w:r>
            <w:r w:rsidR="00674DAF" w:rsidRPr="00215DDE">
              <w:rPr>
                <w:sz w:val="24"/>
                <w:szCs w:val="24"/>
              </w:rPr>
              <w:t xml:space="preserve"> </w:t>
            </w:r>
            <w:r w:rsidR="008D7EB4" w:rsidRPr="00215DDE">
              <w:rPr>
                <w:sz w:val="24"/>
                <w:szCs w:val="24"/>
              </w:rPr>
              <w:t>Uzskaites s</w:t>
            </w:r>
            <w:r w:rsidR="00674DAF" w:rsidRPr="00215DDE">
              <w:rPr>
                <w:sz w:val="24"/>
                <w:szCs w:val="24"/>
              </w:rPr>
              <w:t>istēmas izveid</w:t>
            </w:r>
            <w:r w:rsidR="00C0155E">
              <w:rPr>
                <w:sz w:val="24"/>
                <w:szCs w:val="24"/>
              </w:rPr>
              <w:t>i</w:t>
            </w:r>
            <w:r w:rsidR="00674DAF" w:rsidRPr="00215DDE">
              <w:rPr>
                <w:sz w:val="24"/>
                <w:szCs w:val="24"/>
              </w:rPr>
              <w:t xml:space="preserve">, kā arī tehniskā nodrošinājuma (servera un specializētās plastikāta karšu </w:t>
            </w:r>
            <w:proofErr w:type="spellStart"/>
            <w:r w:rsidR="00674DAF" w:rsidRPr="00215DDE">
              <w:rPr>
                <w:sz w:val="24"/>
                <w:szCs w:val="24"/>
              </w:rPr>
              <w:t>apdrukas</w:t>
            </w:r>
            <w:proofErr w:type="spellEnd"/>
            <w:r w:rsidR="00674DAF" w:rsidRPr="00215DDE">
              <w:rPr>
                <w:sz w:val="24"/>
                <w:szCs w:val="24"/>
              </w:rPr>
              <w:t xml:space="preserve"> iekārtas) iegād</w:t>
            </w:r>
            <w:r w:rsidR="00C0155E">
              <w:rPr>
                <w:sz w:val="24"/>
                <w:szCs w:val="24"/>
              </w:rPr>
              <w:t>i</w:t>
            </w:r>
            <w:r w:rsidR="00D10EBE" w:rsidRPr="00215DDE">
              <w:rPr>
                <w:sz w:val="24"/>
                <w:szCs w:val="24"/>
              </w:rPr>
              <w:t>.</w:t>
            </w:r>
            <w:r w:rsidR="00674DAF" w:rsidRPr="00215DDE">
              <w:rPr>
                <w:sz w:val="24"/>
                <w:szCs w:val="24"/>
              </w:rPr>
              <w:t xml:space="preserve"> Izveidoto sistēmu uzturēšana un aktualizēšana turpmāk tiks nodrošināta esošā budžeta ietvaros. </w:t>
            </w:r>
          </w:p>
        </w:tc>
      </w:tr>
      <w:tr w:rsidR="00DE7249" w:rsidRPr="00BC14F0" w14:paraId="018EFD9B" w14:textId="77777777" w:rsidTr="00542E8A">
        <w:tc>
          <w:tcPr>
            <w:tcW w:w="1515" w:type="pct"/>
            <w:hideMark/>
          </w:tcPr>
          <w:p w14:paraId="59B4D6CB" w14:textId="77777777" w:rsidR="002F0B7B" w:rsidRPr="00BC14F0" w:rsidRDefault="002F0B7B" w:rsidP="00BC14F0">
            <w:pPr>
              <w:spacing w:line="240" w:lineRule="auto"/>
              <w:rPr>
                <w:sz w:val="24"/>
                <w:szCs w:val="24"/>
              </w:rPr>
            </w:pPr>
            <w:r w:rsidRPr="00BC14F0">
              <w:rPr>
                <w:sz w:val="24"/>
                <w:szCs w:val="24"/>
              </w:rPr>
              <w:t>6.1. detalizēts ieņēmumu aprēķins</w:t>
            </w:r>
          </w:p>
        </w:tc>
        <w:tc>
          <w:tcPr>
            <w:tcW w:w="3485" w:type="pct"/>
            <w:gridSpan w:val="5"/>
            <w:vMerge/>
            <w:hideMark/>
          </w:tcPr>
          <w:p w14:paraId="09A106D0" w14:textId="77777777" w:rsidR="002F0B7B" w:rsidRPr="00BC14F0" w:rsidRDefault="002F0B7B" w:rsidP="00BC14F0">
            <w:pPr>
              <w:spacing w:line="240" w:lineRule="auto"/>
              <w:rPr>
                <w:sz w:val="24"/>
                <w:szCs w:val="24"/>
              </w:rPr>
            </w:pPr>
          </w:p>
        </w:tc>
      </w:tr>
      <w:tr w:rsidR="00DE7249" w:rsidRPr="00BC14F0" w14:paraId="2FFDCE7E" w14:textId="77777777" w:rsidTr="00542E8A">
        <w:tc>
          <w:tcPr>
            <w:tcW w:w="1515" w:type="pct"/>
            <w:hideMark/>
          </w:tcPr>
          <w:p w14:paraId="65A3E4F2" w14:textId="77777777" w:rsidR="002F0B7B" w:rsidRPr="00BC14F0" w:rsidRDefault="002F0B7B" w:rsidP="00BC14F0">
            <w:pPr>
              <w:spacing w:line="240" w:lineRule="auto"/>
              <w:rPr>
                <w:sz w:val="24"/>
                <w:szCs w:val="24"/>
              </w:rPr>
            </w:pPr>
            <w:r w:rsidRPr="00BC14F0">
              <w:rPr>
                <w:sz w:val="24"/>
                <w:szCs w:val="24"/>
              </w:rPr>
              <w:t>6.2. detalizēts izdevumu aprēķins</w:t>
            </w:r>
          </w:p>
        </w:tc>
        <w:tc>
          <w:tcPr>
            <w:tcW w:w="3485" w:type="pct"/>
            <w:gridSpan w:val="5"/>
            <w:vMerge/>
            <w:hideMark/>
          </w:tcPr>
          <w:p w14:paraId="5B92F640" w14:textId="77777777" w:rsidR="002F0B7B" w:rsidRPr="00BC14F0" w:rsidRDefault="002F0B7B" w:rsidP="00BC14F0">
            <w:pPr>
              <w:spacing w:line="240" w:lineRule="auto"/>
              <w:rPr>
                <w:sz w:val="24"/>
                <w:szCs w:val="24"/>
              </w:rPr>
            </w:pPr>
          </w:p>
        </w:tc>
      </w:tr>
      <w:tr w:rsidR="003E274D" w:rsidRPr="00BC14F0" w14:paraId="397EBD6E" w14:textId="77777777" w:rsidTr="00542E8A">
        <w:trPr>
          <w:trHeight w:val="302"/>
        </w:trPr>
        <w:tc>
          <w:tcPr>
            <w:tcW w:w="1515" w:type="pct"/>
            <w:hideMark/>
          </w:tcPr>
          <w:p w14:paraId="36E77810" w14:textId="77777777" w:rsidR="002F0B7B" w:rsidRPr="00BC14F0" w:rsidRDefault="002F0B7B" w:rsidP="00BC14F0">
            <w:pPr>
              <w:spacing w:line="240" w:lineRule="auto"/>
              <w:rPr>
                <w:sz w:val="24"/>
                <w:szCs w:val="24"/>
              </w:rPr>
            </w:pPr>
            <w:r w:rsidRPr="00BC14F0">
              <w:rPr>
                <w:sz w:val="24"/>
                <w:szCs w:val="24"/>
              </w:rPr>
              <w:t>7. Cita informācija</w:t>
            </w:r>
          </w:p>
        </w:tc>
        <w:tc>
          <w:tcPr>
            <w:tcW w:w="3485" w:type="pct"/>
            <w:gridSpan w:val="5"/>
          </w:tcPr>
          <w:p w14:paraId="68F5D1CE" w14:textId="16C08C3E" w:rsidR="00FE0BD6" w:rsidRPr="00FE0BD6" w:rsidRDefault="00FE0BD6" w:rsidP="00796AD6">
            <w:pPr>
              <w:spacing w:line="240" w:lineRule="auto"/>
              <w:ind w:firstLine="0"/>
              <w:rPr>
                <w:sz w:val="24"/>
                <w:szCs w:val="24"/>
              </w:rPr>
            </w:pPr>
            <w:r w:rsidRPr="00FE0BD6">
              <w:rPr>
                <w:sz w:val="24"/>
                <w:szCs w:val="24"/>
              </w:rPr>
              <w:t>Jautājums par finansējuma piešķiršanu VSIA “Autotransporta direkcija” papildu funkciju nodrošināšanai skatāms Ministru kabinetā likumprojekta “Par valsts budžetu 2018.gadam” un likumprojekta “Par vidējā termiņa budžeta ietvaru 2018., 2019. un 2020.gadam” sagatavošanas procesā,  ievērojot valsts budžeta finansiālās iespējas.</w:t>
            </w:r>
          </w:p>
        </w:tc>
      </w:tr>
    </w:tbl>
    <w:p w14:paraId="4E35E686" w14:textId="77777777" w:rsidR="00E75E1C" w:rsidRPr="00BC14F0" w:rsidRDefault="00E75E1C" w:rsidP="00BC14F0">
      <w:pPr>
        <w:spacing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2"/>
        <w:gridCol w:w="2397"/>
        <w:gridCol w:w="6538"/>
      </w:tblGrid>
      <w:tr w:rsidR="00DE7249" w:rsidRPr="00BC14F0" w14:paraId="262BF042" w14:textId="77777777" w:rsidTr="006220E9">
        <w:trPr>
          <w:trHeight w:val="45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D97A0D" w14:textId="77777777" w:rsidR="006220E9" w:rsidRPr="00BC14F0" w:rsidRDefault="00914EFB" w:rsidP="00BC14F0">
            <w:pPr>
              <w:spacing w:line="240" w:lineRule="auto"/>
              <w:ind w:firstLine="0"/>
              <w:jc w:val="center"/>
              <w:rPr>
                <w:rFonts w:eastAsia="Times New Roman"/>
                <w:b/>
                <w:bCs/>
                <w:sz w:val="24"/>
                <w:szCs w:val="24"/>
                <w:lang w:eastAsia="lv-LV"/>
              </w:rPr>
            </w:pPr>
            <w:r w:rsidRPr="00BC14F0">
              <w:rPr>
                <w:rFonts w:eastAsia="Times New Roman"/>
                <w:b/>
                <w:bCs/>
                <w:sz w:val="24"/>
                <w:szCs w:val="24"/>
                <w:lang w:eastAsia="lv-LV"/>
              </w:rPr>
              <w:t>IV. Tiesību akta projekta ietekme uz spēkā esošo tiesību normu sistēmu</w:t>
            </w:r>
          </w:p>
        </w:tc>
      </w:tr>
      <w:tr w:rsidR="00DE7249" w:rsidRPr="00BC14F0" w14:paraId="24595307" w14:textId="77777777" w:rsidTr="00542E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EACDBE7"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1.</w:t>
            </w:r>
          </w:p>
        </w:tc>
        <w:tc>
          <w:tcPr>
            <w:tcW w:w="1253" w:type="pct"/>
            <w:tcBorders>
              <w:top w:val="outset" w:sz="6" w:space="0" w:color="auto"/>
              <w:left w:val="outset" w:sz="6" w:space="0" w:color="auto"/>
              <w:bottom w:val="outset" w:sz="6" w:space="0" w:color="auto"/>
              <w:right w:val="outset" w:sz="6" w:space="0" w:color="auto"/>
            </w:tcBorders>
            <w:hideMark/>
          </w:tcPr>
          <w:p w14:paraId="487D3B82"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Nepieciešamie saistītie tiesību aktu projekti</w:t>
            </w:r>
          </w:p>
        </w:tc>
        <w:tc>
          <w:tcPr>
            <w:tcW w:w="3436" w:type="pct"/>
            <w:tcBorders>
              <w:top w:val="outset" w:sz="6" w:space="0" w:color="auto"/>
              <w:left w:val="outset" w:sz="6" w:space="0" w:color="auto"/>
              <w:bottom w:val="outset" w:sz="6" w:space="0" w:color="auto"/>
              <w:right w:val="outset" w:sz="6" w:space="0" w:color="auto"/>
            </w:tcBorders>
            <w:hideMark/>
          </w:tcPr>
          <w:p w14:paraId="0760B72F" w14:textId="77777777" w:rsidR="008D6F95" w:rsidRPr="00BC14F0" w:rsidRDefault="002851C8" w:rsidP="00BC14F0">
            <w:pPr>
              <w:spacing w:line="240" w:lineRule="auto"/>
              <w:ind w:firstLine="0"/>
              <w:rPr>
                <w:rFonts w:eastAsia="Times New Roman"/>
                <w:sz w:val="24"/>
                <w:szCs w:val="24"/>
                <w:lang w:eastAsia="lv-LV"/>
              </w:rPr>
            </w:pPr>
            <w:r w:rsidRPr="00BC14F0">
              <w:rPr>
                <w:rFonts w:eastAsia="Times New Roman"/>
                <w:sz w:val="24"/>
                <w:szCs w:val="24"/>
                <w:lang w:eastAsia="lv-LV"/>
              </w:rPr>
              <w:t>Saistībā ar likumprojektu ir paredzēts izstrādāt</w:t>
            </w:r>
            <w:r w:rsidR="008D6F95" w:rsidRPr="00BC14F0">
              <w:rPr>
                <w:rFonts w:eastAsia="Times New Roman"/>
                <w:sz w:val="24"/>
                <w:szCs w:val="24"/>
                <w:lang w:eastAsia="lv-LV"/>
              </w:rPr>
              <w:t xml:space="preserve"> šādus normatīvo aktu projektus:</w:t>
            </w:r>
          </w:p>
          <w:p w14:paraId="24602818" w14:textId="77777777" w:rsidR="008D6F95" w:rsidRPr="00BC14F0" w:rsidRDefault="008D6F95" w:rsidP="00BC14F0">
            <w:pPr>
              <w:spacing w:line="240" w:lineRule="auto"/>
              <w:ind w:firstLine="0"/>
              <w:rPr>
                <w:sz w:val="24"/>
                <w:szCs w:val="24"/>
              </w:rPr>
            </w:pPr>
            <w:r w:rsidRPr="00BC14F0">
              <w:rPr>
                <w:rFonts w:eastAsia="Times New Roman"/>
                <w:sz w:val="24"/>
                <w:szCs w:val="24"/>
                <w:lang w:eastAsia="lv-LV"/>
              </w:rPr>
              <w:t xml:space="preserve">- </w:t>
            </w:r>
            <w:r w:rsidR="002851C8" w:rsidRPr="00BC14F0">
              <w:rPr>
                <w:rFonts w:eastAsia="Times New Roman"/>
                <w:sz w:val="24"/>
                <w:szCs w:val="24"/>
                <w:lang w:eastAsia="lv-LV"/>
              </w:rPr>
              <w:t xml:space="preserve"> grozījumus</w:t>
            </w:r>
            <w:r w:rsidR="002851C8" w:rsidRPr="00BC14F0">
              <w:rPr>
                <w:sz w:val="24"/>
                <w:szCs w:val="24"/>
              </w:rPr>
              <w:t xml:space="preserve"> </w:t>
            </w:r>
            <w:r w:rsidR="00490361" w:rsidRPr="00BC14F0">
              <w:rPr>
                <w:sz w:val="24"/>
                <w:szCs w:val="24"/>
              </w:rPr>
              <w:t>Ministru kabineta</w:t>
            </w:r>
            <w:r w:rsidR="002851C8" w:rsidRPr="00BC14F0">
              <w:rPr>
                <w:sz w:val="24"/>
                <w:szCs w:val="24"/>
              </w:rPr>
              <w:t xml:space="preserve"> 2007.gada 11.decembra noteikumos</w:t>
            </w:r>
            <w:r w:rsidR="00490361" w:rsidRPr="00BC14F0">
              <w:rPr>
                <w:sz w:val="24"/>
                <w:szCs w:val="24"/>
              </w:rPr>
              <w:t xml:space="preserve"> Nr.846 „Noteikumi par autoostu reģistrācijas kārtību, autoostās obligāti sniedzamajiem pakalpojumiem un kārtību, kādā autobusi iebrauc un stāv autoostas teritorijā”</w:t>
            </w:r>
            <w:r w:rsidR="00D8350C" w:rsidRPr="00BC14F0">
              <w:rPr>
                <w:sz w:val="24"/>
                <w:szCs w:val="24"/>
              </w:rPr>
              <w:t xml:space="preserve">, </w:t>
            </w:r>
          </w:p>
          <w:p w14:paraId="17EEE608" w14:textId="77777777" w:rsidR="00333118" w:rsidRPr="00BC14F0" w:rsidRDefault="008D6F95" w:rsidP="00BC14F0">
            <w:pPr>
              <w:spacing w:line="240" w:lineRule="auto"/>
              <w:ind w:firstLine="0"/>
              <w:rPr>
                <w:sz w:val="24"/>
                <w:szCs w:val="24"/>
              </w:rPr>
            </w:pPr>
            <w:r w:rsidRPr="00BC14F0">
              <w:rPr>
                <w:sz w:val="24"/>
                <w:szCs w:val="24"/>
              </w:rPr>
              <w:t>-</w:t>
            </w:r>
            <w:r w:rsidR="00EC5AE5" w:rsidRPr="00BC14F0">
              <w:rPr>
                <w:sz w:val="24"/>
                <w:szCs w:val="24"/>
              </w:rPr>
              <w:t xml:space="preserve"> </w:t>
            </w:r>
            <w:r w:rsidRPr="00BC14F0">
              <w:rPr>
                <w:sz w:val="24"/>
                <w:szCs w:val="24"/>
              </w:rPr>
              <w:t xml:space="preserve">grozījumus </w:t>
            </w:r>
            <w:r w:rsidR="00D8350C" w:rsidRPr="00BC14F0">
              <w:rPr>
                <w:sz w:val="24"/>
                <w:szCs w:val="24"/>
              </w:rPr>
              <w:t>Ministru kabineta 2012.gada 3.jūlija noteikumos Nr.468 „Noteikumi par pasažieru pārvadāšanu ar vieglajiem taksometriem”,</w:t>
            </w:r>
          </w:p>
          <w:p w14:paraId="42FB750E" w14:textId="77777777" w:rsidR="00333118" w:rsidRPr="00BC14F0" w:rsidRDefault="00333118" w:rsidP="00BC14F0">
            <w:pPr>
              <w:spacing w:line="240" w:lineRule="auto"/>
              <w:ind w:firstLine="0"/>
              <w:rPr>
                <w:sz w:val="24"/>
                <w:szCs w:val="24"/>
              </w:rPr>
            </w:pPr>
            <w:r w:rsidRPr="00BC14F0">
              <w:rPr>
                <w:sz w:val="24"/>
                <w:szCs w:val="24"/>
              </w:rPr>
              <w:t>- grozījumus</w:t>
            </w:r>
            <w:r w:rsidR="00D8350C" w:rsidRPr="00BC14F0">
              <w:rPr>
                <w:sz w:val="24"/>
                <w:szCs w:val="24"/>
              </w:rPr>
              <w:t xml:space="preserve"> Ministru kabineta 2013.gada 3.septembra noteikumos Nr.732  “Valsts sabiedrības ar ierobežotu atbildību "Autotransporta direkcija" maksas pakalpojumu cenrādis”, </w:t>
            </w:r>
          </w:p>
          <w:p w14:paraId="43C6841C" w14:textId="77777777" w:rsidR="007D25E0" w:rsidRPr="00BC14F0" w:rsidRDefault="00333118" w:rsidP="00BC14F0">
            <w:pPr>
              <w:spacing w:line="240" w:lineRule="auto"/>
              <w:ind w:firstLine="0"/>
              <w:rPr>
                <w:sz w:val="24"/>
                <w:szCs w:val="24"/>
              </w:rPr>
            </w:pPr>
            <w:r w:rsidRPr="00BC14F0">
              <w:rPr>
                <w:sz w:val="24"/>
                <w:szCs w:val="24"/>
              </w:rPr>
              <w:t xml:space="preserve">- </w:t>
            </w:r>
            <w:r w:rsidR="00D8350C" w:rsidRPr="00BC14F0">
              <w:rPr>
                <w:sz w:val="24"/>
                <w:szCs w:val="24"/>
              </w:rPr>
              <w:t>noteikumu projektu par taksometru vadītāju sertificēšanu</w:t>
            </w:r>
            <w:r w:rsidR="00EC5AE5" w:rsidRPr="00BC14F0">
              <w:rPr>
                <w:sz w:val="24"/>
                <w:szCs w:val="24"/>
              </w:rPr>
              <w:t>,</w:t>
            </w:r>
          </w:p>
          <w:p w14:paraId="31C700D6" w14:textId="77777777" w:rsidR="00EC5AE5" w:rsidRPr="00A347ED" w:rsidRDefault="00EC5AE5" w:rsidP="00BC14F0">
            <w:pPr>
              <w:spacing w:line="240" w:lineRule="auto"/>
              <w:ind w:firstLine="0"/>
              <w:rPr>
                <w:sz w:val="24"/>
                <w:szCs w:val="24"/>
              </w:rPr>
            </w:pPr>
            <w:r w:rsidRPr="00BC14F0">
              <w:rPr>
                <w:sz w:val="24"/>
                <w:szCs w:val="24"/>
              </w:rPr>
              <w:t xml:space="preserve">- 9 republikas pilsētu pašvaldībām jāgroza vai </w:t>
            </w:r>
            <w:r w:rsidRPr="00A347ED">
              <w:rPr>
                <w:sz w:val="24"/>
                <w:szCs w:val="24"/>
              </w:rPr>
              <w:t xml:space="preserve">jāizdod pašvaldību saistošie noteikumi saistībā ar taksometru </w:t>
            </w:r>
            <w:r w:rsidR="00890C0E" w:rsidRPr="00A347ED">
              <w:rPr>
                <w:sz w:val="24"/>
                <w:szCs w:val="24"/>
              </w:rPr>
              <w:t xml:space="preserve">pārvadājumu licencēšanu </w:t>
            </w:r>
            <w:r w:rsidRPr="00A347ED">
              <w:rPr>
                <w:sz w:val="24"/>
                <w:szCs w:val="24"/>
              </w:rPr>
              <w:t>,</w:t>
            </w:r>
          </w:p>
          <w:p w14:paraId="3A77E357" w14:textId="3CB26D92" w:rsidR="00EC5AE5" w:rsidRPr="00BC14F0" w:rsidRDefault="00EC5AE5" w:rsidP="00C0155E">
            <w:pPr>
              <w:spacing w:line="240" w:lineRule="auto"/>
              <w:ind w:firstLine="0"/>
              <w:rPr>
                <w:sz w:val="24"/>
                <w:szCs w:val="24"/>
              </w:rPr>
            </w:pPr>
            <w:r w:rsidRPr="00A347ED">
              <w:rPr>
                <w:sz w:val="24"/>
                <w:szCs w:val="24"/>
              </w:rPr>
              <w:t xml:space="preserve">- </w:t>
            </w:r>
            <w:r w:rsidR="00C0155E" w:rsidRPr="00A347ED">
              <w:rPr>
                <w:sz w:val="24"/>
                <w:szCs w:val="24"/>
              </w:rPr>
              <w:t xml:space="preserve">zaudēs </w:t>
            </w:r>
            <w:r w:rsidRPr="00A347ED">
              <w:rPr>
                <w:sz w:val="24"/>
                <w:szCs w:val="24"/>
              </w:rPr>
              <w:t xml:space="preserve">spēku </w:t>
            </w:r>
            <w:r w:rsidR="00C0155E" w:rsidRPr="00A347ED">
              <w:rPr>
                <w:sz w:val="24"/>
                <w:szCs w:val="24"/>
              </w:rPr>
              <w:t>36</w:t>
            </w:r>
            <w:r w:rsidR="00C0155E">
              <w:rPr>
                <w:sz w:val="24"/>
                <w:szCs w:val="24"/>
              </w:rPr>
              <w:t xml:space="preserve"> </w:t>
            </w:r>
            <w:r w:rsidRPr="00A347ED">
              <w:rPr>
                <w:sz w:val="24"/>
                <w:szCs w:val="24"/>
              </w:rPr>
              <w:t xml:space="preserve">pašvaldību saistošie noteikumi </w:t>
            </w:r>
            <w:r w:rsidR="00C0155E">
              <w:rPr>
                <w:sz w:val="24"/>
                <w:szCs w:val="24"/>
              </w:rPr>
              <w:t>p</w:t>
            </w:r>
            <w:r w:rsidRPr="00A347ED">
              <w:rPr>
                <w:sz w:val="24"/>
                <w:szCs w:val="24"/>
              </w:rPr>
              <w:t>ar taksometru</w:t>
            </w:r>
            <w:r w:rsidR="00890C0E" w:rsidRPr="00A347ED">
              <w:rPr>
                <w:sz w:val="24"/>
                <w:szCs w:val="24"/>
              </w:rPr>
              <w:t xml:space="preserve"> pārv</w:t>
            </w:r>
            <w:r w:rsidR="00C95BEE" w:rsidRPr="00A347ED">
              <w:rPr>
                <w:sz w:val="24"/>
                <w:szCs w:val="24"/>
              </w:rPr>
              <w:t>a</w:t>
            </w:r>
            <w:r w:rsidR="00890C0E" w:rsidRPr="00A347ED">
              <w:rPr>
                <w:sz w:val="24"/>
                <w:szCs w:val="24"/>
              </w:rPr>
              <w:t>dājumu licencēšanu</w:t>
            </w:r>
            <w:r w:rsidRPr="00A347ED">
              <w:rPr>
                <w:sz w:val="24"/>
                <w:szCs w:val="24"/>
              </w:rPr>
              <w:t>.</w:t>
            </w:r>
          </w:p>
        </w:tc>
      </w:tr>
      <w:tr w:rsidR="00DE7249" w:rsidRPr="00BC14F0" w14:paraId="67B7BA3C" w14:textId="77777777" w:rsidTr="00542E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1D305E4"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2.</w:t>
            </w:r>
          </w:p>
        </w:tc>
        <w:tc>
          <w:tcPr>
            <w:tcW w:w="1253" w:type="pct"/>
            <w:tcBorders>
              <w:top w:val="outset" w:sz="6" w:space="0" w:color="auto"/>
              <w:left w:val="outset" w:sz="6" w:space="0" w:color="auto"/>
              <w:bottom w:val="outset" w:sz="6" w:space="0" w:color="auto"/>
              <w:right w:val="outset" w:sz="6" w:space="0" w:color="auto"/>
            </w:tcBorders>
            <w:hideMark/>
          </w:tcPr>
          <w:p w14:paraId="6795C734"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Atbildīgā institūcija</w:t>
            </w:r>
          </w:p>
        </w:tc>
        <w:tc>
          <w:tcPr>
            <w:tcW w:w="3436" w:type="pct"/>
            <w:tcBorders>
              <w:top w:val="outset" w:sz="6" w:space="0" w:color="auto"/>
              <w:left w:val="outset" w:sz="6" w:space="0" w:color="auto"/>
              <w:bottom w:val="outset" w:sz="6" w:space="0" w:color="auto"/>
              <w:right w:val="outset" w:sz="6" w:space="0" w:color="auto"/>
            </w:tcBorders>
            <w:hideMark/>
          </w:tcPr>
          <w:p w14:paraId="78080BC0" w14:textId="2D5CA0D2"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Satiksmes ministrija</w:t>
            </w:r>
            <w:r w:rsidR="00C0155E">
              <w:rPr>
                <w:rFonts w:eastAsia="Times New Roman"/>
                <w:sz w:val="24"/>
                <w:szCs w:val="24"/>
                <w:lang w:eastAsia="lv-LV"/>
              </w:rPr>
              <w:t>, Republikas pilsētu pašvaldības.</w:t>
            </w:r>
          </w:p>
        </w:tc>
      </w:tr>
      <w:tr w:rsidR="00DE7249" w:rsidRPr="00BC14F0" w14:paraId="0241F823" w14:textId="77777777" w:rsidTr="00542E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E7088CF"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3.</w:t>
            </w:r>
          </w:p>
        </w:tc>
        <w:tc>
          <w:tcPr>
            <w:tcW w:w="1253" w:type="pct"/>
            <w:tcBorders>
              <w:top w:val="outset" w:sz="6" w:space="0" w:color="auto"/>
              <w:left w:val="outset" w:sz="6" w:space="0" w:color="auto"/>
              <w:bottom w:val="outset" w:sz="6" w:space="0" w:color="auto"/>
              <w:right w:val="outset" w:sz="6" w:space="0" w:color="auto"/>
            </w:tcBorders>
            <w:hideMark/>
          </w:tcPr>
          <w:p w14:paraId="0E3D2E17" w14:textId="77777777" w:rsidR="00914EFB"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Cita informācija</w:t>
            </w:r>
          </w:p>
        </w:tc>
        <w:tc>
          <w:tcPr>
            <w:tcW w:w="3436" w:type="pct"/>
            <w:tcBorders>
              <w:top w:val="outset" w:sz="6" w:space="0" w:color="auto"/>
              <w:left w:val="outset" w:sz="6" w:space="0" w:color="auto"/>
              <w:bottom w:val="outset" w:sz="6" w:space="0" w:color="auto"/>
              <w:right w:val="outset" w:sz="6" w:space="0" w:color="auto"/>
            </w:tcBorders>
            <w:hideMark/>
          </w:tcPr>
          <w:p w14:paraId="5C1DE75E" w14:textId="77777777" w:rsidR="006220E9" w:rsidRPr="00BC14F0" w:rsidRDefault="00914EFB" w:rsidP="00BC14F0">
            <w:pPr>
              <w:spacing w:line="240" w:lineRule="auto"/>
              <w:ind w:firstLine="0"/>
              <w:jc w:val="left"/>
              <w:rPr>
                <w:rFonts w:eastAsia="Times New Roman"/>
                <w:sz w:val="24"/>
                <w:szCs w:val="24"/>
                <w:lang w:eastAsia="lv-LV"/>
              </w:rPr>
            </w:pPr>
            <w:r w:rsidRPr="00BC14F0">
              <w:rPr>
                <w:rFonts w:eastAsia="Times New Roman"/>
                <w:sz w:val="24"/>
                <w:szCs w:val="24"/>
                <w:lang w:eastAsia="lv-LV"/>
              </w:rPr>
              <w:t>Nav.</w:t>
            </w:r>
          </w:p>
        </w:tc>
      </w:tr>
    </w:tbl>
    <w:p w14:paraId="37D91B46" w14:textId="77777777" w:rsidR="003423FD" w:rsidRPr="00BC14F0" w:rsidRDefault="003423FD" w:rsidP="00BC14F0">
      <w:pPr>
        <w:spacing w:line="240" w:lineRule="auto"/>
        <w:ind w:firstLine="0"/>
        <w:rPr>
          <w:sz w:val="24"/>
          <w:szCs w:val="24"/>
        </w:rPr>
      </w:pPr>
    </w:p>
    <w:tbl>
      <w:tblPr>
        <w:tblW w:w="938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2"/>
        <w:gridCol w:w="2462"/>
        <w:gridCol w:w="6462"/>
      </w:tblGrid>
      <w:tr w:rsidR="00DE7249" w:rsidRPr="00BC14F0" w14:paraId="3209206C" w14:textId="77777777" w:rsidTr="006339EF">
        <w:tc>
          <w:tcPr>
            <w:tcW w:w="9386" w:type="dxa"/>
            <w:gridSpan w:val="3"/>
            <w:tcBorders>
              <w:top w:val="outset" w:sz="6" w:space="0" w:color="auto"/>
              <w:left w:val="outset" w:sz="6" w:space="0" w:color="auto"/>
              <w:bottom w:val="outset" w:sz="6" w:space="0" w:color="auto"/>
              <w:right w:val="outset" w:sz="6" w:space="0" w:color="auto"/>
            </w:tcBorders>
            <w:vAlign w:val="center"/>
            <w:hideMark/>
          </w:tcPr>
          <w:p w14:paraId="1EF82DFE" w14:textId="77777777" w:rsidR="003423FD" w:rsidRPr="00BC14F0" w:rsidRDefault="003423FD" w:rsidP="00BC14F0">
            <w:pPr>
              <w:spacing w:line="240" w:lineRule="auto"/>
              <w:ind w:firstLine="0"/>
              <w:jc w:val="center"/>
              <w:rPr>
                <w:sz w:val="24"/>
                <w:szCs w:val="24"/>
                <w:lang w:eastAsia="lv-LV"/>
              </w:rPr>
            </w:pPr>
            <w:r w:rsidRPr="00BC14F0">
              <w:rPr>
                <w:b/>
                <w:bCs/>
                <w:sz w:val="24"/>
                <w:szCs w:val="24"/>
                <w:lang w:eastAsia="lv-LV"/>
              </w:rPr>
              <w:t>V. Tiesību akta projekta atbilstība Latvijas Republikas starptautiskajām saistībām</w:t>
            </w:r>
          </w:p>
        </w:tc>
      </w:tr>
      <w:tr w:rsidR="00DE7249" w:rsidRPr="00BC14F0" w14:paraId="611F4087" w14:textId="77777777" w:rsidTr="006339EF">
        <w:tc>
          <w:tcPr>
            <w:tcW w:w="462" w:type="dxa"/>
            <w:tcBorders>
              <w:top w:val="outset" w:sz="6" w:space="0" w:color="auto"/>
              <w:left w:val="outset" w:sz="6" w:space="0" w:color="auto"/>
              <w:bottom w:val="outset" w:sz="6" w:space="0" w:color="auto"/>
              <w:right w:val="outset" w:sz="6" w:space="0" w:color="auto"/>
            </w:tcBorders>
            <w:hideMark/>
          </w:tcPr>
          <w:p w14:paraId="232D9D16"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1.</w:t>
            </w:r>
          </w:p>
        </w:tc>
        <w:tc>
          <w:tcPr>
            <w:tcW w:w="2462" w:type="dxa"/>
            <w:tcBorders>
              <w:top w:val="outset" w:sz="6" w:space="0" w:color="auto"/>
              <w:left w:val="outset" w:sz="6" w:space="0" w:color="auto"/>
              <w:bottom w:val="outset" w:sz="6" w:space="0" w:color="auto"/>
              <w:right w:val="outset" w:sz="6" w:space="0" w:color="auto"/>
            </w:tcBorders>
            <w:hideMark/>
          </w:tcPr>
          <w:p w14:paraId="27F02445"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Saistības pret Eiropas Savienību</w:t>
            </w:r>
          </w:p>
        </w:tc>
        <w:tc>
          <w:tcPr>
            <w:tcW w:w="6462" w:type="dxa"/>
            <w:tcBorders>
              <w:top w:val="outset" w:sz="6" w:space="0" w:color="auto"/>
              <w:left w:val="outset" w:sz="6" w:space="0" w:color="auto"/>
              <w:bottom w:val="outset" w:sz="6" w:space="0" w:color="auto"/>
              <w:right w:val="outset" w:sz="6" w:space="0" w:color="auto"/>
            </w:tcBorders>
            <w:hideMark/>
          </w:tcPr>
          <w:p w14:paraId="42AC2549" w14:textId="77777777" w:rsidR="003423FD" w:rsidRPr="00BC14F0" w:rsidRDefault="003423FD" w:rsidP="00BC14F0">
            <w:pPr>
              <w:spacing w:line="240" w:lineRule="auto"/>
              <w:ind w:firstLine="0"/>
              <w:rPr>
                <w:sz w:val="24"/>
                <w:szCs w:val="24"/>
                <w:lang w:eastAsia="lv-LV"/>
              </w:rPr>
            </w:pPr>
            <w:r w:rsidRPr="00BC14F0">
              <w:rPr>
                <w:sz w:val="24"/>
                <w:szCs w:val="24"/>
                <w:lang w:eastAsia="lv-LV"/>
              </w:rPr>
              <w:t>Regula (ES) Nr.181/2011 pieņemta 2011.gada 16.februārī un tiek piemērota ar 2013.gada 1.martu.</w:t>
            </w:r>
          </w:p>
        </w:tc>
      </w:tr>
      <w:tr w:rsidR="00DE7249" w:rsidRPr="00BC14F0" w14:paraId="7E8FD557" w14:textId="77777777" w:rsidTr="006339EF">
        <w:tc>
          <w:tcPr>
            <w:tcW w:w="462" w:type="dxa"/>
            <w:tcBorders>
              <w:top w:val="outset" w:sz="6" w:space="0" w:color="auto"/>
              <w:left w:val="outset" w:sz="6" w:space="0" w:color="auto"/>
              <w:bottom w:val="outset" w:sz="6" w:space="0" w:color="auto"/>
              <w:right w:val="outset" w:sz="6" w:space="0" w:color="auto"/>
            </w:tcBorders>
            <w:hideMark/>
          </w:tcPr>
          <w:p w14:paraId="06FB612D"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2.</w:t>
            </w:r>
          </w:p>
        </w:tc>
        <w:tc>
          <w:tcPr>
            <w:tcW w:w="2462" w:type="dxa"/>
            <w:tcBorders>
              <w:top w:val="outset" w:sz="6" w:space="0" w:color="auto"/>
              <w:left w:val="outset" w:sz="6" w:space="0" w:color="auto"/>
              <w:bottom w:val="outset" w:sz="6" w:space="0" w:color="auto"/>
              <w:right w:val="outset" w:sz="6" w:space="0" w:color="auto"/>
            </w:tcBorders>
            <w:hideMark/>
          </w:tcPr>
          <w:p w14:paraId="74CB9E90"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Citas starptautiskās saistības</w:t>
            </w:r>
          </w:p>
        </w:tc>
        <w:tc>
          <w:tcPr>
            <w:tcW w:w="6462" w:type="dxa"/>
            <w:tcBorders>
              <w:top w:val="outset" w:sz="6" w:space="0" w:color="auto"/>
              <w:left w:val="outset" w:sz="6" w:space="0" w:color="auto"/>
              <w:bottom w:val="outset" w:sz="6" w:space="0" w:color="auto"/>
              <w:right w:val="outset" w:sz="6" w:space="0" w:color="auto"/>
            </w:tcBorders>
            <w:hideMark/>
          </w:tcPr>
          <w:p w14:paraId="428EE263"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Projekts šo jomu neskar.</w:t>
            </w:r>
          </w:p>
        </w:tc>
      </w:tr>
      <w:tr w:rsidR="003423FD" w:rsidRPr="00BC14F0" w14:paraId="3B6E6093" w14:textId="77777777" w:rsidTr="006339EF">
        <w:tc>
          <w:tcPr>
            <w:tcW w:w="462" w:type="dxa"/>
            <w:tcBorders>
              <w:top w:val="outset" w:sz="6" w:space="0" w:color="auto"/>
              <w:left w:val="outset" w:sz="6" w:space="0" w:color="auto"/>
              <w:bottom w:val="outset" w:sz="6" w:space="0" w:color="auto"/>
              <w:right w:val="outset" w:sz="6" w:space="0" w:color="auto"/>
            </w:tcBorders>
            <w:hideMark/>
          </w:tcPr>
          <w:p w14:paraId="6EF8619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3.</w:t>
            </w:r>
          </w:p>
        </w:tc>
        <w:tc>
          <w:tcPr>
            <w:tcW w:w="2462" w:type="dxa"/>
            <w:tcBorders>
              <w:top w:val="outset" w:sz="6" w:space="0" w:color="auto"/>
              <w:left w:val="outset" w:sz="6" w:space="0" w:color="auto"/>
              <w:bottom w:val="outset" w:sz="6" w:space="0" w:color="auto"/>
              <w:right w:val="outset" w:sz="6" w:space="0" w:color="auto"/>
            </w:tcBorders>
            <w:hideMark/>
          </w:tcPr>
          <w:p w14:paraId="49C4C8C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Cita informācija</w:t>
            </w:r>
          </w:p>
        </w:tc>
        <w:tc>
          <w:tcPr>
            <w:tcW w:w="6462" w:type="dxa"/>
            <w:tcBorders>
              <w:top w:val="outset" w:sz="6" w:space="0" w:color="auto"/>
              <w:left w:val="outset" w:sz="6" w:space="0" w:color="auto"/>
              <w:bottom w:val="outset" w:sz="6" w:space="0" w:color="auto"/>
              <w:right w:val="outset" w:sz="6" w:space="0" w:color="auto"/>
            </w:tcBorders>
            <w:hideMark/>
          </w:tcPr>
          <w:p w14:paraId="1D575BED" w14:textId="77777777" w:rsidR="003423FD" w:rsidRPr="00BC14F0" w:rsidRDefault="003423FD" w:rsidP="00BC14F0">
            <w:pPr>
              <w:spacing w:line="240" w:lineRule="auto"/>
              <w:ind w:firstLine="0"/>
              <w:rPr>
                <w:sz w:val="24"/>
                <w:szCs w:val="24"/>
                <w:lang w:eastAsia="lv-LV"/>
              </w:rPr>
            </w:pPr>
            <w:r w:rsidRPr="00BC14F0">
              <w:rPr>
                <w:sz w:val="24"/>
                <w:szCs w:val="24"/>
                <w:lang w:eastAsia="lv-LV"/>
              </w:rPr>
              <w:t>Nav</w:t>
            </w:r>
          </w:p>
        </w:tc>
      </w:tr>
    </w:tbl>
    <w:p w14:paraId="147BBA33" w14:textId="77777777" w:rsidR="003423FD" w:rsidRPr="00BC14F0" w:rsidRDefault="003423FD" w:rsidP="00BC14F0">
      <w:pPr>
        <w:spacing w:line="240" w:lineRule="auto"/>
        <w:ind w:firstLine="0"/>
        <w:jc w:val="left"/>
        <w:rPr>
          <w:vanish/>
          <w:sz w:val="26"/>
          <w:szCs w:val="26"/>
          <w:lang w:eastAsia="lv-LV"/>
        </w:rPr>
      </w:pPr>
    </w:p>
    <w:tbl>
      <w:tblPr>
        <w:tblW w:w="938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41"/>
        <w:gridCol w:w="1793"/>
        <w:gridCol w:w="2205"/>
        <w:gridCol w:w="2547"/>
      </w:tblGrid>
      <w:tr w:rsidR="00DE7249" w:rsidRPr="00BC14F0" w14:paraId="2E112AD5" w14:textId="77777777" w:rsidTr="006339EF">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69A3055A" w14:textId="77777777" w:rsidR="003423FD" w:rsidRPr="00BC14F0" w:rsidRDefault="003423FD" w:rsidP="00BC14F0">
            <w:pPr>
              <w:spacing w:line="240" w:lineRule="auto"/>
              <w:ind w:firstLine="0"/>
              <w:jc w:val="center"/>
              <w:rPr>
                <w:sz w:val="24"/>
                <w:szCs w:val="24"/>
                <w:lang w:eastAsia="lv-LV"/>
              </w:rPr>
            </w:pPr>
            <w:r w:rsidRPr="00BC14F0">
              <w:rPr>
                <w:b/>
                <w:bCs/>
                <w:sz w:val="24"/>
                <w:szCs w:val="24"/>
                <w:lang w:eastAsia="lv-LV"/>
              </w:rPr>
              <w:t>1.tabula</w:t>
            </w:r>
            <w:r w:rsidRPr="00BC14F0">
              <w:rPr>
                <w:b/>
                <w:bCs/>
                <w:sz w:val="24"/>
                <w:szCs w:val="24"/>
                <w:lang w:eastAsia="lv-LV"/>
              </w:rPr>
              <w:br/>
              <w:t>Tiesību akta projekta atbilstība ES tiesību aktiem</w:t>
            </w:r>
          </w:p>
        </w:tc>
      </w:tr>
      <w:tr w:rsidR="00DE7249" w:rsidRPr="00BC14F0" w14:paraId="366ED233"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63A4FEC0" w14:textId="77777777" w:rsidR="003423FD" w:rsidRPr="00BC14F0" w:rsidRDefault="003423FD" w:rsidP="00BC14F0">
            <w:pPr>
              <w:spacing w:line="240" w:lineRule="auto"/>
              <w:ind w:firstLine="0"/>
              <w:rPr>
                <w:sz w:val="24"/>
                <w:szCs w:val="24"/>
                <w:lang w:eastAsia="lv-LV"/>
              </w:rPr>
            </w:pPr>
            <w:r w:rsidRPr="00BC14F0">
              <w:rPr>
                <w:sz w:val="24"/>
                <w:szCs w:val="24"/>
                <w:lang w:eastAsia="lv-LV"/>
              </w:rPr>
              <w:t>Attiecīgā ES tiesību akta datums, numurs un nosaukums</w:t>
            </w:r>
          </w:p>
        </w:tc>
        <w:tc>
          <w:tcPr>
            <w:tcW w:w="3474" w:type="pct"/>
            <w:gridSpan w:val="3"/>
            <w:tcBorders>
              <w:top w:val="outset" w:sz="6" w:space="0" w:color="auto"/>
              <w:left w:val="outset" w:sz="6" w:space="0" w:color="auto"/>
              <w:bottom w:val="outset" w:sz="6" w:space="0" w:color="auto"/>
              <w:right w:val="outset" w:sz="6" w:space="0" w:color="auto"/>
            </w:tcBorders>
            <w:hideMark/>
          </w:tcPr>
          <w:p w14:paraId="4BCDEFA1" w14:textId="77777777" w:rsidR="003423FD" w:rsidRPr="00BC14F0" w:rsidRDefault="003423FD" w:rsidP="00BC14F0">
            <w:pPr>
              <w:spacing w:line="240" w:lineRule="auto"/>
              <w:ind w:firstLine="0"/>
              <w:rPr>
                <w:sz w:val="24"/>
                <w:szCs w:val="24"/>
                <w:lang w:eastAsia="lv-LV"/>
              </w:rPr>
            </w:pPr>
            <w:r w:rsidRPr="00BC14F0">
              <w:rPr>
                <w:sz w:val="24"/>
                <w:szCs w:val="24"/>
                <w:lang w:eastAsia="lv-LV"/>
              </w:rPr>
              <w:t>Eiropas Parlamenta un Padomes 2011.gada 16.februāra regulas (ES) Nr.181/2011 par autobusu pasažieru tiesībām un par grozījumiem Regulā (EK) Nr.2006/2004.</w:t>
            </w:r>
          </w:p>
        </w:tc>
      </w:tr>
      <w:tr w:rsidR="00DE7249" w:rsidRPr="00BC14F0" w14:paraId="65C8B8B0" w14:textId="77777777" w:rsidTr="00542E8A">
        <w:tc>
          <w:tcPr>
            <w:tcW w:w="1526" w:type="pct"/>
            <w:tcBorders>
              <w:top w:val="outset" w:sz="6" w:space="0" w:color="auto"/>
              <w:left w:val="outset" w:sz="6" w:space="0" w:color="auto"/>
              <w:bottom w:val="outset" w:sz="6" w:space="0" w:color="auto"/>
              <w:right w:val="outset" w:sz="6" w:space="0" w:color="auto"/>
            </w:tcBorders>
            <w:vAlign w:val="center"/>
            <w:hideMark/>
          </w:tcPr>
          <w:p w14:paraId="5482B8C8"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A</w:t>
            </w:r>
          </w:p>
        </w:tc>
        <w:tc>
          <w:tcPr>
            <w:tcW w:w="918" w:type="pct"/>
            <w:tcBorders>
              <w:top w:val="outset" w:sz="6" w:space="0" w:color="auto"/>
              <w:left w:val="outset" w:sz="6" w:space="0" w:color="auto"/>
              <w:bottom w:val="outset" w:sz="6" w:space="0" w:color="auto"/>
              <w:right w:val="outset" w:sz="6" w:space="0" w:color="auto"/>
            </w:tcBorders>
            <w:vAlign w:val="center"/>
            <w:hideMark/>
          </w:tcPr>
          <w:p w14:paraId="35F7AAB9"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B</w:t>
            </w:r>
          </w:p>
        </w:tc>
        <w:tc>
          <w:tcPr>
            <w:tcW w:w="1187" w:type="pct"/>
            <w:tcBorders>
              <w:top w:val="outset" w:sz="6" w:space="0" w:color="auto"/>
              <w:left w:val="outset" w:sz="6" w:space="0" w:color="auto"/>
              <w:bottom w:val="outset" w:sz="6" w:space="0" w:color="auto"/>
              <w:right w:val="outset" w:sz="6" w:space="0" w:color="auto"/>
            </w:tcBorders>
            <w:vAlign w:val="center"/>
            <w:hideMark/>
          </w:tcPr>
          <w:p w14:paraId="795D3B6B"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C</w:t>
            </w:r>
          </w:p>
        </w:tc>
        <w:tc>
          <w:tcPr>
            <w:tcW w:w="1369" w:type="pct"/>
            <w:tcBorders>
              <w:top w:val="outset" w:sz="6" w:space="0" w:color="auto"/>
              <w:left w:val="outset" w:sz="6" w:space="0" w:color="auto"/>
              <w:bottom w:val="outset" w:sz="6" w:space="0" w:color="auto"/>
              <w:right w:val="outset" w:sz="6" w:space="0" w:color="auto"/>
            </w:tcBorders>
            <w:vAlign w:val="center"/>
            <w:hideMark/>
          </w:tcPr>
          <w:p w14:paraId="08BD6B44" w14:textId="77777777" w:rsidR="003423FD" w:rsidRPr="00BC14F0" w:rsidRDefault="003423FD" w:rsidP="00BC14F0">
            <w:pPr>
              <w:spacing w:line="240" w:lineRule="auto"/>
              <w:ind w:firstLine="0"/>
              <w:jc w:val="center"/>
              <w:rPr>
                <w:sz w:val="24"/>
                <w:szCs w:val="24"/>
                <w:lang w:eastAsia="lv-LV"/>
              </w:rPr>
            </w:pPr>
            <w:r w:rsidRPr="00BC14F0">
              <w:rPr>
                <w:sz w:val="24"/>
                <w:szCs w:val="24"/>
                <w:lang w:eastAsia="lv-LV"/>
              </w:rPr>
              <w:t>D</w:t>
            </w:r>
          </w:p>
        </w:tc>
      </w:tr>
      <w:tr w:rsidR="00DE7249" w:rsidRPr="00BC14F0" w14:paraId="7C4F1F93"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60621F7D" w14:textId="77777777" w:rsidR="003423FD" w:rsidRPr="00BC14F0" w:rsidRDefault="003423FD" w:rsidP="00BC14F0">
            <w:pPr>
              <w:spacing w:line="240" w:lineRule="auto"/>
              <w:ind w:firstLine="0"/>
              <w:rPr>
                <w:sz w:val="24"/>
                <w:szCs w:val="24"/>
                <w:lang w:eastAsia="lv-LV"/>
              </w:rPr>
            </w:pPr>
            <w:r w:rsidRPr="00BC14F0">
              <w:rPr>
                <w:sz w:val="24"/>
                <w:szCs w:val="24"/>
                <w:lang w:eastAsia="lv-LV"/>
              </w:rPr>
              <w:t>Attiecīgā ES tiesību akta panta numurs (uzskaitot katru tiesību akta vienību – pantu, daļu, punktu, apakšpunktu)</w:t>
            </w:r>
          </w:p>
        </w:tc>
        <w:tc>
          <w:tcPr>
            <w:tcW w:w="918" w:type="pct"/>
            <w:tcBorders>
              <w:top w:val="outset" w:sz="6" w:space="0" w:color="auto"/>
              <w:left w:val="outset" w:sz="6" w:space="0" w:color="auto"/>
              <w:bottom w:val="outset" w:sz="6" w:space="0" w:color="auto"/>
              <w:right w:val="outset" w:sz="6" w:space="0" w:color="auto"/>
            </w:tcBorders>
            <w:hideMark/>
          </w:tcPr>
          <w:p w14:paraId="2F5ED94D" w14:textId="77777777" w:rsidR="003423FD" w:rsidRPr="00BC14F0" w:rsidRDefault="003423FD" w:rsidP="00BC14F0">
            <w:pPr>
              <w:spacing w:line="240" w:lineRule="auto"/>
              <w:ind w:firstLine="0"/>
              <w:rPr>
                <w:sz w:val="24"/>
                <w:szCs w:val="24"/>
                <w:lang w:eastAsia="lv-LV"/>
              </w:rPr>
            </w:pPr>
            <w:r w:rsidRPr="00BC14F0">
              <w:rPr>
                <w:sz w:val="24"/>
                <w:szCs w:val="24"/>
                <w:lang w:eastAsia="lv-LV"/>
              </w:rPr>
              <w:t>Projekta vienība, kas pārņem vai ievieš katru šīs tabulas A ailē minēto ES tiesību akta vienību, vai tiesību akts, kur attiecīgā ES tiesību akta vienība pārņemta vai ieviesta</w:t>
            </w:r>
          </w:p>
        </w:tc>
        <w:tc>
          <w:tcPr>
            <w:tcW w:w="1187" w:type="pct"/>
            <w:tcBorders>
              <w:top w:val="outset" w:sz="6" w:space="0" w:color="auto"/>
              <w:left w:val="outset" w:sz="6" w:space="0" w:color="auto"/>
              <w:bottom w:val="outset" w:sz="6" w:space="0" w:color="auto"/>
              <w:right w:val="outset" w:sz="6" w:space="0" w:color="auto"/>
            </w:tcBorders>
            <w:hideMark/>
          </w:tcPr>
          <w:p w14:paraId="64C31F1C" w14:textId="77777777" w:rsidR="003423FD" w:rsidRPr="00BC14F0" w:rsidRDefault="003423FD" w:rsidP="00BC14F0">
            <w:pPr>
              <w:spacing w:line="240" w:lineRule="auto"/>
              <w:ind w:firstLine="0"/>
              <w:rPr>
                <w:sz w:val="24"/>
                <w:szCs w:val="24"/>
                <w:lang w:eastAsia="lv-LV"/>
              </w:rPr>
            </w:pPr>
            <w:r w:rsidRPr="00BC14F0">
              <w:rPr>
                <w:sz w:val="24"/>
                <w:szCs w:val="24"/>
                <w:lang w:eastAsia="lv-LV"/>
              </w:rPr>
              <w:t xml:space="preserve">Informācija par to, vai šīs tabulas A ailē minētās ES tiesību akta vienības tiek pārņemtas vai ieviestas pilnībā vai daļēji. </w:t>
            </w:r>
          </w:p>
          <w:p w14:paraId="2C8D6198" w14:textId="77777777" w:rsidR="003423FD" w:rsidRPr="00BC14F0" w:rsidRDefault="003423FD" w:rsidP="00BC14F0">
            <w:pPr>
              <w:spacing w:line="240" w:lineRule="auto"/>
              <w:ind w:firstLine="0"/>
              <w:rPr>
                <w:sz w:val="24"/>
                <w:szCs w:val="24"/>
                <w:lang w:eastAsia="lv-LV"/>
              </w:rPr>
            </w:pPr>
            <w:r w:rsidRPr="00BC14F0">
              <w:rPr>
                <w:sz w:val="24"/>
                <w:szCs w:val="24"/>
                <w:lang w:eastAsia="lv-LV"/>
              </w:rPr>
              <w:t xml:space="preserve">Ja attiecīgā ES tiesību akta vienība tiek pārņemta vai ieviesta daļēji, sniedz attiecīgu </w:t>
            </w:r>
            <w:r w:rsidRPr="00BC14F0">
              <w:rPr>
                <w:sz w:val="24"/>
                <w:szCs w:val="24"/>
                <w:lang w:eastAsia="lv-LV"/>
              </w:rPr>
              <w:lastRenderedPageBreak/>
              <w:t>skaidrojumu, kā arī precīzi norāda, kad un kādā veidā ES tiesību akta vienība tiks pārņemta vai ieviesta pilnībā.</w:t>
            </w:r>
          </w:p>
          <w:p w14:paraId="46E5D7B0" w14:textId="77777777" w:rsidR="003423FD" w:rsidRPr="00BC14F0" w:rsidRDefault="003423FD" w:rsidP="00BC14F0">
            <w:pPr>
              <w:spacing w:line="240" w:lineRule="auto"/>
              <w:ind w:firstLine="0"/>
              <w:rPr>
                <w:sz w:val="24"/>
                <w:szCs w:val="24"/>
                <w:lang w:eastAsia="lv-LV"/>
              </w:rPr>
            </w:pPr>
            <w:r w:rsidRPr="00BC14F0">
              <w:rPr>
                <w:sz w:val="24"/>
                <w:szCs w:val="24"/>
                <w:lang w:eastAsia="lv-LV"/>
              </w:rPr>
              <w:t>Norāda institūciju, kas ir atbildīga par šo saistību izpildi pilnībā</w:t>
            </w:r>
          </w:p>
        </w:tc>
        <w:tc>
          <w:tcPr>
            <w:tcW w:w="1369" w:type="pct"/>
            <w:tcBorders>
              <w:top w:val="outset" w:sz="6" w:space="0" w:color="auto"/>
              <w:left w:val="outset" w:sz="6" w:space="0" w:color="auto"/>
              <w:bottom w:val="outset" w:sz="6" w:space="0" w:color="auto"/>
              <w:right w:val="outset" w:sz="6" w:space="0" w:color="auto"/>
            </w:tcBorders>
            <w:hideMark/>
          </w:tcPr>
          <w:p w14:paraId="7A90621C" w14:textId="77777777" w:rsidR="003423FD" w:rsidRPr="00BC14F0" w:rsidRDefault="003423FD" w:rsidP="00BC14F0">
            <w:pPr>
              <w:spacing w:line="240" w:lineRule="auto"/>
              <w:ind w:firstLine="0"/>
              <w:rPr>
                <w:sz w:val="24"/>
                <w:szCs w:val="24"/>
                <w:lang w:eastAsia="lv-LV"/>
              </w:rPr>
            </w:pPr>
            <w:r w:rsidRPr="00BC14F0">
              <w:rPr>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1010D0F3" w14:textId="77777777" w:rsidR="003423FD" w:rsidRPr="00BC14F0" w:rsidRDefault="003423FD" w:rsidP="00BC14F0">
            <w:pPr>
              <w:spacing w:line="240" w:lineRule="auto"/>
              <w:ind w:firstLine="0"/>
              <w:rPr>
                <w:sz w:val="24"/>
                <w:szCs w:val="24"/>
                <w:lang w:eastAsia="lv-LV"/>
              </w:rPr>
            </w:pPr>
            <w:r w:rsidRPr="00BC14F0">
              <w:rPr>
                <w:sz w:val="24"/>
                <w:szCs w:val="24"/>
                <w:lang w:eastAsia="lv-LV"/>
              </w:rPr>
              <w:t>Ja projekts satur stingrākas prasības nekā attiecīgais ES tiesību akts, norāda pamatojumu un samērīgumu.</w:t>
            </w:r>
          </w:p>
          <w:p w14:paraId="702CA8A8" w14:textId="77777777" w:rsidR="003423FD" w:rsidRPr="00BC14F0" w:rsidRDefault="003423FD" w:rsidP="00BC14F0">
            <w:pPr>
              <w:spacing w:line="240" w:lineRule="auto"/>
              <w:ind w:firstLine="0"/>
              <w:rPr>
                <w:sz w:val="24"/>
                <w:szCs w:val="24"/>
                <w:lang w:eastAsia="lv-LV"/>
              </w:rPr>
            </w:pPr>
            <w:r w:rsidRPr="00BC14F0">
              <w:rPr>
                <w:sz w:val="24"/>
                <w:szCs w:val="24"/>
                <w:lang w:eastAsia="lv-LV"/>
              </w:rPr>
              <w:t xml:space="preserve">Norāda iespējamās </w:t>
            </w:r>
            <w:r w:rsidRPr="00BC14F0">
              <w:rPr>
                <w:sz w:val="24"/>
                <w:szCs w:val="24"/>
                <w:lang w:eastAsia="lv-LV"/>
              </w:rPr>
              <w:lastRenderedPageBreak/>
              <w:t>alternatīvas (t.sk. alternatīvas, kas neparedz tiesiskā regulējuma izstrādi) – kādos gadījumos būtu iespējams izvairīties no stingrāku prasību noteikšanas, nekā paredzēts attiecīgajos ES tiesību aktos</w:t>
            </w:r>
          </w:p>
        </w:tc>
      </w:tr>
      <w:tr w:rsidR="00DE7249" w:rsidRPr="00BC14F0" w14:paraId="611F3CD3"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027B55FF" w14:textId="77777777" w:rsidR="003423FD" w:rsidRPr="00BC14F0" w:rsidRDefault="00071959" w:rsidP="00BC14F0">
            <w:pPr>
              <w:spacing w:line="240" w:lineRule="auto"/>
              <w:ind w:firstLine="0"/>
              <w:jc w:val="left"/>
              <w:rPr>
                <w:sz w:val="24"/>
                <w:szCs w:val="24"/>
                <w:lang w:eastAsia="lv-LV"/>
              </w:rPr>
            </w:pPr>
            <w:r w:rsidRPr="00BC14F0">
              <w:rPr>
                <w:sz w:val="24"/>
                <w:szCs w:val="24"/>
                <w:lang w:eastAsia="lv-LV"/>
              </w:rPr>
              <w:lastRenderedPageBreak/>
              <w:t>Regulas (ES) Nr.181/2011 2.panta</w:t>
            </w:r>
            <w:r w:rsidR="003423FD" w:rsidRPr="00BC14F0">
              <w:rPr>
                <w:sz w:val="24"/>
                <w:szCs w:val="24"/>
                <w:lang w:eastAsia="lv-LV"/>
              </w:rPr>
              <w:t>, 4.punkts</w:t>
            </w:r>
          </w:p>
        </w:tc>
        <w:tc>
          <w:tcPr>
            <w:tcW w:w="918" w:type="pct"/>
            <w:tcBorders>
              <w:top w:val="outset" w:sz="6" w:space="0" w:color="auto"/>
              <w:left w:val="outset" w:sz="6" w:space="0" w:color="auto"/>
              <w:bottom w:val="outset" w:sz="6" w:space="0" w:color="auto"/>
              <w:right w:val="outset" w:sz="6" w:space="0" w:color="auto"/>
            </w:tcBorders>
            <w:hideMark/>
          </w:tcPr>
          <w:p w14:paraId="509EDA66" w14:textId="77777777" w:rsidR="003423FD" w:rsidRPr="00BC14F0" w:rsidRDefault="00071959" w:rsidP="00BC14F0">
            <w:pPr>
              <w:spacing w:line="240" w:lineRule="auto"/>
              <w:ind w:firstLine="0"/>
              <w:rPr>
                <w:sz w:val="24"/>
                <w:szCs w:val="24"/>
                <w:lang w:eastAsia="lv-LV"/>
              </w:rPr>
            </w:pPr>
            <w:r w:rsidRPr="00BC14F0">
              <w:rPr>
                <w:sz w:val="24"/>
                <w:szCs w:val="24"/>
                <w:lang w:eastAsia="lv-LV"/>
              </w:rPr>
              <w:t>Viss likumprojekta “Grozījums Autopārvadājumu likumā” teksts</w:t>
            </w:r>
          </w:p>
        </w:tc>
        <w:tc>
          <w:tcPr>
            <w:tcW w:w="1187" w:type="pct"/>
            <w:tcBorders>
              <w:top w:val="outset" w:sz="6" w:space="0" w:color="auto"/>
              <w:left w:val="outset" w:sz="6" w:space="0" w:color="auto"/>
              <w:bottom w:val="outset" w:sz="6" w:space="0" w:color="auto"/>
              <w:right w:val="outset" w:sz="6" w:space="0" w:color="auto"/>
            </w:tcBorders>
            <w:hideMark/>
          </w:tcPr>
          <w:p w14:paraId="792D4ED3"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Prasības tiek ieviestas pilnībā.</w:t>
            </w:r>
          </w:p>
        </w:tc>
        <w:tc>
          <w:tcPr>
            <w:tcW w:w="1369" w:type="pct"/>
            <w:tcBorders>
              <w:top w:val="outset" w:sz="6" w:space="0" w:color="auto"/>
              <w:left w:val="outset" w:sz="6" w:space="0" w:color="auto"/>
              <w:bottom w:val="outset" w:sz="6" w:space="0" w:color="auto"/>
              <w:right w:val="outset" w:sz="6" w:space="0" w:color="auto"/>
            </w:tcBorders>
            <w:hideMark/>
          </w:tcPr>
          <w:p w14:paraId="5A35E85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Projekts stingrākas prasības neparedz.</w:t>
            </w:r>
          </w:p>
        </w:tc>
      </w:tr>
      <w:tr w:rsidR="00DE7249" w:rsidRPr="00BC14F0" w14:paraId="4E44D260"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066D6816" w14:textId="77777777" w:rsidR="003423FD" w:rsidRPr="00BC14F0" w:rsidRDefault="003423FD" w:rsidP="00BC14F0">
            <w:pPr>
              <w:spacing w:line="240" w:lineRule="auto"/>
              <w:ind w:firstLine="0"/>
              <w:rPr>
                <w:sz w:val="24"/>
                <w:szCs w:val="24"/>
                <w:lang w:eastAsia="lv-LV"/>
              </w:rPr>
            </w:pPr>
            <w:r w:rsidRPr="00BC14F0">
              <w:rPr>
                <w:sz w:val="24"/>
                <w:szCs w:val="24"/>
                <w:lang w:eastAsia="lv-LV"/>
              </w:rPr>
              <w:t>Kā ir izmantota ES tiesību aktā paredzētā rīcības brīvība dalībvalstij pārņemt vai ieviest noteiktas ES tiesību akta normas? Kādēļ?</w:t>
            </w:r>
          </w:p>
        </w:tc>
        <w:tc>
          <w:tcPr>
            <w:tcW w:w="3474" w:type="pct"/>
            <w:gridSpan w:val="3"/>
            <w:tcBorders>
              <w:top w:val="outset" w:sz="6" w:space="0" w:color="auto"/>
              <w:left w:val="outset" w:sz="6" w:space="0" w:color="auto"/>
              <w:bottom w:val="outset" w:sz="6" w:space="0" w:color="auto"/>
              <w:right w:val="outset" w:sz="6" w:space="0" w:color="auto"/>
            </w:tcBorders>
          </w:tcPr>
          <w:p w14:paraId="2E3ECA04" w14:textId="77777777" w:rsidR="003423FD" w:rsidRPr="00BC14F0" w:rsidRDefault="003423FD" w:rsidP="00BC14F0">
            <w:pPr>
              <w:tabs>
                <w:tab w:val="left" w:pos="1134"/>
              </w:tabs>
              <w:spacing w:line="240" w:lineRule="auto"/>
              <w:ind w:firstLine="0"/>
              <w:rPr>
                <w:sz w:val="24"/>
                <w:szCs w:val="24"/>
                <w:lang w:eastAsia="lv-LV"/>
              </w:rPr>
            </w:pPr>
            <w:r w:rsidRPr="00BC14F0">
              <w:rPr>
                <w:sz w:val="24"/>
                <w:szCs w:val="24"/>
                <w:lang w:eastAsia="lv-LV"/>
              </w:rPr>
              <w:t>Saskaņā ar regulas (ES) Nr.181/2011 2.panta 4.punkta nosacījumiem tiek izmantota dalībvalsts iespēja pārredzami un nediskriminējoši atjaunot piešķirto atbrīvojumu iekšzemes regulāriem pārvadājumiem no šīs regulas piemērošanas uz četriem gadiem – līdz 2021.gada 1.martam.</w:t>
            </w:r>
          </w:p>
          <w:p w14:paraId="39D8D3DF" w14:textId="77777777" w:rsidR="003423FD" w:rsidRPr="00BC14F0" w:rsidRDefault="003423FD" w:rsidP="00BC14F0">
            <w:pPr>
              <w:spacing w:line="240" w:lineRule="auto"/>
              <w:ind w:left="16" w:firstLine="0"/>
              <w:rPr>
                <w:sz w:val="24"/>
                <w:szCs w:val="24"/>
                <w:lang w:eastAsia="lv-LV"/>
              </w:rPr>
            </w:pPr>
          </w:p>
        </w:tc>
      </w:tr>
      <w:tr w:rsidR="00DE7249" w:rsidRPr="00BC14F0" w14:paraId="711BA1EA"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414787D7" w14:textId="77777777" w:rsidR="003423FD" w:rsidRPr="00BC14F0" w:rsidRDefault="003423FD" w:rsidP="00BC14F0">
            <w:pPr>
              <w:spacing w:line="240" w:lineRule="auto"/>
              <w:ind w:firstLine="0"/>
              <w:rPr>
                <w:sz w:val="24"/>
                <w:szCs w:val="24"/>
                <w:lang w:eastAsia="lv-LV"/>
              </w:rPr>
            </w:pPr>
            <w:r w:rsidRPr="00BC14F0">
              <w:rPr>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74" w:type="pct"/>
            <w:gridSpan w:val="3"/>
            <w:tcBorders>
              <w:top w:val="outset" w:sz="6" w:space="0" w:color="auto"/>
              <w:left w:val="outset" w:sz="6" w:space="0" w:color="auto"/>
              <w:bottom w:val="outset" w:sz="6" w:space="0" w:color="auto"/>
              <w:right w:val="outset" w:sz="6" w:space="0" w:color="auto"/>
            </w:tcBorders>
            <w:hideMark/>
          </w:tcPr>
          <w:p w14:paraId="70330A36"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 xml:space="preserve">Dalībvalsts informē Komisiju par dažādiem pakalpojumu veidiem, kuriem piešķirts atbrīvojums saskaņā ar regulas (ES) Nr.181/2011 2.panta 4.punktu. </w:t>
            </w:r>
          </w:p>
        </w:tc>
      </w:tr>
      <w:tr w:rsidR="003E274D" w:rsidRPr="00BC14F0" w14:paraId="18E4DBE5" w14:textId="77777777" w:rsidTr="00542E8A">
        <w:tc>
          <w:tcPr>
            <w:tcW w:w="1526" w:type="pct"/>
            <w:tcBorders>
              <w:top w:val="outset" w:sz="6" w:space="0" w:color="auto"/>
              <w:left w:val="outset" w:sz="6" w:space="0" w:color="auto"/>
              <w:bottom w:val="outset" w:sz="6" w:space="0" w:color="auto"/>
              <w:right w:val="outset" w:sz="6" w:space="0" w:color="auto"/>
            </w:tcBorders>
            <w:hideMark/>
          </w:tcPr>
          <w:p w14:paraId="4C1F8837"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Cita informācija</w:t>
            </w:r>
          </w:p>
        </w:tc>
        <w:tc>
          <w:tcPr>
            <w:tcW w:w="3474" w:type="pct"/>
            <w:gridSpan w:val="3"/>
            <w:tcBorders>
              <w:top w:val="outset" w:sz="6" w:space="0" w:color="auto"/>
              <w:left w:val="outset" w:sz="6" w:space="0" w:color="auto"/>
              <w:bottom w:val="outset" w:sz="6" w:space="0" w:color="auto"/>
              <w:right w:val="outset" w:sz="6" w:space="0" w:color="auto"/>
            </w:tcBorders>
            <w:hideMark/>
          </w:tcPr>
          <w:p w14:paraId="70B989B5" w14:textId="77777777" w:rsidR="003423FD" w:rsidRPr="00BC14F0" w:rsidRDefault="003423FD" w:rsidP="00BC14F0">
            <w:pPr>
              <w:spacing w:line="240" w:lineRule="auto"/>
              <w:ind w:firstLine="0"/>
              <w:jc w:val="left"/>
              <w:rPr>
                <w:sz w:val="24"/>
                <w:szCs w:val="24"/>
                <w:lang w:eastAsia="lv-LV"/>
              </w:rPr>
            </w:pPr>
            <w:r w:rsidRPr="00BC14F0">
              <w:rPr>
                <w:sz w:val="24"/>
                <w:szCs w:val="24"/>
                <w:lang w:eastAsia="lv-LV"/>
              </w:rPr>
              <w:t>Nav.</w:t>
            </w:r>
          </w:p>
        </w:tc>
      </w:tr>
    </w:tbl>
    <w:p w14:paraId="1ED48C7A" w14:textId="77777777" w:rsidR="003423FD" w:rsidRPr="00BC14F0" w:rsidRDefault="003423FD" w:rsidP="00BC14F0">
      <w:pPr>
        <w:spacing w:line="240" w:lineRule="auto"/>
      </w:pPr>
    </w:p>
    <w:tbl>
      <w:tblPr>
        <w:tblStyle w:val="TableGrid"/>
        <w:tblW w:w="9333" w:type="dxa"/>
        <w:tblInd w:w="108" w:type="dxa"/>
        <w:tblLook w:val="00A0" w:firstRow="1" w:lastRow="0" w:firstColumn="1" w:lastColumn="0" w:noHBand="0" w:noVBand="0"/>
      </w:tblPr>
      <w:tblGrid>
        <w:gridCol w:w="9333"/>
      </w:tblGrid>
      <w:tr w:rsidR="00DE7249" w:rsidRPr="00BC14F0" w14:paraId="24EF07A2" w14:textId="77777777" w:rsidTr="006339EF">
        <w:trPr>
          <w:trHeight w:val="15"/>
        </w:trPr>
        <w:tc>
          <w:tcPr>
            <w:tcW w:w="5000" w:type="pct"/>
            <w:hideMark/>
          </w:tcPr>
          <w:p w14:paraId="5B1DE535" w14:textId="77777777" w:rsidR="003423FD" w:rsidRPr="00BC14F0" w:rsidRDefault="003423FD" w:rsidP="00BC14F0">
            <w:pPr>
              <w:spacing w:line="240" w:lineRule="auto"/>
              <w:ind w:firstLine="0"/>
              <w:jc w:val="center"/>
              <w:rPr>
                <w:sz w:val="24"/>
                <w:szCs w:val="24"/>
                <w:lang w:eastAsia="lv-LV"/>
              </w:rPr>
            </w:pPr>
            <w:r w:rsidRPr="00BC14F0">
              <w:rPr>
                <w:b/>
                <w:bCs/>
                <w:sz w:val="24"/>
                <w:szCs w:val="24"/>
                <w:lang w:eastAsia="lv-LV"/>
              </w:rPr>
              <w:t>2.tabula</w:t>
            </w:r>
            <w:r w:rsidRPr="00BC14F0">
              <w:rPr>
                <w:b/>
                <w:bCs/>
                <w:sz w:val="24"/>
                <w:szCs w:val="24"/>
                <w:lang w:eastAsia="lv-LV"/>
              </w:rPr>
              <w:br/>
              <w:t>Ar tiesību akta projektu izpildītās vai uzņemtās saistības, kas izriet no starptautiskajiem tiesību aktiem vai starptautiskas institūcijas vai organizācijas dokumentiem.</w:t>
            </w:r>
            <w:r w:rsidRPr="00BC14F0">
              <w:rPr>
                <w:b/>
                <w:bCs/>
                <w:sz w:val="24"/>
                <w:szCs w:val="24"/>
                <w:lang w:eastAsia="lv-LV"/>
              </w:rPr>
              <w:br/>
              <w:t>Pasākumi šo saistību izpildei</w:t>
            </w:r>
          </w:p>
        </w:tc>
      </w:tr>
      <w:tr w:rsidR="003E274D" w:rsidRPr="00BC14F0" w14:paraId="29D9E6E2" w14:textId="77777777" w:rsidTr="006339EF">
        <w:trPr>
          <w:trHeight w:val="15"/>
        </w:trPr>
        <w:tc>
          <w:tcPr>
            <w:tcW w:w="5000" w:type="pct"/>
            <w:hideMark/>
          </w:tcPr>
          <w:p w14:paraId="0104A27B" w14:textId="77777777" w:rsidR="003423FD" w:rsidRPr="00BC14F0" w:rsidRDefault="003423FD" w:rsidP="00BC14F0">
            <w:pPr>
              <w:spacing w:line="240" w:lineRule="auto"/>
              <w:ind w:firstLine="0"/>
              <w:jc w:val="center"/>
              <w:rPr>
                <w:b/>
                <w:bCs/>
                <w:sz w:val="24"/>
                <w:szCs w:val="24"/>
                <w:lang w:eastAsia="lv-LV"/>
              </w:rPr>
            </w:pPr>
            <w:r w:rsidRPr="00BC14F0">
              <w:rPr>
                <w:b/>
                <w:bCs/>
                <w:sz w:val="24"/>
                <w:szCs w:val="24"/>
                <w:lang w:eastAsia="lv-LV"/>
              </w:rPr>
              <w:t>Projekts šo jomu neskar.</w:t>
            </w:r>
          </w:p>
        </w:tc>
      </w:tr>
    </w:tbl>
    <w:p w14:paraId="277B274C" w14:textId="77777777" w:rsidR="003423FD" w:rsidRPr="00BC14F0" w:rsidRDefault="003423FD" w:rsidP="00BC14F0">
      <w:pPr>
        <w:spacing w:line="240" w:lineRule="auto"/>
        <w:ind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5"/>
        <w:gridCol w:w="6521"/>
      </w:tblGrid>
      <w:tr w:rsidR="00DE7249" w:rsidRPr="00BC14F0" w14:paraId="0F4A72F8" w14:textId="77777777" w:rsidTr="00F0273B">
        <w:trPr>
          <w:trHeight w:val="421"/>
        </w:trPr>
        <w:tc>
          <w:tcPr>
            <w:tcW w:w="9356" w:type="dxa"/>
            <w:gridSpan w:val="2"/>
            <w:vAlign w:val="center"/>
          </w:tcPr>
          <w:p w14:paraId="3A9F609E" w14:textId="77777777" w:rsidR="00F0273B" w:rsidRPr="00BC14F0" w:rsidRDefault="00F0273B" w:rsidP="00BC14F0">
            <w:pPr>
              <w:pStyle w:val="naisnod"/>
              <w:spacing w:before="0" w:beforeAutospacing="0" w:after="0" w:afterAutospacing="0"/>
              <w:ind w:left="57" w:right="57"/>
              <w:jc w:val="center"/>
            </w:pPr>
            <w:r w:rsidRPr="00BC14F0">
              <w:rPr>
                <w:b/>
              </w:rPr>
              <w:t>VI. Sabiedrības līdzdalība un komunikācijas aktivitātes</w:t>
            </w:r>
          </w:p>
        </w:tc>
      </w:tr>
      <w:tr w:rsidR="00DE7249" w:rsidRPr="00BC14F0" w14:paraId="1569A3A6" w14:textId="77777777" w:rsidTr="00542E8A">
        <w:trPr>
          <w:trHeight w:val="553"/>
        </w:trPr>
        <w:tc>
          <w:tcPr>
            <w:tcW w:w="2835" w:type="dxa"/>
          </w:tcPr>
          <w:p w14:paraId="36293C8E" w14:textId="77777777" w:rsidR="00F0273B" w:rsidRPr="00BC14F0" w:rsidRDefault="00F0273B" w:rsidP="00BC14F0">
            <w:pPr>
              <w:tabs>
                <w:tab w:val="left" w:pos="170"/>
              </w:tabs>
              <w:spacing w:line="240" w:lineRule="auto"/>
              <w:ind w:left="57" w:right="57" w:firstLine="46"/>
              <w:rPr>
                <w:sz w:val="24"/>
                <w:szCs w:val="24"/>
                <w:lang w:eastAsia="lv-LV"/>
              </w:rPr>
            </w:pPr>
            <w:r w:rsidRPr="00BC14F0">
              <w:rPr>
                <w:sz w:val="24"/>
                <w:szCs w:val="24"/>
                <w:lang w:eastAsia="lv-LV"/>
              </w:rPr>
              <w:t>Plānotās sabiedrības līdzdalības un komunikācijas aktivitātes saistībā ar projektu</w:t>
            </w:r>
          </w:p>
        </w:tc>
        <w:tc>
          <w:tcPr>
            <w:tcW w:w="6521" w:type="dxa"/>
          </w:tcPr>
          <w:p w14:paraId="6704F0B8" w14:textId="242247AB" w:rsidR="00F0273B" w:rsidRPr="00BC14F0" w:rsidRDefault="00F0273B" w:rsidP="00BC14F0">
            <w:pPr>
              <w:shd w:val="clear" w:color="auto" w:fill="FFFFFF"/>
              <w:spacing w:line="240" w:lineRule="auto"/>
              <w:ind w:left="47" w:firstLine="0"/>
              <w:rPr>
                <w:rFonts w:eastAsia="Times New Roman"/>
                <w:sz w:val="24"/>
                <w:szCs w:val="24"/>
                <w:lang w:eastAsia="lv-LV"/>
              </w:rPr>
            </w:pPr>
            <w:r w:rsidRPr="00BC14F0">
              <w:rPr>
                <w:rFonts w:eastAsia="Times New Roman"/>
                <w:sz w:val="24"/>
                <w:szCs w:val="24"/>
                <w:lang w:eastAsia="lv-LV"/>
              </w:rPr>
              <w:t xml:space="preserve">Paziņojums par līdzdalības iespējām likumprojekta izstrādes procesā ievietots Satiksmes ministrijas </w:t>
            </w:r>
            <w:r w:rsidR="00C0155E">
              <w:rPr>
                <w:rFonts w:eastAsia="Times New Roman"/>
                <w:sz w:val="24"/>
                <w:szCs w:val="24"/>
                <w:lang w:eastAsia="lv-LV"/>
              </w:rPr>
              <w:t>tīmekļa vietnē</w:t>
            </w:r>
            <w:r w:rsidRPr="00BC14F0">
              <w:rPr>
                <w:rFonts w:eastAsia="Times New Roman"/>
                <w:sz w:val="24"/>
                <w:szCs w:val="24"/>
                <w:lang w:eastAsia="lv-LV"/>
              </w:rPr>
              <w:t xml:space="preserve"> 2016.gada 30.jūnijā.</w:t>
            </w:r>
          </w:p>
          <w:p w14:paraId="4393BA94" w14:textId="77777777" w:rsidR="003423FD" w:rsidRPr="00BC14F0" w:rsidRDefault="003423FD" w:rsidP="00BC14F0">
            <w:pPr>
              <w:shd w:val="clear" w:color="auto" w:fill="FFFFFF"/>
              <w:spacing w:line="240" w:lineRule="auto"/>
              <w:ind w:left="47" w:firstLine="0"/>
              <w:rPr>
                <w:sz w:val="24"/>
                <w:szCs w:val="24"/>
                <w:lang w:eastAsia="lv-LV"/>
              </w:rPr>
            </w:pPr>
            <w:r w:rsidRPr="00BC14F0">
              <w:rPr>
                <w:sz w:val="24"/>
                <w:szCs w:val="24"/>
              </w:rPr>
              <w:t>Par projekta daļu - Eiropas Parlamenta un Padomes 2011.gada 16.februāra Regula (ES) Nr.181/2011 par autobusu pasažieru tiesībām un par grozījumiem Regulā (EK) Nr.2006/2004 (turpmāk– regula (ES) Nr.181/2011), informēta biedrība “Latvijas Pasažieru pārvadātāju asociācija”.</w:t>
            </w:r>
          </w:p>
        </w:tc>
      </w:tr>
      <w:tr w:rsidR="00DE7249" w:rsidRPr="00BC14F0" w14:paraId="1968CED7" w14:textId="77777777" w:rsidTr="00542E8A">
        <w:trPr>
          <w:trHeight w:val="339"/>
        </w:trPr>
        <w:tc>
          <w:tcPr>
            <w:tcW w:w="2835" w:type="dxa"/>
          </w:tcPr>
          <w:p w14:paraId="10B7CFA7" w14:textId="77777777" w:rsidR="00F0273B" w:rsidRPr="00BC14F0" w:rsidRDefault="00F0273B" w:rsidP="00BC14F0">
            <w:pPr>
              <w:spacing w:line="240" w:lineRule="auto"/>
              <w:ind w:left="57" w:right="57" w:firstLine="46"/>
              <w:rPr>
                <w:sz w:val="24"/>
                <w:szCs w:val="24"/>
                <w:lang w:eastAsia="lv-LV"/>
              </w:rPr>
            </w:pPr>
            <w:r w:rsidRPr="00BC14F0">
              <w:rPr>
                <w:sz w:val="24"/>
                <w:szCs w:val="24"/>
                <w:lang w:eastAsia="lv-LV"/>
              </w:rPr>
              <w:lastRenderedPageBreak/>
              <w:t>Sabiedrības līdzdalība projekta izstrādē</w:t>
            </w:r>
          </w:p>
        </w:tc>
        <w:tc>
          <w:tcPr>
            <w:tcW w:w="6521" w:type="dxa"/>
          </w:tcPr>
          <w:p w14:paraId="76A603EB" w14:textId="5224257D" w:rsidR="00F0273B" w:rsidRPr="00BC14F0" w:rsidRDefault="00F0273B" w:rsidP="00BC14F0">
            <w:pPr>
              <w:shd w:val="clear" w:color="auto" w:fill="FFFFFF"/>
              <w:spacing w:line="240" w:lineRule="auto"/>
              <w:ind w:left="47" w:firstLine="0"/>
              <w:rPr>
                <w:rFonts w:eastAsia="Times New Roman"/>
                <w:sz w:val="24"/>
                <w:szCs w:val="24"/>
                <w:lang w:eastAsia="lv-LV"/>
              </w:rPr>
            </w:pPr>
            <w:r w:rsidRPr="00BC14F0">
              <w:rPr>
                <w:rFonts w:eastAsia="Times New Roman"/>
                <w:sz w:val="24"/>
                <w:szCs w:val="24"/>
                <w:lang w:eastAsia="lv-LV"/>
              </w:rPr>
              <w:t>Atbilstoši Ministru kabineta 2009.gada 25.augusta noteikumu Nr.970 „Sabiedrības līdzdalības kārtība attīstības plānošanas procesā” 7.1.punktam sabiedrībai tika dota iespēja piedaloties starpinstitūciju darba grupās.</w:t>
            </w:r>
          </w:p>
          <w:p w14:paraId="59F14ECC" w14:textId="77777777" w:rsidR="003423FD" w:rsidRPr="00BC14F0" w:rsidRDefault="003423FD" w:rsidP="00BC14F0">
            <w:pPr>
              <w:shd w:val="clear" w:color="auto" w:fill="FFFFFF"/>
              <w:spacing w:line="240" w:lineRule="auto"/>
              <w:ind w:left="47" w:firstLine="0"/>
              <w:rPr>
                <w:sz w:val="24"/>
                <w:szCs w:val="24"/>
              </w:rPr>
            </w:pPr>
            <w:r w:rsidRPr="00BC14F0">
              <w:rPr>
                <w:sz w:val="24"/>
                <w:szCs w:val="24"/>
              </w:rPr>
              <w:t>Par projekta daļu - Eiropas Parlamenta un Padomes 2011.gada 16.februāra Regula (ES) Nr.181/2011 par autobusu pasažieru tiesībām un par grozījumiem Regulā (EK) Nr.2006/2004 (turpmāk– regula (ES) Nr.181/2011) notikušas konsultācijas ar biedrību “Latvijas Pasažieru pārvadātāju asociācija”.</w:t>
            </w:r>
          </w:p>
        </w:tc>
      </w:tr>
      <w:tr w:rsidR="00DE7249" w:rsidRPr="00BC14F0" w14:paraId="78D41E8C" w14:textId="77777777" w:rsidTr="00542E8A">
        <w:trPr>
          <w:trHeight w:val="476"/>
        </w:trPr>
        <w:tc>
          <w:tcPr>
            <w:tcW w:w="2835" w:type="dxa"/>
          </w:tcPr>
          <w:p w14:paraId="64D3C2B4" w14:textId="77777777" w:rsidR="00F0273B" w:rsidRPr="00BC14F0" w:rsidRDefault="00F0273B" w:rsidP="00BC14F0">
            <w:pPr>
              <w:spacing w:line="240" w:lineRule="auto"/>
              <w:ind w:left="57" w:right="57" w:firstLine="46"/>
              <w:rPr>
                <w:sz w:val="24"/>
                <w:szCs w:val="24"/>
                <w:lang w:eastAsia="lv-LV"/>
              </w:rPr>
            </w:pPr>
            <w:r w:rsidRPr="00BC14F0">
              <w:rPr>
                <w:sz w:val="24"/>
                <w:szCs w:val="24"/>
                <w:lang w:eastAsia="lv-LV"/>
              </w:rPr>
              <w:t>Sabiedrības līdzdalības rezultāti</w:t>
            </w:r>
          </w:p>
        </w:tc>
        <w:tc>
          <w:tcPr>
            <w:tcW w:w="6521" w:type="dxa"/>
          </w:tcPr>
          <w:p w14:paraId="2AE160DD" w14:textId="77777777" w:rsidR="00F0273B" w:rsidRPr="00BC14F0" w:rsidRDefault="00F0273B" w:rsidP="00BC14F0">
            <w:pPr>
              <w:shd w:val="clear" w:color="auto" w:fill="FFFFFF"/>
              <w:spacing w:line="240" w:lineRule="auto"/>
              <w:ind w:left="47" w:firstLine="0"/>
              <w:rPr>
                <w:sz w:val="24"/>
                <w:szCs w:val="24"/>
                <w:lang w:eastAsia="lv-LV"/>
              </w:rPr>
            </w:pPr>
            <w:r w:rsidRPr="00BC14F0">
              <w:rPr>
                <w:sz w:val="24"/>
                <w:szCs w:val="24"/>
                <w:lang w:eastAsia="lv-LV"/>
              </w:rPr>
              <w:t>Sabiedrības atsauksmes nav saņemtas.</w:t>
            </w:r>
          </w:p>
          <w:p w14:paraId="234DC039" w14:textId="77777777" w:rsidR="003423FD" w:rsidRPr="00BC14F0" w:rsidRDefault="003423FD" w:rsidP="00BC14F0">
            <w:pPr>
              <w:shd w:val="clear" w:color="auto" w:fill="FFFFFF"/>
              <w:spacing w:line="240" w:lineRule="auto"/>
              <w:ind w:left="47" w:firstLine="0"/>
              <w:rPr>
                <w:sz w:val="24"/>
                <w:szCs w:val="24"/>
                <w:lang w:eastAsia="lv-LV"/>
              </w:rPr>
            </w:pPr>
            <w:r w:rsidRPr="00BC14F0">
              <w:rPr>
                <w:sz w:val="24"/>
                <w:szCs w:val="24"/>
              </w:rPr>
              <w:t>Biedrība “Latvijas Pasažieru pārvadātāju asociācija” atbalsta projekta daļu (2016.gada 15.jūlija vēstule Nr.111) par Eiropas Parlamenta un Padomes 2011.gada 16.februāra Regula (ES) Nr.181/2011 par autobusu pasažieru tiesībām un par grozījumiem Regulā (EK) Nr.2006/2004 (turpmāk– regula (ES) Nr.181/2011),</w:t>
            </w:r>
          </w:p>
        </w:tc>
      </w:tr>
      <w:tr w:rsidR="00F0273B" w:rsidRPr="00BC14F0" w14:paraId="167001EF" w14:textId="77777777" w:rsidTr="00542E8A">
        <w:trPr>
          <w:trHeight w:val="246"/>
        </w:trPr>
        <w:tc>
          <w:tcPr>
            <w:tcW w:w="2835" w:type="dxa"/>
          </w:tcPr>
          <w:p w14:paraId="7CA4EAE0" w14:textId="77777777" w:rsidR="00F0273B" w:rsidRPr="00BC14F0" w:rsidRDefault="00F0273B" w:rsidP="00BC14F0">
            <w:pPr>
              <w:spacing w:line="240" w:lineRule="auto"/>
              <w:ind w:left="57" w:right="57" w:firstLine="46"/>
              <w:rPr>
                <w:sz w:val="24"/>
                <w:szCs w:val="24"/>
                <w:lang w:eastAsia="lv-LV"/>
              </w:rPr>
            </w:pPr>
            <w:r w:rsidRPr="00BC14F0">
              <w:rPr>
                <w:sz w:val="24"/>
                <w:szCs w:val="24"/>
                <w:lang w:eastAsia="lv-LV"/>
              </w:rPr>
              <w:t>Cita informācija</w:t>
            </w:r>
          </w:p>
        </w:tc>
        <w:tc>
          <w:tcPr>
            <w:tcW w:w="6521" w:type="dxa"/>
          </w:tcPr>
          <w:p w14:paraId="5DD383B1" w14:textId="77777777" w:rsidR="00F0273B" w:rsidRPr="00BC14F0" w:rsidRDefault="00F0273B" w:rsidP="00BC14F0">
            <w:pPr>
              <w:spacing w:line="240" w:lineRule="auto"/>
              <w:ind w:left="47" w:right="57" w:firstLine="0"/>
              <w:rPr>
                <w:sz w:val="24"/>
                <w:szCs w:val="24"/>
                <w:lang w:eastAsia="lv-LV"/>
              </w:rPr>
            </w:pPr>
            <w:r w:rsidRPr="00BC14F0">
              <w:rPr>
                <w:sz w:val="24"/>
                <w:szCs w:val="24"/>
              </w:rPr>
              <w:t>Nav.</w:t>
            </w:r>
          </w:p>
        </w:tc>
      </w:tr>
    </w:tbl>
    <w:p w14:paraId="6206DF20" w14:textId="77777777" w:rsidR="00F0273B" w:rsidRPr="00BC14F0" w:rsidRDefault="00F0273B" w:rsidP="00BC14F0">
      <w:pPr>
        <w:spacing w:line="240" w:lineRule="auto"/>
        <w:ind w:firstLine="0"/>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2466"/>
        <w:gridCol w:w="6461"/>
      </w:tblGrid>
      <w:tr w:rsidR="00DE7249" w:rsidRPr="00BC14F0" w14:paraId="7D0A4C80" w14:textId="77777777" w:rsidTr="00E76C69">
        <w:trPr>
          <w:trHeight w:val="451"/>
        </w:trPr>
        <w:tc>
          <w:tcPr>
            <w:tcW w:w="5000" w:type="pct"/>
            <w:gridSpan w:val="3"/>
            <w:tcBorders>
              <w:top w:val="outset" w:sz="6" w:space="0" w:color="auto"/>
              <w:left w:val="outset" w:sz="6" w:space="0" w:color="auto"/>
              <w:bottom w:val="outset" w:sz="6" w:space="0" w:color="auto"/>
              <w:right w:val="outset" w:sz="6" w:space="0" w:color="auto"/>
            </w:tcBorders>
          </w:tcPr>
          <w:p w14:paraId="3CAABC65" w14:textId="77777777" w:rsidR="00565A60" w:rsidRPr="00BC14F0" w:rsidRDefault="00565A60" w:rsidP="00BC14F0">
            <w:pPr>
              <w:spacing w:line="240" w:lineRule="auto"/>
              <w:jc w:val="center"/>
              <w:rPr>
                <w:rFonts w:eastAsia="Times New Roman"/>
                <w:b/>
                <w:bCs/>
                <w:sz w:val="24"/>
                <w:szCs w:val="24"/>
                <w:lang w:eastAsia="lv-LV"/>
              </w:rPr>
            </w:pPr>
            <w:r w:rsidRPr="00BC14F0">
              <w:rPr>
                <w:rFonts w:eastAsia="Times New Roman"/>
                <w:b/>
                <w:bCs/>
                <w:sz w:val="24"/>
                <w:szCs w:val="24"/>
                <w:lang w:eastAsia="lv-LV"/>
              </w:rPr>
              <w:t>VII. Tiesību akta projekta izpildes nodrošināšana un tās ietekme uz institūcijām</w:t>
            </w:r>
          </w:p>
        </w:tc>
      </w:tr>
      <w:tr w:rsidR="00DE7249" w:rsidRPr="00BC14F0" w14:paraId="3B7B3E2D" w14:textId="77777777" w:rsidTr="00542E8A">
        <w:trPr>
          <w:trHeight w:val="487"/>
        </w:trPr>
        <w:tc>
          <w:tcPr>
            <w:tcW w:w="199" w:type="pct"/>
            <w:tcBorders>
              <w:top w:val="outset" w:sz="6" w:space="0" w:color="auto"/>
              <w:left w:val="outset" w:sz="6" w:space="0" w:color="auto"/>
              <w:bottom w:val="outset" w:sz="6" w:space="0" w:color="auto"/>
              <w:right w:val="outset" w:sz="6" w:space="0" w:color="auto"/>
            </w:tcBorders>
          </w:tcPr>
          <w:p w14:paraId="0F25B43A" w14:textId="77777777" w:rsidR="00565A60" w:rsidRPr="00BC14F0" w:rsidRDefault="00DA5F33" w:rsidP="00BC14F0">
            <w:pPr>
              <w:spacing w:line="240" w:lineRule="auto"/>
              <w:rPr>
                <w:rFonts w:eastAsia="Times New Roman"/>
                <w:sz w:val="24"/>
                <w:szCs w:val="24"/>
                <w:lang w:eastAsia="lv-LV"/>
              </w:rPr>
            </w:pPr>
            <w:r w:rsidRPr="00BC14F0">
              <w:rPr>
                <w:rFonts w:eastAsia="Times New Roman"/>
                <w:sz w:val="24"/>
                <w:szCs w:val="24"/>
                <w:lang w:eastAsia="lv-LV"/>
              </w:rPr>
              <w:t>11.</w:t>
            </w:r>
          </w:p>
        </w:tc>
        <w:tc>
          <w:tcPr>
            <w:tcW w:w="1326" w:type="pct"/>
            <w:tcBorders>
              <w:top w:val="outset" w:sz="6" w:space="0" w:color="auto"/>
              <w:left w:val="outset" w:sz="6" w:space="0" w:color="auto"/>
              <w:bottom w:val="outset" w:sz="6" w:space="0" w:color="auto"/>
              <w:right w:val="outset" w:sz="6" w:space="0" w:color="auto"/>
            </w:tcBorders>
          </w:tcPr>
          <w:p w14:paraId="347FD3F0"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Projekta izpildē iesaistītās institūcijas</w:t>
            </w:r>
          </w:p>
        </w:tc>
        <w:tc>
          <w:tcPr>
            <w:tcW w:w="3475" w:type="pct"/>
            <w:tcBorders>
              <w:top w:val="outset" w:sz="6" w:space="0" w:color="auto"/>
              <w:left w:val="outset" w:sz="6" w:space="0" w:color="auto"/>
              <w:bottom w:val="outset" w:sz="6" w:space="0" w:color="auto"/>
              <w:right w:val="outset" w:sz="6" w:space="0" w:color="auto"/>
            </w:tcBorders>
          </w:tcPr>
          <w:p w14:paraId="26F260E0" w14:textId="4FBF195B" w:rsidR="00565A60" w:rsidRPr="00BC14F0" w:rsidRDefault="00FD4DEE" w:rsidP="00BC14F0">
            <w:pPr>
              <w:spacing w:line="240" w:lineRule="auto"/>
              <w:ind w:firstLine="0"/>
              <w:rPr>
                <w:rFonts w:eastAsia="Times New Roman"/>
                <w:sz w:val="24"/>
                <w:szCs w:val="24"/>
                <w:lang w:eastAsia="lv-LV"/>
              </w:rPr>
            </w:pPr>
            <w:r w:rsidRPr="00BC14F0">
              <w:rPr>
                <w:rFonts w:eastAsia="Times New Roman"/>
                <w:sz w:val="24"/>
                <w:szCs w:val="24"/>
                <w:lang w:eastAsia="lv-LV"/>
              </w:rPr>
              <w:t>Satiksmes ministrija, VSIA „Autotransporta direkcija</w:t>
            </w:r>
            <w:r w:rsidR="00196E92" w:rsidRPr="00BC14F0">
              <w:rPr>
                <w:rFonts w:eastAsia="Times New Roman"/>
                <w:sz w:val="24"/>
                <w:szCs w:val="24"/>
                <w:lang w:eastAsia="lv-LV"/>
              </w:rPr>
              <w:t>”</w:t>
            </w:r>
            <w:r w:rsidR="00B13D35" w:rsidRPr="00BC14F0">
              <w:rPr>
                <w:rFonts w:eastAsia="Times New Roman"/>
                <w:sz w:val="24"/>
                <w:szCs w:val="24"/>
                <w:lang w:eastAsia="lv-LV"/>
              </w:rPr>
              <w:t>, republikas pilsēt</w:t>
            </w:r>
            <w:r w:rsidR="00C0155E">
              <w:rPr>
                <w:rFonts w:eastAsia="Times New Roman"/>
                <w:sz w:val="24"/>
                <w:szCs w:val="24"/>
                <w:lang w:eastAsia="lv-LV"/>
              </w:rPr>
              <w:t>u pašvaldības</w:t>
            </w:r>
            <w:r w:rsidR="00B13D35" w:rsidRPr="00BC14F0">
              <w:rPr>
                <w:rFonts w:eastAsia="Times New Roman"/>
                <w:sz w:val="24"/>
                <w:szCs w:val="24"/>
                <w:lang w:eastAsia="lv-LV"/>
              </w:rPr>
              <w:t xml:space="preserve"> un plānošanas reģioni</w:t>
            </w:r>
            <w:r w:rsidR="00D34D55" w:rsidRPr="00BC14F0">
              <w:rPr>
                <w:rFonts w:eastAsia="Times New Roman"/>
                <w:sz w:val="24"/>
                <w:szCs w:val="24"/>
                <w:lang w:eastAsia="lv-LV"/>
              </w:rPr>
              <w:t>.</w:t>
            </w:r>
          </w:p>
        </w:tc>
      </w:tr>
      <w:tr w:rsidR="00DE7249" w:rsidRPr="00BC14F0" w14:paraId="7F2EF95C" w14:textId="77777777" w:rsidTr="00542E8A">
        <w:trPr>
          <w:trHeight w:val="2723"/>
        </w:trPr>
        <w:tc>
          <w:tcPr>
            <w:tcW w:w="199" w:type="pct"/>
            <w:tcBorders>
              <w:top w:val="outset" w:sz="6" w:space="0" w:color="auto"/>
              <w:left w:val="outset" w:sz="6" w:space="0" w:color="auto"/>
              <w:bottom w:val="outset" w:sz="6" w:space="0" w:color="auto"/>
              <w:right w:val="outset" w:sz="6" w:space="0" w:color="auto"/>
            </w:tcBorders>
          </w:tcPr>
          <w:p w14:paraId="020D2529" w14:textId="77777777" w:rsidR="00565A60" w:rsidRPr="00BC14F0" w:rsidRDefault="00DA5F33" w:rsidP="00BC14F0">
            <w:pPr>
              <w:spacing w:line="240" w:lineRule="auto"/>
              <w:rPr>
                <w:rFonts w:eastAsia="Times New Roman"/>
                <w:sz w:val="24"/>
                <w:szCs w:val="24"/>
                <w:lang w:eastAsia="lv-LV"/>
              </w:rPr>
            </w:pPr>
            <w:r w:rsidRPr="00BC14F0">
              <w:rPr>
                <w:rFonts w:eastAsia="Times New Roman"/>
                <w:sz w:val="24"/>
                <w:szCs w:val="24"/>
                <w:lang w:eastAsia="lv-LV"/>
              </w:rPr>
              <w:t>22.</w:t>
            </w:r>
          </w:p>
        </w:tc>
        <w:tc>
          <w:tcPr>
            <w:tcW w:w="1326" w:type="pct"/>
            <w:tcBorders>
              <w:top w:val="outset" w:sz="6" w:space="0" w:color="auto"/>
              <w:left w:val="outset" w:sz="6" w:space="0" w:color="auto"/>
              <w:bottom w:val="outset" w:sz="6" w:space="0" w:color="auto"/>
              <w:right w:val="outset" w:sz="6" w:space="0" w:color="auto"/>
            </w:tcBorders>
          </w:tcPr>
          <w:p w14:paraId="4D573D15"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shd w:val="clear" w:color="auto" w:fill="FFFFFF"/>
                <w:lang w:eastAsia="lv-LV"/>
              </w:rPr>
              <w:t>Projekta izpildes ietekme uz pārvaldes funkcijām un institucionālo struktūru.</w:t>
            </w:r>
          </w:p>
          <w:p w14:paraId="26CF2866" w14:textId="77777777" w:rsidR="00565A60" w:rsidRPr="00BC14F0" w:rsidRDefault="00565A60" w:rsidP="00BC14F0">
            <w:pPr>
              <w:shd w:val="clear" w:color="auto" w:fill="FFFFFF"/>
              <w:spacing w:line="240" w:lineRule="auto"/>
              <w:ind w:firstLine="0"/>
              <w:rPr>
                <w:rFonts w:eastAsia="Times New Roman"/>
                <w:sz w:val="24"/>
                <w:szCs w:val="24"/>
                <w:lang w:eastAsia="lv-LV"/>
              </w:rPr>
            </w:pPr>
            <w:r w:rsidRPr="00BC14F0">
              <w:rPr>
                <w:rFonts w:eastAsia="Times New Roman"/>
                <w:sz w:val="24"/>
                <w:szCs w:val="24"/>
                <w:lang w:eastAsia="lv-LV"/>
              </w:rPr>
              <w:t>Jaunu institūciju izveide, esošu institūciju likvidācija vai reorganizācija, to ietekme uz institūcijas cilvēkresursiem</w:t>
            </w:r>
          </w:p>
        </w:tc>
        <w:tc>
          <w:tcPr>
            <w:tcW w:w="3475" w:type="pct"/>
            <w:tcBorders>
              <w:top w:val="outset" w:sz="6" w:space="0" w:color="auto"/>
              <w:left w:val="outset" w:sz="6" w:space="0" w:color="auto"/>
              <w:bottom w:val="outset" w:sz="6" w:space="0" w:color="auto"/>
              <w:right w:val="outset" w:sz="6" w:space="0" w:color="auto"/>
            </w:tcBorders>
          </w:tcPr>
          <w:p w14:paraId="744D8C65" w14:textId="77777777" w:rsidR="002540F6" w:rsidRPr="00BC14F0" w:rsidRDefault="002540F6" w:rsidP="00BC14F0">
            <w:pPr>
              <w:spacing w:line="240" w:lineRule="auto"/>
              <w:ind w:firstLine="0"/>
              <w:rPr>
                <w:rFonts w:eastAsia="Times New Roman"/>
                <w:sz w:val="24"/>
                <w:szCs w:val="24"/>
                <w:lang w:eastAsia="lv-LV"/>
              </w:rPr>
            </w:pPr>
            <w:r w:rsidRPr="00BC14F0">
              <w:rPr>
                <w:rFonts w:eastAsia="Times New Roman"/>
                <w:sz w:val="24"/>
                <w:szCs w:val="24"/>
                <w:lang w:eastAsia="lv-LV"/>
              </w:rPr>
              <w:t>Nav nepieciešams veidot jaunas institūcijas, likvidēt vai reorganizēt esošās.</w:t>
            </w:r>
          </w:p>
          <w:p w14:paraId="5E0FF97F" w14:textId="77777777" w:rsidR="008D6F95" w:rsidRPr="00BC14F0" w:rsidRDefault="006E43B0"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 </w:t>
            </w:r>
            <w:r w:rsidR="008D6F95" w:rsidRPr="00BC14F0">
              <w:rPr>
                <w:rFonts w:eastAsia="Times New Roman"/>
                <w:sz w:val="24"/>
                <w:szCs w:val="24"/>
                <w:lang w:eastAsia="lv-LV"/>
              </w:rPr>
              <w:t xml:space="preserve">VSIA “Autotransporta direkcija” </w:t>
            </w:r>
            <w:r w:rsidR="00333118" w:rsidRPr="00BC14F0">
              <w:rPr>
                <w:rFonts w:eastAsia="Times New Roman"/>
                <w:sz w:val="24"/>
                <w:szCs w:val="24"/>
                <w:lang w:eastAsia="lv-LV"/>
              </w:rPr>
              <w:t xml:space="preserve">tiks </w:t>
            </w:r>
            <w:r w:rsidR="00333118" w:rsidRPr="00A347ED">
              <w:rPr>
                <w:rFonts w:eastAsia="Times New Roman"/>
                <w:sz w:val="24"/>
                <w:szCs w:val="24"/>
                <w:lang w:eastAsia="lv-LV"/>
              </w:rPr>
              <w:t>papildinātas funkcijas</w:t>
            </w:r>
            <w:r w:rsidR="008D6F95" w:rsidRPr="00A347ED">
              <w:rPr>
                <w:rFonts w:eastAsia="Times New Roman"/>
                <w:sz w:val="24"/>
                <w:szCs w:val="24"/>
                <w:lang w:eastAsia="lv-LV"/>
              </w:rPr>
              <w:t xml:space="preserve">, </w:t>
            </w:r>
            <w:r w:rsidR="008D6F95" w:rsidRPr="00A347ED">
              <w:rPr>
                <w:sz w:val="24"/>
                <w:szCs w:val="24"/>
              </w:rPr>
              <w:t xml:space="preserve">nodrošinot </w:t>
            </w:r>
            <w:r w:rsidR="008D6F95" w:rsidRPr="00A347ED">
              <w:rPr>
                <w:rFonts w:eastAsia="Times New Roman"/>
                <w:sz w:val="24"/>
                <w:szCs w:val="24"/>
                <w:lang w:eastAsia="lv-LV"/>
              </w:rPr>
              <w:t xml:space="preserve">taksometru vadītāju </w:t>
            </w:r>
            <w:r w:rsidR="00227972" w:rsidRPr="00A347ED">
              <w:rPr>
                <w:rFonts w:eastAsia="Times New Roman"/>
                <w:sz w:val="24"/>
                <w:szCs w:val="24"/>
                <w:lang w:eastAsia="lv-LV"/>
              </w:rPr>
              <w:t>reģistrāciju</w:t>
            </w:r>
            <w:r w:rsidR="00890C0E" w:rsidRPr="00A347ED">
              <w:rPr>
                <w:rFonts w:eastAsia="Times New Roman"/>
                <w:sz w:val="24"/>
                <w:szCs w:val="24"/>
                <w:lang w:eastAsia="lv-LV"/>
              </w:rPr>
              <w:t>,</w:t>
            </w:r>
            <w:r w:rsidR="00890C0E" w:rsidRPr="00890C0E">
              <w:rPr>
                <w:rFonts w:eastAsia="Times New Roman"/>
                <w:sz w:val="24"/>
                <w:szCs w:val="24"/>
                <w:lang w:eastAsia="lv-LV"/>
              </w:rPr>
              <w:t xml:space="preserve"> licenču pārvadājumiem ar vieglo automob</w:t>
            </w:r>
            <w:r w:rsidR="00890C0E">
              <w:rPr>
                <w:rFonts w:eastAsia="Times New Roman"/>
                <w:sz w:val="24"/>
                <w:szCs w:val="24"/>
                <w:lang w:eastAsia="lv-LV"/>
              </w:rPr>
              <w:t>i</w:t>
            </w:r>
            <w:r w:rsidR="00890C0E" w:rsidRPr="00890C0E">
              <w:rPr>
                <w:rFonts w:eastAsia="Times New Roman"/>
                <w:sz w:val="24"/>
                <w:szCs w:val="24"/>
                <w:lang w:eastAsia="lv-LV"/>
              </w:rPr>
              <w:t>li izsniegšanu</w:t>
            </w:r>
            <w:r w:rsidR="008D6F95" w:rsidRPr="00890C0E">
              <w:rPr>
                <w:sz w:val="24"/>
                <w:szCs w:val="24"/>
              </w:rPr>
              <w:t xml:space="preserve"> un autoostu reģistrāciju, pārreģistrāciju un autoostu darbības uzraudzību</w:t>
            </w:r>
            <w:r w:rsidR="008D6F95" w:rsidRPr="00BC14F0">
              <w:rPr>
                <w:sz w:val="24"/>
                <w:szCs w:val="24"/>
              </w:rPr>
              <w:t xml:space="preserve"> un kontroli</w:t>
            </w:r>
            <w:r w:rsidR="008D6F95" w:rsidRPr="00BC14F0">
              <w:rPr>
                <w:rFonts w:eastAsia="Times New Roman"/>
                <w:sz w:val="24"/>
                <w:szCs w:val="24"/>
                <w:lang w:eastAsia="lv-LV"/>
              </w:rPr>
              <w:t>.</w:t>
            </w:r>
          </w:p>
          <w:p w14:paraId="25E37240" w14:textId="17286366" w:rsidR="00565A60" w:rsidRPr="00BC14F0" w:rsidRDefault="008D6F95" w:rsidP="00BC14F0">
            <w:pPr>
              <w:spacing w:line="240" w:lineRule="auto"/>
              <w:ind w:firstLine="0"/>
              <w:rPr>
                <w:rFonts w:eastAsia="Times New Roman"/>
                <w:sz w:val="24"/>
                <w:szCs w:val="24"/>
                <w:lang w:eastAsia="lv-LV"/>
              </w:rPr>
            </w:pPr>
            <w:r w:rsidRPr="00BC14F0">
              <w:rPr>
                <w:rFonts w:eastAsia="Times New Roman"/>
                <w:sz w:val="24"/>
                <w:szCs w:val="24"/>
                <w:lang w:eastAsia="lv-LV"/>
              </w:rPr>
              <w:t xml:space="preserve">Plānošanas reģioniem tiek </w:t>
            </w:r>
            <w:r w:rsidR="00333118" w:rsidRPr="00BC14F0">
              <w:rPr>
                <w:rFonts w:eastAsia="Times New Roman"/>
                <w:sz w:val="24"/>
                <w:szCs w:val="24"/>
                <w:lang w:eastAsia="lv-LV"/>
              </w:rPr>
              <w:t>papildinātas</w:t>
            </w:r>
            <w:r w:rsidRPr="00BC14F0">
              <w:rPr>
                <w:rFonts w:eastAsia="Times New Roman"/>
                <w:sz w:val="24"/>
                <w:szCs w:val="24"/>
                <w:lang w:eastAsia="lv-LV"/>
              </w:rPr>
              <w:t xml:space="preserve"> veicamās </w:t>
            </w:r>
            <w:r w:rsidR="00333118" w:rsidRPr="00BC14F0">
              <w:rPr>
                <w:rFonts w:eastAsia="Times New Roman"/>
                <w:sz w:val="24"/>
                <w:szCs w:val="24"/>
                <w:lang w:eastAsia="lv-LV"/>
              </w:rPr>
              <w:t>funkcijas,</w:t>
            </w:r>
            <w:r w:rsidRPr="00BC14F0">
              <w:rPr>
                <w:rFonts w:eastAsia="Times New Roman"/>
                <w:sz w:val="24"/>
                <w:szCs w:val="24"/>
                <w:lang w:eastAsia="lv-LV"/>
              </w:rPr>
              <w:t xml:space="preserve"> </w:t>
            </w:r>
            <w:r w:rsidR="00C0155E">
              <w:rPr>
                <w:rFonts w:eastAsia="Times New Roman"/>
                <w:sz w:val="24"/>
                <w:szCs w:val="24"/>
                <w:lang w:eastAsia="lv-LV"/>
              </w:rPr>
              <w:t>paredzot tiesības izsniegt</w:t>
            </w:r>
            <w:r w:rsidR="00C0155E" w:rsidRPr="00BC14F0">
              <w:rPr>
                <w:rFonts w:eastAsia="Times New Roman"/>
                <w:sz w:val="24"/>
                <w:szCs w:val="24"/>
                <w:lang w:eastAsia="lv-LV"/>
              </w:rPr>
              <w:t xml:space="preserve"> </w:t>
            </w:r>
            <w:r w:rsidRPr="00BC14F0">
              <w:rPr>
                <w:rFonts w:eastAsia="Times New Roman"/>
                <w:sz w:val="24"/>
                <w:szCs w:val="24"/>
                <w:lang w:eastAsia="lv-LV"/>
              </w:rPr>
              <w:t>taksometru speciāl</w:t>
            </w:r>
            <w:r w:rsidR="00BD1ED1">
              <w:rPr>
                <w:rFonts w:eastAsia="Times New Roman"/>
                <w:sz w:val="24"/>
                <w:szCs w:val="24"/>
                <w:lang w:eastAsia="lv-LV"/>
              </w:rPr>
              <w:t>ās</w:t>
            </w:r>
            <w:r w:rsidRPr="00BC14F0">
              <w:rPr>
                <w:rFonts w:eastAsia="Times New Roman"/>
                <w:sz w:val="24"/>
                <w:szCs w:val="24"/>
                <w:lang w:eastAsia="lv-LV"/>
              </w:rPr>
              <w:t xml:space="preserve"> atļauj</w:t>
            </w:r>
            <w:r w:rsidR="00BD1ED1">
              <w:rPr>
                <w:rFonts w:eastAsia="Times New Roman"/>
                <w:sz w:val="24"/>
                <w:szCs w:val="24"/>
                <w:lang w:eastAsia="lv-LV"/>
              </w:rPr>
              <w:t>as</w:t>
            </w:r>
            <w:r w:rsidRPr="00BC14F0">
              <w:rPr>
                <w:rFonts w:eastAsia="Times New Roman"/>
                <w:sz w:val="24"/>
                <w:szCs w:val="24"/>
                <w:lang w:eastAsia="lv-LV"/>
              </w:rPr>
              <w:t xml:space="preserve"> (</w:t>
            </w:r>
            <w:proofErr w:type="spellStart"/>
            <w:r w:rsidRPr="00BC14F0">
              <w:rPr>
                <w:rFonts w:eastAsia="Times New Roman"/>
                <w:sz w:val="24"/>
                <w:szCs w:val="24"/>
                <w:lang w:eastAsia="lv-LV"/>
              </w:rPr>
              <w:t>licen</w:t>
            </w:r>
            <w:r w:rsidR="00BD1ED1">
              <w:rPr>
                <w:rFonts w:eastAsia="Times New Roman"/>
                <w:sz w:val="24"/>
                <w:szCs w:val="24"/>
                <w:lang w:eastAsia="lv-LV"/>
              </w:rPr>
              <w:t>cas</w:t>
            </w:r>
            <w:proofErr w:type="spellEnd"/>
            <w:r w:rsidRPr="00BC14F0">
              <w:rPr>
                <w:rFonts w:eastAsia="Times New Roman"/>
                <w:sz w:val="24"/>
                <w:szCs w:val="24"/>
                <w:lang w:eastAsia="lv-LV"/>
              </w:rPr>
              <w:t>).</w:t>
            </w:r>
          </w:p>
          <w:p w14:paraId="21A2D76B" w14:textId="037A0BE3" w:rsidR="00D1220D" w:rsidRPr="00BC14F0" w:rsidRDefault="00D1220D" w:rsidP="00BD1ED1">
            <w:pPr>
              <w:spacing w:line="240" w:lineRule="auto"/>
              <w:ind w:firstLine="0"/>
              <w:rPr>
                <w:rFonts w:eastAsia="Times New Roman"/>
                <w:sz w:val="24"/>
                <w:szCs w:val="24"/>
                <w:lang w:eastAsia="lv-LV"/>
              </w:rPr>
            </w:pPr>
            <w:r w:rsidRPr="00BC14F0">
              <w:rPr>
                <w:rFonts w:eastAsia="Times New Roman"/>
                <w:sz w:val="24"/>
                <w:szCs w:val="24"/>
                <w:lang w:eastAsia="lv-LV"/>
              </w:rPr>
              <w:t>Republikas pilsēt</w:t>
            </w:r>
            <w:r w:rsidR="00BD1ED1">
              <w:rPr>
                <w:rFonts w:eastAsia="Times New Roman"/>
                <w:sz w:val="24"/>
                <w:szCs w:val="24"/>
                <w:lang w:eastAsia="lv-LV"/>
              </w:rPr>
              <w:t>u pašvaldībām</w:t>
            </w:r>
            <w:r w:rsidRPr="00BC14F0">
              <w:rPr>
                <w:rFonts w:eastAsia="Times New Roman"/>
                <w:sz w:val="24"/>
                <w:szCs w:val="24"/>
                <w:lang w:eastAsia="lv-LV"/>
              </w:rPr>
              <w:t>, kuras līdz šim veica taksometru speciālo atļauju (licenču) izsniegšanu, funkcijas netiek mainītas.</w:t>
            </w:r>
          </w:p>
        </w:tc>
      </w:tr>
      <w:tr w:rsidR="002540F6" w:rsidRPr="00BC14F0" w14:paraId="7F14DEE1" w14:textId="77777777" w:rsidTr="00542E8A">
        <w:trPr>
          <w:trHeight w:val="453"/>
        </w:trPr>
        <w:tc>
          <w:tcPr>
            <w:tcW w:w="199" w:type="pct"/>
            <w:tcBorders>
              <w:top w:val="outset" w:sz="6" w:space="0" w:color="auto"/>
              <w:left w:val="outset" w:sz="6" w:space="0" w:color="auto"/>
              <w:bottom w:val="outset" w:sz="6" w:space="0" w:color="auto"/>
              <w:right w:val="outset" w:sz="6" w:space="0" w:color="auto"/>
            </w:tcBorders>
          </w:tcPr>
          <w:p w14:paraId="4821484A" w14:textId="77777777" w:rsidR="00565A60" w:rsidRPr="00BC14F0" w:rsidRDefault="00565A60" w:rsidP="00BC14F0">
            <w:pPr>
              <w:spacing w:line="240" w:lineRule="auto"/>
              <w:rPr>
                <w:rFonts w:eastAsia="Times New Roman"/>
                <w:sz w:val="24"/>
                <w:szCs w:val="24"/>
                <w:lang w:eastAsia="lv-LV"/>
              </w:rPr>
            </w:pPr>
            <w:r w:rsidRPr="00BC14F0">
              <w:rPr>
                <w:rFonts w:eastAsia="Times New Roman"/>
                <w:sz w:val="24"/>
                <w:szCs w:val="24"/>
                <w:lang w:eastAsia="lv-LV"/>
              </w:rPr>
              <w:t>3</w:t>
            </w:r>
            <w:r w:rsidR="00DA5F33" w:rsidRPr="00BC14F0">
              <w:rPr>
                <w:rFonts w:eastAsia="Times New Roman"/>
                <w:sz w:val="24"/>
                <w:szCs w:val="24"/>
                <w:lang w:eastAsia="lv-LV"/>
              </w:rPr>
              <w:t>3.</w:t>
            </w:r>
          </w:p>
        </w:tc>
        <w:tc>
          <w:tcPr>
            <w:tcW w:w="1326" w:type="pct"/>
            <w:tcBorders>
              <w:top w:val="outset" w:sz="6" w:space="0" w:color="auto"/>
              <w:left w:val="outset" w:sz="6" w:space="0" w:color="auto"/>
              <w:bottom w:val="outset" w:sz="6" w:space="0" w:color="auto"/>
              <w:right w:val="outset" w:sz="6" w:space="0" w:color="auto"/>
            </w:tcBorders>
          </w:tcPr>
          <w:p w14:paraId="3FDF211D"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Cita informācija</w:t>
            </w:r>
          </w:p>
        </w:tc>
        <w:tc>
          <w:tcPr>
            <w:tcW w:w="3475" w:type="pct"/>
            <w:tcBorders>
              <w:top w:val="outset" w:sz="6" w:space="0" w:color="auto"/>
              <w:left w:val="outset" w:sz="6" w:space="0" w:color="auto"/>
              <w:bottom w:val="outset" w:sz="6" w:space="0" w:color="auto"/>
              <w:right w:val="outset" w:sz="6" w:space="0" w:color="auto"/>
            </w:tcBorders>
          </w:tcPr>
          <w:p w14:paraId="6E063464" w14:textId="77777777" w:rsidR="00565A60" w:rsidRPr="00BC14F0" w:rsidRDefault="00565A60" w:rsidP="00BC14F0">
            <w:pPr>
              <w:spacing w:line="240" w:lineRule="auto"/>
              <w:ind w:firstLine="0"/>
              <w:rPr>
                <w:rFonts w:eastAsia="Times New Roman"/>
                <w:sz w:val="24"/>
                <w:szCs w:val="24"/>
                <w:lang w:eastAsia="lv-LV"/>
              </w:rPr>
            </w:pPr>
            <w:r w:rsidRPr="00BC14F0">
              <w:rPr>
                <w:rFonts w:eastAsia="Times New Roman"/>
                <w:sz w:val="24"/>
                <w:szCs w:val="24"/>
                <w:lang w:eastAsia="lv-LV"/>
              </w:rPr>
              <w:t>Nav</w:t>
            </w:r>
            <w:r w:rsidR="00DA5F33" w:rsidRPr="00BC14F0">
              <w:rPr>
                <w:rFonts w:eastAsia="Times New Roman"/>
                <w:sz w:val="24"/>
                <w:szCs w:val="24"/>
                <w:lang w:eastAsia="lv-LV"/>
              </w:rPr>
              <w:t>.</w:t>
            </w:r>
          </w:p>
        </w:tc>
      </w:tr>
    </w:tbl>
    <w:p w14:paraId="5EB755FF" w14:textId="77777777" w:rsidR="00B95008" w:rsidRPr="00BC14F0" w:rsidRDefault="00B95008" w:rsidP="00BC14F0">
      <w:pPr>
        <w:spacing w:line="240" w:lineRule="auto"/>
        <w:ind w:firstLine="0"/>
        <w:rPr>
          <w:sz w:val="24"/>
          <w:szCs w:val="24"/>
        </w:rPr>
      </w:pPr>
    </w:p>
    <w:p w14:paraId="3A6B0602" w14:textId="77777777" w:rsidR="001756C1" w:rsidRPr="00BC14F0" w:rsidRDefault="001756C1" w:rsidP="00BC14F0">
      <w:pPr>
        <w:spacing w:line="240" w:lineRule="auto"/>
        <w:ind w:firstLine="0"/>
        <w:rPr>
          <w:sz w:val="24"/>
          <w:szCs w:val="24"/>
        </w:rPr>
      </w:pPr>
    </w:p>
    <w:p w14:paraId="36D2438F" w14:textId="77777777" w:rsidR="003228D7" w:rsidRPr="00BC14F0" w:rsidRDefault="003228D7" w:rsidP="00BC14F0">
      <w:pPr>
        <w:spacing w:line="240" w:lineRule="auto"/>
        <w:ind w:firstLine="0"/>
        <w:rPr>
          <w:sz w:val="24"/>
          <w:szCs w:val="24"/>
        </w:rPr>
      </w:pPr>
      <w:r w:rsidRPr="00BC14F0">
        <w:rPr>
          <w:sz w:val="24"/>
          <w:szCs w:val="24"/>
        </w:rPr>
        <w:t xml:space="preserve">Iesniedzējs: </w:t>
      </w:r>
    </w:p>
    <w:p w14:paraId="3B768DB5" w14:textId="77777777" w:rsidR="003228D7" w:rsidRPr="00BC14F0" w:rsidRDefault="003228D7" w:rsidP="00BC14F0">
      <w:pPr>
        <w:spacing w:line="240" w:lineRule="auto"/>
        <w:ind w:firstLine="0"/>
        <w:rPr>
          <w:sz w:val="24"/>
          <w:szCs w:val="24"/>
        </w:rPr>
      </w:pPr>
      <w:r w:rsidRPr="00BC14F0">
        <w:rPr>
          <w:sz w:val="24"/>
          <w:szCs w:val="24"/>
        </w:rPr>
        <w:t>Satiksmes ministrs</w:t>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r w:rsidRPr="00BC14F0">
        <w:rPr>
          <w:sz w:val="24"/>
          <w:szCs w:val="24"/>
        </w:rPr>
        <w:tab/>
      </w:r>
      <w:proofErr w:type="spellStart"/>
      <w:r w:rsidRPr="00BC14F0">
        <w:rPr>
          <w:sz w:val="24"/>
          <w:szCs w:val="24"/>
        </w:rPr>
        <w:t>U.Augulis</w:t>
      </w:r>
      <w:proofErr w:type="spellEnd"/>
    </w:p>
    <w:p w14:paraId="4E271A8A" w14:textId="77777777" w:rsidR="003228D7" w:rsidRPr="00BC14F0" w:rsidRDefault="003228D7" w:rsidP="00BC14F0">
      <w:pPr>
        <w:spacing w:line="240" w:lineRule="auto"/>
        <w:ind w:firstLine="0"/>
        <w:rPr>
          <w:sz w:val="24"/>
          <w:szCs w:val="24"/>
        </w:rPr>
      </w:pPr>
    </w:p>
    <w:p w14:paraId="4D320C67" w14:textId="77777777" w:rsidR="003228D7" w:rsidRPr="00BC14F0" w:rsidRDefault="003228D7" w:rsidP="00BC14F0">
      <w:pPr>
        <w:spacing w:line="240" w:lineRule="auto"/>
        <w:ind w:firstLine="0"/>
        <w:rPr>
          <w:sz w:val="24"/>
          <w:szCs w:val="24"/>
        </w:rPr>
      </w:pPr>
    </w:p>
    <w:p w14:paraId="7BA9A1CE" w14:textId="782980BB" w:rsidR="004E38BA" w:rsidRDefault="0089322A" w:rsidP="00BC14F0">
      <w:pPr>
        <w:spacing w:line="240" w:lineRule="auto"/>
        <w:ind w:firstLine="0"/>
        <w:rPr>
          <w:rFonts w:eastAsia="Times New Roman"/>
          <w:sz w:val="24"/>
          <w:szCs w:val="24"/>
          <w:lang w:eastAsia="lv-LV"/>
        </w:rPr>
      </w:pPr>
      <w:r w:rsidRPr="00BC14F0">
        <w:rPr>
          <w:rFonts w:eastAsia="Times New Roman"/>
          <w:sz w:val="24"/>
          <w:szCs w:val="24"/>
          <w:lang w:eastAsia="lv-LV"/>
        </w:rPr>
        <w:t>Vīza: Valsts sekretār</w:t>
      </w:r>
      <w:r w:rsidR="004E38BA">
        <w:rPr>
          <w:rFonts w:eastAsia="Times New Roman"/>
          <w:sz w:val="24"/>
          <w:szCs w:val="24"/>
          <w:lang w:eastAsia="lv-LV"/>
        </w:rPr>
        <w:t>a vietā –</w:t>
      </w:r>
    </w:p>
    <w:p w14:paraId="1412B751" w14:textId="19E13F61" w:rsidR="0089322A" w:rsidRPr="00BC14F0" w:rsidRDefault="004E38BA" w:rsidP="00BC14F0">
      <w:pPr>
        <w:spacing w:line="240" w:lineRule="auto"/>
        <w:ind w:firstLine="0"/>
        <w:rPr>
          <w:rFonts w:eastAsia="Times New Roman"/>
          <w:sz w:val="24"/>
          <w:szCs w:val="24"/>
          <w:lang w:eastAsia="lv-LV"/>
        </w:rPr>
      </w:pPr>
      <w:r>
        <w:rPr>
          <w:rFonts w:eastAsia="Times New Roman"/>
          <w:sz w:val="24"/>
          <w:szCs w:val="24"/>
          <w:lang w:eastAsia="lv-LV"/>
        </w:rPr>
        <w:t>valsts sekretāra vietniece</w:t>
      </w:r>
      <w:r w:rsidR="0089322A" w:rsidRPr="00BC14F0">
        <w:rPr>
          <w:rFonts w:eastAsia="Times New Roman"/>
          <w:sz w:val="24"/>
          <w:szCs w:val="24"/>
          <w:lang w:eastAsia="lv-LV"/>
        </w:rPr>
        <w:tab/>
        <w:t xml:space="preserve">       </w:t>
      </w:r>
      <w:r w:rsidR="0089322A" w:rsidRPr="00BC14F0">
        <w:rPr>
          <w:rFonts w:eastAsia="Times New Roman"/>
          <w:sz w:val="24"/>
          <w:szCs w:val="24"/>
          <w:lang w:eastAsia="lv-LV"/>
        </w:rPr>
        <w:tab/>
      </w:r>
      <w:r w:rsidR="0089322A" w:rsidRPr="00BC14F0">
        <w:rPr>
          <w:rFonts w:eastAsia="Times New Roman"/>
          <w:sz w:val="24"/>
          <w:szCs w:val="24"/>
          <w:lang w:eastAsia="lv-LV"/>
        </w:rPr>
        <w:tab/>
      </w:r>
      <w:r>
        <w:rPr>
          <w:rFonts w:eastAsia="Times New Roman"/>
          <w:sz w:val="24"/>
          <w:szCs w:val="24"/>
          <w:lang w:eastAsia="lv-LV"/>
        </w:rPr>
        <w:tab/>
      </w:r>
      <w:r w:rsidR="0089322A" w:rsidRPr="00BC14F0">
        <w:rPr>
          <w:rFonts w:eastAsia="Times New Roman"/>
          <w:sz w:val="24"/>
          <w:szCs w:val="24"/>
          <w:lang w:eastAsia="lv-LV"/>
        </w:rPr>
        <w:tab/>
      </w:r>
      <w:r w:rsidR="0089322A" w:rsidRPr="00BC14F0">
        <w:rPr>
          <w:rFonts w:eastAsia="Times New Roman"/>
          <w:sz w:val="24"/>
          <w:szCs w:val="24"/>
          <w:lang w:eastAsia="lv-LV"/>
        </w:rPr>
        <w:tab/>
      </w:r>
      <w:r w:rsidR="0089322A" w:rsidRPr="00BC14F0">
        <w:rPr>
          <w:rFonts w:eastAsia="Times New Roman"/>
          <w:sz w:val="24"/>
          <w:szCs w:val="24"/>
          <w:lang w:eastAsia="lv-LV"/>
        </w:rPr>
        <w:tab/>
      </w:r>
      <w:r w:rsidR="0089322A" w:rsidRPr="00BC14F0">
        <w:rPr>
          <w:rFonts w:eastAsia="Times New Roman"/>
          <w:sz w:val="24"/>
          <w:szCs w:val="24"/>
          <w:lang w:eastAsia="lv-LV"/>
        </w:rPr>
        <w:tab/>
      </w:r>
      <w:proofErr w:type="spellStart"/>
      <w:r>
        <w:rPr>
          <w:rFonts w:eastAsia="Times New Roman"/>
          <w:sz w:val="24"/>
          <w:szCs w:val="24"/>
          <w:lang w:eastAsia="lv-LV"/>
        </w:rPr>
        <w:t>Dž.Innusa</w:t>
      </w:r>
      <w:proofErr w:type="spellEnd"/>
    </w:p>
    <w:p w14:paraId="2D0F677B" w14:textId="77777777" w:rsidR="00E75E1C" w:rsidRPr="00BC14F0" w:rsidRDefault="00E75E1C" w:rsidP="00BC14F0">
      <w:pPr>
        <w:pStyle w:val="Header"/>
        <w:spacing w:line="240" w:lineRule="auto"/>
        <w:ind w:firstLine="0"/>
        <w:rPr>
          <w:rFonts w:eastAsia="Times New Roman"/>
          <w:sz w:val="24"/>
          <w:szCs w:val="24"/>
          <w:lang w:val="lv-LV" w:eastAsia="lv-LV"/>
        </w:rPr>
      </w:pPr>
    </w:p>
    <w:p w14:paraId="4301B758" w14:textId="77777777" w:rsidR="00E76C69" w:rsidRPr="00BC14F0" w:rsidRDefault="00E76C69" w:rsidP="00BC14F0">
      <w:pPr>
        <w:pStyle w:val="Header"/>
        <w:spacing w:line="240" w:lineRule="auto"/>
        <w:ind w:firstLine="0"/>
        <w:rPr>
          <w:sz w:val="24"/>
          <w:szCs w:val="24"/>
          <w:lang w:val="lv-LV"/>
        </w:rPr>
      </w:pPr>
    </w:p>
    <w:p w14:paraId="33E386C2" w14:textId="7C26B00B" w:rsidR="00ED7815" w:rsidRPr="00BC14F0" w:rsidRDefault="004E593F" w:rsidP="00BC14F0">
      <w:pPr>
        <w:spacing w:line="240" w:lineRule="auto"/>
        <w:ind w:firstLine="0"/>
        <w:rPr>
          <w:sz w:val="20"/>
          <w:szCs w:val="20"/>
        </w:rPr>
      </w:pPr>
      <w:r>
        <w:rPr>
          <w:sz w:val="20"/>
          <w:szCs w:val="20"/>
        </w:rPr>
        <w:t>23</w:t>
      </w:r>
      <w:r w:rsidR="00215DDE">
        <w:rPr>
          <w:sz w:val="20"/>
          <w:szCs w:val="20"/>
        </w:rPr>
        <w:t>.</w:t>
      </w:r>
      <w:r w:rsidR="006C56C6">
        <w:rPr>
          <w:sz w:val="20"/>
          <w:szCs w:val="20"/>
        </w:rPr>
        <w:t>01</w:t>
      </w:r>
      <w:r w:rsidR="00FE0BD6">
        <w:rPr>
          <w:sz w:val="20"/>
          <w:szCs w:val="20"/>
        </w:rPr>
        <w:t>.2017</w:t>
      </w:r>
      <w:r w:rsidR="003D3728" w:rsidRPr="00BC14F0">
        <w:rPr>
          <w:sz w:val="20"/>
          <w:szCs w:val="20"/>
        </w:rPr>
        <w:t>.</w:t>
      </w:r>
    </w:p>
    <w:p w14:paraId="3AB58782" w14:textId="75869D54" w:rsidR="00ED7815" w:rsidRPr="00BC14F0" w:rsidRDefault="001911E1" w:rsidP="00BC14F0">
      <w:pPr>
        <w:spacing w:line="240" w:lineRule="auto"/>
        <w:ind w:firstLine="0"/>
        <w:rPr>
          <w:sz w:val="20"/>
          <w:szCs w:val="20"/>
        </w:rPr>
      </w:pPr>
      <w:r w:rsidRPr="00A347ED">
        <w:rPr>
          <w:sz w:val="20"/>
          <w:szCs w:val="20"/>
        </w:rPr>
        <w:t>3</w:t>
      </w:r>
      <w:r w:rsidR="00FE0BD6">
        <w:rPr>
          <w:sz w:val="20"/>
          <w:szCs w:val="20"/>
        </w:rPr>
        <w:t>2</w:t>
      </w:r>
      <w:r w:rsidR="00316536">
        <w:rPr>
          <w:sz w:val="20"/>
          <w:szCs w:val="20"/>
        </w:rPr>
        <w:t>64</w:t>
      </w:r>
      <w:bookmarkStart w:id="3" w:name="_GoBack"/>
      <w:bookmarkEnd w:id="3"/>
    </w:p>
    <w:p w14:paraId="611C678F" w14:textId="77777777" w:rsidR="00D9115A" w:rsidRPr="00BC14F0" w:rsidRDefault="00D34D55" w:rsidP="00BC14F0">
      <w:pPr>
        <w:spacing w:line="240" w:lineRule="auto"/>
        <w:ind w:firstLine="0"/>
        <w:rPr>
          <w:sz w:val="20"/>
          <w:szCs w:val="20"/>
          <w:lang w:val="de-DE"/>
        </w:rPr>
      </w:pPr>
      <w:proofErr w:type="spellStart"/>
      <w:r w:rsidRPr="00BC14F0">
        <w:rPr>
          <w:sz w:val="20"/>
          <w:szCs w:val="20"/>
          <w:lang w:val="de-DE"/>
        </w:rPr>
        <w:t>Ž.Butāns</w:t>
      </w:r>
      <w:proofErr w:type="spellEnd"/>
      <w:r w:rsidRPr="00BC14F0">
        <w:rPr>
          <w:sz w:val="20"/>
          <w:szCs w:val="20"/>
          <w:lang w:val="de-DE"/>
        </w:rPr>
        <w:t>, 67028326</w:t>
      </w:r>
    </w:p>
    <w:p w14:paraId="19BDB0EB" w14:textId="77777777" w:rsidR="00C70784" w:rsidRPr="00DE7249" w:rsidRDefault="00316536" w:rsidP="00BC14F0">
      <w:pPr>
        <w:spacing w:line="240" w:lineRule="auto"/>
        <w:ind w:firstLine="0"/>
        <w:rPr>
          <w:sz w:val="20"/>
          <w:szCs w:val="20"/>
          <w:lang w:val="de-DE"/>
        </w:rPr>
      </w:pPr>
      <w:hyperlink r:id="rId9" w:history="1">
        <w:r w:rsidR="00BB6943" w:rsidRPr="00BC14F0">
          <w:rPr>
            <w:rStyle w:val="Hyperlink"/>
            <w:color w:val="auto"/>
            <w:sz w:val="20"/>
            <w:szCs w:val="20"/>
            <w:lang w:val="de-DE"/>
          </w:rPr>
          <w:t>Zans.Butans@sam.gov.lv</w:t>
        </w:r>
      </w:hyperlink>
      <w:r w:rsidR="00BB6943" w:rsidRPr="00DE7249">
        <w:rPr>
          <w:sz w:val="20"/>
          <w:szCs w:val="20"/>
          <w:lang w:val="de-DE"/>
        </w:rPr>
        <w:t xml:space="preserve"> </w:t>
      </w:r>
    </w:p>
    <w:p w14:paraId="1D38E44A" w14:textId="77777777" w:rsidR="00BC14F0" w:rsidRPr="00DE7249" w:rsidRDefault="00BC14F0" w:rsidP="00BC14F0">
      <w:pPr>
        <w:spacing w:line="240" w:lineRule="auto"/>
        <w:ind w:firstLine="0"/>
        <w:rPr>
          <w:sz w:val="20"/>
          <w:szCs w:val="20"/>
          <w:lang w:val="de-DE"/>
        </w:rPr>
      </w:pPr>
    </w:p>
    <w:p w14:paraId="2A9AB836" w14:textId="77777777" w:rsidR="00BC14F0" w:rsidRPr="00DE7249" w:rsidRDefault="00BC14F0">
      <w:pPr>
        <w:spacing w:line="240" w:lineRule="auto"/>
        <w:ind w:firstLine="0"/>
        <w:rPr>
          <w:sz w:val="20"/>
          <w:szCs w:val="20"/>
          <w:lang w:val="de-DE"/>
        </w:rPr>
      </w:pPr>
    </w:p>
    <w:sectPr w:rsidR="00BC14F0" w:rsidRPr="00DE7249" w:rsidSect="00E75E1C">
      <w:headerReference w:type="default" r:id="rId10"/>
      <w:footerReference w:type="default" r:id="rId11"/>
      <w:footerReference w:type="first" r:id="rId12"/>
      <w:pgSz w:w="11906" w:h="16838"/>
      <w:pgMar w:top="1021" w:right="1021" w:bottom="1021" w:left="1588"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C0D3" w14:textId="77777777" w:rsidR="00AA6265" w:rsidRDefault="00AA6265" w:rsidP="00E65F54">
      <w:pPr>
        <w:spacing w:line="240" w:lineRule="auto"/>
      </w:pPr>
      <w:r>
        <w:separator/>
      </w:r>
    </w:p>
  </w:endnote>
  <w:endnote w:type="continuationSeparator" w:id="0">
    <w:p w14:paraId="6127108F" w14:textId="77777777" w:rsidR="00AA6265" w:rsidRDefault="00AA6265"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03D8" w14:textId="76CB0F27" w:rsidR="00691B65" w:rsidRPr="006E43B0" w:rsidRDefault="00691B65" w:rsidP="002C6400">
    <w:pPr>
      <w:pStyle w:val="Footer"/>
      <w:spacing w:line="240" w:lineRule="auto"/>
      <w:ind w:firstLine="0"/>
      <w:rPr>
        <w:sz w:val="20"/>
        <w:szCs w:val="20"/>
      </w:rPr>
    </w:pPr>
    <w:r w:rsidRPr="006E43B0">
      <w:rPr>
        <w:sz w:val="20"/>
        <w:szCs w:val="20"/>
      </w:rPr>
      <w:t>SAMAnot_</w:t>
    </w:r>
    <w:r w:rsidR="004E593F">
      <w:rPr>
        <w:sz w:val="20"/>
        <w:szCs w:val="20"/>
        <w:lang w:val="lv-LV"/>
      </w:rPr>
      <w:t>23</w:t>
    </w:r>
    <w:r w:rsidR="006C56C6">
      <w:rPr>
        <w:sz w:val="20"/>
        <w:szCs w:val="20"/>
        <w:lang w:val="lv-LV"/>
      </w:rPr>
      <w:t>01</w:t>
    </w:r>
    <w:r w:rsidR="00754BA6">
      <w:rPr>
        <w:sz w:val="20"/>
        <w:szCs w:val="20"/>
        <w:lang w:val="lv-LV"/>
      </w:rPr>
      <w:t>1</w:t>
    </w:r>
    <w:r w:rsidR="00DA73E3">
      <w:rPr>
        <w:sz w:val="20"/>
        <w:szCs w:val="20"/>
        <w:lang w:val="lv-LV"/>
      </w:rPr>
      <w:t>7</w:t>
    </w:r>
    <w:r w:rsidRPr="006E43B0">
      <w:rPr>
        <w:sz w:val="20"/>
        <w:szCs w:val="20"/>
      </w:rPr>
      <w:t>_</w:t>
    </w:r>
    <w:r w:rsidR="00F95246">
      <w:rPr>
        <w:sz w:val="20"/>
        <w:szCs w:val="20"/>
        <w:lang w:val="lv-LV"/>
      </w:rPr>
      <w:t xml:space="preserve">Autopārvadājumu </w:t>
    </w:r>
    <w:r>
      <w:rPr>
        <w:sz w:val="20"/>
        <w:szCs w:val="20"/>
        <w:lang w:val="lv-LV"/>
      </w:rPr>
      <w:t>lik</w:t>
    </w:r>
    <w:r w:rsidR="00F95246">
      <w:rPr>
        <w:sz w:val="20"/>
        <w:szCs w:val="20"/>
        <w:lang w:val="lv-LV"/>
      </w:rPr>
      <w:t>ums</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w:t>
    </w:r>
    <w:r>
      <w:rPr>
        <w:sz w:val="20"/>
        <w:szCs w:val="20"/>
        <w:lang w:val="lv-LV"/>
      </w:rPr>
      <w:t xml:space="preserve">Autopārvadājumu </w:t>
    </w:r>
    <w:r w:rsidRPr="006E43B0">
      <w:rPr>
        <w:sz w:val="20"/>
        <w:szCs w:val="20"/>
      </w:rPr>
      <w:t>likumā” sākotnējās ietekmes novērtējuma ziņojums (anotācija)</w:t>
    </w:r>
  </w:p>
  <w:p w14:paraId="2D4F711A" w14:textId="77777777" w:rsidR="00691B65" w:rsidRDefault="00691B65" w:rsidP="0065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7154" w14:textId="671143BA" w:rsidR="00691B65" w:rsidRPr="006E43B0" w:rsidRDefault="00691B65" w:rsidP="0073691D">
    <w:pPr>
      <w:pStyle w:val="Footer"/>
      <w:spacing w:line="240" w:lineRule="auto"/>
      <w:ind w:firstLine="0"/>
      <w:rPr>
        <w:sz w:val="20"/>
        <w:szCs w:val="20"/>
      </w:rPr>
    </w:pPr>
    <w:r w:rsidRPr="006E43B0">
      <w:rPr>
        <w:sz w:val="20"/>
        <w:szCs w:val="20"/>
      </w:rPr>
      <w:t>SAMAnot_</w:t>
    </w:r>
    <w:r w:rsidR="004E593F">
      <w:rPr>
        <w:sz w:val="20"/>
        <w:szCs w:val="20"/>
        <w:lang w:val="lv-LV"/>
      </w:rPr>
      <w:t>23</w:t>
    </w:r>
    <w:r w:rsidR="00DA73E3">
      <w:rPr>
        <w:sz w:val="20"/>
        <w:szCs w:val="20"/>
        <w:lang w:val="lv-LV"/>
      </w:rPr>
      <w:t>01</w:t>
    </w:r>
    <w:r>
      <w:rPr>
        <w:sz w:val="20"/>
        <w:szCs w:val="20"/>
        <w:lang w:val="lv-LV"/>
      </w:rPr>
      <w:t>1</w:t>
    </w:r>
    <w:r w:rsidR="00DA73E3">
      <w:rPr>
        <w:sz w:val="20"/>
        <w:szCs w:val="20"/>
        <w:lang w:val="lv-LV"/>
      </w:rPr>
      <w:t>7</w:t>
    </w:r>
    <w:r w:rsidRPr="006E43B0">
      <w:rPr>
        <w:sz w:val="20"/>
        <w:szCs w:val="20"/>
      </w:rPr>
      <w:t>_</w:t>
    </w:r>
    <w:r>
      <w:rPr>
        <w:sz w:val="20"/>
        <w:szCs w:val="20"/>
        <w:lang w:val="lv-LV"/>
      </w:rPr>
      <w:t>Autopārvad</w:t>
    </w:r>
    <w:r w:rsidR="00F95246">
      <w:rPr>
        <w:sz w:val="20"/>
        <w:szCs w:val="20"/>
        <w:lang w:val="lv-LV"/>
      </w:rPr>
      <w:t>ājumu likums</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w:t>
    </w:r>
    <w:r>
      <w:rPr>
        <w:sz w:val="20"/>
        <w:szCs w:val="20"/>
        <w:lang w:val="lv-LV"/>
      </w:rPr>
      <w:t xml:space="preserve">Autopārvadājumu </w:t>
    </w:r>
    <w:r w:rsidRPr="006E43B0">
      <w:rPr>
        <w:sz w:val="20"/>
        <w:szCs w:val="20"/>
      </w:rPr>
      <w:t>likumā” sākotnējās ietekmes novērtējuma ziņojums (anotācija)</w:t>
    </w:r>
  </w:p>
  <w:p w14:paraId="6CCA9F5F" w14:textId="77777777" w:rsidR="00691B65" w:rsidRDefault="00691B65" w:rsidP="002233D1">
    <w:pPr>
      <w:pStyle w:val="Foote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86D14" w14:textId="77777777" w:rsidR="00AA6265" w:rsidRDefault="00AA6265" w:rsidP="00E65F54">
      <w:pPr>
        <w:spacing w:line="240" w:lineRule="auto"/>
      </w:pPr>
      <w:r>
        <w:separator/>
      </w:r>
    </w:p>
  </w:footnote>
  <w:footnote w:type="continuationSeparator" w:id="0">
    <w:p w14:paraId="3873A0E4" w14:textId="77777777" w:rsidR="00AA6265" w:rsidRDefault="00AA6265"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CBD7" w14:textId="5C11676F" w:rsidR="00691B65" w:rsidRPr="00EC3264" w:rsidRDefault="00691B65"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316536">
      <w:rPr>
        <w:noProof/>
        <w:sz w:val="24"/>
        <w:szCs w:val="24"/>
      </w:rPr>
      <w:t>10</w:t>
    </w:r>
    <w:r w:rsidRPr="00EC3264">
      <w:rPr>
        <w:sz w:val="24"/>
        <w:szCs w:val="24"/>
      </w:rPr>
      <w:fldChar w:fldCharType="end"/>
    </w:r>
  </w:p>
  <w:p w14:paraId="77DFD73C" w14:textId="77777777" w:rsidR="00691B65" w:rsidRDefault="00691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81D"/>
    <w:multiLevelType w:val="hybridMultilevel"/>
    <w:tmpl w:val="840C33E2"/>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C608BC"/>
    <w:multiLevelType w:val="hybridMultilevel"/>
    <w:tmpl w:val="9452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FA5302D"/>
    <w:multiLevelType w:val="hybridMultilevel"/>
    <w:tmpl w:val="D9423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F85B9E"/>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405265"/>
    <w:multiLevelType w:val="hybridMultilevel"/>
    <w:tmpl w:val="F3884E6C"/>
    <w:lvl w:ilvl="0" w:tplc="B42480F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10">
    <w:nsid w:val="420925ED"/>
    <w:multiLevelType w:val="hybridMultilevel"/>
    <w:tmpl w:val="EC14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1"/>
  </w:num>
  <w:num w:numId="5">
    <w:abstractNumId w:val="8"/>
  </w:num>
  <w:num w:numId="6">
    <w:abstractNumId w:val="5"/>
  </w:num>
  <w:num w:numId="7">
    <w:abstractNumId w:val="4"/>
  </w:num>
  <w:num w:numId="8">
    <w:abstractNumId w:val="7"/>
  </w:num>
  <w:num w:numId="9">
    <w:abstractNumId w:val="10"/>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E"/>
    <w:rsid w:val="0000048D"/>
    <w:rsid w:val="000030CF"/>
    <w:rsid w:val="00006479"/>
    <w:rsid w:val="00007AB0"/>
    <w:rsid w:val="00010EA0"/>
    <w:rsid w:val="0001156F"/>
    <w:rsid w:val="000128E5"/>
    <w:rsid w:val="00013332"/>
    <w:rsid w:val="00015C0B"/>
    <w:rsid w:val="000210ED"/>
    <w:rsid w:val="000243D2"/>
    <w:rsid w:val="00032250"/>
    <w:rsid w:val="00033D5F"/>
    <w:rsid w:val="0003719C"/>
    <w:rsid w:val="00037F23"/>
    <w:rsid w:val="00040956"/>
    <w:rsid w:val="00042C13"/>
    <w:rsid w:val="00045179"/>
    <w:rsid w:val="0004524B"/>
    <w:rsid w:val="00046644"/>
    <w:rsid w:val="00046838"/>
    <w:rsid w:val="0005496F"/>
    <w:rsid w:val="00057BDD"/>
    <w:rsid w:val="000644D9"/>
    <w:rsid w:val="00065316"/>
    <w:rsid w:val="0007035E"/>
    <w:rsid w:val="00071959"/>
    <w:rsid w:val="00072B33"/>
    <w:rsid w:val="000731CA"/>
    <w:rsid w:val="000811EA"/>
    <w:rsid w:val="000811EB"/>
    <w:rsid w:val="000817E8"/>
    <w:rsid w:val="00082546"/>
    <w:rsid w:val="0008496F"/>
    <w:rsid w:val="00085E1F"/>
    <w:rsid w:val="000871D1"/>
    <w:rsid w:val="00091C3F"/>
    <w:rsid w:val="00092521"/>
    <w:rsid w:val="00094458"/>
    <w:rsid w:val="00094E17"/>
    <w:rsid w:val="0009792C"/>
    <w:rsid w:val="000A56B3"/>
    <w:rsid w:val="000B7125"/>
    <w:rsid w:val="000B7137"/>
    <w:rsid w:val="000B73D9"/>
    <w:rsid w:val="000C0933"/>
    <w:rsid w:val="000C0A47"/>
    <w:rsid w:val="000C4DE3"/>
    <w:rsid w:val="000C5CCD"/>
    <w:rsid w:val="000C6F5D"/>
    <w:rsid w:val="000E2ACD"/>
    <w:rsid w:val="000E3463"/>
    <w:rsid w:val="000E4244"/>
    <w:rsid w:val="000E65C2"/>
    <w:rsid w:val="000F18CF"/>
    <w:rsid w:val="000F4276"/>
    <w:rsid w:val="00100A62"/>
    <w:rsid w:val="00103B16"/>
    <w:rsid w:val="00104DA1"/>
    <w:rsid w:val="00106E68"/>
    <w:rsid w:val="00113C3D"/>
    <w:rsid w:val="00113F71"/>
    <w:rsid w:val="00120400"/>
    <w:rsid w:val="00127036"/>
    <w:rsid w:val="00132665"/>
    <w:rsid w:val="0013713D"/>
    <w:rsid w:val="00137889"/>
    <w:rsid w:val="00144578"/>
    <w:rsid w:val="001518E4"/>
    <w:rsid w:val="00153721"/>
    <w:rsid w:val="00154BD3"/>
    <w:rsid w:val="001565BE"/>
    <w:rsid w:val="00160055"/>
    <w:rsid w:val="00166463"/>
    <w:rsid w:val="00167D64"/>
    <w:rsid w:val="001756C1"/>
    <w:rsid w:val="0017730B"/>
    <w:rsid w:val="001821D5"/>
    <w:rsid w:val="001844CC"/>
    <w:rsid w:val="001911E1"/>
    <w:rsid w:val="0019237B"/>
    <w:rsid w:val="00194540"/>
    <w:rsid w:val="0019544F"/>
    <w:rsid w:val="00196E92"/>
    <w:rsid w:val="001A0429"/>
    <w:rsid w:val="001A3AB5"/>
    <w:rsid w:val="001A51C0"/>
    <w:rsid w:val="001A6267"/>
    <w:rsid w:val="001B2758"/>
    <w:rsid w:val="001B46BB"/>
    <w:rsid w:val="001C22EA"/>
    <w:rsid w:val="001C43A8"/>
    <w:rsid w:val="001C45B4"/>
    <w:rsid w:val="001C4AC4"/>
    <w:rsid w:val="001C5087"/>
    <w:rsid w:val="001C622E"/>
    <w:rsid w:val="001C7DE8"/>
    <w:rsid w:val="001D35B7"/>
    <w:rsid w:val="001D4D97"/>
    <w:rsid w:val="001E07C3"/>
    <w:rsid w:val="001E2C99"/>
    <w:rsid w:val="001E685A"/>
    <w:rsid w:val="001E6D57"/>
    <w:rsid w:val="001F4FE8"/>
    <w:rsid w:val="001F6E1F"/>
    <w:rsid w:val="00200A42"/>
    <w:rsid w:val="00200D00"/>
    <w:rsid w:val="002037EC"/>
    <w:rsid w:val="0020543F"/>
    <w:rsid w:val="0020589F"/>
    <w:rsid w:val="00206099"/>
    <w:rsid w:val="00212ED9"/>
    <w:rsid w:val="00215002"/>
    <w:rsid w:val="002150BA"/>
    <w:rsid w:val="00215DDE"/>
    <w:rsid w:val="00215E13"/>
    <w:rsid w:val="00217B63"/>
    <w:rsid w:val="00217BF3"/>
    <w:rsid w:val="002214EB"/>
    <w:rsid w:val="002233D1"/>
    <w:rsid w:val="00223621"/>
    <w:rsid w:val="00227972"/>
    <w:rsid w:val="00227D24"/>
    <w:rsid w:val="00230327"/>
    <w:rsid w:val="002303FF"/>
    <w:rsid w:val="002333FB"/>
    <w:rsid w:val="00234574"/>
    <w:rsid w:val="00235F3B"/>
    <w:rsid w:val="00236094"/>
    <w:rsid w:val="00242995"/>
    <w:rsid w:val="002431F8"/>
    <w:rsid w:val="002466F7"/>
    <w:rsid w:val="00250B33"/>
    <w:rsid w:val="002540F6"/>
    <w:rsid w:val="00254547"/>
    <w:rsid w:val="00254AAA"/>
    <w:rsid w:val="00254E6C"/>
    <w:rsid w:val="00261B2A"/>
    <w:rsid w:val="0026238C"/>
    <w:rsid w:val="00262925"/>
    <w:rsid w:val="00263A8B"/>
    <w:rsid w:val="00265844"/>
    <w:rsid w:val="0027189F"/>
    <w:rsid w:val="00272795"/>
    <w:rsid w:val="00273D03"/>
    <w:rsid w:val="002747E2"/>
    <w:rsid w:val="002809D5"/>
    <w:rsid w:val="00282B1B"/>
    <w:rsid w:val="00283578"/>
    <w:rsid w:val="002837AD"/>
    <w:rsid w:val="002851C8"/>
    <w:rsid w:val="00290F63"/>
    <w:rsid w:val="0029220D"/>
    <w:rsid w:val="00295637"/>
    <w:rsid w:val="00296A71"/>
    <w:rsid w:val="002A1834"/>
    <w:rsid w:val="002A2DD8"/>
    <w:rsid w:val="002A469E"/>
    <w:rsid w:val="002A7BF3"/>
    <w:rsid w:val="002A7F33"/>
    <w:rsid w:val="002B51C7"/>
    <w:rsid w:val="002B6AB8"/>
    <w:rsid w:val="002C009C"/>
    <w:rsid w:val="002C0F60"/>
    <w:rsid w:val="002C26BA"/>
    <w:rsid w:val="002C5EB8"/>
    <w:rsid w:val="002C6400"/>
    <w:rsid w:val="002D15A8"/>
    <w:rsid w:val="002D2B96"/>
    <w:rsid w:val="002D728B"/>
    <w:rsid w:val="002E1768"/>
    <w:rsid w:val="002E3B98"/>
    <w:rsid w:val="002E455A"/>
    <w:rsid w:val="002E61AA"/>
    <w:rsid w:val="002F07D2"/>
    <w:rsid w:val="002F0B7B"/>
    <w:rsid w:val="002F6A56"/>
    <w:rsid w:val="00300778"/>
    <w:rsid w:val="0030455F"/>
    <w:rsid w:val="00304890"/>
    <w:rsid w:val="00306EE9"/>
    <w:rsid w:val="00307249"/>
    <w:rsid w:val="003145B5"/>
    <w:rsid w:val="00316536"/>
    <w:rsid w:val="00322139"/>
    <w:rsid w:val="003228D7"/>
    <w:rsid w:val="00327496"/>
    <w:rsid w:val="00332E7D"/>
    <w:rsid w:val="00333118"/>
    <w:rsid w:val="0033385E"/>
    <w:rsid w:val="0033460F"/>
    <w:rsid w:val="0033511F"/>
    <w:rsid w:val="00336770"/>
    <w:rsid w:val="003374B6"/>
    <w:rsid w:val="00337AF8"/>
    <w:rsid w:val="0034130D"/>
    <w:rsid w:val="003421DD"/>
    <w:rsid w:val="003423FD"/>
    <w:rsid w:val="00344EA8"/>
    <w:rsid w:val="00350C41"/>
    <w:rsid w:val="00351BE5"/>
    <w:rsid w:val="0035270E"/>
    <w:rsid w:val="00354129"/>
    <w:rsid w:val="0035438C"/>
    <w:rsid w:val="00356A8C"/>
    <w:rsid w:val="003619F2"/>
    <w:rsid w:val="00367BBE"/>
    <w:rsid w:val="00370CD2"/>
    <w:rsid w:val="00372F5B"/>
    <w:rsid w:val="003736FD"/>
    <w:rsid w:val="0037399C"/>
    <w:rsid w:val="00375B87"/>
    <w:rsid w:val="003762F4"/>
    <w:rsid w:val="00380F3D"/>
    <w:rsid w:val="0038149B"/>
    <w:rsid w:val="003826E8"/>
    <w:rsid w:val="00384EAD"/>
    <w:rsid w:val="003862B1"/>
    <w:rsid w:val="003909D9"/>
    <w:rsid w:val="00394245"/>
    <w:rsid w:val="00397388"/>
    <w:rsid w:val="003A031D"/>
    <w:rsid w:val="003A6B56"/>
    <w:rsid w:val="003A6E3F"/>
    <w:rsid w:val="003B2698"/>
    <w:rsid w:val="003B3844"/>
    <w:rsid w:val="003B3C1D"/>
    <w:rsid w:val="003B45E7"/>
    <w:rsid w:val="003C121F"/>
    <w:rsid w:val="003C6EA6"/>
    <w:rsid w:val="003D297A"/>
    <w:rsid w:val="003D3728"/>
    <w:rsid w:val="003E0CDA"/>
    <w:rsid w:val="003E274D"/>
    <w:rsid w:val="003E307C"/>
    <w:rsid w:val="003E3B79"/>
    <w:rsid w:val="003E602E"/>
    <w:rsid w:val="003E68F2"/>
    <w:rsid w:val="003F0BE9"/>
    <w:rsid w:val="003F1D89"/>
    <w:rsid w:val="003F2380"/>
    <w:rsid w:val="003F4D96"/>
    <w:rsid w:val="00406E66"/>
    <w:rsid w:val="00410D4D"/>
    <w:rsid w:val="0041464B"/>
    <w:rsid w:val="00415BF6"/>
    <w:rsid w:val="00416B05"/>
    <w:rsid w:val="0041753B"/>
    <w:rsid w:val="00417C06"/>
    <w:rsid w:val="00420397"/>
    <w:rsid w:val="00421370"/>
    <w:rsid w:val="00421A23"/>
    <w:rsid w:val="0042467D"/>
    <w:rsid w:val="00431AE8"/>
    <w:rsid w:val="004326C0"/>
    <w:rsid w:val="004371C5"/>
    <w:rsid w:val="00442FDA"/>
    <w:rsid w:val="004440D0"/>
    <w:rsid w:val="00445038"/>
    <w:rsid w:val="0044594E"/>
    <w:rsid w:val="0044656D"/>
    <w:rsid w:val="00447B00"/>
    <w:rsid w:val="00450128"/>
    <w:rsid w:val="00451C61"/>
    <w:rsid w:val="00454938"/>
    <w:rsid w:val="00461A29"/>
    <w:rsid w:val="00464E12"/>
    <w:rsid w:val="00465D49"/>
    <w:rsid w:val="00466EF2"/>
    <w:rsid w:val="00470868"/>
    <w:rsid w:val="00472466"/>
    <w:rsid w:val="0047322B"/>
    <w:rsid w:val="00480475"/>
    <w:rsid w:val="0048071D"/>
    <w:rsid w:val="004809AB"/>
    <w:rsid w:val="004841AD"/>
    <w:rsid w:val="004845B5"/>
    <w:rsid w:val="00485803"/>
    <w:rsid w:val="004871FD"/>
    <w:rsid w:val="00490361"/>
    <w:rsid w:val="004912C2"/>
    <w:rsid w:val="004915D7"/>
    <w:rsid w:val="00497897"/>
    <w:rsid w:val="004A018D"/>
    <w:rsid w:val="004A3F9E"/>
    <w:rsid w:val="004A4E04"/>
    <w:rsid w:val="004A6E18"/>
    <w:rsid w:val="004B14CA"/>
    <w:rsid w:val="004C296D"/>
    <w:rsid w:val="004C685A"/>
    <w:rsid w:val="004C7023"/>
    <w:rsid w:val="004D05A8"/>
    <w:rsid w:val="004D2EDC"/>
    <w:rsid w:val="004D4E32"/>
    <w:rsid w:val="004D7D18"/>
    <w:rsid w:val="004E361D"/>
    <w:rsid w:val="004E38BA"/>
    <w:rsid w:val="004E593F"/>
    <w:rsid w:val="004F1323"/>
    <w:rsid w:val="004F28B8"/>
    <w:rsid w:val="004F4EAC"/>
    <w:rsid w:val="004F588E"/>
    <w:rsid w:val="004F660C"/>
    <w:rsid w:val="005039DC"/>
    <w:rsid w:val="005041E5"/>
    <w:rsid w:val="0051025E"/>
    <w:rsid w:val="00511577"/>
    <w:rsid w:val="00516FF1"/>
    <w:rsid w:val="00520CE6"/>
    <w:rsid w:val="00522578"/>
    <w:rsid w:val="00523365"/>
    <w:rsid w:val="005233DD"/>
    <w:rsid w:val="00524009"/>
    <w:rsid w:val="0052568E"/>
    <w:rsid w:val="00526B88"/>
    <w:rsid w:val="00530ADF"/>
    <w:rsid w:val="00530FB0"/>
    <w:rsid w:val="0053226D"/>
    <w:rsid w:val="0053423A"/>
    <w:rsid w:val="00536A82"/>
    <w:rsid w:val="0053723B"/>
    <w:rsid w:val="00537C34"/>
    <w:rsid w:val="00542E8A"/>
    <w:rsid w:val="00543626"/>
    <w:rsid w:val="00546A6C"/>
    <w:rsid w:val="005471B7"/>
    <w:rsid w:val="0055456B"/>
    <w:rsid w:val="00555AEB"/>
    <w:rsid w:val="00556218"/>
    <w:rsid w:val="00560DB5"/>
    <w:rsid w:val="00561401"/>
    <w:rsid w:val="005617B7"/>
    <w:rsid w:val="00565A60"/>
    <w:rsid w:val="005673AF"/>
    <w:rsid w:val="005700F6"/>
    <w:rsid w:val="00572BF1"/>
    <w:rsid w:val="005735CF"/>
    <w:rsid w:val="00575883"/>
    <w:rsid w:val="00576EE3"/>
    <w:rsid w:val="00577110"/>
    <w:rsid w:val="00577F34"/>
    <w:rsid w:val="0058026D"/>
    <w:rsid w:val="0058192B"/>
    <w:rsid w:val="00585852"/>
    <w:rsid w:val="00592BE9"/>
    <w:rsid w:val="005932EF"/>
    <w:rsid w:val="005949C4"/>
    <w:rsid w:val="005968F2"/>
    <w:rsid w:val="005A0227"/>
    <w:rsid w:val="005A0CBE"/>
    <w:rsid w:val="005A229F"/>
    <w:rsid w:val="005A63F0"/>
    <w:rsid w:val="005A7805"/>
    <w:rsid w:val="005B4A6C"/>
    <w:rsid w:val="005B7EFB"/>
    <w:rsid w:val="005C2A2A"/>
    <w:rsid w:val="005D74D9"/>
    <w:rsid w:val="005E44FB"/>
    <w:rsid w:val="005E5719"/>
    <w:rsid w:val="005F687C"/>
    <w:rsid w:val="00602525"/>
    <w:rsid w:val="0060264C"/>
    <w:rsid w:val="00603695"/>
    <w:rsid w:val="00604FB9"/>
    <w:rsid w:val="00606A8B"/>
    <w:rsid w:val="0060734C"/>
    <w:rsid w:val="00610D38"/>
    <w:rsid w:val="00611E43"/>
    <w:rsid w:val="006151F3"/>
    <w:rsid w:val="006156A2"/>
    <w:rsid w:val="00617949"/>
    <w:rsid w:val="006179C6"/>
    <w:rsid w:val="006220E9"/>
    <w:rsid w:val="00624F74"/>
    <w:rsid w:val="006317B0"/>
    <w:rsid w:val="00635A4C"/>
    <w:rsid w:val="00640BDB"/>
    <w:rsid w:val="00641EC6"/>
    <w:rsid w:val="00654B07"/>
    <w:rsid w:val="00655313"/>
    <w:rsid w:val="0065770B"/>
    <w:rsid w:val="00660076"/>
    <w:rsid w:val="006617C1"/>
    <w:rsid w:val="0066319E"/>
    <w:rsid w:val="00663D05"/>
    <w:rsid w:val="00663FA7"/>
    <w:rsid w:val="006645D4"/>
    <w:rsid w:val="00664D98"/>
    <w:rsid w:val="00667B73"/>
    <w:rsid w:val="00671245"/>
    <w:rsid w:val="00674DAF"/>
    <w:rsid w:val="00676582"/>
    <w:rsid w:val="00681A6F"/>
    <w:rsid w:val="00690C83"/>
    <w:rsid w:val="00690C9F"/>
    <w:rsid w:val="00691740"/>
    <w:rsid w:val="006917EE"/>
    <w:rsid w:val="00691B65"/>
    <w:rsid w:val="006946CA"/>
    <w:rsid w:val="0069642A"/>
    <w:rsid w:val="00696F24"/>
    <w:rsid w:val="006A384F"/>
    <w:rsid w:val="006A49EB"/>
    <w:rsid w:val="006A70EA"/>
    <w:rsid w:val="006B0099"/>
    <w:rsid w:val="006B1598"/>
    <w:rsid w:val="006B266A"/>
    <w:rsid w:val="006C56C6"/>
    <w:rsid w:val="006C6148"/>
    <w:rsid w:val="006D6063"/>
    <w:rsid w:val="006D731E"/>
    <w:rsid w:val="006E0766"/>
    <w:rsid w:val="006E3E1A"/>
    <w:rsid w:val="006E43B0"/>
    <w:rsid w:val="006F2B79"/>
    <w:rsid w:val="006F3D21"/>
    <w:rsid w:val="006F7749"/>
    <w:rsid w:val="007013E3"/>
    <w:rsid w:val="00705240"/>
    <w:rsid w:val="007100D7"/>
    <w:rsid w:val="00716594"/>
    <w:rsid w:val="00721B24"/>
    <w:rsid w:val="00724A24"/>
    <w:rsid w:val="00730838"/>
    <w:rsid w:val="00730FCA"/>
    <w:rsid w:val="007311AC"/>
    <w:rsid w:val="00731329"/>
    <w:rsid w:val="0073167E"/>
    <w:rsid w:val="007319CE"/>
    <w:rsid w:val="007323E8"/>
    <w:rsid w:val="0073691D"/>
    <w:rsid w:val="00742BBC"/>
    <w:rsid w:val="007521C4"/>
    <w:rsid w:val="00752546"/>
    <w:rsid w:val="00752DE7"/>
    <w:rsid w:val="007530A5"/>
    <w:rsid w:val="00754BA6"/>
    <w:rsid w:val="00755FD8"/>
    <w:rsid w:val="00757000"/>
    <w:rsid w:val="00760371"/>
    <w:rsid w:val="00760E39"/>
    <w:rsid w:val="00761F47"/>
    <w:rsid w:val="007670B6"/>
    <w:rsid w:val="00767A00"/>
    <w:rsid w:val="00772BFD"/>
    <w:rsid w:val="007749B3"/>
    <w:rsid w:val="007869C6"/>
    <w:rsid w:val="00790400"/>
    <w:rsid w:val="00790A91"/>
    <w:rsid w:val="00792FC8"/>
    <w:rsid w:val="00793312"/>
    <w:rsid w:val="00796AD6"/>
    <w:rsid w:val="007972DF"/>
    <w:rsid w:val="00797874"/>
    <w:rsid w:val="00797FA8"/>
    <w:rsid w:val="007A2B27"/>
    <w:rsid w:val="007A3700"/>
    <w:rsid w:val="007A3A6B"/>
    <w:rsid w:val="007A47F0"/>
    <w:rsid w:val="007A5EC4"/>
    <w:rsid w:val="007B1107"/>
    <w:rsid w:val="007B2053"/>
    <w:rsid w:val="007B3FBD"/>
    <w:rsid w:val="007C60A2"/>
    <w:rsid w:val="007D25E0"/>
    <w:rsid w:val="007D2BD8"/>
    <w:rsid w:val="007D3BDD"/>
    <w:rsid w:val="007D436B"/>
    <w:rsid w:val="007D6C45"/>
    <w:rsid w:val="007D72A7"/>
    <w:rsid w:val="007E4366"/>
    <w:rsid w:val="007E584B"/>
    <w:rsid w:val="007E7B2C"/>
    <w:rsid w:val="007F13ED"/>
    <w:rsid w:val="007F24E7"/>
    <w:rsid w:val="007F6E77"/>
    <w:rsid w:val="007F702C"/>
    <w:rsid w:val="007F72DB"/>
    <w:rsid w:val="0080047B"/>
    <w:rsid w:val="008022AC"/>
    <w:rsid w:val="008054E3"/>
    <w:rsid w:val="008057EB"/>
    <w:rsid w:val="00813249"/>
    <w:rsid w:val="00822C66"/>
    <w:rsid w:val="00824E89"/>
    <w:rsid w:val="00827238"/>
    <w:rsid w:val="008348EB"/>
    <w:rsid w:val="00850835"/>
    <w:rsid w:val="00851025"/>
    <w:rsid w:val="00852D5C"/>
    <w:rsid w:val="0085373E"/>
    <w:rsid w:val="00862725"/>
    <w:rsid w:val="008655A1"/>
    <w:rsid w:val="008661CE"/>
    <w:rsid w:val="008738A7"/>
    <w:rsid w:val="008775A9"/>
    <w:rsid w:val="00877FE6"/>
    <w:rsid w:val="0088702F"/>
    <w:rsid w:val="008873EE"/>
    <w:rsid w:val="00890C0E"/>
    <w:rsid w:val="0089232A"/>
    <w:rsid w:val="008928B8"/>
    <w:rsid w:val="0089322A"/>
    <w:rsid w:val="00894CA0"/>
    <w:rsid w:val="008953D8"/>
    <w:rsid w:val="008977AB"/>
    <w:rsid w:val="008A2811"/>
    <w:rsid w:val="008A4766"/>
    <w:rsid w:val="008A67C3"/>
    <w:rsid w:val="008B3027"/>
    <w:rsid w:val="008B4871"/>
    <w:rsid w:val="008B6754"/>
    <w:rsid w:val="008B7EC5"/>
    <w:rsid w:val="008D49A8"/>
    <w:rsid w:val="008D4DE2"/>
    <w:rsid w:val="008D6AB8"/>
    <w:rsid w:val="008D6F95"/>
    <w:rsid w:val="008D7EB4"/>
    <w:rsid w:val="008E4E9E"/>
    <w:rsid w:val="008E68B0"/>
    <w:rsid w:val="008F5B48"/>
    <w:rsid w:val="00902794"/>
    <w:rsid w:val="00903C74"/>
    <w:rsid w:val="009106B5"/>
    <w:rsid w:val="00914EFB"/>
    <w:rsid w:val="00916A24"/>
    <w:rsid w:val="00922598"/>
    <w:rsid w:val="00926532"/>
    <w:rsid w:val="009275DC"/>
    <w:rsid w:val="00931364"/>
    <w:rsid w:val="00931E20"/>
    <w:rsid w:val="0093215D"/>
    <w:rsid w:val="0093386C"/>
    <w:rsid w:val="00935D6F"/>
    <w:rsid w:val="00935D89"/>
    <w:rsid w:val="009408B0"/>
    <w:rsid w:val="00942126"/>
    <w:rsid w:val="00942893"/>
    <w:rsid w:val="00943212"/>
    <w:rsid w:val="009433E3"/>
    <w:rsid w:val="00943543"/>
    <w:rsid w:val="00946CDB"/>
    <w:rsid w:val="0094736D"/>
    <w:rsid w:val="009479C4"/>
    <w:rsid w:val="009521B0"/>
    <w:rsid w:val="00952205"/>
    <w:rsid w:val="00952457"/>
    <w:rsid w:val="00953537"/>
    <w:rsid w:val="00953C84"/>
    <w:rsid w:val="00962863"/>
    <w:rsid w:val="00966B3D"/>
    <w:rsid w:val="009676F1"/>
    <w:rsid w:val="009701EF"/>
    <w:rsid w:val="009704D9"/>
    <w:rsid w:val="00971D37"/>
    <w:rsid w:val="00974550"/>
    <w:rsid w:val="0097625F"/>
    <w:rsid w:val="00982781"/>
    <w:rsid w:val="00982C07"/>
    <w:rsid w:val="00986FAE"/>
    <w:rsid w:val="009936D0"/>
    <w:rsid w:val="00993BE7"/>
    <w:rsid w:val="009A1558"/>
    <w:rsid w:val="009A4122"/>
    <w:rsid w:val="009A778F"/>
    <w:rsid w:val="009B1CB5"/>
    <w:rsid w:val="009B3062"/>
    <w:rsid w:val="009B5208"/>
    <w:rsid w:val="009B5923"/>
    <w:rsid w:val="009B6571"/>
    <w:rsid w:val="009C4920"/>
    <w:rsid w:val="009C6045"/>
    <w:rsid w:val="009C7F10"/>
    <w:rsid w:val="009D03AE"/>
    <w:rsid w:val="009D46CC"/>
    <w:rsid w:val="009D69C0"/>
    <w:rsid w:val="009D7082"/>
    <w:rsid w:val="009E03C2"/>
    <w:rsid w:val="009E101E"/>
    <w:rsid w:val="009E19D5"/>
    <w:rsid w:val="009E3D75"/>
    <w:rsid w:val="009F18C2"/>
    <w:rsid w:val="009F4147"/>
    <w:rsid w:val="009F7B02"/>
    <w:rsid w:val="00A019F3"/>
    <w:rsid w:val="00A05461"/>
    <w:rsid w:val="00A058C7"/>
    <w:rsid w:val="00A05F81"/>
    <w:rsid w:val="00A11733"/>
    <w:rsid w:val="00A12482"/>
    <w:rsid w:val="00A15C53"/>
    <w:rsid w:val="00A24F5C"/>
    <w:rsid w:val="00A27AFD"/>
    <w:rsid w:val="00A32835"/>
    <w:rsid w:val="00A347ED"/>
    <w:rsid w:val="00A34AA8"/>
    <w:rsid w:val="00A34AF9"/>
    <w:rsid w:val="00A353AC"/>
    <w:rsid w:val="00A40449"/>
    <w:rsid w:val="00A42A7F"/>
    <w:rsid w:val="00A4306F"/>
    <w:rsid w:val="00A43B7C"/>
    <w:rsid w:val="00A5078D"/>
    <w:rsid w:val="00A55E62"/>
    <w:rsid w:val="00A572BB"/>
    <w:rsid w:val="00A627FD"/>
    <w:rsid w:val="00A709EF"/>
    <w:rsid w:val="00A74BC3"/>
    <w:rsid w:val="00A752CE"/>
    <w:rsid w:val="00A7679F"/>
    <w:rsid w:val="00A77950"/>
    <w:rsid w:val="00A81D77"/>
    <w:rsid w:val="00A845A3"/>
    <w:rsid w:val="00A8691B"/>
    <w:rsid w:val="00A978C4"/>
    <w:rsid w:val="00AA0CAE"/>
    <w:rsid w:val="00AA3B39"/>
    <w:rsid w:val="00AA51A1"/>
    <w:rsid w:val="00AA5D4F"/>
    <w:rsid w:val="00AA6265"/>
    <w:rsid w:val="00AB1FEA"/>
    <w:rsid w:val="00AB4718"/>
    <w:rsid w:val="00AC2F0C"/>
    <w:rsid w:val="00AD0B44"/>
    <w:rsid w:val="00AD480C"/>
    <w:rsid w:val="00AD7E63"/>
    <w:rsid w:val="00AE6BCF"/>
    <w:rsid w:val="00AF0449"/>
    <w:rsid w:val="00B035C8"/>
    <w:rsid w:val="00B05E5C"/>
    <w:rsid w:val="00B07575"/>
    <w:rsid w:val="00B12EDC"/>
    <w:rsid w:val="00B13D35"/>
    <w:rsid w:val="00B14909"/>
    <w:rsid w:val="00B15A28"/>
    <w:rsid w:val="00B20340"/>
    <w:rsid w:val="00B21DCB"/>
    <w:rsid w:val="00B23981"/>
    <w:rsid w:val="00B24E1D"/>
    <w:rsid w:val="00B26ACC"/>
    <w:rsid w:val="00B30FC5"/>
    <w:rsid w:val="00B3107E"/>
    <w:rsid w:val="00B31A92"/>
    <w:rsid w:val="00B32110"/>
    <w:rsid w:val="00B36B77"/>
    <w:rsid w:val="00B36BF9"/>
    <w:rsid w:val="00B47594"/>
    <w:rsid w:val="00B53529"/>
    <w:rsid w:val="00B54810"/>
    <w:rsid w:val="00B56A2D"/>
    <w:rsid w:val="00B576AD"/>
    <w:rsid w:val="00B57D0A"/>
    <w:rsid w:val="00B627D9"/>
    <w:rsid w:val="00B63D1B"/>
    <w:rsid w:val="00B670FB"/>
    <w:rsid w:val="00B70E76"/>
    <w:rsid w:val="00B71C57"/>
    <w:rsid w:val="00B71ED1"/>
    <w:rsid w:val="00B72EF3"/>
    <w:rsid w:val="00B7345C"/>
    <w:rsid w:val="00B809BB"/>
    <w:rsid w:val="00B82ED3"/>
    <w:rsid w:val="00B85AD9"/>
    <w:rsid w:val="00B86DFB"/>
    <w:rsid w:val="00B90012"/>
    <w:rsid w:val="00B90527"/>
    <w:rsid w:val="00B91243"/>
    <w:rsid w:val="00B944A2"/>
    <w:rsid w:val="00B94B45"/>
    <w:rsid w:val="00B94DED"/>
    <w:rsid w:val="00B95008"/>
    <w:rsid w:val="00BA1CDF"/>
    <w:rsid w:val="00BA211B"/>
    <w:rsid w:val="00BA5FD8"/>
    <w:rsid w:val="00BB24D3"/>
    <w:rsid w:val="00BB4740"/>
    <w:rsid w:val="00BB47F6"/>
    <w:rsid w:val="00BB5DC5"/>
    <w:rsid w:val="00BB614F"/>
    <w:rsid w:val="00BB634E"/>
    <w:rsid w:val="00BB6773"/>
    <w:rsid w:val="00BB6943"/>
    <w:rsid w:val="00BC14F0"/>
    <w:rsid w:val="00BC42AF"/>
    <w:rsid w:val="00BC4DB1"/>
    <w:rsid w:val="00BD0068"/>
    <w:rsid w:val="00BD1ED1"/>
    <w:rsid w:val="00BD2899"/>
    <w:rsid w:val="00BD36C0"/>
    <w:rsid w:val="00BD3D70"/>
    <w:rsid w:val="00BD6C37"/>
    <w:rsid w:val="00BE0015"/>
    <w:rsid w:val="00BE0F36"/>
    <w:rsid w:val="00BF154C"/>
    <w:rsid w:val="00BF2FC5"/>
    <w:rsid w:val="00BF5860"/>
    <w:rsid w:val="00C00462"/>
    <w:rsid w:val="00C0155E"/>
    <w:rsid w:val="00C01942"/>
    <w:rsid w:val="00C051DD"/>
    <w:rsid w:val="00C166D0"/>
    <w:rsid w:val="00C1785E"/>
    <w:rsid w:val="00C17EEB"/>
    <w:rsid w:val="00C21DB8"/>
    <w:rsid w:val="00C23DE7"/>
    <w:rsid w:val="00C25EDD"/>
    <w:rsid w:val="00C33366"/>
    <w:rsid w:val="00C371A7"/>
    <w:rsid w:val="00C37DE5"/>
    <w:rsid w:val="00C421EA"/>
    <w:rsid w:val="00C44696"/>
    <w:rsid w:val="00C45F6D"/>
    <w:rsid w:val="00C50BA1"/>
    <w:rsid w:val="00C5184F"/>
    <w:rsid w:val="00C52753"/>
    <w:rsid w:val="00C52B93"/>
    <w:rsid w:val="00C56055"/>
    <w:rsid w:val="00C60AEA"/>
    <w:rsid w:val="00C610A5"/>
    <w:rsid w:val="00C610AC"/>
    <w:rsid w:val="00C61183"/>
    <w:rsid w:val="00C638AC"/>
    <w:rsid w:val="00C6428F"/>
    <w:rsid w:val="00C70784"/>
    <w:rsid w:val="00C71E61"/>
    <w:rsid w:val="00C779F7"/>
    <w:rsid w:val="00C81E24"/>
    <w:rsid w:val="00C84CA4"/>
    <w:rsid w:val="00C85DB5"/>
    <w:rsid w:val="00C91F08"/>
    <w:rsid w:val="00C9413E"/>
    <w:rsid w:val="00C949CE"/>
    <w:rsid w:val="00C95367"/>
    <w:rsid w:val="00C95BEE"/>
    <w:rsid w:val="00C95F45"/>
    <w:rsid w:val="00CA1E38"/>
    <w:rsid w:val="00CA2557"/>
    <w:rsid w:val="00CA30FE"/>
    <w:rsid w:val="00CA3B85"/>
    <w:rsid w:val="00CA5942"/>
    <w:rsid w:val="00CA731A"/>
    <w:rsid w:val="00CB096F"/>
    <w:rsid w:val="00CB5598"/>
    <w:rsid w:val="00CB6491"/>
    <w:rsid w:val="00CB7274"/>
    <w:rsid w:val="00CC171D"/>
    <w:rsid w:val="00CC1A72"/>
    <w:rsid w:val="00CC1DF9"/>
    <w:rsid w:val="00CC2264"/>
    <w:rsid w:val="00CC5878"/>
    <w:rsid w:val="00CC666B"/>
    <w:rsid w:val="00CD33BF"/>
    <w:rsid w:val="00CE2351"/>
    <w:rsid w:val="00CE3764"/>
    <w:rsid w:val="00CE5C9C"/>
    <w:rsid w:val="00CE6B1B"/>
    <w:rsid w:val="00CF0B63"/>
    <w:rsid w:val="00CF0DA0"/>
    <w:rsid w:val="00CF56A5"/>
    <w:rsid w:val="00CF7AFF"/>
    <w:rsid w:val="00D04AD8"/>
    <w:rsid w:val="00D06EBA"/>
    <w:rsid w:val="00D10EBE"/>
    <w:rsid w:val="00D1220D"/>
    <w:rsid w:val="00D12520"/>
    <w:rsid w:val="00D13CFB"/>
    <w:rsid w:val="00D14EA7"/>
    <w:rsid w:val="00D15B00"/>
    <w:rsid w:val="00D17A43"/>
    <w:rsid w:val="00D24B0E"/>
    <w:rsid w:val="00D25960"/>
    <w:rsid w:val="00D25AD0"/>
    <w:rsid w:val="00D26C65"/>
    <w:rsid w:val="00D30722"/>
    <w:rsid w:val="00D332B2"/>
    <w:rsid w:val="00D33E56"/>
    <w:rsid w:val="00D34D55"/>
    <w:rsid w:val="00D36A3E"/>
    <w:rsid w:val="00D37066"/>
    <w:rsid w:val="00D37A7A"/>
    <w:rsid w:val="00D459C4"/>
    <w:rsid w:val="00D47195"/>
    <w:rsid w:val="00D47E55"/>
    <w:rsid w:val="00D5047C"/>
    <w:rsid w:val="00D56FCA"/>
    <w:rsid w:val="00D6577B"/>
    <w:rsid w:val="00D65F78"/>
    <w:rsid w:val="00D66FFB"/>
    <w:rsid w:val="00D70F78"/>
    <w:rsid w:val="00D72098"/>
    <w:rsid w:val="00D72C12"/>
    <w:rsid w:val="00D74BCF"/>
    <w:rsid w:val="00D77031"/>
    <w:rsid w:val="00D8350C"/>
    <w:rsid w:val="00D84B15"/>
    <w:rsid w:val="00D8690E"/>
    <w:rsid w:val="00D86E6B"/>
    <w:rsid w:val="00D87BA2"/>
    <w:rsid w:val="00D9115A"/>
    <w:rsid w:val="00D92789"/>
    <w:rsid w:val="00D92C19"/>
    <w:rsid w:val="00D97A6A"/>
    <w:rsid w:val="00DA0A52"/>
    <w:rsid w:val="00DA544E"/>
    <w:rsid w:val="00DA5F33"/>
    <w:rsid w:val="00DA73E3"/>
    <w:rsid w:val="00DA78F5"/>
    <w:rsid w:val="00DA7B1B"/>
    <w:rsid w:val="00DB3BA3"/>
    <w:rsid w:val="00DC0BAA"/>
    <w:rsid w:val="00DC2F9A"/>
    <w:rsid w:val="00DC3FF1"/>
    <w:rsid w:val="00DC5001"/>
    <w:rsid w:val="00DC5074"/>
    <w:rsid w:val="00DD7BFE"/>
    <w:rsid w:val="00DE109B"/>
    <w:rsid w:val="00DE4A48"/>
    <w:rsid w:val="00DE51F2"/>
    <w:rsid w:val="00DE6125"/>
    <w:rsid w:val="00DE70B6"/>
    <w:rsid w:val="00DE7249"/>
    <w:rsid w:val="00DE7B00"/>
    <w:rsid w:val="00DE7D65"/>
    <w:rsid w:val="00DF51FD"/>
    <w:rsid w:val="00DF6C5C"/>
    <w:rsid w:val="00DF7ACA"/>
    <w:rsid w:val="00E0218B"/>
    <w:rsid w:val="00E032B5"/>
    <w:rsid w:val="00E06AF7"/>
    <w:rsid w:val="00E0711F"/>
    <w:rsid w:val="00E07995"/>
    <w:rsid w:val="00E11DCD"/>
    <w:rsid w:val="00E135D7"/>
    <w:rsid w:val="00E15B27"/>
    <w:rsid w:val="00E213EF"/>
    <w:rsid w:val="00E2383E"/>
    <w:rsid w:val="00E2510F"/>
    <w:rsid w:val="00E262F4"/>
    <w:rsid w:val="00E274DE"/>
    <w:rsid w:val="00E3015B"/>
    <w:rsid w:val="00E30D43"/>
    <w:rsid w:val="00E311FC"/>
    <w:rsid w:val="00E33D2F"/>
    <w:rsid w:val="00E35600"/>
    <w:rsid w:val="00E37A0D"/>
    <w:rsid w:val="00E50DCA"/>
    <w:rsid w:val="00E516A0"/>
    <w:rsid w:val="00E51785"/>
    <w:rsid w:val="00E51D8F"/>
    <w:rsid w:val="00E5263A"/>
    <w:rsid w:val="00E52886"/>
    <w:rsid w:val="00E55AF9"/>
    <w:rsid w:val="00E603C2"/>
    <w:rsid w:val="00E619AF"/>
    <w:rsid w:val="00E6385E"/>
    <w:rsid w:val="00E65F54"/>
    <w:rsid w:val="00E728B4"/>
    <w:rsid w:val="00E73A4B"/>
    <w:rsid w:val="00E75E1C"/>
    <w:rsid w:val="00E76369"/>
    <w:rsid w:val="00E76C69"/>
    <w:rsid w:val="00E771C6"/>
    <w:rsid w:val="00E7724F"/>
    <w:rsid w:val="00E8189D"/>
    <w:rsid w:val="00E85CA1"/>
    <w:rsid w:val="00E912CF"/>
    <w:rsid w:val="00E93554"/>
    <w:rsid w:val="00E93723"/>
    <w:rsid w:val="00E93FDF"/>
    <w:rsid w:val="00E94604"/>
    <w:rsid w:val="00E95347"/>
    <w:rsid w:val="00E95983"/>
    <w:rsid w:val="00E96EB2"/>
    <w:rsid w:val="00EA45E0"/>
    <w:rsid w:val="00EB0C72"/>
    <w:rsid w:val="00EB3D42"/>
    <w:rsid w:val="00EB5D56"/>
    <w:rsid w:val="00EC0B24"/>
    <w:rsid w:val="00EC0D70"/>
    <w:rsid w:val="00EC17EB"/>
    <w:rsid w:val="00EC20CA"/>
    <w:rsid w:val="00EC3264"/>
    <w:rsid w:val="00EC5AE5"/>
    <w:rsid w:val="00EC6D3A"/>
    <w:rsid w:val="00ED0C90"/>
    <w:rsid w:val="00ED1308"/>
    <w:rsid w:val="00ED4368"/>
    <w:rsid w:val="00ED6712"/>
    <w:rsid w:val="00ED7815"/>
    <w:rsid w:val="00EE0D7C"/>
    <w:rsid w:val="00EE1F23"/>
    <w:rsid w:val="00EE3FEE"/>
    <w:rsid w:val="00EE47F2"/>
    <w:rsid w:val="00EE71C3"/>
    <w:rsid w:val="00EF04CF"/>
    <w:rsid w:val="00EF1B68"/>
    <w:rsid w:val="00EF27EF"/>
    <w:rsid w:val="00EF6728"/>
    <w:rsid w:val="00F01A43"/>
    <w:rsid w:val="00F02168"/>
    <w:rsid w:val="00F0219F"/>
    <w:rsid w:val="00F0273B"/>
    <w:rsid w:val="00F04A69"/>
    <w:rsid w:val="00F05C71"/>
    <w:rsid w:val="00F14F86"/>
    <w:rsid w:val="00F1660A"/>
    <w:rsid w:val="00F20C93"/>
    <w:rsid w:val="00F261EB"/>
    <w:rsid w:val="00F42EA2"/>
    <w:rsid w:val="00F467EA"/>
    <w:rsid w:val="00F478D0"/>
    <w:rsid w:val="00F51F60"/>
    <w:rsid w:val="00F53085"/>
    <w:rsid w:val="00F531B1"/>
    <w:rsid w:val="00F60D0B"/>
    <w:rsid w:val="00F65AEA"/>
    <w:rsid w:val="00F742B4"/>
    <w:rsid w:val="00F77785"/>
    <w:rsid w:val="00F77F1C"/>
    <w:rsid w:val="00F82EC6"/>
    <w:rsid w:val="00F9137E"/>
    <w:rsid w:val="00F947FC"/>
    <w:rsid w:val="00F94EBA"/>
    <w:rsid w:val="00F95246"/>
    <w:rsid w:val="00F96C5E"/>
    <w:rsid w:val="00FA048F"/>
    <w:rsid w:val="00FA06E6"/>
    <w:rsid w:val="00FA42A5"/>
    <w:rsid w:val="00FA5938"/>
    <w:rsid w:val="00FA5BB3"/>
    <w:rsid w:val="00FA6A40"/>
    <w:rsid w:val="00FB756F"/>
    <w:rsid w:val="00FB7E11"/>
    <w:rsid w:val="00FC160A"/>
    <w:rsid w:val="00FC2928"/>
    <w:rsid w:val="00FC387F"/>
    <w:rsid w:val="00FC68F8"/>
    <w:rsid w:val="00FD02AC"/>
    <w:rsid w:val="00FD0D3B"/>
    <w:rsid w:val="00FD40A7"/>
    <w:rsid w:val="00FD4DEE"/>
    <w:rsid w:val="00FD500E"/>
    <w:rsid w:val="00FD7DA6"/>
    <w:rsid w:val="00FE0BD6"/>
    <w:rsid w:val="00FE4BFE"/>
    <w:rsid w:val="00FE7FF5"/>
    <w:rsid w:val="00FF29E5"/>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4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6452744">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677849028">
      <w:bodyDiv w:val="1"/>
      <w:marLeft w:val="0"/>
      <w:marRight w:val="0"/>
      <w:marTop w:val="0"/>
      <w:marBottom w:val="0"/>
      <w:divBdr>
        <w:top w:val="none" w:sz="0" w:space="0" w:color="auto"/>
        <w:left w:val="none" w:sz="0" w:space="0" w:color="auto"/>
        <w:bottom w:val="none" w:sz="0" w:space="0" w:color="auto"/>
        <w:right w:val="none" w:sz="0" w:space="0" w:color="auto"/>
      </w:divBdr>
    </w:div>
    <w:div w:id="1041246165">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68722496">
      <w:bodyDiv w:val="1"/>
      <w:marLeft w:val="0"/>
      <w:marRight w:val="0"/>
      <w:marTop w:val="0"/>
      <w:marBottom w:val="0"/>
      <w:divBdr>
        <w:top w:val="none" w:sz="0" w:space="0" w:color="auto"/>
        <w:left w:val="none" w:sz="0" w:space="0" w:color="auto"/>
        <w:bottom w:val="none" w:sz="0" w:space="0" w:color="auto"/>
        <w:right w:val="none" w:sz="0" w:space="0" w:color="auto"/>
      </w:divBdr>
    </w:div>
    <w:div w:id="1434402115">
      <w:bodyDiv w:val="1"/>
      <w:marLeft w:val="0"/>
      <w:marRight w:val="0"/>
      <w:marTop w:val="0"/>
      <w:marBottom w:val="0"/>
      <w:divBdr>
        <w:top w:val="none" w:sz="0" w:space="0" w:color="auto"/>
        <w:left w:val="none" w:sz="0" w:space="0" w:color="auto"/>
        <w:bottom w:val="none" w:sz="0" w:space="0" w:color="auto"/>
        <w:right w:val="none" w:sz="0" w:space="0" w:color="auto"/>
      </w:divBdr>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491869542">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575433110">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1804038734">
      <w:bodyDiv w:val="1"/>
      <w:marLeft w:val="0"/>
      <w:marRight w:val="0"/>
      <w:marTop w:val="0"/>
      <w:marBottom w:val="0"/>
      <w:divBdr>
        <w:top w:val="none" w:sz="0" w:space="0" w:color="auto"/>
        <w:left w:val="none" w:sz="0" w:space="0" w:color="auto"/>
        <w:bottom w:val="none" w:sz="0" w:space="0" w:color="auto"/>
        <w:right w:val="none" w:sz="0" w:space="0" w:color="auto"/>
      </w:divBdr>
    </w:div>
    <w:div w:id="1879194237">
      <w:bodyDiv w:val="1"/>
      <w:marLeft w:val="0"/>
      <w:marRight w:val="0"/>
      <w:marTop w:val="0"/>
      <w:marBottom w:val="0"/>
      <w:divBdr>
        <w:top w:val="none" w:sz="0" w:space="0" w:color="auto"/>
        <w:left w:val="none" w:sz="0" w:space="0" w:color="auto"/>
        <w:bottom w:val="none" w:sz="0" w:space="0" w:color="auto"/>
        <w:right w:val="none" w:sz="0" w:space="0" w:color="auto"/>
      </w:divBdr>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66223415">
      <w:bodyDiv w:val="1"/>
      <w:marLeft w:val="0"/>
      <w:marRight w:val="0"/>
      <w:marTop w:val="0"/>
      <w:marBottom w:val="0"/>
      <w:divBdr>
        <w:top w:val="none" w:sz="0" w:space="0" w:color="auto"/>
        <w:left w:val="none" w:sz="0" w:space="0" w:color="auto"/>
        <w:bottom w:val="none" w:sz="0" w:space="0" w:color="auto"/>
        <w:right w:val="none" w:sz="0" w:space="0" w:color="auto"/>
      </w:divBdr>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 w:id="2129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s.Butans@sam.gov.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ta\AppData\Local\Microsoft\Windows\Temporary%20Internet%20Files\Content.Outlook\O84D0EMH\SAMAnot_09032016_sabtrans_p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4A88-E1E1-4989-8A9C-A962A8C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SAMAnot_09032016_sabtrans_prec</Template>
  <TotalTime>45</TotalTime>
  <Pages>10</Pages>
  <Words>17239</Words>
  <Characters>9827</Characters>
  <Application>Microsoft Office Word</Application>
  <DocSecurity>0</DocSecurity>
  <Lines>81</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Autopārvadājumu likumā” sākotnējās ietekmes novērtējuma ziņojums (anotācija)</vt:lpstr>
      <vt:lpstr>Likumprojekta „Grozījums Sabiedriskā transporta pakalpojumu likumā” sākotnējās ietekmes novērtējuma ziņojums (anotācija)</vt:lpstr>
    </vt:vector>
  </TitlesOfParts>
  <Company>Satiksmes ministrija</Company>
  <LinksUpToDate>false</LinksUpToDate>
  <CharactersWithSpaces>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Autopārvadājumu likumā” sākotnējās ietekmes novērtējuma ziņojums (anotācija)</dc:title>
  <dc:subject>anotācija</dc:subject>
  <dc:creator>Zans.Butans@sam.gov.lv</dc:creator>
  <cp:lastModifiedBy>Žans Butāns</cp:lastModifiedBy>
  <cp:revision>13</cp:revision>
  <cp:lastPrinted>2017-01-20T13:51:00Z</cp:lastPrinted>
  <dcterms:created xsi:type="dcterms:W3CDTF">2017-01-04T11:44:00Z</dcterms:created>
  <dcterms:modified xsi:type="dcterms:W3CDTF">2017-01-23T06:36:00Z</dcterms:modified>
</cp:coreProperties>
</file>