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FC" w:rsidRPr="001B2AFC" w:rsidRDefault="001B2AFC" w:rsidP="00A85FCB">
      <w:pPr>
        <w:numPr>
          <w:ilvl w:val="0"/>
          <w:numId w:val="1"/>
        </w:numPr>
        <w:suppressAutoHyphens/>
        <w:spacing w:after="0" w:line="240" w:lineRule="auto"/>
        <w:ind w:left="431" w:right="-765" w:hanging="431"/>
        <w:jc w:val="center"/>
        <w:rPr>
          <w:rFonts w:ascii="Times New Roman" w:hAnsi="Times New Roman" w:cs="Times New Roman"/>
          <w:b/>
          <w:sz w:val="24"/>
          <w:szCs w:val="24"/>
        </w:rPr>
      </w:pPr>
      <w:r w:rsidRPr="00A83101">
        <w:rPr>
          <w:rFonts w:ascii="Times New Roman" w:eastAsia="Times New Roman" w:hAnsi="Times New Roman" w:cs="Times New Roman"/>
          <w:b/>
          <w:bCs/>
          <w:sz w:val="24"/>
          <w:szCs w:val="24"/>
          <w:lang w:eastAsia="lv-LV"/>
        </w:rPr>
        <w:t>Ministru kabineta rīkojuma projekta "</w:t>
      </w:r>
      <w:r w:rsidRPr="00A83101">
        <w:rPr>
          <w:rFonts w:ascii="Times New Roman" w:hAnsi="Times New Roman" w:cs="Times New Roman"/>
          <w:b/>
          <w:sz w:val="24"/>
          <w:szCs w:val="24"/>
        </w:rPr>
        <w:t>Par Papildu Protokola Eiropas Padomes Konvencijai par terorisma novēršanu 7. pantā dotā pienākuma izpildi</w:t>
      </w:r>
      <w:r w:rsidRPr="00A83101">
        <w:rPr>
          <w:rFonts w:ascii="Times New Roman" w:eastAsia="Times New Roman" w:hAnsi="Times New Roman" w:cs="Times New Roman"/>
          <w:b/>
          <w:bCs/>
          <w:sz w:val="24"/>
          <w:szCs w:val="24"/>
          <w:lang w:eastAsia="lv-LV"/>
        </w:rPr>
        <w:t>" sākotnējās ietekmes novērtējuma ziņojums (anotācija)</w:t>
      </w:r>
    </w:p>
    <w:p w:rsidR="001B2AFC" w:rsidRPr="001B2AFC" w:rsidRDefault="001B2AFC" w:rsidP="00FD2707">
      <w:pPr>
        <w:spacing w:after="0" w:line="240" w:lineRule="auto"/>
        <w:ind w:right="-766" w:firstLine="300"/>
        <w:jc w:val="center"/>
        <w:rPr>
          <w:rFonts w:ascii="Times New Roman" w:eastAsia="Times New Roman" w:hAnsi="Times New Roman" w:cs="Times New Roman"/>
          <w:i/>
          <w:iCs/>
          <w:sz w:val="24"/>
          <w:szCs w:val="24"/>
          <w:lang w:eastAsia="lv-LV"/>
        </w:rPr>
      </w:pPr>
    </w:p>
    <w:tbl>
      <w:tblPr>
        <w:tblW w:w="540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2569"/>
        <w:gridCol w:w="48"/>
        <w:gridCol w:w="6072"/>
      </w:tblGrid>
      <w:tr w:rsidR="00A83101" w:rsidRPr="001B2AFC" w:rsidTr="006A494A">
        <w:trPr>
          <w:trHeight w:val="40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I. Tiesību akta projekta izstrādes nepieciešamība</w:t>
            </w:r>
          </w:p>
        </w:tc>
      </w:tr>
      <w:tr w:rsidR="00A83101" w:rsidRPr="001B2AFC" w:rsidTr="00FD2707">
        <w:trPr>
          <w:trHeight w:val="40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402"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Pamatojums</w:t>
            </w:r>
          </w:p>
        </w:tc>
        <w:tc>
          <w:tcPr>
            <w:tcW w:w="3305" w:type="pct"/>
            <w:gridSpan w:val="2"/>
            <w:tcBorders>
              <w:top w:val="outset" w:sz="6" w:space="0" w:color="auto"/>
              <w:left w:val="outset" w:sz="6" w:space="0" w:color="auto"/>
              <w:bottom w:val="outset" w:sz="6" w:space="0" w:color="auto"/>
              <w:right w:val="outset" w:sz="6" w:space="0" w:color="auto"/>
            </w:tcBorders>
            <w:hideMark/>
          </w:tcPr>
          <w:p w:rsidR="006A494A" w:rsidRPr="00A83101" w:rsidRDefault="001B2AFC">
            <w:pPr>
              <w:spacing w:after="0" w:line="240" w:lineRule="auto"/>
              <w:jc w:val="both"/>
              <w:rPr>
                <w:rFonts w:ascii="Times New Roman" w:eastAsia="Times New Roman" w:hAnsi="Times New Roman" w:cs="Times New Roman"/>
                <w:bCs/>
                <w:sz w:val="24"/>
                <w:szCs w:val="24"/>
                <w:lang w:eastAsia="lv-LV"/>
              </w:rPr>
            </w:pPr>
            <w:r w:rsidRPr="00A83101">
              <w:rPr>
                <w:rFonts w:ascii="Times New Roman" w:eastAsia="Times New Roman" w:hAnsi="Times New Roman" w:cs="Times New Roman"/>
                <w:sz w:val="24"/>
                <w:szCs w:val="24"/>
                <w:lang w:eastAsia="lv-LV"/>
              </w:rPr>
              <w:t xml:space="preserve">      </w:t>
            </w:r>
            <w:r w:rsidR="006A494A" w:rsidRPr="00A83101">
              <w:rPr>
                <w:rFonts w:ascii="Times New Roman" w:eastAsia="Times New Roman" w:hAnsi="Times New Roman" w:cs="Times New Roman"/>
                <w:bCs/>
                <w:sz w:val="24"/>
                <w:szCs w:val="24"/>
                <w:lang w:eastAsia="lv-LV"/>
              </w:rPr>
              <w:t xml:space="preserve">Papildu protokola </w:t>
            </w:r>
            <w:r w:rsidRPr="00A83101">
              <w:rPr>
                <w:rFonts w:ascii="Times New Roman" w:eastAsia="Times New Roman" w:hAnsi="Times New Roman" w:cs="Times New Roman"/>
                <w:bCs/>
                <w:sz w:val="24"/>
                <w:szCs w:val="24"/>
                <w:lang w:eastAsia="lv-LV"/>
              </w:rPr>
              <w:t xml:space="preserve">Eiropas Padomes konvencijai par terorisma novēršanu (turpmāk – Papildu </w:t>
            </w:r>
            <w:r w:rsidR="006A494A" w:rsidRPr="00A83101">
              <w:rPr>
                <w:rFonts w:ascii="Times New Roman" w:eastAsia="Times New Roman" w:hAnsi="Times New Roman" w:cs="Times New Roman"/>
                <w:bCs/>
                <w:sz w:val="24"/>
                <w:szCs w:val="24"/>
                <w:lang w:eastAsia="lv-LV"/>
              </w:rPr>
              <w:t xml:space="preserve">protokols), kas </w:t>
            </w:r>
            <w:r w:rsidR="006A494A" w:rsidRPr="00A83101">
              <w:rPr>
                <w:rFonts w:ascii="Times New Roman" w:eastAsia="Times New Roman" w:hAnsi="Times New Roman" w:cs="Times New Roman"/>
                <w:sz w:val="24"/>
                <w:szCs w:val="24"/>
                <w:lang w:eastAsia="lv-LV"/>
              </w:rPr>
              <w:t>2015. gada 22. oktobrī Rīgā tika atvērts parakstīšanai,</w:t>
            </w:r>
            <w:r w:rsidR="006A494A" w:rsidRPr="00A83101">
              <w:rPr>
                <w:rFonts w:ascii="Times New Roman" w:eastAsia="Times New Roman" w:hAnsi="Times New Roman" w:cs="Times New Roman"/>
                <w:bCs/>
                <w:sz w:val="24"/>
                <w:szCs w:val="24"/>
                <w:lang w:eastAsia="lv-LV"/>
              </w:rPr>
              <w:t xml:space="preserve"> </w:t>
            </w:r>
            <w:r w:rsidRPr="00A83101">
              <w:rPr>
                <w:rFonts w:ascii="Times New Roman" w:eastAsia="Times New Roman" w:hAnsi="Times New Roman" w:cs="Times New Roman"/>
                <w:bCs/>
                <w:sz w:val="24"/>
                <w:szCs w:val="24"/>
                <w:lang w:eastAsia="lv-LV"/>
              </w:rPr>
              <w:t>7. </w:t>
            </w:r>
            <w:r w:rsidR="006A494A" w:rsidRPr="00A83101">
              <w:rPr>
                <w:rFonts w:ascii="Times New Roman" w:eastAsia="Times New Roman" w:hAnsi="Times New Roman" w:cs="Times New Roman"/>
                <w:bCs/>
                <w:sz w:val="24"/>
                <w:szCs w:val="24"/>
                <w:lang w:eastAsia="lv-LV"/>
              </w:rPr>
              <w:t>pants.</w:t>
            </w:r>
            <w:r w:rsidRPr="00A83101">
              <w:rPr>
                <w:rFonts w:ascii="Times New Roman" w:eastAsia="Times New Roman" w:hAnsi="Times New Roman" w:cs="Times New Roman"/>
                <w:bCs/>
                <w:sz w:val="24"/>
                <w:szCs w:val="24"/>
                <w:lang w:eastAsia="lv-LV"/>
              </w:rPr>
              <w:t xml:space="preserve">  </w:t>
            </w:r>
          </w:p>
          <w:p w:rsidR="001B2AFC" w:rsidRPr="001B2AFC" w:rsidRDefault="001B2AFC">
            <w:pPr>
              <w:spacing w:after="0" w:line="240" w:lineRule="auto"/>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 xml:space="preserve">        Latvija Papildu protokolu parakstīja 2015. gada 22. oktobrī, bet līdz šim to vēl nav ratificējusi. Ar 2008. gada 13. novembra likumu "</w:t>
            </w:r>
            <w:r w:rsidRPr="00A83101">
              <w:rPr>
                <w:rFonts w:ascii="Times New Roman" w:eastAsia="Times New Roman" w:hAnsi="Times New Roman" w:cs="Times New Roman"/>
                <w:bCs/>
                <w:sz w:val="24"/>
                <w:szCs w:val="24"/>
                <w:lang w:eastAsia="lv-LV"/>
              </w:rPr>
              <w:t>Par Eiropas Padomes Konvenciju par terorisma novēršanu</w:t>
            </w:r>
            <w:r w:rsidRPr="00A83101">
              <w:rPr>
                <w:rFonts w:ascii="Times New Roman" w:eastAsia="Times New Roman" w:hAnsi="Times New Roman" w:cs="Times New Roman"/>
                <w:sz w:val="24"/>
                <w:szCs w:val="24"/>
                <w:lang w:eastAsia="lv-LV"/>
              </w:rPr>
              <w:t>" Latvija ir pievienojusies Eiropas Padomes Konvencijai par terorisma novēršanu (turpmāk – Konvencija).</w:t>
            </w:r>
          </w:p>
        </w:tc>
      </w:tr>
      <w:tr w:rsidR="00A83101" w:rsidRPr="001B2AFC" w:rsidTr="00FD2707">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402"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5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05" w:type="pct"/>
            <w:gridSpan w:val="2"/>
            <w:tcBorders>
              <w:top w:val="outset" w:sz="6" w:space="0" w:color="auto"/>
              <w:left w:val="outset" w:sz="6" w:space="0" w:color="auto"/>
              <w:bottom w:val="outset" w:sz="6" w:space="0" w:color="auto"/>
              <w:right w:val="outset" w:sz="6" w:space="0" w:color="auto"/>
            </w:tcBorders>
            <w:hideMark/>
          </w:tcPr>
          <w:p w:rsidR="001B2AFC" w:rsidRPr="00A83101" w:rsidRDefault="001B2AFC">
            <w:pPr>
              <w:spacing w:after="0" w:line="240" w:lineRule="auto"/>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 xml:space="preserve">      Papildu protokola</w:t>
            </w:r>
            <w:r w:rsidR="006A494A" w:rsidRPr="00A83101">
              <w:rPr>
                <w:rFonts w:ascii="Times New Roman" w:eastAsia="Times New Roman" w:hAnsi="Times New Roman" w:cs="Times New Roman"/>
                <w:sz w:val="24"/>
                <w:szCs w:val="24"/>
                <w:lang w:eastAsia="lv-LV"/>
              </w:rPr>
              <w:t xml:space="preserve"> 7. pantā ietvertas prasības valstīm saskaņā ar nacionālajiem tiesību aktiem un spēkā esošajiem starptautiskajiem pienākumiem, veikt tādus pasākumus, kas nepieciešami, lai stiprinātu savlaicīgu apmaiņu starp valstīm ar jebkādu pieejamu būtisku informāciju par personām, kas ceļo uz ārvalstīm terorisma nolūkā, kā tas noteikts Papildu protokola 4. pantā.</w:t>
            </w:r>
            <w:r w:rsidR="00554E93" w:rsidRPr="00A83101">
              <w:rPr>
                <w:rFonts w:ascii="Times New Roman" w:eastAsia="Times New Roman" w:hAnsi="Times New Roman" w:cs="Times New Roman"/>
                <w:sz w:val="24"/>
                <w:szCs w:val="24"/>
                <w:lang w:eastAsia="lv-LV"/>
              </w:rPr>
              <w:t xml:space="preserve"> Šim nolūkam katrai valstij jānosaka kontaktpunkts, kas pieejams septiņas dienas nedēļā un 24 stundas dienā. Minētajam kontaktpunktam steidzamības kārtībā jābūt spējīgam veikt saziņu ar citas valsts kontaktpunktu un valsts var izvēlēties noteikt jau esošu kontaktpunktu. </w:t>
            </w:r>
          </w:p>
          <w:p w:rsidR="00554E93" w:rsidRPr="00A83101" w:rsidRDefault="00554E93">
            <w:pPr>
              <w:spacing w:after="0" w:line="240" w:lineRule="auto"/>
              <w:jc w:val="both"/>
              <w:rPr>
                <w:rFonts w:ascii="Times New Roman" w:hAnsi="Times New Roman" w:cs="Times New Roman"/>
                <w:sz w:val="24"/>
                <w:szCs w:val="24"/>
              </w:rPr>
            </w:pPr>
            <w:r w:rsidRPr="00A83101">
              <w:rPr>
                <w:rFonts w:ascii="Times New Roman" w:eastAsia="Times New Roman" w:hAnsi="Times New Roman" w:cs="Times New Roman"/>
                <w:sz w:val="24"/>
                <w:szCs w:val="24"/>
                <w:lang w:eastAsia="lv-LV"/>
              </w:rPr>
              <w:t xml:space="preserve">        Saskaņā ar Valsts drošības iestāžu likuma 10. panta 10. </w:t>
            </w:r>
            <w:r w:rsidR="00242494" w:rsidRPr="00A83101">
              <w:rPr>
                <w:rFonts w:ascii="Times New Roman" w:eastAsia="Times New Roman" w:hAnsi="Times New Roman" w:cs="Times New Roman"/>
                <w:sz w:val="24"/>
                <w:szCs w:val="24"/>
                <w:lang w:eastAsia="lv-LV"/>
              </w:rPr>
              <w:t xml:space="preserve">punktu viens no </w:t>
            </w:r>
            <w:r w:rsidR="00242494" w:rsidRPr="00A83101">
              <w:rPr>
                <w:rFonts w:ascii="Times New Roman" w:hAnsi="Times New Roman" w:cs="Times New Roman"/>
                <w:sz w:val="24"/>
                <w:szCs w:val="24"/>
              </w:rPr>
              <w:t>valsts drošības iestāžu galvenajiem uzdevumiem ir tām noteiktās kompetences ietvaros klasificētās informācijas apmaiņa ar ārvalstu institūcijām, starptautiskajām organizācijām un to institūcijām. Savukārt saskaņā ar minētā likuma 15. panta otro daļu Drošības policijas valsts drošības jomā veic pretizlūkošanas un operatīvās darbības pasākumus, lai apkarotu terorismu, pretizlūkošanas un operatīvās darbības pasākumus, kas nepieciešami Iekšlietu ministrijas un tās sistēmas iestāžu aizsardzībai, kā arī valsts un pašvaldību institūciju, kā arī citu juridisko personu darbības koordinēšanu pretterorisma jomā un valsts politikas īstenošanas analīzi šajā jomā.</w:t>
            </w:r>
          </w:p>
          <w:p w:rsidR="00242494" w:rsidRPr="001B2AFC" w:rsidRDefault="00242494">
            <w:pPr>
              <w:spacing w:after="0" w:line="240" w:lineRule="auto"/>
              <w:jc w:val="both"/>
              <w:rPr>
                <w:rFonts w:ascii="Times New Roman" w:eastAsia="Times New Roman" w:hAnsi="Times New Roman" w:cs="Times New Roman"/>
                <w:sz w:val="24"/>
                <w:szCs w:val="24"/>
                <w:lang w:eastAsia="lv-LV"/>
              </w:rPr>
            </w:pPr>
            <w:r w:rsidRPr="00A83101">
              <w:rPr>
                <w:rFonts w:ascii="Times New Roman" w:hAnsi="Times New Roman" w:cs="Times New Roman"/>
                <w:sz w:val="24"/>
                <w:szCs w:val="24"/>
              </w:rPr>
              <w:t xml:space="preserve">      Ņemot vērā, ka Drošības policijas kā valsts drošības iestādes kompetencē ir veikt pasākumus, lai novērstu terorismu, cita starpā, apmainoties ar klasificētu informāciju ar ārvalstu institūcijām, starptautiskajām organizācijām un to institūcijām, Drošības policija ir no</w:t>
            </w:r>
            <w:r w:rsidR="00B476A9" w:rsidRPr="00A83101">
              <w:rPr>
                <w:rFonts w:ascii="Times New Roman" w:hAnsi="Times New Roman" w:cs="Times New Roman"/>
                <w:sz w:val="24"/>
                <w:szCs w:val="24"/>
              </w:rPr>
              <w:t>sakāma kā atbildīgā institūcija</w:t>
            </w:r>
            <w:r w:rsidRPr="00A83101">
              <w:rPr>
                <w:rFonts w:ascii="Times New Roman" w:hAnsi="Times New Roman" w:cs="Times New Roman"/>
                <w:sz w:val="24"/>
                <w:szCs w:val="24"/>
              </w:rPr>
              <w:t xml:space="preserve"> Papildu protokola 7. pantā dotā pienākumā izpildē</w:t>
            </w:r>
            <w:r w:rsidR="00B476A9" w:rsidRPr="00A83101">
              <w:rPr>
                <w:rFonts w:ascii="Times New Roman" w:hAnsi="Times New Roman" w:cs="Times New Roman"/>
                <w:sz w:val="24"/>
                <w:szCs w:val="24"/>
              </w:rPr>
              <w:t xml:space="preserve"> esošās kompetences un pienākumu ietvaros</w:t>
            </w:r>
            <w:r w:rsidRPr="00A83101">
              <w:rPr>
                <w:rFonts w:ascii="Times New Roman" w:hAnsi="Times New Roman" w:cs="Times New Roman"/>
                <w:sz w:val="24"/>
                <w:szCs w:val="24"/>
              </w:rPr>
              <w:t xml:space="preserve">. </w:t>
            </w:r>
          </w:p>
        </w:tc>
      </w:tr>
      <w:tr w:rsidR="00A83101" w:rsidRPr="001B2AFC" w:rsidTr="00FD2707">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402"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5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Projekta izstrādē </w:t>
            </w:r>
            <w:r w:rsidRPr="001B2AFC">
              <w:rPr>
                <w:rFonts w:ascii="Times New Roman" w:eastAsia="Times New Roman" w:hAnsi="Times New Roman" w:cs="Times New Roman"/>
                <w:sz w:val="24"/>
                <w:szCs w:val="24"/>
                <w:lang w:eastAsia="lv-LV"/>
              </w:rPr>
              <w:lastRenderedPageBreak/>
              <w:t>iesaistītās institūcijas</w:t>
            </w:r>
          </w:p>
        </w:tc>
        <w:tc>
          <w:tcPr>
            <w:tcW w:w="3305"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lastRenderedPageBreak/>
              <w:t>Tieslietu ministrija.</w:t>
            </w:r>
          </w:p>
        </w:tc>
      </w:tr>
      <w:tr w:rsidR="00A83101" w:rsidRPr="001B2AFC" w:rsidTr="00FD2707">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lastRenderedPageBreak/>
              <w:t>4.</w:t>
            </w:r>
          </w:p>
        </w:tc>
        <w:tc>
          <w:tcPr>
            <w:tcW w:w="1402"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305"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FD2707">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r w:rsidR="00A83101" w:rsidRPr="001B2AFC" w:rsidTr="00B476A9">
        <w:trPr>
          <w:trHeight w:val="55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3101" w:rsidRPr="001B2AFC" w:rsidTr="00B476A9">
        <w:trPr>
          <w:trHeight w:val="465"/>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412"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ind w:right="-5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Sabiedrības mērķgrupas, kuras tiesiskais regulējums ietekmē vai varētu ietekmēt</w:t>
            </w:r>
          </w:p>
        </w:tc>
        <w:tc>
          <w:tcPr>
            <w:tcW w:w="3294" w:type="pct"/>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ind w:right="-766"/>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attiecināms uz Drošības policiju.</w:t>
            </w:r>
          </w:p>
        </w:tc>
      </w:tr>
      <w:tr w:rsidR="00A83101" w:rsidRPr="001B2AFC" w:rsidTr="00B476A9">
        <w:trPr>
          <w:trHeight w:val="51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412"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Tiesiskā regulējuma ietekme uz tautsaimniecību un administratīvo slogu</w:t>
            </w:r>
          </w:p>
        </w:tc>
        <w:tc>
          <w:tcPr>
            <w:tcW w:w="3294" w:type="pct"/>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nemaina administratīvo slogu, proti, sabiedrības grupām un institūcijām projekta tiesiskais regulējums nemaina tiesības un pienākumus, kā arī veicamās darbības.</w:t>
            </w:r>
          </w:p>
        </w:tc>
      </w:tr>
      <w:tr w:rsidR="00A83101" w:rsidRPr="001B2AFC" w:rsidTr="00B476A9">
        <w:trPr>
          <w:trHeight w:val="51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412"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Administratīvo izmaksu monetārs novērtējums</w:t>
            </w:r>
          </w:p>
        </w:tc>
        <w:tc>
          <w:tcPr>
            <w:tcW w:w="3294" w:type="pct"/>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šo jomu neskar, jo</w:t>
            </w:r>
            <w:r w:rsidRPr="00A83101">
              <w:rPr>
                <w:rFonts w:ascii="Times New Roman" w:hAnsi="Times New Roman" w:cs="Times New Roman"/>
                <w:sz w:val="24"/>
                <w:szCs w:val="24"/>
              </w:rPr>
              <w:t xml:space="preserve"> netiek ieviestas jaunas administratīvās procedūras.</w:t>
            </w:r>
          </w:p>
        </w:tc>
      </w:tr>
      <w:tr w:rsidR="00A83101" w:rsidRPr="001B2AFC" w:rsidTr="00B476A9">
        <w:trPr>
          <w:trHeight w:val="345"/>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4.</w:t>
            </w:r>
          </w:p>
        </w:tc>
        <w:tc>
          <w:tcPr>
            <w:tcW w:w="1412"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294" w:type="pct"/>
            <w:tcBorders>
              <w:top w:val="outset" w:sz="6" w:space="0" w:color="auto"/>
              <w:left w:val="outset" w:sz="6" w:space="0" w:color="auto"/>
              <w:bottom w:val="outset" w:sz="6" w:space="0" w:color="auto"/>
              <w:right w:val="outset" w:sz="6" w:space="0" w:color="auto"/>
            </w:tcBorders>
            <w:hideMark/>
          </w:tcPr>
          <w:p w:rsidR="001B2AFC" w:rsidRPr="001B2AFC" w:rsidRDefault="00B476A9" w:rsidP="00FD2707">
            <w:pPr>
              <w:spacing w:after="0" w:line="240" w:lineRule="auto"/>
              <w:ind w:right="-766"/>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bl>
    <w:p w:rsidR="001B2AFC" w:rsidRPr="001B2AFC" w:rsidRDefault="001B2AFC" w:rsidP="00FD2707">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w:t>
      </w:r>
    </w:p>
    <w:tbl>
      <w:tblPr>
        <w:tblW w:w="540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2431"/>
        <w:gridCol w:w="6258"/>
      </w:tblGrid>
      <w:tr w:rsidR="00A83101" w:rsidRPr="001B2AFC" w:rsidTr="00A831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V. Tiesību akta projekta atbilstība Latvijas Republikas starptautiskajām saistībām</w:t>
            </w:r>
          </w:p>
        </w:tc>
      </w:tr>
      <w:tr w:rsidR="00A83101" w:rsidRPr="001B2AFC" w:rsidTr="00A83101">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321"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Saistības pret Eiropas Savienību</w:t>
            </w:r>
          </w:p>
        </w:tc>
        <w:tc>
          <w:tcPr>
            <w:tcW w:w="3385" w:type="pct"/>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šo jomu neskar.</w:t>
            </w:r>
          </w:p>
        </w:tc>
      </w:tr>
      <w:tr w:rsidR="00A83101" w:rsidRPr="001B2AFC" w:rsidTr="00A83101">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321"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Citas starptautiskās saistības</w:t>
            </w:r>
          </w:p>
        </w:tc>
        <w:tc>
          <w:tcPr>
            <w:tcW w:w="3385" w:type="pct"/>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Konvencija, Papildu protokols.</w:t>
            </w:r>
          </w:p>
        </w:tc>
      </w:tr>
      <w:tr w:rsidR="00A83101" w:rsidRPr="001B2AFC" w:rsidTr="00A83101">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321"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385" w:type="pct"/>
            <w:tcBorders>
              <w:top w:val="outset" w:sz="6" w:space="0" w:color="auto"/>
              <w:left w:val="outset" w:sz="6" w:space="0" w:color="auto"/>
              <w:bottom w:val="outset" w:sz="6" w:space="0" w:color="auto"/>
              <w:right w:val="outset" w:sz="6" w:space="0" w:color="auto"/>
            </w:tcBorders>
            <w:hideMark/>
          </w:tcPr>
          <w:p w:rsidR="00B476A9" w:rsidRPr="00A83101" w:rsidRDefault="00B476A9">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p w:rsidR="001B2AFC" w:rsidRPr="001B2AFC" w:rsidRDefault="001B2AFC" w:rsidP="00FD2707">
            <w:pPr>
              <w:spacing w:after="0" w:line="240" w:lineRule="auto"/>
              <w:ind w:right="-766" w:firstLine="300"/>
              <w:rPr>
                <w:rFonts w:ascii="Times New Roman" w:eastAsia="Times New Roman" w:hAnsi="Times New Roman" w:cs="Times New Roman"/>
                <w:sz w:val="24"/>
                <w:szCs w:val="24"/>
                <w:lang w:eastAsia="lv-LV"/>
              </w:rPr>
            </w:pPr>
          </w:p>
        </w:tc>
      </w:tr>
    </w:tbl>
    <w:p w:rsidR="001B2AFC" w:rsidRPr="001B2AFC" w:rsidRDefault="001B2AFC" w:rsidP="00FD2707">
      <w:pPr>
        <w:spacing w:after="0" w:line="240" w:lineRule="auto"/>
        <w:ind w:right="-766" w:firstLine="300"/>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w:t>
      </w:r>
    </w:p>
    <w:tbl>
      <w:tblPr>
        <w:tblW w:w="5493"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8"/>
        <w:gridCol w:w="2697"/>
        <w:gridCol w:w="4395"/>
      </w:tblGrid>
      <w:tr w:rsidR="00A83101" w:rsidRPr="001B2AFC" w:rsidTr="00A831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1.tabula</w:t>
            </w:r>
            <w:r w:rsidRPr="001B2AFC">
              <w:rPr>
                <w:rFonts w:ascii="Times New Roman" w:eastAsia="Times New Roman" w:hAnsi="Times New Roman" w:cs="Times New Roman"/>
                <w:b/>
                <w:bCs/>
                <w:sz w:val="24"/>
                <w:szCs w:val="24"/>
                <w:lang w:eastAsia="lv-LV"/>
              </w:rPr>
              <w:br/>
              <w:t>Tiesību akta projekta atbilstība ES tiesību aktiem</w:t>
            </w:r>
          </w:p>
        </w:tc>
      </w:tr>
      <w:tr w:rsidR="00A83101" w:rsidRPr="00A83101" w:rsidTr="00A831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rsidR="00B476A9" w:rsidRPr="00A83101" w:rsidRDefault="00B476A9" w:rsidP="00FD2707">
            <w:pPr>
              <w:spacing w:after="0" w:line="240" w:lineRule="auto"/>
              <w:ind w:right="-766" w:firstLine="300"/>
              <w:jc w:val="center"/>
              <w:rPr>
                <w:rFonts w:ascii="Times New Roman" w:eastAsia="Times New Roman" w:hAnsi="Times New Roman" w:cs="Times New Roman"/>
                <w:bCs/>
                <w:sz w:val="24"/>
                <w:szCs w:val="24"/>
                <w:lang w:eastAsia="lv-LV"/>
              </w:rPr>
            </w:pPr>
            <w:r w:rsidRPr="00A83101">
              <w:rPr>
                <w:rFonts w:ascii="Times New Roman" w:eastAsia="Times New Roman" w:hAnsi="Times New Roman" w:cs="Times New Roman"/>
                <w:bCs/>
                <w:sz w:val="24"/>
                <w:szCs w:val="24"/>
                <w:lang w:eastAsia="lv-LV"/>
              </w:rPr>
              <w:t>Projekts šo jomu neskar.</w:t>
            </w:r>
          </w:p>
        </w:tc>
      </w:tr>
      <w:tr w:rsidR="00A83101" w:rsidRPr="001B2AFC" w:rsidTr="00A831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2.tabula</w:t>
            </w:r>
            <w:r w:rsidRPr="001B2AFC">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1B2AFC">
              <w:rPr>
                <w:rFonts w:ascii="Times New Roman" w:eastAsia="Times New Roman" w:hAnsi="Times New Roman" w:cs="Times New Roman"/>
                <w:b/>
                <w:bCs/>
                <w:sz w:val="24"/>
                <w:szCs w:val="24"/>
                <w:lang w:eastAsia="lv-LV"/>
              </w:rPr>
              <w:br/>
              <w:t>Pasākumi šo saistību izpildei</w:t>
            </w:r>
          </w:p>
        </w:tc>
      </w:tr>
      <w:tr w:rsidR="00A83101" w:rsidRPr="001B2AFC" w:rsidTr="00A83101">
        <w:trPr>
          <w:tblCellSpacing w:w="15" w:type="dxa"/>
        </w:trPr>
        <w:tc>
          <w:tcPr>
            <w:tcW w:w="1166"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2B53CE">
            <w:pPr>
              <w:spacing w:after="0" w:line="240" w:lineRule="auto"/>
              <w:ind w:right="-19"/>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86"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Papildu protokols.</w:t>
            </w:r>
          </w:p>
        </w:tc>
      </w:tr>
      <w:tr w:rsidR="00A83101" w:rsidRPr="001B2AFC" w:rsidTr="00A83101">
        <w:trPr>
          <w:tblCellSpacing w:w="15" w:type="dxa"/>
        </w:trPr>
        <w:tc>
          <w:tcPr>
            <w:tcW w:w="1166"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lastRenderedPageBreak/>
              <w:t>A</w:t>
            </w:r>
          </w:p>
        </w:tc>
        <w:tc>
          <w:tcPr>
            <w:tcW w:w="1445"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B</w:t>
            </w:r>
          </w:p>
        </w:tc>
        <w:tc>
          <w:tcPr>
            <w:tcW w:w="2325"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766"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w:t>
            </w:r>
          </w:p>
        </w:tc>
      </w:tr>
      <w:tr w:rsidR="00A83101" w:rsidRPr="001B2AFC" w:rsidTr="00A83101">
        <w:trPr>
          <w:tblCellSpacing w:w="15" w:type="dxa"/>
        </w:trPr>
        <w:tc>
          <w:tcPr>
            <w:tcW w:w="1166"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1B2AFC" w:rsidRPr="001B2AFC" w:rsidRDefault="001B2AFC" w:rsidP="00FD2707">
            <w:pPr>
              <w:spacing w:after="0" w:line="240" w:lineRule="auto"/>
              <w:ind w:right="-19" w:firstLine="300"/>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445"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15"/>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5"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1B2AFC" w:rsidRPr="001B2AFC" w:rsidRDefault="001B2AFC" w:rsidP="00FD2707">
            <w:pPr>
              <w:spacing w:after="0" w:line="240" w:lineRule="auto"/>
              <w:ind w:firstLine="300"/>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1B2AFC" w:rsidRPr="001B2AFC" w:rsidRDefault="001B2AFC" w:rsidP="00FD2707">
            <w:pPr>
              <w:spacing w:after="0" w:line="240" w:lineRule="auto"/>
              <w:ind w:firstLine="300"/>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Norāda institūciju, kas ir atbildīga par šo saistību izpildi pilnībā</w:t>
            </w:r>
          </w:p>
        </w:tc>
      </w:tr>
      <w:tr w:rsidR="00A83101" w:rsidRPr="001B2AFC" w:rsidTr="00A83101">
        <w:trPr>
          <w:tblCellSpacing w:w="15" w:type="dxa"/>
        </w:trPr>
        <w:tc>
          <w:tcPr>
            <w:tcW w:w="1166" w:type="pct"/>
            <w:tcBorders>
              <w:top w:val="outset" w:sz="6" w:space="0" w:color="auto"/>
              <w:left w:val="outset" w:sz="6" w:space="0" w:color="auto"/>
              <w:bottom w:val="outset" w:sz="6" w:space="0" w:color="auto"/>
              <w:right w:val="outset" w:sz="6" w:space="0" w:color="auto"/>
            </w:tcBorders>
            <w:hideMark/>
          </w:tcPr>
          <w:p w:rsidR="001B2AFC" w:rsidRPr="001B2AFC" w:rsidRDefault="00A83101" w:rsidP="002B53CE">
            <w:pPr>
              <w:spacing w:after="0" w:line="240" w:lineRule="auto"/>
              <w:ind w:right="-38"/>
              <w:rPr>
                <w:rFonts w:ascii="Times New Roman" w:eastAsia="Times New Roman" w:hAnsi="Times New Roman" w:cs="Times New Roman"/>
                <w:b/>
                <w:sz w:val="24"/>
                <w:szCs w:val="24"/>
                <w:lang w:eastAsia="lv-LV"/>
              </w:rPr>
            </w:pPr>
            <w:r w:rsidRPr="00A83101">
              <w:rPr>
                <w:rFonts w:ascii="Times New Roman" w:eastAsia="Times New Roman" w:hAnsi="Times New Roman" w:cs="Times New Roman"/>
                <w:b/>
                <w:sz w:val="24"/>
                <w:szCs w:val="24"/>
                <w:lang w:eastAsia="lv-LV"/>
              </w:rPr>
              <w:t>7. pants.</w:t>
            </w:r>
          </w:p>
        </w:tc>
        <w:tc>
          <w:tcPr>
            <w:tcW w:w="1445" w:type="pct"/>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Ministru kabineta rīkojuma projekts.</w:t>
            </w:r>
          </w:p>
        </w:tc>
        <w:tc>
          <w:tcPr>
            <w:tcW w:w="2325" w:type="pct"/>
            <w:tcBorders>
              <w:top w:val="outset" w:sz="6" w:space="0" w:color="auto"/>
              <w:left w:val="outset" w:sz="6" w:space="0" w:color="auto"/>
              <w:bottom w:val="outset" w:sz="6" w:space="0" w:color="auto"/>
              <w:right w:val="outset" w:sz="6" w:space="0" w:color="auto"/>
            </w:tcBorders>
            <w:hideMark/>
          </w:tcPr>
          <w:p w:rsidR="001B2AFC" w:rsidRPr="001B2AFC" w:rsidRDefault="00B476A9" w:rsidP="00FD2707">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Tiks izpildīts pilnībā.</w:t>
            </w:r>
          </w:p>
        </w:tc>
      </w:tr>
      <w:tr w:rsidR="00A83101" w:rsidRPr="001B2AFC" w:rsidTr="00A83101">
        <w:trPr>
          <w:tblCellSpacing w:w="15" w:type="dxa"/>
        </w:trPr>
        <w:tc>
          <w:tcPr>
            <w:tcW w:w="1166"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19"/>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86"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r w:rsidR="00A83101" w:rsidRPr="001B2AFC" w:rsidTr="00A83101">
        <w:trPr>
          <w:tblCellSpacing w:w="15" w:type="dxa"/>
        </w:trPr>
        <w:tc>
          <w:tcPr>
            <w:tcW w:w="1166"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786"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FD2707">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bl>
    <w:p w:rsidR="001B2AFC" w:rsidRPr="001B2AFC" w:rsidRDefault="001B2AFC" w:rsidP="00FD2707">
      <w:pPr>
        <w:spacing w:after="0" w:line="240" w:lineRule="auto"/>
        <w:ind w:right="-766"/>
        <w:rPr>
          <w:rFonts w:ascii="Times New Roman" w:eastAsia="Times New Roman" w:hAnsi="Times New Roman" w:cs="Times New Roman"/>
          <w:sz w:val="24"/>
          <w:szCs w:val="24"/>
          <w:lang w:eastAsia="lv-LV"/>
        </w:rPr>
      </w:pPr>
    </w:p>
    <w:tbl>
      <w:tblPr>
        <w:tblW w:w="555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3121"/>
        <w:gridCol w:w="5816"/>
      </w:tblGrid>
      <w:tr w:rsidR="00A83101" w:rsidRPr="001B2AFC" w:rsidTr="00A83101">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FD2707">
            <w:pPr>
              <w:spacing w:after="0" w:line="240" w:lineRule="auto"/>
              <w:ind w:right="-349"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VII. Tiesību akta projekta izpildes nodrošināšana un tās ietekme uz institūcijām</w:t>
            </w:r>
          </w:p>
        </w:tc>
      </w:tr>
      <w:tr w:rsidR="00A83101" w:rsidRPr="001B2AFC" w:rsidTr="00A83101">
        <w:trPr>
          <w:trHeight w:val="420"/>
          <w:tblCellSpacing w:w="15" w:type="dxa"/>
        </w:trPr>
        <w:tc>
          <w:tcPr>
            <w:tcW w:w="21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657"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rsidR="001B2AFC" w:rsidRPr="001B2AFC" w:rsidRDefault="00A83101">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Drošības policija.</w:t>
            </w:r>
          </w:p>
        </w:tc>
      </w:tr>
      <w:tr w:rsidR="00A83101" w:rsidRPr="001B2AFC" w:rsidTr="00A83101">
        <w:trPr>
          <w:trHeight w:val="450"/>
          <w:tblCellSpacing w:w="15" w:type="dxa"/>
        </w:trPr>
        <w:tc>
          <w:tcPr>
            <w:tcW w:w="21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657"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Projekta izpildes ietekme uz pārvaldes funkcijām un institucionālo struktūru. </w:t>
            </w:r>
          </w:p>
          <w:p w:rsidR="001B2AFC" w:rsidRPr="001B2AFC" w:rsidRDefault="001B2AFC" w:rsidP="00FD2707">
            <w:pPr>
              <w:spacing w:after="0" w:line="240" w:lineRule="auto"/>
              <w:ind w:firstLine="300"/>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rsidR="001B2AFC" w:rsidRPr="001B2AFC" w:rsidRDefault="00A83101" w:rsidP="002B53CE">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šo jomu neskar.</w:t>
            </w:r>
          </w:p>
        </w:tc>
      </w:tr>
      <w:tr w:rsidR="00A83101" w:rsidRPr="001B2AFC" w:rsidTr="00A83101">
        <w:trPr>
          <w:trHeight w:val="390"/>
          <w:tblCellSpacing w:w="15" w:type="dxa"/>
        </w:trPr>
        <w:tc>
          <w:tcPr>
            <w:tcW w:w="21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2B53CE">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657" w:type="pct"/>
            <w:tcBorders>
              <w:top w:val="outset" w:sz="6" w:space="0" w:color="auto"/>
              <w:left w:val="outset" w:sz="6" w:space="0" w:color="auto"/>
              <w:bottom w:val="outset" w:sz="6" w:space="0" w:color="auto"/>
              <w:right w:val="outset" w:sz="6" w:space="0" w:color="auto"/>
            </w:tcBorders>
            <w:hideMark/>
          </w:tcPr>
          <w:p w:rsidR="001B2AFC" w:rsidRPr="001B2AFC" w:rsidRDefault="001B2AFC">
            <w:pPr>
              <w:spacing w:after="0" w:line="240" w:lineRule="auto"/>
              <w:ind w:right="-766"/>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1B2AFC" w:rsidRPr="001B2AFC" w:rsidRDefault="00A83101" w:rsidP="00FD2707">
            <w:pPr>
              <w:spacing w:after="0" w:line="240" w:lineRule="auto"/>
              <w:ind w:right="-766"/>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bl>
    <w:p w:rsidR="00973405" w:rsidRPr="00A83101" w:rsidRDefault="00973405" w:rsidP="00FD2707">
      <w:pPr>
        <w:spacing w:after="0" w:line="240" w:lineRule="auto"/>
        <w:rPr>
          <w:rFonts w:ascii="Times New Roman" w:hAnsi="Times New Roman" w:cs="Times New Roman"/>
          <w:i/>
          <w:sz w:val="24"/>
          <w:szCs w:val="24"/>
        </w:rPr>
      </w:pPr>
    </w:p>
    <w:p w:rsidR="00A83101" w:rsidRPr="00FD2707" w:rsidRDefault="00A83101" w:rsidP="00FD2707">
      <w:pPr>
        <w:spacing w:after="0" w:line="240" w:lineRule="auto"/>
        <w:rPr>
          <w:rFonts w:ascii="Times New Roman" w:hAnsi="Times New Roman" w:cs="Times New Roman"/>
          <w:sz w:val="24"/>
          <w:szCs w:val="24"/>
        </w:rPr>
      </w:pPr>
      <w:r w:rsidRPr="00FD2707">
        <w:rPr>
          <w:rFonts w:ascii="Times New Roman" w:hAnsi="Times New Roman" w:cs="Times New Roman"/>
          <w:sz w:val="24"/>
          <w:szCs w:val="24"/>
        </w:rPr>
        <w:t xml:space="preserve">Anotācijas III, IV un VI sadaļa – projekts šīs jomas neskar. </w:t>
      </w:r>
    </w:p>
    <w:p w:rsidR="00A83101" w:rsidRPr="00A83101" w:rsidRDefault="00A83101" w:rsidP="00FD2707">
      <w:pPr>
        <w:spacing w:after="0" w:line="240" w:lineRule="auto"/>
        <w:rPr>
          <w:rFonts w:ascii="Times New Roman" w:hAnsi="Times New Roman" w:cs="Times New Roman"/>
          <w:sz w:val="24"/>
          <w:szCs w:val="24"/>
        </w:rPr>
      </w:pPr>
    </w:p>
    <w:p w:rsidR="00A83101" w:rsidRPr="00A83101" w:rsidRDefault="00A83101" w:rsidP="00FD2707">
      <w:pPr>
        <w:spacing w:after="0" w:line="240" w:lineRule="auto"/>
        <w:rPr>
          <w:rFonts w:ascii="Times New Roman" w:hAnsi="Times New Roman" w:cs="Times New Roman"/>
          <w:sz w:val="24"/>
          <w:szCs w:val="24"/>
        </w:rPr>
      </w:pPr>
      <w:r w:rsidRPr="00A83101">
        <w:rPr>
          <w:rFonts w:ascii="Times New Roman" w:hAnsi="Times New Roman" w:cs="Times New Roman"/>
          <w:sz w:val="24"/>
          <w:szCs w:val="24"/>
        </w:rPr>
        <w:t>Iesniedzējs:</w:t>
      </w:r>
    </w:p>
    <w:p w:rsidR="00A83101" w:rsidRPr="00A83101" w:rsidRDefault="00A83101" w:rsidP="00FD2707">
      <w:pPr>
        <w:spacing w:after="0" w:line="240" w:lineRule="auto"/>
        <w:ind w:right="-1050"/>
        <w:rPr>
          <w:rFonts w:ascii="Times New Roman" w:hAnsi="Times New Roman" w:cs="Times New Roman"/>
          <w:sz w:val="24"/>
          <w:szCs w:val="24"/>
        </w:rPr>
      </w:pPr>
      <w:r w:rsidRPr="00A83101">
        <w:rPr>
          <w:rFonts w:ascii="Times New Roman" w:hAnsi="Times New Roman" w:cs="Times New Roman"/>
          <w:sz w:val="24"/>
          <w:szCs w:val="24"/>
        </w:rPr>
        <w:t>Tieslietu ministrijas valsts sekretārs</w:t>
      </w:r>
      <w:r w:rsidRPr="00A83101">
        <w:rPr>
          <w:rFonts w:ascii="Times New Roman" w:hAnsi="Times New Roman" w:cs="Times New Roman"/>
          <w:sz w:val="24"/>
          <w:szCs w:val="24"/>
        </w:rPr>
        <w:tab/>
      </w:r>
      <w:r w:rsidRPr="00A83101">
        <w:rPr>
          <w:rFonts w:ascii="Times New Roman" w:hAnsi="Times New Roman" w:cs="Times New Roman"/>
          <w:sz w:val="24"/>
          <w:szCs w:val="24"/>
        </w:rPr>
        <w:tab/>
      </w:r>
      <w:r w:rsidRPr="00A83101">
        <w:rPr>
          <w:rFonts w:ascii="Times New Roman" w:hAnsi="Times New Roman" w:cs="Times New Roman"/>
          <w:sz w:val="24"/>
          <w:szCs w:val="24"/>
        </w:rPr>
        <w:tab/>
      </w:r>
      <w:r w:rsidRPr="00A83101">
        <w:rPr>
          <w:rFonts w:ascii="Times New Roman" w:hAnsi="Times New Roman" w:cs="Times New Roman"/>
          <w:sz w:val="24"/>
          <w:szCs w:val="24"/>
        </w:rPr>
        <w:tab/>
      </w:r>
      <w:r w:rsidRPr="00A83101">
        <w:rPr>
          <w:rFonts w:ascii="Times New Roman" w:hAnsi="Times New Roman" w:cs="Times New Roman"/>
          <w:sz w:val="24"/>
          <w:szCs w:val="24"/>
        </w:rPr>
        <w:tab/>
      </w:r>
      <w:r>
        <w:rPr>
          <w:rFonts w:ascii="Times New Roman" w:hAnsi="Times New Roman" w:cs="Times New Roman"/>
          <w:sz w:val="24"/>
          <w:szCs w:val="24"/>
        </w:rPr>
        <w:tab/>
      </w:r>
      <w:r w:rsidRPr="00A83101">
        <w:rPr>
          <w:rFonts w:ascii="Times New Roman" w:hAnsi="Times New Roman" w:cs="Times New Roman"/>
          <w:sz w:val="24"/>
          <w:szCs w:val="24"/>
        </w:rPr>
        <w:t>R</w:t>
      </w:r>
      <w:r w:rsidR="00A85FCB">
        <w:rPr>
          <w:rFonts w:ascii="Times New Roman" w:hAnsi="Times New Roman" w:cs="Times New Roman"/>
          <w:sz w:val="24"/>
          <w:szCs w:val="24"/>
        </w:rPr>
        <w:t>aivis</w:t>
      </w:r>
      <w:r w:rsidRPr="00A83101">
        <w:rPr>
          <w:rFonts w:ascii="Times New Roman" w:hAnsi="Times New Roman" w:cs="Times New Roman"/>
          <w:sz w:val="24"/>
          <w:szCs w:val="24"/>
        </w:rPr>
        <w:t> Kronbergs</w:t>
      </w:r>
    </w:p>
    <w:p w:rsidR="00A83101" w:rsidRPr="00A83101" w:rsidRDefault="00A83101" w:rsidP="00FD2707">
      <w:pPr>
        <w:spacing w:after="0" w:line="240" w:lineRule="auto"/>
        <w:rPr>
          <w:rFonts w:ascii="Times New Roman" w:hAnsi="Times New Roman" w:cs="Times New Roman"/>
          <w:sz w:val="24"/>
          <w:szCs w:val="24"/>
        </w:rPr>
      </w:pPr>
      <w:bookmarkStart w:id="0" w:name="_GoBack"/>
      <w:bookmarkEnd w:id="0"/>
    </w:p>
    <w:p w:rsidR="00A83101" w:rsidRPr="00A83101" w:rsidRDefault="00A83101" w:rsidP="00FD2707">
      <w:pPr>
        <w:spacing w:after="0" w:line="240" w:lineRule="auto"/>
        <w:rPr>
          <w:rFonts w:ascii="Times New Roman" w:hAnsi="Times New Roman" w:cs="Times New Roman"/>
          <w:sz w:val="24"/>
          <w:szCs w:val="24"/>
        </w:rPr>
      </w:pPr>
    </w:p>
    <w:p w:rsidR="00A83101" w:rsidRPr="00FD2707" w:rsidRDefault="00A83101" w:rsidP="002B53CE">
      <w:pPr>
        <w:pStyle w:val="Bezatstarpm"/>
        <w:rPr>
          <w:rFonts w:ascii="Times New Roman" w:hAnsi="Times New Roman" w:cs="Times New Roman"/>
          <w:sz w:val="20"/>
          <w:szCs w:val="20"/>
        </w:rPr>
      </w:pPr>
      <w:r w:rsidRPr="00FD2707">
        <w:rPr>
          <w:rFonts w:ascii="Times New Roman" w:hAnsi="Times New Roman" w:cs="Times New Roman"/>
          <w:sz w:val="20"/>
          <w:szCs w:val="20"/>
        </w:rPr>
        <w:t>06.02.2017. 14:19</w:t>
      </w:r>
    </w:p>
    <w:p w:rsidR="00A83101" w:rsidRPr="00FD2707" w:rsidRDefault="00A85FCB">
      <w:pPr>
        <w:pStyle w:val="Bezatstarpm"/>
        <w:rPr>
          <w:rFonts w:ascii="Times New Roman" w:hAnsi="Times New Roman" w:cs="Times New Roman"/>
          <w:sz w:val="20"/>
          <w:szCs w:val="20"/>
        </w:rPr>
      </w:pPr>
      <w:r w:rsidRPr="00FD2707">
        <w:rPr>
          <w:rFonts w:ascii="Times New Roman" w:hAnsi="Times New Roman" w:cs="Times New Roman"/>
          <w:sz w:val="20"/>
          <w:szCs w:val="20"/>
        </w:rPr>
        <w:t>705</w:t>
      </w:r>
    </w:p>
    <w:p w:rsidR="00A83101" w:rsidRPr="00FD2707" w:rsidRDefault="00A83101">
      <w:pPr>
        <w:pStyle w:val="Bezatstarpm"/>
        <w:rPr>
          <w:rFonts w:ascii="Times New Roman" w:hAnsi="Times New Roman" w:cs="Times New Roman"/>
          <w:sz w:val="20"/>
          <w:szCs w:val="20"/>
        </w:rPr>
      </w:pPr>
      <w:r w:rsidRPr="00FD2707">
        <w:rPr>
          <w:rFonts w:ascii="Times New Roman" w:hAnsi="Times New Roman" w:cs="Times New Roman"/>
          <w:sz w:val="20"/>
          <w:szCs w:val="20"/>
        </w:rPr>
        <w:t>S.Dzalbe</w:t>
      </w:r>
    </w:p>
    <w:p w:rsidR="00A83101" w:rsidRPr="00FD2707" w:rsidRDefault="00A83101">
      <w:pPr>
        <w:pStyle w:val="Bezatstarpm"/>
        <w:rPr>
          <w:rFonts w:ascii="Times New Roman" w:hAnsi="Times New Roman" w:cs="Times New Roman"/>
          <w:sz w:val="20"/>
          <w:szCs w:val="20"/>
        </w:rPr>
      </w:pPr>
      <w:r w:rsidRPr="00FD2707">
        <w:rPr>
          <w:rFonts w:ascii="Times New Roman" w:hAnsi="Times New Roman" w:cs="Times New Roman"/>
          <w:sz w:val="20"/>
          <w:szCs w:val="20"/>
        </w:rPr>
        <w:t xml:space="preserve">67036938, </w:t>
      </w:r>
      <w:r w:rsidR="00A85FCB" w:rsidRPr="00FD2707">
        <w:rPr>
          <w:rFonts w:ascii="Times New Roman" w:hAnsi="Times New Roman" w:cs="Times New Roman"/>
        </w:rPr>
        <w:t>Sintija.Dzalbe@tm.gov.lv</w:t>
      </w:r>
      <w:r w:rsidRPr="00FD2707">
        <w:rPr>
          <w:rFonts w:ascii="Times New Roman" w:hAnsi="Times New Roman" w:cs="Times New Roman"/>
          <w:sz w:val="20"/>
          <w:szCs w:val="20"/>
        </w:rPr>
        <w:t xml:space="preserve"> </w:t>
      </w:r>
    </w:p>
    <w:sectPr w:rsidR="00A83101" w:rsidRPr="00FD2707" w:rsidSect="001B2AFC">
      <w:headerReference w:type="even" r:id="rId8"/>
      <w:headerReference w:type="default" r:id="rId9"/>
      <w:footerReference w:type="even" r:id="rId10"/>
      <w:footerReference w:type="default" r:id="rId11"/>
      <w:headerReference w:type="first" r:id="rId12"/>
      <w:footerReference w:type="first" r:id="rId13"/>
      <w:pgSz w:w="11906" w:h="16838"/>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01" w:rsidRDefault="00A83101" w:rsidP="00A83101">
      <w:pPr>
        <w:spacing w:after="0" w:line="240" w:lineRule="auto"/>
      </w:pPr>
      <w:r>
        <w:separator/>
      </w:r>
    </w:p>
  </w:endnote>
  <w:endnote w:type="continuationSeparator" w:id="0">
    <w:p w:rsidR="00A83101" w:rsidRDefault="00A83101" w:rsidP="00A8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7" w:rsidRDefault="00FD27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01" w:rsidRPr="002B53CE" w:rsidRDefault="00A83101" w:rsidP="00A83101">
    <w:pPr>
      <w:pStyle w:val="Kjene"/>
      <w:tabs>
        <w:tab w:val="clear" w:pos="8306"/>
        <w:tab w:val="right" w:pos="9072"/>
      </w:tabs>
      <w:ind w:right="-766"/>
      <w:jc w:val="both"/>
      <w:rPr>
        <w:rFonts w:ascii="Times New Roman" w:hAnsi="Times New Roman" w:cs="Times New Roman"/>
        <w:sz w:val="20"/>
        <w:szCs w:val="20"/>
      </w:rPr>
    </w:pPr>
    <w:r w:rsidRPr="00A83101">
      <w:rPr>
        <w:rFonts w:ascii="Times New Roman" w:hAnsi="Times New Roman" w:cs="Times New Roman"/>
        <w:sz w:val="20"/>
        <w:szCs w:val="20"/>
      </w:rPr>
      <w:t xml:space="preserve">TMAnot_060217_MKrikPP; </w:t>
    </w:r>
    <w:r w:rsidR="00A85FCB" w:rsidRPr="00FD2707">
      <w:rPr>
        <w:rFonts w:ascii="Times New Roman" w:eastAsia="Times New Roman" w:hAnsi="Times New Roman" w:cs="Times New Roman"/>
        <w:bCs/>
        <w:sz w:val="20"/>
        <w:szCs w:val="20"/>
        <w:lang w:eastAsia="lv-LV"/>
      </w:rPr>
      <w:t>Ministru kabineta rīkojuma projekta "</w:t>
    </w:r>
    <w:r w:rsidR="00A85FCB" w:rsidRPr="00FD2707">
      <w:rPr>
        <w:rFonts w:ascii="Times New Roman" w:hAnsi="Times New Roman" w:cs="Times New Roman"/>
        <w:sz w:val="20"/>
        <w:szCs w:val="20"/>
      </w:rPr>
      <w:t>Par Papildu Protokola Eiropas Padomes Konvencijai par terorisma novēršanu 7. pantā dotā pienākuma izpildi</w:t>
    </w:r>
    <w:r w:rsidR="00A85FCB" w:rsidRPr="00FD2707">
      <w:rPr>
        <w:rFonts w:ascii="Times New Roman" w:eastAsia="Times New Roman" w:hAnsi="Times New Roman" w:cs="Times New Roman"/>
        <w:bCs/>
        <w:sz w:val="20"/>
        <w:szCs w:val="20"/>
        <w:lang w:eastAsia="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7" w:rsidRDefault="00FD270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01" w:rsidRDefault="00A83101" w:rsidP="00A83101">
      <w:pPr>
        <w:spacing w:after="0" w:line="240" w:lineRule="auto"/>
      </w:pPr>
      <w:r>
        <w:separator/>
      </w:r>
    </w:p>
  </w:footnote>
  <w:footnote w:type="continuationSeparator" w:id="0">
    <w:p w:rsidR="00A83101" w:rsidRDefault="00A83101" w:rsidP="00A83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7" w:rsidRDefault="00FD27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7" w:rsidRDefault="00FD270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07" w:rsidRDefault="00FD27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FC"/>
    <w:rsid w:val="000B7948"/>
    <w:rsid w:val="001B2AFC"/>
    <w:rsid w:val="00242494"/>
    <w:rsid w:val="002B53CE"/>
    <w:rsid w:val="00554E93"/>
    <w:rsid w:val="005C1FEE"/>
    <w:rsid w:val="006A494A"/>
    <w:rsid w:val="00973405"/>
    <w:rsid w:val="00A83101"/>
    <w:rsid w:val="00A85FCB"/>
    <w:rsid w:val="00B476A9"/>
    <w:rsid w:val="00FD2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matteksts"/>
    <w:link w:val="Virsraksts2Rakstz"/>
    <w:qFormat/>
    <w:rsid w:val="001B2AFC"/>
    <w:pPr>
      <w:keepNext/>
      <w:numPr>
        <w:ilvl w:val="1"/>
        <w:numId w:val="1"/>
      </w:numPr>
      <w:suppressAutoHyphens/>
      <w:spacing w:after="0" w:line="240" w:lineRule="auto"/>
      <w:jc w:val="right"/>
      <w:outlineLvl w:val="1"/>
    </w:pPr>
    <w:rPr>
      <w:rFonts w:ascii="Times New Roman" w:eastAsia="Times New Roman" w:hAnsi="Times New Roman" w:cs="Times New Roman"/>
      <w:kern w:val="1"/>
      <w:sz w:val="28"/>
      <w:szCs w:val="24"/>
      <w:lang w:eastAsia="ar-SA"/>
    </w:rPr>
  </w:style>
  <w:style w:type="paragraph" w:styleId="Virsraksts3">
    <w:name w:val="heading 3"/>
    <w:basedOn w:val="Parasts"/>
    <w:next w:val="Pamatteksts"/>
    <w:link w:val="Virsraksts3Rakstz"/>
    <w:qFormat/>
    <w:rsid w:val="001B2AFC"/>
    <w:pPr>
      <w:keepNext/>
      <w:numPr>
        <w:ilvl w:val="2"/>
        <w:numId w:val="1"/>
      </w:numPr>
      <w:suppressAutoHyphens/>
      <w:spacing w:after="0" w:line="240" w:lineRule="auto"/>
      <w:outlineLvl w:val="2"/>
    </w:pPr>
    <w:rPr>
      <w:rFonts w:ascii="Times New Roman" w:eastAsia="Times New Roman" w:hAnsi="Times New Roman" w:cs="Times New Roman"/>
      <w:kern w:val="1"/>
      <w:sz w:val="28"/>
      <w:szCs w:val="24"/>
      <w:lang w:eastAsia="ar-SA"/>
    </w:rPr>
  </w:style>
  <w:style w:type="paragraph" w:styleId="Virsraksts4">
    <w:name w:val="heading 4"/>
    <w:basedOn w:val="Parasts"/>
    <w:next w:val="Pamatteksts"/>
    <w:link w:val="Virsraksts4Rakstz"/>
    <w:qFormat/>
    <w:rsid w:val="001B2AFC"/>
    <w:pPr>
      <w:keepNext/>
      <w:numPr>
        <w:ilvl w:val="3"/>
        <w:numId w:val="1"/>
      </w:numPr>
      <w:suppressAutoHyphens/>
      <w:spacing w:after="0" w:line="240" w:lineRule="auto"/>
      <w:jc w:val="center"/>
      <w:outlineLvl w:val="3"/>
    </w:pPr>
    <w:rPr>
      <w:rFonts w:ascii="Times New Roman" w:eastAsia="Times New Roman" w:hAnsi="Times New Roman" w:cs="Times New Roman"/>
      <w:kern w:val="1"/>
      <w:sz w:val="28"/>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B2AF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Virsraksts2Rakstz">
    <w:name w:val="Virsraksts 2 Rakstz."/>
    <w:basedOn w:val="Noklusjumarindkopasfonts"/>
    <w:link w:val="Virsraksts2"/>
    <w:rsid w:val="001B2AFC"/>
    <w:rPr>
      <w:rFonts w:ascii="Times New Roman" w:eastAsia="Times New Roman" w:hAnsi="Times New Roman" w:cs="Times New Roman"/>
      <w:kern w:val="1"/>
      <w:sz w:val="28"/>
      <w:szCs w:val="24"/>
      <w:lang w:eastAsia="ar-SA"/>
    </w:rPr>
  </w:style>
  <w:style w:type="character" w:customStyle="1" w:styleId="Virsraksts3Rakstz">
    <w:name w:val="Virsraksts 3 Rakstz."/>
    <w:basedOn w:val="Noklusjumarindkopasfonts"/>
    <w:link w:val="Virsraksts3"/>
    <w:rsid w:val="001B2AFC"/>
    <w:rPr>
      <w:rFonts w:ascii="Times New Roman" w:eastAsia="Times New Roman" w:hAnsi="Times New Roman" w:cs="Times New Roman"/>
      <w:kern w:val="1"/>
      <w:sz w:val="28"/>
      <w:szCs w:val="24"/>
      <w:lang w:eastAsia="ar-SA"/>
    </w:rPr>
  </w:style>
  <w:style w:type="character" w:customStyle="1" w:styleId="Virsraksts4Rakstz">
    <w:name w:val="Virsraksts 4 Rakstz."/>
    <w:basedOn w:val="Noklusjumarindkopasfonts"/>
    <w:link w:val="Virsraksts4"/>
    <w:rsid w:val="001B2AFC"/>
    <w:rPr>
      <w:rFonts w:ascii="Times New Roman" w:eastAsia="Times New Roman" w:hAnsi="Times New Roman" w:cs="Times New Roman"/>
      <w:kern w:val="1"/>
      <w:sz w:val="28"/>
      <w:szCs w:val="24"/>
      <w:lang w:eastAsia="ar-SA"/>
    </w:rPr>
  </w:style>
  <w:style w:type="paragraph" w:styleId="Pamatteksts">
    <w:name w:val="Body Text"/>
    <w:basedOn w:val="Parasts"/>
    <w:link w:val="PamattekstsRakstz"/>
    <w:uiPriority w:val="99"/>
    <w:semiHidden/>
    <w:unhideWhenUsed/>
    <w:rsid w:val="001B2AFC"/>
    <w:pPr>
      <w:spacing w:after="120"/>
    </w:pPr>
  </w:style>
  <w:style w:type="character" w:customStyle="1" w:styleId="PamattekstsRakstz">
    <w:name w:val="Pamatteksts Rakstz."/>
    <w:basedOn w:val="Noklusjumarindkopasfonts"/>
    <w:link w:val="Pamatteksts"/>
    <w:uiPriority w:val="99"/>
    <w:semiHidden/>
    <w:rsid w:val="001B2AFC"/>
  </w:style>
  <w:style w:type="character" w:styleId="Hipersaite">
    <w:name w:val="Hyperlink"/>
    <w:basedOn w:val="Noklusjumarindkopasfonts"/>
    <w:uiPriority w:val="99"/>
    <w:unhideWhenUsed/>
    <w:rsid w:val="00A83101"/>
    <w:rPr>
      <w:color w:val="0000FF" w:themeColor="hyperlink"/>
      <w:u w:val="single"/>
    </w:rPr>
  </w:style>
  <w:style w:type="paragraph" w:styleId="Bezatstarpm">
    <w:name w:val="No Spacing"/>
    <w:uiPriority w:val="1"/>
    <w:qFormat/>
    <w:rsid w:val="00A83101"/>
    <w:pPr>
      <w:spacing w:after="0" w:line="240" w:lineRule="auto"/>
    </w:pPr>
  </w:style>
  <w:style w:type="paragraph" w:styleId="Galvene">
    <w:name w:val="header"/>
    <w:basedOn w:val="Parasts"/>
    <w:link w:val="GalveneRakstz"/>
    <w:uiPriority w:val="99"/>
    <w:unhideWhenUsed/>
    <w:rsid w:val="00A831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3101"/>
  </w:style>
  <w:style w:type="paragraph" w:styleId="Kjene">
    <w:name w:val="footer"/>
    <w:basedOn w:val="Parasts"/>
    <w:link w:val="KjeneRakstz"/>
    <w:uiPriority w:val="99"/>
    <w:unhideWhenUsed/>
    <w:rsid w:val="00A831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3101"/>
  </w:style>
  <w:style w:type="paragraph" w:styleId="Balonteksts">
    <w:name w:val="Balloon Text"/>
    <w:basedOn w:val="Parasts"/>
    <w:link w:val="BalontekstsRakstz"/>
    <w:uiPriority w:val="99"/>
    <w:semiHidden/>
    <w:unhideWhenUsed/>
    <w:rsid w:val="002B53C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5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matteksts"/>
    <w:link w:val="Virsraksts2Rakstz"/>
    <w:qFormat/>
    <w:rsid w:val="001B2AFC"/>
    <w:pPr>
      <w:keepNext/>
      <w:numPr>
        <w:ilvl w:val="1"/>
        <w:numId w:val="1"/>
      </w:numPr>
      <w:suppressAutoHyphens/>
      <w:spacing w:after="0" w:line="240" w:lineRule="auto"/>
      <w:jc w:val="right"/>
      <w:outlineLvl w:val="1"/>
    </w:pPr>
    <w:rPr>
      <w:rFonts w:ascii="Times New Roman" w:eastAsia="Times New Roman" w:hAnsi="Times New Roman" w:cs="Times New Roman"/>
      <w:kern w:val="1"/>
      <w:sz w:val="28"/>
      <w:szCs w:val="24"/>
      <w:lang w:eastAsia="ar-SA"/>
    </w:rPr>
  </w:style>
  <w:style w:type="paragraph" w:styleId="Virsraksts3">
    <w:name w:val="heading 3"/>
    <w:basedOn w:val="Parasts"/>
    <w:next w:val="Pamatteksts"/>
    <w:link w:val="Virsraksts3Rakstz"/>
    <w:qFormat/>
    <w:rsid w:val="001B2AFC"/>
    <w:pPr>
      <w:keepNext/>
      <w:numPr>
        <w:ilvl w:val="2"/>
        <w:numId w:val="1"/>
      </w:numPr>
      <w:suppressAutoHyphens/>
      <w:spacing w:after="0" w:line="240" w:lineRule="auto"/>
      <w:outlineLvl w:val="2"/>
    </w:pPr>
    <w:rPr>
      <w:rFonts w:ascii="Times New Roman" w:eastAsia="Times New Roman" w:hAnsi="Times New Roman" w:cs="Times New Roman"/>
      <w:kern w:val="1"/>
      <w:sz w:val="28"/>
      <w:szCs w:val="24"/>
      <w:lang w:eastAsia="ar-SA"/>
    </w:rPr>
  </w:style>
  <w:style w:type="paragraph" w:styleId="Virsraksts4">
    <w:name w:val="heading 4"/>
    <w:basedOn w:val="Parasts"/>
    <w:next w:val="Pamatteksts"/>
    <w:link w:val="Virsraksts4Rakstz"/>
    <w:qFormat/>
    <w:rsid w:val="001B2AFC"/>
    <w:pPr>
      <w:keepNext/>
      <w:numPr>
        <w:ilvl w:val="3"/>
        <w:numId w:val="1"/>
      </w:numPr>
      <w:suppressAutoHyphens/>
      <w:spacing w:after="0" w:line="240" w:lineRule="auto"/>
      <w:jc w:val="center"/>
      <w:outlineLvl w:val="3"/>
    </w:pPr>
    <w:rPr>
      <w:rFonts w:ascii="Times New Roman" w:eastAsia="Times New Roman" w:hAnsi="Times New Roman" w:cs="Times New Roman"/>
      <w:kern w:val="1"/>
      <w:sz w:val="28"/>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B2AF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Virsraksts2Rakstz">
    <w:name w:val="Virsraksts 2 Rakstz."/>
    <w:basedOn w:val="Noklusjumarindkopasfonts"/>
    <w:link w:val="Virsraksts2"/>
    <w:rsid w:val="001B2AFC"/>
    <w:rPr>
      <w:rFonts w:ascii="Times New Roman" w:eastAsia="Times New Roman" w:hAnsi="Times New Roman" w:cs="Times New Roman"/>
      <w:kern w:val="1"/>
      <w:sz w:val="28"/>
      <w:szCs w:val="24"/>
      <w:lang w:eastAsia="ar-SA"/>
    </w:rPr>
  </w:style>
  <w:style w:type="character" w:customStyle="1" w:styleId="Virsraksts3Rakstz">
    <w:name w:val="Virsraksts 3 Rakstz."/>
    <w:basedOn w:val="Noklusjumarindkopasfonts"/>
    <w:link w:val="Virsraksts3"/>
    <w:rsid w:val="001B2AFC"/>
    <w:rPr>
      <w:rFonts w:ascii="Times New Roman" w:eastAsia="Times New Roman" w:hAnsi="Times New Roman" w:cs="Times New Roman"/>
      <w:kern w:val="1"/>
      <w:sz w:val="28"/>
      <w:szCs w:val="24"/>
      <w:lang w:eastAsia="ar-SA"/>
    </w:rPr>
  </w:style>
  <w:style w:type="character" w:customStyle="1" w:styleId="Virsraksts4Rakstz">
    <w:name w:val="Virsraksts 4 Rakstz."/>
    <w:basedOn w:val="Noklusjumarindkopasfonts"/>
    <w:link w:val="Virsraksts4"/>
    <w:rsid w:val="001B2AFC"/>
    <w:rPr>
      <w:rFonts w:ascii="Times New Roman" w:eastAsia="Times New Roman" w:hAnsi="Times New Roman" w:cs="Times New Roman"/>
      <w:kern w:val="1"/>
      <w:sz w:val="28"/>
      <w:szCs w:val="24"/>
      <w:lang w:eastAsia="ar-SA"/>
    </w:rPr>
  </w:style>
  <w:style w:type="paragraph" w:styleId="Pamatteksts">
    <w:name w:val="Body Text"/>
    <w:basedOn w:val="Parasts"/>
    <w:link w:val="PamattekstsRakstz"/>
    <w:uiPriority w:val="99"/>
    <w:semiHidden/>
    <w:unhideWhenUsed/>
    <w:rsid w:val="001B2AFC"/>
    <w:pPr>
      <w:spacing w:after="120"/>
    </w:pPr>
  </w:style>
  <w:style w:type="character" w:customStyle="1" w:styleId="PamattekstsRakstz">
    <w:name w:val="Pamatteksts Rakstz."/>
    <w:basedOn w:val="Noklusjumarindkopasfonts"/>
    <w:link w:val="Pamatteksts"/>
    <w:uiPriority w:val="99"/>
    <w:semiHidden/>
    <w:rsid w:val="001B2AFC"/>
  </w:style>
  <w:style w:type="character" w:styleId="Hipersaite">
    <w:name w:val="Hyperlink"/>
    <w:basedOn w:val="Noklusjumarindkopasfonts"/>
    <w:uiPriority w:val="99"/>
    <w:unhideWhenUsed/>
    <w:rsid w:val="00A83101"/>
    <w:rPr>
      <w:color w:val="0000FF" w:themeColor="hyperlink"/>
      <w:u w:val="single"/>
    </w:rPr>
  </w:style>
  <w:style w:type="paragraph" w:styleId="Bezatstarpm">
    <w:name w:val="No Spacing"/>
    <w:uiPriority w:val="1"/>
    <w:qFormat/>
    <w:rsid w:val="00A83101"/>
    <w:pPr>
      <w:spacing w:after="0" w:line="240" w:lineRule="auto"/>
    </w:pPr>
  </w:style>
  <w:style w:type="paragraph" w:styleId="Galvene">
    <w:name w:val="header"/>
    <w:basedOn w:val="Parasts"/>
    <w:link w:val="GalveneRakstz"/>
    <w:uiPriority w:val="99"/>
    <w:unhideWhenUsed/>
    <w:rsid w:val="00A831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3101"/>
  </w:style>
  <w:style w:type="paragraph" w:styleId="Kjene">
    <w:name w:val="footer"/>
    <w:basedOn w:val="Parasts"/>
    <w:link w:val="KjeneRakstz"/>
    <w:uiPriority w:val="99"/>
    <w:unhideWhenUsed/>
    <w:rsid w:val="00A831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3101"/>
  </w:style>
  <w:style w:type="paragraph" w:styleId="Balonteksts">
    <w:name w:val="Balloon Text"/>
    <w:basedOn w:val="Parasts"/>
    <w:link w:val="BalontekstsRakstz"/>
    <w:uiPriority w:val="99"/>
    <w:semiHidden/>
    <w:unhideWhenUsed/>
    <w:rsid w:val="002B53C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5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1420">
      <w:bodyDiv w:val="1"/>
      <w:marLeft w:val="0"/>
      <w:marRight w:val="0"/>
      <w:marTop w:val="0"/>
      <w:marBottom w:val="0"/>
      <w:divBdr>
        <w:top w:val="none" w:sz="0" w:space="0" w:color="auto"/>
        <w:left w:val="none" w:sz="0" w:space="0" w:color="auto"/>
        <w:bottom w:val="none" w:sz="0" w:space="0" w:color="auto"/>
        <w:right w:val="none" w:sz="0" w:space="0" w:color="auto"/>
      </w:divBdr>
      <w:divsChild>
        <w:div w:id="641889649">
          <w:marLeft w:val="0"/>
          <w:marRight w:val="0"/>
          <w:marTop w:val="0"/>
          <w:marBottom w:val="0"/>
          <w:divBdr>
            <w:top w:val="none" w:sz="0" w:space="0" w:color="auto"/>
            <w:left w:val="none" w:sz="0" w:space="0" w:color="auto"/>
            <w:bottom w:val="none" w:sz="0" w:space="0" w:color="auto"/>
            <w:right w:val="none" w:sz="0" w:space="0" w:color="auto"/>
          </w:divBdr>
          <w:divsChild>
            <w:div w:id="894466544">
              <w:marLeft w:val="0"/>
              <w:marRight w:val="0"/>
              <w:marTop w:val="0"/>
              <w:marBottom w:val="0"/>
              <w:divBdr>
                <w:top w:val="none" w:sz="0" w:space="0" w:color="auto"/>
                <w:left w:val="none" w:sz="0" w:space="0" w:color="auto"/>
                <w:bottom w:val="none" w:sz="0" w:space="0" w:color="auto"/>
                <w:right w:val="none" w:sz="0" w:space="0" w:color="auto"/>
              </w:divBdr>
              <w:divsChild>
                <w:div w:id="955059946">
                  <w:marLeft w:val="0"/>
                  <w:marRight w:val="0"/>
                  <w:marTop w:val="0"/>
                  <w:marBottom w:val="0"/>
                  <w:divBdr>
                    <w:top w:val="none" w:sz="0" w:space="0" w:color="auto"/>
                    <w:left w:val="none" w:sz="0" w:space="0" w:color="auto"/>
                    <w:bottom w:val="none" w:sz="0" w:space="0" w:color="auto"/>
                    <w:right w:val="none" w:sz="0" w:space="0" w:color="auto"/>
                  </w:divBdr>
                  <w:divsChild>
                    <w:div w:id="1983269658">
                      <w:marLeft w:val="0"/>
                      <w:marRight w:val="0"/>
                      <w:marTop w:val="0"/>
                      <w:marBottom w:val="0"/>
                      <w:divBdr>
                        <w:top w:val="none" w:sz="0" w:space="0" w:color="auto"/>
                        <w:left w:val="none" w:sz="0" w:space="0" w:color="auto"/>
                        <w:bottom w:val="none" w:sz="0" w:space="0" w:color="auto"/>
                        <w:right w:val="none" w:sz="0" w:space="0" w:color="auto"/>
                      </w:divBdr>
                      <w:divsChild>
                        <w:div w:id="436366612">
                          <w:marLeft w:val="0"/>
                          <w:marRight w:val="0"/>
                          <w:marTop w:val="0"/>
                          <w:marBottom w:val="0"/>
                          <w:divBdr>
                            <w:top w:val="none" w:sz="0" w:space="0" w:color="auto"/>
                            <w:left w:val="none" w:sz="0" w:space="0" w:color="auto"/>
                            <w:bottom w:val="none" w:sz="0" w:space="0" w:color="auto"/>
                            <w:right w:val="none" w:sz="0" w:space="0" w:color="auto"/>
                          </w:divBdr>
                          <w:divsChild>
                            <w:div w:id="1480615046">
                              <w:marLeft w:val="0"/>
                              <w:marRight w:val="0"/>
                              <w:marTop w:val="400"/>
                              <w:marBottom w:val="0"/>
                              <w:divBdr>
                                <w:top w:val="none" w:sz="0" w:space="0" w:color="auto"/>
                                <w:left w:val="none" w:sz="0" w:space="0" w:color="auto"/>
                                <w:bottom w:val="none" w:sz="0" w:space="0" w:color="auto"/>
                                <w:right w:val="none" w:sz="0" w:space="0" w:color="auto"/>
                              </w:divBdr>
                            </w:div>
                            <w:div w:id="2143569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3650</Words>
  <Characters>2082</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Ministru kabineta rīkojuma projekta "Par Papildu Protokola Eiropas Padomes Konvencijai par terorisma novēršanu 7. pantā dotā pienākuma izpildi" sākotnējās ietekmes novērtējuma ziņojums (anotācija)</vt:lpstr>
    </vt:vector>
  </TitlesOfParts>
  <Company>Tieslietu ministrija</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Papildu Protokola Eiropas Padomes Konvencijai par terorisma novēršanu 7. pantā dotā pienākuma izpildi" sākotnējās ietekmes novērtējuma ziņojums (anotācija)</dc:title>
  <dc:subject>Anotācija</dc:subject>
  <dc:creator>Sintija Dzalbe</dc:creator>
  <dc:description>Sintija.Dzalbe@tm.gov.lv, 67036938</dc:description>
  <cp:lastModifiedBy>Sintija Dzalbe</cp:lastModifiedBy>
  <cp:revision>2</cp:revision>
  <dcterms:created xsi:type="dcterms:W3CDTF">2017-02-06T14:45:00Z</dcterms:created>
  <dcterms:modified xsi:type="dcterms:W3CDTF">2017-02-06T14:45:00Z</dcterms:modified>
</cp:coreProperties>
</file>