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7D" w:rsidRPr="00BC4080" w:rsidRDefault="0035147D" w:rsidP="0035147D">
      <w:pPr>
        <w:spacing w:before="100" w:after="100" w:line="240" w:lineRule="auto"/>
        <w:jc w:val="center"/>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Additional Protocol to the Council of Europe Convention on the Prevention of Terrorism</w:t>
      </w:r>
    </w:p>
    <w:p w:rsidR="0035147D" w:rsidRPr="00BC4080" w:rsidRDefault="0035147D" w:rsidP="0035147D">
      <w:pPr>
        <w:spacing w:before="100" w:after="100" w:line="240" w:lineRule="auto"/>
        <w:rPr>
          <w:rFonts w:ascii="Times New Roman" w:eastAsia="Times New Roman" w:hAnsi="Times New Roman" w:cs="Times New Roman"/>
          <w:sz w:val="28"/>
          <w:szCs w:val="28"/>
          <w:lang w:val="en-GB"/>
        </w:rPr>
      </w:pPr>
      <w:r w:rsidRPr="00BC4080">
        <w:rPr>
          <w:rFonts w:ascii="Times New Roman" w:eastAsia="Times New Roman" w:hAnsi="Times New Roman" w:cs="Times New Roman"/>
          <w:color w:val="333333"/>
          <w:sz w:val="28"/>
          <w:szCs w:val="28"/>
          <w:lang w:val="en-GB"/>
        </w:rPr>
        <w:t>Riga, 22.X.2015</w:t>
      </w:r>
      <w:r w:rsidRPr="00BC4080">
        <w:rPr>
          <w:rFonts w:ascii="Times New Roman" w:eastAsia="Times New Roman" w:hAnsi="Times New Roman" w:cs="Times New Roman"/>
          <w:sz w:val="28"/>
          <w:szCs w:val="28"/>
          <w:lang w:val="en-GB"/>
        </w:rPr>
        <w:t xml:space="preserve"> </w:t>
      </w:r>
    </w:p>
    <w:p w:rsidR="0035147D" w:rsidRPr="00BC4080" w:rsidRDefault="00061AE1" w:rsidP="0073294C">
      <w:pPr>
        <w:spacing w:after="0"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pict>
          <v:rect id="_x0000_i1025" style="width:453.55pt;height:1.5pt" o:hralign="center" o:hrstd="t" o:hr="t" fillcolor="#a0a0a0" stroked="f"/>
        </w:pict>
      </w: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The member States of the Council of Europe and the other Parties to the Council of Europe Convention on the Prevention of Terrorism (CETS No. 196), signatory to this Protocol, </w:t>
      </w:r>
      <w:bookmarkStart w:id="0" w:name="_GoBack"/>
      <w:bookmarkEnd w:id="0"/>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Considering that the aim of the Council of Europe is to achieve greater unity between its members;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Desiring to further strengthen the efforts to prevent and suppress terrorism in all its forms, both in Europe and globally, while respecting human rights and the rule of law;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Recalling human rights and fundamental freedoms enshrined, in particular, in the Convention for the Protection of Human Rights and Fundamental Freedoms (ETS No. 5) and its protocols, as well as in the International Covenant on Civil and Political Rights;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Expressing their grave concern about the threat posed by persons travelling abroad for the purpose of committing, contributing to or participating in terrorist offences, or the providing or receiving of training for terrorism in the territory of another State;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Having regard in this respect to Resolution 2178 (2014) adopted by the Security Council of the United Nations at its 7272nd meeting on 24 September 2014, in particular paragraphs 4 to 6 thereof;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Considering it desirable to supplement the Council of Europe Convention on the Prevention of Terrorism in certain respects, </w:t>
      </w:r>
    </w:p>
    <w:p w:rsidR="0073294C" w:rsidRPr="00BC4080" w:rsidRDefault="0073294C" w:rsidP="00BC4080">
      <w:pPr>
        <w:spacing w:after="0" w:line="240" w:lineRule="auto"/>
        <w:jc w:val="both"/>
        <w:rPr>
          <w:rFonts w:ascii="Times New Roman" w:eastAsia="Times New Roman" w:hAnsi="Times New Roman" w:cs="Times New Roman"/>
          <w:sz w:val="28"/>
          <w:szCs w:val="28"/>
          <w:lang w:val="en-GB"/>
        </w:rPr>
      </w:pPr>
    </w:p>
    <w:p w:rsidR="0035147D" w:rsidRPr="00BC4080" w:rsidRDefault="0035147D" w:rsidP="00BC4080">
      <w:pPr>
        <w:spacing w:after="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Have agreed as follows: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1 – Purpose</w:t>
      </w:r>
      <w:r w:rsidRPr="00BC4080">
        <w:rPr>
          <w:rFonts w:ascii="Times New Roman" w:eastAsia="Times New Roman" w:hAnsi="Times New Roman" w:cs="Times New Roman"/>
          <w:sz w:val="28"/>
          <w:szCs w:val="28"/>
          <w:lang w:val="en-GB"/>
        </w:rPr>
        <w:t xml:space="preserve"> </w:t>
      </w: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The purpose of this Protocol is to supplement the provisions of the Council of Europe Convention on the Prevention of Terrorism, opened for signature in Warsaw on 16 May 2005 (hereinafter referred to as “the Convention”) as regards the criminalisation of the acts described in Articles 2 to 6 of this Protocol, thereby enhancing the efforts of Parties in preventing terrorism and its negative effects on the full enjoyment of human rights, in particular the right to life, both by measures to be taken at national level and through international co-</w:t>
      </w:r>
      <w:r w:rsidRPr="00BC4080">
        <w:rPr>
          <w:rFonts w:ascii="Times New Roman" w:eastAsia="Times New Roman" w:hAnsi="Times New Roman" w:cs="Times New Roman"/>
          <w:sz w:val="28"/>
          <w:szCs w:val="28"/>
          <w:lang w:val="en-GB"/>
        </w:rPr>
        <w:lastRenderedPageBreak/>
        <w:t xml:space="preserve">operation, with due regard to the existing applicable multilateral or bilateral treaties or agreements between the Parties.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2 – Participating in an association or group for the purpose of terrorism</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1"/>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For the purpose of this Protocol, “participating in an association or group for the purpose of terrorism” means to participate in the activities of an association or group for the purpose of committing or contributing to the commission of one or more terrorist offences by the association or the group. </w:t>
      </w:r>
    </w:p>
    <w:p w:rsidR="0035147D" w:rsidRPr="00BC4080" w:rsidRDefault="0035147D" w:rsidP="0035147D">
      <w:pPr>
        <w:pStyle w:val="Sarakstarindkopa"/>
        <w:numPr>
          <w:ilvl w:val="0"/>
          <w:numId w:val="1"/>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Each Party shall adopt such measures as may be necessary to establish “participating in an association or group for the purpose of terrorism”, as defined in paragraph 1, when committed unlawfully and intentionally, as a criminal offence under its domestic law.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3 – Receiving training for terrorism</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2"/>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For the purpose of this Protocol, “receiving training for terrorism” means to receive instruction, including obtaining knowledge or practical skills, from another person in the making or use of explosives, firearms or other weapons or noxious or hazardous substances, or in other specific methods or techniques, for the purpose of carrying out or contributing to the commission of a terrorist offence. </w:t>
      </w:r>
    </w:p>
    <w:p w:rsidR="0035147D" w:rsidRPr="00BC4080" w:rsidRDefault="0035147D" w:rsidP="0035147D">
      <w:pPr>
        <w:pStyle w:val="Sarakstarindkopa"/>
        <w:numPr>
          <w:ilvl w:val="0"/>
          <w:numId w:val="2"/>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Each Party shall adopt such measures as may be necessary to establish “receiving training for terrorism”, as defined in paragraph 1, when committed unlawfully and intentionally, as a criminal offence under its domestic law.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4 – Travelling abroad for the purpose of terrorism</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3"/>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For the purpose of this Protocol, “travelling abroad for the purpose of terrorism” means travelling to a State, which is not that of the traveller’s nationality or residence, for the purpose of the commission of, contribution to or participation in a terrorist offence, or the providing or receiving of training for terrorism. </w:t>
      </w:r>
    </w:p>
    <w:p w:rsidR="0035147D" w:rsidRPr="00BC4080" w:rsidRDefault="0035147D" w:rsidP="0035147D">
      <w:pPr>
        <w:pStyle w:val="Sarakstarindkopa"/>
        <w:numPr>
          <w:ilvl w:val="0"/>
          <w:numId w:val="3"/>
        </w:numPr>
        <w:spacing w:before="100" w:after="100" w:line="240" w:lineRule="auto"/>
        <w:ind w:left="284" w:hanging="284"/>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Each Party shall adopt such measures as may be necessary to establish “travelling abroad for the purpose of terrorism”, as defined in paragraph 1, from its territory or by its nationals, when committed unlawfully and intentionally, as a criminal offence under its domestic law. In doing so, each Party may establish conditions required by and in line with its constitutional principles. </w:t>
      </w:r>
    </w:p>
    <w:p w:rsidR="0035147D" w:rsidRPr="00BC4080" w:rsidRDefault="0035147D" w:rsidP="00BC4080">
      <w:pPr>
        <w:pStyle w:val="Sarakstarindkopa"/>
        <w:numPr>
          <w:ilvl w:val="0"/>
          <w:numId w:val="3"/>
        </w:numPr>
        <w:spacing w:before="100" w:after="100" w:line="240" w:lineRule="auto"/>
        <w:ind w:left="284" w:hanging="284"/>
        <w:jc w:val="both"/>
        <w:rPr>
          <w:rFonts w:ascii="Times New Roman" w:eastAsia="Times New Roman" w:hAnsi="Times New Roman" w:cs="Times New Roman"/>
          <w:b/>
          <w:bCs/>
          <w:sz w:val="28"/>
          <w:szCs w:val="28"/>
          <w:lang w:val="en-GB"/>
        </w:rPr>
      </w:pPr>
      <w:r w:rsidRPr="00BC4080">
        <w:rPr>
          <w:rFonts w:ascii="Times New Roman" w:eastAsia="Times New Roman" w:hAnsi="Times New Roman" w:cs="Times New Roman"/>
          <w:sz w:val="28"/>
          <w:szCs w:val="28"/>
          <w:lang w:val="en-GB"/>
        </w:rPr>
        <w:t xml:space="preserve">Each Party shall also adopt such measures as may be necessary to establish as a criminal offence under, and in accordance with, its domestic law the attempt to commit an offence as set forth in this article. </w:t>
      </w:r>
    </w:p>
    <w:p w:rsidR="00A1438F" w:rsidRPr="00BC4080" w:rsidRDefault="00A1438F"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lastRenderedPageBreak/>
        <w:t>Article 5 – Funding travelling abroad for the purpose of terrorism</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4"/>
        </w:num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For the purpose of this Protocol, “funding travelling abroad for the purpose of terrorism” means providing or collecting, by any means, directly or indirectly, funds fully or partially enabling any person to travel abroad for the purpose of terrorism, as defined in Article 4, paragraph 1, of this Protocol, knowing that the funds are fully or partially intended to be used for this purpose. </w:t>
      </w:r>
    </w:p>
    <w:p w:rsidR="0035147D" w:rsidRPr="00BC4080" w:rsidRDefault="0035147D" w:rsidP="0035147D">
      <w:pPr>
        <w:pStyle w:val="Sarakstarindkopa"/>
        <w:numPr>
          <w:ilvl w:val="0"/>
          <w:numId w:val="4"/>
        </w:num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Each Party shall adopt such measures as may be necessary to establish the “funding of travelling abroad for the purpose of terrorism”, as defined in paragraph 1, when committed unlawfully and intentionally, as a criminal offence under its domestic law. </w:t>
      </w:r>
    </w:p>
    <w:p w:rsidR="0073294C" w:rsidRPr="00BC4080" w:rsidRDefault="0073294C" w:rsidP="0035147D">
      <w:pPr>
        <w:spacing w:before="100" w:after="100" w:line="240" w:lineRule="auto"/>
        <w:ind w:left="360" w:hanging="360"/>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ind w:left="360" w:hanging="360"/>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6 –Organising or otherwise facilitating travelling abroad for the purpose of terrorism</w:t>
      </w:r>
      <w:r w:rsidRPr="00BC4080">
        <w:rPr>
          <w:rFonts w:ascii="Times New Roman" w:eastAsia="Times New Roman" w:hAnsi="Times New Roman" w:cs="Times New Roman"/>
          <w:sz w:val="28"/>
          <w:szCs w:val="28"/>
          <w:lang w:val="en-GB"/>
        </w:rPr>
        <w:t xml:space="preserve"> </w:t>
      </w:r>
    </w:p>
    <w:p w:rsidR="0035147D" w:rsidRPr="00BC4080" w:rsidRDefault="0035147D" w:rsidP="0035147D">
      <w:pPr>
        <w:spacing w:before="100" w:after="100" w:line="240" w:lineRule="auto"/>
        <w:ind w:left="360" w:hanging="360"/>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1.  For the purpose of this Protocol, “organising or otherwise facilitating travelling abroad for the purpose of terrorism” means any act of organisation or facilitation that assists any person in travelling abroad for the purpose of terrorism, as defined in Article 4, paragraph 1, of this Protocol, knowing that the assistance thus rendered is for the purpose of terrorism. </w:t>
      </w:r>
    </w:p>
    <w:p w:rsidR="0035147D" w:rsidRPr="00BC4080" w:rsidRDefault="0035147D" w:rsidP="0035147D">
      <w:pPr>
        <w:spacing w:before="100" w:after="100" w:line="240" w:lineRule="auto"/>
        <w:ind w:left="360" w:hanging="360"/>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2. Each Party shall adopt such measures as may be necessary to establish “organising or otherwise facilitating travelling abroad for the purpose of terrorism”, as defined in paragraph 1, when committed unlawfully and intentionally, as a criminal offence under its domestic law. </w:t>
      </w:r>
    </w:p>
    <w:p w:rsidR="0035147D" w:rsidRPr="00BC4080" w:rsidRDefault="0035147D" w:rsidP="0035147D">
      <w:pPr>
        <w:spacing w:before="100" w:after="100" w:line="240" w:lineRule="auto"/>
        <w:ind w:left="284" w:hanging="284"/>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7 – Exchange of information</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5"/>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Without prejudice to Article 3, paragraph 2, sub-paragraph a, of the Convention and in accordance with its domestic law and existing international obligations, each Party shall take such measures as may be necessary in order to strengthen the timely exchange between Parties of any available relevant information concerning persons travelling abroad for the purpose of terrorism, as defined in Article 4. For that purpose, each Party shall designate a point of contact available on a 24-hour, seven-days-a-week basis. </w:t>
      </w:r>
    </w:p>
    <w:p w:rsidR="0035147D" w:rsidRPr="00BC4080" w:rsidRDefault="0035147D" w:rsidP="0035147D">
      <w:pPr>
        <w:pStyle w:val="Sarakstarindkopa"/>
        <w:numPr>
          <w:ilvl w:val="0"/>
          <w:numId w:val="5"/>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 Party may choose to designate an already existing point of contact under paragraph 1. </w:t>
      </w:r>
    </w:p>
    <w:p w:rsidR="0035147D" w:rsidRPr="00BC4080" w:rsidRDefault="0035147D" w:rsidP="0035147D">
      <w:pPr>
        <w:pStyle w:val="Sarakstarindkopa"/>
        <w:numPr>
          <w:ilvl w:val="0"/>
          <w:numId w:val="5"/>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 Party’s point of contact shall have the capacity to carry out communications with the point of contact of another Party on an expedited basis.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8 – Conditions and safeguards</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6"/>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lastRenderedPageBreak/>
        <w:t xml:space="preserve">Each Party shall ensure that the implementation of this Protocol, including the establishment, implementation and application of the criminalisation under Articles 2 to 6, is carried out while respecting human rights obligations, in particular the right to freedom of movement,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 </w:t>
      </w:r>
    </w:p>
    <w:p w:rsidR="0035147D" w:rsidRPr="00BC4080" w:rsidRDefault="0035147D" w:rsidP="0035147D">
      <w:pPr>
        <w:pStyle w:val="Sarakstarindkopa"/>
        <w:numPr>
          <w:ilvl w:val="0"/>
          <w:numId w:val="6"/>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The establishment, implementation and application of the criminalisation under Articles 2 to 6 of this Protocol should furthermore be subject to the principle of proportionality, with respect to the legitimate aims pursued and to their necessity in a democratic society, and should exclude any form of arbitrariness or discriminatory or racist treatment.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 xml:space="preserve">Article 9 – Relation between this Protocol and the Convention </w:t>
      </w:r>
    </w:p>
    <w:p w:rsidR="0035147D" w:rsidRPr="00BC4080" w:rsidRDefault="0035147D" w:rsidP="0035147D">
      <w:pPr>
        <w:spacing w:before="100" w:after="100" w:line="240" w:lineRule="auto"/>
        <w:ind w:left="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The words and expressions used in this Protocol shall be interpreted within the meaning of the Convention. As between the Parties, all the provisions of the Convention shall apply accordingly, with the exception of Article 9.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10 – Signature and entry into force</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7"/>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This Protocol shall be open for signature by Signatories to the Convention. It shall be subject to ratification, acceptance or approval. A Signatory may not ratify, accept or approve this Protocol unless it has previously ratified, accepted or approved the Convention, or does so simultaneously. Instruments of ratification, acceptance or approval shall be deposited with the Secretary General of the Council of Europe. </w:t>
      </w:r>
    </w:p>
    <w:p w:rsidR="0035147D" w:rsidRPr="00BC4080" w:rsidRDefault="0035147D" w:rsidP="0035147D">
      <w:pPr>
        <w:pStyle w:val="Sarakstarindkopa"/>
        <w:numPr>
          <w:ilvl w:val="0"/>
          <w:numId w:val="7"/>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This Protocol shall enter into force on the first day of the month following the expiration of a period of three months after the deposit of the sixth instrument of ratification, acceptance or approval, including at least four member States of the Council of Europe. </w:t>
      </w:r>
    </w:p>
    <w:p w:rsidR="0035147D" w:rsidRPr="00BC4080" w:rsidRDefault="0035147D" w:rsidP="0035147D">
      <w:pPr>
        <w:pStyle w:val="Sarakstarindkopa"/>
        <w:numPr>
          <w:ilvl w:val="0"/>
          <w:numId w:val="7"/>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In respect of any Signatory which subsequently deposits its instrument of ratification, acceptance or approval, this Protocol shall enter into force on the first day of the month following the expiration of a period of three months after the date of the deposit of the instrument of ratification, acceptance or approval.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11 – Accession to the Protocol</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8"/>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After the entry into force of this Protocol, any State, which has acceded to the Convention, may also accede to this Protocol or do so simultaneously. </w:t>
      </w:r>
    </w:p>
    <w:p w:rsidR="0035147D" w:rsidRPr="00BC4080" w:rsidRDefault="0035147D" w:rsidP="0035147D">
      <w:pPr>
        <w:pStyle w:val="Sarakstarindkopa"/>
        <w:numPr>
          <w:ilvl w:val="0"/>
          <w:numId w:val="8"/>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In respect of any State acceding to the Protocol under paragraph 1 above, the Protocol shall enter into force on the first day of the month following the </w:t>
      </w:r>
      <w:r w:rsidRPr="00BC4080">
        <w:rPr>
          <w:rFonts w:ascii="Times New Roman" w:eastAsia="Times New Roman" w:hAnsi="Times New Roman" w:cs="Times New Roman"/>
          <w:sz w:val="28"/>
          <w:szCs w:val="28"/>
          <w:lang w:val="en-GB"/>
        </w:rPr>
        <w:lastRenderedPageBreak/>
        <w:t xml:space="preserve">expiration of a period of three months after the date of the deposit of the instrument of accession with the Secretary General of the Council of Europe.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12 – Territorial application</w:t>
      </w:r>
      <w:r w:rsidRPr="00BC4080">
        <w:rPr>
          <w:rFonts w:ascii="Times New Roman" w:eastAsia="Times New Roman" w:hAnsi="Times New Roman" w:cs="Times New Roman"/>
          <w:sz w:val="28"/>
          <w:szCs w:val="28"/>
          <w:lang w:val="en-GB"/>
        </w:rPr>
        <w:t xml:space="preserve"> </w:t>
      </w:r>
    </w:p>
    <w:p w:rsidR="0035147D" w:rsidRPr="00BC4080" w:rsidRDefault="0035147D" w:rsidP="0035147D">
      <w:pPr>
        <w:pStyle w:val="Sarakstarindkopa"/>
        <w:numPr>
          <w:ilvl w:val="0"/>
          <w:numId w:val="9"/>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Any State or the European Union may, at the time of signature or when depositing its instrument of ratification, acceptance, approval or accession, specify the territory or territories to which this Protocol shall apply. </w:t>
      </w:r>
    </w:p>
    <w:p w:rsidR="0035147D" w:rsidRPr="00BC4080" w:rsidRDefault="0035147D" w:rsidP="0035147D">
      <w:pPr>
        <w:pStyle w:val="Sarakstarindkopa"/>
        <w:numPr>
          <w:ilvl w:val="0"/>
          <w:numId w:val="9"/>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Any Party may, at any later time, by declaration addressed to the Secretary General of the Council of Europe, extend the application of this Protocol to any other territory specified in the declaration. In respect of such territory the Protocol shall enter into force on the first day of the month following the expiration of a period of three months after the date of receipt of the declaration by the Secretary General. </w:t>
      </w:r>
    </w:p>
    <w:p w:rsidR="0035147D" w:rsidRPr="00BC4080" w:rsidRDefault="0035147D" w:rsidP="0035147D">
      <w:pPr>
        <w:pStyle w:val="Sarakstarindkopa"/>
        <w:numPr>
          <w:ilvl w:val="0"/>
          <w:numId w:val="9"/>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 xml:space="preserve">Article 13 – Denunciation </w:t>
      </w:r>
    </w:p>
    <w:p w:rsidR="0035147D" w:rsidRPr="00BC4080" w:rsidRDefault="0035147D" w:rsidP="0035147D">
      <w:pPr>
        <w:pStyle w:val="Sarakstarindkopa"/>
        <w:numPr>
          <w:ilvl w:val="0"/>
          <w:numId w:val="10"/>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Any Party may, at any time, denounce this Protocol by means of a notification addressed to the Secretary General of the Council of Europe. </w:t>
      </w:r>
    </w:p>
    <w:p w:rsidR="0035147D" w:rsidRPr="00BC4080" w:rsidRDefault="0035147D" w:rsidP="0035147D">
      <w:pPr>
        <w:pStyle w:val="Sarakstarindkopa"/>
        <w:numPr>
          <w:ilvl w:val="0"/>
          <w:numId w:val="10"/>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Such denunciation shall become effective on the first day of the month following the expiration of a period of three months after the date of receipt of the notification by the Secretary General of the Council of Europe. </w:t>
      </w:r>
    </w:p>
    <w:p w:rsidR="0035147D" w:rsidRPr="00BC4080" w:rsidRDefault="0035147D" w:rsidP="0035147D">
      <w:pPr>
        <w:pStyle w:val="Sarakstarindkopa"/>
        <w:numPr>
          <w:ilvl w:val="0"/>
          <w:numId w:val="10"/>
        </w:numPr>
        <w:spacing w:before="100" w:after="100" w:line="240" w:lineRule="auto"/>
        <w:ind w:left="426" w:hanging="426"/>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Denunciation of the Convention automatically entails denunciation of this Protocol. </w:t>
      </w:r>
    </w:p>
    <w:p w:rsidR="0035147D" w:rsidRPr="00BC4080" w:rsidRDefault="0035147D" w:rsidP="0035147D">
      <w:pPr>
        <w:spacing w:before="100" w:after="100" w:line="240" w:lineRule="auto"/>
        <w:jc w:val="both"/>
        <w:rPr>
          <w:rFonts w:ascii="Times New Roman" w:eastAsia="Times New Roman" w:hAnsi="Times New Roman" w:cs="Times New Roman"/>
          <w:b/>
          <w:bCs/>
          <w:sz w:val="28"/>
          <w:szCs w:val="28"/>
          <w:lang w:val="en-GB"/>
        </w:rPr>
      </w:pP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b/>
          <w:bCs/>
          <w:sz w:val="28"/>
          <w:szCs w:val="28"/>
          <w:lang w:val="en-GB"/>
        </w:rPr>
        <w:t>Article 14 – Notifications</w:t>
      </w:r>
      <w:r w:rsidRPr="00BC4080">
        <w:rPr>
          <w:rFonts w:ascii="Times New Roman" w:eastAsia="Times New Roman" w:hAnsi="Times New Roman" w:cs="Times New Roman"/>
          <w:sz w:val="28"/>
          <w:szCs w:val="28"/>
          <w:lang w:val="en-GB"/>
        </w:rPr>
        <w:t xml:space="preserve"> </w:t>
      </w: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r w:rsidRPr="00BC4080">
        <w:rPr>
          <w:rFonts w:ascii="Times New Roman" w:eastAsia="Times New Roman" w:hAnsi="Times New Roman" w:cs="Times New Roman"/>
          <w:sz w:val="28"/>
          <w:szCs w:val="28"/>
          <w:lang w:val="en-GB"/>
        </w:rPr>
        <w:t xml:space="preserve">The Secretary General of the Council of Europe shall notify the member States of the Council of Europe, the European Union, the non-member States which have participated in the elaboration of this Protocol as well as any State which has acceded to, or has been invited to accede to, this Protocol of: </w:t>
      </w:r>
    </w:p>
    <w:p w:rsidR="00A1438F" w:rsidRPr="00BC4080" w:rsidRDefault="00A1438F" w:rsidP="00BC4080">
      <w:pPr>
        <w:spacing w:before="100" w:after="100" w:line="240" w:lineRule="auto"/>
        <w:jc w:val="both"/>
        <w:rPr>
          <w:rFonts w:ascii="Times New Roman" w:eastAsia="Times New Roman" w:hAnsi="Times New Roman" w:cs="Times New Roman"/>
          <w:sz w:val="28"/>
          <w:szCs w:val="28"/>
          <w:lang w:val="en-GB"/>
        </w:rPr>
      </w:pP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proofErr w:type="spellStart"/>
      <w:proofErr w:type="gramStart"/>
      <w:r w:rsidRPr="00BC4080">
        <w:rPr>
          <w:rFonts w:ascii="Times New Roman" w:eastAsia="Times New Roman" w:hAnsi="Times New Roman" w:cs="Times New Roman"/>
          <w:sz w:val="28"/>
          <w:szCs w:val="28"/>
          <w:lang w:val="en-GB"/>
        </w:rPr>
        <w:t>aany</w:t>
      </w:r>
      <w:proofErr w:type="spellEnd"/>
      <w:proofErr w:type="gramEnd"/>
      <w:r w:rsidRPr="00BC4080">
        <w:rPr>
          <w:rFonts w:ascii="Times New Roman" w:eastAsia="Times New Roman" w:hAnsi="Times New Roman" w:cs="Times New Roman"/>
          <w:sz w:val="28"/>
          <w:szCs w:val="28"/>
          <w:lang w:val="en-GB"/>
        </w:rPr>
        <w:t xml:space="preserve"> signature; </w:t>
      </w: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proofErr w:type="spellStart"/>
      <w:proofErr w:type="gramStart"/>
      <w:r w:rsidRPr="00BC4080">
        <w:rPr>
          <w:rFonts w:ascii="Times New Roman" w:eastAsia="Times New Roman" w:hAnsi="Times New Roman" w:cs="Times New Roman"/>
          <w:sz w:val="28"/>
          <w:szCs w:val="28"/>
          <w:lang w:val="en-GB"/>
        </w:rPr>
        <w:t>bthe</w:t>
      </w:r>
      <w:proofErr w:type="spellEnd"/>
      <w:proofErr w:type="gramEnd"/>
      <w:r w:rsidRPr="00BC4080">
        <w:rPr>
          <w:rFonts w:ascii="Times New Roman" w:eastAsia="Times New Roman" w:hAnsi="Times New Roman" w:cs="Times New Roman"/>
          <w:sz w:val="28"/>
          <w:szCs w:val="28"/>
          <w:lang w:val="en-GB"/>
        </w:rPr>
        <w:t xml:space="preserve"> deposit of any instrument of ratification, acceptance, approval or accession; </w:t>
      </w: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proofErr w:type="spellStart"/>
      <w:proofErr w:type="gramStart"/>
      <w:r w:rsidRPr="00BC4080">
        <w:rPr>
          <w:rFonts w:ascii="Times New Roman" w:eastAsia="Times New Roman" w:hAnsi="Times New Roman" w:cs="Times New Roman"/>
          <w:sz w:val="28"/>
          <w:szCs w:val="28"/>
          <w:lang w:val="en-GB"/>
        </w:rPr>
        <w:t>cany</w:t>
      </w:r>
      <w:proofErr w:type="spellEnd"/>
      <w:proofErr w:type="gramEnd"/>
      <w:r w:rsidRPr="00BC4080">
        <w:rPr>
          <w:rFonts w:ascii="Times New Roman" w:eastAsia="Times New Roman" w:hAnsi="Times New Roman" w:cs="Times New Roman"/>
          <w:sz w:val="28"/>
          <w:szCs w:val="28"/>
          <w:lang w:val="en-GB"/>
        </w:rPr>
        <w:t xml:space="preserve"> date of entry into force of this Protocol in accordance with Articles 10 and 11; </w:t>
      </w:r>
    </w:p>
    <w:p w:rsidR="0035147D" w:rsidRPr="00BC4080" w:rsidRDefault="0035147D" w:rsidP="00BC4080">
      <w:pPr>
        <w:spacing w:before="100" w:after="100" w:line="240" w:lineRule="auto"/>
        <w:jc w:val="both"/>
        <w:rPr>
          <w:rFonts w:ascii="Times New Roman" w:eastAsia="Times New Roman" w:hAnsi="Times New Roman" w:cs="Times New Roman"/>
          <w:sz w:val="28"/>
          <w:szCs w:val="28"/>
          <w:lang w:val="en-GB"/>
        </w:rPr>
      </w:pPr>
      <w:proofErr w:type="spellStart"/>
      <w:proofErr w:type="gramStart"/>
      <w:r w:rsidRPr="00BC4080">
        <w:rPr>
          <w:rFonts w:ascii="Times New Roman" w:eastAsia="Times New Roman" w:hAnsi="Times New Roman" w:cs="Times New Roman"/>
          <w:sz w:val="28"/>
          <w:szCs w:val="28"/>
          <w:lang w:val="en-GB"/>
        </w:rPr>
        <w:lastRenderedPageBreak/>
        <w:t>dany</w:t>
      </w:r>
      <w:proofErr w:type="spellEnd"/>
      <w:proofErr w:type="gramEnd"/>
      <w:r w:rsidRPr="00BC4080">
        <w:rPr>
          <w:rFonts w:ascii="Times New Roman" w:eastAsia="Times New Roman" w:hAnsi="Times New Roman" w:cs="Times New Roman"/>
          <w:sz w:val="28"/>
          <w:szCs w:val="28"/>
          <w:lang w:val="en-GB"/>
        </w:rPr>
        <w:t xml:space="preserve"> other act, declaration, notification or communication relating to this Protocol. </w:t>
      </w: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proofErr w:type="gramStart"/>
      <w:r w:rsidRPr="00BC4080">
        <w:rPr>
          <w:rFonts w:ascii="Times New Roman" w:eastAsia="Times New Roman" w:hAnsi="Times New Roman" w:cs="Times New Roman"/>
          <w:sz w:val="28"/>
          <w:szCs w:val="28"/>
          <w:lang w:val="en-GB"/>
        </w:rPr>
        <w:t>In witness whereof the undersigned, being duly authorised thereto, have signed this Protocol.</w:t>
      </w:r>
      <w:proofErr w:type="gramEnd"/>
      <w:r w:rsidRPr="00BC4080">
        <w:rPr>
          <w:rFonts w:ascii="Times New Roman" w:eastAsia="Times New Roman" w:hAnsi="Times New Roman" w:cs="Times New Roman"/>
          <w:sz w:val="28"/>
          <w:szCs w:val="28"/>
          <w:lang w:val="en-GB"/>
        </w:rPr>
        <w:t xml:space="preserve"> </w:t>
      </w:r>
    </w:p>
    <w:p w:rsidR="0035147D" w:rsidRPr="00BC4080" w:rsidRDefault="0035147D" w:rsidP="0035147D">
      <w:pPr>
        <w:spacing w:before="100" w:after="100" w:line="240" w:lineRule="auto"/>
        <w:jc w:val="both"/>
        <w:rPr>
          <w:rFonts w:ascii="Times New Roman" w:eastAsia="Times New Roman" w:hAnsi="Times New Roman" w:cs="Times New Roman"/>
          <w:sz w:val="28"/>
          <w:szCs w:val="28"/>
          <w:lang w:val="en-GB"/>
        </w:rPr>
      </w:pPr>
      <w:proofErr w:type="gramStart"/>
      <w:r w:rsidRPr="00BC4080">
        <w:rPr>
          <w:rFonts w:ascii="Times New Roman" w:eastAsia="Times New Roman" w:hAnsi="Times New Roman" w:cs="Times New Roman"/>
          <w:sz w:val="28"/>
          <w:szCs w:val="28"/>
          <w:lang w:val="en-GB"/>
        </w:rPr>
        <w:t>Done at Riga, this 22nd day of October 2015, in English and in French, both texts being equally authentic, in a single copy which shall be deposited in the archives of the Council of Europe.</w:t>
      </w:r>
      <w:proofErr w:type="gramEnd"/>
      <w:r w:rsidRPr="00BC4080">
        <w:rPr>
          <w:rFonts w:ascii="Times New Roman" w:eastAsia="Times New Roman" w:hAnsi="Times New Roman" w:cs="Times New Roman"/>
          <w:sz w:val="28"/>
          <w:szCs w:val="28"/>
          <w:lang w:val="en-GB"/>
        </w:rPr>
        <w:t xml:space="preserve"> The Secretary General of the Council of Europe shall transmit certified copies to each </w:t>
      </w:r>
      <w:proofErr w:type="gramStart"/>
      <w:r w:rsidRPr="00BC4080">
        <w:rPr>
          <w:rFonts w:ascii="Times New Roman" w:eastAsia="Times New Roman" w:hAnsi="Times New Roman" w:cs="Times New Roman"/>
          <w:sz w:val="28"/>
          <w:szCs w:val="28"/>
          <w:lang w:val="en-GB"/>
        </w:rPr>
        <w:t>member</w:t>
      </w:r>
      <w:proofErr w:type="gramEnd"/>
      <w:r w:rsidRPr="00BC4080">
        <w:rPr>
          <w:rFonts w:ascii="Times New Roman" w:eastAsia="Times New Roman" w:hAnsi="Times New Roman" w:cs="Times New Roman"/>
          <w:sz w:val="28"/>
          <w:szCs w:val="28"/>
          <w:lang w:val="en-GB"/>
        </w:rPr>
        <w:t xml:space="preserve"> State of the Council of Europe, to the European Union, to the non-member States which have participated in the elaboration of this Protocol, and to any State invited to accede to it. </w:t>
      </w:r>
    </w:p>
    <w:p w:rsidR="0073294C" w:rsidRPr="00BC4080" w:rsidRDefault="0073294C" w:rsidP="0035147D">
      <w:pPr>
        <w:spacing w:before="100" w:after="100" w:line="240" w:lineRule="auto"/>
        <w:jc w:val="both"/>
        <w:rPr>
          <w:rFonts w:ascii="Times New Roman" w:eastAsia="Times New Roman" w:hAnsi="Times New Roman" w:cs="Times New Roman"/>
          <w:sz w:val="28"/>
          <w:szCs w:val="28"/>
          <w:lang w:val="en-GB"/>
        </w:rPr>
      </w:pPr>
    </w:p>
    <w:p w:rsidR="0073294C" w:rsidRPr="00BC4080" w:rsidRDefault="0073294C" w:rsidP="0073294C">
      <w:pPr>
        <w:spacing w:after="0" w:line="240" w:lineRule="auto"/>
        <w:jc w:val="both"/>
        <w:rPr>
          <w:rFonts w:ascii="Times New Roman" w:hAnsi="Times New Roman" w:cs="Times New Roman"/>
          <w:sz w:val="28"/>
          <w:szCs w:val="28"/>
          <w:lang w:val="en-GB"/>
        </w:rPr>
      </w:pPr>
      <w:proofErr w:type="spellStart"/>
      <w:r w:rsidRPr="00BC4080">
        <w:rPr>
          <w:rFonts w:ascii="Times New Roman" w:hAnsi="Times New Roman" w:cs="Times New Roman"/>
          <w:sz w:val="28"/>
          <w:szCs w:val="28"/>
          <w:lang w:val="en-GB"/>
        </w:rPr>
        <w:t>Iesniedzējs</w:t>
      </w:r>
      <w:proofErr w:type="spellEnd"/>
      <w:r w:rsidRPr="00BC4080">
        <w:rPr>
          <w:rFonts w:ascii="Times New Roman" w:hAnsi="Times New Roman" w:cs="Times New Roman"/>
          <w:sz w:val="28"/>
          <w:szCs w:val="28"/>
          <w:lang w:val="en-GB"/>
        </w:rPr>
        <w:t>:</w:t>
      </w:r>
    </w:p>
    <w:p w:rsidR="0073294C" w:rsidRPr="00BC4080" w:rsidRDefault="001A04F9" w:rsidP="0073294C">
      <w:pPr>
        <w:spacing w:after="0" w:line="240" w:lineRule="auto"/>
        <w:jc w:val="both"/>
        <w:rPr>
          <w:rFonts w:ascii="Times New Roman" w:hAnsi="Times New Roman" w:cs="Times New Roman"/>
          <w:sz w:val="28"/>
          <w:szCs w:val="28"/>
          <w:lang w:val="en-GB"/>
        </w:rPr>
      </w:pPr>
      <w:r w:rsidRPr="009168EE">
        <w:rPr>
          <w:rFonts w:ascii="Times New Roman" w:hAnsi="Times New Roman" w:cs="Times New Roman"/>
          <w:sz w:val="28"/>
          <w:szCs w:val="28"/>
        </w:rPr>
        <w:t>tieslietu</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ministrs</w:t>
      </w:r>
      <w:proofErr w:type="spellEnd"/>
      <w:r w:rsidR="0073294C" w:rsidRPr="00BC4080">
        <w:rPr>
          <w:rFonts w:ascii="Times New Roman" w:hAnsi="Times New Roman" w:cs="Times New Roman"/>
          <w:sz w:val="28"/>
          <w:szCs w:val="28"/>
          <w:lang w:val="en-GB"/>
        </w:rPr>
        <w:tab/>
      </w:r>
      <w:r w:rsidR="0073294C" w:rsidRPr="00BC4080">
        <w:rPr>
          <w:rFonts w:ascii="Times New Roman" w:hAnsi="Times New Roman" w:cs="Times New Roman"/>
          <w:sz w:val="28"/>
          <w:szCs w:val="28"/>
          <w:lang w:val="en-GB"/>
        </w:rPr>
        <w:tab/>
      </w:r>
      <w:r w:rsidR="0073294C" w:rsidRPr="00BC4080">
        <w:rPr>
          <w:rFonts w:ascii="Times New Roman" w:hAnsi="Times New Roman" w:cs="Times New Roman"/>
          <w:sz w:val="28"/>
          <w:szCs w:val="28"/>
          <w:lang w:val="en-GB"/>
        </w:rPr>
        <w:tab/>
      </w:r>
      <w:r w:rsidR="0073294C" w:rsidRPr="00BC4080">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proofErr w:type="spellStart"/>
      <w:r>
        <w:rPr>
          <w:rFonts w:ascii="Times New Roman" w:hAnsi="Times New Roman" w:cs="Times New Roman"/>
          <w:sz w:val="28"/>
          <w:szCs w:val="28"/>
          <w:lang w:val="en-GB"/>
        </w:rPr>
        <w:t>Dzintars</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Rasnačs</w:t>
      </w:r>
      <w:proofErr w:type="spellEnd"/>
    </w:p>
    <w:p w:rsidR="0073294C" w:rsidRPr="00BC4080" w:rsidRDefault="0073294C" w:rsidP="0073294C">
      <w:pPr>
        <w:spacing w:after="0" w:line="240" w:lineRule="auto"/>
        <w:jc w:val="both"/>
        <w:rPr>
          <w:rFonts w:ascii="Times New Roman" w:hAnsi="Times New Roman" w:cs="Times New Roman"/>
          <w:sz w:val="28"/>
          <w:szCs w:val="28"/>
          <w:lang w:val="en-GB"/>
        </w:rPr>
      </w:pPr>
    </w:p>
    <w:p w:rsidR="0073294C" w:rsidRPr="00BC4080" w:rsidRDefault="0073294C" w:rsidP="0073294C">
      <w:pPr>
        <w:spacing w:after="0" w:line="240" w:lineRule="auto"/>
        <w:jc w:val="both"/>
        <w:rPr>
          <w:rFonts w:ascii="Times New Roman" w:hAnsi="Times New Roman" w:cs="Times New Roman"/>
          <w:sz w:val="28"/>
          <w:szCs w:val="28"/>
          <w:lang w:val="en-GB"/>
        </w:rPr>
      </w:pPr>
    </w:p>
    <w:p w:rsidR="0073294C" w:rsidRPr="009168EE" w:rsidRDefault="0073294C" w:rsidP="0073294C">
      <w:pPr>
        <w:spacing w:after="0" w:line="240" w:lineRule="auto"/>
        <w:jc w:val="both"/>
        <w:rPr>
          <w:rFonts w:ascii="Times New Roman" w:hAnsi="Times New Roman" w:cs="Times New Roman"/>
          <w:sz w:val="20"/>
          <w:szCs w:val="20"/>
          <w:lang w:val="en-GB"/>
        </w:rPr>
      </w:pPr>
      <w:r w:rsidRPr="009168EE">
        <w:rPr>
          <w:rFonts w:ascii="Times New Roman" w:hAnsi="Times New Roman" w:cs="Times New Roman"/>
          <w:sz w:val="20"/>
          <w:szCs w:val="20"/>
          <w:lang w:val="en-GB"/>
        </w:rPr>
        <w:t>01.11.2016. 10:19</w:t>
      </w:r>
    </w:p>
    <w:p w:rsidR="0073294C" w:rsidRPr="009168EE" w:rsidRDefault="0073294C" w:rsidP="0073294C">
      <w:pPr>
        <w:spacing w:after="0" w:line="240" w:lineRule="auto"/>
        <w:jc w:val="both"/>
        <w:rPr>
          <w:rFonts w:ascii="Times New Roman" w:hAnsi="Times New Roman" w:cs="Times New Roman"/>
          <w:sz w:val="20"/>
          <w:szCs w:val="20"/>
          <w:lang w:val="en-GB"/>
        </w:rPr>
      </w:pPr>
      <w:r w:rsidRPr="009168EE">
        <w:rPr>
          <w:rFonts w:ascii="Times New Roman" w:hAnsi="Times New Roman" w:cs="Times New Roman"/>
          <w:sz w:val="20"/>
          <w:szCs w:val="20"/>
          <w:lang w:val="en-GB"/>
        </w:rPr>
        <w:t>196</w:t>
      </w:r>
      <w:r w:rsidR="001A04F9" w:rsidRPr="009168EE">
        <w:rPr>
          <w:rFonts w:ascii="Times New Roman" w:hAnsi="Times New Roman" w:cs="Times New Roman"/>
          <w:sz w:val="20"/>
          <w:szCs w:val="20"/>
          <w:lang w:val="en-GB"/>
        </w:rPr>
        <w:t>5</w:t>
      </w:r>
    </w:p>
    <w:p w:rsidR="0073294C" w:rsidRPr="009168EE" w:rsidRDefault="0073294C" w:rsidP="0073294C">
      <w:pPr>
        <w:spacing w:after="0" w:line="240" w:lineRule="auto"/>
        <w:jc w:val="both"/>
        <w:rPr>
          <w:rFonts w:ascii="Times New Roman" w:hAnsi="Times New Roman" w:cs="Times New Roman"/>
          <w:sz w:val="20"/>
          <w:szCs w:val="20"/>
          <w:lang w:val="en-GB"/>
        </w:rPr>
      </w:pPr>
      <w:proofErr w:type="spellStart"/>
      <w:r w:rsidRPr="009168EE">
        <w:rPr>
          <w:rFonts w:ascii="Times New Roman" w:hAnsi="Times New Roman" w:cs="Times New Roman"/>
          <w:sz w:val="20"/>
          <w:szCs w:val="20"/>
          <w:lang w:val="en-GB"/>
        </w:rPr>
        <w:t>S.Dzalbe</w:t>
      </w:r>
      <w:proofErr w:type="spellEnd"/>
    </w:p>
    <w:p w:rsidR="0073294C" w:rsidRPr="009168EE" w:rsidRDefault="0073294C" w:rsidP="0073294C">
      <w:pPr>
        <w:spacing w:after="0" w:line="240" w:lineRule="auto"/>
        <w:jc w:val="both"/>
        <w:rPr>
          <w:rFonts w:ascii="Times New Roman" w:hAnsi="Times New Roman" w:cs="Times New Roman"/>
          <w:sz w:val="20"/>
          <w:szCs w:val="20"/>
          <w:lang w:val="en-GB"/>
        </w:rPr>
      </w:pPr>
      <w:r w:rsidRPr="009168EE">
        <w:rPr>
          <w:rFonts w:ascii="Times New Roman" w:hAnsi="Times New Roman" w:cs="Times New Roman"/>
          <w:sz w:val="20"/>
          <w:szCs w:val="20"/>
          <w:lang w:val="en-GB"/>
        </w:rPr>
        <w:t>67036938</w:t>
      </w:r>
      <w:r w:rsidR="009168EE" w:rsidRPr="009168EE">
        <w:rPr>
          <w:rFonts w:ascii="Times New Roman" w:hAnsi="Times New Roman" w:cs="Times New Roman"/>
          <w:sz w:val="20"/>
          <w:szCs w:val="20"/>
          <w:lang w:val="en-GB"/>
        </w:rPr>
        <w:t xml:space="preserve">, </w:t>
      </w:r>
      <w:hyperlink r:id="rId9" w:history="1">
        <w:r w:rsidR="009168EE" w:rsidRPr="009168EE">
          <w:rPr>
            <w:rStyle w:val="Hipersaite"/>
            <w:rFonts w:ascii="Times New Roman" w:hAnsi="Times New Roman" w:cs="Times New Roman"/>
            <w:sz w:val="20"/>
            <w:szCs w:val="20"/>
            <w:lang w:val="en-GB"/>
          </w:rPr>
          <w:t>Sintija.Dzalbe@tm.gov.lv</w:t>
        </w:r>
      </w:hyperlink>
      <w:r w:rsidR="009168EE" w:rsidRPr="009168EE">
        <w:rPr>
          <w:rFonts w:ascii="Times New Roman" w:hAnsi="Times New Roman" w:cs="Times New Roman"/>
          <w:sz w:val="20"/>
          <w:szCs w:val="20"/>
          <w:lang w:val="en-GB"/>
        </w:rPr>
        <w:t xml:space="preserve"> </w:t>
      </w:r>
    </w:p>
    <w:p w:rsidR="0073294C" w:rsidRPr="00BC4080" w:rsidRDefault="0073294C" w:rsidP="0035147D">
      <w:pPr>
        <w:spacing w:before="100" w:after="100" w:line="240" w:lineRule="auto"/>
        <w:jc w:val="both"/>
        <w:rPr>
          <w:rFonts w:ascii="Times New Roman" w:eastAsia="Times New Roman" w:hAnsi="Times New Roman" w:cs="Times New Roman"/>
          <w:sz w:val="28"/>
          <w:szCs w:val="28"/>
          <w:lang w:val="en-GB"/>
        </w:rPr>
      </w:pPr>
    </w:p>
    <w:p w:rsidR="000C7B0B" w:rsidRPr="00BC4080" w:rsidRDefault="000C7B0B" w:rsidP="0035147D">
      <w:pPr>
        <w:rPr>
          <w:rFonts w:ascii="Times New Roman" w:hAnsi="Times New Roman" w:cs="Times New Roman"/>
          <w:sz w:val="28"/>
          <w:szCs w:val="28"/>
          <w:lang w:val="en-GB"/>
        </w:rPr>
      </w:pPr>
    </w:p>
    <w:sectPr w:rsidR="000C7B0B" w:rsidRPr="00BC4080" w:rsidSect="00AF3C6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90" w:rsidRDefault="00B31290" w:rsidP="00B31290">
      <w:pPr>
        <w:spacing w:after="0" w:line="240" w:lineRule="auto"/>
      </w:pPr>
      <w:r>
        <w:separator/>
      </w:r>
    </w:p>
  </w:endnote>
  <w:endnote w:type="continuationSeparator" w:id="0">
    <w:p w:rsidR="00B31290" w:rsidRDefault="00B31290" w:rsidP="00B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7D" w:rsidRDefault="0035147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A" w:rsidRPr="00077273" w:rsidRDefault="00077273" w:rsidP="00077273">
    <w:pPr>
      <w:pStyle w:val="Kjene"/>
    </w:pPr>
    <w:r w:rsidRPr="0035147D">
      <w:rPr>
        <w:rFonts w:ascii="Times New Roman" w:eastAsia="Times New Roman" w:hAnsi="Times New Roman" w:cs="Times New Roman"/>
        <w:sz w:val="20"/>
        <w:szCs w:val="20"/>
      </w:rPr>
      <w:t>TMSs_011116_terrPP;</w:t>
    </w:r>
    <w:r w:rsidRPr="0035147D">
      <w:rPr>
        <w:rFonts w:ascii="Times New Roman" w:eastAsia="Times New Roman" w:hAnsi="Times New Roman" w:cs="Times New Roman"/>
        <w:bCs/>
        <w:noProof/>
        <w:sz w:val="20"/>
        <w:szCs w:val="20"/>
      </w:rPr>
      <w:t xml:space="preserve"> </w:t>
    </w:r>
    <w:r w:rsidRPr="0035147D">
      <w:rPr>
        <w:rFonts w:ascii="Times New Roman" w:eastAsia="Times New Roman" w:hAnsi="Times New Roman" w:cs="Times New Roman"/>
        <w:bCs/>
        <w:sz w:val="20"/>
        <w:szCs w:val="20"/>
        <w:lang w:val="en-GB"/>
      </w:rPr>
      <w:t>Additional Protocol to the Council of Europe Convention on the Prevention of Terrorism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09" w:rsidRPr="006C26E9" w:rsidRDefault="000F6009" w:rsidP="006C26E9">
    <w:pPr>
      <w:spacing w:before="100" w:after="100" w:line="240" w:lineRule="auto"/>
      <w:jc w:val="both"/>
      <w:rPr>
        <w:rFonts w:ascii="Times New Roman" w:eastAsia="Times New Roman" w:hAnsi="Times New Roman" w:cs="Times New Roman"/>
        <w:sz w:val="20"/>
        <w:szCs w:val="20"/>
        <w:lang w:val="en-GB"/>
      </w:rPr>
    </w:pPr>
    <w:r w:rsidRPr="0035147D">
      <w:rPr>
        <w:rFonts w:ascii="Times New Roman" w:eastAsia="Times New Roman" w:hAnsi="Times New Roman" w:cs="Times New Roman"/>
        <w:sz w:val="20"/>
        <w:szCs w:val="20"/>
      </w:rPr>
      <w:t>TM</w:t>
    </w:r>
    <w:r w:rsidR="00326B6F" w:rsidRPr="0035147D">
      <w:rPr>
        <w:rFonts w:ascii="Times New Roman" w:eastAsia="Times New Roman" w:hAnsi="Times New Roman" w:cs="Times New Roman"/>
        <w:sz w:val="20"/>
        <w:szCs w:val="20"/>
      </w:rPr>
      <w:t>Ss</w:t>
    </w:r>
    <w:r w:rsidRPr="0035147D">
      <w:rPr>
        <w:rFonts w:ascii="Times New Roman" w:eastAsia="Times New Roman" w:hAnsi="Times New Roman" w:cs="Times New Roman"/>
        <w:sz w:val="20"/>
        <w:szCs w:val="20"/>
      </w:rPr>
      <w:t>_</w:t>
    </w:r>
    <w:r w:rsidR="0035147D" w:rsidRPr="0035147D">
      <w:rPr>
        <w:rFonts w:ascii="Times New Roman" w:eastAsia="Times New Roman" w:hAnsi="Times New Roman" w:cs="Times New Roman"/>
        <w:sz w:val="20"/>
        <w:szCs w:val="20"/>
      </w:rPr>
      <w:t>01</w:t>
    </w:r>
    <w:r w:rsidRPr="0035147D">
      <w:rPr>
        <w:rFonts w:ascii="Times New Roman" w:eastAsia="Times New Roman" w:hAnsi="Times New Roman" w:cs="Times New Roman"/>
        <w:sz w:val="20"/>
        <w:szCs w:val="20"/>
      </w:rPr>
      <w:t>1</w:t>
    </w:r>
    <w:r w:rsidR="0035147D" w:rsidRPr="0035147D">
      <w:rPr>
        <w:rFonts w:ascii="Times New Roman" w:eastAsia="Times New Roman" w:hAnsi="Times New Roman" w:cs="Times New Roman"/>
        <w:sz w:val="20"/>
        <w:szCs w:val="20"/>
      </w:rPr>
      <w:t>1</w:t>
    </w:r>
    <w:r w:rsidRPr="0035147D">
      <w:rPr>
        <w:rFonts w:ascii="Times New Roman" w:eastAsia="Times New Roman" w:hAnsi="Times New Roman" w:cs="Times New Roman"/>
        <w:sz w:val="20"/>
        <w:szCs w:val="20"/>
      </w:rPr>
      <w:t>1</w:t>
    </w:r>
    <w:r w:rsidR="0035147D" w:rsidRPr="0035147D">
      <w:rPr>
        <w:rFonts w:ascii="Times New Roman" w:eastAsia="Times New Roman" w:hAnsi="Times New Roman" w:cs="Times New Roman"/>
        <w:sz w:val="20"/>
        <w:szCs w:val="20"/>
      </w:rPr>
      <w:t>6</w:t>
    </w:r>
    <w:r w:rsidR="00326B6F" w:rsidRPr="0035147D">
      <w:rPr>
        <w:rFonts w:ascii="Times New Roman" w:eastAsia="Times New Roman" w:hAnsi="Times New Roman" w:cs="Times New Roman"/>
        <w:sz w:val="20"/>
        <w:szCs w:val="20"/>
      </w:rPr>
      <w:t>_</w:t>
    </w:r>
    <w:r w:rsidR="0035147D" w:rsidRPr="0035147D">
      <w:rPr>
        <w:rFonts w:ascii="Times New Roman" w:eastAsia="Times New Roman" w:hAnsi="Times New Roman" w:cs="Times New Roman"/>
        <w:sz w:val="20"/>
        <w:szCs w:val="20"/>
      </w:rPr>
      <w:t>terrPP</w:t>
    </w:r>
    <w:r w:rsidRPr="0035147D">
      <w:rPr>
        <w:rFonts w:ascii="Times New Roman" w:eastAsia="Times New Roman" w:hAnsi="Times New Roman" w:cs="Times New Roman"/>
        <w:sz w:val="20"/>
        <w:szCs w:val="20"/>
      </w:rPr>
      <w:t>;</w:t>
    </w:r>
    <w:r w:rsidRPr="0035147D">
      <w:rPr>
        <w:rFonts w:ascii="Times New Roman" w:eastAsia="Times New Roman" w:hAnsi="Times New Roman" w:cs="Times New Roman"/>
        <w:bCs/>
        <w:noProof/>
        <w:sz w:val="20"/>
        <w:szCs w:val="20"/>
      </w:rPr>
      <w:t xml:space="preserve"> </w:t>
    </w:r>
    <w:r w:rsidR="0035147D" w:rsidRPr="0035147D">
      <w:rPr>
        <w:rFonts w:ascii="Times New Roman" w:eastAsia="Times New Roman" w:hAnsi="Times New Roman" w:cs="Times New Roman"/>
        <w:bCs/>
        <w:sz w:val="20"/>
        <w:szCs w:val="20"/>
        <w:lang w:val="en-GB"/>
      </w:rPr>
      <w:t>Additional Protocol to the Council of Europe Convention on the Prevention of 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90" w:rsidRDefault="00B31290" w:rsidP="00B31290">
      <w:pPr>
        <w:spacing w:after="0" w:line="240" w:lineRule="auto"/>
      </w:pPr>
      <w:r>
        <w:separator/>
      </w:r>
    </w:p>
  </w:footnote>
  <w:footnote w:type="continuationSeparator" w:id="0">
    <w:p w:rsidR="00B31290" w:rsidRDefault="00B31290" w:rsidP="00B3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7D" w:rsidRDefault="003514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34447172"/>
      <w:docPartObj>
        <w:docPartGallery w:val="Page Numbers (Top of Page)"/>
        <w:docPartUnique/>
      </w:docPartObj>
    </w:sdtPr>
    <w:sdtEndPr/>
    <w:sdtContent>
      <w:p w:rsidR="0035147D" w:rsidRPr="006C26E9" w:rsidRDefault="0035147D">
        <w:pPr>
          <w:pStyle w:val="Galvene"/>
          <w:jc w:val="center"/>
          <w:rPr>
            <w:rFonts w:ascii="Times New Roman" w:hAnsi="Times New Roman" w:cs="Times New Roman"/>
            <w:sz w:val="24"/>
            <w:szCs w:val="24"/>
          </w:rPr>
        </w:pPr>
        <w:r w:rsidRPr="006C26E9">
          <w:rPr>
            <w:rFonts w:ascii="Times New Roman" w:hAnsi="Times New Roman" w:cs="Times New Roman"/>
            <w:sz w:val="24"/>
            <w:szCs w:val="24"/>
          </w:rPr>
          <w:fldChar w:fldCharType="begin"/>
        </w:r>
        <w:r w:rsidRPr="006C26E9">
          <w:rPr>
            <w:rFonts w:ascii="Times New Roman" w:hAnsi="Times New Roman" w:cs="Times New Roman"/>
            <w:sz w:val="24"/>
            <w:szCs w:val="24"/>
          </w:rPr>
          <w:instrText>PAGE   \* MERGEFORMAT</w:instrText>
        </w:r>
        <w:r w:rsidRPr="006C26E9">
          <w:rPr>
            <w:rFonts w:ascii="Times New Roman" w:hAnsi="Times New Roman" w:cs="Times New Roman"/>
            <w:sz w:val="24"/>
            <w:szCs w:val="24"/>
          </w:rPr>
          <w:fldChar w:fldCharType="separate"/>
        </w:r>
        <w:r w:rsidR="00061AE1">
          <w:rPr>
            <w:rFonts w:ascii="Times New Roman" w:hAnsi="Times New Roman" w:cs="Times New Roman"/>
            <w:noProof/>
            <w:sz w:val="24"/>
            <w:szCs w:val="24"/>
          </w:rPr>
          <w:t>5</w:t>
        </w:r>
        <w:r w:rsidRPr="006C26E9">
          <w:rPr>
            <w:rFonts w:ascii="Times New Roman" w:hAnsi="Times New Roman" w:cs="Times New Roman"/>
            <w:sz w:val="24"/>
            <w:szCs w:val="24"/>
          </w:rPr>
          <w:fldChar w:fldCharType="end"/>
        </w:r>
      </w:p>
    </w:sdtContent>
  </w:sdt>
  <w:p w:rsidR="00E2420A" w:rsidRDefault="00E2420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7D" w:rsidRDefault="003514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E1"/>
    <w:multiLevelType w:val="hybridMultilevel"/>
    <w:tmpl w:val="A4E8ECDE"/>
    <w:lvl w:ilvl="0" w:tplc="BCA8EB98">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9774E3A"/>
    <w:multiLevelType w:val="hybridMultilevel"/>
    <w:tmpl w:val="2D78A54A"/>
    <w:lvl w:ilvl="0" w:tplc="8FC4DD74">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0D20445D"/>
    <w:multiLevelType w:val="hybridMultilevel"/>
    <w:tmpl w:val="FC02657C"/>
    <w:lvl w:ilvl="0" w:tplc="CFDA6040">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4497276"/>
    <w:multiLevelType w:val="hybridMultilevel"/>
    <w:tmpl w:val="8CE6E724"/>
    <w:lvl w:ilvl="0" w:tplc="FEA0EAB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857759"/>
    <w:multiLevelType w:val="hybridMultilevel"/>
    <w:tmpl w:val="CF7ECF76"/>
    <w:lvl w:ilvl="0" w:tplc="748EF15A">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37B731C7"/>
    <w:multiLevelType w:val="hybridMultilevel"/>
    <w:tmpl w:val="7840A87E"/>
    <w:lvl w:ilvl="0" w:tplc="8864CED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011AC6"/>
    <w:multiLevelType w:val="hybridMultilevel"/>
    <w:tmpl w:val="36829B4E"/>
    <w:lvl w:ilvl="0" w:tplc="845AE2DE">
      <w:start w:val="1"/>
      <w:numFmt w:val="decimal"/>
      <w:lvlText w:val="%1."/>
      <w:lvlJc w:val="left"/>
      <w:pPr>
        <w:ind w:left="360" w:hanging="360"/>
      </w:pPr>
      <w:rPr>
        <w:rFonts w:ascii="Times New Roman" w:hAnsi="Times New Roman" w:cs="Times New Roman" w:hint="default"/>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E2400B1"/>
    <w:multiLevelType w:val="hybridMultilevel"/>
    <w:tmpl w:val="A7B8AD20"/>
    <w:lvl w:ilvl="0" w:tplc="562EB11A">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61041C01"/>
    <w:multiLevelType w:val="hybridMultilevel"/>
    <w:tmpl w:val="5AD4C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E2851DD"/>
    <w:multiLevelType w:val="hybridMultilevel"/>
    <w:tmpl w:val="DFF44BE6"/>
    <w:lvl w:ilvl="0" w:tplc="2E6C6C04">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8"/>
  </w:num>
  <w:num w:numId="2">
    <w:abstractNumId w:val="3"/>
  </w:num>
  <w:num w:numId="3">
    <w:abstractNumId w:val="5"/>
  </w:num>
  <w:num w:numId="4">
    <w:abstractNumId w:val="6"/>
  </w:num>
  <w:num w:numId="5">
    <w:abstractNumId w:val="4"/>
  </w:num>
  <w:num w:numId="6">
    <w:abstractNumId w:val="2"/>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61"/>
    <w:rsid w:val="00061AE1"/>
    <w:rsid w:val="00077273"/>
    <w:rsid w:val="000C7B0B"/>
    <w:rsid w:val="000D028C"/>
    <w:rsid w:val="000F6009"/>
    <w:rsid w:val="001A04F9"/>
    <w:rsid w:val="00326B6F"/>
    <w:rsid w:val="0035147D"/>
    <w:rsid w:val="00405C6D"/>
    <w:rsid w:val="00484442"/>
    <w:rsid w:val="004A148B"/>
    <w:rsid w:val="006C26E9"/>
    <w:rsid w:val="0073294C"/>
    <w:rsid w:val="007D0661"/>
    <w:rsid w:val="008E456D"/>
    <w:rsid w:val="009168EE"/>
    <w:rsid w:val="009322BC"/>
    <w:rsid w:val="009C7469"/>
    <w:rsid w:val="009F30D4"/>
    <w:rsid w:val="00A1438F"/>
    <w:rsid w:val="00AF3C65"/>
    <w:rsid w:val="00B31290"/>
    <w:rsid w:val="00BC4080"/>
    <w:rsid w:val="00CA7756"/>
    <w:rsid w:val="00D03D98"/>
    <w:rsid w:val="00DE4851"/>
    <w:rsid w:val="00E24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6C7D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7DD4"/>
    <w:rPr>
      <w:rFonts w:ascii="Consolas" w:hAnsi="Consolas"/>
      <w:sz w:val="21"/>
      <w:szCs w:val="21"/>
    </w:rPr>
  </w:style>
  <w:style w:type="table" w:styleId="Reatabula">
    <w:name w:val="Table Grid"/>
    <w:basedOn w:val="Parastatabula"/>
    <w:uiPriority w:val="59"/>
    <w:rsid w:val="008E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312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290"/>
  </w:style>
  <w:style w:type="paragraph" w:styleId="Kjene">
    <w:name w:val="footer"/>
    <w:basedOn w:val="Parasts"/>
    <w:link w:val="KjeneRakstz"/>
    <w:uiPriority w:val="99"/>
    <w:unhideWhenUsed/>
    <w:rsid w:val="00B312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290"/>
  </w:style>
  <w:style w:type="paragraph" w:styleId="Balonteksts">
    <w:name w:val="Balloon Text"/>
    <w:basedOn w:val="Parasts"/>
    <w:link w:val="BalontekstsRakstz"/>
    <w:uiPriority w:val="99"/>
    <w:semiHidden/>
    <w:unhideWhenUsed/>
    <w:rsid w:val="00B31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290"/>
    <w:rPr>
      <w:rFonts w:ascii="Tahoma" w:hAnsi="Tahoma" w:cs="Tahoma"/>
      <w:sz w:val="16"/>
      <w:szCs w:val="16"/>
    </w:rPr>
  </w:style>
  <w:style w:type="character" w:styleId="Komentraatsauce">
    <w:name w:val="annotation reference"/>
    <w:basedOn w:val="Noklusjumarindkopasfonts"/>
    <w:uiPriority w:val="99"/>
    <w:semiHidden/>
    <w:unhideWhenUsed/>
    <w:rsid w:val="00484442"/>
    <w:rPr>
      <w:sz w:val="16"/>
      <w:szCs w:val="16"/>
    </w:rPr>
  </w:style>
  <w:style w:type="paragraph" w:styleId="Komentrateksts">
    <w:name w:val="annotation text"/>
    <w:basedOn w:val="Parasts"/>
    <w:link w:val="KomentratekstsRakstz"/>
    <w:uiPriority w:val="99"/>
    <w:semiHidden/>
    <w:unhideWhenUsed/>
    <w:rsid w:val="004844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442"/>
    <w:rPr>
      <w:sz w:val="20"/>
      <w:szCs w:val="20"/>
    </w:rPr>
  </w:style>
  <w:style w:type="paragraph" w:styleId="Komentratma">
    <w:name w:val="annotation subject"/>
    <w:basedOn w:val="Komentrateksts"/>
    <w:next w:val="Komentrateksts"/>
    <w:link w:val="KomentratmaRakstz"/>
    <w:uiPriority w:val="99"/>
    <w:semiHidden/>
    <w:unhideWhenUsed/>
    <w:rsid w:val="00484442"/>
    <w:rPr>
      <w:b/>
      <w:bCs/>
    </w:rPr>
  </w:style>
  <w:style w:type="character" w:customStyle="1" w:styleId="KomentratmaRakstz">
    <w:name w:val="Komentāra tēma Rakstz."/>
    <w:basedOn w:val="KomentratekstsRakstz"/>
    <w:link w:val="Komentratma"/>
    <w:uiPriority w:val="99"/>
    <w:semiHidden/>
    <w:rsid w:val="00484442"/>
    <w:rPr>
      <w:b/>
      <w:bCs/>
      <w:sz w:val="20"/>
      <w:szCs w:val="20"/>
    </w:rPr>
  </w:style>
  <w:style w:type="paragraph" w:styleId="Sarakstarindkopa">
    <w:name w:val="List Paragraph"/>
    <w:basedOn w:val="Parasts"/>
    <w:uiPriority w:val="34"/>
    <w:qFormat/>
    <w:rsid w:val="0035147D"/>
    <w:pPr>
      <w:ind w:left="720"/>
      <w:contextualSpacing/>
    </w:pPr>
  </w:style>
  <w:style w:type="character" w:styleId="Hipersaite">
    <w:name w:val="Hyperlink"/>
    <w:basedOn w:val="Noklusjumarindkopasfonts"/>
    <w:uiPriority w:val="99"/>
    <w:unhideWhenUsed/>
    <w:rsid w:val="00732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6C7D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7DD4"/>
    <w:rPr>
      <w:rFonts w:ascii="Consolas" w:hAnsi="Consolas"/>
      <w:sz w:val="21"/>
      <w:szCs w:val="21"/>
    </w:rPr>
  </w:style>
  <w:style w:type="table" w:styleId="Reatabula">
    <w:name w:val="Table Grid"/>
    <w:basedOn w:val="Parastatabula"/>
    <w:uiPriority w:val="59"/>
    <w:rsid w:val="008E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312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290"/>
  </w:style>
  <w:style w:type="paragraph" w:styleId="Kjene">
    <w:name w:val="footer"/>
    <w:basedOn w:val="Parasts"/>
    <w:link w:val="KjeneRakstz"/>
    <w:uiPriority w:val="99"/>
    <w:unhideWhenUsed/>
    <w:rsid w:val="00B312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290"/>
  </w:style>
  <w:style w:type="paragraph" w:styleId="Balonteksts">
    <w:name w:val="Balloon Text"/>
    <w:basedOn w:val="Parasts"/>
    <w:link w:val="BalontekstsRakstz"/>
    <w:uiPriority w:val="99"/>
    <w:semiHidden/>
    <w:unhideWhenUsed/>
    <w:rsid w:val="00B31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290"/>
    <w:rPr>
      <w:rFonts w:ascii="Tahoma" w:hAnsi="Tahoma" w:cs="Tahoma"/>
      <w:sz w:val="16"/>
      <w:szCs w:val="16"/>
    </w:rPr>
  </w:style>
  <w:style w:type="character" w:styleId="Komentraatsauce">
    <w:name w:val="annotation reference"/>
    <w:basedOn w:val="Noklusjumarindkopasfonts"/>
    <w:uiPriority w:val="99"/>
    <w:semiHidden/>
    <w:unhideWhenUsed/>
    <w:rsid w:val="00484442"/>
    <w:rPr>
      <w:sz w:val="16"/>
      <w:szCs w:val="16"/>
    </w:rPr>
  </w:style>
  <w:style w:type="paragraph" w:styleId="Komentrateksts">
    <w:name w:val="annotation text"/>
    <w:basedOn w:val="Parasts"/>
    <w:link w:val="KomentratekstsRakstz"/>
    <w:uiPriority w:val="99"/>
    <w:semiHidden/>
    <w:unhideWhenUsed/>
    <w:rsid w:val="004844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442"/>
    <w:rPr>
      <w:sz w:val="20"/>
      <w:szCs w:val="20"/>
    </w:rPr>
  </w:style>
  <w:style w:type="paragraph" w:styleId="Komentratma">
    <w:name w:val="annotation subject"/>
    <w:basedOn w:val="Komentrateksts"/>
    <w:next w:val="Komentrateksts"/>
    <w:link w:val="KomentratmaRakstz"/>
    <w:uiPriority w:val="99"/>
    <w:semiHidden/>
    <w:unhideWhenUsed/>
    <w:rsid w:val="00484442"/>
    <w:rPr>
      <w:b/>
      <w:bCs/>
    </w:rPr>
  </w:style>
  <w:style w:type="character" w:customStyle="1" w:styleId="KomentratmaRakstz">
    <w:name w:val="Komentāra tēma Rakstz."/>
    <w:basedOn w:val="KomentratekstsRakstz"/>
    <w:link w:val="Komentratma"/>
    <w:uiPriority w:val="99"/>
    <w:semiHidden/>
    <w:rsid w:val="00484442"/>
    <w:rPr>
      <w:b/>
      <w:bCs/>
      <w:sz w:val="20"/>
      <w:szCs w:val="20"/>
    </w:rPr>
  </w:style>
  <w:style w:type="paragraph" w:styleId="Sarakstarindkopa">
    <w:name w:val="List Paragraph"/>
    <w:basedOn w:val="Parasts"/>
    <w:uiPriority w:val="34"/>
    <w:qFormat/>
    <w:rsid w:val="0035147D"/>
    <w:pPr>
      <w:ind w:left="720"/>
      <w:contextualSpacing/>
    </w:pPr>
  </w:style>
  <w:style w:type="character" w:styleId="Hipersaite">
    <w:name w:val="Hyperlink"/>
    <w:basedOn w:val="Noklusjumarindkopasfonts"/>
    <w:uiPriority w:val="99"/>
    <w:unhideWhenUsed/>
    <w:rsid w:val="00732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5510">
      <w:bodyDiv w:val="1"/>
      <w:marLeft w:val="0"/>
      <w:marRight w:val="0"/>
      <w:marTop w:val="0"/>
      <w:marBottom w:val="0"/>
      <w:divBdr>
        <w:top w:val="none" w:sz="0" w:space="0" w:color="auto"/>
        <w:left w:val="none" w:sz="0" w:space="0" w:color="auto"/>
        <w:bottom w:val="none" w:sz="0" w:space="0" w:color="auto"/>
        <w:right w:val="none" w:sz="0" w:space="0" w:color="auto"/>
      </w:divBdr>
    </w:div>
    <w:div w:id="786706063">
      <w:bodyDiv w:val="1"/>
      <w:marLeft w:val="0"/>
      <w:marRight w:val="0"/>
      <w:marTop w:val="0"/>
      <w:marBottom w:val="0"/>
      <w:divBdr>
        <w:top w:val="none" w:sz="0" w:space="0" w:color="auto"/>
        <w:left w:val="none" w:sz="0" w:space="0" w:color="auto"/>
        <w:bottom w:val="none" w:sz="0" w:space="0" w:color="auto"/>
        <w:right w:val="none" w:sz="0" w:space="0" w:color="auto"/>
      </w:divBdr>
    </w:div>
    <w:div w:id="109913503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1">
          <w:marLeft w:val="0"/>
          <w:marRight w:val="0"/>
          <w:marTop w:val="0"/>
          <w:marBottom w:val="0"/>
          <w:divBdr>
            <w:top w:val="none" w:sz="0" w:space="0" w:color="auto"/>
            <w:left w:val="none" w:sz="0" w:space="0" w:color="auto"/>
            <w:bottom w:val="none" w:sz="0" w:space="0" w:color="auto"/>
            <w:right w:val="none" w:sz="0" w:space="0" w:color="auto"/>
          </w:divBdr>
          <w:divsChild>
            <w:div w:id="121005327">
              <w:marLeft w:val="0"/>
              <w:marRight w:val="0"/>
              <w:marTop w:val="0"/>
              <w:marBottom w:val="0"/>
              <w:divBdr>
                <w:top w:val="none" w:sz="0" w:space="0" w:color="auto"/>
                <w:left w:val="none" w:sz="0" w:space="0" w:color="auto"/>
                <w:bottom w:val="none" w:sz="0" w:space="0" w:color="auto"/>
                <w:right w:val="none" w:sz="0" w:space="0" w:color="auto"/>
              </w:divBdr>
              <w:divsChild>
                <w:div w:id="1767575196">
                  <w:marLeft w:val="0"/>
                  <w:marRight w:val="0"/>
                  <w:marTop w:val="0"/>
                  <w:marBottom w:val="0"/>
                  <w:divBdr>
                    <w:top w:val="none" w:sz="0" w:space="0" w:color="auto"/>
                    <w:left w:val="none" w:sz="0" w:space="0" w:color="auto"/>
                    <w:bottom w:val="none" w:sz="0" w:space="0" w:color="auto"/>
                    <w:right w:val="none" w:sz="0" w:space="0" w:color="auto"/>
                  </w:divBdr>
                  <w:divsChild>
                    <w:div w:id="1747603114">
                      <w:marLeft w:val="0"/>
                      <w:marRight w:val="0"/>
                      <w:marTop w:val="0"/>
                      <w:marBottom w:val="0"/>
                      <w:divBdr>
                        <w:top w:val="none" w:sz="0" w:space="0" w:color="auto"/>
                        <w:left w:val="none" w:sz="0" w:space="0" w:color="auto"/>
                        <w:bottom w:val="none" w:sz="0" w:space="0" w:color="auto"/>
                        <w:right w:val="none" w:sz="0" w:space="0" w:color="auto"/>
                      </w:divBdr>
                      <w:divsChild>
                        <w:div w:id="683750319">
                          <w:marLeft w:val="0"/>
                          <w:marRight w:val="0"/>
                          <w:marTop w:val="0"/>
                          <w:marBottom w:val="0"/>
                          <w:divBdr>
                            <w:top w:val="none" w:sz="0" w:space="0" w:color="auto"/>
                            <w:left w:val="none" w:sz="0" w:space="0" w:color="auto"/>
                            <w:bottom w:val="none" w:sz="0" w:space="0" w:color="auto"/>
                            <w:right w:val="none" w:sz="0" w:space="0" w:color="auto"/>
                          </w:divBdr>
                          <w:divsChild>
                            <w:div w:id="2112432999">
                              <w:marLeft w:val="0"/>
                              <w:marRight w:val="0"/>
                              <w:marTop w:val="0"/>
                              <w:marBottom w:val="0"/>
                              <w:divBdr>
                                <w:top w:val="none" w:sz="0" w:space="0" w:color="auto"/>
                                <w:left w:val="none" w:sz="0" w:space="0" w:color="auto"/>
                                <w:bottom w:val="none" w:sz="0" w:space="0" w:color="auto"/>
                                <w:right w:val="none" w:sz="0" w:space="0" w:color="auto"/>
                              </w:divBdr>
                              <w:divsChild>
                                <w:div w:id="1042826134">
                                  <w:marLeft w:val="0"/>
                                  <w:marRight w:val="0"/>
                                  <w:marTop w:val="0"/>
                                  <w:marBottom w:val="0"/>
                                  <w:divBdr>
                                    <w:top w:val="none" w:sz="0" w:space="0" w:color="auto"/>
                                    <w:left w:val="none" w:sz="0" w:space="0" w:color="auto"/>
                                    <w:bottom w:val="none" w:sz="0" w:space="0" w:color="auto"/>
                                    <w:right w:val="none" w:sz="0" w:space="0" w:color="auto"/>
                                  </w:divBdr>
                                  <w:divsChild>
                                    <w:div w:id="359625531">
                                      <w:marLeft w:val="0"/>
                                      <w:marRight w:val="0"/>
                                      <w:marTop w:val="0"/>
                                      <w:marBottom w:val="0"/>
                                      <w:divBdr>
                                        <w:top w:val="none" w:sz="0" w:space="0" w:color="auto"/>
                                        <w:left w:val="none" w:sz="0" w:space="0" w:color="auto"/>
                                        <w:bottom w:val="none" w:sz="0" w:space="0" w:color="auto"/>
                                        <w:right w:val="none" w:sz="0" w:space="0" w:color="auto"/>
                                      </w:divBdr>
                                      <w:divsChild>
                                        <w:div w:id="392510852">
                                          <w:marLeft w:val="0"/>
                                          <w:marRight w:val="0"/>
                                          <w:marTop w:val="0"/>
                                          <w:marBottom w:val="0"/>
                                          <w:divBdr>
                                            <w:top w:val="none" w:sz="0" w:space="0" w:color="auto"/>
                                            <w:left w:val="none" w:sz="0" w:space="0" w:color="auto"/>
                                            <w:bottom w:val="none" w:sz="0" w:space="0" w:color="auto"/>
                                            <w:right w:val="none" w:sz="0" w:space="0" w:color="auto"/>
                                          </w:divBdr>
                                          <w:divsChild>
                                            <w:div w:id="2052723394">
                                              <w:marLeft w:val="0"/>
                                              <w:marRight w:val="0"/>
                                              <w:marTop w:val="0"/>
                                              <w:marBottom w:val="0"/>
                                              <w:divBdr>
                                                <w:top w:val="none" w:sz="0" w:space="0" w:color="auto"/>
                                                <w:left w:val="none" w:sz="0" w:space="0" w:color="auto"/>
                                                <w:bottom w:val="none" w:sz="0" w:space="0" w:color="auto"/>
                                                <w:right w:val="none" w:sz="0" w:space="0" w:color="auto"/>
                                              </w:divBdr>
                                              <w:divsChild>
                                                <w:div w:id="1900819750">
                                                  <w:marLeft w:val="0"/>
                                                  <w:marRight w:val="0"/>
                                                  <w:marTop w:val="0"/>
                                                  <w:marBottom w:val="0"/>
                                                  <w:divBdr>
                                                    <w:top w:val="none" w:sz="0" w:space="0" w:color="auto"/>
                                                    <w:left w:val="none" w:sz="0" w:space="0" w:color="auto"/>
                                                    <w:bottom w:val="none" w:sz="0" w:space="0" w:color="auto"/>
                                                    <w:right w:val="none" w:sz="0" w:space="0" w:color="auto"/>
                                                  </w:divBdr>
                                                  <w:divsChild>
                                                    <w:div w:id="1961953430">
                                                      <w:marLeft w:val="0"/>
                                                      <w:marRight w:val="0"/>
                                                      <w:marTop w:val="0"/>
                                                      <w:marBottom w:val="0"/>
                                                      <w:divBdr>
                                                        <w:top w:val="none" w:sz="0" w:space="0" w:color="auto"/>
                                                        <w:left w:val="none" w:sz="0" w:space="0" w:color="auto"/>
                                                        <w:bottom w:val="none" w:sz="0" w:space="0" w:color="auto"/>
                                                        <w:right w:val="none" w:sz="0" w:space="0" w:color="auto"/>
                                                      </w:divBdr>
                                                      <w:divsChild>
                                                        <w:div w:id="20996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144547">
      <w:bodyDiv w:val="1"/>
      <w:marLeft w:val="0"/>
      <w:marRight w:val="0"/>
      <w:marTop w:val="0"/>
      <w:marBottom w:val="0"/>
      <w:divBdr>
        <w:top w:val="none" w:sz="0" w:space="0" w:color="auto"/>
        <w:left w:val="none" w:sz="0" w:space="0" w:color="auto"/>
        <w:bottom w:val="none" w:sz="0" w:space="0" w:color="auto"/>
        <w:right w:val="none" w:sz="0" w:space="0" w:color="auto"/>
      </w:divBdr>
    </w:div>
    <w:div w:id="18771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ntija.Dzalbe@t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C733-753B-4451-8CF6-AA3E2BFD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7920</Words>
  <Characters>4515</Characters>
  <Application>Microsoft Office Word</Application>
  <DocSecurity>4</DocSecurity>
  <Lines>37</Lines>
  <Paragraphs>24</Paragraphs>
  <ScaleCrop>false</ScaleCrop>
  <HeadingPairs>
    <vt:vector size="2" baseType="variant">
      <vt:variant>
        <vt:lpstr>Nosaukums</vt:lpstr>
      </vt:variant>
      <vt:variant>
        <vt:i4>1</vt:i4>
      </vt:variant>
    </vt:vector>
  </HeadingPairs>
  <TitlesOfParts>
    <vt:vector size="1" baseType="lpstr">
      <vt:lpstr>Additional Protocol to the Council of Europe Convention on the Prevention of Terrorism</vt:lpstr>
    </vt:vector>
  </TitlesOfParts>
  <Company>Tieslietu ministrija</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Protocol to the Council of Europe Convention on the Prevention of Terrorism</dc:title>
  <dc:subject>Papildu protokols</dc:subject>
  <dc:creator>Sintija.Dzalbe@tm.gov.lv, 67036938</dc:creator>
  <dc:description>S.Dzalbe
Sintija.Dzalbe@tm.gov.lv, 67036938</dc:description>
  <cp:lastModifiedBy>Sintija Dzalbe</cp:lastModifiedBy>
  <cp:revision>2</cp:revision>
  <cp:lastPrinted>2013-12-06T07:18:00Z</cp:lastPrinted>
  <dcterms:created xsi:type="dcterms:W3CDTF">2016-12-06T13:10:00Z</dcterms:created>
  <dcterms:modified xsi:type="dcterms:W3CDTF">2016-12-06T13:10:00Z</dcterms:modified>
</cp:coreProperties>
</file>