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340B7" w14:textId="67CEF15D" w:rsidR="0073448B" w:rsidRPr="00D3416D" w:rsidRDefault="0073448B" w:rsidP="006B6EDE">
      <w:pPr>
        <w:pStyle w:val="naislab"/>
        <w:spacing w:before="0" w:after="60"/>
        <w:jc w:val="center"/>
        <w:outlineLvl w:val="0"/>
        <w:rPr>
          <w:b/>
        </w:rPr>
      </w:pPr>
      <w:r w:rsidRPr="00D3416D">
        <w:rPr>
          <w:b/>
        </w:rPr>
        <w:t>Ministru kabineta noteikumu projekta „Noteikumi par siltumnīcefekta gāzu inventarizācijas un prognožu sagatavošanas nacionālo sistēmu”</w:t>
      </w:r>
    </w:p>
    <w:p w14:paraId="787C8C1F" w14:textId="2B2C3226" w:rsidR="00CB4AAB" w:rsidRPr="00D3416D" w:rsidRDefault="00CB4AAB" w:rsidP="006B6EDE">
      <w:pPr>
        <w:pStyle w:val="naislab"/>
        <w:spacing w:before="0" w:after="60"/>
        <w:jc w:val="center"/>
        <w:outlineLvl w:val="0"/>
        <w:rPr>
          <w:b/>
        </w:rPr>
      </w:pPr>
      <w:r w:rsidRPr="00D3416D">
        <w:rPr>
          <w:b/>
        </w:rPr>
        <w:t xml:space="preserve">sākotnējās ietekmes novērtējuma </w:t>
      </w:r>
      <w:smartTag w:uri="schemas-tilde-lv/tildestengine" w:element="veidnes">
        <w:smartTagPr>
          <w:attr w:name="id" w:val="-1"/>
          <w:attr w:name="baseform" w:val="ziņojums"/>
          <w:attr w:name="text" w:val="ziņojums"/>
        </w:smartTagPr>
        <w:r w:rsidRPr="00D3416D">
          <w:rPr>
            <w:b/>
          </w:rPr>
          <w:t>ziņojums</w:t>
        </w:r>
      </w:smartTag>
      <w:r w:rsidRPr="00D3416D">
        <w:rPr>
          <w:b/>
        </w:rPr>
        <w:t xml:space="preserve"> (anotācija)</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1"/>
        <w:gridCol w:w="1355"/>
        <w:gridCol w:w="7489"/>
      </w:tblGrid>
      <w:tr w:rsidR="00F122F9" w:rsidRPr="00D3416D" w14:paraId="10650165" w14:textId="77777777" w:rsidTr="00DC5242">
        <w:trPr>
          <w:trHeight w:val="255"/>
          <w:jc w:val="center"/>
        </w:trPr>
        <w:tc>
          <w:tcPr>
            <w:tcW w:w="9185" w:type="dxa"/>
            <w:gridSpan w:val="3"/>
            <w:vAlign w:val="center"/>
          </w:tcPr>
          <w:p w14:paraId="5D1882F6" w14:textId="77777777" w:rsidR="00CB4AAB" w:rsidRPr="00D3416D" w:rsidRDefault="00CB4AAB" w:rsidP="00B63F0E">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I.</w:t>
            </w:r>
            <w:r w:rsidR="00316D9D" w:rsidRPr="00D3416D">
              <w:rPr>
                <w:rFonts w:ascii="Times New Roman" w:hAnsi="Times New Roman"/>
                <w:b/>
                <w:bCs/>
                <w:sz w:val="24"/>
                <w:szCs w:val="24"/>
                <w:lang w:eastAsia="lv-LV"/>
              </w:rPr>
              <w:t> </w:t>
            </w:r>
            <w:r w:rsidRPr="00D3416D">
              <w:rPr>
                <w:rFonts w:ascii="Times New Roman" w:hAnsi="Times New Roman"/>
                <w:b/>
                <w:bCs/>
                <w:sz w:val="24"/>
                <w:szCs w:val="24"/>
                <w:lang w:eastAsia="lv-LV"/>
              </w:rPr>
              <w:t>Tiesību akta projekta izstrādes nepieciešamība</w:t>
            </w:r>
          </w:p>
        </w:tc>
      </w:tr>
      <w:tr w:rsidR="00F122F9" w:rsidRPr="00D3416D" w14:paraId="1A66E6DF" w14:textId="77777777" w:rsidTr="00DC25F0">
        <w:trPr>
          <w:trHeight w:val="405"/>
          <w:jc w:val="center"/>
        </w:trPr>
        <w:tc>
          <w:tcPr>
            <w:tcW w:w="341" w:type="dxa"/>
          </w:tcPr>
          <w:p w14:paraId="0DF333FF" w14:textId="77777777" w:rsidR="00CB4AAB" w:rsidRPr="00D3416D" w:rsidRDefault="00CB4AAB" w:rsidP="00B63F0E">
            <w:pPr>
              <w:spacing w:before="60" w:after="60"/>
              <w:jc w:val="center"/>
              <w:rPr>
                <w:rFonts w:ascii="Times New Roman" w:hAnsi="Times New Roman"/>
                <w:sz w:val="24"/>
                <w:szCs w:val="24"/>
                <w:lang w:eastAsia="lv-LV"/>
              </w:rPr>
            </w:pPr>
            <w:r w:rsidRPr="00D3416D">
              <w:rPr>
                <w:rFonts w:ascii="Times New Roman" w:hAnsi="Times New Roman"/>
                <w:sz w:val="24"/>
                <w:szCs w:val="24"/>
                <w:lang w:eastAsia="lv-LV"/>
              </w:rPr>
              <w:t>1.</w:t>
            </w:r>
          </w:p>
        </w:tc>
        <w:tc>
          <w:tcPr>
            <w:tcW w:w="1355" w:type="dxa"/>
          </w:tcPr>
          <w:p w14:paraId="461E68DF"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Pamatojums</w:t>
            </w:r>
          </w:p>
        </w:tc>
        <w:tc>
          <w:tcPr>
            <w:tcW w:w="7489" w:type="dxa"/>
          </w:tcPr>
          <w:p w14:paraId="1F42981D" w14:textId="0C828C5C" w:rsidR="0073448B" w:rsidRPr="00DE53F3" w:rsidRDefault="00EF3A6C" w:rsidP="00A753E5">
            <w:pPr>
              <w:shd w:val="clear" w:color="auto" w:fill="FFFFFF"/>
              <w:spacing w:after="0"/>
            </w:pPr>
            <w:r w:rsidRPr="00DE53F3">
              <w:rPr>
                <w:rFonts w:ascii="Times New Roman" w:hAnsi="Times New Roman"/>
                <w:sz w:val="24"/>
                <w:szCs w:val="24"/>
              </w:rPr>
              <w:t>Ministru kabineta noteikumu projekts „Noteikumi par siltumnīcefekta gāzu inventarizācijas un prognožu sagatavošanas nacionālo sistēmu”</w:t>
            </w:r>
            <w:r w:rsidR="001B06D8" w:rsidRPr="00DE53F3">
              <w:rPr>
                <w:rFonts w:ascii="Times New Roman" w:hAnsi="Times New Roman"/>
                <w:sz w:val="24"/>
                <w:szCs w:val="24"/>
              </w:rPr>
              <w:t xml:space="preserve"> (turpmāk – noteikumu projekts)</w:t>
            </w:r>
            <w:r w:rsidRPr="00DE53F3">
              <w:rPr>
                <w:rFonts w:ascii="Times New Roman" w:hAnsi="Times New Roman"/>
                <w:sz w:val="24"/>
                <w:szCs w:val="24"/>
              </w:rPr>
              <w:t xml:space="preserve"> ir sagatavots saskaņā ar likuma “Par piesārņojumu”</w:t>
            </w:r>
            <w:r w:rsidRPr="00DE53F3">
              <w:rPr>
                <w:rFonts w:ascii="Times New Roman" w:hAnsi="Times New Roman"/>
                <w:b/>
                <w:sz w:val="24"/>
                <w:szCs w:val="24"/>
              </w:rPr>
              <w:t xml:space="preserve"> </w:t>
            </w:r>
            <w:r w:rsidRPr="00DE53F3">
              <w:rPr>
                <w:rFonts w:ascii="Times New Roman" w:hAnsi="Times New Roman"/>
                <w:sz w:val="24"/>
                <w:szCs w:val="24"/>
              </w:rPr>
              <w:t xml:space="preserve"> </w:t>
            </w:r>
            <w:hyperlink r:id="rId8" w:anchor="p6" w:tgtFrame="_blank" w:history="1">
              <w:r w:rsidRPr="00DE53F3">
                <w:rPr>
                  <w:rFonts w:ascii="Times New Roman" w:eastAsia="Times New Roman" w:hAnsi="Times New Roman"/>
                  <w:iCs/>
                  <w:sz w:val="24"/>
                  <w:szCs w:val="24"/>
                  <w:lang w:eastAsia="lv-LV"/>
                </w:rPr>
                <w:t>53. panta</w:t>
              </w:r>
            </w:hyperlink>
            <w:r w:rsidRPr="00DE53F3">
              <w:rPr>
                <w:rFonts w:ascii="Times New Roman" w:eastAsia="Times New Roman" w:hAnsi="Times New Roman"/>
                <w:iCs/>
                <w:sz w:val="24"/>
                <w:szCs w:val="24"/>
                <w:lang w:eastAsia="lv-LV"/>
              </w:rPr>
              <w:t> otrās daļas 1. punktu</w:t>
            </w:r>
            <w:r w:rsidR="005E42C0">
              <w:t>.</w:t>
            </w:r>
          </w:p>
          <w:p w14:paraId="63C0D2AF" w14:textId="59213F94" w:rsidR="001B06D8" w:rsidRPr="00DE53F3" w:rsidRDefault="006746FF" w:rsidP="00EF3A6C">
            <w:pPr>
              <w:pStyle w:val="naiskr"/>
              <w:spacing w:before="60" w:after="60"/>
              <w:jc w:val="both"/>
              <w:rPr>
                <w:bCs/>
              </w:rPr>
            </w:pPr>
            <w:r w:rsidRPr="00DE53F3">
              <w:t>Vides aizsardzības un reģionālās attīstības ministrija (turpmāk – VARAM) ir konstatējusi, ka</w:t>
            </w:r>
            <w:r w:rsidR="006B6EDE" w:rsidRPr="00DE53F3">
              <w:t xml:space="preserve"> nepieciešams veikt grozījumus </w:t>
            </w:r>
            <w:r w:rsidRPr="00DE53F3">
              <w:t xml:space="preserve">Ministru kabineta </w:t>
            </w:r>
            <w:r w:rsidR="004E58D0" w:rsidRPr="00DE53F3">
              <w:t>2012.</w:t>
            </w:r>
            <w:r w:rsidR="00A225B4" w:rsidRPr="00DE53F3">
              <w:t> </w:t>
            </w:r>
            <w:r w:rsidR="004E58D0" w:rsidRPr="00DE53F3">
              <w:t>gada 27.</w:t>
            </w:r>
            <w:r w:rsidR="00A225B4" w:rsidRPr="00DE53F3">
              <w:t> </w:t>
            </w:r>
            <w:r w:rsidR="004E58D0" w:rsidRPr="00DE53F3">
              <w:t>marta</w:t>
            </w:r>
            <w:r w:rsidR="004E58D0" w:rsidRPr="00DE53F3">
              <w:rPr>
                <w:b/>
              </w:rPr>
              <w:t xml:space="preserve"> </w:t>
            </w:r>
            <w:r w:rsidR="006B6EDE" w:rsidRPr="00DE53F3">
              <w:t>noteikumos Nr.</w:t>
            </w:r>
            <w:r w:rsidR="00A225B4" w:rsidRPr="00DE53F3">
              <w:t> </w:t>
            </w:r>
            <w:r w:rsidR="006B6EDE" w:rsidRPr="00DE53F3">
              <w:t>217 „Noteikumi par siltumnīcefekta gāzu emisijas vienību inven</w:t>
            </w:r>
            <w:r w:rsidR="002D670A" w:rsidRPr="00DE53F3">
              <w:t>tarizācijas nacionālo sistēmu”</w:t>
            </w:r>
            <w:r w:rsidRPr="00DE53F3">
              <w:t>. Ņemot vērā to, ka</w:t>
            </w:r>
            <w:r w:rsidR="001B06D8" w:rsidRPr="00DE53F3">
              <w:t xml:space="preserve"> </w:t>
            </w:r>
            <w:r w:rsidR="006B6EDE" w:rsidRPr="00DE53F3">
              <w:t>nepieciešam</w:t>
            </w:r>
            <w:r w:rsidR="001B06D8" w:rsidRPr="00DE53F3">
              <w:t>o</w:t>
            </w:r>
            <w:r w:rsidR="006B6EDE" w:rsidRPr="00DE53F3">
              <w:t xml:space="preserve"> grozījum</w:t>
            </w:r>
            <w:r w:rsidRPr="00DE53F3">
              <w:t xml:space="preserve">u apjoms </w:t>
            </w:r>
            <w:r w:rsidR="006B6EDE" w:rsidRPr="00DE53F3">
              <w:t xml:space="preserve"> ir vairāk kā 50%</w:t>
            </w:r>
            <w:r w:rsidRPr="00DE53F3">
              <w:t xml:space="preserve"> no noteikumu teksta</w:t>
            </w:r>
            <w:r w:rsidR="006B6EDE" w:rsidRPr="00DE53F3">
              <w:t>, tad</w:t>
            </w:r>
            <w:r w:rsidR="00D3416D" w:rsidRPr="00DE53F3">
              <w:t>,</w:t>
            </w:r>
            <w:r w:rsidR="006B6EDE" w:rsidRPr="00DE53F3">
              <w:t xml:space="preserve"> </w:t>
            </w:r>
            <w:r w:rsidRPr="00DE53F3">
              <w:t xml:space="preserve">ievērojot Ministru kabineta </w:t>
            </w:r>
            <w:r w:rsidR="00780C97" w:rsidRPr="00DE53F3">
              <w:t>2009.gada 3.februāra noteikumu Nr. 108 ”Normatīvo aktu projektu sagatavošanas noteikumi”</w:t>
            </w:r>
            <w:r w:rsidR="004B7339" w:rsidRPr="00DE53F3">
              <w:t xml:space="preserve"> </w:t>
            </w:r>
            <w:r w:rsidR="00780C97" w:rsidRPr="00DE53F3">
              <w:t xml:space="preserve">140. </w:t>
            </w:r>
            <w:r w:rsidR="001B06D8" w:rsidRPr="00DE53F3">
              <w:t>p</w:t>
            </w:r>
            <w:r w:rsidR="00780C97" w:rsidRPr="00DE53F3">
              <w:t>unktu</w:t>
            </w:r>
            <w:r w:rsidR="001B06D8" w:rsidRPr="00DE53F3">
              <w:t xml:space="preserve">, </w:t>
            </w:r>
            <w:r w:rsidR="006B6EDE" w:rsidRPr="00DE53F3">
              <w:t xml:space="preserve">ir </w:t>
            </w:r>
            <w:r w:rsidRPr="00DE53F3">
              <w:t>jāizstrādā ja</w:t>
            </w:r>
            <w:r w:rsidR="00780C97" w:rsidRPr="00DE53F3">
              <w:t>u</w:t>
            </w:r>
            <w:r w:rsidRPr="00DE53F3">
              <w:t>ni Ministru kabineta</w:t>
            </w:r>
            <w:r w:rsidR="006B6EDE" w:rsidRPr="00DE53F3">
              <w:t xml:space="preserve"> noteikumi</w:t>
            </w:r>
            <w:r w:rsidR="00D3416D" w:rsidRPr="00DE53F3">
              <w:t>.</w:t>
            </w:r>
          </w:p>
          <w:p w14:paraId="4566F8E3" w14:textId="74AD9565" w:rsidR="00D76CC5" w:rsidRPr="000365D2" w:rsidRDefault="00D76CC5" w:rsidP="000365D2">
            <w:pPr>
              <w:spacing w:after="0"/>
              <w:rPr>
                <w:sz w:val="24"/>
                <w:szCs w:val="24"/>
              </w:rPr>
            </w:pPr>
          </w:p>
        </w:tc>
      </w:tr>
      <w:tr w:rsidR="00F122F9" w:rsidRPr="00D3416D" w14:paraId="03733C3B" w14:textId="77777777" w:rsidTr="00C4088E">
        <w:trPr>
          <w:trHeight w:val="3675"/>
          <w:jc w:val="center"/>
        </w:trPr>
        <w:tc>
          <w:tcPr>
            <w:tcW w:w="341" w:type="dxa"/>
          </w:tcPr>
          <w:p w14:paraId="78B3BAA5" w14:textId="77777777" w:rsidR="00CB4AAB" w:rsidRPr="00D3416D" w:rsidRDefault="00CB4AAB" w:rsidP="00B63F0E">
            <w:pPr>
              <w:spacing w:before="60" w:after="60"/>
              <w:jc w:val="center"/>
              <w:rPr>
                <w:rFonts w:ascii="Times New Roman" w:hAnsi="Times New Roman"/>
                <w:sz w:val="24"/>
                <w:szCs w:val="24"/>
                <w:lang w:eastAsia="lv-LV"/>
              </w:rPr>
            </w:pPr>
            <w:r w:rsidRPr="00D3416D">
              <w:rPr>
                <w:rFonts w:ascii="Times New Roman" w:hAnsi="Times New Roman"/>
                <w:sz w:val="24"/>
                <w:szCs w:val="24"/>
                <w:lang w:eastAsia="lv-LV"/>
              </w:rPr>
              <w:t>2.</w:t>
            </w:r>
          </w:p>
        </w:tc>
        <w:tc>
          <w:tcPr>
            <w:tcW w:w="1355" w:type="dxa"/>
          </w:tcPr>
          <w:p w14:paraId="220C50A4"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Pašreizējā situācija un problēmas, kuru risināšanai tiesību akta projekts izstrādāts, tiesiskā regulējuma mērķis un būtība</w:t>
            </w:r>
          </w:p>
        </w:tc>
        <w:tc>
          <w:tcPr>
            <w:tcW w:w="7489" w:type="dxa"/>
          </w:tcPr>
          <w:p w14:paraId="4D7E716E" w14:textId="77777777" w:rsidR="00FD5A20" w:rsidRPr="00DE53F3" w:rsidRDefault="005472D6" w:rsidP="0073448B">
            <w:pPr>
              <w:pStyle w:val="naiskr"/>
              <w:spacing w:before="60" w:after="60"/>
              <w:jc w:val="both"/>
              <w:rPr>
                <w:u w:val="single"/>
              </w:rPr>
            </w:pPr>
            <w:r w:rsidRPr="00DE53F3">
              <w:rPr>
                <w:u w:val="single"/>
              </w:rPr>
              <w:t xml:space="preserve">Pašreizējā situācija un problēmas, pastāvošais tiesiskais regulējums, tā būtība un </w:t>
            </w:r>
            <w:r w:rsidR="006E6F43" w:rsidRPr="00DE53F3">
              <w:rPr>
                <w:u w:val="single"/>
              </w:rPr>
              <w:t>nepilnības</w:t>
            </w:r>
          </w:p>
          <w:p w14:paraId="06D2583D" w14:textId="06AC3439" w:rsidR="003A47D4" w:rsidRPr="00DE53F3" w:rsidRDefault="006E6F43" w:rsidP="002D670A">
            <w:pPr>
              <w:rPr>
                <w:rFonts w:ascii="Times New Roman" w:hAnsi="Times New Roman"/>
                <w:sz w:val="24"/>
                <w:szCs w:val="24"/>
              </w:rPr>
            </w:pPr>
            <w:r w:rsidRPr="00DE53F3">
              <w:rPr>
                <w:rFonts w:ascii="Times New Roman" w:hAnsi="Times New Roman"/>
                <w:sz w:val="24"/>
                <w:szCs w:val="24"/>
              </w:rPr>
              <w:t xml:space="preserve">Šobrīd </w:t>
            </w:r>
            <w:r w:rsidR="000236E8" w:rsidRPr="00DE53F3">
              <w:rPr>
                <w:rFonts w:ascii="Times New Roman" w:hAnsi="Times New Roman"/>
                <w:sz w:val="24"/>
                <w:szCs w:val="24"/>
              </w:rPr>
              <w:t>esošie</w:t>
            </w:r>
            <w:r w:rsidR="002D670A" w:rsidRPr="00DE53F3">
              <w:rPr>
                <w:rFonts w:ascii="Times New Roman" w:hAnsi="Times New Roman"/>
                <w:sz w:val="24"/>
                <w:szCs w:val="24"/>
              </w:rPr>
              <w:t xml:space="preserve"> </w:t>
            </w:r>
            <w:r w:rsidR="000236E8" w:rsidRPr="00DE53F3">
              <w:rPr>
                <w:rFonts w:ascii="Times New Roman" w:hAnsi="Times New Roman"/>
                <w:sz w:val="24"/>
                <w:szCs w:val="24"/>
              </w:rPr>
              <w:t>2012.</w:t>
            </w:r>
            <w:r w:rsidR="001261AE" w:rsidRPr="00DE53F3">
              <w:rPr>
                <w:rFonts w:ascii="Times New Roman" w:hAnsi="Times New Roman"/>
                <w:sz w:val="24"/>
                <w:szCs w:val="24"/>
              </w:rPr>
              <w:t> </w:t>
            </w:r>
            <w:r w:rsidR="000236E8" w:rsidRPr="00DE53F3">
              <w:rPr>
                <w:rFonts w:ascii="Times New Roman" w:hAnsi="Times New Roman"/>
                <w:sz w:val="24"/>
                <w:szCs w:val="24"/>
              </w:rPr>
              <w:t>gada 27.</w:t>
            </w:r>
            <w:r w:rsidR="001261AE" w:rsidRPr="00DE53F3">
              <w:rPr>
                <w:rFonts w:ascii="Times New Roman" w:hAnsi="Times New Roman"/>
                <w:sz w:val="24"/>
                <w:szCs w:val="24"/>
              </w:rPr>
              <w:t> </w:t>
            </w:r>
            <w:r w:rsidR="000236E8" w:rsidRPr="00DE53F3">
              <w:rPr>
                <w:rFonts w:ascii="Times New Roman" w:hAnsi="Times New Roman"/>
                <w:sz w:val="24"/>
                <w:szCs w:val="24"/>
              </w:rPr>
              <w:t xml:space="preserve">marta </w:t>
            </w:r>
            <w:r w:rsidR="002D670A" w:rsidRPr="00DE53F3">
              <w:rPr>
                <w:rFonts w:ascii="Times New Roman" w:hAnsi="Times New Roman"/>
                <w:sz w:val="24"/>
                <w:szCs w:val="24"/>
              </w:rPr>
              <w:t xml:space="preserve">Ministru Kabineta </w:t>
            </w:r>
            <w:r w:rsidR="000236E8" w:rsidRPr="00DE53F3">
              <w:rPr>
                <w:rFonts w:ascii="Times New Roman" w:hAnsi="Times New Roman"/>
                <w:sz w:val="24"/>
                <w:szCs w:val="24"/>
              </w:rPr>
              <w:t>noteikumi Nr.</w:t>
            </w:r>
            <w:r w:rsidR="001261AE" w:rsidRPr="00DE53F3">
              <w:rPr>
                <w:rFonts w:ascii="Times New Roman" w:hAnsi="Times New Roman"/>
                <w:sz w:val="24"/>
                <w:szCs w:val="24"/>
              </w:rPr>
              <w:t> </w:t>
            </w:r>
            <w:r w:rsidR="000236E8" w:rsidRPr="00DE53F3">
              <w:rPr>
                <w:rFonts w:ascii="Times New Roman" w:hAnsi="Times New Roman"/>
                <w:sz w:val="24"/>
                <w:szCs w:val="24"/>
              </w:rPr>
              <w:t>217 „Noteikumi par siltumnīcefekta gāzu emisijas vienību inventarizācijas nacionālo sistēmu” nav atjaunināti atbilstoši jaunākajām pārraudzības un ziņošanas prasībām, kas pieņemtas ANO Vispārējās konvencijas par klimata pārmaiņām (turpmāk – Klimata konvencija), Kioto protokola un Eiropas Savienības tiesību aktu</w:t>
            </w:r>
            <w:r w:rsidR="004E58D0" w:rsidRPr="00DE53F3">
              <w:rPr>
                <w:rFonts w:ascii="Times New Roman" w:hAnsi="Times New Roman"/>
                <w:sz w:val="24"/>
                <w:szCs w:val="24"/>
              </w:rPr>
              <w:t xml:space="preserve"> un Vides monitoringa programmas 2015.</w:t>
            </w:r>
            <w:r w:rsidR="001261AE" w:rsidRPr="00DE53F3">
              <w:rPr>
                <w:rFonts w:ascii="Times New Roman" w:hAnsi="Times New Roman"/>
                <w:sz w:val="24"/>
                <w:szCs w:val="24"/>
              </w:rPr>
              <w:t xml:space="preserve"> –</w:t>
            </w:r>
            <w:r w:rsidR="004E58D0" w:rsidRPr="00DE53F3">
              <w:rPr>
                <w:rFonts w:ascii="Times New Roman" w:hAnsi="Times New Roman"/>
                <w:sz w:val="24"/>
                <w:szCs w:val="24"/>
              </w:rPr>
              <w:t>2020.</w:t>
            </w:r>
            <w:r w:rsidR="001261AE" w:rsidRPr="00DE53F3">
              <w:rPr>
                <w:rFonts w:ascii="Times New Roman" w:hAnsi="Times New Roman"/>
                <w:sz w:val="24"/>
                <w:szCs w:val="24"/>
              </w:rPr>
              <w:t> </w:t>
            </w:r>
            <w:r w:rsidR="004E58D0" w:rsidRPr="00DE53F3">
              <w:rPr>
                <w:rFonts w:ascii="Times New Roman" w:hAnsi="Times New Roman"/>
                <w:sz w:val="24"/>
                <w:szCs w:val="24"/>
              </w:rPr>
              <w:t>gadam, tai skaitā Gaisa un klimata pārmaiņu monitoringa programma, kura izstrādāta pamatojoties uz Vides politikas pamatnostādnēm 2014.</w:t>
            </w:r>
            <w:r w:rsidR="001261AE" w:rsidRPr="00DE53F3">
              <w:rPr>
                <w:rFonts w:ascii="Times New Roman" w:hAnsi="Times New Roman"/>
                <w:sz w:val="24"/>
                <w:szCs w:val="24"/>
              </w:rPr>
              <w:t xml:space="preserve"> –</w:t>
            </w:r>
            <w:r w:rsidR="004E58D0" w:rsidRPr="00DE53F3">
              <w:rPr>
                <w:rFonts w:ascii="Times New Roman" w:hAnsi="Times New Roman"/>
                <w:sz w:val="24"/>
                <w:szCs w:val="24"/>
              </w:rPr>
              <w:t>2020.</w:t>
            </w:r>
            <w:r w:rsidR="001261AE" w:rsidRPr="00DE53F3">
              <w:rPr>
                <w:rFonts w:ascii="Times New Roman" w:hAnsi="Times New Roman"/>
                <w:sz w:val="24"/>
                <w:szCs w:val="24"/>
              </w:rPr>
              <w:t> </w:t>
            </w:r>
            <w:r w:rsidR="004E58D0" w:rsidRPr="00DE53F3">
              <w:rPr>
                <w:rFonts w:ascii="Times New Roman" w:hAnsi="Times New Roman"/>
                <w:sz w:val="24"/>
                <w:szCs w:val="24"/>
              </w:rPr>
              <w:t>gadam</w:t>
            </w:r>
            <w:r w:rsidR="000236E8" w:rsidRPr="00DE53F3">
              <w:rPr>
                <w:rFonts w:ascii="Times New Roman" w:hAnsi="Times New Roman"/>
                <w:sz w:val="24"/>
                <w:szCs w:val="24"/>
              </w:rPr>
              <w:t xml:space="preserve"> ietvaros</w:t>
            </w:r>
            <w:r w:rsidR="004E58D0" w:rsidRPr="00DE53F3">
              <w:rPr>
                <w:rFonts w:ascii="Times New Roman" w:hAnsi="Times New Roman"/>
                <w:sz w:val="24"/>
                <w:szCs w:val="24"/>
              </w:rPr>
              <w:t>. L</w:t>
            </w:r>
            <w:r w:rsidR="000236E8" w:rsidRPr="00DE53F3">
              <w:rPr>
                <w:rFonts w:ascii="Times New Roman" w:hAnsi="Times New Roman"/>
                <w:sz w:val="24"/>
                <w:szCs w:val="24"/>
              </w:rPr>
              <w:t>īdz ar to</w:t>
            </w:r>
            <w:r w:rsidR="004E58D0" w:rsidRPr="00DE53F3">
              <w:rPr>
                <w:rFonts w:ascii="Times New Roman" w:hAnsi="Times New Roman"/>
                <w:sz w:val="24"/>
                <w:szCs w:val="24"/>
              </w:rPr>
              <w:t>,</w:t>
            </w:r>
            <w:r w:rsidR="000236E8" w:rsidRPr="00DE53F3">
              <w:rPr>
                <w:rFonts w:ascii="Times New Roman" w:hAnsi="Times New Roman"/>
                <w:sz w:val="24"/>
                <w:szCs w:val="24"/>
              </w:rPr>
              <w:t xml:space="preserve"> </w:t>
            </w:r>
            <w:r w:rsidR="00540AB4" w:rsidRPr="00DE53F3">
              <w:rPr>
                <w:rFonts w:ascii="Times New Roman" w:hAnsi="Times New Roman"/>
                <w:sz w:val="24"/>
                <w:szCs w:val="24"/>
                <w:shd w:val="clear" w:color="auto" w:fill="FFFFFF"/>
              </w:rPr>
              <w:t>l</w:t>
            </w:r>
            <w:r w:rsidR="000236E8" w:rsidRPr="00DE53F3">
              <w:rPr>
                <w:rFonts w:ascii="Times New Roman" w:hAnsi="Times New Roman"/>
                <w:sz w:val="24"/>
                <w:szCs w:val="24"/>
                <w:shd w:val="clear" w:color="auto" w:fill="FFFFFF"/>
              </w:rPr>
              <w:t xml:space="preserve">ai nodrošinātu, ka ikgadējā siltumnīcefekta gāzu inventarizācija un ziņojumi </w:t>
            </w:r>
            <w:r w:rsidR="000236E8" w:rsidRPr="00DE53F3">
              <w:rPr>
                <w:rFonts w:ascii="Times New Roman" w:hAnsi="Times New Roman"/>
                <w:sz w:val="24"/>
                <w:szCs w:val="24"/>
                <w:bdr w:val="none" w:sz="0" w:space="0" w:color="auto" w:frame="1"/>
                <w:shd w:val="clear" w:color="auto" w:fill="FFFFFF"/>
              </w:rPr>
              <w:t xml:space="preserve">par politikām, pasākumiem un </w:t>
            </w:r>
            <w:r w:rsidR="001261AE" w:rsidRPr="00DE53F3">
              <w:rPr>
                <w:rFonts w:ascii="Times New Roman" w:hAnsi="Times New Roman"/>
                <w:sz w:val="24"/>
                <w:szCs w:val="24"/>
                <w:bdr w:val="none" w:sz="0" w:space="0" w:color="auto" w:frame="1"/>
                <w:shd w:val="clear" w:color="auto" w:fill="FFFFFF"/>
              </w:rPr>
              <w:t>prognozēm</w:t>
            </w:r>
            <w:r w:rsidR="001261AE" w:rsidRPr="00DE53F3">
              <w:rPr>
                <w:rStyle w:val="apple-converted-space"/>
                <w:rFonts w:ascii="Times New Roman" w:hAnsi="Times New Roman"/>
                <w:sz w:val="24"/>
                <w:szCs w:val="24"/>
                <w:shd w:val="clear" w:color="auto" w:fill="FFFFFF"/>
              </w:rPr>
              <w:t xml:space="preserve"> </w:t>
            </w:r>
            <w:r w:rsidR="000236E8" w:rsidRPr="00DE53F3">
              <w:rPr>
                <w:rFonts w:ascii="Times New Roman" w:hAnsi="Times New Roman"/>
                <w:sz w:val="24"/>
                <w:szCs w:val="24"/>
                <w:shd w:val="clear" w:color="auto" w:fill="FFFFFF"/>
              </w:rPr>
              <w:t>tiek</w:t>
            </w:r>
            <w:r w:rsidR="001261AE" w:rsidRPr="00DE53F3">
              <w:rPr>
                <w:rFonts w:ascii="Times New Roman" w:hAnsi="Times New Roman"/>
                <w:sz w:val="24"/>
                <w:szCs w:val="24"/>
                <w:shd w:val="clear" w:color="auto" w:fill="FFFFFF"/>
              </w:rPr>
              <w:t xml:space="preserve"> </w:t>
            </w:r>
            <w:r w:rsidR="000236E8" w:rsidRPr="00DE53F3">
              <w:rPr>
                <w:rFonts w:ascii="Times New Roman" w:hAnsi="Times New Roman"/>
                <w:sz w:val="24"/>
                <w:szCs w:val="24"/>
                <w:shd w:val="clear" w:color="auto" w:fill="FFFFFF"/>
              </w:rPr>
              <w:t xml:space="preserve">sagatavoti balstoties uz jaunākajiem starptautiski </w:t>
            </w:r>
            <w:r w:rsidR="004E58D0" w:rsidRPr="00DE53F3">
              <w:rPr>
                <w:rFonts w:ascii="Times New Roman" w:hAnsi="Times New Roman"/>
                <w:sz w:val="24"/>
                <w:szCs w:val="24"/>
                <w:shd w:val="clear" w:color="auto" w:fill="FFFFFF"/>
              </w:rPr>
              <w:t xml:space="preserve">un nacionāli </w:t>
            </w:r>
            <w:r w:rsidR="000236E8" w:rsidRPr="00DE53F3">
              <w:rPr>
                <w:rFonts w:ascii="Times New Roman" w:hAnsi="Times New Roman"/>
                <w:sz w:val="24"/>
                <w:szCs w:val="24"/>
                <w:shd w:val="clear" w:color="auto" w:fill="FFFFFF"/>
              </w:rPr>
              <w:t xml:space="preserve">pieņemtajiem tiesību aktiem, ir ticami, konsekventi, pārredzami, salīdzināmi un sagatavoti savlaicīgos termiņos </w:t>
            </w:r>
            <w:r w:rsidR="004E58D0" w:rsidRPr="00DE53F3">
              <w:rPr>
                <w:rFonts w:ascii="Times New Roman" w:hAnsi="Times New Roman"/>
                <w:sz w:val="24"/>
                <w:szCs w:val="24"/>
              </w:rPr>
              <w:t>šajos noteikumos</w:t>
            </w:r>
            <w:r w:rsidR="004E58D0" w:rsidRPr="00DE53F3">
              <w:rPr>
                <w:rFonts w:ascii="Times New Roman" w:hAnsi="Times New Roman"/>
                <w:sz w:val="24"/>
                <w:szCs w:val="24"/>
                <w:shd w:val="clear" w:color="auto" w:fill="FFFFFF"/>
              </w:rPr>
              <w:t xml:space="preserve"> </w:t>
            </w:r>
            <w:r w:rsidR="000236E8" w:rsidRPr="00DE53F3">
              <w:rPr>
                <w:rFonts w:ascii="Times New Roman" w:hAnsi="Times New Roman"/>
                <w:sz w:val="24"/>
                <w:szCs w:val="24"/>
                <w:shd w:val="clear" w:color="auto" w:fill="FFFFFF"/>
              </w:rPr>
              <w:t xml:space="preserve">nepieciešams veikt </w:t>
            </w:r>
            <w:r w:rsidR="000236E8" w:rsidRPr="00DE53F3">
              <w:rPr>
                <w:rFonts w:ascii="Times New Roman" w:hAnsi="Times New Roman"/>
                <w:sz w:val="24"/>
                <w:szCs w:val="24"/>
              </w:rPr>
              <w:t>vairākus saturiskus grozījumus</w:t>
            </w:r>
            <w:r w:rsidR="002D670A" w:rsidRPr="00DE53F3">
              <w:rPr>
                <w:rFonts w:ascii="Times New Roman" w:hAnsi="Times New Roman"/>
                <w:sz w:val="24"/>
                <w:szCs w:val="24"/>
              </w:rPr>
              <w:t>.</w:t>
            </w:r>
          </w:p>
          <w:p w14:paraId="4E8FD661" w14:textId="07F17D79" w:rsidR="00CB4AAB" w:rsidRDefault="00EC336E" w:rsidP="00C37C02">
            <w:pPr>
              <w:pStyle w:val="naiskr"/>
              <w:spacing w:before="60" w:after="60"/>
              <w:jc w:val="both"/>
              <w:rPr>
                <w:u w:val="single"/>
              </w:rPr>
            </w:pPr>
            <w:r w:rsidRPr="00DE53F3">
              <w:rPr>
                <w:u w:val="single"/>
              </w:rPr>
              <w:t>N</w:t>
            </w:r>
            <w:r w:rsidR="00210EC9" w:rsidRPr="00DE53F3">
              <w:rPr>
                <w:u w:val="single"/>
              </w:rPr>
              <w:t>oteikumu projekts</w:t>
            </w:r>
            <w:r w:rsidR="006E6F43" w:rsidRPr="00DE53F3">
              <w:rPr>
                <w:u w:val="single"/>
              </w:rPr>
              <w:t xml:space="preserve"> izstrādāts ar mērķi:</w:t>
            </w:r>
          </w:p>
          <w:p w14:paraId="074F4AF7" w14:textId="177AE98E" w:rsidR="00A753E5" w:rsidRPr="00C4088E" w:rsidRDefault="00A753E5" w:rsidP="00C4088E">
            <w:pPr>
              <w:pStyle w:val="ListParagraph"/>
              <w:numPr>
                <w:ilvl w:val="0"/>
                <w:numId w:val="26"/>
              </w:numPr>
              <w:spacing w:after="0"/>
              <w:rPr>
                <w:sz w:val="24"/>
                <w:szCs w:val="24"/>
              </w:rPr>
            </w:pPr>
            <w:r>
              <w:rPr>
                <w:sz w:val="24"/>
                <w:szCs w:val="24"/>
              </w:rPr>
              <w:t>iekļaut</w:t>
            </w:r>
            <w:r w:rsidRPr="00DE53F3">
              <w:rPr>
                <w:sz w:val="24"/>
                <w:szCs w:val="24"/>
              </w:rPr>
              <w:t xml:space="preserve"> jaunākās pārraudzības un ziņošanas prasības, kas pieņemtas Apvienoto Nāciju Organizācijas (turpmāk </w:t>
            </w:r>
            <w:r>
              <w:rPr>
                <w:sz w:val="24"/>
                <w:szCs w:val="24"/>
              </w:rPr>
              <w:t>–</w:t>
            </w:r>
            <w:r w:rsidRPr="00DE53F3">
              <w:rPr>
                <w:sz w:val="24"/>
                <w:szCs w:val="24"/>
              </w:rPr>
              <w:t xml:space="preserve"> ANO) Vispārējās konvencijas par klimata pārmaiņām (turpmāk – Klimata konvencija), Kioto protokola un Eiropas Savienības tiesību aktu un Vides monitoringa programmas 2015. – 2020. gadam, tai skaitā Gaisa un klimata pārmaiņu monitoringa programmas, kura izstrādāta pamatojoties uz Vides politikas pamatnostādnēm 2014. – 2020.gadam ietvaros; </w:t>
            </w:r>
          </w:p>
          <w:p w14:paraId="7F20263E" w14:textId="0F59DE65" w:rsidR="00210EC9" w:rsidRPr="00DE53F3" w:rsidRDefault="00210EC9" w:rsidP="00A753E5">
            <w:pPr>
              <w:pStyle w:val="naiskr"/>
              <w:numPr>
                <w:ilvl w:val="0"/>
                <w:numId w:val="26"/>
              </w:numPr>
              <w:spacing w:before="60" w:after="60"/>
              <w:jc w:val="both"/>
            </w:pPr>
            <w:r w:rsidRPr="00DE53F3">
              <w:t xml:space="preserve">paplašināt </w:t>
            </w:r>
            <w:r w:rsidRPr="00DE53F3">
              <w:rPr>
                <w:shd w:val="clear" w:color="auto" w:fill="FFFFFF"/>
              </w:rPr>
              <w:t>esošo ikgadējās  siltumnīcefekta gāzu  inventarizācijas</w:t>
            </w:r>
            <w:r w:rsidRPr="00DE53F3">
              <w:t xml:space="preserve"> institucionālo (nacionālo) sistēmu ar atbildīgām institūcijām, kas iesniedz darbības datus, tas ir Valsts meža dienestu, </w:t>
            </w:r>
            <w:r w:rsidR="00BD36C2" w:rsidRPr="00DE53F3">
              <w:t>Valsts dzelzceļa administrāciju</w:t>
            </w:r>
            <w:r w:rsidR="00747436" w:rsidRPr="00DE53F3">
              <w:t xml:space="preserve">, </w:t>
            </w:r>
            <w:r w:rsidRPr="00DE53F3">
              <w:t xml:space="preserve"> </w:t>
            </w:r>
            <w:r w:rsidR="00747436" w:rsidRPr="00DE53F3">
              <w:t xml:space="preserve">Lauksaimniecības datu centru, Lauku atbalsta dienestu, </w:t>
            </w:r>
            <w:r w:rsidR="00EC336E" w:rsidRPr="00DE53F3">
              <w:t>v</w:t>
            </w:r>
            <w:r w:rsidR="00747436" w:rsidRPr="00DE53F3">
              <w:t xml:space="preserve">alsts </w:t>
            </w:r>
            <w:r w:rsidR="005D6421" w:rsidRPr="00DE53F3">
              <w:t>sabiedrīb</w:t>
            </w:r>
            <w:r w:rsidR="005D6421">
              <w:t>u</w:t>
            </w:r>
            <w:r w:rsidR="005D6421" w:rsidRPr="00DE53F3">
              <w:t xml:space="preserve"> </w:t>
            </w:r>
            <w:r w:rsidR="00747436" w:rsidRPr="00DE53F3">
              <w:t xml:space="preserve">ar ierobežotu atbildību “Zemkopības </w:t>
            </w:r>
            <w:r w:rsidR="00EC336E" w:rsidRPr="00DE53F3">
              <w:t>m</w:t>
            </w:r>
            <w:r w:rsidR="00747436" w:rsidRPr="00DE53F3">
              <w:t>inistrijas nekustamie īpašum</w:t>
            </w:r>
            <w:r w:rsidR="00EC336E" w:rsidRPr="00DE53F3">
              <w:t>i</w:t>
            </w:r>
            <w:r w:rsidR="00747436" w:rsidRPr="00DE53F3">
              <w:t xml:space="preserve">”, </w:t>
            </w:r>
            <w:r w:rsidR="00EC336E" w:rsidRPr="00DE53F3">
              <w:t>a</w:t>
            </w:r>
            <w:r w:rsidR="00747436" w:rsidRPr="00DE53F3">
              <w:t xml:space="preserve">kciju </w:t>
            </w:r>
            <w:r w:rsidR="005D6421" w:rsidRPr="00DE53F3">
              <w:t>sabiedrīb</w:t>
            </w:r>
            <w:r w:rsidR="005D6421">
              <w:t>u</w:t>
            </w:r>
            <w:r w:rsidR="005D6421" w:rsidRPr="00DE53F3">
              <w:t xml:space="preserve"> </w:t>
            </w:r>
            <w:r w:rsidR="00747436" w:rsidRPr="00DE53F3">
              <w:t xml:space="preserve">“Latvijas valsts meži”, </w:t>
            </w:r>
            <w:r w:rsidR="00786190" w:rsidRPr="00DE53F3">
              <w:t>biedrību “</w:t>
            </w:r>
            <w:r w:rsidR="00747436" w:rsidRPr="00DE53F3">
              <w:t>Latvijas kūdras asociācija</w:t>
            </w:r>
            <w:r w:rsidR="00786190" w:rsidRPr="00DE53F3">
              <w:t>”</w:t>
            </w:r>
            <w:r w:rsidR="00F5572C" w:rsidRPr="00DE53F3">
              <w:t xml:space="preserve"> u.c.</w:t>
            </w:r>
            <w:r w:rsidR="00747436" w:rsidRPr="00DE53F3">
              <w:t xml:space="preserve"> </w:t>
            </w:r>
            <w:r w:rsidRPr="00DE53F3">
              <w:t>un aprēķina emisijas</w:t>
            </w:r>
            <w:r w:rsidR="00BD36C2" w:rsidRPr="00DE53F3">
              <w:t>,</w:t>
            </w:r>
            <w:r w:rsidRPr="00DE53F3">
              <w:t xml:space="preserve"> </w:t>
            </w:r>
            <w:r w:rsidRPr="00DE53F3">
              <w:lastRenderedPageBreak/>
              <w:t>tas ir</w:t>
            </w:r>
            <w:r w:rsidR="00747436" w:rsidRPr="00DE53F3">
              <w:t>,</w:t>
            </w:r>
            <w:r w:rsidRPr="00DE53F3">
              <w:t xml:space="preserve"> Fizikālo enerģētikas institūtu, kas aprēķinās emisijas no transporta;</w:t>
            </w:r>
          </w:p>
          <w:p w14:paraId="0F682504" w14:textId="4AD9C5D0" w:rsidR="00210EC9" w:rsidRPr="00DE53F3" w:rsidRDefault="00BD36C2" w:rsidP="00A753E5">
            <w:pPr>
              <w:pStyle w:val="ListParagraph"/>
              <w:numPr>
                <w:ilvl w:val="0"/>
                <w:numId w:val="26"/>
              </w:numPr>
              <w:shd w:val="clear" w:color="auto" w:fill="FFFFFF"/>
              <w:spacing w:after="0" w:line="293" w:lineRule="atLeast"/>
              <w:rPr>
                <w:sz w:val="24"/>
                <w:szCs w:val="24"/>
                <w:shd w:val="clear" w:color="auto" w:fill="FFFFFF"/>
              </w:rPr>
            </w:pPr>
            <w:r w:rsidRPr="00DE53F3">
              <w:rPr>
                <w:sz w:val="24"/>
                <w:szCs w:val="24"/>
                <w:shd w:val="clear" w:color="auto" w:fill="FFFFFF"/>
              </w:rPr>
              <w:t>noteikt</w:t>
            </w:r>
            <w:r w:rsidR="00210EC9" w:rsidRPr="00DE53F3">
              <w:rPr>
                <w:sz w:val="24"/>
                <w:szCs w:val="24"/>
                <w:shd w:val="clear" w:color="auto" w:fill="FFFFFF"/>
              </w:rPr>
              <w:t xml:space="preserve"> siltumnīcefekta gāzu prognožu sagatavošanas nacionālo sistēmu, tas ir atbildīgās institūcijas gan par darbības datu iesniegšanu (Ekonomikas ministrija, Zemkopības minis</w:t>
            </w:r>
            <w:r w:rsidR="004E58D0" w:rsidRPr="00DE53F3">
              <w:rPr>
                <w:sz w:val="24"/>
                <w:szCs w:val="24"/>
                <w:shd w:val="clear" w:color="auto" w:fill="FFFFFF"/>
              </w:rPr>
              <w:t>trija, Satiksmes ministrija</w:t>
            </w:r>
            <w:r w:rsidR="00210EC9" w:rsidRPr="00DE53F3">
              <w:rPr>
                <w:sz w:val="24"/>
                <w:szCs w:val="24"/>
                <w:shd w:val="clear" w:color="auto" w:fill="FFFFFF"/>
              </w:rPr>
              <w:t>), gan siltumnīcefekta gāzu aprēķiniem (</w:t>
            </w:r>
            <w:r w:rsidR="00EC336E" w:rsidRPr="00DE53F3">
              <w:rPr>
                <w:sz w:val="24"/>
                <w:szCs w:val="24"/>
                <w:shd w:val="clear" w:color="auto" w:fill="FFFFFF"/>
              </w:rPr>
              <w:t>valsts sabiedrība ar ierobežotu atbildību “</w:t>
            </w:r>
            <w:r w:rsidR="004E58D0" w:rsidRPr="00DE53F3">
              <w:rPr>
                <w:sz w:val="24"/>
                <w:szCs w:val="24"/>
              </w:rPr>
              <w:t>Latvijas Vides, ģeoloģijas un meteoroloģijas centrs</w:t>
            </w:r>
            <w:r w:rsidR="00EC336E" w:rsidRPr="00DE53F3">
              <w:rPr>
                <w:sz w:val="24"/>
                <w:szCs w:val="24"/>
              </w:rPr>
              <w:t>”</w:t>
            </w:r>
            <w:r w:rsidR="004E58D0" w:rsidRPr="00DE53F3">
              <w:rPr>
                <w:sz w:val="24"/>
                <w:szCs w:val="24"/>
              </w:rPr>
              <w:t xml:space="preserve">, </w:t>
            </w:r>
            <w:r w:rsidR="00210EC9" w:rsidRPr="00DE53F3">
              <w:rPr>
                <w:sz w:val="24"/>
                <w:szCs w:val="24"/>
              </w:rPr>
              <w:t xml:space="preserve">Fizikālās enerģētikas institūts, Latvijas Valsts mežzinātnes institūts </w:t>
            </w:r>
            <w:r w:rsidR="005A0385" w:rsidRPr="00DE53F3">
              <w:rPr>
                <w:sz w:val="24"/>
                <w:szCs w:val="24"/>
              </w:rPr>
              <w:t>“</w:t>
            </w:r>
            <w:r w:rsidR="00210EC9" w:rsidRPr="00DE53F3">
              <w:rPr>
                <w:sz w:val="24"/>
                <w:szCs w:val="24"/>
              </w:rPr>
              <w:t>Silava</w:t>
            </w:r>
            <w:r w:rsidR="005A0385" w:rsidRPr="00DE53F3">
              <w:rPr>
                <w:sz w:val="24"/>
                <w:szCs w:val="24"/>
              </w:rPr>
              <w:t xml:space="preserve">”, </w:t>
            </w:r>
            <w:r w:rsidR="00210EC9" w:rsidRPr="00DE53F3">
              <w:rPr>
                <w:sz w:val="24"/>
                <w:szCs w:val="24"/>
              </w:rPr>
              <w:t>Latvija</w:t>
            </w:r>
            <w:r w:rsidR="004E58D0" w:rsidRPr="00DE53F3">
              <w:rPr>
                <w:sz w:val="24"/>
                <w:szCs w:val="24"/>
              </w:rPr>
              <w:t>s Lauksaimniecības universitāte</w:t>
            </w:r>
            <w:r w:rsidR="00661B81" w:rsidRPr="00DE53F3">
              <w:rPr>
                <w:sz w:val="24"/>
                <w:szCs w:val="24"/>
              </w:rPr>
              <w:t>)</w:t>
            </w:r>
            <w:r w:rsidR="00210EC9" w:rsidRPr="00DE53F3">
              <w:rPr>
                <w:sz w:val="24"/>
                <w:szCs w:val="24"/>
              </w:rPr>
              <w:t xml:space="preserve">, gan nacionālās sistēmas koordinēšanu </w:t>
            </w:r>
            <w:r w:rsidR="005A0385" w:rsidRPr="00DE53F3">
              <w:rPr>
                <w:sz w:val="24"/>
                <w:szCs w:val="24"/>
              </w:rPr>
              <w:t xml:space="preserve">– </w:t>
            </w:r>
            <w:r w:rsidR="00054CEF" w:rsidRPr="00DE53F3">
              <w:rPr>
                <w:sz w:val="24"/>
                <w:szCs w:val="24"/>
              </w:rPr>
              <w:t>VARAM</w:t>
            </w:r>
            <w:r w:rsidR="00210EC9" w:rsidRPr="00DE53F3">
              <w:rPr>
                <w:sz w:val="24"/>
                <w:szCs w:val="24"/>
                <w:shd w:val="clear" w:color="auto" w:fill="FFFFFF"/>
              </w:rPr>
              <w:t>;</w:t>
            </w:r>
          </w:p>
          <w:p w14:paraId="2960D41C" w14:textId="03BF61E9" w:rsidR="00210EC9" w:rsidRDefault="00661B81" w:rsidP="00A753E5">
            <w:pPr>
              <w:pStyle w:val="ListParagraph"/>
              <w:numPr>
                <w:ilvl w:val="0"/>
                <w:numId w:val="26"/>
              </w:numPr>
              <w:shd w:val="clear" w:color="auto" w:fill="FFFFFF"/>
              <w:spacing w:after="0" w:line="293" w:lineRule="atLeast"/>
              <w:rPr>
                <w:sz w:val="24"/>
                <w:szCs w:val="24"/>
              </w:rPr>
            </w:pPr>
            <w:r w:rsidRPr="00DE53F3">
              <w:rPr>
                <w:sz w:val="24"/>
                <w:szCs w:val="24"/>
              </w:rPr>
              <w:t>papildināt</w:t>
            </w:r>
            <w:r w:rsidR="00210EC9" w:rsidRPr="00DE53F3">
              <w:rPr>
                <w:sz w:val="24"/>
                <w:szCs w:val="24"/>
              </w:rPr>
              <w:t xml:space="preserve"> ikgadējās siltumnīcefekta gāzu inventarizācijas un nosakot no jauna siltumnīcefekta gāzu prognožu </w:t>
            </w:r>
            <w:r w:rsidR="004E58D0" w:rsidRPr="00DE53F3">
              <w:rPr>
                <w:sz w:val="24"/>
                <w:szCs w:val="24"/>
              </w:rPr>
              <w:t xml:space="preserve">sagatavošanas </w:t>
            </w:r>
            <w:r w:rsidR="00210EC9" w:rsidRPr="00DE53F3">
              <w:rPr>
                <w:sz w:val="24"/>
                <w:szCs w:val="24"/>
              </w:rPr>
              <w:t xml:space="preserve">kvalitātes kontroles un kvalitātes nodrošināšanas procedūras, tai skaitā arī dalību starptautiskajā pārbaužu procesā </w:t>
            </w:r>
            <w:r w:rsidR="005A0385" w:rsidRPr="00DE53F3">
              <w:rPr>
                <w:sz w:val="24"/>
                <w:szCs w:val="24"/>
              </w:rPr>
              <w:t xml:space="preserve">– </w:t>
            </w:r>
            <w:r w:rsidR="00210EC9" w:rsidRPr="00DE53F3">
              <w:rPr>
                <w:sz w:val="24"/>
                <w:szCs w:val="24"/>
              </w:rPr>
              <w:t>koordinējot un sniedzot atbildes uz starptautisko auditoru jautājumiem.</w:t>
            </w:r>
          </w:p>
          <w:p w14:paraId="632019D5" w14:textId="154475D5" w:rsidR="00C4088E" w:rsidRPr="00DE53F3" w:rsidRDefault="00C4088E" w:rsidP="00A753E5">
            <w:pPr>
              <w:pStyle w:val="ListParagraph"/>
              <w:numPr>
                <w:ilvl w:val="0"/>
                <w:numId w:val="26"/>
              </w:numPr>
              <w:shd w:val="clear" w:color="auto" w:fill="FFFFFF"/>
              <w:spacing w:after="0" w:line="293" w:lineRule="atLeast"/>
              <w:rPr>
                <w:sz w:val="24"/>
                <w:szCs w:val="24"/>
              </w:rPr>
            </w:pPr>
            <w:r>
              <w:rPr>
                <w:sz w:val="24"/>
                <w:szCs w:val="24"/>
              </w:rPr>
              <w:t>iekļaut un noteikt</w:t>
            </w:r>
            <w:r w:rsidRPr="00DE53F3">
              <w:rPr>
                <w:sz w:val="24"/>
                <w:szCs w:val="24"/>
              </w:rPr>
              <w:t xml:space="preserve"> ziņošanas un uzskaites kārtību par siltumnīcefekta gāzu emisiju un piesaisti no zemes izmantošanas, zemes izmantošanas maiņas un mežsaimniecības darbībām, kā arī aramzemes un ganību apsaimniekošanas  sistēmām. </w:t>
            </w:r>
          </w:p>
          <w:p w14:paraId="02B5FEDB" w14:textId="05B57281" w:rsidR="00D20C83" w:rsidRPr="00DE53F3" w:rsidRDefault="00D20C83" w:rsidP="00A753E5">
            <w:pPr>
              <w:pStyle w:val="ListParagraph"/>
              <w:numPr>
                <w:ilvl w:val="0"/>
                <w:numId w:val="26"/>
              </w:numPr>
              <w:shd w:val="clear" w:color="auto" w:fill="FFFFFF"/>
              <w:spacing w:after="0" w:line="293" w:lineRule="atLeast"/>
              <w:rPr>
                <w:sz w:val="24"/>
                <w:szCs w:val="24"/>
              </w:rPr>
            </w:pPr>
            <w:r w:rsidRPr="00DE53F3">
              <w:rPr>
                <w:sz w:val="24"/>
                <w:szCs w:val="24"/>
              </w:rPr>
              <w:t>papildināt jau esošo</w:t>
            </w:r>
            <w:r w:rsidR="00210EC9" w:rsidRPr="00DE53F3">
              <w:rPr>
                <w:sz w:val="24"/>
                <w:szCs w:val="24"/>
              </w:rPr>
              <w:t xml:space="preserve"> ziņošanas un uzraudzības kārtību</w:t>
            </w:r>
            <w:r w:rsidRPr="00DE53F3">
              <w:rPr>
                <w:sz w:val="24"/>
                <w:szCs w:val="24"/>
              </w:rPr>
              <w:t xml:space="preserve"> ikgadējai siltumnīcefekta gāzu inventarizācijai;</w:t>
            </w:r>
          </w:p>
          <w:p w14:paraId="3CD99D45" w14:textId="28DA189D" w:rsidR="0080043E" w:rsidRPr="00DE53F3" w:rsidRDefault="00D20C83" w:rsidP="00A753E5">
            <w:pPr>
              <w:pStyle w:val="ListParagraph"/>
              <w:numPr>
                <w:ilvl w:val="0"/>
                <w:numId w:val="26"/>
              </w:numPr>
              <w:shd w:val="clear" w:color="auto" w:fill="FFFFFF"/>
              <w:spacing w:after="0" w:line="293" w:lineRule="atLeast"/>
              <w:rPr>
                <w:sz w:val="24"/>
                <w:szCs w:val="24"/>
              </w:rPr>
            </w:pPr>
            <w:r w:rsidRPr="00DE53F3">
              <w:rPr>
                <w:sz w:val="24"/>
                <w:szCs w:val="24"/>
              </w:rPr>
              <w:t xml:space="preserve">noteikt ziņošanas un uzraudzības kārtību siltumnīcefekta gāzu prognožu sagatavošanai, </w:t>
            </w:r>
            <w:r w:rsidR="00210EC9" w:rsidRPr="00DE53F3">
              <w:rPr>
                <w:sz w:val="24"/>
                <w:szCs w:val="24"/>
              </w:rPr>
              <w:t>tai skaitā uzraudzības komitejai plānotās darbības.</w:t>
            </w:r>
          </w:p>
        </w:tc>
      </w:tr>
      <w:tr w:rsidR="00F122F9" w:rsidRPr="00D3416D" w14:paraId="7E31346E" w14:textId="77777777" w:rsidTr="00C37C02">
        <w:trPr>
          <w:trHeight w:val="274"/>
          <w:jc w:val="center"/>
        </w:trPr>
        <w:tc>
          <w:tcPr>
            <w:tcW w:w="341" w:type="dxa"/>
          </w:tcPr>
          <w:p w14:paraId="76DA66F1" w14:textId="77777777" w:rsidR="00CB4AAB" w:rsidRPr="00D3416D" w:rsidRDefault="00CB4AAB" w:rsidP="00B63F0E">
            <w:pPr>
              <w:spacing w:before="60" w:after="60"/>
              <w:jc w:val="center"/>
              <w:rPr>
                <w:rFonts w:ascii="Times New Roman" w:hAnsi="Times New Roman"/>
                <w:sz w:val="24"/>
                <w:szCs w:val="24"/>
                <w:lang w:eastAsia="lv-LV"/>
              </w:rPr>
            </w:pPr>
            <w:r w:rsidRPr="00D3416D">
              <w:rPr>
                <w:rFonts w:ascii="Times New Roman" w:hAnsi="Times New Roman"/>
                <w:sz w:val="24"/>
                <w:szCs w:val="24"/>
                <w:lang w:eastAsia="lv-LV"/>
              </w:rPr>
              <w:lastRenderedPageBreak/>
              <w:t>3.</w:t>
            </w:r>
          </w:p>
        </w:tc>
        <w:tc>
          <w:tcPr>
            <w:tcW w:w="1355" w:type="dxa"/>
          </w:tcPr>
          <w:p w14:paraId="33AC1EA4"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Projekta izstrādē iesaistītās institūcijas</w:t>
            </w:r>
          </w:p>
        </w:tc>
        <w:tc>
          <w:tcPr>
            <w:tcW w:w="7489" w:type="dxa"/>
          </w:tcPr>
          <w:p w14:paraId="6D20536A" w14:textId="673F7294" w:rsidR="00F27137" w:rsidRPr="00DE53F3" w:rsidRDefault="00054CEF" w:rsidP="00C37C02">
            <w:pPr>
              <w:pStyle w:val="naiskr"/>
              <w:spacing w:before="0" w:after="0"/>
              <w:jc w:val="both"/>
              <w:rPr>
                <w:iCs/>
              </w:rPr>
            </w:pPr>
            <w:r w:rsidRPr="00DE53F3">
              <w:rPr>
                <w:iCs/>
              </w:rPr>
              <w:t>N</w:t>
            </w:r>
            <w:r w:rsidR="00E077A0" w:rsidRPr="00DE53F3">
              <w:rPr>
                <w:iCs/>
              </w:rPr>
              <w:t>oteikumu projekta</w:t>
            </w:r>
            <w:r w:rsidR="006E6F43" w:rsidRPr="00DE53F3">
              <w:rPr>
                <w:iCs/>
              </w:rPr>
              <w:t xml:space="preserve"> izstrādē tika iesaistītas šādas institūcijas: </w:t>
            </w:r>
          </w:p>
          <w:p w14:paraId="35A10B09" w14:textId="1F2960A7" w:rsidR="00F07CD0" w:rsidRPr="00DE53F3" w:rsidRDefault="00054CEF" w:rsidP="00C37C02">
            <w:pPr>
              <w:pStyle w:val="naiskr"/>
              <w:spacing w:before="0" w:after="0"/>
              <w:jc w:val="both"/>
              <w:rPr>
                <w:iCs/>
              </w:rPr>
            </w:pPr>
            <w:r w:rsidRPr="00DE53F3">
              <w:t>v</w:t>
            </w:r>
            <w:r w:rsidR="00E077A0" w:rsidRPr="00DE53F3">
              <w:t xml:space="preserve">alsts sabiedrība ar ierobežotu atbildību “Latvijas Vides, ģeoloģijas un meteoroloģijas centrs, Fizikālās enerģētikas institūts, Valsts dzelzceļa administrācija, Latvijas valsts mežzinātnes institūts </w:t>
            </w:r>
            <w:r w:rsidR="005A0385" w:rsidRPr="00DE53F3">
              <w:t>“</w:t>
            </w:r>
            <w:r w:rsidR="00E077A0" w:rsidRPr="00DE53F3">
              <w:t>Silava</w:t>
            </w:r>
            <w:r w:rsidR="005A0385" w:rsidRPr="00DE53F3">
              <w:t>”</w:t>
            </w:r>
            <w:r w:rsidR="00E077A0" w:rsidRPr="00DE53F3">
              <w:t>, Latvijas Lauksaimniecības universitāte.</w:t>
            </w:r>
            <w:r w:rsidR="001B06D8" w:rsidRPr="00DE53F3">
              <w:t xml:space="preserve"> </w:t>
            </w:r>
            <w:r w:rsidRPr="00DE53F3">
              <w:rPr>
                <w:iCs/>
              </w:rPr>
              <w:t>N</w:t>
            </w:r>
            <w:r w:rsidR="00E077A0" w:rsidRPr="00DE53F3">
              <w:rPr>
                <w:iCs/>
              </w:rPr>
              <w:t xml:space="preserve">oteikumu projekta izstrādē </w:t>
            </w:r>
            <w:r w:rsidR="005472D6" w:rsidRPr="00DE53F3">
              <w:rPr>
                <w:iCs/>
              </w:rPr>
              <w:t>netika organizēta darba grupa.</w:t>
            </w:r>
          </w:p>
        </w:tc>
      </w:tr>
      <w:tr w:rsidR="00F122F9" w:rsidRPr="00D3416D" w14:paraId="1EE7F9E4" w14:textId="77777777" w:rsidTr="00C37C02">
        <w:trPr>
          <w:jc w:val="center"/>
        </w:trPr>
        <w:tc>
          <w:tcPr>
            <w:tcW w:w="341" w:type="dxa"/>
          </w:tcPr>
          <w:p w14:paraId="40B549D6" w14:textId="77777777" w:rsidR="00CB4AAB" w:rsidRPr="00D3416D" w:rsidRDefault="00CB4AAB" w:rsidP="00B63F0E">
            <w:pPr>
              <w:spacing w:before="60" w:after="60"/>
              <w:jc w:val="center"/>
              <w:rPr>
                <w:rFonts w:ascii="Times New Roman" w:hAnsi="Times New Roman"/>
                <w:sz w:val="24"/>
                <w:szCs w:val="24"/>
                <w:lang w:eastAsia="lv-LV"/>
              </w:rPr>
            </w:pPr>
            <w:r w:rsidRPr="00D3416D">
              <w:rPr>
                <w:rFonts w:ascii="Times New Roman" w:hAnsi="Times New Roman"/>
                <w:sz w:val="24"/>
                <w:szCs w:val="24"/>
                <w:lang w:eastAsia="lv-LV"/>
              </w:rPr>
              <w:t>4.</w:t>
            </w:r>
          </w:p>
        </w:tc>
        <w:tc>
          <w:tcPr>
            <w:tcW w:w="1355" w:type="dxa"/>
          </w:tcPr>
          <w:p w14:paraId="05DE638C"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Cita informācija</w:t>
            </w:r>
          </w:p>
        </w:tc>
        <w:tc>
          <w:tcPr>
            <w:tcW w:w="7489" w:type="dxa"/>
          </w:tcPr>
          <w:p w14:paraId="3F9DAC4E" w14:textId="39044921" w:rsidR="00CB4AAB" w:rsidRPr="00D3416D" w:rsidRDefault="005472D6" w:rsidP="00C37C02">
            <w:pPr>
              <w:spacing w:before="60" w:beforeAutospacing="1" w:after="60" w:afterAutospacing="1"/>
              <w:jc w:val="left"/>
              <w:rPr>
                <w:rFonts w:ascii="Times New Roman" w:hAnsi="Times New Roman"/>
                <w:sz w:val="24"/>
                <w:szCs w:val="24"/>
                <w:lang w:eastAsia="lv-LV"/>
              </w:rPr>
            </w:pPr>
            <w:r w:rsidRPr="00D3416D">
              <w:rPr>
                <w:rFonts w:ascii="Times New Roman" w:hAnsi="Times New Roman"/>
                <w:sz w:val="24"/>
                <w:szCs w:val="24"/>
                <w:lang w:eastAsia="lv-LV"/>
              </w:rPr>
              <w:t>Nav</w:t>
            </w:r>
            <w:r w:rsidR="005A0385" w:rsidRPr="00D3416D">
              <w:rPr>
                <w:rFonts w:ascii="Times New Roman" w:hAnsi="Times New Roman"/>
                <w:sz w:val="24"/>
                <w:szCs w:val="24"/>
                <w:lang w:eastAsia="lv-LV"/>
              </w:rPr>
              <w:t>.</w:t>
            </w:r>
          </w:p>
        </w:tc>
      </w:tr>
    </w:tbl>
    <w:p w14:paraId="446A533B" w14:textId="77777777" w:rsidR="00CB4AAB" w:rsidRPr="00D3416D" w:rsidRDefault="00CB4AAB" w:rsidP="0034370D">
      <w:pPr>
        <w:spacing w:after="0"/>
        <w:ind w:firstLine="301"/>
        <w:jc w:val="left"/>
        <w:rPr>
          <w:rFonts w:ascii="Times New Roman" w:hAnsi="Times New Roman"/>
          <w:sz w:val="24"/>
          <w:szCs w:val="24"/>
          <w:lang w:eastAsia="lv-LV"/>
        </w:rPr>
      </w:pPr>
      <w:r w:rsidRPr="00D3416D">
        <w:rPr>
          <w:rFonts w:ascii="Times New Roman" w:hAnsi="Times New Roman"/>
          <w:sz w:val="24"/>
          <w:szCs w:val="24"/>
          <w:lang w:eastAsia="lv-LV"/>
        </w:rPr>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54"/>
        <w:gridCol w:w="1682"/>
        <w:gridCol w:w="6936"/>
      </w:tblGrid>
      <w:tr w:rsidR="00F122F9" w:rsidRPr="00D3416D" w14:paraId="4BBC213A" w14:textId="77777777" w:rsidTr="00DC5242">
        <w:trPr>
          <w:trHeight w:val="555"/>
          <w:jc w:val="center"/>
        </w:trPr>
        <w:tc>
          <w:tcPr>
            <w:tcW w:w="0" w:type="auto"/>
            <w:gridSpan w:val="3"/>
            <w:vAlign w:val="center"/>
          </w:tcPr>
          <w:p w14:paraId="3E07C923" w14:textId="77777777" w:rsidR="00CB4AAB" w:rsidRPr="00D3416D" w:rsidRDefault="00CB4AAB" w:rsidP="00B63F0E">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II.</w:t>
            </w:r>
            <w:r w:rsidR="00316D9D" w:rsidRPr="00D3416D">
              <w:rPr>
                <w:rFonts w:ascii="Times New Roman" w:hAnsi="Times New Roman"/>
                <w:b/>
                <w:bCs/>
                <w:sz w:val="24"/>
                <w:szCs w:val="24"/>
                <w:lang w:eastAsia="lv-LV"/>
              </w:rPr>
              <w:t> </w:t>
            </w:r>
            <w:r w:rsidRPr="00D3416D">
              <w:rPr>
                <w:rFonts w:ascii="Times New Roman" w:hAnsi="Times New Roman"/>
                <w:b/>
                <w:bCs/>
                <w:sz w:val="24"/>
                <w:szCs w:val="24"/>
                <w:lang w:eastAsia="lv-LV"/>
              </w:rPr>
              <w:t>Tiesību akta projekta ietekme uz sabiedrību, tautsaimniecības attīstību un administratīvo slogu</w:t>
            </w:r>
          </w:p>
        </w:tc>
      </w:tr>
      <w:tr w:rsidR="00F122F9" w:rsidRPr="00D3416D" w14:paraId="007D854A" w14:textId="77777777" w:rsidTr="00DC5242">
        <w:trPr>
          <w:trHeight w:val="274"/>
          <w:jc w:val="center"/>
        </w:trPr>
        <w:tc>
          <w:tcPr>
            <w:tcW w:w="250" w:type="pct"/>
          </w:tcPr>
          <w:p w14:paraId="0B537BED"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1.</w:t>
            </w:r>
          </w:p>
        </w:tc>
        <w:tc>
          <w:tcPr>
            <w:tcW w:w="927" w:type="pct"/>
          </w:tcPr>
          <w:p w14:paraId="1CC5DC03"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 xml:space="preserve">Sabiedrības </w:t>
            </w:r>
            <w:proofErr w:type="spellStart"/>
            <w:r w:rsidRPr="00DE53F3">
              <w:rPr>
                <w:rFonts w:ascii="Times New Roman" w:hAnsi="Times New Roman"/>
                <w:sz w:val="24"/>
                <w:szCs w:val="24"/>
                <w:lang w:eastAsia="lv-LV"/>
              </w:rPr>
              <w:t>mērķgrupas</w:t>
            </w:r>
            <w:proofErr w:type="spellEnd"/>
            <w:r w:rsidRPr="00DE53F3">
              <w:rPr>
                <w:rFonts w:ascii="Times New Roman" w:hAnsi="Times New Roman"/>
                <w:sz w:val="24"/>
                <w:szCs w:val="24"/>
                <w:lang w:eastAsia="lv-LV"/>
              </w:rPr>
              <w:t>, kuras tiesiskais regulējums ietekmē vai varētu ietekmēt</w:t>
            </w:r>
          </w:p>
        </w:tc>
        <w:tc>
          <w:tcPr>
            <w:tcW w:w="3823" w:type="pct"/>
          </w:tcPr>
          <w:p w14:paraId="6D96194F" w14:textId="1BCE5DEA" w:rsidR="00CB4AAB" w:rsidRPr="00DE53F3" w:rsidRDefault="00054CEF">
            <w:pPr>
              <w:pStyle w:val="naiskr"/>
              <w:spacing w:before="60" w:after="60"/>
              <w:jc w:val="both"/>
              <w:rPr>
                <w:bCs/>
                <w:u w:val="single"/>
                <w:shd w:val="clear" w:color="auto" w:fill="FFFFFF"/>
              </w:rPr>
            </w:pPr>
            <w:r w:rsidRPr="00DE53F3">
              <w:rPr>
                <w:iCs/>
                <w:u w:val="single"/>
              </w:rPr>
              <w:t>N</w:t>
            </w:r>
            <w:r w:rsidR="00E077A0" w:rsidRPr="00DE53F3">
              <w:rPr>
                <w:iCs/>
                <w:u w:val="single"/>
              </w:rPr>
              <w:t xml:space="preserve">oteikumu </w:t>
            </w:r>
            <w:r w:rsidRPr="00DE53F3">
              <w:rPr>
                <w:iCs/>
                <w:u w:val="single"/>
              </w:rPr>
              <w:t xml:space="preserve"> projekta </w:t>
            </w:r>
            <w:r w:rsidR="00E077A0" w:rsidRPr="00DE53F3">
              <w:rPr>
                <w:iCs/>
                <w:u w:val="single"/>
              </w:rPr>
              <w:t xml:space="preserve">tiesiskais regulējums </w:t>
            </w:r>
            <w:r w:rsidR="00E077A0" w:rsidRPr="00DE53F3">
              <w:rPr>
                <w:bCs/>
                <w:u w:val="single"/>
                <w:shd w:val="clear" w:color="auto" w:fill="FFFFFF"/>
              </w:rPr>
              <w:t>ietekmē vai var ietekmēt:</w:t>
            </w:r>
          </w:p>
          <w:p w14:paraId="3255CAB6" w14:textId="56F58CE2" w:rsidR="00E077A0" w:rsidRPr="00DE53F3" w:rsidRDefault="00E077A0" w:rsidP="00DC1194">
            <w:pPr>
              <w:pStyle w:val="naiskr"/>
              <w:numPr>
                <w:ilvl w:val="0"/>
                <w:numId w:val="27"/>
              </w:numPr>
              <w:spacing w:before="60" w:after="60"/>
              <w:ind w:left="354"/>
              <w:jc w:val="both"/>
              <w:rPr>
                <w:bCs/>
                <w:shd w:val="clear" w:color="auto" w:fill="FFFFFF"/>
              </w:rPr>
            </w:pPr>
            <w:r w:rsidRPr="00DE53F3">
              <w:rPr>
                <w:bCs/>
                <w:shd w:val="clear" w:color="auto" w:fill="FFFFFF"/>
              </w:rPr>
              <w:t>ikgadējās siltumnīcefekta gāzu inventarizācijas sagatavošanā iesaistītās institūcijas;</w:t>
            </w:r>
          </w:p>
          <w:p w14:paraId="204E67E2" w14:textId="252AA0C1" w:rsidR="00E077A0" w:rsidRPr="00DE53F3" w:rsidRDefault="00E077A0" w:rsidP="00DC1194">
            <w:pPr>
              <w:pStyle w:val="naiskr"/>
              <w:numPr>
                <w:ilvl w:val="0"/>
                <w:numId w:val="27"/>
              </w:numPr>
              <w:spacing w:before="60" w:after="60"/>
              <w:ind w:left="354"/>
              <w:jc w:val="both"/>
              <w:rPr>
                <w:bCs/>
                <w:shd w:val="clear" w:color="auto" w:fill="FFFFFF"/>
              </w:rPr>
            </w:pPr>
            <w:r w:rsidRPr="00DE53F3">
              <w:rPr>
                <w:bCs/>
                <w:shd w:val="clear" w:color="auto" w:fill="FFFFFF"/>
              </w:rPr>
              <w:t>siltumnīcefekta gāzu prognožu sagatavošanā iesaistītās institūcijas;</w:t>
            </w:r>
          </w:p>
          <w:p w14:paraId="7AF412AE" w14:textId="6F65E01B" w:rsidR="00957009" w:rsidRPr="00DE53F3" w:rsidRDefault="00E077A0" w:rsidP="00DC1194">
            <w:pPr>
              <w:pStyle w:val="naiskr"/>
              <w:numPr>
                <w:ilvl w:val="0"/>
                <w:numId w:val="27"/>
              </w:numPr>
              <w:spacing w:before="60" w:after="60"/>
              <w:ind w:left="354"/>
              <w:jc w:val="both"/>
              <w:rPr>
                <w:bCs/>
                <w:shd w:val="clear" w:color="auto" w:fill="FFFFFF"/>
              </w:rPr>
            </w:pPr>
            <w:r w:rsidRPr="00DE53F3">
              <w:rPr>
                <w:bCs/>
                <w:shd w:val="clear" w:color="auto" w:fill="FFFFFF"/>
              </w:rPr>
              <w:t xml:space="preserve">komersantus, kuriem jāiesniedz informācija par </w:t>
            </w:r>
            <w:r w:rsidRPr="00DE53F3">
              <w:t>saražotā cementa klinkera sastāvu, oglekļa saturu izmantotajā čugunā, čuguna lūžņos un saražotajā neapstrādātajā tēraudā; oglekļa elektrodu patēriņu elektrokrāsnīs, d</w:t>
            </w:r>
            <w:r w:rsidR="00F962C3" w:rsidRPr="00DE53F3">
              <w:t xml:space="preserve">abasgāzes importēšanu, transportēšanu un uzglabāšanu, </w:t>
            </w:r>
            <w:r w:rsidR="00F962C3" w:rsidRPr="00DE53F3">
              <w:rPr>
                <w:bdr w:val="none" w:sz="0" w:space="0" w:color="auto" w:frame="1"/>
              </w:rPr>
              <w:t>notekūdeņu dūņu gāzi.</w:t>
            </w:r>
          </w:p>
        </w:tc>
      </w:tr>
      <w:tr w:rsidR="00F122F9" w:rsidRPr="00D3416D" w14:paraId="38572313" w14:textId="77777777" w:rsidTr="00DC5242">
        <w:trPr>
          <w:trHeight w:val="510"/>
          <w:jc w:val="center"/>
        </w:trPr>
        <w:tc>
          <w:tcPr>
            <w:tcW w:w="250" w:type="pct"/>
          </w:tcPr>
          <w:p w14:paraId="6A6F26E5"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2.</w:t>
            </w:r>
          </w:p>
        </w:tc>
        <w:tc>
          <w:tcPr>
            <w:tcW w:w="927" w:type="pct"/>
          </w:tcPr>
          <w:p w14:paraId="4534162E"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 xml:space="preserve">Tiesiskā regulējuma ietekme uz tautsaimniecību </w:t>
            </w:r>
            <w:r w:rsidRPr="00DE53F3">
              <w:rPr>
                <w:rFonts w:ascii="Times New Roman" w:hAnsi="Times New Roman"/>
                <w:sz w:val="24"/>
                <w:szCs w:val="24"/>
                <w:lang w:eastAsia="lv-LV"/>
              </w:rPr>
              <w:lastRenderedPageBreak/>
              <w:t>un administratīvo slogu</w:t>
            </w:r>
          </w:p>
        </w:tc>
        <w:tc>
          <w:tcPr>
            <w:tcW w:w="3823" w:type="pct"/>
          </w:tcPr>
          <w:p w14:paraId="7A43B2BB" w14:textId="69344C96" w:rsidR="00CB4AAB" w:rsidRPr="00DE53F3" w:rsidRDefault="00054CEF">
            <w:pPr>
              <w:spacing w:before="60" w:after="60"/>
              <w:rPr>
                <w:rFonts w:ascii="Times New Roman" w:hAnsi="Times New Roman"/>
                <w:sz w:val="24"/>
                <w:szCs w:val="24"/>
              </w:rPr>
            </w:pPr>
            <w:r w:rsidRPr="00DE53F3">
              <w:rPr>
                <w:rFonts w:ascii="Times New Roman" w:hAnsi="Times New Roman"/>
                <w:iCs/>
                <w:sz w:val="24"/>
                <w:szCs w:val="24"/>
              </w:rPr>
              <w:lastRenderedPageBreak/>
              <w:t>N</w:t>
            </w:r>
            <w:r w:rsidR="00F962C3" w:rsidRPr="00DE53F3">
              <w:rPr>
                <w:rFonts w:ascii="Times New Roman" w:hAnsi="Times New Roman"/>
                <w:iCs/>
                <w:sz w:val="24"/>
                <w:szCs w:val="24"/>
              </w:rPr>
              <w:t>oteikumu</w:t>
            </w:r>
            <w:r w:rsidR="00F962C3" w:rsidRPr="00DE53F3">
              <w:rPr>
                <w:rFonts w:ascii="Times New Roman" w:hAnsi="Times New Roman"/>
                <w:sz w:val="24"/>
                <w:szCs w:val="24"/>
              </w:rPr>
              <w:t xml:space="preserve"> projekta </w:t>
            </w:r>
            <w:r w:rsidR="005472D6" w:rsidRPr="00DE53F3">
              <w:rPr>
                <w:rFonts w:ascii="Times New Roman" w:hAnsi="Times New Roman"/>
                <w:sz w:val="24"/>
                <w:szCs w:val="24"/>
              </w:rPr>
              <w:t xml:space="preserve">tiesiskā regulējuma </w:t>
            </w:r>
            <w:r w:rsidR="00DC25F0" w:rsidRPr="00DE53F3">
              <w:rPr>
                <w:rFonts w:ascii="Times New Roman" w:hAnsi="Times New Roman"/>
                <w:sz w:val="24"/>
                <w:szCs w:val="24"/>
              </w:rPr>
              <w:t xml:space="preserve">papildus </w:t>
            </w:r>
            <w:r w:rsidR="00F962C3" w:rsidRPr="00DE53F3">
              <w:rPr>
                <w:rFonts w:ascii="Times New Roman" w:hAnsi="Times New Roman"/>
                <w:sz w:val="24"/>
                <w:szCs w:val="24"/>
              </w:rPr>
              <w:t>ietekme uz administratīvo slogu netiek plānota, jo pēc būtības šāda kārtība jau tiek īstenota.</w:t>
            </w:r>
          </w:p>
          <w:p w14:paraId="122CAFD7" w14:textId="08AC3EA7" w:rsidR="007B5691" w:rsidRPr="00DE53F3" w:rsidRDefault="00F962C3" w:rsidP="00DC1194">
            <w:pPr>
              <w:spacing w:before="60" w:after="60"/>
              <w:rPr>
                <w:rFonts w:ascii="Times New Roman" w:hAnsi="Times New Roman"/>
                <w:sz w:val="24"/>
                <w:szCs w:val="24"/>
              </w:rPr>
            </w:pPr>
            <w:r w:rsidRPr="00DE53F3">
              <w:rPr>
                <w:rFonts w:ascii="Times New Roman" w:hAnsi="Times New Roman"/>
                <w:sz w:val="24"/>
                <w:szCs w:val="24"/>
              </w:rPr>
              <w:lastRenderedPageBreak/>
              <w:t>Visa informācija, kas nepieciešama ikgadējai siltumnīcefekta gāzu inventarizācijas sagatavošana</w:t>
            </w:r>
            <w:r w:rsidR="00346562" w:rsidRPr="00DE53F3">
              <w:rPr>
                <w:rFonts w:ascii="Times New Roman" w:hAnsi="Times New Roman"/>
                <w:sz w:val="24"/>
                <w:szCs w:val="24"/>
              </w:rPr>
              <w:t xml:space="preserve"> </w:t>
            </w:r>
            <w:r w:rsidR="00054CEF" w:rsidRPr="00DE53F3">
              <w:rPr>
                <w:rFonts w:ascii="Times New Roman" w:hAnsi="Times New Roman"/>
                <w:iCs/>
                <w:sz w:val="24"/>
                <w:szCs w:val="24"/>
              </w:rPr>
              <w:t>n</w:t>
            </w:r>
            <w:r w:rsidR="00326E76" w:rsidRPr="00DE53F3">
              <w:rPr>
                <w:rFonts w:ascii="Times New Roman" w:hAnsi="Times New Roman"/>
                <w:iCs/>
                <w:sz w:val="24"/>
                <w:szCs w:val="24"/>
              </w:rPr>
              <w:t>oteikumu</w:t>
            </w:r>
            <w:r w:rsidR="00326E76" w:rsidRPr="00DE53F3">
              <w:rPr>
                <w:rFonts w:ascii="Times New Roman" w:hAnsi="Times New Roman"/>
                <w:sz w:val="24"/>
                <w:szCs w:val="24"/>
              </w:rPr>
              <w:t xml:space="preserve"> projekta noteiktajās institūcijās </w:t>
            </w:r>
            <w:r w:rsidRPr="00DE53F3">
              <w:rPr>
                <w:rFonts w:ascii="Times New Roman" w:hAnsi="Times New Roman"/>
                <w:sz w:val="24"/>
                <w:szCs w:val="24"/>
              </w:rPr>
              <w:t xml:space="preserve">tiek apkopota, līdz ar to papildus līdzekļi nebūs vajadzīgi.  </w:t>
            </w:r>
          </w:p>
          <w:p w14:paraId="5C0AD48F" w14:textId="77777777" w:rsidR="004F5C41" w:rsidRDefault="00F962C3">
            <w:pPr>
              <w:spacing w:before="60" w:after="60"/>
              <w:rPr>
                <w:rFonts w:ascii="Times New Roman" w:hAnsi="Times New Roman"/>
                <w:sz w:val="24"/>
                <w:szCs w:val="24"/>
              </w:rPr>
            </w:pPr>
            <w:r w:rsidRPr="00DE53F3">
              <w:rPr>
                <w:rFonts w:ascii="Times New Roman" w:hAnsi="Times New Roman"/>
                <w:sz w:val="24"/>
                <w:szCs w:val="24"/>
              </w:rPr>
              <w:t>Darbības dati, kas nepieciešami siltumnīcefekta gāzu prognožu sagatavošanai</w:t>
            </w:r>
            <w:r w:rsidR="00C76483" w:rsidRPr="00DE53F3">
              <w:rPr>
                <w:rFonts w:ascii="Times New Roman" w:hAnsi="Times New Roman"/>
                <w:sz w:val="24"/>
                <w:szCs w:val="24"/>
              </w:rPr>
              <w:t>,</w:t>
            </w:r>
            <w:r w:rsidR="00326E76" w:rsidRPr="00DE53F3">
              <w:rPr>
                <w:rFonts w:ascii="Times New Roman" w:hAnsi="Times New Roman"/>
                <w:sz w:val="24"/>
                <w:szCs w:val="24"/>
              </w:rPr>
              <w:t xml:space="preserve"> ir nozaru ministriju atbildībā</w:t>
            </w:r>
            <w:r w:rsidR="00F5572C" w:rsidRPr="00DE53F3">
              <w:rPr>
                <w:rFonts w:ascii="Times New Roman" w:hAnsi="Times New Roman"/>
                <w:sz w:val="24"/>
                <w:szCs w:val="24"/>
              </w:rPr>
              <w:t>, jo tās ir atbildīgas</w:t>
            </w:r>
            <w:r w:rsidR="00064636" w:rsidRPr="00DE53F3">
              <w:rPr>
                <w:rFonts w:ascii="Times New Roman" w:hAnsi="Times New Roman"/>
                <w:sz w:val="24"/>
                <w:szCs w:val="24"/>
              </w:rPr>
              <w:t xml:space="preserve"> par savas nozares politikas izstrādi arī ilgtermiņā, līdz ar to papildus administratīvais slogs nav paredzam</w:t>
            </w:r>
            <w:r w:rsidR="004F5C41">
              <w:rPr>
                <w:rFonts w:ascii="Times New Roman" w:hAnsi="Times New Roman"/>
                <w:sz w:val="24"/>
                <w:szCs w:val="24"/>
              </w:rPr>
              <w:t>s.</w:t>
            </w:r>
            <w:r w:rsidR="00D3416D" w:rsidRPr="00DE53F3">
              <w:rPr>
                <w:rFonts w:ascii="Times New Roman" w:hAnsi="Times New Roman"/>
                <w:sz w:val="24"/>
                <w:szCs w:val="24"/>
              </w:rPr>
              <w:t xml:space="preserve"> </w:t>
            </w:r>
          </w:p>
          <w:p w14:paraId="78FAE7A9" w14:textId="268961AB" w:rsidR="00CB4AAB" w:rsidRPr="00DE53F3" w:rsidRDefault="00054CEF">
            <w:pPr>
              <w:spacing w:before="60" w:after="60"/>
              <w:rPr>
                <w:rFonts w:ascii="Times New Roman" w:hAnsi="Times New Roman"/>
                <w:sz w:val="24"/>
                <w:szCs w:val="24"/>
              </w:rPr>
            </w:pPr>
            <w:r w:rsidRPr="00DE53F3">
              <w:rPr>
                <w:rFonts w:ascii="Times New Roman" w:hAnsi="Times New Roman"/>
                <w:i/>
                <w:sz w:val="24"/>
                <w:szCs w:val="24"/>
              </w:rPr>
              <w:t>N</w:t>
            </w:r>
            <w:r w:rsidR="00064636" w:rsidRPr="00DE53F3">
              <w:rPr>
                <w:rFonts w:ascii="Times New Roman" w:hAnsi="Times New Roman"/>
                <w:i/>
                <w:sz w:val="24"/>
                <w:szCs w:val="24"/>
              </w:rPr>
              <w:t>oteikumu projekta</w:t>
            </w:r>
            <w:r w:rsidR="005472D6" w:rsidRPr="00DE53F3">
              <w:rPr>
                <w:rFonts w:ascii="Times New Roman" w:hAnsi="Times New Roman"/>
                <w:i/>
                <w:sz w:val="24"/>
                <w:szCs w:val="24"/>
              </w:rPr>
              <w:t xml:space="preserve"> ietekme uz Nacionālā attīstības plāna rādītājiem, mikro vai makro līmenī</w:t>
            </w:r>
            <w:r w:rsidR="00064636" w:rsidRPr="00DE53F3">
              <w:rPr>
                <w:rFonts w:ascii="Times New Roman" w:hAnsi="Times New Roman"/>
                <w:sz w:val="24"/>
                <w:szCs w:val="24"/>
              </w:rPr>
              <w:t>:</w:t>
            </w:r>
          </w:p>
          <w:p w14:paraId="61BD1D23" w14:textId="3832F609" w:rsidR="00F07CD0" w:rsidRPr="00DE53F3" w:rsidRDefault="00064636" w:rsidP="002E7DBF">
            <w:pPr>
              <w:spacing w:before="60" w:after="60"/>
              <w:rPr>
                <w:rFonts w:ascii="Times New Roman" w:hAnsi="Times New Roman"/>
                <w:sz w:val="24"/>
                <w:szCs w:val="24"/>
              </w:rPr>
            </w:pPr>
            <w:r w:rsidRPr="00DE53F3">
              <w:rPr>
                <w:rFonts w:ascii="Times New Roman" w:hAnsi="Times New Roman"/>
                <w:sz w:val="24"/>
                <w:szCs w:val="24"/>
              </w:rPr>
              <w:t xml:space="preserve">Tas </w:t>
            </w:r>
            <w:r w:rsidR="005472D6" w:rsidRPr="00DE53F3">
              <w:rPr>
                <w:rFonts w:ascii="Times New Roman" w:hAnsi="Times New Roman"/>
                <w:sz w:val="24"/>
                <w:szCs w:val="24"/>
              </w:rPr>
              <w:t>nodrošinās Latvijas Nacionālā attīstības plāna 2014.</w:t>
            </w:r>
            <w:r w:rsidR="00C76483" w:rsidRPr="00DE53F3">
              <w:rPr>
                <w:rFonts w:ascii="Times New Roman" w:hAnsi="Times New Roman"/>
                <w:sz w:val="24"/>
                <w:szCs w:val="24"/>
              </w:rPr>
              <w:t xml:space="preserve"> – </w:t>
            </w:r>
            <w:r w:rsidR="005472D6" w:rsidRPr="00DE53F3">
              <w:rPr>
                <w:rFonts w:ascii="Times New Roman" w:hAnsi="Times New Roman"/>
                <w:sz w:val="24"/>
                <w:szCs w:val="24"/>
              </w:rPr>
              <w:t>2020.</w:t>
            </w:r>
            <w:r w:rsidR="00C76483" w:rsidRPr="00DE53F3">
              <w:rPr>
                <w:rFonts w:ascii="Times New Roman" w:hAnsi="Times New Roman"/>
                <w:sz w:val="24"/>
                <w:szCs w:val="24"/>
              </w:rPr>
              <w:t> </w:t>
            </w:r>
            <w:r w:rsidR="005472D6" w:rsidRPr="00DE53F3">
              <w:rPr>
                <w:rFonts w:ascii="Times New Roman" w:hAnsi="Times New Roman"/>
                <w:sz w:val="24"/>
                <w:szCs w:val="24"/>
              </w:rPr>
              <w:t>gadam mērķa [120] un [199] izpildi</w:t>
            </w:r>
            <w:r w:rsidR="0073448B" w:rsidRPr="00DE53F3">
              <w:rPr>
                <w:rFonts w:ascii="Times New Roman" w:hAnsi="Times New Roman"/>
                <w:sz w:val="24"/>
                <w:szCs w:val="24"/>
              </w:rPr>
              <w:t>, tas ir:</w:t>
            </w:r>
          </w:p>
          <w:p w14:paraId="216E3C23" w14:textId="77777777" w:rsidR="0073448B" w:rsidRPr="00DE53F3" w:rsidRDefault="0073448B" w:rsidP="0073448B">
            <w:pPr>
              <w:autoSpaceDE w:val="0"/>
              <w:autoSpaceDN w:val="0"/>
              <w:adjustRightInd w:val="0"/>
              <w:spacing w:after="0"/>
              <w:jc w:val="left"/>
              <w:rPr>
                <w:rFonts w:ascii="Times New Roman" w:hAnsi="Times New Roman"/>
                <w:sz w:val="24"/>
                <w:szCs w:val="24"/>
                <w:lang w:eastAsia="lv-LV"/>
              </w:rPr>
            </w:pPr>
            <w:r w:rsidRPr="00DE53F3">
              <w:rPr>
                <w:rFonts w:ascii="Times New Roman" w:hAnsi="Times New Roman"/>
                <w:b/>
                <w:bCs/>
                <w:sz w:val="24"/>
                <w:szCs w:val="24"/>
                <w:lang w:eastAsia="lv-LV"/>
              </w:rPr>
              <w:t xml:space="preserve">[120] Mērķis 4 </w:t>
            </w:r>
          </w:p>
          <w:p w14:paraId="79054629" w14:textId="77777777" w:rsidR="0073448B" w:rsidRPr="00DE53F3" w:rsidRDefault="0073448B" w:rsidP="0073448B">
            <w:pPr>
              <w:spacing w:before="60" w:after="60"/>
              <w:rPr>
                <w:rFonts w:ascii="Times New Roman" w:hAnsi="Times New Roman"/>
                <w:sz w:val="24"/>
                <w:szCs w:val="24"/>
                <w:lang w:eastAsia="lv-LV"/>
              </w:rPr>
            </w:pPr>
            <w:r w:rsidRPr="00DE53F3">
              <w:rPr>
                <w:rFonts w:ascii="Times New Roman" w:hAnsi="Times New Roman"/>
                <w:sz w:val="24"/>
                <w:szCs w:val="24"/>
                <w:lang w:eastAsia="lv-LV"/>
              </w:rPr>
              <w:t>Nepārsniegt ilgtermiņa attīstību nodrošinošu vidē nonākošā piesārņojuma un siltumnīcefekta gāzu apjomus (samazinot enerģētikas, rūpniecības, transporta, lauksaimniecības, zivsaimniecības un mājsaimniecību radītās piesārņojošo vielu emisijas un radīto atkritumu daudzumu).</w:t>
            </w:r>
          </w:p>
          <w:p w14:paraId="045C60B9" w14:textId="77777777" w:rsidR="0073448B" w:rsidRPr="00DE53F3" w:rsidRDefault="0073448B" w:rsidP="0073448B">
            <w:pPr>
              <w:pStyle w:val="Default"/>
              <w:jc w:val="both"/>
              <w:rPr>
                <w:rFonts w:ascii="Times New Roman" w:hAnsi="Times New Roman" w:cs="Times New Roman"/>
                <w:color w:val="auto"/>
              </w:rPr>
            </w:pPr>
            <w:r w:rsidRPr="00DE53F3">
              <w:rPr>
                <w:rFonts w:ascii="Times New Roman" w:hAnsi="Times New Roman" w:cs="Times New Roman"/>
                <w:b/>
                <w:color w:val="auto"/>
              </w:rPr>
              <w:t>[199]</w:t>
            </w:r>
            <w:r w:rsidRPr="00DE53F3">
              <w:rPr>
                <w:rFonts w:ascii="Times New Roman" w:hAnsi="Times New Roman" w:cs="Times New Roman"/>
                <w:color w:val="auto"/>
              </w:rPr>
              <w:t xml:space="preserve"> Tautsaimniecības siltumnīcefekta gāzu emisiju intensitāte (t CO</w:t>
            </w:r>
            <w:r w:rsidRPr="00DE53F3">
              <w:rPr>
                <w:rFonts w:ascii="Times New Roman" w:hAnsi="Times New Roman" w:cs="Times New Roman"/>
                <w:color w:val="auto"/>
                <w:vertAlign w:val="subscript"/>
              </w:rPr>
              <w:t>2</w:t>
            </w:r>
            <w:r w:rsidRPr="00DE53F3">
              <w:rPr>
                <w:rFonts w:ascii="Times New Roman" w:hAnsi="Times New Roman" w:cs="Times New Roman"/>
                <w:color w:val="auto"/>
              </w:rPr>
              <w:t xml:space="preserve"> ekvivalenta/ uz 1000 LVL no IKP) </w:t>
            </w:r>
          </w:p>
          <w:tbl>
            <w:tblPr>
              <w:tblStyle w:val="TableGrid"/>
              <w:tblW w:w="0" w:type="auto"/>
              <w:tblLook w:val="04A0" w:firstRow="1" w:lastRow="0" w:firstColumn="1" w:lastColumn="0" w:noHBand="0" w:noVBand="1"/>
            </w:tblPr>
            <w:tblGrid>
              <w:gridCol w:w="1362"/>
              <w:gridCol w:w="1362"/>
              <w:gridCol w:w="1362"/>
              <w:gridCol w:w="1363"/>
              <w:gridCol w:w="1363"/>
            </w:tblGrid>
            <w:tr w:rsidR="00DE53F3" w:rsidRPr="00DE53F3" w14:paraId="012553AD" w14:textId="77777777" w:rsidTr="0073448B">
              <w:tc>
                <w:tcPr>
                  <w:tcW w:w="1362" w:type="dxa"/>
                </w:tcPr>
                <w:p w14:paraId="352B72F7" w14:textId="77777777" w:rsidR="0073448B" w:rsidRPr="00DE53F3" w:rsidRDefault="0073448B" w:rsidP="00DC25F0">
                  <w:pPr>
                    <w:spacing w:before="60" w:after="60"/>
                    <w:jc w:val="center"/>
                    <w:rPr>
                      <w:sz w:val="24"/>
                      <w:szCs w:val="24"/>
                      <w:lang w:eastAsia="lv-LV"/>
                    </w:rPr>
                  </w:pPr>
                  <w:r w:rsidRPr="00DE53F3">
                    <w:rPr>
                      <w:sz w:val="24"/>
                      <w:szCs w:val="24"/>
                      <w:lang w:eastAsia="lv-LV"/>
                    </w:rPr>
                    <w:t>Bāzes vērtība</w:t>
                  </w:r>
                </w:p>
                <w:p w14:paraId="315F4BE1" w14:textId="5EE646AB" w:rsidR="0073448B" w:rsidRPr="00DE53F3" w:rsidRDefault="0073448B" w:rsidP="00DC25F0">
                  <w:pPr>
                    <w:pStyle w:val="Default"/>
                    <w:jc w:val="center"/>
                    <w:rPr>
                      <w:rFonts w:ascii="Times New Roman" w:hAnsi="Times New Roman" w:cs="Times New Roman"/>
                      <w:color w:val="auto"/>
                    </w:rPr>
                  </w:pPr>
                  <w:r w:rsidRPr="00DE53F3">
                    <w:rPr>
                      <w:rFonts w:ascii="Times New Roman" w:hAnsi="Times New Roman"/>
                      <w:color w:val="auto"/>
                    </w:rPr>
                    <w:t>(gads)</w:t>
                  </w:r>
                </w:p>
              </w:tc>
              <w:tc>
                <w:tcPr>
                  <w:tcW w:w="1362" w:type="dxa"/>
                </w:tcPr>
                <w:p w14:paraId="7EBB11A4" w14:textId="77777777" w:rsidR="0073448B" w:rsidRPr="00DE53F3" w:rsidRDefault="0073448B" w:rsidP="00DC25F0">
                  <w:pPr>
                    <w:spacing w:before="60" w:after="60"/>
                    <w:jc w:val="center"/>
                    <w:rPr>
                      <w:sz w:val="24"/>
                      <w:szCs w:val="24"/>
                      <w:lang w:eastAsia="lv-LV"/>
                    </w:rPr>
                  </w:pPr>
                  <w:r w:rsidRPr="00DE53F3">
                    <w:rPr>
                      <w:sz w:val="24"/>
                      <w:szCs w:val="24"/>
                      <w:lang w:eastAsia="lv-LV"/>
                    </w:rPr>
                    <w:t>2014</w:t>
                  </w:r>
                </w:p>
                <w:p w14:paraId="2FEEBD8C" w14:textId="77777777" w:rsidR="0073448B" w:rsidRPr="00DE53F3" w:rsidRDefault="0073448B" w:rsidP="00DC25F0">
                  <w:pPr>
                    <w:pStyle w:val="Default"/>
                    <w:jc w:val="center"/>
                    <w:rPr>
                      <w:rFonts w:ascii="Times New Roman" w:hAnsi="Times New Roman" w:cs="Times New Roman"/>
                      <w:color w:val="auto"/>
                    </w:rPr>
                  </w:pPr>
                </w:p>
              </w:tc>
              <w:tc>
                <w:tcPr>
                  <w:tcW w:w="1362" w:type="dxa"/>
                </w:tcPr>
                <w:p w14:paraId="18E48805" w14:textId="77777777" w:rsidR="0073448B" w:rsidRPr="00DE53F3" w:rsidRDefault="0073448B" w:rsidP="00DC25F0">
                  <w:pPr>
                    <w:spacing w:before="60" w:after="60"/>
                    <w:jc w:val="center"/>
                    <w:rPr>
                      <w:sz w:val="24"/>
                      <w:szCs w:val="24"/>
                      <w:lang w:eastAsia="lv-LV"/>
                    </w:rPr>
                  </w:pPr>
                  <w:r w:rsidRPr="00DE53F3">
                    <w:rPr>
                      <w:sz w:val="24"/>
                      <w:szCs w:val="24"/>
                      <w:lang w:eastAsia="lv-LV"/>
                    </w:rPr>
                    <w:t>2017</w:t>
                  </w:r>
                </w:p>
                <w:p w14:paraId="74EA7049" w14:textId="77777777" w:rsidR="0073448B" w:rsidRPr="00DE53F3" w:rsidRDefault="0073448B" w:rsidP="00DC25F0">
                  <w:pPr>
                    <w:pStyle w:val="Default"/>
                    <w:jc w:val="center"/>
                    <w:rPr>
                      <w:rFonts w:ascii="Times New Roman" w:hAnsi="Times New Roman" w:cs="Times New Roman"/>
                      <w:color w:val="auto"/>
                    </w:rPr>
                  </w:pPr>
                </w:p>
              </w:tc>
              <w:tc>
                <w:tcPr>
                  <w:tcW w:w="1363" w:type="dxa"/>
                </w:tcPr>
                <w:p w14:paraId="391F1473" w14:textId="77777777" w:rsidR="0073448B" w:rsidRPr="00DE53F3" w:rsidRDefault="0073448B" w:rsidP="00DC25F0">
                  <w:pPr>
                    <w:spacing w:before="60" w:after="60"/>
                    <w:jc w:val="center"/>
                    <w:rPr>
                      <w:sz w:val="24"/>
                      <w:szCs w:val="24"/>
                      <w:lang w:eastAsia="lv-LV"/>
                    </w:rPr>
                  </w:pPr>
                  <w:r w:rsidRPr="00DE53F3">
                    <w:rPr>
                      <w:sz w:val="24"/>
                      <w:szCs w:val="24"/>
                      <w:lang w:eastAsia="lv-LV"/>
                    </w:rPr>
                    <w:t>2020</w:t>
                  </w:r>
                </w:p>
                <w:p w14:paraId="60E284D9" w14:textId="77777777" w:rsidR="0073448B" w:rsidRPr="00DE53F3" w:rsidRDefault="0073448B" w:rsidP="00DC25F0">
                  <w:pPr>
                    <w:pStyle w:val="Default"/>
                    <w:jc w:val="center"/>
                    <w:rPr>
                      <w:rFonts w:ascii="Times New Roman" w:hAnsi="Times New Roman" w:cs="Times New Roman"/>
                      <w:color w:val="auto"/>
                    </w:rPr>
                  </w:pPr>
                </w:p>
              </w:tc>
              <w:tc>
                <w:tcPr>
                  <w:tcW w:w="1363" w:type="dxa"/>
                </w:tcPr>
                <w:p w14:paraId="6D0F5B10" w14:textId="3F533E93" w:rsidR="0073448B" w:rsidRPr="00DE53F3" w:rsidRDefault="0073448B" w:rsidP="00DC25F0">
                  <w:pPr>
                    <w:pStyle w:val="Default"/>
                    <w:jc w:val="center"/>
                    <w:rPr>
                      <w:rFonts w:ascii="Times New Roman" w:hAnsi="Times New Roman" w:cs="Times New Roman"/>
                      <w:color w:val="auto"/>
                    </w:rPr>
                  </w:pPr>
                  <w:r w:rsidRPr="00DE53F3">
                    <w:rPr>
                      <w:rFonts w:ascii="Times New Roman" w:hAnsi="Times New Roman"/>
                      <w:color w:val="auto"/>
                    </w:rPr>
                    <w:t>2030</w:t>
                  </w:r>
                </w:p>
              </w:tc>
            </w:tr>
            <w:tr w:rsidR="00DE53F3" w:rsidRPr="00DE53F3" w14:paraId="0A9DDDE9" w14:textId="77777777" w:rsidTr="0073448B">
              <w:tc>
                <w:tcPr>
                  <w:tcW w:w="1362" w:type="dxa"/>
                </w:tcPr>
                <w:p w14:paraId="7833E52E" w14:textId="77777777" w:rsidR="0073448B" w:rsidRPr="00DE53F3" w:rsidRDefault="0073448B" w:rsidP="00DC25F0">
                  <w:pPr>
                    <w:spacing w:before="60" w:after="60"/>
                    <w:jc w:val="center"/>
                    <w:rPr>
                      <w:sz w:val="24"/>
                      <w:szCs w:val="24"/>
                      <w:lang w:eastAsia="lv-LV"/>
                    </w:rPr>
                  </w:pPr>
                  <w:r w:rsidRPr="00DE53F3">
                    <w:rPr>
                      <w:sz w:val="24"/>
                      <w:szCs w:val="24"/>
                      <w:lang w:eastAsia="lv-LV"/>
                    </w:rPr>
                    <w:t>1,69</w:t>
                  </w:r>
                </w:p>
                <w:p w14:paraId="1007C5D4" w14:textId="77777777" w:rsidR="0073448B" w:rsidRPr="00DE53F3" w:rsidRDefault="0073448B" w:rsidP="00DC25F0">
                  <w:pPr>
                    <w:pStyle w:val="Default"/>
                    <w:jc w:val="center"/>
                    <w:rPr>
                      <w:rFonts w:ascii="Times New Roman" w:hAnsi="Times New Roman" w:cs="Times New Roman"/>
                      <w:color w:val="auto"/>
                    </w:rPr>
                  </w:pPr>
                </w:p>
              </w:tc>
              <w:tc>
                <w:tcPr>
                  <w:tcW w:w="1362" w:type="dxa"/>
                </w:tcPr>
                <w:p w14:paraId="3DEC664A" w14:textId="77777777" w:rsidR="0073448B" w:rsidRPr="00DE53F3" w:rsidRDefault="0073448B" w:rsidP="00DC25F0">
                  <w:pPr>
                    <w:spacing w:before="60" w:after="60"/>
                    <w:jc w:val="center"/>
                    <w:rPr>
                      <w:sz w:val="24"/>
                      <w:szCs w:val="24"/>
                      <w:lang w:eastAsia="lv-LV"/>
                    </w:rPr>
                  </w:pPr>
                  <w:r w:rsidRPr="00DE53F3">
                    <w:rPr>
                      <w:sz w:val="24"/>
                      <w:szCs w:val="24"/>
                      <w:lang w:eastAsia="lv-LV"/>
                    </w:rPr>
                    <w:t>1,48</w:t>
                  </w:r>
                </w:p>
                <w:p w14:paraId="153D0F6A" w14:textId="77777777" w:rsidR="0073448B" w:rsidRPr="00DE53F3" w:rsidRDefault="0073448B" w:rsidP="00DC25F0">
                  <w:pPr>
                    <w:pStyle w:val="Default"/>
                    <w:jc w:val="center"/>
                    <w:rPr>
                      <w:rFonts w:ascii="Times New Roman" w:hAnsi="Times New Roman" w:cs="Times New Roman"/>
                      <w:color w:val="auto"/>
                    </w:rPr>
                  </w:pPr>
                </w:p>
              </w:tc>
              <w:tc>
                <w:tcPr>
                  <w:tcW w:w="1362" w:type="dxa"/>
                </w:tcPr>
                <w:p w14:paraId="1547CD0D" w14:textId="77777777" w:rsidR="0073448B" w:rsidRPr="00DE53F3" w:rsidRDefault="0073448B" w:rsidP="00DC25F0">
                  <w:pPr>
                    <w:spacing w:before="60" w:after="60"/>
                    <w:jc w:val="center"/>
                    <w:rPr>
                      <w:sz w:val="24"/>
                      <w:szCs w:val="24"/>
                      <w:lang w:eastAsia="lv-LV"/>
                    </w:rPr>
                  </w:pPr>
                  <w:r w:rsidRPr="00DE53F3">
                    <w:rPr>
                      <w:sz w:val="24"/>
                      <w:szCs w:val="24"/>
                      <w:lang w:eastAsia="lv-LV"/>
                    </w:rPr>
                    <w:t>1,30</w:t>
                  </w:r>
                </w:p>
                <w:p w14:paraId="628519BA" w14:textId="77777777" w:rsidR="0073448B" w:rsidRPr="00DE53F3" w:rsidRDefault="0073448B" w:rsidP="00DC25F0">
                  <w:pPr>
                    <w:pStyle w:val="Default"/>
                    <w:jc w:val="center"/>
                    <w:rPr>
                      <w:rFonts w:ascii="Times New Roman" w:hAnsi="Times New Roman" w:cs="Times New Roman"/>
                      <w:color w:val="auto"/>
                    </w:rPr>
                  </w:pPr>
                </w:p>
              </w:tc>
              <w:tc>
                <w:tcPr>
                  <w:tcW w:w="1363" w:type="dxa"/>
                </w:tcPr>
                <w:p w14:paraId="0D436A34" w14:textId="77777777" w:rsidR="0073448B" w:rsidRPr="00DE53F3" w:rsidRDefault="0073448B" w:rsidP="00DC25F0">
                  <w:pPr>
                    <w:spacing w:before="60" w:after="60"/>
                    <w:jc w:val="center"/>
                    <w:rPr>
                      <w:sz w:val="24"/>
                      <w:szCs w:val="24"/>
                      <w:lang w:eastAsia="lv-LV"/>
                    </w:rPr>
                  </w:pPr>
                  <w:r w:rsidRPr="00DE53F3">
                    <w:rPr>
                      <w:sz w:val="24"/>
                      <w:szCs w:val="24"/>
                      <w:lang w:eastAsia="lv-LV"/>
                    </w:rPr>
                    <w:t>1,13</w:t>
                  </w:r>
                </w:p>
                <w:p w14:paraId="2738F051" w14:textId="77777777" w:rsidR="0073448B" w:rsidRPr="00DE53F3" w:rsidRDefault="0073448B" w:rsidP="00DC25F0">
                  <w:pPr>
                    <w:pStyle w:val="Default"/>
                    <w:jc w:val="center"/>
                    <w:rPr>
                      <w:rFonts w:ascii="Times New Roman" w:hAnsi="Times New Roman" w:cs="Times New Roman"/>
                      <w:color w:val="auto"/>
                    </w:rPr>
                  </w:pPr>
                </w:p>
              </w:tc>
              <w:tc>
                <w:tcPr>
                  <w:tcW w:w="1363" w:type="dxa"/>
                </w:tcPr>
                <w:p w14:paraId="4E681942" w14:textId="30E7CBF0" w:rsidR="0073448B" w:rsidRPr="00DE53F3" w:rsidRDefault="0073448B" w:rsidP="00DC25F0">
                  <w:pPr>
                    <w:pStyle w:val="Default"/>
                    <w:jc w:val="center"/>
                    <w:rPr>
                      <w:rFonts w:ascii="Times New Roman" w:hAnsi="Times New Roman" w:cs="Times New Roman"/>
                      <w:color w:val="auto"/>
                    </w:rPr>
                  </w:pPr>
                  <w:r w:rsidRPr="00DE53F3">
                    <w:rPr>
                      <w:rFonts w:ascii="Times New Roman" w:hAnsi="Times New Roman"/>
                      <w:color w:val="auto"/>
                    </w:rPr>
                    <w:t>1,07</w:t>
                  </w:r>
                </w:p>
              </w:tc>
            </w:tr>
          </w:tbl>
          <w:p w14:paraId="4C962D5D" w14:textId="2A5C45A0" w:rsidR="0073448B" w:rsidRPr="00DE53F3" w:rsidRDefault="0073448B" w:rsidP="0073448B">
            <w:pPr>
              <w:spacing w:before="60" w:after="60"/>
              <w:rPr>
                <w:rFonts w:ascii="Times New Roman" w:hAnsi="Times New Roman"/>
                <w:sz w:val="24"/>
                <w:szCs w:val="24"/>
                <w:lang w:eastAsia="lv-LV"/>
              </w:rPr>
            </w:pPr>
          </w:p>
        </w:tc>
      </w:tr>
      <w:tr w:rsidR="00F122F9" w:rsidRPr="00D3416D" w14:paraId="7A2B169D" w14:textId="77777777" w:rsidTr="00DC5242">
        <w:trPr>
          <w:trHeight w:val="510"/>
          <w:jc w:val="center"/>
        </w:trPr>
        <w:tc>
          <w:tcPr>
            <w:tcW w:w="250" w:type="pct"/>
          </w:tcPr>
          <w:p w14:paraId="01E96506" w14:textId="5A619891"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lastRenderedPageBreak/>
              <w:t xml:space="preserve">3. </w:t>
            </w:r>
          </w:p>
        </w:tc>
        <w:tc>
          <w:tcPr>
            <w:tcW w:w="927" w:type="pct"/>
          </w:tcPr>
          <w:p w14:paraId="71D557D7"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Administratīvo izmaksu monetārs novērtējums</w:t>
            </w:r>
          </w:p>
        </w:tc>
        <w:tc>
          <w:tcPr>
            <w:tcW w:w="3823" w:type="pct"/>
          </w:tcPr>
          <w:p w14:paraId="2097C9F2" w14:textId="412186FD" w:rsidR="0074243C" w:rsidRPr="00D3416D" w:rsidRDefault="005472D6" w:rsidP="00DC1194">
            <w:pPr>
              <w:spacing w:before="60" w:after="60"/>
              <w:rPr>
                <w:rFonts w:ascii="Times New Roman" w:hAnsi="Times New Roman"/>
                <w:sz w:val="24"/>
                <w:szCs w:val="24"/>
              </w:rPr>
            </w:pPr>
            <w:r w:rsidRPr="00D3416D">
              <w:rPr>
                <w:rFonts w:ascii="Times New Roman" w:hAnsi="Times New Roman"/>
                <w:sz w:val="24"/>
                <w:szCs w:val="24"/>
              </w:rPr>
              <w:t>Šobrīd netiek paredzēt</w:t>
            </w:r>
            <w:r w:rsidR="001B06D8" w:rsidRPr="00D3416D">
              <w:rPr>
                <w:rFonts w:ascii="Times New Roman" w:hAnsi="Times New Roman"/>
                <w:sz w:val="24"/>
                <w:szCs w:val="24"/>
              </w:rPr>
              <w:t xml:space="preserve"> </w:t>
            </w:r>
            <w:r w:rsidR="00064636" w:rsidRPr="00D3416D">
              <w:rPr>
                <w:rFonts w:ascii="Times New Roman" w:hAnsi="Times New Roman"/>
                <w:sz w:val="24"/>
                <w:szCs w:val="24"/>
              </w:rPr>
              <w:t>noteikumu projektā</w:t>
            </w:r>
            <w:r w:rsidRPr="00D3416D">
              <w:rPr>
                <w:rFonts w:ascii="Times New Roman" w:hAnsi="Times New Roman"/>
                <w:sz w:val="24"/>
                <w:szCs w:val="24"/>
              </w:rPr>
              <w:t xml:space="preserve"> iekļauto nosacījumu ietekme uz administratīvaj</w:t>
            </w:r>
            <w:r w:rsidR="00411594" w:rsidRPr="00D3416D">
              <w:rPr>
                <w:rFonts w:ascii="Times New Roman" w:hAnsi="Times New Roman"/>
                <w:sz w:val="24"/>
                <w:szCs w:val="24"/>
              </w:rPr>
              <w:t>ām izmaksām (naudas izteiksmē).</w:t>
            </w:r>
          </w:p>
        </w:tc>
      </w:tr>
      <w:tr w:rsidR="00F122F9" w:rsidRPr="00D3416D" w14:paraId="575F0B7C" w14:textId="77777777" w:rsidTr="00DC5242">
        <w:trPr>
          <w:trHeight w:val="345"/>
          <w:jc w:val="center"/>
        </w:trPr>
        <w:tc>
          <w:tcPr>
            <w:tcW w:w="250" w:type="pct"/>
          </w:tcPr>
          <w:p w14:paraId="620F6CBC"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4.</w:t>
            </w:r>
          </w:p>
        </w:tc>
        <w:tc>
          <w:tcPr>
            <w:tcW w:w="927" w:type="pct"/>
          </w:tcPr>
          <w:p w14:paraId="04CB5120"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Cita informācija</w:t>
            </w:r>
          </w:p>
        </w:tc>
        <w:tc>
          <w:tcPr>
            <w:tcW w:w="3823" w:type="pct"/>
          </w:tcPr>
          <w:p w14:paraId="06F3F086" w14:textId="6FA11D90" w:rsidR="00CB4AAB" w:rsidRPr="00D3416D" w:rsidRDefault="005472D6" w:rsidP="00DC1194">
            <w:pPr>
              <w:pStyle w:val="BodyTextIndent2"/>
              <w:spacing w:before="60" w:after="60" w:line="240" w:lineRule="auto"/>
              <w:ind w:left="0"/>
              <w:jc w:val="both"/>
            </w:pPr>
            <w:r w:rsidRPr="00D3416D">
              <w:t>Nav</w:t>
            </w:r>
            <w:r w:rsidR="00C76483" w:rsidRPr="00D3416D">
              <w:t>.</w:t>
            </w:r>
          </w:p>
        </w:tc>
      </w:tr>
    </w:tbl>
    <w:p w14:paraId="744886D6" w14:textId="77777777" w:rsidR="004F4CB2" w:rsidRPr="00D3416D" w:rsidRDefault="004F4CB2" w:rsidP="004F4CB2">
      <w:pPr>
        <w:spacing w:after="0"/>
        <w:rPr>
          <w:rFonts w:ascii="Times New Roman" w:hAnsi="Times New Roman"/>
          <w:b/>
          <w:sz w:val="24"/>
          <w:szCs w:val="24"/>
        </w:rPr>
      </w:pPr>
    </w:p>
    <w:p w14:paraId="0D0FBECE" w14:textId="77777777" w:rsidR="00CB4AAB" w:rsidRPr="00D3416D" w:rsidRDefault="00CB4AAB" w:rsidP="000A58AB">
      <w:pPr>
        <w:shd w:val="clear" w:color="auto" w:fill="FFFFFF"/>
        <w:spacing w:after="0"/>
        <w:ind w:firstLine="300"/>
        <w:jc w:val="left"/>
        <w:rPr>
          <w:rFonts w:ascii="Times New Roman" w:hAnsi="Times New Roman"/>
          <w:sz w:val="24"/>
          <w:szCs w:val="24"/>
          <w:lang w:eastAsia="lv-LV"/>
        </w:rPr>
      </w:pPr>
      <w:r w:rsidRPr="00D3416D">
        <w:rPr>
          <w:rFonts w:ascii="Times New Roman" w:hAnsi="Times New Roman"/>
          <w:sz w:val="24"/>
          <w:szCs w:val="24"/>
          <w:lang w:eastAsia="lv-LV"/>
        </w:rPr>
        <w:t>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54"/>
        <w:gridCol w:w="1682"/>
        <w:gridCol w:w="6936"/>
      </w:tblGrid>
      <w:tr w:rsidR="00F122F9" w:rsidRPr="00D3416D" w14:paraId="146904AB" w14:textId="77777777" w:rsidTr="00DC5242">
        <w:trPr>
          <w:jc w:val="center"/>
        </w:trPr>
        <w:tc>
          <w:tcPr>
            <w:tcW w:w="5000" w:type="pct"/>
            <w:gridSpan w:val="3"/>
            <w:shd w:val="clear" w:color="auto" w:fill="FFFFFF"/>
            <w:vAlign w:val="center"/>
          </w:tcPr>
          <w:p w14:paraId="30179983" w14:textId="77777777" w:rsidR="00CB4AAB" w:rsidRPr="00D3416D" w:rsidRDefault="00CB4AAB" w:rsidP="00B63F0E">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V. Tiesību akta projekta atbilstība Latvijas Republikas starptautiskajām saistībām</w:t>
            </w:r>
          </w:p>
        </w:tc>
      </w:tr>
      <w:tr w:rsidR="00DE53F3" w:rsidRPr="00DE53F3" w14:paraId="1B903F49" w14:textId="77777777" w:rsidTr="00DC5242">
        <w:trPr>
          <w:jc w:val="center"/>
        </w:trPr>
        <w:tc>
          <w:tcPr>
            <w:tcW w:w="250" w:type="pct"/>
            <w:shd w:val="clear" w:color="auto" w:fill="FFFFFF"/>
          </w:tcPr>
          <w:p w14:paraId="1BE4D1F1"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1.</w:t>
            </w:r>
          </w:p>
        </w:tc>
        <w:tc>
          <w:tcPr>
            <w:tcW w:w="927" w:type="pct"/>
            <w:shd w:val="clear" w:color="auto" w:fill="FFFFFF"/>
          </w:tcPr>
          <w:p w14:paraId="3456B868"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Saistības pret Eiropas Savienību</w:t>
            </w:r>
          </w:p>
        </w:tc>
        <w:tc>
          <w:tcPr>
            <w:tcW w:w="3823" w:type="pct"/>
            <w:shd w:val="clear" w:color="auto" w:fill="FFFFFF"/>
          </w:tcPr>
          <w:p w14:paraId="41CE3673" w14:textId="77777777" w:rsidR="00F90B84" w:rsidRPr="00DE53F3" w:rsidRDefault="00346562" w:rsidP="00DC1194">
            <w:pPr>
              <w:autoSpaceDE w:val="0"/>
              <w:autoSpaceDN w:val="0"/>
              <w:adjustRightInd w:val="0"/>
              <w:spacing w:before="60" w:after="60"/>
              <w:rPr>
                <w:rFonts w:ascii="Times New Roman" w:hAnsi="Times New Roman"/>
                <w:sz w:val="24"/>
                <w:szCs w:val="24"/>
              </w:rPr>
            </w:pPr>
            <w:r w:rsidRPr="00DE53F3">
              <w:rPr>
                <w:rFonts w:ascii="Times New Roman" w:hAnsi="Times New Roman"/>
                <w:sz w:val="24"/>
                <w:szCs w:val="24"/>
              </w:rPr>
              <w:t>N</w:t>
            </w:r>
            <w:r w:rsidR="00064636" w:rsidRPr="00DE53F3">
              <w:rPr>
                <w:rFonts w:ascii="Times New Roman" w:hAnsi="Times New Roman"/>
                <w:sz w:val="24"/>
                <w:szCs w:val="24"/>
              </w:rPr>
              <w:t>oteikumu projekts</w:t>
            </w:r>
            <w:r w:rsidR="00CB4AAB" w:rsidRPr="00DE53F3">
              <w:rPr>
                <w:rFonts w:ascii="Times New Roman" w:hAnsi="Times New Roman"/>
                <w:sz w:val="24"/>
                <w:szCs w:val="24"/>
              </w:rPr>
              <w:t xml:space="preserve"> sagatavots, ievērojot</w:t>
            </w:r>
            <w:r w:rsidR="00F90B84" w:rsidRPr="00DE53F3">
              <w:rPr>
                <w:rFonts w:ascii="Times New Roman" w:hAnsi="Times New Roman"/>
                <w:sz w:val="24"/>
                <w:szCs w:val="24"/>
              </w:rPr>
              <w:t>:</w:t>
            </w:r>
          </w:p>
          <w:p w14:paraId="3E5E0472" w14:textId="15D169A9" w:rsidR="00D07C24" w:rsidRPr="00DE53F3" w:rsidRDefault="00F90B84" w:rsidP="00DC1194">
            <w:pPr>
              <w:autoSpaceDE w:val="0"/>
              <w:autoSpaceDN w:val="0"/>
              <w:adjustRightInd w:val="0"/>
              <w:spacing w:before="60" w:after="60"/>
              <w:rPr>
                <w:rFonts w:ascii="Times New Roman" w:hAnsi="Times New Roman"/>
                <w:bCs/>
                <w:sz w:val="24"/>
                <w:szCs w:val="24"/>
              </w:rPr>
            </w:pPr>
            <w:r w:rsidRPr="00DE53F3">
              <w:rPr>
                <w:rFonts w:ascii="Times New Roman" w:hAnsi="Times New Roman"/>
                <w:sz w:val="24"/>
                <w:szCs w:val="24"/>
              </w:rPr>
              <w:t>-)</w:t>
            </w:r>
            <w:r w:rsidR="00CB4AAB" w:rsidRPr="00DE53F3">
              <w:rPr>
                <w:rFonts w:ascii="Times New Roman" w:hAnsi="Times New Roman"/>
                <w:sz w:val="24"/>
                <w:szCs w:val="24"/>
              </w:rPr>
              <w:t xml:space="preserve"> </w:t>
            </w:r>
            <w:r w:rsidR="005871ED" w:rsidRPr="00DE53F3">
              <w:rPr>
                <w:rFonts w:ascii="Times New Roman" w:hAnsi="Times New Roman"/>
                <w:bCs/>
                <w:sz w:val="24"/>
                <w:szCs w:val="24"/>
              </w:rPr>
              <w:t>2013</w:t>
            </w:r>
            <w:r w:rsidR="009C0EC5" w:rsidRPr="00DE53F3">
              <w:rPr>
                <w:rFonts w:ascii="Times New Roman" w:hAnsi="Times New Roman"/>
                <w:bCs/>
                <w:sz w:val="24"/>
                <w:szCs w:val="24"/>
              </w:rPr>
              <w:t>.</w:t>
            </w:r>
            <w:r w:rsidR="009C0EC5" w:rsidRPr="00DE53F3">
              <w:rPr>
                <w:bCs/>
                <w:sz w:val="24"/>
                <w:szCs w:val="24"/>
              </w:rPr>
              <w:t> </w:t>
            </w:r>
            <w:r w:rsidR="005871ED" w:rsidRPr="00DE53F3">
              <w:rPr>
                <w:rFonts w:ascii="Times New Roman" w:hAnsi="Times New Roman"/>
                <w:bCs/>
                <w:sz w:val="24"/>
                <w:szCs w:val="24"/>
              </w:rPr>
              <w:t>gada 21</w:t>
            </w:r>
            <w:r w:rsidR="009C0EC5" w:rsidRPr="00DE53F3">
              <w:rPr>
                <w:rFonts w:ascii="Times New Roman" w:hAnsi="Times New Roman"/>
                <w:bCs/>
                <w:sz w:val="24"/>
                <w:szCs w:val="24"/>
              </w:rPr>
              <w:t>.</w:t>
            </w:r>
            <w:r w:rsidR="009C0EC5" w:rsidRPr="00DE53F3">
              <w:rPr>
                <w:bCs/>
                <w:sz w:val="24"/>
                <w:szCs w:val="24"/>
              </w:rPr>
              <w:t> </w:t>
            </w:r>
            <w:r w:rsidR="005871ED" w:rsidRPr="00DE53F3">
              <w:rPr>
                <w:rFonts w:ascii="Times New Roman" w:hAnsi="Times New Roman"/>
                <w:bCs/>
                <w:sz w:val="24"/>
                <w:szCs w:val="24"/>
              </w:rPr>
              <w:t xml:space="preserve">maija Eiropas Parlamenta un Padomes </w:t>
            </w:r>
            <w:r w:rsidR="009C0EC5" w:rsidRPr="00DE53F3">
              <w:rPr>
                <w:rFonts w:ascii="Times New Roman" w:hAnsi="Times New Roman"/>
                <w:bCs/>
                <w:sz w:val="24"/>
                <w:szCs w:val="24"/>
              </w:rPr>
              <w:t xml:space="preserve">Lēmumu </w:t>
            </w:r>
            <w:r w:rsidR="005871ED" w:rsidRPr="00DE53F3">
              <w:rPr>
                <w:rFonts w:ascii="Times New Roman" w:hAnsi="Times New Roman"/>
                <w:bCs/>
                <w:sz w:val="24"/>
                <w:szCs w:val="24"/>
              </w:rPr>
              <w:t>Nr.</w:t>
            </w:r>
            <w:r w:rsidR="009C0EC5" w:rsidRPr="00DE53F3">
              <w:rPr>
                <w:bCs/>
                <w:sz w:val="24"/>
                <w:szCs w:val="24"/>
              </w:rPr>
              <w:t> </w:t>
            </w:r>
            <w:r w:rsidR="005871ED" w:rsidRPr="00DE53F3">
              <w:rPr>
                <w:rFonts w:ascii="Times New Roman" w:hAnsi="Times New Roman"/>
                <w:bCs/>
                <w:sz w:val="24"/>
                <w:szCs w:val="24"/>
              </w:rPr>
              <w:t>529/2013/ES par uzskaites noteikumiem attiecībā uz siltumnīcefekta gāzu emisijām un piesaisti, kas rodas darbībās, kuras saistītas ar zemes izmantošanu, zemes izmantošanas maiņu un mežsaimniecību, un par informāciju par rīcīb</w:t>
            </w:r>
            <w:r w:rsidR="0048741E">
              <w:rPr>
                <w:rFonts w:ascii="Times New Roman" w:hAnsi="Times New Roman"/>
                <w:bCs/>
                <w:sz w:val="24"/>
                <w:szCs w:val="24"/>
              </w:rPr>
              <w:t>u, kas saistīta ar šīm darbībām</w:t>
            </w:r>
            <w:r w:rsidRPr="00DE53F3">
              <w:rPr>
                <w:rFonts w:ascii="Times New Roman" w:hAnsi="Times New Roman"/>
                <w:bCs/>
                <w:sz w:val="24"/>
                <w:szCs w:val="24"/>
              </w:rPr>
              <w:t>;</w:t>
            </w:r>
          </w:p>
          <w:p w14:paraId="3CE0EA7B" w14:textId="5F104B16" w:rsidR="00F90B84" w:rsidRPr="00DE53F3" w:rsidRDefault="00F90B84" w:rsidP="00F90B84">
            <w:pPr>
              <w:autoSpaceDE w:val="0"/>
              <w:autoSpaceDN w:val="0"/>
              <w:adjustRightInd w:val="0"/>
              <w:spacing w:before="60" w:after="60"/>
              <w:rPr>
                <w:sz w:val="24"/>
                <w:szCs w:val="24"/>
                <w:lang w:eastAsia="lv-LV"/>
              </w:rPr>
            </w:pPr>
            <w:r w:rsidRPr="00DE53F3">
              <w:rPr>
                <w:rFonts w:ascii="Times New Roman" w:hAnsi="Times New Roman"/>
                <w:b/>
                <w:sz w:val="24"/>
                <w:szCs w:val="24"/>
                <w:lang w:eastAsia="lv-LV"/>
              </w:rPr>
              <w:t>-)</w:t>
            </w:r>
            <w:r w:rsidRPr="00DE53F3">
              <w:rPr>
                <w:rStyle w:val="apple-converted-space"/>
                <w:rFonts w:ascii="Times New Roman" w:hAnsi="Times New Roman"/>
                <w:b/>
                <w:sz w:val="24"/>
                <w:szCs w:val="24"/>
                <w:bdr w:val="none" w:sz="0" w:space="0" w:color="auto" w:frame="1"/>
                <w:shd w:val="clear" w:color="auto" w:fill="FFFFFF"/>
              </w:rPr>
              <w:t xml:space="preserve"> </w:t>
            </w:r>
            <w:r w:rsidRPr="00DE53F3">
              <w:rPr>
                <w:rStyle w:val="Strong"/>
                <w:rFonts w:ascii="Times New Roman" w:hAnsi="Times New Roman"/>
                <w:b w:val="0"/>
                <w:sz w:val="24"/>
                <w:szCs w:val="24"/>
                <w:bdr w:val="none" w:sz="0" w:space="0" w:color="auto" w:frame="1"/>
                <w:shd w:val="clear" w:color="auto" w:fill="FFFFFF"/>
              </w:rPr>
              <w:t>2013. gada 21. maija Eiro</w:t>
            </w:r>
            <w:r w:rsidR="00373448" w:rsidRPr="00DE53F3">
              <w:rPr>
                <w:rStyle w:val="Strong"/>
                <w:rFonts w:ascii="Times New Roman" w:hAnsi="Times New Roman"/>
                <w:b w:val="0"/>
                <w:sz w:val="24"/>
                <w:szCs w:val="24"/>
                <w:bdr w:val="none" w:sz="0" w:space="0" w:color="auto" w:frame="1"/>
                <w:shd w:val="clear" w:color="auto" w:fill="FFFFFF"/>
              </w:rPr>
              <w:t xml:space="preserve">pas Parlamenta un Padomes Regulu </w:t>
            </w:r>
            <w:r w:rsidRPr="00DE53F3">
              <w:rPr>
                <w:rStyle w:val="Strong"/>
                <w:rFonts w:ascii="Times New Roman" w:hAnsi="Times New Roman"/>
                <w:b w:val="0"/>
                <w:sz w:val="24"/>
                <w:szCs w:val="24"/>
                <w:bdr w:val="none" w:sz="0" w:space="0" w:color="auto" w:frame="1"/>
                <w:shd w:val="clear" w:color="auto" w:fill="FFFFFF"/>
              </w:rPr>
              <w:t xml:space="preserve"> </w:t>
            </w:r>
            <w:r w:rsidR="00373448" w:rsidRPr="00DE53F3">
              <w:rPr>
                <w:rStyle w:val="Strong"/>
                <w:rFonts w:ascii="Times New Roman" w:hAnsi="Times New Roman"/>
                <w:b w:val="0"/>
                <w:sz w:val="24"/>
                <w:szCs w:val="24"/>
                <w:bdr w:val="none" w:sz="0" w:space="0" w:color="auto" w:frame="1"/>
                <w:shd w:val="clear" w:color="auto" w:fill="FFFFFF"/>
              </w:rPr>
              <w:t xml:space="preserve">Nr. 525/2013 </w:t>
            </w:r>
            <w:r w:rsidRPr="00DE53F3">
              <w:rPr>
                <w:rStyle w:val="Strong"/>
                <w:rFonts w:ascii="Times New Roman" w:hAnsi="Times New Roman"/>
                <w:b w:val="0"/>
                <w:sz w:val="24"/>
                <w:szCs w:val="24"/>
                <w:bdr w:val="none" w:sz="0" w:space="0" w:color="auto" w:frame="1"/>
                <w:shd w:val="clear" w:color="auto" w:fill="FFFFFF"/>
              </w:rPr>
              <w:t>par mehānismu siltumnīcefekta gāzu emisiju pārraudzībai un ziņošanai un citas informācijas ziņošanai valstu un Savienības līmenī saistībā ar klimata pārmaiņām un par Lēmuma Nr. 280/2004/EK atcelšanu Dokuments attiecas uz EEZ</w:t>
            </w:r>
            <w:r w:rsidR="00E01F07">
              <w:rPr>
                <w:rStyle w:val="Strong"/>
                <w:rFonts w:ascii="Times New Roman" w:hAnsi="Times New Roman"/>
                <w:b w:val="0"/>
                <w:sz w:val="24"/>
                <w:szCs w:val="24"/>
                <w:bdr w:val="none" w:sz="0" w:space="0" w:color="auto" w:frame="1"/>
                <w:shd w:val="clear" w:color="auto" w:fill="FFFFFF"/>
              </w:rPr>
              <w:t>.</w:t>
            </w:r>
          </w:p>
        </w:tc>
      </w:tr>
      <w:tr w:rsidR="00DE53F3" w:rsidRPr="00DE53F3" w14:paraId="709EDEBF" w14:textId="77777777" w:rsidTr="00DC5242">
        <w:trPr>
          <w:jc w:val="center"/>
        </w:trPr>
        <w:tc>
          <w:tcPr>
            <w:tcW w:w="250" w:type="pct"/>
            <w:shd w:val="clear" w:color="auto" w:fill="FFFFFF"/>
          </w:tcPr>
          <w:p w14:paraId="07D89BC1" w14:textId="1F0BC394" w:rsidR="00CB4AAB" w:rsidRPr="00DE53F3" w:rsidRDefault="00F90B84"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2</w:t>
            </w:r>
            <w:r w:rsidR="00CB4AAB" w:rsidRPr="00DE53F3">
              <w:rPr>
                <w:rFonts w:ascii="Times New Roman" w:hAnsi="Times New Roman"/>
                <w:sz w:val="24"/>
                <w:szCs w:val="24"/>
                <w:lang w:eastAsia="lv-LV"/>
              </w:rPr>
              <w:t>.</w:t>
            </w:r>
          </w:p>
        </w:tc>
        <w:tc>
          <w:tcPr>
            <w:tcW w:w="927" w:type="pct"/>
            <w:shd w:val="clear" w:color="auto" w:fill="FFFFFF"/>
          </w:tcPr>
          <w:p w14:paraId="1BDBF27D"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Citas starptautiskās saistības</w:t>
            </w:r>
          </w:p>
        </w:tc>
        <w:tc>
          <w:tcPr>
            <w:tcW w:w="3823" w:type="pct"/>
            <w:shd w:val="clear" w:color="auto" w:fill="FFFFFF"/>
          </w:tcPr>
          <w:p w14:paraId="5FF261CD" w14:textId="77777777" w:rsidR="005871ED" w:rsidRPr="00DE53F3" w:rsidRDefault="005871ED" w:rsidP="000022EA">
            <w:pPr>
              <w:spacing w:before="60" w:after="60"/>
              <w:rPr>
                <w:rFonts w:ascii="Times New Roman" w:hAnsi="Times New Roman"/>
                <w:sz w:val="24"/>
                <w:szCs w:val="24"/>
              </w:rPr>
            </w:pPr>
            <w:r w:rsidRPr="00DE53F3">
              <w:rPr>
                <w:rFonts w:ascii="Times New Roman" w:hAnsi="Times New Roman"/>
                <w:sz w:val="24"/>
                <w:szCs w:val="24"/>
              </w:rPr>
              <w:t>ANO Vispārējās konvencijas par klimata pārmaiņām un Kioto Protokola Līgumslēdzēju pušu konferencēs un pieņemtie lēmumi: 24/CP.19, 13/CMP, 19/CMP.1, 2/CMP.8, 2/CMP.7, 2/CP.17, 19/CP.18.</w:t>
            </w:r>
          </w:p>
        </w:tc>
      </w:tr>
      <w:tr w:rsidR="00DE53F3" w:rsidRPr="00DE53F3" w14:paraId="5ED20D2C" w14:textId="77777777" w:rsidTr="00DC5242">
        <w:trPr>
          <w:jc w:val="center"/>
        </w:trPr>
        <w:tc>
          <w:tcPr>
            <w:tcW w:w="250" w:type="pct"/>
            <w:shd w:val="clear" w:color="auto" w:fill="FFFFFF"/>
          </w:tcPr>
          <w:p w14:paraId="19D42719"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lastRenderedPageBreak/>
              <w:t>3.</w:t>
            </w:r>
          </w:p>
        </w:tc>
        <w:tc>
          <w:tcPr>
            <w:tcW w:w="927" w:type="pct"/>
            <w:shd w:val="clear" w:color="auto" w:fill="FFFFFF"/>
          </w:tcPr>
          <w:p w14:paraId="7AEC9829" w14:textId="77777777" w:rsidR="00CB4AAB" w:rsidRPr="00DE53F3" w:rsidRDefault="00CB4AAB" w:rsidP="00B63F0E">
            <w:pPr>
              <w:spacing w:before="60" w:after="60"/>
              <w:jc w:val="left"/>
              <w:rPr>
                <w:rFonts w:ascii="Times New Roman" w:hAnsi="Times New Roman"/>
                <w:sz w:val="24"/>
                <w:szCs w:val="24"/>
                <w:lang w:eastAsia="lv-LV"/>
              </w:rPr>
            </w:pPr>
            <w:r w:rsidRPr="00DE53F3">
              <w:rPr>
                <w:rFonts w:ascii="Times New Roman" w:hAnsi="Times New Roman"/>
                <w:sz w:val="24"/>
                <w:szCs w:val="24"/>
                <w:lang w:eastAsia="lv-LV"/>
              </w:rPr>
              <w:t>Cita informācija</w:t>
            </w:r>
          </w:p>
        </w:tc>
        <w:tc>
          <w:tcPr>
            <w:tcW w:w="3823" w:type="pct"/>
            <w:shd w:val="clear" w:color="auto" w:fill="FFFFFF"/>
          </w:tcPr>
          <w:p w14:paraId="619651EE" w14:textId="77777777" w:rsidR="00CB4AAB" w:rsidRPr="00DE53F3" w:rsidRDefault="004134E1" w:rsidP="00142CF5">
            <w:pPr>
              <w:spacing w:before="60" w:after="60"/>
              <w:rPr>
                <w:rFonts w:ascii="Times New Roman" w:hAnsi="Times New Roman"/>
                <w:b/>
                <w:sz w:val="24"/>
                <w:szCs w:val="24"/>
                <w:lang w:eastAsia="lv-LV"/>
              </w:rPr>
            </w:pPr>
            <w:r w:rsidRPr="00DE53F3">
              <w:rPr>
                <w:rFonts w:ascii="Times New Roman" w:hAnsi="Times New Roman"/>
                <w:sz w:val="24"/>
                <w:szCs w:val="24"/>
                <w:lang w:eastAsia="lv-LV"/>
              </w:rPr>
              <w:t>Nav.</w:t>
            </w:r>
          </w:p>
        </w:tc>
      </w:tr>
    </w:tbl>
    <w:p w14:paraId="3B503889" w14:textId="77777777" w:rsidR="00CB4AAB" w:rsidRPr="00DE53F3" w:rsidRDefault="00CB4AAB" w:rsidP="00F122F9">
      <w:pPr>
        <w:spacing w:after="0"/>
        <w:jc w:val="left"/>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1893"/>
        <w:gridCol w:w="2410"/>
        <w:gridCol w:w="3123"/>
      </w:tblGrid>
      <w:tr w:rsidR="00DE53F3" w:rsidRPr="00DE53F3" w14:paraId="2BA93ED4" w14:textId="77777777" w:rsidTr="000252D3">
        <w:trPr>
          <w:trHeight w:val="284"/>
          <w:jc w:val="center"/>
        </w:trPr>
        <w:tc>
          <w:tcPr>
            <w:tcW w:w="9072" w:type="dxa"/>
            <w:gridSpan w:val="4"/>
          </w:tcPr>
          <w:p w14:paraId="0F95BAA9" w14:textId="77777777" w:rsidR="00CB4AAB" w:rsidRPr="00DE53F3" w:rsidRDefault="00CB4AAB" w:rsidP="00B63F0E">
            <w:pPr>
              <w:spacing w:before="60" w:after="60"/>
              <w:jc w:val="center"/>
              <w:rPr>
                <w:rFonts w:ascii="Times New Roman" w:hAnsi="Times New Roman"/>
                <w:b/>
                <w:sz w:val="24"/>
                <w:szCs w:val="24"/>
              </w:rPr>
            </w:pPr>
            <w:r w:rsidRPr="00DE53F3">
              <w:rPr>
                <w:rFonts w:ascii="Times New Roman" w:hAnsi="Times New Roman"/>
                <w:b/>
                <w:sz w:val="24"/>
                <w:szCs w:val="24"/>
              </w:rPr>
              <w:t>1.tabula</w:t>
            </w:r>
          </w:p>
          <w:p w14:paraId="7E26A588" w14:textId="77777777" w:rsidR="00CB4AAB" w:rsidRPr="00DE53F3" w:rsidRDefault="00CB4AAB" w:rsidP="00B63F0E">
            <w:pPr>
              <w:spacing w:before="60" w:after="60"/>
              <w:ind w:left="57"/>
              <w:jc w:val="center"/>
              <w:rPr>
                <w:rFonts w:ascii="Times New Roman" w:hAnsi="Times New Roman"/>
                <w:sz w:val="24"/>
                <w:szCs w:val="24"/>
              </w:rPr>
            </w:pPr>
            <w:r w:rsidRPr="00DE53F3">
              <w:rPr>
                <w:rFonts w:ascii="Times New Roman" w:hAnsi="Times New Roman"/>
                <w:b/>
                <w:sz w:val="24"/>
                <w:szCs w:val="24"/>
              </w:rPr>
              <w:t>Tiesību akta projekta atbilstība ES tiesību aktiem</w:t>
            </w:r>
          </w:p>
        </w:tc>
      </w:tr>
      <w:tr w:rsidR="00DE53F3" w:rsidRPr="00DE53F3" w14:paraId="672D6D01" w14:textId="77777777" w:rsidTr="000252D3">
        <w:trPr>
          <w:trHeight w:val="284"/>
          <w:jc w:val="center"/>
        </w:trPr>
        <w:tc>
          <w:tcPr>
            <w:tcW w:w="1646" w:type="dxa"/>
          </w:tcPr>
          <w:p w14:paraId="16DC1E90" w14:textId="77777777" w:rsidR="00CB4AAB" w:rsidRPr="00DE53F3" w:rsidRDefault="00CB4AAB" w:rsidP="009C0EC5">
            <w:pPr>
              <w:spacing w:before="60" w:after="60"/>
              <w:ind w:left="137" w:right="91"/>
              <w:rPr>
                <w:rFonts w:ascii="Times New Roman" w:hAnsi="Times New Roman"/>
                <w:sz w:val="24"/>
                <w:szCs w:val="24"/>
              </w:rPr>
            </w:pPr>
            <w:r w:rsidRPr="00DE53F3">
              <w:rPr>
                <w:rFonts w:ascii="Times New Roman" w:hAnsi="Times New Roman"/>
                <w:sz w:val="24"/>
                <w:szCs w:val="24"/>
              </w:rPr>
              <w:t>Attiecīgā Eiropas Savienības tiesību akta datums, numurs un nosaukums</w:t>
            </w:r>
          </w:p>
        </w:tc>
        <w:tc>
          <w:tcPr>
            <w:tcW w:w="7426" w:type="dxa"/>
            <w:gridSpan w:val="3"/>
            <w:vAlign w:val="center"/>
          </w:tcPr>
          <w:p w14:paraId="158D4219" w14:textId="2392CB66" w:rsidR="00CB4AAB" w:rsidRPr="00DE53F3" w:rsidRDefault="00654A50" w:rsidP="00DC1194">
            <w:pPr>
              <w:autoSpaceDE w:val="0"/>
              <w:autoSpaceDN w:val="0"/>
              <w:adjustRightInd w:val="0"/>
              <w:spacing w:before="60" w:after="60"/>
              <w:ind w:left="50" w:right="146"/>
              <w:rPr>
                <w:rFonts w:ascii="Times New Roman" w:hAnsi="Times New Roman"/>
                <w:sz w:val="24"/>
                <w:szCs w:val="24"/>
                <w:shd w:val="clear" w:color="auto" w:fill="FFFFFF"/>
              </w:rPr>
            </w:pPr>
            <w:r w:rsidRPr="00DE53F3">
              <w:rPr>
                <w:rFonts w:ascii="Times New Roman" w:hAnsi="Times New Roman"/>
                <w:sz w:val="24"/>
                <w:szCs w:val="24"/>
                <w:shd w:val="clear" w:color="auto" w:fill="FFFFFF"/>
              </w:rPr>
              <w:t>2013</w:t>
            </w:r>
            <w:r w:rsidR="009C0EC5" w:rsidRPr="00DE53F3">
              <w:rPr>
                <w:rFonts w:ascii="Times New Roman" w:hAnsi="Times New Roman"/>
                <w:sz w:val="24"/>
                <w:szCs w:val="24"/>
                <w:shd w:val="clear" w:color="auto" w:fill="FFFFFF"/>
              </w:rPr>
              <w:t>. </w:t>
            </w:r>
            <w:r w:rsidRPr="00DE53F3">
              <w:rPr>
                <w:rFonts w:ascii="Times New Roman" w:hAnsi="Times New Roman"/>
                <w:sz w:val="24"/>
                <w:szCs w:val="24"/>
                <w:shd w:val="clear" w:color="auto" w:fill="FFFFFF"/>
              </w:rPr>
              <w:t>gada 21</w:t>
            </w:r>
            <w:r w:rsidR="009C0EC5" w:rsidRPr="00DE53F3">
              <w:rPr>
                <w:rFonts w:ascii="Times New Roman" w:hAnsi="Times New Roman"/>
                <w:sz w:val="24"/>
                <w:szCs w:val="24"/>
                <w:shd w:val="clear" w:color="auto" w:fill="FFFFFF"/>
              </w:rPr>
              <w:t>. </w:t>
            </w:r>
            <w:r w:rsidRPr="00DE53F3">
              <w:rPr>
                <w:rFonts w:ascii="Times New Roman" w:hAnsi="Times New Roman"/>
                <w:sz w:val="24"/>
                <w:szCs w:val="24"/>
                <w:shd w:val="clear" w:color="auto" w:fill="FFFFFF"/>
              </w:rPr>
              <w:t>maija Eiropas Parlamenta un Padomes Lēmums Nr.</w:t>
            </w:r>
            <w:r w:rsidR="009C0EC5" w:rsidRPr="00DE53F3">
              <w:rPr>
                <w:rFonts w:ascii="Times New Roman" w:hAnsi="Times New Roman"/>
                <w:sz w:val="24"/>
                <w:szCs w:val="24"/>
                <w:shd w:val="clear" w:color="auto" w:fill="FFFFFF"/>
              </w:rPr>
              <w:t> </w:t>
            </w:r>
            <w:r w:rsidRPr="00DE53F3">
              <w:rPr>
                <w:rFonts w:ascii="Times New Roman" w:hAnsi="Times New Roman"/>
                <w:sz w:val="24"/>
                <w:szCs w:val="24"/>
                <w:shd w:val="clear" w:color="auto" w:fill="FFFFFF"/>
              </w:rPr>
              <w:t>529/2013/ES par uzskaites noteikumiem attiecībā uz siltumnīcefekta gāzu emisijām un piesaisti, kas rodas darbībās, kuras saistītas ar zemes izmantošanu, zemes izmantošanas maiņu un mežsaimniecību, un par informāciju par rīcību, kas saistīta ar šīm darbībām.</w:t>
            </w:r>
          </w:p>
        </w:tc>
      </w:tr>
      <w:tr w:rsidR="00DE53F3" w:rsidRPr="00DE53F3" w14:paraId="08BA0AD5" w14:textId="77777777" w:rsidTr="00DC1194">
        <w:trPr>
          <w:trHeight w:val="284"/>
          <w:jc w:val="center"/>
        </w:trPr>
        <w:tc>
          <w:tcPr>
            <w:tcW w:w="1646" w:type="dxa"/>
            <w:vAlign w:val="center"/>
          </w:tcPr>
          <w:p w14:paraId="54BBBAD8" w14:textId="77777777" w:rsidR="00F07CD0" w:rsidRPr="00DE53F3" w:rsidRDefault="00CB4AAB" w:rsidP="005E117D">
            <w:pPr>
              <w:spacing w:after="0"/>
              <w:jc w:val="center"/>
              <w:rPr>
                <w:rFonts w:ascii="Times New Roman" w:hAnsi="Times New Roman"/>
                <w:sz w:val="24"/>
                <w:szCs w:val="24"/>
              </w:rPr>
            </w:pPr>
            <w:r w:rsidRPr="00DE53F3">
              <w:rPr>
                <w:rFonts w:ascii="Times New Roman" w:hAnsi="Times New Roman"/>
                <w:sz w:val="24"/>
                <w:szCs w:val="24"/>
              </w:rPr>
              <w:t>A</w:t>
            </w:r>
          </w:p>
        </w:tc>
        <w:tc>
          <w:tcPr>
            <w:tcW w:w="1893" w:type="dxa"/>
            <w:vAlign w:val="center"/>
          </w:tcPr>
          <w:p w14:paraId="40FBD77F" w14:textId="77777777" w:rsidR="00F07CD0" w:rsidRPr="00DE53F3" w:rsidRDefault="00CB4AAB" w:rsidP="005E117D">
            <w:pPr>
              <w:spacing w:after="0"/>
              <w:ind w:left="57"/>
              <w:jc w:val="center"/>
              <w:rPr>
                <w:rFonts w:ascii="Times New Roman" w:hAnsi="Times New Roman"/>
                <w:sz w:val="24"/>
                <w:szCs w:val="24"/>
              </w:rPr>
            </w:pPr>
            <w:r w:rsidRPr="00DE53F3">
              <w:rPr>
                <w:rFonts w:ascii="Times New Roman" w:hAnsi="Times New Roman"/>
                <w:sz w:val="24"/>
                <w:szCs w:val="24"/>
              </w:rPr>
              <w:t>B</w:t>
            </w:r>
          </w:p>
        </w:tc>
        <w:tc>
          <w:tcPr>
            <w:tcW w:w="2410" w:type="dxa"/>
            <w:vAlign w:val="center"/>
          </w:tcPr>
          <w:p w14:paraId="1886F39D" w14:textId="77777777" w:rsidR="00F07CD0" w:rsidRPr="00DE53F3" w:rsidRDefault="00CB4AAB" w:rsidP="005E117D">
            <w:pPr>
              <w:spacing w:after="0"/>
              <w:ind w:left="57"/>
              <w:jc w:val="center"/>
              <w:rPr>
                <w:rFonts w:ascii="Times New Roman" w:hAnsi="Times New Roman"/>
                <w:sz w:val="24"/>
                <w:szCs w:val="24"/>
              </w:rPr>
            </w:pPr>
            <w:r w:rsidRPr="00DE53F3">
              <w:rPr>
                <w:rFonts w:ascii="Times New Roman" w:hAnsi="Times New Roman"/>
                <w:sz w:val="24"/>
                <w:szCs w:val="24"/>
              </w:rPr>
              <w:t>C</w:t>
            </w:r>
          </w:p>
        </w:tc>
        <w:tc>
          <w:tcPr>
            <w:tcW w:w="3123" w:type="dxa"/>
            <w:vAlign w:val="center"/>
          </w:tcPr>
          <w:p w14:paraId="0C3C84A9" w14:textId="77777777" w:rsidR="00F07CD0" w:rsidRPr="00DE53F3" w:rsidRDefault="00CB4AAB" w:rsidP="005E117D">
            <w:pPr>
              <w:spacing w:after="0"/>
              <w:ind w:left="57"/>
              <w:jc w:val="center"/>
              <w:rPr>
                <w:rFonts w:ascii="Times New Roman" w:hAnsi="Times New Roman"/>
                <w:sz w:val="24"/>
                <w:szCs w:val="24"/>
              </w:rPr>
            </w:pPr>
            <w:r w:rsidRPr="00DE53F3">
              <w:rPr>
                <w:rFonts w:ascii="Times New Roman" w:hAnsi="Times New Roman"/>
                <w:sz w:val="24"/>
                <w:szCs w:val="24"/>
              </w:rPr>
              <w:t>D</w:t>
            </w:r>
          </w:p>
        </w:tc>
      </w:tr>
      <w:tr w:rsidR="00DE53F3" w:rsidRPr="00DE53F3" w14:paraId="49985CD3" w14:textId="77777777" w:rsidTr="00DC1194">
        <w:trPr>
          <w:trHeight w:val="284"/>
          <w:jc w:val="center"/>
        </w:trPr>
        <w:tc>
          <w:tcPr>
            <w:tcW w:w="1646" w:type="dxa"/>
          </w:tcPr>
          <w:p w14:paraId="643E5323" w14:textId="77777777" w:rsidR="00CB4AAB" w:rsidRPr="00DE53F3" w:rsidRDefault="00CB4AAB" w:rsidP="009C0EC5">
            <w:pPr>
              <w:spacing w:before="60" w:after="60"/>
              <w:ind w:left="137" w:right="91"/>
              <w:rPr>
                <w:rFonts w:ascii="Times New Roman" w:hAnsi="Times New Roman"/>
                <w:spacing w:val="-3"/>
                <w:sz w:val="24"/>
                <w:szCs w:val="24"/>
              </w:rPr>
            </w:pPr>
            <w:r w:rsidRPr="00DE53F3">
              <w:rPr>
                <w:rFonts w:ascii="Times New Roman" w:hAnsi="Times New Roman"/>
                <w:spacing w:val="-3"/>
                <w:sz w:val="24"/>
                <w:szCs w:val="24"/>
              </w:rPr>
              <w:t>Attiecīgā ES tiesību akta panta numurs (uzskaitot katru tiesību akta vienību – pantu, daļu, punktu, apakšpunktu)</w:t>
            </w:r>
          </w:p>
        </w:tc>
        <w:tc>
          <w:tcPr>
            <w:tcW w:w="1893" w:type="dxa"/>
          </w:tcPr>
          <w:p w14:paraId="460843AD" w14:textId="77777777" w:rsidR="00CB4AAB" w:rsidRPr="00DE53F3" w:rsidRDefault="00CB4AAB" w:rsidP="009C0EC5">
            <w:pPr>
              <w:spacing w:before="60" w:after="60"/>
              <w:ind w:left="50" w:right="181"/>
              <w:rPr>
                <w:rFonts w:ascii="Times New Roman" w:hAnsi="Times New Roman"/>
                <w:spacing w:val="-3"/>
                <w:sz w:val="24"/>
                <w:szCs w:val="24"/>
              </w:rPr>
            </w:pPr>
            <w:r w:rsidRPr="00DE53F3">
              <w:rPr>
                <w:rFonts w:ascii="Times New Roman" w:hAnsi="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410" w:type="dxa"/>
          </w:tcPr>
          <w:p w14:paraId="46191525" w14:textId="77777777" w:rsidR="00CB4AAB" w:rsidRPr="00DE53F3" w:rsidRDefault="00CB4AAB" w:rsidP="009C0EC5">
            <w:pPr>
              <w:spacing w:before="60" w:after="60"/>
              <w:ind w:left="103" w:right="90"/>
              <w:rPr>
                <w:rFonts w:ascii="Times New Roman" w:hAnsi="Times New Roman"/>
                <w:spacing w:val="-3"/>
                <w:sz w:val="24"/>
                <w:szCs w:val="24"/>
              </w:rPr>
            </w:pPr>
            <w:r w:rsidRPr="00DE53F3">
              <w:rPr>
                <w:rFonts w:ascii="Times New Roman" w:hAnsi="Times New Roman"/>
                <w:spacing w:val="-3"/>
                <w:sz w:val="24"/>
                <w:szCs w:val="24"/>
              </w:rPr>
              <w:t>Informācija par to, vai šīs tabulas A ailē minētās ES tiesību akta vienības tiek pārņemtas vai ieviestas pilnībā vai daļēji.</w:t>
            </w:r>
          </w:p>
          <w:p w14:paraId="4B4D095A" w14:textId="77777777" w:rsidR="00CB4AAB" w:rsidRPr="00DE53F3" w:rsidRDefault="00CB4AAB" w:rsidP="009C0EC5">
            <w:pPr>
              <w:spacing w:before="60" w:after="60"/>
              <w:ind w:left="103" w:right="90"/>
              <w:rPr>
                <w:rFonts w:ascii="Times New Roman" w:hAnsi="Times New Roman"/>
                <w:spacing w:val="-3"/>
                <w:sz w:val="24"/>
                <w:szCs w:val="24"/>
              </w:rPr>
            </w:pPr>
            <w:r w:rsidRPr="00DE53F3">
              <w:rPr>
                <w:rFonts w:ascii="Times New Roman" w:hAnsi="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656CA486" w14:textId="77777777" w:rsidR="00CB4AAB" w:rsidRPr="00DE53F3" w:rsidRDefault="00CB4AAB" w:rsidP="009C0EC5">
            <w:pPr>
              <w:spacing w:before="60" w:after="60"/>
              <w:ind w:left="103" w:right="90"/>
              <w:rPr>
                <w:rFonts w:ascii="Times New Roman" w:hAnsi="Times New Roman"/>
                <w:spacing w:val="-3"/>
                <w:sz w:val="24"/>
                <w:szCs w:val="24"/>
              </w:rPr>
            </w:pPr>
            <w:r w:rsidRPr="00DE53F3">
              <w:rPr>
                <w:rFonts w:ascii="Times New Roman" w:hAnsi="Times New Roman"/>
                <w:spacing w:val="-3"/>
                <w:sz w:val="24"/>
                <w:szCs w:val="24"/>
              </w:rPr>
              <w:t>Norāda institūciju, kas ir atbildīga par šo saistību izpildi pilnībā</w:t>
            </w:r>
          </w:p>
        </w:tc>
        <w:tc>
          <w:tcPr>
            <w:tcW w:w="3123" w:type="dxa"/>
          </w:tcPr>
          <w:p w14:paraId="13F098ED" w14:textId="77777777" w:rsidR="00CB4AAB" w:rsidRPr="00DE53F3" w:rsidRDefault="00CB4AAB" w:rsidP="009C0EC5">
            <w:pPr>
              <w:spacing w:before="60" w:after="60"/>
              <w:ind w:left="51" w:right="146"/>
              <w:rPr>
                <w:rFonts w:ascii="Times New Roman" w:hAnsi="Times New Roman"/>
                <w:sz w:val="24"/>
                <w:szCs w:val="24"/>
              </w:rPr>
            </w:pPr>
            <w:r w:rsidRPr="00DE53F3">
              <w:rPr>
                <w:rFonts w:ascii="Times New Roman" w:hAnsi="Times New Roman"/>
                <w:spacing w:val="-3"/>
                <w:sz w:val="24"/>
                <w:szCs w:val="24"/>
              </w:rPr>
              <w:t xml:space="preserve">Informācija par to, vai šīs </w:t>
            </w:r>
            <w:r w:rsidRPr="00DE53F3">
              <w:rPr>
                <w:rFonts w:ascii="Times New Roman" w:hAnsi="Times New Roman"/>
                <w:sz w:val="24"/>
                <w:szCs w:val="24"/>
              </w:rPr>
              <w:t>tabulas B ailē minētās projekta vienības paredz stingrākas prasības nekā šīs tabulas A ailē minētās ES tiesību akta vienības.</w:t>
            </w:r>
          </w:p>
          <w:p w14:paraId="10277353" w14:textId="5191D288" w:rsidR="00CB4AAB" w:rsidRPr="00DE53F3" w:rsidRDefault="00CB4AAB" w:rsidP="009C0EC5">
            <w:pPr>
              <w:spacing w:before="60" w:after="60"/>
              <w:ind w:left="51" w:right="146"/>
              <w:rPr>
                <w:rFonts w:ascii="Times New Roman" w:hAnsi="Times New Roman"/>
                <w:sz w:val="24"/>
                <w:szCs w:val="24"/>
              </w:rPr>
            </w:pPr>
            <w:r w:rsidRPr="00DE53F3">
              <w:rPr>
                <w:rFonts w:ascii="Times New Roman" w:hAnsi="Times New Roman"/>
                <w:sz w:val="24"/>
                <w:szCs w:val="24"/>
              </w:rPr>
              <w:t>Ja projekts satur stingrākas prasības nekā attiecīgais ES tiesību akts</w:t>
            </w:r>
            <w:r w:rsidR="009C0EC5" w:rsidRPr="00DE53F3">
              <w:rPr>
                <w:rFonts w:ascii="Times New Roman" w:hAnsi="Times New Roman"/>
                <w:sz w:val="24"/>
                <w:szCs w:val="24"/>
              </w:rPr>
              <w:t xml:space="preserve">, </w:t>
            </w:r>
            <w:r w:rsidRPr="00DE53F3">
              <w:rPr>
                <w:rFonts w:ascii="Times New Roman" w:hAnsi="Times New Roman"/>
                <w:sz w:val="24"/>
                <w:szCs w:val="24"/>
              </w:rPr>
              <w:t>norāda pamatojumu un samērīgumu.</w:t>
            </w:r>
          </w:p>
          <w:p w14:paraId="547FE59B" w14:textId="499D2F17" w:rsidR="00CB4AAB" w:rsidRPr="00DE53F3" w:rsidRDefault="009C0EC5" w:rsidP="002E7DBF">
            <w:pPr>
              <w:spacing w:before="60" w:after="60"/>
              <w:ind w:left="51" w:right="146"/>
              <w:rPr>
                <w:rFonts w:ascii="Times New Roman" w:hAnsi="Times New Roman"/>
                <w:spacing w:val="-3"/>
                <w:sz w:val="24"/>
                <w:szCs w:val="24"/>
              </w:rPr>
            </w:pPr>
            <w:r w:rsidRPr="00DE53F3">
              <w:rPr>
                <w:rFonts w:ascii="Times New Roman" w:hAnsi="Times New Roman"/>
                <w:sz w:val="24"/>
                <w:szCs w:val="24"/>
              </w:rPr>
              <w:t xml:space="preserve">Norāda </w:t>
            </w:r>
            <w:r w:rsidR="00CB4AAB" w:rsidRPr="00DE53F3">
              <w:rPr>
                <w:rFonts w:ascii="Times New Roman" w:hAnsi="Times New Roman"/>
                <w:sz w:val="24"/>
                <w:szCs w:val="24"/>
              </w:rPr>
              <w:t>iespējamās</w:t>
            </w:r>
            <w:r w:rsidRPr="00DE53F3">
              <w:rPr>
                <w:rFonts w:ascii="Times New Roman" w:hAnsi="Times New Roman"/>
                <w:sz w:val="24"/>
                <w:szCs w:val="24"/>
              </w:rPr>
              <w:t xml:space="preserve"> </w:t>
            </w:r>
            <w:r w:rsidR="00CB4AAB" w:rsidRPr="00DE53F3">
              <w:rPr>
                <w:rFonts w:ascii="Times New Roman" w:hAnsi="Times New Roman"/>
                <w:sz w:val="24"/>
                <w:szCs w:val="24"/>
              </w:rPr>
              <w:t>alternatīvas (t.sk. alternatīvas, kas neparedz tiesiskā regulējuma izstrādi) – kādos gadījumos būtu iespējams izvairīties no stingrāku prasību</w:t>
            </w:r>
            <w:r w:rsidR="00CB4AAB" w:rsidRPr="00DE53F3">
              <w:rPr>
                <w:rFonts w:ascii="Times New Roman" w:hAnsi="Times New Roman"/>
                <w:spacing w:val="-3"/>
                <w:sz w:val="24"/>
                <w:szCs w:val="24"/>
              </w:rPr>
              <w:t xml:space="preserve"> noteikšanas, nekā paredzēts attiecīgajos ES tiesību aktos</w:t>
            </w:r>
          </w:p>
        </w:tc>
      </w:tr>
      <w:tr w:rsidR="00DE53F3" w:rsidRPr="00DE53F3" w14:paraId="4473C162" w14:textId="77777777" w:rsidTr="00DC1194">
        <w:trPr>
          <w:trHeight w:val="284"/>
          <w:jc w:val="center"/>
        </w:trPr>
        <w:tc>
          <w:tcPr>
            <w:tcW w:w="1646" w:type="dxa"/>
            <w:shd w:val="clear" w:color="auto" w:fill="auto"/>
            <w:vAlign w:val="center"/>
          </w:tcPr>
          <w:p w14:paraId="752DEB9B" w14:textId="0E777960" w:rsidR="00681392" w:rsidRPr="00DE53F3" w:rsidRDefault="00DC25F0">
            <w:pPr>
              <w:spacing w:before="20" w:after="20"/>
              <w:ind w:left="137" w:right="91"/>
              <w:rPr>
                <w:rFonts w:ascii="Times New Roman" w:hAnsi="Times New Roman"/>
                <w:sz w:val="24"/>
                <w:szCs w:val="24"/>
              </w:rPr>
            </w:pPr>
            <w:r w:rsidRPr="00DE53F3">
              <w:rPr>
                <w:rFonts w:ascii="Times New Roman" w:hAnsi="Times New Roman"/>
                <w:sz w:val="24"/>
                <w:szCs w:val="24"/>
              </w:rPr>
              <w:t>2013</w:t>
            </w:r>
            <w:r w:rsidR="00B7600F" w:rsidRPr="00DE53F3">
              <w:rPr>
                <w:rFonts w:ascii="Times New Roman" w:hAnsi="Times New Roman"/>
                <w:sz w:val="24"/>
                <w:szCs w:val="24"/>
              </w:rPr>
              <w:t>.</w:t>
            </w:r>
            <w:r w:rsidR="00B7600F">
              <w:rPr>
                <w:rFonts w:ascii="Times New Roman" w:hAnsi="Times New Roman"/>
                <w:sz w:val="24"/>
                <w:szCs w:val="24"/>
              </w:rPr>
              <w:t> </w:t>
            </w:r>
            <w:r w:rsidRPr="00DE53F3">
              <w:rPr>
                <w:rFonts w:ascii="Times New Roman" w:hAnsi="Times New Roman"/>
                <w:sz w:val="24"/>
                <w:szCs w:val="24"/>
              </w:rPr>
              <w:t>gada 21</w:t>
            </w:r>
            <w:r w:rsidR="00B7600F" w:rsidRPr="00DE53F3">
              <w:rPr>
                <w:rFonts w:ascii="Times New Roman" w:hAnsi="Times New Roman"/>
                <w:sz w:val="24"/>
                <w:szCs w:val="24"/>
              </w:rPr>
              <w:t>.</w:t>
            </w:r>
            <w:r w:rsidR="00B7600F">
              <w:rPr>
                <w:rFonts w:ascii="Times New Roman" w:hAnsi="Times New Roman"/>
                <w:sz w:val="24"/>
                <w:szCs w:val="24"/>
              </w:rPr>
              <w:t> </w:t>
            </w:r>
            <w:r w:rsidRPr="00DE53F3">
              <w:rPr>
                <w:rFonts w:ascii="Times New Roman" w:hAnsi="Times New Roman"/>
                <w:sz w:val="24"/>
                <w:szCs w:val="24"/>
              </w:rPr>
              <w:t>maija Eiropas Parlamenta un Padomes Lēmums Nr.</w:t>
            </w:r>
            <w:r w:rsidR="00B7600F">
              <w:rPr>
                <w:rFonts w:ascii="Times New Roman" w:hAnsi="Times New Roman"/>
                <w:sz w:val="24"/>
                <w:szCs w:val="24"/>
              </w:rPr>
              <w:t> </w:t>
            </w:r>
            <w:r w:rsidRPr="00DE53F3">
              <w:rPr>
                <w:rFonts w:ascii="Times New Roman" w:hAnsi="Times New Roman"/>
                <w:sz w:val="24"/>
                <w:szCs w:val="24"/>
              </w:rPr>
              <w:t xml:space="preserve">529/2013/ES </w:t>
            </w:r>
            <w:r w:rsidR="00654A50" w:rsidRPr="00DE53F3">
              <w:rPr>
                <w:rFonts w:ascii="Times New Roman" w:hAnsi="Times New Roman"/>
                <w:sz w:val="24"/>
                <w:szCs w:val="24"/>
              </w:rPr>
              <w:t>10</w:t>
            </w:r>
            <w:r w:rsidR="00E166DF" w:rsidRPr="00DE53F3">
              <w:rPr>
                <w:rFonts w:ascii="Times New Roman" w:hAnsi="Times New Roman"/>
                <w:sz w:val="24"/>
                <w:szCs w:val="24"/>
              </w:rPr>
              <w:t>.</w:t>
            </w:r>
            <w:r w:rsidR="00B7600F">
              <w:rPr>
                <w:rFonts w:ascii="Times New Roman" w:hAnsi="Times New Roman"/>
                <w:sz w:val="24"/>
                <w:szCs w:val="24"/>
              </w:rPr>
              <w:t> </w:t>
            </w:r>
            <w:r w:rsidR="00E166DF" w:rsidRPr="00DE53F3">
              <w:rPr>
                <w:rFonts w:ascii="Times New Roman" w:hAnsi="Times New Roman"/>
                <w:sz w:val="24"/>
                <w:szCs w:val="24"/>
              </w:rPr>
              <w:t>pants</w:t>
            </w:r>
            <w:r w:rsidR="00654A50" w:rsidRPr="00DE53F3">
              <w:rPr>
                <w:rFonts w:ascii="Times New Roman" w:hAnsi="Times New Roman"/>
                <w:sz w:val="24"/>
                <w:szCs w:val="24"/>
              </w:rPr>
              <w:t xml:space="preserve"> </w:t>
            </w:r>
          </w:p>
        </w:tc>
        <w:tc>
          <w:tcPr>
            <w:tcW w:w="1893" w:type="dxa"/>
            <w:shd w:val="clear" w:color="auto" w:fill="auto"/>
            <w:vAlign w:val="center"/>
          </w:tcPr>
          <w:p w14:paraId="7DB49B28" w14:textId="3833FF41" w:rsidR="00681392" w:rsidRPr="00DE53F3" w:rsidRDefault="00346562">
            <w:pPr>
              <w:spacing w:before="20" w:after="20"/>
              <w:ind w:left="137" w:right="91"/>
              <w:rPr>
                <w:rFonts w:ascii="Times New Roman" w:hAnsi="Times New Roman"/>
                <w:sz w:val="24"/>
                <w:szCs w:val="24"/>
              </w:rPr>
            </w:pPr>
            <w:r w:rsidRPr="00DE53F3">
              <w:rPr>
                <w:rFonts w:ascii="Times New Roman" w:hAnsi="Times New Roman"/>
                <w:sz w:val="24"/>
                <w:szCs w:val="24"/>
              </w:rPr>
              <w:t>N</w:t>
            </w:r>
            <w:r w:rsidR="00E166DF" w:rsidRPr="00DE53F3">
              <w:rPr>
                <w:rFonts w:ascii="Times New Roman" w:hAnsi="Times New Roman"/>
                <w:sz w:val="24"/>
                <w:szCs w:val="24"/>
              </w:rPr>
              <w:t xml:space="preserve">oteikumu </w:t>
            </w:r>
            <w:r w:rsidR="00D36CC5" w:rsidRPr="00DE53F3">
              <w:rPr>
                <w:rFonts w:ascii="Times New Roman" w:hAnsi="Times New Roman"/>
                <w:sz w:val="24"/>
                <w:szCs w:val="24"/>
              </w:rPr>
              <w:t xml:space="preserve">projekta </w:t>
            </w:r>
            <w:r w:rsidR="00654A50" w:rsidRPr="00DE53F3">
              <w:rPr>
                <w:rFonts w:ascii="Times New Roman" w:hAnsi="Times New Roman"/>
                <w:sz w:val="24"/>
                <w:szCs w:val="24"/>
              </w:rPr>
              <w:t>40.1.6</w:t>
            </w:r>
            <w:r w:rsidR="00B7600F" w:rsidRPr="00DE53F3">
              <w:rPr>
                <w:rFonts w:ascii="Times New Roman" w:hAnsi="Times New Roman"/>
                <w:sz w:val="24"/>
                <w:szCs w:val="24"/>
              </w:rPr>
              <w:t>.</w:t>
            </w:r>
            <w:r w:rsidR="00B7600F">
              <w:rPr>
                <w:rFonts w:ascii="Times New Roman" w:hAnsi="Times New Roman"/>
                <w:sz w:val="24"/>
                <w:szCs w:val="24"/>
              </w:rPr>
              <w:t> </w:t>
            </w:r>
            <w:r w:rsidR="004F5C41" w:rsidRPr="00DE53F3">
              <w:rPr>
                <w:rFonts w:ascii="Times New Roman" w:hAnsi="Times New Roman"/>
                <w:sz w:val="24"/>
                <w:szCs w:val="24"/>
              </w:rPr>
              <w:t>apakšpunkt</w:t>
            </w:r>
            <w:r w:rsidR="004F5C41">
              <w:rPr>
                <w:rFonts w:ascii="Times New Roman" w:hAnsi="Times New Roman"/>
                <w:sz w:val="24"/>
                <w:szCs w:val="24"/>
              </w:rPr>
              <w:t>s</w:t>
            </w:r>
            <w:r w:rsidR="004F5C41" w:rsidRPr="00DE53F3">
              <w:rPr>
                <w:rFonts w:ascii="Times New Roman" w:hAnsi="Times New Roman"/>
                <w:sz w:val="24"/>
                <w:szCs w:val="24"/>
              </w:rPr>
              <w:t xml:space="preserve"> </w:t>
            </w:r>
            <w:r w:rsidR="00D36CC5" w:rsidRPr="00DE53F3">
              <w:rPr>
                <w:rFonts w:ascii="Times New Roman" w:hAnsi="Times New Roman"/>
                <w:sz w:val="24"/>
                <w:szCs w:val="24"/>
              </w:rPr>
              <w:t xml:space="preserve">un </w:t>
            </w:r>
            <w:r w:rsidR="00654A50" w:rsidRPr="00DE53F3">
              <w:rPr>
                <w:rFonts w:ascii="Times New Roman" w:hAnsi="Times New Roman"/>
                <w:sz w:val="24"/>
                <w:szCs w:val="24"/>
              </w:rPr>
              <w:t>41.</w:t>
            </w:r>
            <w:r w:rsidR="00B7600F">
              <w:rPr>
                <w:rFonts w:ascii="Times New Roman" w:hAnsi="Times New Roman"/>
                <w:sz w:val="24"/>
                <w:szCs w:val="24"/>
              </w:rPr>
              <w:t> </w:t>
            </w:r>
            <w:r w:rsidR="004F5C41" w:rsidRPr="00DE53F3">
              <w:rPr>
                <w:rFonts w:ascii="Times New Roman" w:hAnsi="Times New Roman"/>
                <w:sz w:val="24"/>
                <w:szCs w:val="24"/>
              </w:rPr>
              <w:t>punkt</w:t>
            </w:r>
            <w:r w:rsidR="004F5C41">
              <w:rPr>
                <w:rFonts w:ascii="Times New Roman" w:hAnsi="Times New Roman"/>
                <w:sz w:val="24"/>
                <w:szCs w:val="24"/>
              </w:rPr>
              <w:t>s</w:t>
            </w:r>
          </w:p>
        </w:tc>
        <w:tc>
          <w:tcPr>
            <w:tcW w:w="2410" w:type="dxa"/>
            <w:shd w:val="clear" w:color="auto" w:fill="auto"/>
            <w:vAlign w:val="center"/>
          </w:tcPr>
          <w:p w14:paraId="14B1457F" w14:textId="4479D23F" w:rsidR="00681392" w:rsidRPr="00DE53F3" w:rsidRDefault="00DC1194" w:rsidP="00DC1194">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14:paraId="6FC3C544" w14:textId="24A54175" w:rsidR="00681392" w:rsidRPr="00DE53F3" w:rsidRDefault="00DC1194" w:rsidP="00DC1194">
            <w:pPr>
              <w:pStyle w:val="naisc"/>
              <w:spacing w:before="20" w:after="20"/>
              <w:ind w:left="137" w:right="91"/>
              <w:jc w:val="both"/>
            </w:pPr>
            <w:r w:rsidRPr="00DE53F3">
              <w:t>-</w:t>
            </w:r>
          </w:p>
        </w:tc>
      </w:tr>
      <w:tr w:rsidR="00E01F07" w:rsidRPr="00DE53F3" w14:paraId="0608BCAD" w14:textId="77777777" w:rsidTr="003C79D9">
        <w:trPr>
          <w:trHeight w:val="284"/>
          <w:jc w:val="center"/>
        </w:trPr>
        <w:tc>
          <w:tcPr>
            <w:tcW w:w="1646" w:type="dxa"/>
            <w:shd w:val="clear" w:color="auto" w:fill="auto"/>
            <w:vAlign w:val="center"/>
          </w:tcPr>
          <w:p w14:paraId="55644D13" w14:textId="0C00CAF3" w:rsidR="00E01F07" w:rsidRPr="00DE53F3" w:rsidRDefault="00E01F07" w:rsidP="00DC1194">
            <w:pPr>
              <w:spacing w:before="20" w:after="20"/>
              <w:ind w:left="137" w:right="91"/>
              <w:rPr>
                <w:rStyle w:val="Strong"/>
                <w:rFonts w:ascii="Times New Roman" w:hAnsi="Times New Roman"/>
                <w:b w:val="0"/>
                <w:sz w:val="24"/>
                <w:szCs w:val="24"/>
                <w:bdr w:val="none" w:sz="0" w:space="0" w:color="auto" w:frame="1"/>
                <w:shd w:val="clear" w:color="auto" w:fill="FFFFFF"/>
              </w:rPr>
            </w:pPr>
            <w:r w:rsidRPr="00E01F07">
              <w:rPr>
                <w:rStyle w:val="Strong"/>
                <w:rFonts w:ascii="Times New Roman" w:hAnsi="Times New Roman"/>
                <w:b w:val="0"/>
                <w:sz w:val="24"/>
                <w:szCs w:val="24"/>
                <w:bdr w:val="none" w:sz="0" w:space="0" w:color="auto" w:frame="1"/>
                <w:shd w:val="clear" w:color="auto" w:fill="FFFFFF"/>
              </w:rPr>
              <w:t>Eiropas Savienības tiesību akta datums, numurs un nosaukums</w:t>
            </w:r>
          </w:p>
        </w:tc>
        <w:tc>
          <w:tcPr>
            <w:tcW w:w="7426" w:type="dxa"/>
            <w:gridSpan w:val="3"/>
            <w:shd w:val="clear" w:color="auto" w:fill="auto"/>
            <w:vAlign w:val="center"/>
          </w:tcPr>
          <w:p w14:paraId="356F331D" w14:textId="453A8DB1" w:rsidR="00E01F07" w:rsidRPr="00DE53F3" w:rsidRDefault="00E01F07" w:rsidP="00DC1194">
            <w:pPr>
              <w:pStyle w:val="naisc"/>
              <w:spacing w:before="20" w:after="20"/>
              <w:ind w:left="137" w:right="91"/>
              <w:jc w:val="both"/>
            </w:pPr>
            <w:r w:rsidRPr="00DE53F3">
              <w:rPr>
                <w:rStyle w:val="Strong"/>
                <w:b w:val="0"/>
                <w:bdr w:val="none" w:sz="0" w:space="0" w:color="auto" w:frame="1"/>
                <w:shd w:val="clear" w:color="auto" w:fill="FFFFFF"/>
              </w:rPr>
              <w:t>2013. gada 21. maija Eiropas Parlamenta un Padomes Regulu  Nr. 525/2013 par mehānismu siltumnīcefekta gāzu emisiju pārraudzībai un ziņošanai un citas informācijas ziņošanai valstu un Savienības līmenī saistībā ar klimata pārmaiņām un par Lēmuma Nr. 280/2004/EK atcelšanu Dokuments attiecas uz EEZ</w:t>
            </w:r>
            <w:r>
              <w:rPr>
                <w:rStyle w:val="Strong"/>
                <w:b w:val="0"/>
                <w:bdr w:val="none" w:sz="0" w:space="0" w:color="auto" w:frame="1"/>
                <w:shd w:val="clear" w:color="auto" w:fill="FFFFFF"/>
              </w:rPr>
              <w:t>.</w:t>
            </w:r>
          </w:p>
        </w:tc>
      </w:tr>
      <w:tr w:rsidR="00E01F07" w:rsidRPr="00DE53F3" w14:paraId="45FCC90B" w14:textId="77777777" w:rsidTr="00E01F07">
        <w:trPr>
          <w:trHeight w:val="284"/>
          <w:jc w:val="center"/>
        </w:trPr>
        <w:tc>
          <w:tcPr>
            <w:tcW w:w="1646" w:type="dxa"/>
            <w:shd w:val="clear" w:color="auto" w:fill="auto"/>
          </w:tcPr>
          <w:p w14:paraId="55CCC73D" w14:textId="0BED829E" w:rsidR="00E01F07" w:rsidRPr="00E01F07" w:rsidRDefault="00E01F07" w:rsidP="00E01F07">
            <w:pPr>
              <w:spacing w:before="20" w:after="20"/>
              <w:ind w:left="137" w:right="91"/>
              <w:jc w:val="center"/>
              <w:rPr>
                <w:rStyle w:val="Strong"/>
                <w:rFonts w:ascii="Times New Roman" w:hAnsi="Times New Roman"/>
                <w:b w:val="0"/>
                <w:sz w:val="24"/>
                <w:szCs w:val="24"/>
                <w:bdr w:val="none" w:sz="0" w:space="0" w:color="auto" w:frame="1"/>
                <w:shd w:val="clear" w:color="auto" w:fill="FFFFFF"/>
              </w:rPr>
            </w:pPr>
            <w:r w:rsidRPr="00E01F07">
              <w:rPr>
                <w:rFonts w:ascii="Times New Roman" w:hAnsi="Times New Roman"/>
                <w:sz w:val="24"/>
                <w:szCs w:val="24"/>
              </w:rPr>
              <w:t>A</w:t>
            </w:r>
          </w:p>
        </w:tc>
        <w:tc>
          <w:tcPr>
            <w:tcW w:w="1893" w:type="dxa"/>
            <w:shd w:val="clear" w:color="auto" w:fill="auto"/>
          </w:tcPr>
          <w:p w14:paraId="2C0454FD" w14:textId="31B8987A" w:rsidR="00E01F07" w:rsidRPr="00E01F07" w:rsidRDefault="00E01F07" w:rsidP="00E01F07">
            <w:pPr>
              <w:spacing w:before="20" w:after="20"/>
              <w:ind w:left="137" w:right="91"/>
              <w:jc w:val="center"/>
              <w:rPr>
                <w:rFonts w:ascii="Times New Roman" w:hAnsi="Times New Roman"/>
                <w:sz w:val="24"/>
                <w:szCs w:val="24"/>
              </w:rPr>
            </w:pPr>
            <w:r w:rsidRPr="00E01F07">
              <w:rPr>
                <w:rFonts w:ascii="Times New Roman" w:hAnsi="Times New Roman"/>
                <w:sz w:val="24"/>
                <w:szCs w:val="24"/>
              </w:rPr>
              <w:t>B</w:t>
            </w:r>
          </w:p>
        </w:tc>
        <w:tc>
          <w:tcPr>
            <w:tcW w:w="2410" w:type="dxa"/>
            <w:shd w:val="clear" w:color="auto" w:fill="auto"/>
          </w:tcPr>
          <w:p w14:paraId="3D3D41FB" w14:textId="11BE5930" w:rsidR="00E01F07" w:rsidRPr="00E01F07" w:rsidRDefault="00E01F07" w:rsidP="00E01F07">
            <w:pPr>
              <w:spacing w:before="20" w:after="20"/>
              <w:ind w:left="137" w:right="91"/>
              <w:jc w:val="center"/>
              <w:rPr>
                <w:rFonts w:ascii="Times New Roman" w:hAnsi="Times New Roman"/>
                <w:sz w:val="24"/>
                <w:szCs w:val="24"/>
              </w:rPr>
            </w:pPr>
            <w:r w:rsidRPr="00E01F07">
              <w:rPr>
                <w:rFonts w:ascii="Times New Roman" w:hAnsi="Times New Roman"/>
                <w:sz w:val="24"/>
                <w:szCs w:val="24"/>
              </w:rPr>
              <w:t>C</w:t>
            </w:r>
          </w:p>
        </w:tc>
        <w:tc>
          <w:tcPr>
            <w:tcW w:w="3123" w:type="dxa"/>
            <w:shd w:val="clear" w:color="auto" w:fill="auto"/>
          </w:tcPr>
          <w:p w14:paraId="72190C61" w14:textId="4E704A3F" w:rsidR="00E01F07" w:rsidRPr="00E01F07" w:rsidRDefault="00E01F07" w:rsidP="00E01F07">
            <w:pPr>
              <w:pStyle w:val="naisc"/>
              <w:spacing w:before="20" w:after="20"/>
              <w:ind w:left="137" w:right="91"/>
            </w:pPr>
            <w:r w:rsidRPr="00E01F07">
              <w:t>D</w:t>
            </w:r>
          </w:p>
        </w:tc>
      </w:tr>
      <w:tr w:rsidR="00DE53F3" w:rsidRPr="00DE53F3" w14:paraId="4FE51605" w14:textId="77777777" w:rsidTr="00DC1194">
        <w:trPr>
          <w:trHeight w:val="284"/>
          <w:jc w:val="center"/>
        </w:trPr>
        <w:tc>
          <w:tcPr>
            <w:tcW w:w="1646" w:type="dxa"/>
            <w:shd w:val="clear" w:color="auto" w:fill="auto"/>
            <w:vAlign w:val="center"/>
          </w:tcPr>
          <w:p w14:paraId="0AE28328" w14:textId="45C64EAC" w:rsidR="00F90B84" w:rsidRPr="00DE53F3" w:rsidRDefault="00373448" w:rsidP="00DC1194">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2013</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gada 21</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 xml:space="preserve">maija </w:t>
            </w:r>
            <w:r w:rsidRPr="00DE53F3">
              <w:rPr>
                <w:rStyle w:val="Strong"/>
                <w:rFonts w:ascii="Times New Roman" w:hAnsi="Times New Roman"/>
                <w:b w:val="0"/>
                <w:sz w:val="24"/>
                <w:szCs w:val="24"/>
                <w:bdr w:val="none" w:sz="0" w:space="0" w:color="auto" w:frame="1"/>
                <w:shd w:val="clear" w:color="auto" w:fill="FFFFFF"/>
              </w:rPr>
              <w:lastRenderedPageBreak/>
              <w:t>Eiropas Parlamenta un Padomes Regula  Nr</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525/2013</w:t>
            </w:r>
          </w:p>
          <w:p w14:paraId="642DAC84" w14:textId="484C6A5D"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5.</w:t>
            </w:r>
            <w:r w:rsidR="00B7600F">
              <w:rPr>
                <w:rFonts w:ascii="Times New Roman" w:hAnsi="Times New Roman"/>
                <w:sz w:val="24"/>
                <w:szCs w:val="24"/>
              </w:rPr>
              <w:t> </w:t>
            </w:r>
            <w:r w:rsidRPr="00DE53F3">
              <w:rPr>
                <w:rFonts w:ascii="Times New Roman" w:hAnsi="Times New Roman"/>
                <w:sz w:val="24"/>
                <w:szCs w:val="24"/>
              </w:rPr>
              <w:t>panta 1.</w:t>
            </w:r>
            <w:r w:rsidR="00B7600F">
              <w:rPr>
                <w:rFonts w:ascii="Times New Roman" w:hAnsi="Times New Roman"/>
                <w:sz w:val="24"/>
                <w:szCs w:val="24"/>
              </w:rPr>
              <w:t> </w:t>
            </w:r>
            <w:r w:rsidRPr="00DE53F3">
              <w:rPr>
                <w:rFonts w:ascii="Times New Roman" w:hAnsi="Times New Roman"/>
                <w:sz w:val="24"/>
                <w:szCs w:val="24"/>
              </w:rPr>
              <w:t>punkts</w:t>
            </w:r>
          </w:p>
        </w:tc>
        <w:tc>
          <w:tcPr>
            <w:tcW w:w="1893" w:type="dxa"/>
            <w:shd w:val="clear" w:color="auto" w:fill="auto"/>
            <w:vAlign w:val="center"/>
          </w:tcPr>
          <w:p w14:paraId="47403A6A" w14:textId="15A0A609" w:rsidR="00F90B84"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lastRenderedPageBreak/>
              <w:t>Noteikumu projekta II</w:t>
            </w:r>
            <w:r w:rsidR="004F5C41">
              <w:rPr>
                <w:rFonts w:ascii="Times New Roman" w:hAnsi="Times New Roman"/>
                <w:sz w:val="24"/>
                <w:szCs w:val="24"/>
              </w:rPr>
              <w:t> </w:t>
            </w:r>
            <w:r w:rsidRPr="00DE53F3">
              <w:rPr>
                <w:rFonts w:ascii="Times New Roman" w:hAnsi="Times New Roman"/>
                <w:sz w:val="24"/>
                <w:szCs w:val="24"/>
              </w:rPr>
              <w:t>sadaļa</w:t>
            </w:r>
          </w:p>
        </w:tc>
        <w:tc>
          <w:tcPr>
            <w:tcW w:w="2410" w:type="dxa"/>
            <w:shd w:val="clear" w:color="auto" w:fill="auto"/>
            <w:vAlign w:val="center"/>
          </w:tcPr>
          <w:p w14:paraId="060DD505" w14:textId="18B59142" w:rsidR="00F90B84"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14:paraId="5BB1D27E" w14:textId="08923DB6" w:rsidR="00F90B84" w:rsidRPr="00DE53F3" w:rsidRDefault="00373448" w:rsidP="00DC1194">
            <w:pPr>
              <w:pStyle w:val="naisc"/>
              <w:spacing w:before="20" w:after="20"/>
              <w:ind w:left="137" w:right="91"/>
              <w:jc w:val="both"/>
            </w:pPr>
            <w:r w:rsidRPr="00DE53F3">
              <w:t>-</w:t>
            </w:r>
          </w:p>
        </w:tc>
      </w:tr>
      <w:tr w:rsidR="00DE53F3" w:rsidRPr="00DE53F3" w14:paraId="58AF625E" w14:textId="77777777" w:rsidTr="00DC1194">
        <w:trPr>
          <w:trHeight w:val="284"/>
          <w:jc w:val="center"/>
        </w:trPr>
        <w:tc>
          <w:tcPr>
            <w:tcW w:w="1646" w:type="dxa"/>
            <w:shd w:val="clear" w:color="auto" w:fill="auto"/>
            <w:vAlign w:val="center"/>
          </w:tcPr>
          <w:p w14:paraId="281A03B3" w14:textId="50F46BBF" w:rsidR="00373448" w:rsidRPr="00DE53F3" w:rsidRDefault="00373448" w:rsidP="00373448">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2013</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gada 21</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maija Eiropas Parlamenta un Padomes Regula  Nr</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xml:space="preserve"> </w:t>
            </w:r>
            <w:r w:rsidRPr="00DE53F3">
              <w:rPr>
                <w:rStyle w:val="Strong"/>
                <w:rFonts w:ascii="Times New Roman" w:hAnsi="Times New Roman"/>
                <w:b w:val="0"/>
                <w:sz w:val="24"/>
                <w:szCs w:val="24"/>
                <w:bdr w:val="none" w:sz="0" w:space="0" w:color="auto" w:frame="1"/>
                <w:shd w:val="clear" w:color="auto" w:fill="FFFFFF"/>
              </w:rPr>
              <w:t>525/2013</w:t>
            </w:r>
          </w:p>
          <w:p w14:paraId="1D59FF9D" w14:textId="5376A037" w:rsidR="00373448" w:rsidRPr="00DE53F3" w:rsidRDefault="00373448" w:rsidP="00373448">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Fonts w:ascii="Times New Roman" w:hAnsi="Times New Roman"/>
                <w:sz w:val="24"/>
                <w:szCs w:val="24"/>
              </w:rPr>
              <w:t>7.</w:t>
            </w:r>
            <w:r w:rsidR="00B7600F">
              <w:rPr>
                <w:rFonts w:ascii="Times New Roman" w:hAnsi="Times New Roman"/>
                <w:sz w:val="24"/>
                <w:szCs w:val="24"/>
              </w:rPr>
              <w:t> </w:t>
            </w:r>
            <w:r w:rsidRPr="00DE53F3">
              <w:rPr>
                <w:rFonts w:ascii="Times New Roman" w:hAnsi="Times New Roman"/>
                <w:sz w:val="24"/>
                <w:szCs w:val="24"/>
              </w:rPr>
              <w:t xml:space="preserve">pants </w:t>
            </w:r>
          </w:p>
        </w:tc>
        <w:tc>
          <w:tcPr>
            <w:tcW w:w="1893" w:type="dxa"/>
            <w:shd w:val="clear" w:color="auto" w:fill="auto"/>
            <w:vAlign w:val="center"/>
          </w:tcPr>
          <w:p w14:paraId="20AFF364" w14:textId="4BD66869"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Noteikumu projekta II; IV; V sadaļa</w:t>
            </w:r>
          </w:p>
        </w:tc>
        <w:tc>
          <w:tcPr>
            <w:tcW w:w="2410" w:type="dxa"/>
            <w:shd w:val="clear" w:color="auto" w:fill="auto"/>
            <w:vAlign w:val="center"/>
          </w:tcPr>
          <w:p w14:paraId="19191680" w14:textId="58C15E5C"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14:paraId="7280F7CD" w14:textId="7B9F277A" w:rsidR="00373448" w:rsidRPr="00DE53F3" w:rsidRDefault="00373448" w:rsidP="00DC1194">
            <w:pPr>
              <w:pStyle w:val="naisc"/>
              <w:spacing w:before="20" w:after="20"/>
              <w:ind w:left="137" w:right="91"/>
              <w:jc w:val="both"/>
            </w:pPr>
            <w:r w:rsidRPr="00DE53F3">
              <w:t>-</w:t>
            </w:r>
          </w:p>
        </w:tc>
      </w:tr>
      <w:tr w:rsidR="00DE53F3" w:rsidRPr="00DE53F3" w14:paraId="3F3B2D6C" w14:textId="77777777" w:rsidTr="00DC1194">
        <w:trPr>
          <w:trHeight w:val="284"/>
          <w:jc w:val="center"/>
        </w:trPr>
        <w:tc>
          <w:tcPr>
            <w:tcW w:w="1646" w:type="dxa"/>
            <w:shd w:val="clear" w:color="auto" w:fill="auto"/>
            <w:vAlign w:val="center"/>
          </w:tcPr>
          <w:p w14:paraId="33B306B3" w14:textId="7E7BF09A" w:rsidR="00373448" w:rsidRPr="00DE53F3" w:rsidRDefault="00373448" w:rsidP="00373448">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2013</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gada 21</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maija Eiropas Parlamenta un Padomes Regula  Nr.</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525/2013</w:t>
            </w:r>
          </w:p>
          <w:p w14:paraId="2C3568DC" w14:textId="184C30FA" w:rsidR="00373448" w:rsidRPr="00DE53F3" w:rsidRDefault="00373448" w:rsidP="00373448">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8.</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pants</w:t>
            </w:r>
          </w:p>
        </w:tc>
        <w:tc>
          <w:tcPr>
            <w:tcW w:w="1893" w:type="dxa"/>
            <w:shd w:val="clear" w:color="auto" w:fill="auto"/>
            <w:vAlign w:val="center"/>
          </w:tcPr>
          <w:p w14:paraId="1804799F" w14:textId="73CA439F"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Noteikumu projekta II; V sadaļa</w:t>
            </w:r>
          </w:p>
        </w:tc>
        <w:tc>
          <w:tcPr>
            <w:tcW w:w="2410" w:type="dxa"/>
            <w:shd w:val="clear" w:color="auto" w:fill="auto"/>
            <w:vAlign w:val="center"/>
          </w:tcPr>
          <w:p w14:paraId="7EBA76FD" w14:textId="0D4DC585"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14:paraId="5273CAE2" w14:textId="23BA5AF3" w:rsidR="00373448" w:rsidRPr="00DE53F3" w:rsidRDefault="00373448" w:rsidP="00DC1194">
            <w:pPr>
              <w:pStyle w:val="naisc"/>
              <w:spacing w:before="20" w:after="20"/>
              <w:ind w:left="137" w:right="91"/>
              <w:jc w:val="both"/>
            </w:pPr>
            <w:r w:rsidRPr="00DE53F3">
              <w:t>-</w:t>
            </w:r>
          </w:p>
        </w:tc>
      </w:tr>
      <w:tr w:rsidR="00DE53F3" w:rsidRPr="00DE53F3" w14:paraId="6CC136F7" w14:textId="77777777" w:rsidTr="00E01F07">
        <w:trPr>
          <w:trHeight w:val="2236"/>
          <w:jc w:val="center"/>
        </w:trPr>
        <w:tc>
          <w:tcPr>
            <w:tcW w:w="1646" w:type="dxa"/>
            <w:shd w:val="clear" w:color="auto" w:fill="auto"/>
            <w:vAlign w:val="center"/>
          </w:tcPr>
          <w:p w14:paraId="291915BD" w14:textId="7A9CEECA" w:rsidR="00373448" w:rsidRPr="00DE53F3" w:rsidRDefault="00373448" w:rsidP="00373448">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2013</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gada 21</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maija Eiropas Parlamenta un Padomes Regula  Nr.</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525/2013</w:t>
            </w:r>
          </w:p>
          <w:p w14:paraId="2C7E6E1E" w14:textId="7181C207" w:rsidR="00373448" w:rsidRPr="00DE53F3" w:rsidRDefault="00373448">
            <w:pPr>
              <w:spacing w:before="20" w:after="20"/>
              <w:ind w:left="137" w:right="91"/>
              <w:rPr>
                <w:rStyle w:val="Strong"/>
                <w:rFonts w:ascii="Times New Roman" w:hAnsi="Times New Roman"/>
                <w:b w:val="0"/>
                <w:sz w:val="24"/>
                <w:szCs w:val="24"/>
                <w:bdr w:val="none" w:sz="0" w:space="0" w:color="auto" w:frame="1"/>
                <w:shd w:val="clear" w:color="auto" w:fill="FFFFFF"/>
              </w:rPr>
            </w:pPr>
            <w:r w:rsidRPr="00DE53F3">
              <w:rPr>
                <w:rStyle w:val="Strong"/>
                <w:rFonts w:ascii="Times New Roman" w:hAnsi="Times New Roman"/>
                <w:b w:val="0"/>
                <w:sz w:val="24"/>
                <w:szCs w:val="24"/>
                <w:bdr w:val="none" w:sz="0" w:space="0" w:color="auto" w:frame="1"/>
                <w:shd w:val="clear" w:color="auto" w:fill="FFFFFF"/>
              </w:rPr>
              <w:t>12</w:t>
            </w:r>
            <w:r w:rsidR="00B7600F" w:rsidRPr="00DE53F3">
              <w:rPr>
                <w:rStyle w:val="Strong"/>
                <w:rFonts w:ascii="Times New Roman" w:hAnsi="Times New Roman"/>
                <w:b w:val="0"/>
                <w:sz w:val="24"/>
                <w:szCs w:val="24"/>
                <w:bdr w:val="none" w:sz="0" w:space="0" w:color="auto" w:frame="1"/>
                <w:shd w:val="clear" w:color="auto" w:fill="FFFFFF"/>
              </w:rPr>
              <w:t>.,</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13., 14.</w:t>
            </w:r>
            <w:r w:rsidR="00B7600F">
              <w:rPr>
                <w:rStyle w:val="Strong"/>
                <w:rFonts w:ascii="Times New Roman" w:hAnsi="Times New Roman"/>
                <w:b w:val="0"/>
                <w:sz w:val="24"/>
                <w:szCs w:val="24"/>
                <w:bdr w:val="none" w:sz="0" w:space="0" w:color="auto" w:frame="1"/>
                <w:shd w:val="clear" w:color="auto" w:fill="FFFFFF"/>
              </w:rPr>
              <w:t> </w:t>
            </w:r>
            <w:r w:rsidRPr="00DE53F3">
              <w:rPr>
                <w:rStyle w:val="Strong"/>
                <w:rFonts w:ascii="Times New Roman" w:hAnsi="Times New Roman"/>
                <w:b w:val="0"/>
                <w:sz w:val="24"/>
                <w:szCs w:val="24"/>
                <w:bdr w:val="none" w:sz="0" w:space="0" w:color="auto" w:frame="1"/>
                <w:shd w:val="clear" w:color="auto" w:fill="FFFFFF"/>
              </w:rPr>
              <w:t>pants</w:t>
            </w:r>
          </w:p>
        </w:tc>
        <w:tc>
          <w:tcPr>
            <w:tcW w:w="1893" w:type="dxa"/>
            <w:shd w:val="clear" w:color="auto" w:fill="auto"/>
            <w:vAlign w:val="center"/>
          </w:tcPr>
          <w:p w14:paraId="09534094" w14:textId="19FD701F"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Noteikumu projekta III; IV; V sadaļa</w:t>
            </w:r>
          </w:p>
        </w:tc>
        <w:tc>
          <w:tcPr>
            <w:tcW w:w="2410" w:type="dxa"/>
            <w:shd w:val="clear" w:color="auto" w:fill="auto"/>
            <w:vAlign w:val="center"/>
          </w:tcPr>
          <w:p w14:paraId="59E132C6" w14:textId="2D386FD6" w:rsidR="00373448" w:rsidRPr="00DE53F3" w:rsidRDefault="00373448" w:rsidP="00DC1194">
            <w:pPr>
              <w:spacing w:before="20" w:after="20"/>
              <w:ind w:left="137" w:right="91"/>
              <w:rPr>
                <w:rFonts w:ascii="Times New Roman" w:hAnsi="Times New Roman"/>
                <w:sz w:val="24"/>
                <w:szCs w:val="24"/>
              </w:rPr>
            </w:pPr>
            <w:r w:rsidRPr="00DE53F3">
              <w:rPr>
                <w:rFonts w:ascii="Times New Roman" w:hAnsi="Times New Roman"/>
                <w:sz w:val="24"/>
                <w:szCs w:val="24"/>
              </w:rPr>
              <w:t>-</w:t>
            </w:r>
          </w:p>
        </w:tc>
        <w:tc>
          <w:tcPr>
            <w:tcW w:w="3123" w:type="dxa"/>
            <w:shd w:val="clear" w:color="auto" w:fill="auto"/>
            <w:vAlign w:val="center"/>
          </w:tcPr>
          <w:p w14:paraId="2F65BAEF" w14:textId="69272507" w:rsidR="00373448" w:rsidRPr="00DE53F3" w:rsidRDefault="00373448" w:rsidP="00DC1194">
            <w:pPr>
              <w:pStyle w:val="naisc"/>
              <w:spacing w:before="20" w:after="20"/>
              <w:ind w:left="137" w:right="91"/>
              <w:jc w:val="both"/>
            </w:pPr>
            <w:r w:rsidRPr="00DE53F3">
              <w:t>-</w:t>
            </w:r>
          </w:p>
        </w:tc>
      </w:tr>
      <w:tr w:rsidR="00DE53F3" w:rsidRPr="00DE53F3" w14:paraId="2247FF6A" w14:textId="77777777" w:rsidTr="000252D3">
        <w:trPr>
          <w:trHeight w:val="284"/>
          <w:jc w:val="center"/>
        </w:trPr>
        <w:tc>
          <w:tcPr>
            <w:tcW w:w="9072" w:type="dxa"/>
            <w:gridSpan w:val="4"/>
          </w:tcPr>
          <w:p w14:paraId="28A436D3" w14:textId="77777777" w:rsidR="00CB4AAB" w:rsidRPr="00DE53F3" w:rsidRDefault="00CB4AAB" w:rsidP="00B63F0E">
            <w:pPr>
              <w:pStyle w:val="naisc"/>
              <w:spacing w:before="60" w:after="60"/>
              <w:ind w:firstLine="266"/>
              <w:rPr>
                <w:b/>
              </w:rPr>
            </w:pPr>
            <w:r w:rsidRPr="00DE53F3">
              <w:rPr>
                <w:b/>
              </w:rPr>
              <w:t>2.tabula</w:t>
            </w:r>
          </w:p>
          <w:p w14:paraId="3ED7F320" w14:textId="77777777" w:rsidR="00CB4AAB" w:rsidRPr="00DE53F3" w:rsidRDefault="00CB4AAB" w:rsidP="00B63F0E">
            <w:pPr>
              <w:pStyle w:val="naisc"/>
              <w:spacing w:before="60" w:after="60"/>
              <w:ind w:firstLine="266"/>
              <w:rPr>
                <w:b/>
              </w:rPr>
            </w:pPr>
            <w:r w:rsidRPr="00DE53F3">
              <w:rPr>
                <w:b/>
              </w:rPr>
              <w:t>Ar tiesību akta projektu izpildītās vai uzņemtās saistības, kas izriet no starptautiskajiem tiesību aktiem vai starptautiskas institūcijas vai organizācijas dokumentiem.</w:t>
            </w:r>
          </w:p>
          <w:p w14:paraId="7D96EE7C" w14:textId="77777777" w:rsidR="00CB4AAB" w:rsidRPr="00DE53F3" w:rsidRDefault="00CB4AAB" w:rsidP="00B63F0E">
            <w:pPr>
              <w:pStyle w:val="naisc"/>
              <w:spacing w:before="60" w:after="60"/>
              <w:ind w:firstLine="266"/>
              <w:rPr>
                <w:i/>
              </w:rPr>
            </w:pPr>
            <w:r w:rsidRPr="00DE53F3">
              <w:rPr>
                <w:b/>
              </w:rPr>
              <w:t>Pasākumi šo saistību izpildei</w:t>
            </w:r>
          </w:p>
        </w:tc>
      </w:tr>
      <w:tr w:rsidR="00F122F9" w:rsidRPr="00DE53F3" w14:paraId="06012746" w14:textId="77777777" w:rsidTr="000252D3">
        <w:trPr>
          <w:trHeight w:val="284"/>
          <w:jc w:val="center"/>
        </w:trPr>
        <w:tc>
          <w:tcPr>
            <w:tcW w:w="9072" w:type="dxa"/>
            <w:gridSpan w:val="4"/>
          </w:tcPr>
          <w:p w14:paraId="3F1E3C6E" w14:textId="2A9B84BE" w:rsidR="00CB4AAB" w:rsidRPr="00DE53F3" w:rsidRDefault="00346562" w:rsidP="00B63F0E">
            <w:pPr>
              <w:pStyle w:val="naisc"/>
              <w:spacing w:before="60" w:beforeAutospacing="1" w:after="60" w:afterAutospacing="1"/>
              <w:ind w:firstLine="266"/>
              <w:jc w:val="both"/>
            </w:pPr>
            <w:r w:rsidRPr="00DE53F3">
              <w:t>N</w:t>
            </w:r>
            <w:r w:rsidR="00E166DF" w:rsidRPr="00DE53F3">
              <w:t>oteikumu projekta I, II,II, IV, V, VI sadaļa.</w:t>
            </w:r>
          </w:p>
        </w:tc>
      </w:tr>
    </w:tbl>
    <w:p w14:paraId="754C5DB3" w14:textId="77777777" w:rsidR="00F07CD0" w:rsidRPr="00DE53F3" w:rsidRDefault="00F07CD0" w:rsidP="005E117D">
      <w:pPr>
        <w:shd w:val="clear" w:color="auto" w:fill="FFFFFF"/>
        <w:spacing w:after="0"/>
        <w:jc w:val="left"/>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54"/>
        <w:gridCol w:w="2482"/>
        <w:gridCol w:w="6136"/>
      </w:tblGrid>
      <w:tr w:rsidR="00DE53F3" w:rsidRPr="00DE53F3" w14:paraId="3F54EB8E" w14:textId="77777777" w:rsidTr="00DC5242">
        <w:trPr>
          <w:trHeight w:val="420"/>
          <w:jc w:val="center"/>
        </w:trPr>
        <w:tc>
          <w:tcPr>
            <w:tcW w:w="0" w:type="auto"/>
            <w:gridSpan w:val="3"/>
            <w:vAlign w:val="center"/>
          </w:tcPr>
          <w:p w14:paraId="0DB3A1DA" w14:textId="77777777" w:rsidR="00CB4AAB" w:rsidRPr="00DE53F3" w:rsidRDefault="00CB4AAB" w:rsidP="00B63F0E">
            <w:pPr>
              <w:pStyle w:val="tvhtml"/>
              <w:spacing w:before="60" w:beforeAutospacing="0" w:after="60" w:afterAutospacing="0"/>
              <w:jc w:val="center"/>
              <w:rPr>
                <w:b/>
                <w:bCs/>
              </w:rPr>
            </w:pPr>
            <w:r w:rsidRPr="00DE53F3">
              <w:rPr>
                <w:b/>
                <w:bCs/>
              </w:rPr>
              <w:t>VI. Sabiedrības līdzdalība un komunikācijas aktivitātes</w:t>
            </w:r>
          </w:p>
        </w:tc>
      </w:tr>
      <w:tr w:rsidR="00DE53F3" w:rsidRPr="00DE53F3" w14:paraId="3FD50B68" w14:textId="77777777" w:rsidTr="00F5572C">
        <w:trPr>
          <w:trHeight w:val="540"/>
          <w:jc w:val="center"/>
        </w:trPr>
        <w:tc>
          <w:tcPr>
            <w:tcW w:w="250" w:type="pct"/>
          </w:tcPr>
          <w:p w14:paraId="37DD8BBD" w14:textId="77777777" w:rsidR="00CB4AAB" w:rsidRPr="00DE53F3" w:rsidRDefault="00CB4AAB" w:rsidP="00B63F0E">
            <w:pPr>
              <w:spacing w:before="60" w:after="60"/>
              <w:rPr>
                <w:rFonts w:ascii="Times New Roman" w:hAnsi="Times New Roman"/>
                <w:sz w:val="24"/>
                <w:szCs w:val="24"/>
              </w:rPr>
            </w:pPr>
            <w:r w:rsidRPr="00DE53F3">
              <w:rPr>
                <w:rFonts w:ascii="Times New Roman" w:hAnsi="Times New Roman"/>
                <w:sz w:val="24"/>
                <w:szCs w:val="24"/>
              </w:rPr>
              <w:t>1.</w:t>
            </w:r>
          </w:p>
        </w:tc>
        <w:tc>
          <w:tcPr>
            <w:tcW w:w="1368" w:type="pct"/>
          </w:tcPr>
          <w:p w14:paraId="4946B3BE" w14:textId="77777777" w:rsidR="00CB4AAB" w:rsidRPr="00DE53F3" w:rsidRDefault="00CB4AAB" w:rsidP="00DC1194">
            <w:pPr>
              <w:spacing w:before="60" w:after="60"/>
              <w:ind w:left="78" w:right="76"/>
              <w:jc w:val="left"/>
              <w:rPr>
                <w:rFonts w:ascii="Times New Roman" w:hAnsi="Times New Roman"/>
                <w:sz w:val="24"/>
                <w:szCs w:val="24"/>
              </w:rPr>
            </w:pPr>
            <w:r w:rsidRPr="00DE53F3">
              <w:rPr>
                <w:rFonts w:ascii="Times New Roman" w:hAnsi="Times New Roman"/>
                <w:sz w:val="24"/>
                <w:szCs w:val="24"/>
              </w:rPr>
              <w:t>Plānotās sabiedrības līdzdalības un komunikācijas aktivitātes saistībā ar projektu</w:t>
            </w:r>
          </w:p>
        </w:tc>
        <w:tc>
          <w:tcPr>
            <w:tcW w:w="3382" w:type="pct"/>
            <w:shd w:val="clear" w:color="auto" w:fill="auto"/>
          </w:tcPr>
          <w:p w14:paraId="61B03458" w14:textId="197EA92A" w:rsidR="00231B16" w:rsidRPr="00DE53F3" w:rsidRDefault="002C68A0" w:rsidP="00DC1194">
            <w:pPr>
              <w:pStyle w:val="naiskr"/>
              <w:spacing w:before="60" w:after="60"/>
              <w:ind w:left="148" w:right="116"/>
              <w:jc w:val="both"/>
            </w:pPr>
            <w:r w:rsidRPr="00DE53F3">
              <w:t>Saskaņā ar Ministru kabineta 2009.</w:t>
            </w:r>
            <w:r w:rsidR="00267CB7" w:rsidRPr="00DE53F3">
              <w:t> </w:t>
            </w:r>
            <w:r w:rsidRPr="00DE53F3">
              <w:t>gada 25.</w:t>
            </w:r>
            <w:r w:rsidR="00267CB7" w:rsidRPr="00DE53F3">
              <w:t> </w:t>
            </w:r>
            <w:r w:rsidRPr="00DE53F3">
              <w:t>augusta noteikumu Nr.</w:t>
            </w:r>
            <w:r w:rsidR="00267CB7" w:rsidRPr="00DE53F3">
              <w:t> </w:t>
            </w:r>
            <w:r w:rsidRPr="00DE53F3">
              <w:t>970 „Sabiedrības līdzdalības kārtība attīstības plānošanas procesā” 7.4.</w:t>
            </w:r>
            <w:r w:rsidRPr="00DE53F3">
              <w:rPr>
                <w:vertAlign w:val="superscript"/>
              </w:rPr>
              <w:t>1</w:t>
            </w:r>
            <w:r w:rsidR="00267CB7" w:rsidRPr="00DE53F3">
              <w:rPr>
                <w:vertAlign w:val="superscript"/>
              </w:rPr>
              <w:t> </w:t>
            </w:r>
            <w:r w:rsidRPr="00DE53F3">
              <w:t>apakšpunktu sabiedrības pārstāvji ir aicināti līdzdarboties, r</w:t>
            </w:r>
            <w:r w:rsidR="00E166DF" w:rsidRPr="00DE53F3">
              <w:t>akstiski sniedzot viedokli par  noteikumu projektu</w:t>
            </w:r>
            <w:r w:rsidRPr="00DE53F3">
              <w:t xml:space="preserve"> tā izstrādes stadijā. Sabiedrības pārstāvji ir informēti par iespēju līdzdarboties, publicējot paziņojumu par līdzdalības procesu </w:t>
            </w:r>
            <w:r w:rsidR="00231B16" w:rsidRPr="00DE53F3">
              <w:t>VARAM</w:t>
            </w:r>
            <w:r w:rsidRPr="00DE53F3">
              <w:t xml:space="preserve"> tīmekļa vietnē.</w:t>
            </w:r>
          </w:p>
        </w:tc>
      </w:tr>
      <w:tr w:rsidR="00DE53F3" w:rsidRPr="00DE53F3" w14:paraId="2C650C73" w14:textId="77777777" w:rsidTr="00F5572C">
        <w:trPr>
          <w:trHeight w:val="330"/>
          <w:jc w:val="center"/>
        </w:trPr>
        <w:tc>
          <w:tcPr>
            <w:tcW w:w="250" w:type="pct"/>
          </w:tcPr>
          <w:p w14:paraId="6B235CC9" w14:textId="77777777" w:rsidR="002C68A0" w:rsidRPr="00DE53F3" w:rsidRDefault="002C68A0" w:rsidP="00B63F0E">
            <w:pPr>
              <w:spacing w:before="60" w:after="60"/>
              <w:rPr>
                <w:rFonts w:ascii="Times New Roman" w:hAnsi="Times New Roman"/>
                <w:sz w:val="24"/>
                <w:szCs w:val="24"/>
              </w:rPr>
            </w:pPr>
            <w:r w:rsidRPr="00DE53F3">
              <w:rPr>
                <w:rFonts w:ascii="Times New Roman" w:hAnsi="Times New Roman"/>
                <w:sz w:val="24"/>
                <w:szCs w:val="24"/>
              </w:rPr>
              <w:lastRenderedPageBreak/>
              <w:t>2.</w:t>
            </w:r>
          </w:p>
        </w:tc>
        <w:tc>
          <w:tcPr>
            <w:tcW w:w="1368" w:type="pct"/>
          </w:tcPr>
          <w:p w14:paraId="46AB7A37" w14:textId="77777777" w:rsidR="002C68A0" w:rsidRPr="00DE53F3" w:rsidRDefault="002C68A0" w:rsidP="00DC1194">
            <w:pPr>
              <w:spacing w:before="60" w:after="60"/>
              <w:ind w:left="78" w:right="76"/>
              <w:rPr>
                <w:rFonts w:ascii="Times New Roman" w:hAnsi="Times New Roman"/>
                <w:sz w:val="24"/>
                <w:szCs w:val="24"/>
              </w:rPr>
            </w:pPr>
            <w:r w:rsidRPr="00DE53F3">
              <w:rPr>
                <w:rFonts w:ascii="Times New Roman" w:hAnsi="Times New Roman"/>
                <w:sz w:val="24"/>
                <w:szCs w:val="24"/>
              </w:rPr>
              <w:t>Sabiedrības līdzdalība projekta izstrādē</w:t>
            </w:r>
          </w:p>
        </w:tc>
        <w:tc>
          <w:tcPr>
            <w:tcW w:w="3382" w:type="pct"/>
            <w:shd w:val="clear" w:color="auto" w:fill="auto"/>
          </w:tcPr>
          <w:p w14:paraId="3B7C58BD" w14:textId="68FBA5B6" w:rsidR="002C68A0" w:rsidRPr="00DE53F3" w:rsidRDefault="00F21C93" w:rsidP="00F21C93">
            <w:pPr>
              <w:spacing w:before="60" w:after="60"/>
              <w:ind w:right="116"/>
              <w:rPr>
                <w:rFonts w:ascii="Times New Roman" w:hAnsi="Times New Roman"/>
                <w:sz w:val="24"/>
                <w:szCs w:val="24"/>
              </w:rPr>
            </w:pPr>
            <w:r>
              <w:rPr>
                <w:rFonts w:ascii="Times New Roman" w:hAnsi="Times New Roman"/>
                <w:sz w:val="24"/>
                <w:szCs w:val="24"/>
              </w:rPr>
              <w:t xml:space="preserve">  </w:t>
            </w:r>
            <w:r w:rsidR="00054CEF" w:rsidRPr="00DE53F3">
              <w:rPr>
                <w:rFonts w:ascii="Times New Roman" w:hAnsi="Times New Roman"/>
                <w:sz w:val="24"/>
                <w:szCs w:val="24"/>
              </w:rPr>
              <w:t>N</w:t>
            </w:r>
            <w:r w:rsidR="00E166DF" w:rsidRPr="00DE53F3">
              <w:rPr>
                <w:rFonts w:ascii="Times New Roman" w:hAnsi="Times New Roman"/>
                <w:sz w:val="24"/>
                <w:szCs w:val="24"/>
              </w:rPr>
              <w:t>oteikumu projekts</w:t>
            </w:r>
            <w:r w:rsidR="002C68A0" w:rsidRPr="00DE53F3">
              <w:rPr>
                <w:rFonts w:ascii="Times New Roman" w:hAnsi="Times New Roman"/>
                <w:sz w:val="24"/>
                <w:szCs w:val="24"/>
              </w:rPr>
              <w:t xml:space="preserve"> publicēts </w:t>
            </w:r>
            <w:r w:rsidR="00054CEF" w:rsidRPr="00DE53F3">
              <w:rPr>
                <w:rFonts w:ascii="Times New Roman" w:hAnsi="Times New Roman"/>
                <w:sz w:val="24"/>
                <w:szCs w:val="24"/>
              </w:rPr>
              <w:t xml:space="preserve">VARAM </w:t>
            </w:r>
            <w:r w:rsidR="00F5572C" w:rsidRPr="00DE53F3">
              <w:rPr>
                <w:rFonts w:ascii="Times New Roman" w:hAnsi="Times New Roman"/>
                <w:sz w:val="24"/>
                <w:szCs w:val="24"/>
              </w:rPr>
              <w:t>tīmekļa vietnē 2017.</w:t>
            </w:r>
            <w:r w:rsidR="00D36CC5" w:rsidRPr="00DE53F3">
              <w:rPr>
                <w:rFonts w:ascii="Times New Roman" w:hAnsi="Times New Roman"/>
                <w:sz w:val="24"/>
                <w:szCs w:val="24"/>
              </w:rPr>
              <w:t> </w:t>
            </w:r>
            <w:r w:rsidR="00A4041B">
              <w:rPr>
                <w:rFonts w:ascii="Times New Roman" w:hAnsi="Times New Roman"/>
                <w:sz w:val="24"/>
                <w:szCs w:val="24"/>
              </w:rPr>
              <w:t>gada 17</w:t>
            </w:r>
            <w:r w:rsidR="00F5572C" w:rsidRPr="00DE53F3">
              <w:rPr>
                <w:rFonts w:ascii="Times New Roman" w:hAnsi="Times New Roman"/>
                <w:sz w:val="24"/>
                <w:szCs w:val="24"/>
              </w:rPr>
              <w:t>.</w:t>
            </w:r>
            <w:r w:rsidR="00267CB7" w:rsidRPr="00DE53F3">
              <w:rPr>
                <w:rFonts w:ascii="Times New Roman" w:hAnsi="Times New Roman"/>
                <w:sz w:val="24"/>
                <w:szCs w:val="24"/>
              </w:rPr>
              <w:t> </w:t>
            </w:r>
            <w:r>
              <w:rPr>
                <w:rFonts w:ascii="Times New Roman" w:hAnsi="Times New Roman"/>
                <w:sz w:val="24"/>
                <w:szCs w:val="24"/>
              </w:rPr>
              <w:t>– 31. janvārim</w:t>
            </w:r>
            <w:r w:rsidR="002C68A0" w:rsidRPr="00DE53F3">
              <w:rPr>
                <w:rFonts w:ascii="Times New Roman" w:hAnsi="Times New Roman"/>
                <w:sz w:val="24"/>
                <w:szCs w:val="24"/>
              </w:rPr>
              <w:t>.</w:t>
            </w:r>
          </w:p>
        </w:tc>
      </w:tr>
      <w:tr w:rsidR="00DE53F3" w:rsidRPr="00DE53F3" w14:paraId="10E88DC1" w14:textId="77777777" w:rsidTr="00DC5242">
        <w:trPr>
          <w:trHeight w:val="465"/>
          <w:jc w:val="center"/>
        </w:trPr>
        <w:tc>
          <w:tcPr>
            <w:tcW w:w="250" w:type="pct"/>
          </w:tcPr>
          <w:p w14:paraId="3B9B5DB0" w14:textId="77777777" w:rsidR="002C68A0" w:rsidRPr="00DE53F3" w:rsidRDefault="002C68A0" w:rsidP="00B63F0E">
            <w:pPr>
              <w:spacing w:before="60" w:after="60"/>
              <w:rPr>
                <w:rFonts w:ascii="Times New Roman" w:hAnsi="Times New Roman"/>
                <w:sz w:val="24"/>
                <w:szCs w:val="24"/>
              </w:rPr>
            </w:pPr>
            <w:r w:rsidRPr="00DE53F3">
              <w:rPr>
                <w:rFonts w:ascii="Times New Roman" w:hAnsi="Times New Roman"/>
                <w:sz w:val="24"/>
                <w:szCs w:val="24"/>
              </w:rPr>
              <w:t>3.</w:t>
            </w:r>
          </w:p>
        </w:tc>
        <w:tc>
          <w:tcPr>
            <w:tcW w:w="1368" w:type="pct"/>
          </w:tcPr>
          <w:p w14:paraId="5265EE78" w14:textId="77777777" w:rsidR="002C68A0" w:rsidRPr="00DE53F3" w:rsidRDefault="002C68A0" w:rsidP="00DC1194">
            <w:pPr>
              <w:spacing w:before="60" w:after="60"/>
              <w:ind w:left="78" w:right="76"/>
              <w:rPr>
                <w:rFonts w:ascii="Times New Roman" w:hAnsi="Times New Roman"/>
                <w:sz w:val="24"/>
                <w:szCs w:val="24"/>
              </w:rPr>
            </w:pPr>
            <w:r w:rsidRPr="00DE53F3">
              <w:rPr>
                <w:rFonts w:ascii="Times New Roman" w:hAnsi="Times New Roman"/>
                <w:sz w:val="24"/>
                <w:szCs w:val="24"/>
              </w:rPr>
              <w:t>Sabiedrības līdzdalības rezultāti</w:t>
            </w:r>
          </w:p>
        </w:tc>
        <w:tc>
          <w:tcPr>
            <w:tcW w:w="3382" w:type="pct"/>
          </w:tcPr>
          <w:p w14:paraId="2B7A6104" w14:textId="7B92EDE9" w:rsidR="002C68A0" w:rsidRPr="00DE53F3" w:rsidRDefault="00F21C93" w:rsidP="00F21C93">
            <w:pPr>
              <w:spacing w:before="60" w:after="60"/>
              <w:ind w:left="148" w:right="116"/>
              <w:rPr>
                <w:rFonts w:ascii="Times New Roman" w:hAnsi="Times New Roman"/>
                <w:sz w:val="24"/>
                <w:szCs w:val="24"/>
              </w:rPr>
            </w:pPr>
            <w:r>
              <w:rPr>
                <w:rFonts w:ascii="Times New Roman" w:hAnsi="Times New Roman"/>
                <w:sz w:val="24"/>
                <w:szCs w:val="24"/>
              </w:rPr>
              <w:t xml:space="preserve">Minētajā periodā </w:t>
            </w:r>
            <w:r w:rsidR="002C68A0" w:rsidRPr="00DE53F3">
              <w:rPr>
                <w:rFonts w:ascii="Times New Roman" w:hAnsi="Times New Roman"/>
                <w:sz w:val="24"/>
                <w:szCs w:val="24"/>
              </w:rPr>
              <w:t xml:space="preserve">sabiedrības pārstāvju </w:t>
            </w:r>
            <w:r>
              <w:rPr>
                <w:rFonts w:ascii="Times New Roman" w:hAnsi="Times New Roman"/>
                <w:sz w:val="24"/>
                <w:szCs w:val="24"/>
              </w:rPr>
              <w:t>viedokļi un komentāri</w:t>
            </w:r>
            <w:r w:rsidR="002C68A0" w:rsidRPr="00DE53F3">
              <w:rPr>
                <w:rFonts w:ascii="Times New Roman" w:hAnsi="Times New Roman"/>
                <w:sz w:val="24"/>
                <w:szCs w:val="24"/>
              </w:rPr>
              <w:t xml:space="preserve"> </w:t>
            </w:r>
            <w:r>
              <w:rPr>
                <w:rFonts w:ascii="Times New Roman" w:hAnsi="Times New Roman"/>
                <w:sz w:val="24"/>
                <w:szCs w:val="24"/>
              </w:rPr>
              <w:t>netika saņemti</w:t>
            </w:r>
            <w:r w:rsidR="002C68A0" w:rsidRPr="00DE53F3">
              <w:rPr>
                <w:rFonts w:ascii="Times New Roman" w:hAnsi="Times New Roman"/>
                <w:sz w:val="24"/>
                <w:szCs w:val="24"/>
              </w:rPr>
              <w:t>.</w:t>
            </w:r>
          </w:p>
        </w:tc>
      </w:tr>
      <w:tr w:rsidR="00DE53F3" w:rsidRPr="00DE53F3" w14:paraId="547693D2" w14:textId="77777777" w:rsidTr="00DC5242">
        <w:trPr>
          <w:trHeight w:val="465"/>
          <w:jc w:val="center"/>
        </w:trPr>
        <w:tc>
          <w:tcPr>
            <w:tcW w:w="250" w:type="pct"/>
          </w:tcPr>
          <w:p w14:paraId="4492DA8A" w14:textId="77777777" w:rsidR="00CB4AAB" w:rsidRPr="00DE53F3" w:rsidRDefault="00CB4AAB" w:rsidP="00B63F0E">
            <w:pPr>
              <w:spacing w:before="60" w:after="60"/>
              <w:rPr>
                <w:rFonts w:ascii="Times New Roman" w:hAnsi="Times New Roman"/>
                <w:sz w:val="24"/>
                <w:szCs w:val="24"/>
              </w:rPr>
            </w:pPr>
            <w:r w:rsidRPr="00DE53F3">
              <w:rPr>
                <w:rFonts w:ascii="Times New Roman" w:hAnsi="Times New Roman"/>
                <w:sz w:val="24"/>
                <w:szCs w:val="24"/>
              </w:rPr>
              <w:t>4.</w:t>
            </w:r>
          </w:p>
        </w:tc>
        <w:tc>
          <w:tcPr>
            <w:tcW w:w="1368" w:type="pct"/>
          </w:tcPr>
          <w:p w14:paraId="50D6A72A" w14:textId="77777777" w:rsidR="00CB4AAB" w:rsidRPr="00DE53F3" w:rsidRDefault="00CB4AAB" w:rsidP="00DC1194">
            <w:pPr>
              <w:spacing w:before="60" w:after="60"/>
              <w:ind w:left="78" w:right="76"/>
              <w:rPr>
                <w:rFonts w:ascii="Times New Roman" w:hAnsi="Times New Roman"/>
                <w:sz w:val="24"/>
                <w:szCs w:val="24"/>
              </w:rPr>
            </w:pPr>
            <w:r w:rsidRPr="00DE53F3">
              <w:rPr>
                <w:rFonts w:ascii="Times New Roman" w:hAnsi="Times New Roman"/>
                <w:sz w:val="24"/>
                <w:szCs w:val="24"/>
              </w:rPr>
              <w:t>Cita informācija</w:t>
            </w:r>
          </w:p>
        </w:tc>
        <w:tc>
          <w:tcPr>
            <w:tcW w:w="3382" w:type="pct"/>
          </w:tcPr>
          <w:p w14:paraId="55D7D797" w14:textId="27F68FC1" w:rsidR="00CB4AAB" w:rsidRPr="00DE53F3" w:rsidRDefault="005472D6" w:rsidP="00DC1194">
            <w:pPr>
              <w:pStyle w:val="tvhtml"/>
              <w:spacing w:before="60" w:beforeAutospacing="0" w:after="60" w:afterAutospacing="0"/>
              <w:ind w:left="148" w:right="116"/>
            </w:pPr>
            <w:r w:rsidRPr="00DE53F3">
              <w:rPr>
                <w:rFonts w:eastAsia="Calibri"/>
                <w:lang w:eastAsia="en-US"/>
              </w:rPr>
              <w:t>Nav</w:t>
            </w:r>
            <w:r w:rsidR="00D36CC5" w:rsidRPr="00DE53F3">
              <w:rPr>
                <w:rFonts w:eastAsia="Calibri"/>
                <w:lang w:eastAsia="en-US"/>
              </w:rPr>
              <w:t>.</w:t>
            </w:r>
          </w:p>
        </w:tc>
      </w:tr>
    </w:tbl>
    <w:p w14:paraId="6411C291" w14:textId="77777777" w:rsidR="00CB4AAB" w:rsidRPr="00D3416D" w:rsidRDefault="00CB4AAB" w:rsidP="00E01818">
      <w:pPr>
        <w:shd w:val="clear" w:color="auto" w:fill="FFFFFF"/>
        <w:spacing w:after="0"/>
        <w:ind w:firstLine="335"/>
        <w:jc w:val="left"/>
        <w:rPr>
          <w:rFonts w:ascii="Times New Roman" w:hAnsi="Times New Roman"/>
          <w:sz w:val="24"/>
          <w:szCs w:val="24"/>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53"/>
        <w:gridCol w:w="1949"/>
        <w:gridCol w:w="6670"/>
      </w:tblGrid>
      <w:tr w:rsidR="00F122F9" w:rsidRPr="00D3416D" w14:paraId="08B36303" w14:textId="77777777" w:rsidTr="00DC5242">
        <w:trPr>
          <w:trHeight w:val="375"/>
          <w:jc w:val="center"/>
        </w:trPr>
        <w:tc>
          <w:tcPr>
            <w:tcW w:w="0" w:type="auto"/>
            <w:gridSpan w:val="3"/>
            <w:vAlign w:val="center"/>
          </w:tcPr>
          <w:p w14:paraId="1862285E" w14:textId="77777777" w:rsidR="00CB4AAB" w:rsidRPr="00D3416D" w:rsidRDefault="00CB4AAB" w:rsidP="00B63F0E">
            <w:pPr>
              <w:spacing w:before="60" w:after="60"/>
              <w:jc w:val="center"/>
              <w:rPr>
                <w:rFonts w:ascii="Times New Roman" w:hAnsi="Times New Roman"/>
                <w:b/>
                <w:bCs/>
                <w:sz w:val="24"/>
                <w:szCs w:val="24"/>
                <w:lang w:eastAsia="lv-LV"/>
              </w:rPr>
            </w:pPr>
            <w:r w:rsidRPr="00D3416D">
              <w:rPr>
                <w:rFonts w:ascii="Times New Roman" w:hAnsi="Times New Roman"/>
                <w:b/>
                <w:bCs/>
                <w:sz w:val="24"/>
                <w:szCs w:val="24"/>
                <w:lang w:eastAsia="lv-LV"/>
              </w:rPr>
              <w:t>VII. Tiesību akta projekta izpildes nodrošināšana un tās ietekme uz institūcijām</w:t>
            </w:r>
          </w:p>
        </w:tc>
      </w:tr>
      <w:tr w:rsidR="00F122F9" w:rsidRPr="00D3416D" w14:paraId="66547FEE" w14:textId="77777777" w:rsidTr="00DC5242">
        <w:trPr>
          <w:trHeight w:val="420"/>
          <w:jc w:val="center"/>
        </w:trPr>
        <w:tc>
          <w:tcPr>
            <w:tcW w:w="250" w:type="pct"/>
          </w:tcPr>
          <w:p w14:paraId="64EA1ACB"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1.</w:t>
            </w:r>
          </w:p>
        </w:tc>
        <w:tc>
          <w:tcPr>
            <w:tcW w:w="1074" w:type="pct"/>
          </w:tcPr>
          <w:p w14:paraId="0412BA23"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Projekta izpildē iesaistītās institūcijas</w:t>
            </w:r>
          </w:p>
        </w:tc>
        <w:tc>
          <w:tcPr>
            <w:tcW w:w="3676" w:type="pct"/>
          </w:tcPr>
          <w:p w14:paraId="5D7B82C4" w14:textId="7241A8BD" w:rsidR="002C68A0" w:rsidRPr="00D3416D" w:rsidRDefault="004E58D0" w:rsidP="00DC1194">
            <w:pPr>
              <w:pStyle w:val="naisnod"/>
              <w:spacing w:before="60" w:after="60"/>
              <w:ind w:left="115" w:right="116"/>
              <w:jc w:val="both"/>
              <w:rPr>
                <w:b w:val="0"/>
              </w:rPr>
            </w:pPr>
            <w:r w:rsidRPr="00D3416D">
              <w:rPr>
                <w:b w:val="0"/>
              </w:rPr>
              <w:t>Siltumnīcefekta gāzu inventarizācijas un prognožu sagatavošanā iesaistītās institūcijas</w:t>
            </w:r>
            <w:r w:rsidR="001B06D8" w:rsidRPr="00D3416D">
              <w:rPr>
                <w:b w:val="0"/>
              </w:rPr>
              <w:t xml:space="preserve"> – Noteikumu projekta II un III nodaļā minētās institūcijas</w:t>
            </w:r>
            <w:r w:rsidRPr="00D3416D">
              <w:rPr>
                <w:b w:val="0"/>
              </w:rPr>
              <w:t>.</w:t>
            </w:r>
          </w:p>
        </w:tc>
      </w:tr>
      <w:tr w:rsidR="00F122F9" w:rsidRPr="00D3416D" w14:paraId="02334EE4" w14:textId="77777777" w:rsidTr="00DC5242">
        <w:trPr>
          <w:trHeight w:val="450"/>
          <w:jc w:val="center"/>
        </w:trPr>
        <w:tc>
          <w:tcPr>
            <w:tcW w:w="250" w:type="pct"/>
          </w:tcPr>
          <w:p w14:paraId="52BCA86C"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2.</w:t>
            </w:r>
          </w:p>
        </w:tc>
        <w:tc>
          <w:tcPr>
            <w:tcW w:w="1074" w:type="pct"/>
          </w:tcPr>
          <w:p w14:paraId="2A9624B5"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Projekta izpildes ietekme uz pārvaldes funkcijām un institucionālo struktūru.</w:t>
            </w:r>
          </w:p>
          <w:p w14:paraId="5D0AF5B0"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Jaunu institūciju izveide, esošu institūciju likvidācija vai reorganizācija, to ietekme uz institūcijas cilvēkresursiem</w:t>
            </w:r>
          </w:p>
        </w:tc>
        <w:tc>
          <w:tcPr>
            <w:tcW w:w="3676" w:type="pct"/>
          </w:tcPr>
          <w:p w14:paraId="3F357E19" w14:textId="2CD72186" w:rsidR="00C34B19" w:rsidRPr="00D3416D" w:rsidRDefault="006F16ED" w:rsidP="00DC1194">
            <w:pPr>
              <w:spacing w:before="60" w:beforeAutospacing="1" w:after="60" w:afterAutospacing="1"/>
              <w:ind w:right="116"/>
              <w:rPr>
                <w:rFonts w:ascii="Times New Roman" w:hAnsi="Times New Roman"/>
                <w:sz w:val="24"/>
                <w:szCs w:val="24"/>
              </w:rPr>
            </w:pPr>
            <w:r w:rsidRPr="00D3416D">
              <w:rPr>
                <w:rFonts w:ascii="Times New Roman" w:hAnsi="Times New Roman"/>
                <w:sz w:val="24"/>
                <w:szCs w:val="24"/>
              </w:rPr>
              <w:t>N</w:t>
            </w:r>
            <w:r w:rsidR="00D8791E" w:rsidRPr="00D3416D">
              <w:rPr>
                <w:rFonts w:ascii="Times New Roman" w:hAnsi="Times New Roman"/>
                <w:sz w:val="24"/>
                <w:szCs w:val="24"/>
              </w:rPr>
              <w:t xml:space="preserve">oteikumu projektā </w:t>
            </w:r>
            <w:r w:rsidR="005472D6" w:rsidRPr="00D3416D">
              <w:rPr>
                <w:rFonts w:ascii="Times New Roman" w:hAnsi="Times New Roman"/>
                <w:sz w:val="24"/>
                <w:szCs w:val="24"/>
              </w:rPr>
              <w:t>iekļauto nosacījumu izpildei nav nepieciešams veidot jaunas institūcijas, likvidēt vai reorganizēt esošās institūcijas.</w:t>
            </w:r>
            <w:r w:rsidR="00D3416D">
              <w:rPr>
                <w:rFonts w:ascii="Times New Roman" w:hAnsi="Times New Roman"/>
                <w:sz w:val="24"/>
                <w:szCs w:val="24"/>
              </w:rPr>
              <w:t xml:space="preserve"> </w:t>
            </w:r>
            <w:r w:rsidRPr="00D3416D">
              <w:rPr>
                <w:rFonts w:ascii="Times New Roman" w:hAnsi="Times New Roman"/>
                <w:sz w:val="24"/>
                <w:szCs w:val="24"/>
              </w:rPr>
              <w:t>N</w:t>
            </w:r>
            <w:r w:rsidR="00D8791E" w:rsidRPr="00D3416D">
              <w:rPr>
                <w:rFonts w:ascii="Times New Roman" w:hAnsi="Times New Roman"/>
                <w:sz w:val="24"/>
                <w:szCs w:val="24"/>
              </w:rPr>
              <w:t>oteikumu projekta</w:t>
            </w:r>
            <w:r w:rsidR="005472D6" w:rsidRPr="00D3416D">
              <w:rPr>
                <w:rFonts w:ascii="Times New Roman" w:hAnsi="Times New Roman"/>
                <w:sz w:val="24"/>
                <w:szCs w:val="24"/>
              </w:rPr>
              <w:t xml:space="preserve"> izpildē iesaistītās institūcijas iekļautos pasākumu</w:t>
            </w:r>
            <w:r w:rsidR="00D8791E" w:rsidRPr="00D3416D">
              <w:rPr>
                <w:rFonts w:ascii="Times New Roman" w:hAnsi="Times New Roman"/>
                <w:sz w:val="24"/>
                <w:szCs w:val="24"/>
              </w:rPr>
              <w:t>s</w:t>
            </w:r>
            <w:r w:rsidR="005472D6" w:rsidRPr="00D3416D">
              <w:rPr>
                <w:rFonts w:ascii="Times New Roman" w:hAnsi="Times New Roman"/>
                <w:sz w:val="24"/>
                <w:szCs w:val="24"/>
              </w:rPr>
              <w:t xml:space="preserve"> nodrošinās piešķirto valsts budžeta līdzekļu ietvaros. </w:t>
            </w:r>
          </w:p>
        </w:tc>
      </w:tr>
      <w:tr w:rsidR="00F122F9" w:rsidRPr="00D3416D" w14:paraId="03F3D4B2" w14:textId="77777777" w:rsidTr="00DC5242">
        <w:trPr>
          <w:trHeight w:val="390"/>
          <w:jc w:val="center"/>
        </w:trPr>
        <w:tc>
          <w:tcPr>
            <w:tcW w:w="250" w:type="pct"/>
          </w:tcPr>
          <w:p w14:paraId="05663116"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3.</w:t>
            </w:r>
          </w:p>
        </w:tc>
        <w:tc>
          <w:tcPr>
            <w:tcW w:w="1074" w:type="pct"/>
          </w:tcPr>
          <w:p w14:paraId="3C75CB92" w14:textId="77777777" w:rsidR="00CB4AAB" w:rsidRPr="00D3416D" w:rsidRDefault="00CB4AAB" w:rsidP="00B63F0E">
            <w:pPr>
              <w:spacing w:before="60" w:after="60"/>
              <w:jc w:val="left"/>
              <w:rPr>
                <w:rFonts w:ascii="Times New Roman" w:hAnsi="Times New Roman"/>
                <w:sz w:val="24"/>
                <w:szCs w:val="24"/>
                <w:lang w:eastAsia="lv-LV"/>
              </w:rPr>
            </w:pPr>
            <w:r w:rsidRPr="00D3416D">
              <w:rPr>
                <w:rFonts w:ascii="Times New Roman" w:hAnsi="Times New Roman"/>
                <w:sz w:val="24"/>
                <w:szCs w:val="24"/>
                <w:lang w:eastAsia="lv-LV"/>
              </w:rPr>
              <w:t>Cita informācija</w:t>
            </w:r>
          </w:p>
        </w:tc>
        <w:tc>
          <w:tcPr>
            <w:tcW w:w="3676" w:type="pct"/>
          </w:tcPr>
          <w:p w14:paraId="0E0F81D1" w14:textId="06E9F5E9" w:rsidR="00CB4AAB" w:rsidRPr="00D3416D" w:rsidRDefault="005472D6" w:rsidP="00DC1194">
            <w:pPr>
              <w:spacing w:before="60" w:beforeAutospacing="1" w:after="60" w:afterAutospacing="1"/>
              <w:ind w:left="115" w:right="116"/>
              <w:jc w:val="left"/>
              <w:rPr>
                <w:rFonts w:ascii="Times New Roman" w:hAnsi="Times New Roman"/>
                <w:sz w:val="24"/>
                <w:szCs w:val="24"/>
                <w:lang w:eastAsia="lv-LV"/>
              </w:rPr>
            </w:pPr>
            <w:r w:rsidRPr="00D3416D">
              <w:rPr>
                <w:rFonts w:ascii="Times New Roman" w:hAnsi="Times New Roman"/>
                <w:sz w:val="24"/>
                <w:szCs w:val="24"/>
                <w:lang w:eastAsia="lv-LV"/>
              </w:rPr>
              <w:t>Nav</w:t>
            </w:r>
            <w:r w:rsidR="00D36CC5" w:rsidRPr="00D3416D">
              <w:rPr>
                <w:rFonts w:ascii="Times New Roman" w:hAnsi="Times New Roman"/>
                <w:sz w:val="24"/>
                <w:szCs w:val="24"/>
                <w:lang w:eastAsia="lv-LV"/>
              </w:rPr>
              <w:t>.</w:t>
            </w:r>
          </w:p>
        </w:tc>
      </w:tr>
    </w:tbl>
    <w:p w14:paraId="3C3352C2" w14:textId="77777777" w:rsidR="00F122F9" w:rsidRPr="00D3416D" w:rsidRDefault="00F122F9" w:rsidP="00E57372">
      <w:pPr>
        <w:shd w:val="clear" w:color="auto" w:fill="FFFFFF"/>
        <w:spacing w:after="0"/>
        <w:rPr>
          <w:rFonts w:ascii="Times New Roman" w:hAnsi="Times New Roman"/>
          <w:sz w:val="24"/>
          <w:szCs w:val="24"/>
        </w:rPr>
      </w:pPr>
    </w:p>
    <w:p w14:paraId="17FAA8C2" w14:textId="77777777" w:rsidR="004C1C0E" w:rsidRPr="00D3416D" w:rsidRDefault="004C1C0E" w:rsidP="00E57372">
      <w:pPr>
        <w:shd w:val="clear" w:color="auto" w:fill="FFFFFF"/>
        <w:spacing w:after="0"/>
        <w:rPr>
          <w:rFonts w:ascii="Times New Roman" w:hAnsi="Times New Roman"/>
          <w:sz w:val="24"/>
          <w:szCs w:val="24"/>
        </w:rPr>
      </w:pPr>
    </w:p>
    <w:p w14:paraId="68505E7B" w14:textId="5BAE0157" w:rsidR="00411594" w:rsidRPr="00D3416D" w:rsidRDefault="00D36CC5" w:rsidP="00142A71">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V</w:t>
      </w:r>
      <w:r w:rsidR="00411594" w:rsidRPr="00D3416D">
        <w:rPr>
          <w:rFonts w:ascii="Times New Roman" w:hAnsi="Times New Roman"/>
          <w:sz w:val="24"/>
          <w:szCs w:val="24"/>
        </w:rPr>
        <w:t>ides aizsardzības un</w:t>
      </w:r>
    </w:p>
    <w:p w14:paraId="6E457809" w14:textId="77777777" w:rsidR="00142A71" w:rsidRPr="00D3416D" w:rsidRDefault="00142A71" w:rsidP="00142A71">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reģionālās attīstības ministrs</w:t>
      </w:r>
      <w:r w:rsidRPr="00D3416D">
        <w:rPr>
          <w:rFonts w:ascii="Times New Roman" w:hAnsi="Times New Roman"/>
          <w:sz w:val="24"/>
          <w:szCs w:val="24"/>
        </w:rPr>
        <w:tab/>
        <w:t>K. Gerhards</w:t>
      </w:r>
    </w:p>
    <w:p w14:paraId="7A1AEBED" w14:textId="77777777" w:rsidR="00411594" w:rsidRPr="00D3416D" w:rsidRDefault="00411594" w:rsidP="00142A71">
      <w:pPr>
        <w:tabs>
          <w:tab w:val="left" w:pos="5954"/>
          <w:tab w:val="left" w:pos="6804"/>
        </w:tabs>
        <w:rPr>
          <w:rFonts w:ascii="Times New Roman" w:hAnsi="Times New Roman"/>
          <w:sz w:val="24"/>
          <w:szCs w:val="24"/>
        </w:rPr>
      </w:pPr>
    </w:p>
    <w:p w14:paraId="443B3D36" w14:textId="77777777" w:rsidR="00D36CC5" w:rsidRPr="00D3416D" w:rsidRDefault="00D36CC5" w:rsidP="00DC1194">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 xml:space="preserve">Vides aizsardzības un reģionālās </w:t>
      </w:r>
    </w:p>
    <w:p w14:paraId="724F95CB" w14:textId="2FA808A0" w:rsidR="00142A71" w:rsidRPr="00D3416D" w:rsidRDefault="00D36CC5" w:rsidP="00DC1194">
      <w:pPr>
        <w:pStyle w:val="tabula"/>
        <w:tabs>
          <w:tab w:val="clear" w:pos="5954"/>
          <w:tab w:val="left" w:pos="7513"/>
        </w:tabs>
        <w:spacing w:before="80" w:after="80"/>
        <w:jc w:val="both"/>
        <w:rPr>
          <w:rFonts w:ascii="Times New Roman" w:hAnsi="Times New Roman"/>
          <w:sz w:val="24"/>
          <w:szCs w:val="24"/>
        </w:rPr>
      </w:pPr>
      <w:r w:rsidRPr="00D3416D">
        <w:rPr>
          <w:rFonts w:ascii="Times New Roman" w:hAnsi="Times New Roman"/>
          <w:sz w:val="24"/>
          <w:szCs w:val="24"/>
        </w:rPr>
        <w:t xml:space="preserve">attīstības ministrijas </w:t>
      </w:r>
      <w:r w:rsidR="00142A71" w:rsidRPr="00D3416D">
        <w:rPr>
          <w:rFonts w:ascii="Times New Roman" w:hAnsi="Times New Roman"/>
          <w:sz w:val="24"/>
          <w:szCs w:val="24"/>
        </w:rPr>
        <w:t>valsts sekretārs</w:t>
      </w:r>
      <w:r w:rsidR="00142A71" w:rsidRPr="00D3416D">
        <w:rPr>
          <w:rFonts w:ascii="Times New Roman" w:hAnsi="Times New Roman"/>
          <w:sz w:val="24"/>
          <w:szCs w:val="24"/>
        </w:rPr>
        <w:tab/>
        <w:t>R. </w:t>
      </w:r>
      <w:proofErr w:type="spellStart"/>
      <w:r w:rsidR="00142A71" w:rsidRPr="00D3416D">
        <w:rPr>
          <w:rFonts w:ascii="Times New Roman" w:hAnsi="Times New Roman"/>
          <w:sz w:val="24"/>
          <w:szCs w:val="24"/>
        </w:rPr>
        <w:t>Muciņš</w:t>
      </w:r>
      <w:proofErr w:type="spellEnd"/>
    </w:p>
    <w:p w14:paraId="72327A23" w14:textId="77777777" w:rsidR="00142A71" w:rsidRPr="00D3416D" w:rsidRDefault="00142A71" w:rsidP="00142A71">
      <w:pPr>
        <w:pStyle w:val="tabula"/>
        <w:tabs>
          <w:tab w:val="right" w:pos="9072"/>
        </w:tabs>
        <w:rPr>
          <w:rFonts w:ascii="Times New Roman" w:hAnsi="Times New Roman"/>
          <w:sz w:val="24"/>
          <w:szCs w:val="24"/>
        </w:rPr>
      </w:pPr>
    </w:p>
    <w:p w14:paraId="5C5FAAF4" w14:textId="77777777" w:rsidR="00D36CC5" w:rsidRPr="00D3416D" w:rsidRDefault="00D36CC5" w:rsidP="00142A71">
      <w:pPr>
        <w:pStyle w:val="tabula"/>
        <w:tabs>
          <w:tab w:val="right" w:pos="9072"/>
        </w:tabs>
        <w:rPr>
          <w:rFonts w:ascii="Times New Roman" w:hAnsi="Times New Roman"/>
          <w:sz w:val="24"/>
          <w:szCs w:val="24"/>
        </w:rPr>
      </w:pPr>
    </w:p>
    <w:p w14:paraId="1584986A" w14:textId="77777777" w:rsidR="00411594" w:rsidRPr="00D3416D" w:rsidRDefault="00142A71" w:rsidP="00590493">
      <w:pPr>
        <w:shd w:val="clear" w:color="auto" w:fill="FFFFFF"/>
        <w:tabs>
          <w:tab w:val="left" w:pos="7230"/>
        </w:tabs>
        <w:spacing w:after="0"/>
        <w:rPr>
          <w:rFonts w:ascii="Times New Roman" w:hAnsi="Times New Roman"/>
          <w:sz w:val="28"/>
          <w:szCs w:val="28"/>
        </w:rPr>
      </w:pPr>
      <w:r w:rsidRPr="00D3416D" w:rsidDel="00142A71">
        <w:rPr>
          <w:rFonts w:ascii="Times New Roman" w:hAnsi="Times New Roman"/>
          <w:sz w:val="28"/>
          <w:szCs w:val="28"/>
        </w:rPr>
        <w:t xml:space="preserve"> </w:t>
      </w:r>
    </w:p>
    <w:p w14:paraId="00C2665D" w14:textId="4408CCB4" w:rsidR="00B466FC" w:rsidRPr="00D3416D" w:rsidRDefault="00D8791E" w:rsidP="00B466FC">
      <w:pPr>
        <w:pStyle w:val="BodyTextIndent"/>
        <w:tabs>
          <w:tab w:val="left" w:pos="8275"/>
        </w:tabs>
        <w:spacing w:after="0"/>
        <w:ind w:left="0"/>
        <w:rPr>
          <w:sz w:val="18"/>
          <w:szCs w:val="18"/>
        </w:rPr>
      </w:pPr>
      <w:r w:rsidRPr="00D3416D">
        <w:rPr>
          <w:sz w:val="18"/>
          <w:szCs w:val="18"/>
        </w:rPr>
        <w:t>Gancone</w:t>
      </w:r>
      <w:r w:rsidR="00B466FC" w:rsidRPr="00D3416D">
        <w:rPr>
          <w:sz w:val="18"/>
          <w:szCs w:val="18"/>
        </w:rPr>
        <w:t xml:space="preserve">, </w:t>
      </w:r>
      <w:r w:rsidRPr="00D3416D">
        <w:rPr>
          <w:sz w:val="18"/>
          <w:szCs w:val="18"/>
        </w:rPr>
        <w:t>67026495</w:t>
      </w:r>
    </w:p>
    <w:p w14:paraId="3CDD9CA8" w14:textId="58D214AA" w:rsidR="00B466FC" w:rsidRPr="00D3416D" w:rsidRDefault="008C4B91" w:rsidP="00B466FC">
      <w:pPr>
        <w:pStyle w:val="BodyTextIndent"/>
        <w:spacing w:after="0"/>
        <w:ind w:left="0"/>
        <w:rPr>
          <w:sz w:val="18"/>
          <w:szCs w:val="18"/>
        </w:rPr>
      </w:pPr>
      <w:hyperlink r:id="rId9" w:history="1">
        <w:r w:rsidR="00D36CC5" w:rsidRPr="00D3416D">
          <w:rPr>
            <w:rStyle w:val="Hyperlink"/>
            <w:sz w:val="18"/>
            <w:szCs w:val="18"/>
          </w:rPr>
          <w:t>Agita.Gancone@varam.gov.lv</w:t>
        </w:r>
      </w:hyperlink>
      <w:r w:rsidR="00D36CC5" w:rsidRPr="00D3416D">
        <w:rPr>
          <w:sz w:val="18"/>
          <w:szCs w:val="18"/>
        </w:rPr>
        <w:t xml:space="preserve"> </w:t>
      </w:r>
    </w:p>
    <w:p w14:paraId="1CCFAC94" w14:textId="20A1FEAB" w:rsidR="00B466FC" w:rsidRPr="00D3416D" w:rsidRDefault="00D8791E" w:rsidP="00B466FC">
      <w:pPr>
        <w:spacing w:after="0"/>
        <w:rPr>
          <w:rFonts w:ascii="Times New Roman" w:hAnsi="Times New Roman"/>
          <w:sz w:val="18"/>
          <w:szCs w:val="18"/>
        </w:rPr>
      </w:pPr>
      <w:r w:rsidRPr="00D3416D">
        <w:rPr>
          <w:rFonts w:ascii="Times New Roman" w:hAnsi="Times New Roman"/>
          <w:sz w:val="18"/>
          <w:szCs w:val="18"/>
        </w:rPr>
        <w:t>Zommere-Rotčenkova</w:t>
      </w:r>
      <w:r w:rsidR="00B466FC" w:rsidRPr="00D3416D">
        <w:rPr>
          <w:rFonts w:ascii="Times New Roman" w:hAnsi="Times New Roman"/>
          <w:sz w:val="18"/>
          <w:szCs w:val="18"/>
        </w:rPr>
        <w:t xml:space="preserve">, </w:t>
      </w:r>
      <w:r w:rsidRPr="00D3416D">
        <w:rPr>
          <w:rFonts w:ascii="Times New Roman" w:hAnsi="Times New Roman"/>
          <w:sz w:val="18"/>
          <w:szCs w:val="18"/>
        </w:rPr>
        <w:t>67026508</w:t>
      </w:r>
    </w:p>
    <w:p w14:paraId="661C7D02" w14:textId="515FA304" w:rsidR="003B57C7" w:rsidRPr="00D3416D" w:rsidRDefault="008C4B91" w:rsidP="00B466FC">
      <w:pPr>
        <w:spacing w:after="0"/>
        <w:rPr>
          <w:rStyle w:val="Hyperlink"/>
          <w:color w:val="auto"/>
          <w:sz w:val="18"/>
          <w:szCs w:val="18"/>
        </w:rPr>
      </w:pPr>
      <w:hyperlink r:id="rId10" w:history="1">
        <w:r w:rsidR="00D36CC5" w:rsidRPr="00D3416D">
          <w:rPr>
            <w:rStyle w:val="Hyperlink"/>
            <w:rFonts w:ascii="Times New Roman" w:hAnsi="Times New Roman"/>
            <w:sz w:val="18"/>
            <w:szCs w:val="18"/>
          </w:rPr>
          <w:t>Kristine.Zommere-Rotcenkova@varam.gov.lv</w:t>
        </w:r>
      </w:hyperlink>
      <w:r w:rsidR="00D36CC5" w:rsidRPr="00D3416D">
        <w:rPr>
          <w:rFonts w:ascii="Times New Roman" w:hAnsi="Times New Roman"/>
          <w:sz w:val="18"/>
          <w:szCs w:val="18"/>
        </w:rPr>
        <w:t xml:space="preserve"> </w:t>
      </w:r>
    </w:p>
    <w:sectPr w:rsidR="003B57C7" w:rsidRPr="00D3416D" w:rsidSect="008F7F7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0745" w14:textId="77777777" w:rsidR="008C4B91" w:rsidRDefault="008C4B91" w:rsidP="004D7C36">
      <w:pPr>
        <w:spacing w:after="0"/>
      </w:pPr>
      <w:r>
        <w:separator/>
      </w:r>
    </w:p>
  </w:endnote>
  <w:endnote w:type="continuationSeparator" w:id="0">
    <w:p w14:paraId="74F17EA1" w14:textId="77777777" w:rsidR="008C4B91" w:rsidRDefault="008C4B91" w:rsidP="004D7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7EEA" w14:textId="77777777" w:rsidR="00345991" w:rsidRDefault="0034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70A46" w14:textId="1F3459EA" w:rsidR="00AF5B93" w:rsidRPr="00D8791E" w:rsidRDefault="0063266C" w:rsidP="00C61BFB">
    <w:pPr>
      <w:spacing w:after="0"/>
      <w:rPr>
        <w:rFonts w:ascii="Times New Roman" w:hAnsi="Times New Roman"/>
        <w:sz w:val="20"/>
        <w:szCs w:val="20"/>
      </w:rPr>
    </w:pPr>
    <w:fldSimple w:instr=" FILENAME   \* MERGEFORMAT ">
      <w:r w:rsidR="00702F9F" w:rsidRPr="00702F9F">
        <w:rPr>
          <w:rFonts w:ascii="Times New Roman" w:hAnsi="Times New Roman"/>
          <w:noProof/>
          <w:sz w:val="20"/>
          <w:szCs w:val="20"/>
        </w:rPr>
        <w:t>VARAMAnot_Groz</w:t>
      </w:r>
      <w:bookmarkStart w:id="0" w:name="_GoBack"/>
      <w:bookmarkEnd w:id="0"/>
      <w:r w:rsidR="00702F9F" w:rsidRPr="00702F9F">
        <w:rPr>
          <w:rFonts w:ascii="Times New Roman" w:hAnsi="Times New Roman"/>
          <w:noProof/>
          <w:sz w:val="20"/>
          <w:szCs w:val="20"/>
        </w:rPr>
        <w:t>MKN217_06 02 2017</w:t>
      </w:r>
    </w:fldSimple>
    <w:r w:rsidR="00786190" w:rsidRPr="0002260A">
      <w:rPr>
        <w:rFonts w:ascii="Times New Roman" w:hAnsi="Times New Roman"/>
        <w:sz w:val="20"/>
        <w:szCs w:val="20"/>
      </w:rPr>
      <w:t xml:space="preserve">; </w:t>
    </w:r>
    <w:r w:rsidR="00BB73B2">
      <w:rPr>
        <w:rFonts w:ascii="Times New Roman" w:hAnsi="Times New Roman"/>
        <w:sz w:val="20"/>
        <w:szCs w:val="20"/>
      </w:rPr>
      <w:t>Ministru kabineta noteikumu projekta “Noteikumi par siltumnīcefekta gāzu inventarizācijas un prognožu sagatavošanas nacionālo sistēmu”</w:t>
    </w:r>
    <w:r w:rsidR="00786190" w:rsidRPr="0002260A">
      <w:rPr>
        <w:rFonts w:ascii="Times New Roman" w:hAnsi="Times New Roman"/>
        <w:sz w:val="20"/>
        <w:szCs w:val="20"/>
      </w:rPr>
      <w:t xml:space="preserve"> sākotnējās ietekmes novērtējuma </w:t>
    </w:r>
    <w:r w:rsidR="00BB73B2">
      <w:rPr>
        <w:rFonts w:ascii="Times New Roman" w:hAnsi="Times New Roman"/>
        <w:sz w:val="20"/>
        <w:szCs w:val="20"/>
      </w:rPr>
      <w:t>ziņojuma</w:t>
    </w:r>
    <w:r w:rsidR="00786190" w:rsidRPr="0002260A">
      <w:rPr>
        <w:rFonts w:ascii="Times New Roman" w:hAnsi="Times New Roman"/>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CF66" w14:textId="77777777" w:rsidR="00AF5B93" w:rsidRPr="004D7C36" w:rsidRDefault="00AF5B93" w:rsidP="004D7C36">
    <w:pPr>
      <w:spacing w:after="0"/>
      <w:rPr>
        <w:rFonts w:ascii="Times New Roman" w:hAnsi="Times New Roman"/>
        <w:sz w:val="8"/>
        <w:szCs w:val="8"/>
      </w:rPr>
    </w:pPr>
  </w:p>
  <w:p w14:paraId="47255F2F" w14:textId="00F6CB56" w:rsidR="00AF5B93" w:rsidRPr="00FD7489" w:rsidRDefault="008C4B91" w:rsidP="00FD7489">
    <w:pPr>
      <w:spacing w:after="0"/>
      <w:rPr>
        <w:rFonts w:ascii="Times New Roman" w:hAnsi="Times New Roman"/>
        <w:sz w:val="20"/>
        <w:szCs w:val="20"/>
      </w:rPr>
    </w:pPr>
    <w:r>
      <w:fldChar w:fldCharType="begin"/>
    </w:r>
    <w:r>
      <w:instrText xml:space="preserve"> FILENAME   \* MERGEFORMAT </w:instrText>
    </w:r>
    <w:r>
      <w:fldChar w:fldCharType="separate"/>
    </w:r>
    <w:r w:rsidR="00702F9F" w:rsidRPr="00702F9F">
      <w:rPr>
        <w:rFonts w:ascii="Times New Roman" w:hAnsi="Times New Roman"/>
        <w:noProof/>
        <w:sz w:val="20"/>
        <w:szCs w:val="20"/>
      </w:rPr>
      <w:t>VARAMAnot_GrozMKN217_06 02 2017</w:t>
    </w:r>
    <w:r>
      <w:rPr>
        <w:rFonts w:ascii="Times New Roman" w:hAnsi="Times New Roman"/>
        <w:noProof/>
        <w:sz w:val="20"/>
        <w:szCs w:val="20"/>
      </w:rPr>
      <w:fldChar w:fldCharType="end"/>
    </w:r>
    <w:r w:rsidR="00FD7489" w:rsidRPr="00FD7489">
      <w:rPr>
        <w:rFonts w:ascii="Times New Roman" w:hAnsi="Times New Roman"/>
        <w:sz w:val="20"/>
        <w:szCs w:val="20"/>
      </w:rPr>
      <w:t xml:space="preserve">; </w:t>
    </w:r>
    <w:r w:rsidR="00BB73B2">
      <w:rPr>
        <w:rFonts w:ascii="Times New Roman" w:hAnsi="Times New Roman"/>
        <w:sz w:val="20"/>
        <w:szCs w:val="20"/>
      </w:rPr>
      <w:t>Ministru kabineta noteikumu projekta “Noteikumi par siltumnīcefekta gāzu inventarizācijas un prognožu sagatavošanas nacionālo sistēmu”</w:t>
    </w:r>
    <w:r w:rsidR="00FD7489" w:rsidRPr="00FD7489">
      <w:rPr>
        <w:rFonts w:ascii="Times New Roman" w:hAnsi="Times New Roman"/>
        <w:sz w:val="20"/>
        <w:szCs w:val="20"/>
      </w:rPr>
      <w:t xml:space="preserve"> sākotnēj</w:t>
    </w:r>
    <w:r w:rsidR="00BB73B2">
      <w:rPr>
        <w:rFonts w:ascii="Times New Roman" w:hAnsi="Times New Roman"/>
        <w:sz w:val="20"/>
        <w:szCs w:val="20"/>
      </w:rPr>
      <w:t>ās ietekmes novērtējuma ziņojuma</w:t>
    </w:r>
    <w:r w:rsidR="00FD7489" w:rsidRPr="00FD7489">
      <w:rPr>
        <w:rFonts w:ascii="Times New Roman" w:hAnsi="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5550F" w14:textId="77777777" w:rsidR="008C4B91" w:rsidRDefault="008C4B91" w:rsidP="004D7C36">
      <w:pPr>
        <w:spacing w:after="0"/>
      </w:pPr>
      <w:r>
        <w:separator/>
      </w:r>
    </w:p>
  </w:footnote>
  <w:footnote w:type="continuationSeparator" w:id="0">
    <w:p w14:paraId="4BD12856" w14:textId="77777777" w:rsidR="008C4B91" w:rsidRDefault="008C4B91" w:rsidP="004D7C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E835" w14:textId="77777777" w:rsidR="00345991" w:rsidRDefault="0034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C697" w14:textId="77777777" w:rsidR="00AF5B93" w:rsidRDefault="005472D6">
    <w:pPr>
      <w:pStyle w:val="Header"/>
      <w:jc w:val="center"/>
    </w:pPr>
    <w:r>
      <w:fldChar w:fldCharType="begin"/>
    </w:r>
    <w:r w:rsidR="00AF5B93">
      <w:instrText xml:space="preserve"> PAGE   \* MERGEFORMAT </w:instrText>
    </w:r>
    <w:r>
      <w:fldChar w:fldCharType="separate"/>
    </w:r>
    <w:r w:rsidR="00702F9F">
      <w:rPr>
        <w:noProof/>
      </w:rPr>
      <w:t>3</w:t>
    </w:r>
    <w:r>
      <w:rPr>
        <w:noProof/>
      </w:rPr>
      <w:fldChar w:fldCharType="end"/>
    </w:r>
  </w:p>
  <w:p w14:paraId="7DCE531D" w14:textId="77777777" w:rsidR="00AF5B93" w:rsidRDefault="00AF5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13B1" w14:textId="77777777" w:rsidR="00345991" w:rsidRDefault="0034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7E0"/>
    <w:multiLevelType w:val="hybridMultilevel"/>
    <w:tmpl w:val="244AB87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520814"/>
    <w:multiLevelType w:val="hybridMultilevel"/>
    <w:tmpl w:val="664AC44E"/>
    <w:lvl w:ilvl="0" w:tplc="A900E38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93248"/>
    <w:multiLevelType w:val="hybridMultilevel"/>
    <w:tmpl w:val="6E288D3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A83C6C"/>
    <w:multiLevelType w:val="hybridMultilevel"/>
    <w:tmpl w:val="9B30130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A37EA9"/>
    <w:multiLevelType w:val="hybridMultilevel"/>
    <w:tmpl w:val="F2508D6E"/>
    <w:lvl w:ilvl="0" w:tplc="0EFE7DD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5" w15:restartNumberingAfterBreak="0">
    <w:nsid w:val="1CB74205"/>
    <w:multiLevelType w:val="hybridMultilevel"/>
    <w:tmpl w:val="165413C0"/>
    <w:lvl w:ilvl="0" w:tplc="44C80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18645E"/>
    <w:multiLevelType w:val="hybridMultilevel"/>
    <w:tmpl w:val="6FF6BFBA"/>
    <w:lvl w:ilvl="0" w:tplc="67A8F996">
      <w:start w:val="1"/>
      <w:numFmt w:val="bullet"/>
      <w:lvlText w:val="•"/>
      <w:lvlJc w:val="left"/>
      <w:pPr>
        <w:tabs>
          <w:tab w:val="num" w:pos="720"/>
        </w:tabs>
        <w:ind w:left="720" w:hanging="360"/>
      </w:pPr>
      <w:rPr>
        <w:rFonts w:ascii="Arial" w:hAnsi="Aria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DA91357"/>
    <w:multiLevelType w:val="hybridMultilevel"/>
    <w:tmpl w:val="493E3808"/>
    <w:lvl w:ilvl="0" w:tplc="D53882E0">
      <w:start w:val="1"/>
      <w:numFmt w:val="bullet"/>
      <w:lvlText w:val=""/>
      <w:lvlJc w:val="left"/>
      <w:pPr>
        <w:ind w:left="587" w:hanging="360"/>
      </w:pPr>
      <w:rPr>
        <w:rFonts w:ascii="Symbol" w:hAnsi="Symbol"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8" w15:restartNumberingAfterBreak="0">
    <w:nsid w:val="25FF5A6E"/>
    <w:multiLevelType w:val="hybridMultilevel"/>
    <w:tmpl w:val="CBA875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1591E"/>
    <w:multiLevelType w:val="hybridMultilevel"/>
    <w:tmpl w:val="685C10A8"/>
    <w:lvl w:ilvl="0" w:tplc="2FA2CA3E">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E6AA0"/>
    <w:multiLevelType w:val="hybridMultilevel"/>
    <w:tmpl w:val="9FBA3C66"/>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90038E"/>
    <w:multiLevelType w:val="hybridMultilevel"/>
    <w:tmpl w:val="41EA12F6"/>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BE0813"/>
    <w:multiLevelType w:val="hybridMultilevel"/>
    <w:tmpl w:val="F574F362"/>
    <w:lvl w:ilvl="0" w:tplc="BF50EED4">
      <w:start w:val="1"/>
      <w:numFmt w:val="decimal"/>
      <w:lvlText w:val="%1)"/>
      <w:lvlJc w:val="left"/>
      <w:pPr>
        <w:ind w:left="587" w:hanging="360"/>
      </w:pPr>
      <w:rPr>
        <w:rFonts w:hint="default"/>
        <w:b/>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13" w15:restartNumberingAfterBreak="0">
    <w:nsid w:val="3D620BF9"/>
    <w:multiLevelType w:val="hybridMultilevel"/>
    <w:tmpl w:val="F268004E"/>
    <w:lvl w:ilvl="0" w:tplc="011CD336">
      <w:start w:val="1"/>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5A44BE"/>
    <w:multiLevelType w:val="hybridMultilevel"/>
    <w:tmpl w:val="9B9AF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B0279C"/>
    <w:multiLevelType w:val="hybridMultilevel"/>
    <w:tmpl w:val="1CCE603A"/>
    <w:lvl w:ilvl="0" w:tplc="D53882E0">
      <w:start w:val="1"/>
      <w:numFmt w:val="bullet"/>
      <w:lvlText w:val=""/>
      <w:lvlJc w:val="left"/>
      <w:pPr>
        <w:ind w:left="947" w:hanging="360"/>
      </w:pPr>
      <w:rPr>
        <w:rFonts w:ascii="Symbol" w:hAnsi="Symbol" w:hint="default"/>
      </w:rPr>
    </w:lvl>
    <w:lvl w:ilvl="1" w:tplc="A0406780">
      <w:start w:val="5"/>
      <w:numFmt w:val="bullet"/>
      <w:lvlText w:val="-"/>
      <w:lvlJc w:val="left"/>
      <w:pPr>
        <w:ind w:left="1667" w:hanging="360"/>
      </w:pPr>
      <w:rPr>
        <w:rFonts w:ascii="Times New Roman" w:eastAsia="Times New Roman" w:hAnsi="Times New Roman"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6" w15:restartNumberingAfterBreak="0">
    <w:nsid w:val="51FB6389"/>
    <w:multiLevelType w:val="hybridMultilevel"/>
    <w:tmpl w:val="FBFEEC76"/>
    <w:lvl w:ilvl="0" w:tplc="A0406780">
      <w:start w:val="5"/>
      <w:numFmt w:val="bullet"/>
      <w:lvlText w:val="-"/>
      <w:lvlJc w:val="left"/>
      <w:pPr>
        <w:ind w:left="587" w:hanging="360"/>
      </w:pPr>
      <w:rPr>
        <w:rFonts w:ascii="Times New Roman" w:eastAsia="Times New Roman" w:hAnsi="Times New Roman"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17" w15:restartNumberingAfterBreak="0">
    <w:nsid w:val="58CC4CB1"/>
    <w:multiLevelType w:val="hybridMultilevel"/>
    <w:tmpl w:val="AD80B448"/>
    <w:lvl w:ilvl="0" w:tplc="D5326EE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376E05"/>
    <w:multiLevelType w:val="hybridMultilevel"/>
    <w:tmpl w:val="1DACB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44059B"/>
    <w:multiLevelType w:val="hybridMultilevel"/>
    <w:tmpl w:val="C4CAFDBE"/>
    <w:lvl w:ilvl="0" w:tplc="F4388DD6">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8F119A"/>
    <w:multiLevelType w:val="hybridMultilevel"/>
    <w:tmpl w:val="9F925556"/>
    <w:lvl w:ilvl="0" w:tplc="383A6592">
      <w:start w:val="1"/>
      <w:numFmt w:val="decimal"/>
      <w:lvlText w:val="%1)"/>
      <w:lvlJc w:val="left"/>
      <w:pPr>
        <w:ind w:left="616" w:hanging="360"/>
      </w:pPr>
      <w:rPr>
        <w:rFonts w:eastAsia="Times New Roman" w:cs="Times New Roman" w:hint="default"/>
        <w:sz w:val="22"/>
        <w:szCs w:val="22"/>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1" w15:restartNumberingAfterBreak="0">
    <w:nsid w:val="5D246B5C"/>
    <w:multiLevelType w:val="hybridMultilevel"/>
    <w:tmpl w:val="48AA17A0"/>
    <w:lvl w:ilvl="0" w:tplc="2EE681B4">
      <w:start w:val="1"/>
      <w:numFmt w:val="decimal"/>
      <w:lvlText w:val="%1."/>
      <w:lvlJc w:val="left"/>
      <w:pPr>
        <w:ind w:left="587" w:hanging="360"/>
      </w:pPr>
      <w:rPr>
        <w:rFonts w:hint="default"/>
        <w:b/>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2" w15:restartNumberingAfterBreak="0">
    <w:nsid w:val="5ED32202"/>
    <w:multiLevelType w:val="hybridMultilevel"/>
    <w:tmpl w:val="B8E48524"/>
    <w:lvl w:ilvl="0" w:tplc="D53882E0">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23" w15:restartNumberingAfterBreak="0">
    <w:nsid w:val="60142C52"/>
    <w:multiLevelType w:val="hybridMultilevel"/>
    <w:tmpl w:val="09BCB2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59376C"/>
    <w:multiLevelType w:val="hybridMultilevel"/>
    <w:tmpl w:val="BAA4D0DE"/>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8D345C"/>
    <w:multiLevelType w:val="hybridMultilevel"/>
    <w:tmpl w:val="D1321D46"/>
    <w:lvl w:ilvl="0" w:tplc="D53882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FD43D62"/>
    <w:multiLevelType w:val="hybridMultilevel"/>
    <w:tmpl w:val="18CCAF70"/>
    <w:lvl w:ilvl="0" w:tplc="0EFE7DDE">
      <w:start w:val="1"/>
      <w:numFmt w:val="bullet"/>
      <w:lvlText w:val=""/>
      <w:lvlJc w:val="left"/>
      <w:pPr>
        <w:ind w:left="587" w:hanging="360"/>
      </w:pPr>
      <w:rPr>
        <w:rFonts w:ascii="Symbol" w:hAnsi="Symbol" w:hint="default"/>
      </w:rPr>
    </w:lvl>
    <w:lvl w:ilvl="1" w:tplc="04260003" w:tentative="1">
      <w:start w:val="1"/>
      <w:numFmt w:val="bullet"/>
      <w:lvlText w:val="o"/>
      <w:lvlJc w:val="left"/>
      <w:pPr>
        <w:ind w:left="1307" w:hanging="360"/>
      </w:pPr>
      <w:rPr>
        <w:rFonts w:ascii="Courier New" w:hAnsi="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hint="default"/>
      </w:rPr>
    </w:lvl>
    <w:lvl w:ilvl="8" w:tplc="04260005" w:tentative="1">
      <w:start w:val="1"/>
      <w:numFmt w:val="bullet"/>
      <w:lvlText w:val=""/>
      <w:lvlJc w:val="left"/>
      <w:pPr>
        <w:ind w:left="6347" w:hanging="360"/>
      </w:pPr>
      <w:rPr>
        <w:rFonts w:ascii="Wingdings" w:hAnsi="Wingdings" w:hint="default"/>
      </w:rPr>
    </w:lvl>
  </w:abstractNum>
  <w:num w:numId="1">
    <w:abstractNumId w:val="22"/>
  </w:num>
  <w:num w:numId="2">
    <w:abstractNumId w:val="15"/>
  </w:num>
  <w:num w:numId="3">
    <w:abstractNumId w:val="16"/>
  </w:num>
  <w:num w:numId="4">
    <w:abstractNumId w:val="20"/>
  </w:num>
  <w:num w:numId="5">
    <w:abstractNumId w:val="5"/>
  </w:num>
  <w:num w:numId="6">
    <w:abstractNumId w:val="3"/>
  </w:num>
  <w:num w:numId="7">
    <w:abstractNumId w:val="4"/>
  </w:num>
  <w:num w:numId="8">
    <w:abstractNumId w:val="6"/>
  </w:num>
  <w:num w:numId="9">
    <w:abstractNumId w:val="23"/>
  </w:num>
  <w:num w:numId="10">
    <w:abstractNumId w:val="26"/>
  </w:num>
  <w:num w:numId="11">
    <w:abstractNumId w:val="12"/>
  </w:num>
  <w:num w:numId="12">
    <w:abstractNumId w:val="18"/>
  </w:num>
  <w:num w:numId="13">
    <w:abstractNumId w:val="13"/>
  </w:num>
  <w:num w:numId="14">
    <w:abstractNumId w:val="14"/>
  </w:num>
  <w:num w:numId="15">
    <w:abstractNumId w:val="24"/>
  </w:num>
  <w:num w:numId="16">
    <w:abstractNumId w:val="19"/>
  </w:num>
  <w:num w:numId="17">
    <w:abstractNumId w:val="2"/>
  </w:num>
  <w:num w:numId="18">
    <w:abstractNumId w:val="25"/>
  </w:num>
  <w:num w:numId="19">
    <w:abstractNumId w:val="11"/>
  </w:num>
  <w:num w:numId="20">
    <w:abstractNumId w:val="7"/>
  </w:num>
  <w:num w:numId="21">
    <w:abstractNumId w:val="10"/>
  </w:num>
  <w:num w:numId="22">
    <w:abstractNumId w:val="21"/>
  </w:num>
  <w:num w:numId="23">
    <w:abstractNumId w:val="17"/>
  </w:num>
  <w:num w:numId="24">
    <w:abstractNumId w:val="1"/>
  </w:num>
  <w:num w:numId="25">
    <w:abstractNumId w:val="9"/>
  </w:num>
  <w:num w:numId="26">
    <w:abstractNumId w:val="0"/>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D"/>
    <w:rsid w:val="000022EA"/>
    <w:rsid w:val="0000357E"/>
    <w:rsid w:val="000036BA"/>
    <w:rsid w:val="00003841"/>
    <w:rsid w:val="00005263"/>
    <w:rsid w:val="0000734C"/>
    <w:rsid w:val="00010007"/>
    <w:rsid w:val="000102E0"/>
    <w:rsid w:val="0001568C"/>
    <w:rsid w:val="000204BD"/>
    <w:rsid w:val="000216F4"/>
    <w:rsid w:val="00021F25"/>
    <w:rsid w:val="0002260A"/>
    <w:rsid w:val="000236E8"/>
    <w:rsid w:val="00023CCB"/>
    <w:rsid w:val="000252D3"/>
    <w:rsid w:val="000259FE"/>
    <w:rsid w:val="00026472"/>
    <w:rsid w:val="00027F43"/>
    <w:rsid w:val="000365D2"/>
    <w:rsid w:val="0003736E"/>
    <w:rsid w:val="0003767B"/>
    <w:rsid w:val="0004253C"/>
    <w:rsid w:val="00045D4D"/>
    <w:rsid w:val="00051E55"/>
    <w:rsid w:val="00054B73"/>
    <w:rsid w:val="00054CEF"/>
    <w:rsid w:val="00056F61"/>
    <w:rsid w:val="000576A2"/>
    <w:rsid w:val="00057819"/>
    <w:rsid w:val="0005794B"/>
    <w:rsid w:val="00060163"/>
    <w:rsid w:val="0006049C"/>
    <w:rsid w:val="0006345C"/>
    <w:rsid w:val="00063EC8"/>
    <w:rsid w:val="00064636"/>
    <w:rsid w:val="000731AD"/>
    <w:rsid w:val="00075007"/>
    <w:rsid w:val="00075438"/>
    <w:rsid w:val="00077E67"/>
    <w:rsid w:val="0008176E"/>
    <w:rsid w:val="00081A58"/>
    <w:rsid w:val="00085C58"/>
    <w:rsid w:val="00087398"/>
    <w:rsid w:val="00087922"/>
    <w:rsid w:val="000900A6"/>
    <w:rsid w:val="00090A98"/>
    <w:rsid w:val="00090B46"/>
    <w:rsid w:val="00090B58"/>
    <w:rsid w:val="00092875"/>
    <w:rsid w:val="00095EE4"/>
    <w:rsid w:val="000A52C6"/>
    <w:rsid w:val="000A5328"/>
    <w:rsid w:val="000A58A3"/>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12CC"/>
    <w:rsid w:val="000E2B45"/>
    <w:rsid w:val="000E6416"/>
    <w:rsid w:val="000E73F7"/>
    <w:rsid w:val="000F09DB"/>
    <w:rsid w:val="000F14C9"/>
    <w:rsid w:val="000F513E"/>
    <w:rsid w:val="0010089E"/>
    <w:rsid w:val="0010256C"/>
    <w:rsid w:val="00104A4D"/>
    <w:rsid w:val="00104D1D"/>
    <w:rsid w:val="00106528"/>
    <w:rsid w:val="00107093"/>
    <w:rsid w:val="0011251E"/>
    <w:rsid w:val="00122EF5"/>
    <w:rsid w:val="001261AE"/>
    <w:rsid w:val="00127EA7"/>
    <w:rsid w:val="001344FB"/>
    <w:rsid w:val="00137AEB"/>
    <w:rsid w:val="00137D4F"/>
    <w:rsid w:val="001424BB"/>
    <w:rsid w:val="00142A71"/>
    <w:rsid w:val="00142CF5"/>
    <w:rsid w:val="00145C8C"/>
    <w:rsid w:val="001473AE"/>
    <w:rsid w:val="001524D8"/>
    <w:rsid w:val="00154AEA"/>
    <w:rsid w:val="00157133"/>
    <w:rsid w:val="00157710"/>
    <w:rsid w:val="0016010F"/>
    <w:rsid w:val="001604B9"/>
    <w:rsid w:val="00160970"/>
    <w:rsid w:val="00161F22"/>
    <w:rsid w:val="0016323A"/>
    <w:rsid w:val="00165328"/>
    <w:rsid w:val="00167E1C"/>
    <w:rsid w:val="001707E7"/>
    <w:rsid w:val="00177BD0"/>
    <w:rsid w:val="0018092B"/>
    <w:rsid w:val="001811C2"/>
    <w:rsid w:val="0018158A"/>
    <w:rsid w:val="001849BF"/>
    <w:rsid w:val="001872D0"/>
    <w:rsid w:val="0018796C"/>
    <w:rsid w:val="001926BF"/>
    <w:rsid w:val="00192C85"/>
    <w:rsid w:val="00194048"/>
    <w:rsid w:val="00196651"/>
    <w:rsid w:val="00196824"/>
    <w:rsid w:val="001B06D8"/>
    <w:rsid w:val="001B0A68"/>
    <w:rsid w:val="001C098C"/>
    <w:rsid w:val="001C250F"/>
    <w:rsid w:val="001C288A"/>
    <w:rsid w:val="001C37E7"/>
    <w:rsid w:val="001D32BA"/>
    <w:rsid w:val="001D5A67"/>
    <w:rsid w:val="001D6769"/>
    <w:rsid w:val="001D6E29"/>
    <w:rsid w:val="001D70DB"/>
    <w:rsid w:val="001E09A1"/>
    <w:rsid w:val="001F16CF"/>
    <w:rsid w:val="00201F24"/>
    <w:rsid w:val="002044F6"/>
    <w:rsid w:val="00204590"/>
    <w:rsid w:val="00205F15"/>
    <w:rsid w:val="00206DFD"/>
    <w:rsid w:val="00210EC9"/>
    <w:rsid w:val="00212A4F"/>
    <w:rsid w:val="00213B3F"/>
    <w:rsid w:val="00214180"/>
    <w:rsid w:val="00215ACA"/>
    <w:rsid w:val="00217609"/>
    <w:rsid w:val="00217FC8"/>
    <w:rsid w:val="00220870"/>
    <w:rsid w:val="002214F7"/>
    <w:rsid w:val="00223978"/>
    <w:rsid w:val="002278DE"/>
    <w:rsid w:val="00230AF7"/>
    <w:rsid w:val="00231B16"/>
    <w:rsid w:val="002326CD"/>
    <w:rsid w:val="00233691"/>
    <w:rsid w:val="002372A4"/>
    <w:rsid w:val="002407E2"/>
    <w:rsid w:val="00241AD6"/>
    <w:rsid w:val="002459DA"/>
    <w:rsid w:val="00246D93"/>
    <w:rsid w:val="002608F1"/>
    <w:rsid w:val="0026240C"/>
    <w:rsid w:val="00267CB7"/>
    <w:rsid w:val="00277367"/>
    <w:rsid w:val="00281AA7"/>
    <w:rsid w:val="0028217A"/>
    <w:rsid w:val="00284C5D"/>
    <w:rsid w:val="002937C4"/>
    <w:rsid w:val="00294A2F"/>
    <w:rsid w:val="002A0265"/>
    <w:rsid w:val="002A06D2"/>
    <w:rsid w:val="002B034D"/>
    <w:rsid w:val="002B2E16"/>
    <w:rsid w:val="002B3E8E"/>
    <w:rsid w:val="002B6A7F"/>
    <w:rsid w:val="002C4331"/>
    <w:rsid w:val="002C453A"/>
    <w:rsid w:val="002C68A0"/>
    <w:rsid w:val="002C6DBC"/>
    <w:rsid w:val="002C7797"/>
    <w:rsid w:val="002C7C7E"/>
    <w:rsid w:val="002D2B3E"/>
    <w:rsid w:val="002D4D53"/>
    <w:rsid w:val="002D670A"/>
    <w:rsid w:val="002E4B3E"/>
    <w:rsid w:val="002E5386"/>
    <w:rsid w:val="002E5FF2"/>
    <w:rsid w:val="002E7DBF"/>
    <w:rsid w:val="002F0C8F"/>
    <w:rsid w:val="002F30BB"/>
    <w:rsid w:val="002F38D0"/>
    <w:rsid w:val="003072BA"/>
    <w:rsid w:val="00307433"/>
    <w:rsid w:val="00313597"/>
    <w:rsid w:val="003162E4"/>
    <w:rsid w:val="00316D9D"/>
    <w:rsid w:val="00317EFB"/>
    <w:rsid w:val="0032070E"/>
    <w:rsid w:val="00322017"/>
    <w:rsid w:val="0032396A"/>
    <w:rsid w:val="00326E76"/>
    <w:rsid w:val="0033072E"/>
    <w:rsid w:val="00333FAA"/>
    <w:rsid w:val="00336675"/>
    <w:rsid w:val="00342A5F"/>
    <w:rsid w:val="00343243"/>
    <w:rsid w:val="0034370D"/>
    <w:rsid w:val="00344B08"/>
    <w:rsid w:val="00345991"/>
    <w:rsid w:val="00346562"/>
    <w:rsid w:val="00351AAB"/>
    <w:rsid w:val="00356575"/>
    <w:rsid w:val="0035716E"/>
    <w:rsid w:val="0036017A"/>
    <w:rsid w:val="00362787"/>
    <w:rsid w:val="00371BD4"/>
    <w:rsid w:val="00373448"/>
    <w:rsid w:val="00374001"/>
    <w:rsid w:val="00375924"/>
    <w:rsid w:val="00380243"/>
    <w:rsid w:val="00383D36"/>
    <w:rsid w:val="003859B6"/>
    <w:rsid w:val="00386AE8"/>
    <w:rsid w:val="003878E1"/>
    <w:rsid w:val="00391B99"/>
    <w:rsid w:val="00392A8F"/>
    <w:rsid w:val="003A057F"/>
    <w:rsid w:val="003A3ADD"/>
    <w:rsid w:val="003A47D4"/>
    <w:rsid w:val="003A68BF"/>
    <w:rsid w:val="003A7EFE"/>
    <w:rsid w:val="003B57C7"/>
    <w:rsid w:val="003B6E58"/>
    <w:rsid w:val="003C4D52"/>
    <w:rsid w:val="003D3065"/>
    <w:rsid w:val="003D4EB3"/>
    <w:rsid w:val="003E4275"/>
    <w:rsid w:val="003E4EB2"/>
    <w:rsid w:val="003E7EBE"/>
    <w:rsid w:val="003F0CD3"/>
    <w:rsid w:val="003F54CB"/>
    <w:rsid w:val="003F5D80"/>
    <w:rsid w:val="00404329"/>
    <w:rsid w:val="004050B7"/>
    <w:rsid w:val="00406107"/>
    <w:rsid w:val="00406B06"/>
    <w:rsid w:val="004076B6"/>
    <w:rsid w:val="00410902"/>
    <w:rsid w:val="00410CDD"/>
    <w:rsid w:val="00411594"/>
    <w:rsid w:val="004134E1"/>
    <w:rsid w:val="0041481C"/>
    <w:rsid w:val="004177BE"/>
    <w:rsid w:val="00417E2B"/>
    <w:rsid w:val="00422921"/>
    <w:rsid w:val="0042451B"/>
    <w:rsid w:val="004247AA"/>
    <w:rsid w:val="00424F34"/>
    <w:rsid w:val="00430CCF"/>
    <w:rsid w:val="00432216"/>
    <w:rsid w:val="004338E5"/>
    <w:rsid w:val="004367B2"/>
    <w:rsid w:val="0044078B"/>
    <w:rsid w:val="0044629A"/>
    <w:rsid w:val="00450746"/>
    <w:rsid w:val="00451F24"/>
    <w:rsid w:val="00452056"/>
    <w:rsid w:val="004525F5"/>
    <w:rsid w:val="004550F6"/>
    <w:rsid w:val="004561F3"/>
    <w:rsid w:val="00456D95"/>
    <w:rsid w:val="00462ED9"/>
    <w:rsid w:val="00467527"/>
    <w:rsid w:val="004679AD"/>
    <w:rsid w:val="00471D1C"/>
    <w:rsid w:val="004726B9"/>
    <w:rsid w:val="004731C9"/>
    <w:rsid w:val="004735CD"/>
    <w:rsid w:val="00475049"/>
    <w:rsid w:val="00475B65"/>
    <w:rsid w:val="004765E0"/>
    <w:rsid w:val="00477910"/>
    <w:rsid w:val="00481B53"/>
    <w:rsid w:val="00482BA0"/>
    <w:rsid w:val="00482F95"/>
    <w:rsid w:val="00483329"/>
    <w:rsid w:val="004844FA"/>
    <w:rsid w:val="0048741E"/>
    <w:rsid w:val="00494B95"/>
    <w:rsid w:val="0049563D"/>
    <w:rsid w:val="00495C34"/>
    <w:rsid w:val="004979C7"/>
    <w:rsid w:val="004A550A"/>
    <w:rsid w:val="004B29DD"/>
    <w:rsid w:val="004B2CB9"/>
    <w:rsid w:val="004B374F"/>
    <w:rsid w:val="004B4856"/>
    <w:rsid w:val="004B5C27"/>
    <w:rsid w:val="004B6CB6"/>
    <w:rsid w:val="004B6D08"/>
    <w:rsid w:val="004B7339"/>
    <w:rsid w:val="004C1C0E"/>
    <w:rsid w:val="004C43F7"/>
    <w:rsid w:val="004C49D6"/>
    <w:rsid w:val="004D397A"/>
    <w:rsid w:val="004D7C36"/>
    <w:rsid w:val="004E4AAC"/>
    <w:rsid w:val="004E58D0"/>
    <w:rsid w:val="004E72BB"/>
    <w:rsid w:val="004F0372"/>
    <w:rsid w:val="004F18C0"/>
    <w:rsid w:val="004F20B9"/>
    <w:rsid w:val="004F2C02"/>
    <w:rsid w:val="004F2CB3"/>
    <w:rsid w:val="004F3B23"/>
    <w:rsid w:val="004F4CB2"/>
    <w:rsid w:val="004F5C41"/>
    <w:rsid w:val="0050347B"/>
    <w:rsid w:val="00503B07"/>
    <w:rsid w:val="005059C1"/>
    <w:rsid w:val="00506393"/>
    <w:rsid w:val="00515421"/>
    <w:rsid w:val="00516C6F"/>
    <w:rsid w:val="0051728B"/>
    <w:rsid w:val="0052572E"/>
    <w:rsid w:val="00525D1A"/>
    <w:rsid w:val="005302B5"/>
    <w:rsid w:val="0053213F"/>
    <w:rsid w:val="005403CC"/>
    <w:rsid w:val="0054093C"/>
    <w:rsid w:val="00540AB4"/>
    <w:rsid w:val="00542D64"/>
    <w:rsid w:val="005461CC"/>
    <w:rsid w:val="005472D6"/>
    <w:rsid w:val="00551016"/>
    <w:rsid w:val="00552B20"/>
    <w:rsid w:val="005532AD"/>
    <w:rsid w:val="0055418D"/>
    <w:rsid w:val="0055429E"/>
    <w:rsid w:val="00556CDE"/>
    <w:rsid w:val="0056592D"/>
    <w:rsid w:val="00566D01"/>
    <w:rsid w:val="005702CB"/>
    <w:rsid w:val="005725BF"/>
    <w:rsid w:val="00572766"/>
    <w:rsid w:val="00572C7E"/>
    <w:rsid w:val="00574736"/>
    <w:rsid w:val="005764D9"/>
    <w:rsid w:val="0057701F"/>
    <w:rsid w:val="005804F8"/>
    <w:rsid w:val="005871ED"/>
    <w:rsid w:val="00590493"/>
    <w:rsid w:val="00594397"/>
    <w:rsid w:val="00595B59"/>
    <w:rsid w:val="005A0323"/>
    <w:rsid w:val="005A0385"/>
    <w:rsid w:val="005A078B"/>
    <w:rsid w:val="005A110D"/>
    <w:rsid w:val="005B1274"/>
    <w:rsid w:val="005B1694"/>
    <w:rsid w:val="005B2FED"/>
    <w:rsid w:val="005B32B4"/>
    <w:rsid w:val="005B331F"/>
    <w:rsid w:val="005C48B1"/>
    <w:rsid w:val="005C5937"/>
    <w:rsid w:val="005D0338"/>
    <w:rsid w:val="005D13EB"/>
    <w:rsid w:val="005D628E"/>
    <w:rsid w:val="005D6421"/>
    <w:rsid w:val="005D7EFB"/>
    <w:rsid w:val="005E0FFC"/>
    <w:rsid w:val="005E117D"/>
    <w:rsid w:val="005E1415"/>
    <w:rsid w:val="005E42C0"/>
    <w:rsid w:val="005F0098"/>
    <w:rsid w:val="005F0BE3"/>
    <w:rsid w:val="005F16C8"/>
    <w:rsid w:val="005F2936"/>
    <w:rsid w:val="005F2FD8"/>
    <w:rsid w:val="005F7788"/>
    <w:rsid w:val="00600452"/>
    <w:rsid w:val="00602636"/>
    <w:rsid w:val="006037C3"/>
    <w:rsid w:val="00604DCA"/>
    <w:rsid w:val="00613285"/>
    <w:rsid w:val="00620FA6"/>
    <w:rsid w:val="00622195"/>
    <w:rsid w:val="006249BD"/>
    <w:rsid w:val="00624E24"/>
    <w:rsid w:val="00625772"/>
    <w:rsid w:val="006317BF"/>
    <w:rsid w:val="00631816"/>
    <w:rsid w:val="0063266C"/>
    <w:rsid w:val="00634911"/>
    <w:rsid w:val="00634A03"/>
    <w:rsid w:val="00643958"/>
    <w:rsid w:val="00645346"/>
    <w:rsid w:val="006464A8"/>
    <w:rsid w:val="00651E6F"/>
    <w:rsid w:val="00653212"/>
    <w:rsid w:val="00654A50"/>
    <w:rsid w:val="00656AD1"/>
    <w:rsid w:val="006601A5"/>
    <w:rsid w:val="00660684"/>
    <w:rsid w:val="00661B81"/>
    <w:rsid w:val="00662161"/>
    <w:rsid w:val="0066267E"/>
    <w:rsid w:val="00663998"/>
    <w:rsid w:val="006645D8"/>
    <w:rsid w:val="00665626"/>
    <w:rsid w:val="00670F27"/>
    <w:rsid w:val="00671F04"/>
    <w:rsid w:val="0067238A"/>
    <w:rsid w:val="00674310"/>
    <w:rsid w:val="006746FF"/>
    <w:rsid w:val="006760E9"/>
    <w:rsid w:val="006762E7"/>
    <w:rsid w:val="006768F2"/>
    <w:rsid w:val="006769BE"/>
    <w:rsid w:val="00676B42"/>
    <w:rsid w:val="00681392"/>
    <w:rsid w:val="006826AF"/>
    <w:rsid w:val="00682846"/>
    <w:rsid w:val="00682AE5"/>
    <w:rsid w:val="00684DCB"/>
    <w:rsid w:val="006861C0"/>
    <w:rsid w:val="00687017"/>
    <w:rsid w:val="00687104"/>
    <w:rsid w:val="006877F1"/>
    <w:rsid w:val="00687DA1"/>
    <w:rsid w:val="0069177C"/>
    <w:rsid w:val="006933B5"/>
    <w:rsid w:val="006952F9"/>
    <w:rsid w:val="00697D31"/>
    <w:rsid w:val="006A0DE0"/>
    <w:rsid w:val="006A0F48"/>
    <w:rsid w:val="006A25FA"/>
    <w:rsid w:val="006A32CD"/>
    <w:rsid w:val="006B2C34"/>
    <w:rsid w:val="006B5AED"/>
    <w:rsid w:val="006B6658"/>
    <w:rsid w:val="006B6EDE"/>
    <w:rsid w:val="006C1C03"/>
    <w:rsid w:val="006C1C18"/>
    <w:rsid w:val="006C4161"/>
    <w:rsid w:val="006D35A1"/>
    <w:rsid w:val="006D5265"/>
    <w:rsid w:val="006D654B"/>
    <w:rsid w:val="006E0736"/>
    <w:rsid w:val="006E3C8B"/>
    <w:rsid w:val="006E43C7"/>
    <w:rsid w:val="006E58C0"/>
    <w:rsid w:val="006E6A8F"/>
    <w:rsid w:val="006E6F43"/>
    <w:rsid w:val="006F16ED"/>
    <w:rsid w:val="006F1A15"/>
    <w:rsid w:val="006F2CEE"/>
    <w:rsid w:val="00700D2E"/>
    <w:rsid w:val="00701B53"/>
    <w:rsid w:val="00702F9F"/>
    <w:rsid w:val="00712302"/>
    <w:rsid w:val="0071517C"/>
    <w:rsid w:val="00717D42"/>
    <w:rsid w:val="0072372D"/>
    <w:rsid w:val="007241FD"/>
    <w:rsid w:val="007266B0"/>
    <w:rsid w:val="00727BBA"/>
    <w:rsid w:val="00730548"/>
    <w:rsid w:val="0073448B"/>
    <w:rsid w:val="0073515C"/>
    <w:rsid w:val="007361CE"/>
    <w:rsid w:val="00741C87"/>
    <w:rsid w:val="00741CA1"/>
    <w:rsid w:val="007420F7"/>
    <w:rsid w:val="0074243C"/>
    <w:rsid w:val="00742CA3"/>
    <w:rsid w:val="00743CB3"/>
    <w:rsid w:val="00744BF9"/>
    <w:rsid w:val="007458AE"/>
    <w:rsid w:val="00747436"/>
    <w:rsid w:val="0074752B"/>
    <w:rsid w:val="00750422"/>
    <w:rsid w:val="00751716"/>
    <w:rsid w:val="00755598"/>
    <w:rsid w:val="00760A92"/>
    <w:rsid w:val="00760A9F"/>
    <w:rsid w:val="00760F89"/>
    <w:rsid w:val="007618BB"/>
    <w:rsid w:val="007643DF"/>
    <w:rsid w:val="00766075"/>
    <w:rsid w:val="0076657B"/>
    <w:rsid w:val="00766E7D"/>
    <w:rsid w:val="007707F1"/>
    <w:rsid w:val="00770980"/>
    <w:rsid w:val="00770B5E"/>
    <w:rsid w:val="00771393"/>
    <w:rsid w:val="0077404F"/>
    <w:rsid w:val="00776A44"/>
    <w:rsid w:val="00777ECE"/>
    <w:rsid w:val="00780C97"/>
    <w:rsid w:val="0078297A"/>
    <w:rsid w:val="00782C59"/>
    <w:rsid w:val="00785ED0"/>
    <w:rsid w:val="00786190"/>
    <w:rsid w:val="00786738"/>
    <w:rsid w:val="007874A2"/>
    <w:rsid w:val="007916EA"/>
    <w:rsid w:val="00791C34"/>
    <w:rsid w:val="007A1002"/>
    <w:rsid w:val="007A3B64"/>
    <w:rsid w:val="007A44F4"/>
    <w:rsid w:val="007A519C"/>
    <w:rsid w:val="007A60EA"/>
    <w:rsid w:val="007B1AC9"/>
    <w:rsid w:val="007B5691"/>
    <w:rsid w:val="007C2512"/>
    <w:rsid w:val="007C27C0"/>
    <w:rsid w:val="007C56FC"/>
    <w:rsid w:val="007C582C"/>
    <w:rsid w:val="007C61EC"/>
    <w:rsid w:val="007D0181"/>
    <w:rsid w:val="007D081F"/>
    <w:rsid w:val="007D12B4"/>
    <w:rsid w:val="007D2850"/>
    <w:rsid w:val="007D523F"/>
    <w:rsid w:val="007E432A"/>
    <w:rsid w:val="007F17D4"/>
    <w:rsid w:val="007F73EC"/>
    <w:rsid w:val="007F74DA"/>
    <w:rsid w:val="0080011A"/>
    <w:rsid w:val="0080043E"/>
    <w:rsid w:val="00801DA7"/>
    <w:rsid w:val="00805918"/>
    <w:rsid w:val="008148E0"/>
    <w:rsid w:val="00815F14"/>
    <w:rsid w:val="00823329"/>
    <w:rsid w:val="00824CFF"/>
    <w:rsid w:val="0082656B"/>
    <w:rsid w:val="008265CF"/>
    <w:rsid w:val="008350E4"/>
    <w:rsid w:val="00840C2F"/>
    <w:rsid w:val="008422AA"/>
    <w:rsid w:val="0084262E"/>
    <w:rsid w:val="00842C83"/>
    <w:rsid w:val="00854E93"/>
    <w:rsid w:val="00855B55"/>
    <w:rsid w:val="008563DF"/>
    <w:rsid w:val="0086249B"/>
    <w:rsid w:val="00865B7C"/>
    <w:rsid w:val="00870977"/>
    <w:rsid w:val="0087220F"/>
    <w:rsid w:val="008731BC"/>
    <w:rsid w:val="00874A3E"/>
    <w:rsid w:val="00875362"/>
    <w:rsid w:val="00875B6C"/>
    <w:rsid w:val="00876FD1"/>
    <w:rsid w:val="00882CDB"/>
    <w:rsid w:val="0088482E"/>
    <w:rsid w:val="0088536E"/>
    <w:rsid w:val="00887248"/>
    <w:rsid w:val="00890902"/>
    <w:rsid w:val="00890B20"/>
    <w:rsid w:val="00893285"/>
    <w:rsid w:val="00895CBA"/>
    <w:rsid w:val="00897B19"/>
    <w:rsid w:val="008A09A1"/>
    <w:rsid w:val="008A4B7F"/>
    <w:rsid w:val="008B16AB"/>
    <w:rsid w:val="008B369D"/>
    <w:rsid w:val="008B5444"/>
    <w:rsid w:val="008C2970"/>
    <w:rsid w:val="008C4B91"/>
    <w:rsid w:val="008D0FA1"/>
    <w:rsid w:val="008D1DB4"/>
    <w:rsid w:val="008D4729"/>
    <w:rsid w:val="008E0538"/>
    <w:rsid w:val="008E181D"/>
    <w:rsid w:val="008E2048"/>
    <w:rsid w:val="008E2339"/>
    <w:rsid w:val="008E4BD5"/>
    <w:rsid w:val="008F0837"/>
    <w:rsid w:val="008F184D"/>
    <w:rsid w:val="008F43FF"/>
    <w:rsid w:val="008F652A"/>
    <w:rsid w:val="008F7A3D"/>
    <w:rsid w:val="008F7F73"/>
    <w:rsid w:val="00906338"/>
    <w:rsid w:val="009067AA"/>
    <w:rsid w:val="00907F32"/>
    <w:rsid w:val="009118FD"/>
    <w:rsid w:val="00912060"/>
    <w:rsid w:val="00914539"/>
    <w:rsid w:val="00920094"/>
    <w:rsid w:val="009216D3"/>
    <w:rsid w:val="009227E4"/>
    <w:rsid w:val="00922903"/>
    <w:rsid w:val="00927C4D"/>
    <w:rsid w:val="009335AE"/>
    <w:rsid w:val="00933785"/>
    <w:rsid w:val="00934850"/>
    <w:rsid w:val="00935F0F"/>
    <w:rsid w:val="0094491A"/>
    <w:rsid w:val="009508B8"/>
    <w:rsid w:val="00955789"/>
    <w:rsid w:val="00957009"/>
    <w:rsid w:val="009618CD"/>
    <w:rsid w:val="0096225F"/>
    <w:rsid w:val="00965793"/>
    <w:rsid w:val="00965DA4"/>
    <w:rsid w:val="009675D6"/>
    <w:rsid w:val="00970497"/>
    <w:rsid w:val="009731CE"/>
    <w:rsid w:val="009756E1"/>
    <w:rsid w:val="00976EF1"/>
    <w:rsid w:val="00982FEC"/>
    <w:rsid w:val="00983DE2"/>
    <w:rsid w:val="009844A2"/>
    <w:rsid w:val="009846E7"/>
    <w:rsid w:val="00984958"/>
    <w:rsid w:val="0098768A"/>
    <w:rsid w:val="00987D4D"/>
    <w:rsid w:val="00990668"/>
    <w:rsid w:val="009909FE"/>
    <w:rsid w:val="00995ACA"/>
    <w:rsid w:val="00997756"/>
    <w:rsid w:val="009A0023"/>
    <w:rsid w:val="009A0D70"/>
    <w:rsid w:val="009A22CD"/>
    <w:rsid w:val="009A633B"/>
    <w:rsid w:val="009B0263"/>
    <w:rsid w:val="009B6341"/>
    <w:rsid w:val="009C0EC5"/>
    <w:rsid w:val="009C4A16"/>
    <w:rsid w:val="009C76C6"/>
    <w:rsid w:val="009D192D"/>
    <w:rsid w:val="009E2FE7"/>
    <w:rsid w:val="009E394F"/>
    <w:rsid w:val="009E76FB"/>
    <w:rsid w:val="009E7A63"/>
    <w:rsid w:val="009F1438"/>
    <w:rsid w:val="009F26D0"/>
    <w:rsid w:val="009F7EAD"/>
    <w:rsid w:val="00A041F4"/>
    <w:rsid w:val="00A07EB9"/>
    <w:rsid w:val="00A11276"/>
    <w:rsid w:val="00A11910"/>
    <w:rsid w:val="00A13006"/>
    <w:rsid w:val="00A153E5"/>
    <w:rsid w:val="00A162A2"/>
    <w:rsid w:val="00A16417"/>
    <w:rsid w:val="00A170DE"/>
    <w:rsid w:val="00A21A17"/>
    <w:rsid w:val="00A22586"/>
    <w:rsid w:val="00A225B4"/>
    <w:rsid w:val="00A251E6"/>
    <w:rsid w:val="00A267A9"/>
    <w:rsid w:val="00A27776"/>
    <w:rsid w:val="00A30D6A"/>
    <w:rsid w:val="00A32E15"/>
    <w:rsid w:val="00A4041B"/>
    <w:rsid w:val="00A415E2"/>
    <w:rsid w:val="00A4200E"/>
    <w:rsid w:val="00A42CA7"/>
    <w:rsid w:val="00A43A1F"/>
    <w:rsid w:val="00A45982"/>
    <w:rsid w:val="00A46330"/>
    <w:rsid w:val="00A47534"/>
    <w:rsid w:val="00A50C8D"/>
    <w:rsid w:val="00A56BFB"/>
    <w:rsid w:val="00A614CA"/>
    <w:rsid w:val="00A630B7"/>
    <w:rsid w:val="00A6503A"/>
    <w:rsid w:val="00A6520F"/>
    <w:rsid w:val="00A65A19"/>
    <w:rsid w:val="00A73DEC"/>
    <w:rsid w:val="00A7409E"/>
    <w:rsid w:val="00A7461A"/>
    <w:rsid w:val="00A74BE4"/>
    <w:rsid w:val="00A753E5"/>
    <w:rsid w:val="00A75432"/>
    <w:rsid w:val="00A77DFF"/>
    <w:rsid w:val="00A801B7"/>
    <w:rsid w:val="00A80527"/>
    <w:rsid w:val="00A81984"/>
    <w:rsid w:val="00A82961"/>
    <w:rsid w:val="00A85AC2"/>
    <w:rsid w:val="00A8634F"/>
    <w:rsid w:val="00A93CAD"/>
    <w:rsid w:val="00A964C7"/>
    <w:rsid w:val="00A964CA"/>
    <w:rsid w:val="00AA1A32"/>
    <w:rsid w:val="00AA3A63"/>
    <w:rsid w:val="00AA43C2"/>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06AC"/>
    <w:rsid w:val="00AE301B"/>
    <w:rsid w:val="00AE5847"/>
    <w:rsid w:val="00AF4DD3"/>
    <w:rsid w:val="00AF5B93"/>
    <w:rsid w:val="00AF6864"/>
    <w:rsid w:val="00B05A7D"/>
    <w:rsid w:val="00B11E19"/>
    <w:rsid w:val="00B20CFF"/>
    <w:rsid w:val="00B21A42"/>
    <w:rsid w:val="00B22D26"/>
    <w:rsid w:val="00B35295"/>
    <w:rsid w:val="00B40774"/>
    <w:rsid w:val="00B4475D"/>
    <w:rsid w:val="00B4619D"/>
    <w:rsid w:val="00B466FC"/>
    <w:rsid w:val="00B501CB"/>
    <w:rsid w:val="00B50C19"/>
    <w:rsid w:val="00B55B88"/>
    <w:rsid w:val="00B563C3"/>
    <w:rsid w:val="00B609FF"/>
    <w:rsid w:val="00B6142B"/>
    <w:rsid w:val="00B617B3"/>
    <w:rsid w:val="00B63F0E"/>
    <w:rsid w:val="00B669C9"/>
    <w:rsid w:val="00B72256"/>
    <w:rsid w:val="00B73564"/>
    <w:rsid w:val="00B75965"/>
    <w:rsid w:val="00B7600F"/>
    <w:rsid w:val="00B76821"/>
    <w:rsid w:val="00B77269"/>
    <w:rsid w:val="00B8061A"/>
    <w:rsid w:val="00B818DB"/>
    <w:rsid w:val="00B828AF"/>
    <w:rsid w:val="00B861EA"/>
    <w:rsid w:val="00B877B9"/>
    <w:rsid w:val="00B90CE9"/>
    <w:rsid w:val="00BA0BFE"/>
    <w:rsid w:val="00BA1228"/>
    <w:rsid w:val="00BA24F0"/>
    <w:rsid w:val="00BA4011"/>
    <w:rsid w:val="00BA4CAF"/>
    <w:rsid w:val="00BA589E"/>
    <w:rsid w:val="00BA7575"/>
    <w:rsid w:val="00BB0A2E"/>
    <w:rsid w:val="00BB0EE1"/>
    <w:rsid w:val="00BB0F8B"/>
    <w:rsid w:val="00BB2497"/>
    <w:rsid w:val="00BB49FA"/>
    <w:rsid w:val="00BB4BB8"/>
    <w:rsid w:val="00BB73B2"/>
    <w:rsid w:val="00BC0C61"/>
    <w:rsid w:val="00BC2EF0"/>
    <w:rsid w:val="00BC4480"/>
    <w:rsid w:val="00BD36C2"/>
    <w:rsid w:val="00BD491E"/>
    <w:rsid w:val="00BF07A2"/>
    <w:rsid w:val="00BF0857"/>
    <w:rsid w:val="00BF14CB"/>
    <w:rsid w:val="00BF305D"/>
    <w:rsid w:val="00BF3945"/>
    <w:rsid w:val="00BF7184"/>
    <w:rsid w:val="00BF7554"/>
    <w:rsid w:val="00C00CDA"/>
    <w:rsid w:val="00C02585"/>
    <w:rsid w:val="00C029BB"/>
    <w:rsid w:val="00C066AE"/>
    <w:rsid w:val="00C066C0"/>
    <w:rsid w:val="00C117E3"/>
    <w:rsid w:val="00C148F9"/>
    <w:rsid w:val="00C16C56"/>
    <w:rsid w:val="00C203EB"/>
    <w:rsid w:val="00C208E4"/>
    <w:rsid w:val="00C23BC0"/>
    <w:rsid w:val="00C23FA8"/>
    <w:rsid w:val="00C26FF7"/>
    <w:rsid w:val="00C319AC"/>
    <w:rsid w:val="00C319EF"/>
    <w:rsid w:val="00C34B19"/>
    <w:rsid w:val="00C35630"/>
    <w:rsid w:val="00C37C02"/>
    <w:rsid w:val="00C40886"/>
    <w:rsid w:val="00C4088E"/>
    <w:rsid w:val="00C41D3A"/>
    <w:rsid w:val="00C42B66"/>
    <w:rsid w:val="00C44C03"/>
    <w:rsid w:val="00C55AE2"/>
    <w:rsid w:val="00C572AE"/>
    <w:rsid w:val="00C61BFB"/>
    <w:rsid w:val="00C63262"/>
    <w:rsid w:val="00C715D5"/>
    <w:rsid w:val="00C71EAF"/>
    <w:rsid w:val="00C72650"/>
    <w:rsid w:val="00C72D81"/>
    <w:rsid w:val="00C76483"/>
    <w:rsid w:val="00C7654B"/>
    <w:rsid w:val="00C76A46"/>
    <w:rsid w:val="00C82375"/>
    <w:rsid w:val="00C82F50"/>
    <w:rsid w:val="00C83ABF"/>
    <w:rsid w:val="00C85246"/>
    <w:rsid w:val="00C855B1"/>
    <w:rsid w:val="00C90949"/>
    <w:rsid w:val="00C975E5"/>
    <w:rsid w:val="00CA002C"/>
    <w:rsid w:val="00CA5158"/>
    <w:rsid w:val="00CA6A84"/>
    <w:rsid w:val="00CB4AAB"/>
    <w:rsid w:val="00CB5F51"/>
    <w:rsid w:val="00CC0981"/>
    <w:rsid w:val="00CC3B6A"/>
    <w:rsid w:val="00CC4056"/>
    <w:rsid w:val="00CC51F3"/>
    <w:rsid w:val="00CC61AE"/>
    <w:rsid w:val="00CD1677"/>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07C24"/>
    <w:rsid w:val="00D127C1"/>
    <w:rsid w:val="00D138F8"/>
    <w:rsid w:val="00D142E6"/>
    <w:rsid w:val="00D15EC4"/>
    <w:rsid w:val="00D16DDD"/>
    <w:rsid w:val="00D20C83"/>
    <w:rsid w:val="00D216F7"/>
    <w:rsid w:val="00D22B05"/>
    <w:rsid w:val="00D243B6"/>
    <w:rsid w:val="00D24D7B"/>
    <w:rsid w:val="00D26E10"/>
    <w:rsid w:val="00D27DF2"/>
    <w:rsid w:val="00D318B7"/>
    <w:rsid w:val="00D33079"/>
    <w:rsid w:val="00D3416D"/>
    <w:rsid w:val="00D36CC5"/>
    <w:rsid w:val="00D36CD7"/>
    <w:rsid w:val="00D36FC9"/>
    <w:rsid w:val="00D4417D"/>
    <w:rsid w:val="00D4628F"/>
    <w:rsid w:val="00D5153C"/>
    <w:rsid w:val="00D53361"/>
    <w:rsid w:val="00D53B1A"/>
    <w:rsid w:val="00D55671"/>
    <w:rsid w:val="00D557B2"/>
    <w:rsid w:val="00D56C78"/>
    <w:rsid w:val="00D57C3B"/>
    <w:rsid w:val="00D60928"/>
    <w:rsid w:val="00D716DA"/>
    <w:rsid w:val="00D76CC5"/>
    <w:rsid w:val="00D82A2F"/>
    <w:rsid w:val="00D832EB"/>
    <w:rsid w:val="00D83518"/>
    <w:rsid w:val="00D85002"/>
    <w:rsid w:val="00D8537B"/>
    <w:rsid w:val="00D877F3"/>
    <w:rsid w:val="00D8791E"/>
    <w:rsid w:val="00D9122C"/>
    <w:rsid w:val="00D9400F"/>
    <w:rsid w:val="00D95668"/>
    <w:rsid w:val="00D957EE"/>
    <w:rsid w:val="00D96CAC"/>
    <w:rsid w:val="00D97EC9"/>
    <w:rsid w:val="00DA33FD"/>
    <w:rsid w:val="00DA5789"/>
    <w:rsid w:val="00DA6798"/>
    <w:rsid w:val="00DB029F"/>
    <w:rsid w:val="00DB0F41"/>
    <w:rsid w:val="00DB1104"/>
    <w:rsid w:val="00DB3189"/>
    <w:rsid w:val="00DB34CD"/>
    <w:rsid w:val="00DB3854"/>
    <w:rsid w:val="00DB5FF0"/>
    <w:rsid w:val="00DB64CD"/>
    <w:rsid w:val="00DB68EA"/>
    <w:rsid w:val="00DC0546"/>
    <w:rsid w:val="00DC1194"/>
    <w:rsid w:val="00DC25F0"/>
    <w:rsid w:val="00DC346E"/>
    <w:rsid w:val="00DC3DC9"/>
    <w:rsid w:val="00DC5242"/>
    <w:rsid w:val="00DC6D6D"/>
    <w:rsid w:val="00DD05D6"/>
    <w:rsid w:val="00DD12A3"/>
    <w:rsid w:val="00DE53F3"/>
    <w:rsid w:val="00DE680F"/>
    <w:rsid w:val="00DE799C"/>
    <w:rsid w:val="00DF1F7E"/>
    <w:rsid w:val="00DF1FA9"/>
    <w:rsid w:val="00DF2845"/>
    <w:rsid w:val="00DF5500"/>
    <w:rsid w:val="00DF5F32"/>
    <w:rsid w:val="00E0091A"/>
    <w:rsid w:val="00E01818"/>
    <w:rsid w:val="00E01F07"/>
    <w:rsid w:val="00E02D15"/>
    <w:rsid w:val="00E077A0"/>
    <w:rsid w:val="00E11204"/>
    <w:rsid w:val="00E15A83"/>
    <w:rsid w:val="00E166DF"/>
    <w:rsid w:val="00E247A5"/>
    <w:rsid w:val="00E30085"/>
    <w:rsid w:val="00E303E7"/>
    <w:rsid w:val="00E31185"/>
    <w:rsid w:val="00E31C26"/>
    <w:rsid w:val="00E33009"/>
    <w:rsid w:val="00E35628"/>
    <w:rsid w:val="00E36503"/>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1295"/>
    <w:rsid w:val="00E72719"/>
    <w:rsid w:val="00E76263"/>
    <w:rsid w:val="00E8263E"/>
    <w:rsid w:val="00E83003"/>
    <w:rsid w:val="00E8529B"/>
    <w:rsid w:val="00E94AE3"/>
    <w:rsid w:val="00E96051"/>
    <w:rsid w:val="00EA11DB"/>
    <w:rsid w:val="00EA17EB"/>
    <w:rsid w:val="00EA249F"/>
    <w:rsid w:val="00EA24DF"/>
    <w:rsid w:val="00EB43F1"/>
    <w:rsid w:val="00EC336E"/>
    <w:rsid w:val="00EC4A98"/>
    <w:rsid w:val="00EC60F1"/>
    <w:rsid w:val="00EC6B91"/>
    <w:rsid w:val="00ED4A2A"/>
    <w:rsid w:val="00EE1096"/>
    <w:rsid w:val="00EE2278"/>
    <w:rsid w:val="00EE407D"/>
    <w:rsid w:val="00EE7718"/>
    <w:rsid w:val="00EF23FC"/>
    <w:rsid w:val="00EF3A6C"/>
    <w:rsid w:val="00EF536D"/>
    <w:rsid w:val="00EF64BE"/>
    <w:rsid w:val="00EF6874"/>
    <w:rsid w:val="00F05E39"/>
    <w:rsid w:val="00F06140"/>
    <w:rsid w:val="00F07CD0"/>
    <w:rsid w:val="00F11582"/>
    <w:rsid w:val="00F122F9"/>
    <w:rsid w:val="00F1355F"/>
    <w:rsid w:val="00F1498A"/>
    <w:rsid w:val="00F21C93"/>
    <w:rsid w:val="00F236F4"/>
    <w:rsid w:val="00F2457F"/>
    <w:rsid w:val="00F25417"/>
    <w:rsid w:val="00F27137"/>
    <w:rsid w:val="00F315C4"/>
    <w:rsid w:val="00F329C3"/>
    <w:rsid w:val="00F34AF3"/>
    <w:rsid w:val="00F35B52"/>
    <w:rsid w:val="00F3654E"/>
    <w:rsid w:val="00F37BCF"/>
    <w:rsid w:val="00F412F2"/>
    <w:rsid w:val="00F424CC"/>
    <w:rsid w:val="00F464B8"/>
    <w:rsid w:val="00F5054D"/>
    <w:rsid w:val="00F506FE"/>
    <w:rsid w:val="00F5572C"/>
    <w:rsid w:val="00F55A53"/>
    <w:rsid w:val="00F62D9A"/>
    <w:rsid w:val="00F66214"/>
    <w:rsid w:val="00F6764A"/>
    <w:rsid w:val="00F67711"/>
    <w:rsid w:val="00F70677"/>
    <w:rsid w:val="00F73385"/>
    <w:rsid w:val="00F7362C"/>
    <w:rsid w:val="00F763D2"/>
    <w:rsid w:val="00F772BF"/>
    <w:rsid w:val="00F778C4"/>
    <w:rsid w:val="00F80A7A"/>
    <w:rsid w:val="00F8213A"/>
    <w:rsid w:val="00F8482A"/>
    <w:rsid w:val="00F90B84"/>
    <w:rsid w:val="00F93018"/>
    <w:rsid w:val="00F962C3"/>
    <w:rsid w:val="00FA0A11"/>
    <w:rsid w:val="00FA23D4"/>
    <w:rsid w:val="00FA27BC"/>
    <w:rsid w:val="00FA2BD1"/>
    <w:rsid w:val="00FA4857"/>
    <w:rsid w:val="00FB0DBE"/>
    <w:rsid w:val="00FB2B94"/>
    <w:rsid w:val="00FC63E0"/>
    <w:rsid w:val="00FD3ABC"/>
    <w:rsid w:val="00FD58D0"/>
    <w:rsid w:val="00FD5A20"/>
    <w:rsid w:val="00FD6516"/>
    <w:rsid w:val="00FD7489"/>
    <w:rsid w:val="00FE1F8C"/>
    <w:rsid w:val="00FE2FBE"/>
    <w:rsid w:val="00FE69FE"/>
    <w:rsid w:val="00FE7DE5"/>
    <w:rsid w:val="00FF098F"/>
    <w:rsid w:val="00FF4929"/>
    <w:rsid w:val="00FF5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2246D10C"/>
  <w15:docId w15:val="{0628D867-028A-420E-9426-EBB9190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49"/>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475049"/>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475049"/>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aliases w:val="2"/>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142A71"/>
    <w:pPr>
      <w:tabs>
        <w:tab w:val="left" w:pos="5954"/>
      </w:tabs>
      <w:spacing w:after="0"/>
      <w:jc w:val="left"/>
    </w:pPr>
    <w:rPr>
      <w:rFonts w:ascii="Arial" w:eastAsia="Times New Roman" w:hAnsi="Arial"/>
      <w:sz w:val="20"/>
      <w:szCs w:val="20"/>
      <w:lang w:eastAsia="lv-LV"/>
    </w:rPr>
  </w:style>
  <w:style w:type="character" w:customStyle="1" w:styleId="ListParagraphChar">
    <w:name w:val="List Paragraph Char"/>
    <w:aliases w:val="2 Char"/>
    <w:basedOn w:val="DefaultParagraphFont"/>
    <w:link w:val="ListParagraph"/>
    <w:uiPriority w:val="34"/>
    <w:locked/>
    <w:rsid w:val="00F464B8"/>
    <w:rPr>
      <w:rFonts w:ascii="Times New Roman" w:eastAsia="Times New Roman" w:hAnsi="Times New Roman"/>
      <w:sz w:val="28"/>
      <w:szCs w:val="20"/>
      <w:lang w:eastAsia="en-US"/>
    </w:rPr>
  </w:style>
  <w:style w:type="paragraph" w:customStyle="1" w:styleId="doc-ti">
    <w:name w:val="doc-ti"/>
    <w:basedOn w:val="Normal"/>
    <w:rsid w:val="00064636"/>
    <w:pPr>
      <w:spacing w:before="100" w:beforeAutospacing="1" w:after="100" w:afterAutospacing="1"/>
      <w:jc w:val="left"/>
    </w:pPr>
    <w:rPr>
      <w:rFonts w:ascii="Times New Roman" w:eastAsia="Times New Roman" w:hAnsi="Times New Roman"/>
      <w:sz w:val="24"/>
      <w:szCs w:val="24"/>
      <w:lang w:eastAsia="lv-LV"/>
    </w:rPr>
  </w:style>
  <w:style w:type="paragraph" w:customStyle="1" w:styleId="tv213">
    <w:name w:val="tv213"/>
    <w:basedOn w:val="Normal"/>
    <w:rsid w:val="00EF3A6C"/>
    <w:pPr>
      <w:spacing w:before="100" w:beforeAutospacing="1" w:after="100" w:afterAutospacing="1"/>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113">
      <w:bodyDiv w:val="1"/>
      <w:marLeft w:val="0"/>
      <w:marRight w:val="0"/>
      <w:marTop w:val="0"/>
      <w:marBottom w:val="0"/>
      <w:divBdr>
        <w:top w:val="none" w:sz="0" w:space="0" w:color="auto"/>
        <w:left w:val="none" w:sz="0" w:space="0" w:color="auto"/>
        <w:bottom w:val="none" w:sz="0" w:space="0" w:color="auto"/>
        <w:right w:val="none" w:sz="0" w:space="0" w:color="auto"/>
      </w:divBdr>
    </w:div>
    <w:div w:id="420109237">
      <w:bodyDiv w:val="1"/>
      <w:marLeft w:val="0"/>
      <w:marRight w:val="0"/>
      <w:marTop w:val="0"/>
      <w:marBottom w:val="0"/>
      <w:divBdr>
        <w:top w:val="none" w:sz="0" w:space="0" w:color="auto"/>
        <w:left w:val="none" w:sz="0" w:space="0" w:color="auto"/>
        <w:bottom w:val="none" w:sz="0" w:space="0" w:color="auto"/>
        <w:right w:val="none" w:sz="0" w:space="0" w:color="auto"/>
      </w:divBdr>
    </w:div>
    <w:div w:id="813060038">
      <w:bodyDiv w:val="1"/>
      <w:marLeft w:val="0"/>
      <w:marRight w:val="0"/>
      <w:marTop w:val="0"/>
      <w:marBottom w:val="0"/>
      <w:divBdr>
        <w:top w:val="none" w:sz="0" w:space="0" w:color="auto"/>
        <w:left w:val="none" w:sz="0" w:space="0" w:color="auto"/>
        <w:bottom w:val="none" w:sz="0" w:space="0" w:color="auto"/>
        <w:right w:val="none" w:sz="0" w:space="0" w:color="auto"/>
      </w:divBdr>
    </w:div>
    <w:div w:id="977341896">
      <w:bodyDiv w:val="1"/>
      <w:marLeft w:val="0"/>
      <w:marRight w:val="0"/>
      <w:marTop w:val="0"/>
      <w:marBottom w:val="0"/>
      <w:divBdr>
        <w:top w:val="none" w:sz="0" w:space="0" w:color="auto"/>
        <w:left w:val="none" w:sz="0" w:space="0" w:color="auto"/>
        <w:bottom w:val="none" w:sz="0" w:space="0" w:color="auto"/>
        <w:right w:val="none" w:sz="0" w:space="0" w:color="auto"/>
      </w:divBdr>
    </w:div>
    <w:div w:id="1220476976">
      <w:bodyDiv w:val="1"/>
      <w:marLeft w:val="0"/>
      <w:marRight w:val="0"/>
      <w:marTop w:val="0"/>
      <w:marBottom w:val="0"/>
      <w:divBdr>
        <w:top w:val="none" w:sz="0" w:space="0" w:color="auto"/>
        <w:left w:val="none" w:sz="0" w:space="0" w:color="auto"/>
        <w:bottom w:val="none" w:sz="0" w:space="0" w:color="auto"/>
        <w:right w:val="none" w:sz="0" w:space="0" w:color="auto"/>
      </w:divBdr>
    </w:div>
    <w:div w:id="1305698731">
      <w:bodyDiv w:val="1"/>
      <w:marLeft w:val="0"/>
      <w:marRight w:val="0"/>
      <w:marTop w:val="0"/>
      <w:marBottom w:val="0"/>
      <w:divBdr>
        <w:top w:val="none" w:sz="0" w:space="0" w:color="auto"/>
        <w:left w:val="none" w:sz="0" w:space="0" w:color="auto"/>
        <w:bottom w:val="none" w:sz="0" w:space="0" w:color="auto"/>
        <w:right w:val="none" w:sz="0" w:space="0" w:color="auto"/>
      </w:divBdr>
    </w:div>
    <w:div w:id="1511722048">
      <w:bodyDiv w:val="1"/>
      <w:marLeft w:val="0"/>
      <w:marRight w:val="0"/>
      <w:marTop w:val="0"/>
      <w:marBottom w:val="0"/>
      <w:divBdr>
        <w:top w:val="none" w:sz="0" w:space="0" w:color="auto"/>
        <w:left w:val="none" w:sz="0" w:space="0" w:color="auto"/>
        <w:bottom w:val="none" w:sz="0" w:space="0" w:color="auto"/>
        <w:right w:val="none" w:sz="0" w:space="0" w:color="auto"/>
      </w:divBdr>
    </w:div>
    <w:div w:id="1513186217">
      <w:bodyDiv w:val="1"/>
      <w:marLeft w:val="0"/>
      <w:marRight w:val="0"/>
      <w:marTop w:val="0"/>
      <w:marBottom w:val="0"/>
      <w:divBdr>
        <w:top w:val="none" w:sz="0" w:space="0" w:color="auto"/>
        <w:left w:val="none" w:sz="0" w:space="0" w:color="auto"/>
        <w:bottom w:val="none" w:sz="0" w:space="0" w:color="auto"/>
        <w:right w:val="none" w:sz="0" w:space="0" w:color="auto"/>
      </w:divBdr>
    </w:div>
    <w:div w:id="1725174727">
      <w:bodyDiv w:val="1"/>
      <w:marLeft w:val="0"/>
      <w:marRight w:val="0"/>
      <w:marTop w:val="0"/>
      <w:marBottom w:val="0"/>
      <w:divBdr>
        <w:top w:val="none" w:sz="0" w:space="0" w:color="auto"/>
        <w:left w:val="none" w:sz="0" w:space="0" w:color="auto"/>
        <w:bottom w:val="none" w:sz="0" w:space="0" w:color="auto"/>
        <w:right w:val="none" w:sz="0" w:space="0" w:color="auto"/>
      </w:divBdr>
    </w:div>
    <w:div w:id="1813670546">
      <w:bodyDiv w:val="1"/>
      <w:marLeft w:val="0"/>
      <w:marRight w:val="0"/>
      <w:marTop w:val="0"/>
      <w:marBottom w:val="0"/>
      <w:divBdr>
        <w:top w:val="none" w:sz="0" w:space="0" w:color="auto"/>
        <w:left w:val="none" w:sz="0" w:space="0" w:color="auto"/>
        <w:bottom w:val="none" w:sz="0" w:space="0" w:color="auto"/>
        <w:right w:val="none" w:sz="0" w:space="0" w:color="auto"/>
      </w:divBdr>
    </w:div>
    <w:div w:id="1885822089">
      <w:marLeft w:val="0"/>
      <w:marRight w:val="0"/>
      <w:marTop w:val="0"/>
      <w:marBottom w:val="0"/>
      <w:divBdr>
        <w:top w:val="none" w:sz="0" w:space="0" w:color="auto"/>
        <w:left w:val="none" w:sz="0" w:space="0" w:color="auto"/>
        <w:bottom w:val="none" w:sz="0" w:space="0" w:color="auto"/>
        <w:right w:val="none" w:sz="0" w:space="0" w:color="auto"/>
      </w:divBdr>
    </w:div>
    <w:div w:id="1885822091">
      <w:marLeft w:val="0"/>
      <w:marRight w:val="0"/>
      <w:marTop w:val="0"/>
      <w:marBottom w:val="0"/>
      <w:divBdr>
        <w:top w:val="none" w:sz="0" w:space="0" w:color="auto"/>
        <w:left w:val="none" w:sz="0" w:space="0" w:color="auto"/>
        <w:bottom w:val="none" w:sz="0" w:space="0" w:color="auto"/>
        <w:right w:val="none" w:sz="0" w:space="0" w:color="auto"/>
      </w:divBdr>
    </w:div>
    <w:div w:id="1885822093">
      <w:marLeft w:val="0"/>
      <w:marRight w:val="0"/>
      <w:marTop w:val="0"/>
      <w:marBottom w:val="0"/>
      <w:divBdr>
        <w:top w:val="none" w:sz="0" w:space="0" w:color="auto"/>
        <w:left w:val="none" w:sz="0" w:space="0" w:color="auto"/>
        <w:bottom w:val="none" w:sz="0" w:space="0" w:color="auto"/>
        <w:right w:val="none" w:sz="0" w:space="0" w:color="auto"/>
      </w:divBdr>
    </w:div>
    <w:div w:id="1885822094">
      <w:marLeft w:val="0"/>
      <w:marRight w:val="0"/>
      <w:marTop w:val="0"/>
      <w:marBottom w:val="0"/>
      <w:divBdr>
        <w:top w:val="none" w:sz="0" w:space="0" w:color="auto"/>
        <w:left w:val="none" w:sz="0" w:space="0" w:color="auto"/>
        <w:bottom w:val="none" w:sz="0" w:space="0" w:color="auto"/>
        <w:right w:val="none" w:sz="0" w:space="0" w:color="auto"/>
      </w:divBdr>
      <w:divsChild>
        <w:div w:id="1885822088">
          <w:marLeft w:val="0"/>
          <w:marRight w:val="0"/>
          <w:marTop w:val="0"/>
          <w:marBottom w:val="0"/>
          <w:divBdr>
            <w:top w:val="none" w:sz="0" w:space="0" w:color="auto"/>
            <w:left w:val="none" w:sz="0" w:space="0" w:color="auto"/>
            <w:bottom w:val="none" w:sz="0" w:space="0" w:color="auto"/>
            <w:right w:val="none" w:sz="0" w:space="0" w:color="auto"/>
          </w:divBdr>
          <w:divsChild>
            <w:div w:id="1885822099">
              <w:marLeft w:val="0"/>
              <w:marRight w:val="0"/>
              <w:marTop w:val="0"/>
              <w:marBottom w:val="0"/>
              <w:divBdr>
                <w:top w:val="none" w:sz="0" w:space="0" w:color="auto"/>
                <w:left w:val="none" w:sz="0" w:space="0" w:color="auto"/>
                <w:bottom w:val="none" w:sz="0" w:space="0" w:color="auto"/>
                <w:right w:val="none" w:sz="0" w:space="0" w:color="auto"/>
              </w:divBdr>
              <w:divsChild>
                <w:div w:id="1885822090">
                  <w:marLeft w:val="150"/>
                  <w:marRight w:val="150"/>
                  <w:marTop w:val="480"/>
                  <w:marBottom w:val="0"/>
                  <w:divBdr>
                    <w:top w:val="single" w:sz="6" w:space="28" w:color="D4D4D4"/>
                    <w:left w:val="none" w:sz="0" w:space="0" w:color="auto"/>
                    <w:bottom w:val="none" w:sz="0" w:space="0" w:color="auto"/>
                    <w:right w:val="none" w:sz="0" w:space="0" w:color="auto"/>
                  </w:divBdr>
                </w:div>
                <w:div w:id="1885822097">
                  <w:marLeft w:val="0"/>
                  <w:marRight w:val="0"/>
                  <w:marTop w:val="240"/>
                  <w:marBottom w:val="0"/>
                  <w:divBdr>
                    <w:top w:val="none" w:sz="0" w:space="0" w:color="auto"/>
                    <w:left w:val="none" w:sz="0" w:space="0" w:color="auto"/>
                    <w:bottom w:val="none" w:sz="0" w:space="0" w:color="auto"/>
                    <w:right w:val="none" w:sz="0" w:space="0" w:color="auto"/>
                  </w:divBdr>
                </w:div>
                <w:div w:id="18858221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85822101">
          <w:marLeft w:val="0"/>
          <w:marRight w:val="0"/>
          <w:marTop w:val="0"/>
          <w:marBottom w:val="0"/>
          <w:divBdr>
            <w:top w:val="none" w:sz="0" w:space="0" w:color="auto"/>
            <w:left w:val="none" w:sz="0" w:space="0" w:color="auto"/>
            <w:bottom w:val="none" w:sz="0" w:space="0" w:color="auto"/>
            <w:right w:val="none" w:sz="0" w:space="0" w:color="auto"/>
          </w:divBdr>
          <w:divsChild>
            <w:div w:id="1885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095">
      <w:marLeft w:val="0"/>
      <w:marRight w:val="0"/>
      <w:marTop w:val="0"/>
      <w:marBottom w:val="0"/>
      <w:divBdr>
        <w:top w:val="none" w:sz="0" w:space="0" w:color="auto"/>
        <w:left w:val="none" w:sz="0" w:space="0" w:color="auto"/>
        <w:bottom w:val="none" w:sz="0" w:space="0" w:color="auto"/>
        <w:right w:val="none" w:sz="0" w:space="0" w:color="auto"/>
      </w:divBdr>
    </w:div>
    <w:div w:id="1885822096">
      <w:marLeft w:val="0"/>
      <w:marRight w:val="0"/>
      <w:marTop w:val="0"/>
      <w:marBottom w:val="0"/>
      <w:divBdr>
        <w:top w:val="none" w:sz="0" w:space="0" w:color="auto"/>
        <w:left w:val="none" w:sz="0" w:space="0" w:color="auto"/>
        <w:bottom w:val="none" w:sz="0" w:space="0" w:color="auto"/>
        <w:right w:val="none" w:sz="0" w:space="0" w:color="auto"/>
      </w:divBdr>
    </w:div>
    <w:div w:id="1885822098">
      <w:marLeft w:val="0"/>
      <w:marRight w:val="0"/>
      <w:marTop w:val="0"/>
      <w:marBottom w:val="0"/>
      <w:divBdr>
        <w:top w:val="none" w:sz="0" w:space="0" w:color="auto"/>
        <w:left w:val="none" w:sz="0" w:space="0" w:color="auto"/>
        <w:bottom w:val="none" w:sz="0" w:space="0" w:color="auto"/>
        <w:right w:val="none" w:sz="0" w:space="0" w:color="auto"/>
      </w:divBdr>
    </w:div>
    <w:div w:id="1885822102">
      <w:marLeft w:val="0"/>
      <w:marRight w:val="0"/>
      <w:marTop w:val="0"/>
      <w:marBottom w:val="0"/>
      <w:divBdr>
        <w:top w:val="none" w:sz="0" w:space="0" w:color="auto"/>
        <w:left w:val="none" w:sz="0" w:space="0" w:color="auto"/>
        <w:bottom w:val="none" w:sz="0" w:space="0" w:color="auto"/>
        <w:right w:val="none" w:sz="0" w:space="0" w:color="auto"/>
      </w:divBdr>
    </w:div>
    <w:div w:id="21302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7091-par-latvijas-republikas-dalibu-kioto-protokola-elastigajos-mehanism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Zommere-Rotcenkova@varam.gov.lv" TargetMode="External"/><Relationship Id="rId4" Type="http://schemas.openxmlformats.org/officeDocument/2006/relationships/settings" Target="settings.xml"/><Relationship Id="rId9" Type="http://schemas.openxmlformats.org/officeDocument/2006/relationships/hyperlink" Target="mailto:Agita.Gancone@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C727-877E-4AFB-B50E-A98A4DBF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8461</Words>
  <Characters>4823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projektam „ Noteikumi par siltumnīcefekta gāzu inventarizācijas un prognožu sagatavošanas nacionālo sistēmu”</vt:lpstr>
      <vt:lpstr>Anotācija likumprojektam "Grozījumi likumā "Par piesārņojumu""</vt:lpstr>
    </vt:vector>
  </TitlesOfParts>
  <Manager>Agita.Gancone@varam.gov.lv</Manager>
  <Company>Vides aizsardzības un reģionālās attīstības ministrija</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“Noteikumi par siltumnīcefekta gāzu inventarizācijas un prognožu sagatavošanas nacionālo sistēmu” sākotnējās ietekmes novērtējuma ziņojumam</dc:title>
  <dc:subject>Anotācija Ministru kabineta noteikumu projektam “Noteikumi par siltumnīcefekta gāzu inventarizācijas un prognožu sagatavošanas nacionālo sistēmu” sākotnējās ietekmes novērtējuma ziņojumam</dc:subject>
  <dc:creator>Agita.Gancone@varam.gov.lv;Kristine.Zommere-Rotcenkova@varam.gov.lv</dc:creator>
  <cp:lastModifiedBy>Agita Gancone</cp:lastModifiedBy>
  <cp:revision>11</cp:revision>
  <cp:lastPrinted>2017-01-31T12:48:00Z</cp:lastPrinted>
  <dcterms:created xsi:type="dcterms:W3CDTF">2017-01-31T12:45:00Z</dcterms:created>
  <dcterms:modified xsi:type="dcterms:W3CDTF">2017-02-06T14:18:00Z</dcterms:modified>
  <cp:category>Vides politika</cp:category>
</cp:coreProperties>
</file>