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DA64" w14:textId="434683E4" w:rsidR="00C02EDD" w:rsidRPr="00563D3C" w:rsidRDefault="00C02EDD" w:rsidP="00C02EDD">
      <w:pPr>
        <w:jc w:val="center"/>
        <w:rPr>
          <w:b/>
        </w:rPr>
      </w:pPr>
      <w:r>
        <w:rPr>
          <w:b/>
        </w:rPr>
        <w:t>Ministru kabineta noteikumu projekta “</w:t>
      </w:r>
      <w:r w:rsidRPr="00C02EDD">
        <w:rPr>
          <w:b/>
          <w:bCs/>
        </w:rPr>
        <w:t>Grozījum</w:t>
      </w:r>
      <w:r w:rsidR="0007078D">
        <w:rPr>
          <w:b/>
          <w:bCs/>
        </w:rPr>
        <w:t>i</w:t>
      </w:r>
      <w:r w:rsidRPr="00C02EDD">
        <w:rPr>
          <w:b/>
          <w:bCs/>
        </w:rPr>
        <w:t xml:space="preserve"> Ministru kabineta </w:t>
      </w:r>
      <w:proofErr w:type="gramStart"/>
      <w:r w:rsidRPr="00C02EDD">
        <w:rPr>
          <w:b/>
          <w:bCs/>
        </w:rPr>
        <w:t>2011.gada</w:t>
      </w:r>
      <w:proofErr w:type="gramEnd"/>
      <w:r w:rsidRPr="00C02EDD">
        <w:rPr>
          <w:b/>
          <w:bCs/>
        </w:rPr>
        <w:t xml:space="preserve"> 21.jūnija noteikumos Nr.485</w:t>
      </w:r>
      <w:r w:rsidRPr="00C02EDD">
        <w:rPr>
          <w:b/>
        </w:rPr>
        <w:t xml:space="preserve"> “Atsevišķu veidu bīstamo atkritumu apsaimniekošanas kārtība</w:t>
      </w:r>
      <w:r w:rsidRPr="00C02EDD">
        <w:t>””</w:t>
      </w:r>
      <w:r>
        <w:rPr>
          <w:sz w:val="28"/>
        </w:rPr>
        <w:t xml:space="preserve"> </w:t>
      </w: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4078FE5A" w14:textId="77777777" w:rsidR="00C02EDD" w:rsidRPr="00FB41DC" w:rsidRDefault="00C02EDD" w:rsidP="00C02EDD">
      <w:pPr>
        <w:rPr>
          <w:b/>
        </w:rP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521"/>
      </w:tblGrid>
      <w:tr w:rsidR="00C02EDD" w:rsidRPr="00FB41DC" w14:paraId="50F085F5" w14:textId="77777777" w:rsidTr="008B2F2E">
        <w:tc>
          <w:tcPr>
            <w:tcW w:w="9498" w:type="dxa"/>
            <w:gridSpan w:val="3"/>
          </w:tcPr>
          <w:p w14:paraId="7CC29C3B" w14:textId="77777777" w:rsidR="00C02EDD" w:rsidRPr="00FB41DC" w:rsidRDefault="00C02EDD" w:rsidP="008B2F2E">
            <w:pPr>
              <w:jc w:val="center"/>
              <w:rPr>
                <w:b/>
              </w:rPr>
            </w:pPr>
            <w:r w:rsidRPr="00FB41DC">
              <w:rPr>
                <w:b/>
              </w:rPr>
              <w:t>I. Tiesību akta projekta izstrādes nepieciešamība</w:t>
            </w:r>
          </w:p>
        </w:tc>
      </w:tr>
      <w:tr w:rsidR="00C02EDD" w:rsidRPr="0062273E" w14:paraId="5B99109D" w14:textId="77777777" w:rsidTr="008B2F2E">
        <w:tc>
          <w:tcPr>
            <w:tcW w:w="567" w:type="dxa"/>
          </w:tcPr>
          <w:p w14:paraId="364FF207" w14:textId="77777777" w:rsidR="00C02EDD" w:rsidRPr="0062273E" w:rsidRDefault="00C02EDD" w:rsidP="008B2F2E">
            <w:pPr>
              <w:jc w:val="center"/>
            </w:pPr>
            <w:r w:rsidRPr="0062273E">
              <w:t>1.</w:t>
            </w:r>
          </w:p>
        </w:tc>
        <w:tc>
          <w:tcPr>
            <w:tcW w:w="2410" w:type="dxa"/>
          </w:tcPr>
          <w:p w14:paraId="3404D135" w14:textId="77777777" w:rsidR="00C02EDD" w:rsidRPr="0062273E" w:rsidRDefault="00C02EDD" w:rsidP="008B2F2E">
            <w:r w:rsidRPr="0062273E">
              <w:t>Pamatojums</w:t>
            </w:r>
          </w:p>
        </w:tc>
        <w:tc>
          <w:tcPr>
            <w:tcW w:w="6521" w:type="dxa"/>
          </w:tcPr>
          <w:p w14:paraId="37DAAFDA" w14:textId="51283E38" w:rsidR="00C02EDD" w:rsidRPr="00DD3CC2" w:rsidRDefault="00C02EDD" w:rsidP="008221E0">
            <w:pPr>
              <w:jc w:val="both"/>
            </w:pPr>
            <w:r w:rsidRPr="00C02EDD">
              <w:t>Atkritumu apsaimniekošanas likuma</w:t>
            </w:r>
            <w:r>
              <w:t xml:space="preserve"> </w:t>
            </w:r>
            <w:proofErr w:type="gramStart"/>
            <w:r w:rsidRPr="00C02EDD">
              <w:t>17.panta</w:t>
            </w:r>
            <w:proofErr w:type="gramEnd"/>
            <w:r>
              <w:t xml:space="preserve"> </w:t>
            </w:r>
            <w:r w:rsidR="008221E0">
              <w:t xml:space="preserve">astotā daļa </w:t>
            </w:r>
            <w:r>
              <w:t xml:space="preserve">un </w:t>
            </w:r>
            <w:r w:rsidRPr="00C02EDD">
              <w:t>36.</w:t>
            </w:r>
            <w:r w:rsidR="008221E0" w:rsidRPr="00C02EDD">
              <w:t>pant</w:t>
            </w:r>
            <w:r w:rsidR="008221E0">
              <w:t>s</w:t>
            </w:r>
            <w:r w:rsidR="00EC70E1">
              <w:t>.</w:t>
            </w:r>
          </w:p>
        </w:tc>
      </w:tr>
      <w:tr w:rsidR="00C02EDD" w:rsidRPr="00FB41DC" w14:paraId="374FF19A" w14:textId="77777777" w:rsidTr="008B2F2E">
        <w:tc>
          <w:tcPr>
            <w:tcW w:w="567" w:type="dxa"/>
          </w:tcPr>
          <w:p w14:paraId="1A1F4FBF" w14:textId="77777777" w:rsidR="00C02EDD" w:rsidRPr="00FB41DC" w:rsidRDefault="00C02EDD" w:rsidP="008B2F2E">
            <w:pPr>
              <w:jc w:val="center"/>
            </w:pPr>
            <w:r w:rsidRPr="00FB41DC">
              <w:t>2.</w:t>
            </w:r>
          </w:p>
        </w:tc>
        <w:tc>
          <w:tcPr>
            <w:tcW w:w="2410" w:type="dxa"/>
          </w:tcPr>
          <w:p w14:paraId="3E431DC4" w14:textId="77777777" w:rsidR="00C02EDD" w:rsidRPr="00FB41DC" w:rsidRDefault="00C02EDD" w:rsidP="008B2F2E">
            <w:r w:rsidRPr="00FB41DC">
              <w:t>Pašreizējā situācija un problēmas</w:t>
            </w:r>
            <w:r>
              <w:t>, kuru risināšanai tiesību aktu projekts izstrādāts, tiesiskā regulējuma mērķis un būtība</w:t>
            </w:r>
          </w:p>
        </w:tc>
        <w:tc>
          <w:tcPr>
            <w:tcW w:w="6521" w:type="dxa"/>
          </w:tcPr>
          <w:p w14:paraId="59F84E85" w14:textId="5978EC27" w:rsidR="00EE0AFB" w:rsidRDefault="00387ADF" w:rsidP="008B2F2E">
            <w:pPr>
              <w:pStyle w:val="naiskr"/>
              <w:spacing w:before="20" w:after="20"/>
              <w:jc w:val="both"/>
            </w:pPr>
            <w:r>
              <w:t xml:space="preserve">1) </w:t>
            </w:r>
            <w:r w:rsidR="00C02EDD">
              <w:t xml:space="preserve">Atbilstoši Ministru kabineta </w:t>
            </w:r>
            <w:proofErr w:type="gramStart"/>
            <w:r w:rsidR="00C02EDD">
              <w:t>2014.gada</w:t>
            </w:r>
            <w:proofErr w:type="gramEnd"/>
            <w:r w:rsidR="00C02EDD">
              <w:t xml:space="preserve"> 1.jūlija noteikum</w:t>
            </w:r>
            <w:r w:rsidR="0007078D">
              <w:t>u</w:t>
            </w:r>
            <w:r w:rsidR="00C02EDD">
              <w:t xml:space="preserve"> Nr.331 “Elektrisko un elektronisko iekārtu un bateriju vai akumulatoru ražotāju reģistrācijas kārtība un samaksas kārtība par datu uzturēšanu”</w:t>
            </w:r>
            <w:r w:rsidR="00FE7D6B">
              <w:t xml:space="preserve"> 2.</w:t>
            </w:r>
            <w:r w:rsidR="002A0AD1">
              <w:t xml:space="preserve"> </w:t>
            </w:r>
            <w:r w:rsidR="00FE7D6B">
              <w:t>un 3.punktam</w:t>
            </w:r>
            <w:r w:rsidR="00C02EDD">
              <w:t xml:space="preserve"> biedrība “Latvijas Elektrotehniskas un  elektronikas rūpniecības asociācija” (turpmāk </w:t>
            </w:r>
            <w:r w:rsidR="00F321A0">
              <w:t>–</w:t>
            </w:r>
            <w:r w:rsidR="00C02EDD">
              <w:t xml:space="preserve"> LETERA) ir </w:t>
            </w:r>
            <w:r w:rsidR="005643BA">
              <w:t xml:space="preserve">bateriju un akumulatoru </w:t>
            </w:r>
            <w:r w:rsidR="00C02EDD">
              <w:t xml:space="preserve"> ražotāju reģistra turētājs. </w:t>
            </w:r>
            <w:r w:rsidR="005643BA">
              <w:t>Šobrīd Ministru kabineta 2011.gada 21.jūnija noteikumu Nr.485 “Atsevišķu veidu bīstamo atkritumu apsaimniekošanas kārtība” (turpmāk –</w:t>
            </w:r>
            <w:r w:rsidR="002A0AD1">
              <w:t xml:space="preserve"> </w:t>
            </w:r>
            <w:r w:rsidR="005643BA">
              <w:t xml:space="preserve">noteikumi Nr.485) 31.punktā nav noteikts, kādā veidā bateriju un akumulatoru ražotāju reģistrā tiek iesniegti </w:t>
            </w:r>
            <w:r w:rsidR="00390E23">
              <w:t xml:space="preserve">minētajā </w:t>
            </w:r>
            <w:r w:rsidR="005643BA">
              <w:t xml:space="preserve">punktā </w:t>
            </w:r>
            <w:r w:rsidR="00390E23">
              <w:t>norādī</w:t>
            </w:r>
            <w:r w:rsidR="005643BA">
              <w:t>tie ziņojumi</w:t>
            </w:r>
            <w:r w:rsidR="00033D55">
              <w:t>, tāpēc reizēm bateriju un akumulatoru ražotāju reģistrā tiek saņemti ziņojumi, kuri bateriju un akumulatoru ražotāju reģistra datu bāzē ir jāievada manuāli, lai gan bateriju un akumulatoru reģistrā ir izveidota datu bāze, kurā bateriju un akumulatoru ražotāji vai bateriju un akumulatoru atkritumu apsaimniekotāji (ja ražotājs ar tiem ir noslēdzis attiecīgu līgumu) var tiešsaistē ievadīt attiecīgos ziņojumus</w:t>
            </w:r>
            <w:r w:rsidR="005643BA">
              <w:t xml:space="preserve">. </w:t>
            </w:r>
            <w:r w:rsidR="002F36E5">
              <w:t>Līdz ar to i</w:t>
            </w:r>
            <w:r w:rsidR="005643BA">
              <w:t xml:space="preserve">r nepieciešams </w:t>
            </w:r>
            <w:r w:rsidR="00C02EDD">
              <w:t xml:space="preserve"> noteikt vienveidīgas prasības</w:t>
            </w:r>
            <w:r w:rsidR="00B97C23">
              <w:t xml:space="preserve"> noteikumu Nr.485</w:t>
            </w:r>
            <w:r w:rsidR="00C02EDD">
              <w:t xml:space="preserve"> </w:t>
            </w:r>
            <w:r w:rsidR="00FE7D6B">
              <w:t xml:space="preserve">31.punktā </w:t>
            </w:r>
            <w:r w:rsidR="00C02EDD">
              <w:t>minēto ziņojumu iesniegšanai</w:t>
            </w:r>
            <w:r w:rsidR="005643BA">
              <w:t>, paredzot, ka</w:t>
            </w:r>
            <w:r w:rsidR="00C02EDD">
              <w:t xml:space="preserve"> iekārtu ražotājs, tā pilnvarots pārstāvis vai iekārtu atkritumu apsaimniekotājs minētos ziņojumus ievada elektrisko un elektronisko iekārtu ražotāju reģistra turētājā izveidotajā elektrisko un elektronisko iekārtu ražotāju reģistra datu bāzē.</w:t>
            </w:r>
          </w:p>
          <w:p w14:paraId="52A7E978" w14:textId="6F5D3D4E" w:rsidR="00C02EDD" w:rsidRDefault="00387ADF" w:rsidP="00261E06">
            <w:pPr>
              <w:pStyle w:val="naiskr"/>
              <w:spacing w:before="20" w:after="20"/>
              <w:jc w:val="both"/>
            </w:pPr>
            <w:r>
              <w:t>2</w:t>
            </w:r>
            <w:r w:rsidR="00C02EDD">
              <w:t xml:space="preserve">) </w:t>
            </w:r>
            <w:r w:rsidR="00A4683D">
              <w:t xml:space="preserve">Lai </w:t>
            </w:r>
            <w:r w:rsidR="00C02EDD">
              <w:t>mazinātu administratīvo slogu un nodrošinātu Ministru kabineta 2009.gada 3.novembra noteikumu Nr.1294 “Kārtība, kādā atbrīvo no dabas resursu nodokļa samaksas par videi kaitīgām precēm” un noteikumu Nr.485 prasību vienveidīgu piemērošanu, ir jāprecizē un jāsamazina ziņojumu iesniegšanas biežums</w:t>
            </w:r>
            <w:r w:rsidR="00033D55">
              <w:t xml:space="preserve"> no četriem ziņojumiem kalendārā gada laikā uz diviem ziņojumiem kalendārā gada laikā</w:t>
            </w:r>
            <w:r w:rsidR="00C02EDD">
              <w:t xml:space="preserve"> attiecībā uz Latvijas valstu tirgū un citos ES dalībvalstu tirgos piedāvātajiem elektrisko un elektronisko iekārtu veidiem un daudzumiem.</w:t>
            </w:r>
          </w:p>
          <w:p w14:paraId="4E694384" w14:textId="26B980FF" w:rsidR="00987A7E" w:rsidRPr="0048728D" w:rsidRDefault="00987A7E" w:rsidP="00261E06">
            <w:pPr>
              <w:pStyle w:val="naiskr"/>
              <w:spacing w:before="20" w:after="20"/>
              <w:jc w:val="both"/>
            </w:pPr>
            <w:r>
              <w:t xml:space="preserve">3) Nepieciešams precizēt noteikumu Nr.485 2.pielikumu, svītrojot prasības attiecībā uz ziņojumu sniegšanu par bateriju un akumulatoru atkritumu pārstrādi, tā kā minētās informācijas sniegšanas kārtība ir ietverta noteikumu Nr.485 28.punktā. </w:t>
            </w:r>
          </w:p>
        </w:tc>
      </w:tr>
      <w:tr w:rsidR="00C02EDD" w:rsidRPr="00FB41DC" w14:paraId="00475602" w14:textId="77777777" w:rsidTr="008B2F2E">
        <w:tc>
          <w:tcPr>
            <w:tcW w:w="567" w:type="dxa"/>
          </w:tcPr>
          <w:p w14:paraId="10F461D6" w14:textId="77777777" w:rsidR="00C02EDD" w:rsidRPr="00FB41DC" w:rsidRDefault="00C02EDD" w:rsidP="008B2F2E">
            <w:pPr>
              <w:jc w:val="center"/>
            </w:pPr>
            <w:r>
              <w:t>3</w:t>
            </w:r>
            <w:r w:rsidRPr="00FB41DC">
              <w:t>.</w:t>
            </w:r>
          </w:p>
        </w:tc>
        <w:tc>
          <w:tcPr>
            <w:tcW w:w="2410" w:type="dxa"/>
          </w:tcPr>
          <w:p w14:paraId="0A5A0DC3" w14:textId="77777777" w:rsidR="00C02EDD" w:rsidRPr="00FB41DC" w:rsidRDefault="00C02EDD" w:rsidP="008B2F2E">
            <w:r w:rsidRPr="00FB41DC">
              <w:t>Projekta izstrādē iesaistītās institūcijas</w:t>
            </w:r>
          </w:p>
        </w:tc>
        <w:tc>
          <w:tcPr>
            <w:tcW w:w="6521" w:type="dxa"/>
          </w:tcPr>
          <w:p w14:paraId="3BCE9C1A" w14:textId="4DB36742" w:rsidR="00C02EDD" w:rsidRPr="00FB41DC" w:rsidRDefault="00C02EDD" w:rsidP="00A4683D">
            <w:pPr>
              <w:pStyle w:val="naiskr"/>
              <w:jc w:val="both"/>
            </w:pPr>
            <w:r>
              <w:t>V</w:t>
            </w:r>
            <w:r w:rsidR="00A4683D">
              <w:t>ides aizsardzības un reģionālās attīstības ministrija</w:t>
            </w:r>
            <w:r w:rsidR="00261E06">
              <w:t xml:space="preserve"> (turpmāk – VARAM)</w:t>
            </w:r>
            <w:r>
              <w:t>, LETERA, Valsts vides dienests</w:t>
            </w:r>
          </w:p>
        </w:tc>
      </w:tr>
      <w:tr w:rsidR="00C02EDD" w:rsidRPr="00FB41DC" w14:paraId="24263EAC" w14:textId="77777777" w:rsidTr="008B2F2E">
        <w:trPr>
          <w:trHeight w:val="571"/>
        </w:trPr>
        <w:tc>
          <w:tcPr>
            <w:tcW w:w="567" w:type="dxa"/>
          </w:tcPr>
          <w:p w14:paraId="4BBB45EB" w14:textId="77777777" w:rsidR="00C02EDD" w:rsidRPr="00FB41DC" w:rsidRDefault="00C02EDD" w:rsidP="008B2F2E">
            <w:pPr>
              <w:jc w:val="center"/>
            </w:pPr>
            <w:r>
              <w:lastRenderedPageBreak/>
              <w:t>4</w:t>
            </w:r>
            <w:r w:rsidRPr="00FB41DC">
              <w:t>.</w:t>
            </w:r>
          </w:p>
        </w:tc>
        <w:tc>
          <w:tcPr>
            <w:tcW w:w="2410" w:type="dxa"/>
          </w:tcPr>
          <w:p w14:paraId="6A76353E" w14:textId="77777777" w:rsidR="00C02EDD" w:rsidRPr="00FB41DC" w:rsidRDefault="00C02EDD" w:rsidP="008B2F2E">
            <w:r w:rsidRPr="00FB41DC">
              <w:t>Cita informācija</w:t>
            </w:r>
          </w:p>
        </w:tc>
        <w:tc>
          <w:tcPr>
            <w:tcW w:w="6521" w:type="dxa"/>
          </w:tcPr>
          <w:p w14:paraId="53E570D3" w14:textId="77777777" w:rsidR="00C02EDD" w:rsidRPr="00DE2C9F" w:rsidRDefault="00C02EDD" w:rsidP="008B2F2E">
            <w:pPr>
              <w:jc w:val="both"/>
              <w:rPr>
                <w:b/>
              </w:rPr>
            </w:pPr>
            <w:r w:rsidRPr="00DE2C9F">
              <w:rPr>
                <w:rStyle w:val="Strong"/>
                <w:b w:val="0"/>
              </w:rPr>
              <w:t>Nav</w:t>
            </w:r>
            <w:r>
              <w:rPr>
                <w:rStyle w:val="Strong"/>
                <w:b w:val="0"/>
              </w:rPr>
              <w:t>.</w:t>
            </w:r>
          </w:p>
        </w:tc>
      </w:tr>
    </w:tbl>
    <w:p w14:paraId="6A3F152A" w14:textId="77777777" w:rsidR="00C02EDD" w:rsidRPr="00FB41DC" w:rsidRDefault="00C02EDD" w:rsidP="00C02EDD">
      <w:pPr>
        <w:jc w:val="center"/>
      </w:pP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351"/>
        <w:gridCol w:w="6580"/>
      </w:tblGrid>
      <w:tr w:rsidR="00C02EDD" w:rsidRPr="006C4798" w14:paraId="72A53214" w14:textId="77777777" w:rsidTr="008B2F2E">
        <w:tc>
          <w:tcPr>
            <w:tcW w:w="9498" w:type="dxa"/>
            <w:gridSpan w:val="3"/>
          </w:tcPr>
          <w:p w14:paraId="111BCD71" w14:textId="77777777" w:rsidR="00C02EDD" w:rsidRPr="002C08C1" w:rsidRDefault="00C02EDD" w:rsidP="008B2F2E">
            <w:pPr>
              <w:jc w:val="center"/>
              <w:rPr>
                <w:b/>
              </w:rPr>
            </w:pPr>
            <w:r w:rsidRPr="002C08C1">
              <w:rPr>
                <w:b/>
                <w:bCs/>
                <w:shd w:val="clear" w:color="auto" w:fill="FFFFFF"/>
              </w:rPr>
              <w:t>II. Tiesību akta projekta ietekme uz sabiedrību, tautsaimniecības attīstību un administratīvo slogu</w:t>
            </w:r>
          </w:p>
        </w:tc>
      </w:tr>
      <w:tr w:rsidR="00C02EDD" w:rsidRPr="00FB41DC" w14:paraId="237D0E2A" w14:textId="77777777" w:rsidTr="008B2F2E">
        <w:tc>
          <w:tcPr>
            <w:tcW w:w="567" w:type="dxa"/>
          </w:tcPr>
          <w:p w14:paraId="467F14CA" w14:textId="77777777" w:rsidR="00C02EDD" w:rsidRPr="00FB41DC" w:rsidRDefault="00C02EDD" w:rsidP="008B2F2E">
            <w:pPr>
              <w:jc w:val="center"/>
            </w:pPr>
            <w:r w:rsidRPr="00FB41DC">
              <w:t>1.</w:t>
            </w:r>
          </w:p>
        </w:tc>
        <w:tc>
          <w:tcPr>
            <w:tcW w:w="2351" w:type="dxa"/>
          </w:tcPr>
          <w:p w14:paraId="144D560A" w14:textId="77777777" w:rsidR="00C02EDD" w:rsidRPr="00FB41DC" w:rsidRDefault="00C02EDD" w:rsidP="008B2F2E">
            <w:r w:rsidRPr="00FB41DC">
              <w:t>Sabiedrības mērķgrupa</w:t>
            </w:r>
            <w:r>
              <w:t>s, kuras tiesiskais regulējums ietekmē vai varētu ietekmēt</w:t>
            </w:r>
          </w:p>
        </w:tc>
        <w:tc>
          <w:tcPr>
            <w:tcW w:w="6580" w:type="dxa"/>
          </w:tcPr>
          <w:p w14:paraId="75EA6A23" w14:textId="71A17FE3" w:rsidR="00C02EDD" w:rsidRPr="00FE7D6B" w:rsidRDefault="00FE7D6B" w:rsidP="00033D55">
            <w:pPr>
              <w:suppressAutoHyphens/>
              <w:spacing w:line="100" w:lineRule="atLeast"/>
              <w:jc w:val="both"/>
              <w:rPr>
                <w:sz w:val="28"/>
              </w:rPr>
            </w:pPr>
            <w:r>
              <w:t xml:space="preserve">- </w:t>
            </w:r>
            <w:r w:rsidR="00C02EDD" w:rsidRPr="00FE7D6B">
              <w:t>5 videi kaitīgo preču atkritumu apsaimniekotāji, kam ir tiesības saviem līgumpartneriem piešķirt atbrīvojumu no dabas resursu nodokļa samaksas par videi kaitīgām precēm;</w:t>
            </w:r>
          </w:p>
          <w:p w14:paraId="3CF6BCDF" w14:textId="0C590221" w:rsidR="00C02EDD" w:rsidRPr="00C02EDD" w:rsidRDefault="00FE7D6B" w:rsidP="00FE7D6B">
            <w:pPr>
              <w:pStyle w:val="ListParagraph"/>
              <w:suppressAutoHyphens/>
              <w:spacing w:after="0" w:line="100" w:lineRule="atLeast"/>
              <w:ind w:left="93"/>
              <w:contextualSpacing w:val="0"/>
              <w:jc w:val="both"/>
              <w:rPr>
                <w:rFonts w:ascii="Times New Roman" w:hAnsi="Times New Roman"/>
                <w:sz w:val="24"/>
                <w:lang w:val="lv-LV"/>
              </w:rPr>
            </w:pPr>
            <w:r>
              <w:rPr>
                <w:rFonts w:ascii="Times New Roman" w:hAnsi="Times New Roman"/>
                <w:sz w:val="24"/>
                <w:lang w:val="lv-LV"/>
              </w:rPr>
              <w:t xml:space="preserve">- </w:t>
            </w:r>
            <w:r w:rsidR="00C02EDD" w:rsidRPr="00C02EDD">
              <w:rPr>
                <w:rFonts w:ascii="Times New Roman" w:hAnsi="Times New Roman"/>
                <w:sz w:val="24"/>
                <w:lang w:val="lv-LV"/>
              </w:rPr>
              <w:t xml:space="preserve">5 bīstamo atkritumu apsaimniekošanas komersanti, kuri veic bateriju un akumulatoru atkritumu pārvadājumus, lai minētos atkritumus nogādātu pārstrādei citās Eiropas Savienības valstīs, tā kā Latvijā nav pārstrādes iekārtu šādu atkritumu pārstrādei. </w:t>
            </w:r>
          </w:p>
          <w:p w14:paraId="60B8901A" w14:textId="77777777" w:rsidR="00C02EDD" w:rsidRPr="00FB41DC" w:rsidRDefault="00C02EDD" w:rsidP="008B2F2E">
            <w:pPr>
              <w:jc w:val="both"/>
            </w:pPr>
          </w:p>
        </w:tc>
      </w:tr>
      <w:tr w:rsidR="00C02EDD" w:rsidRPr="00CC4F9A" w14:paraId="6CC789C2" w14:textId="77777777" w:rsidTr="008B2F2E">
        <w:tc>
          <w:tcPr>
            <w:tcW w:w="567" w:type="dxa"/>
            <w:shd w:val="clear" w:color="auto" w:fill="auto"/>
          </w:tcPr>
          <w:p w14:paraId="0F951722" w14:textId="77777777" w:rsidR="00C02EDD" w:rsidRPr="00CC4F9A" w:rsidRDefault="00C02EDD" w:rsidP="008B2F2E">
            <w:pPr>
              <w:jc w:val="center"/>
              <w:rPr>
                <w:highlight w:val="yellow"/>
              </w:rPr>
            </w:pPr>
            <w:r>
              <w:t>2</w:t>
            </w:r>
            <w:r w:rsidRPr="00331BA5">
              <w:t>.</w:t>
            </w:r>
          </w:p>
        </w:tc>
        <w:tc>
          <w:tcPr>
            <w:tcW w:w="2351" w:type="dxa"/>
            <w:shd w:val="clear" w:color="auto" w:fill="FFFFFF"/>
          </w:tcPr>
          <w:p w14:paraId="65A53DD4" w14:textId="77777777" w:rsidR="00C02EDD" w:rsidRPr="00CC4F9A" w:rsidRDefault="00C02EDD" w:rsidP="008B2F2E">
            <w:pPr>
              <w:rPr>
                <w:highlight w:val="yellow"/>
              </w:rPr>
            </w:pPr>
            <w:r w:rsidRPr="00331BA5">
              <w:t xml:space="preserve">Tiesiskā regulējuma </w:t>
            </w:r>
            <w:r>
              <w:t>ietekme uz tautsaimniecību un administratīvo slogu</w:t>
            </w:r>
          </w:p>
        </w:tc>
        <w:tc>
          <w:tcPr>
            <w:tcW w:w="6580" w:type="dxa"/>
            <w:shd w:val="clear" w:color="auto" w:fill="auto"/>
          </w:tcPr>
          <w:p w14:paraId="0F41DCFD" w14:textId="77777777" w:rsidR="00C02EDD" w:rsidRPr="00FC5424" w:rsidRDefault="00C02EDD" w:rsidP="008B2F2E">
            <w:pPr>
              <w:jc w:val="both"/>
              <w:rPr>
                <w:szCs w:val="28"/>
              </w:rPr>
            </w:pPr>
            <w:r>
              <w:rPr>
                <w:szCs w:val="28"/>
              </w:rPr>
              <w:t xml:space="preserve">Noteikumu projekts mazinās administratīvo slogu, tā kā tiks samazināts Elektrisko un elektronisko iekārtu ražotāju reģistrā iesniedzamo ziņojumu iesniegšanas biežums. </w:t>
            </w:r>
          </w:p>
        </w:tc>
      </w:tr>
      <w:tr w:rsidR="00C02EDD" w:rsidRPr="00FB41DC" w14:paraId="1D677B0F" w14:textId="77777777" w:rsidTr="00033D55">
        <w:trPr>
          <w:trHeight w:val="752"/>
        </w:trPr>
        <w:tc>
          <w:tcPr>
            <w:tcW w:w="567" w:type="dxa"/>
          </w:tcPr>
          <w:p w14:paraId="3DFCCBFE" w14:textId="77777777" w:rsidR="00C02EDD" w:rsidRPr="00FB41DC" w:rsidRDefault="00C02EDD" w:rsidP="008B2F2E">
            <w:pPr>
              <w:jc w:val="center"/>
            </w:pPr>
            <w:r>
              <w:t>3</w:t>
            </w:r>
            <w:r w:rsidRPr="00FB41DC">
              <w:t>.</w:t>
            </w:r>
          </w:p>
        </w:tc>
        <w:tc>
          <w:tcPr>
            <w:tcW w:w="2351" w:type="dxa"/>
          </w:tcPr>
          <w:p w14:paraId="262A9422" w14:textId="77777777" w:rsidR="00C02EDD" w:rsidRPr="00FB41DC" w:rsidRDefault="00C02EDD" w:rsidP="008B2F2E">
            <w:r w:rsidRPr="00FB41DC">
              <w:t>Administratīvo izmaksu monetārs novērtējums</w:t>
            </w:r>
          </w:p>
        </w:tc>
        <w:tc>
          <w:tcPr>
            <w:tcW w:w="6580" w:type="dxa"/>
          </w:tcPr>
          <w:p w14:paraId="0C907865" w14:textId="0F0870EF" w:rsidR="00C02EDD" w:rsidRPr="00FB41DC" w:rsidRDefault="00C02EDD" w:rsidP="008B2F2E">
            <w:r>
              <w:t>Noteikumu projekts šo jomu neskar, tā kā netiek ieviestas jaunas administratīvās procedūras.</w:t>
            </w:r>
          </w:p>
        </w:tc>
      </w:tr>
      <w:tr w:rsidR="00C02EDD" w:rsidRPr="00FB41DC" w14:paraId="16094046" w14:textId="77777777" w:rsidTr="008B2F2E">
        <w:tc>
          <w:tcPr>
            <w:tcW w:w="567" w:type="dxa"/>
          </w:tcPr>
          <w:p w14:paraId="25E8A30D" w14:textId="77777777" w:rsidR="00C02EDD" w:rsidRPr="00FB41DC" w:rsidRDefault="00C02EDD" w:rsidP="008B2F2E">
            <w:pPr>
              <w:jc w:val="center"/>
            </w:pPr>
            <w:r>
              <w:t>4</w:t>
            </w:r>
            <w:r w:rsidRPr="00FB41DC">
              <w:t>.</w:t>
            </w:r>
          </w:p>
        </w:tc>
        <w:tc>
          <w:tcPr>
            <w:tcW w:w="2351" w:type="dxa"/>
          </w:tcPr>
          <w:p w14:paraId="68C3F0D4" w14:textId="77777777" w:rsidR="00C02EDD" w:rsidRPr="00FB41DC" w:rsidRDefault="00C02EDD" w:rsidP="008B2F2E">
            <w:r w:rsidRPr="00FB41DC">
              <w:t>Cita informācija</w:t>
            </w:r>
          </w:p>
        </w:tc>
        <w:tc>
          <w:tcPr>
            <w:tcW w:w="6580" w:type="dxa"/>
          </w:tcPr>
          <w:p w14:paraId="3FFADD51" w14:textId="77777777" w:rsidR="00C02EDD" w:rsidRPr="00FB41DC" w:rsidRDefault="00C02EDD" w:rsidP="008B2F2E">
            <w:pPr>
              <w:jc w:val="both"/>
            </w:pPr>
            <w:r>
              <w:t>Nav.</w:t>
            </w:r>
          </w:p>
        </w:tc>
      </w:tr>
    </w:tbl>
    <w:p w14:paraId="7BF37AB8" w14:textId="77777777" w:rsidR="00C02EDD" w:rsidRPr="00FB41DC" w:rsidRDefault="00C02EDD" w:rsidP="00C02EDD"/>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118"/>
        <w:gridCol w:w="5869"/>
      </w:tblGrid>
      <w:tr w:rsidR="00C02EDD" w:rsidRPr="00FB41DC" w14:paraId="1573AAC9" w14:textId="77777777" w:rsidTr="008B2F2E">
        <w:trPr>
          <w:jc w:val="center"/>
        </w:trPr>
        <w:tc>
          <w:tcPr>
            <w:tcW w:w="9413" w:type="dxa"/>
            <w:gridSpan w:val="3"/>
            <w:tcMar>
              <w:top w:w="57" w:type="dxa"/>
              <w:left w:w="57" w:type="dxa"/>
              <w:bottom w:w="57" w:type="dxa"/>
              <w:right w:w="57" w:type="dxa"/>
            </w:tcMar>
          </w:tcPr>
          <w:p w14:paraId="46B7D503" w14:textId="77777777" w:rsidR="00C02EDD" w:rsidRPr="00FB41DC" w:rsidRDefault="00C02EDD" w:rsidP="008B2F2E">
            <w:pPr>
              <w:pStyle w:val="naisnod"/>
              <w:spacing w:before="0" w:after="0"/>
              <w:ind w:left="57" w:right="57"/>
            </w:pPr>
            <w:r w:rsidRPr="00FB41DC">
              <w:t xml:space="preserve">VI. Sabiedrības līdzdalība un </w:t>
            </w:r>
            <w:r>
              <w:t>komunikācijas aktivitātes</w:t>
            </w:r>
          </w:p>
        </w:tc>
      </w:tr>
      <w:tr w:rsidR="00C02EDD" w:rsidRPr="00FB41DC" w14:paraId="1D1CBA82" w14:textId="77777777" w:rsidTr="008B2F2E">
        <w:trPr>
          <w:trHeight w:val="553"/>
          <w:jc w:val="center"/>
        </w:trPr>
        <w:tc>
          <w:tcPr>
            <w:tcW w:w="426" w:type="dxa"/>
            <w:tcMar>
              <w:top w:w="57" w:type="dxa"/>
              <w:left w:w="57" w:type="dxa"/>
              <w:bottom w:w="57" w:type="dxa"/>
              <w:right w:w="57" w:type="dxa"/>
            </w:tcMar>
          </w:tcPr>
          <w:p w14:paraId="116B9A91" w14:textId="77777777" w:rsidR="00C02EDD" w:rsidRPr="00FB41DC" w:rsidRDefault="00C02EDD" w:rsidP="008B2F2E">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68157355" w14:textId="77777777" w:rsidR="00C02EDD" w:rsidRPr="00FB41DC" w:rsidRDefault="00C02EDD" w:rsidP="008B2F2E">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19F668BC" w14:textId="49D21056" w:rsidR="00C02EDD" w:rsidRPr="00FB41DC" w:rsidRDefault="00C02EDD" w:rsidP="00FE7D6B">
            <w:pPr>
              <w:pStyle w:val="naiskr"/>
              <w:spacing w:before="0" w:after="0"/>
              <w:ind w:left="57" w:right="57"/>
              <w:jc w:val="both"/>
            </w:pPr>
            <w:r>
              <w:t xml:space="preserve">Noteikumu projekts no </w:t>
            </w:r>
            <w:proofErr w:type="gramStart"/>
            <w:r>
              <w:t>2016.gada</w:t>
            </w:r>
            <w:proofErr w:type="gramEnd"/>
            <w:r w:rsidR="00FE7D6B">
              <w:t xml:space="preserve"> 1.decembra</w:t>
            </w:r>
            <w:r w:rsidRPr="009B45E5">
              <w:t xml:space="preserve"> </w:t>
            </w:r>
            <w:r>
              <w:t xml:space="preserve">ir pieejams VARAM </w:t>
            </w:r>
            <w:r w:rsidR="00D844C1">
              <w:t xml:space="preserve">tīmekļa vietnē </w:t>
            </w:r>
            <w:r>
              <w:t xml:space="preserve"> </w:t>
            </w:r>
            <w:hyperlink r:id="rId7" w:history="1">
              <w:r w:rsidRPr="00EB4802">
                <w:rPr>
                  <w:rStyle w:val="Hyperlink"/>
                </w:rPr>
                <w:t>www.varam.gov.lv</w:t>
              </w:r>
            </w:hyperlink>
            <w:r>
              <w:t>, līdz ar to ieinteresētajām personām ir iespēja izteikt viedokli un sniegt priekšlikumus.</w:t>
            </w:r>
          </w:p>
        </w:tc>
      </w:tr>
      <w:tr w:rsidR="00C02EDD" w:rsidRPr="00FB41DC" w14:paraId="510F2377" w14:textId="77777777" w:rsidTr="008B2F2E">
        <w:trPr>
          <w:trHeight w:val="339"/>
          <w:jc w:val="center"/>
        </w:trPr>
        <w:tc>
          <w:tcPr>
            <w:tcW w:w="426" w:type="dxa"/>
            <w:tcMar>
              <w:top w:w="57" w:type="dxa"/>
              <w:left w:w="57" w:type="dxa"/>
              <w:bottom w:w="57" w:type="dxa"/>
              <w:right w:w="57" w:type="dxa"/>
            </w:tcMar>
          </w:tcPr>
          <w:p w14:paraId="722BC844" w14:textId="77777777" w:rsidR="00C02EDD" w:rsidRPr="00FB41DC" w:rsidRDefault="00C02EDD" w:rsidP="008B2F2E">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14AEDE01" w14:textId="77777777" w:rsidR="00C02EDD" w:rsidRPr="00FB41DC" w:rsidRDefault="00C02EDD" w:rsidP="008B2F2E">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1387853D" w14:textId="77777777" w:rsidR="00C02EDD" w:rsidRPr="00FB41DC" w:rsidRDefault="00C02EDD" w:rsidP="008B2F2E">
            <w:pPr>
              <w:pStyle w:val="naiskr"/>
              <w:spacing w:before="0" w:after="0"/>
              <w:ind w:right="57"/>
              <w:jc w:val="both"/>
            </w:pPr>
            <w:r>
              <w:t>Sadaļa tiks aizpildīta pēc sabiedrības līdzdalības rezultātu saņemšanas.</w:t>
            </w:r>
          </w:p>
        </w:tc>
      </w:tr>
      <w:tr w:rsidR="00C02EDD" w:rsidRPr="00FB41DC" w14:paraId="4B940463" w14:textId="77777777" w:rsidTr="008B2F2E">
        <w:trPr>
          <w:trHeight w:val="375"/>
          <w:jc w:val="center"/>
        </w:trPr>
        <w:tc>
          <w:tcPr>
            <w:tcW w:w="426" w:type="dxa"/>
            <w:tcMar>
              <w:top w:w="57" w:type="dxa"/>
              <w:left w:w="57" w:type="dxa"/>
              <w:bottom w:w="57" w:type="dxa"/>
              <w:right w:w="57" w:type="dxa"/>
            </w:tcMar>
          </w:tcPr>
          <w:p w14:paraId="4CD06FCF" w14:textId="77777777" w:rsidR="00C02EDD" w:rsidRPr="00FB41DC" w:rsidRDefault="00C02EDD" w:rsidP="008B2F2E">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735E4165" w14:textId="77777777" w:rsidR="00C02EDD" w:rsidRPr="00FB41DC" w:rsidRDefault="00C02EDD" w:rsidP="008B2F2E">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01FFC0CC" w14:textId="77777777" w:rsidR="00C02EDD" w:rsidRPr="00FB41DC" w:rsidRDefault="00C02EDD" w:rsidP="008B2F2E">
            <w:pPr>
              <w:pStyle w:val="naiskr"/>
              <w:spacing w:before="0" w:after="0"/>
              <w:ind w:right="57"/>
              <w:jc w:val="both"/>
            </w:pPr>
            <w:r>
              <w:t>Sadaļa tiks aizpildīta pēc sabiedrības līdzdalības rezultātu saņemšanas.</w:t>
            </w:r>
          </w:p>
        </w:tc>
      </w:tr>
      <w:tr w:rsidR="00C02EDD" w:rsidRPr="00FB41DC" w14:paraId="448FBEB0" w14:textId="77777777" w:rsidTr="008B2F2E">
        <w:trPr>
          <w:trHeight w:val="375"/>
          <w:jc w:val="center"/>
        </w:trPr>
        <w:tc>
          <w:tcPr>
            <w:tcW w:w="426" w:type="dxa"/>
            <w:tcMar>
              <w:top w:w="57" w:type="dxa"/>
              <w:left w:w="57" w:type="dxa"/>
              <w:bottom w:w="57" w:type="dxa"/>
              <w:right w:w="57" w:type="dxa"/>
            </w:tcMar>
          </w:tcPr>
          <w:p w14:paraId="08791F3D" w14:textId="77777777" w:rsidR="00C02EDD" w:rsidRPr="00FB41DC" w:rsidRDefault="00C02EDD" w:rsidP="008B2F2E">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29B02667" w14:textId="77777777" w:rsidR="00C02EDD" w:rsidRPr="00FB41DC" w:rsidRDefault="00C02EDD" w:rsidP="008B2F2E">
            <w:pPr>
              <w:pStyle w:val="naiskr"/>
              <w:spacing w:before="0" w:after="0"/>
              <w:ind w:left="57" w:right="57"/>
            </w:pPr>
            <w:r w:rsidRPr="00FB41DC">
              <w:t>Cita informācija</w:t>
            </w:r>
          </w:p>
        </w:tc>
        <w:tc>
          <w:tcPr>
            <w:tcW w:w="5869" w:type="dxa"/>
            <w:tcMar>
              <w:top w:w="57" w:type="dxa"/>
              <w:left w:w="57" w:type="dxa"/>
              <w:bottom w:w="57" w:type="dxa"/>
              <w:right w:w="57" w:type="dxa"/>
            </w:tcMar>
          </w:tcPr>
          <w:p w14:paraId="65BDFC95" w14:textId="77777777" w:rsidR="00C02EDD" w:rsidRPr="00FB41DC" w:rsidRDefault="00C02EDD" w:rsidP="008B2F2E">
            <w:pPr>
              <w:pStyle w:val="naiskr"/>
              <w:spacing w:before="0" w:after="0"/>
              <w:ind w:right="57"/>
              <w:jc w:val="both"/>
            </w:pPr>
            <w:r>
              <w:t>Nav.</w:t>
            </w:r>
          </w:p>
        </w:tc>
      </w:tr>
    </w:tbl>
    <w:p w14:paraId="5993489E" w14:textId="77777777" w:rsidR="00C02EDD" w:rsidRDefault="00C02EDD" w:rsidP="00C02EDD"/>
    <w:p w14:paraId="0255B7B5" w14:textId="77777777" w:rsidR="00C02EDD" w:rsidRPr="00FB41DC" w:rsidRDefault="00C02EDD" w:rsidP="00C02EDD"/>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02EDD" w:rsidRPr="00FB41DC" w14:paraId="0A12EA6B" w14:textId="77777777" w:rsidTr="008B2F2E">
        <w:trPr>
          <w:jc w:val="center"/>
        </w:trPr>
        <w:tc>
          <w:tcPr>
            <w:tcW w:w="9474" w:type="dxa"/>
            <w:gridSpan w:val="3"/>
            <w:tcBorders>
              <w:top w:val="single" w:sz="4" w:space="0" w:color="auto"/>
            </w:tcBorders>
            <w:tcMar>
              <w:top w:w="57" w:type="dxa"/>
              <w:left w:w="57" w:type="dxa"/>
              <w:bottom w:w="57" w:type="dxa"/>
              <w:right w:w="57" w:type="dxa"/>
            </w:tcMar>
          </w:tcPr>
          <w:p w14:paraId="2D755A38" w14:textId="77777777" w:rsidR="00C02EDD" w:rsidRPr="00FB41DC" w:rsidRDefault="00C02EDD" w:rsidP="008B2F2E">
            <w:pPr>
              <w:pStyle w:val="naisnod"/>
              <w:spacing w:before="0" w:after="0"/>
              <w:ind w:left="57" w:right="57"/>
            </w:pPr>
            <w:r w:rsidRPr="00FB41DC">
              <w:t>VII. Tiesību akta projekta izpildes nodrošināšana un tās ietekme uz institūcijām</w:t>
            </w:r>
          </w:p>
        </w:tc>
      </w:tr>
      <w:tr w:rsidR="00C02EDD" w:rsidRPr="00FB41DC" w14:paraId="73F0B4E7" w14:textId="77777777" w:rsidTr="008B2F2E">
        <w:trPr>
          <w:trHeight w:val="427"/>
          <w:jc w:val="center"/>
        </w:trPr>
        <w:tc>
          <w:tcPr>
            <w:tcW w:w="486" w:type="dxa"/>
            <w:tcMar>
              <w:top w:w="57" w:type="dxa"/>
              <w:left w:w="57" w:type="dxa"/>
              <w:bottom w:w="57" w:type="dxa"/>
              <w:right w:w="57" w:type="dxa"/>
            </w:tcMar>
          </w:tcPr>
          <w:p w14:paraId="12B7CDB6" w14:textId="77777777" w:rsidR="00C02EDD" w:rsidRPr="00FB41DC" w:rsidRDefault="00C02EDD" w:rsidP="008B2F2E">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305B737E" w14:textId="77777777" w:rsidR="00C02EDD" w:rsidRPr="00FB41DC" w:rsidRDefault="00C02EDD" w:rsidP="008B2F2E">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3F6A8157" w14:textId="77777777" w:rsidR="00C02EDD" w:rsidRPr="00563D3C" w:rsidRDefault="00C02EDD" w:rsidP="008B2F2E">
            <w:pPr>
              <w:pStyle w:val="naisc"/>
              <w:spacing w:before="0" w:after="0"/>
              <w:jc w:val="both"/>
            </w:pPr>
            <w:r>
              <w:t>VARAM, LETERA</w:t>
            </w:r>
          </w:p>
        </w:tc>
      </w:tr>
      <w:tr w:rsidR="00C02EDD" w:rsidRPr="00FB41DC" w14:paraId="20D000D8" w14:textId="77777777" w:rsidTr="008B2F2E">
        <w:trPr>
          <w:trHeight w:val="463"/>
          <w:jc w:val="center"/>
        </w:trPr>
        <w:tc>
          <w:tcPr>
            <w:tcW w:w="486" w:type="dxa"/>
            <w:tcMar>
              <w:top w:w="57" w:type="dxa"/>
              <w:left w:w="57" w:type="dxa"/>
              <w:bottom w:w="57" w:type="dxa"/>
              <w:right w:w="57" w:type="dxa"/>
            </w:tcMar>
          </w:tcPr>
          <w:p w14:paraId="7458FB00" w14:textId="77777777" w:rsidR="00C02EDD" w:rsidRPr="00FB41DC" w:rsidRDefault="00C02EDD" w:rsidP="008B2F2E">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14A21D39" w14:textId="77777777" w:rsidR="00C02EDD" w:rsidRPr="00FB41DC" w:rsidRDefault="00C02EDD" w:rsidP="008B2F2E">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2A47CEAD" w14:textId="77777777" w:rsidR="00C02EDD" w:rsidRDefault="00C02EDD" w:rsidP="008B2F2E">
            <w:pPr>
              <w:pStyle w:val="naisnod"/>
              <w:spacing w:before="0" w:after="0"/>
              <w:ind w:right="57"/>
              <w:jc w:val="both"/>
              <w:rPr>
                <w:b w:val="0"/>
              </w:rPr>
            </w:pPr>
            <w:r>
              <w:rPr>
                <w:b w:val="0"/>
              </w:rPr>
              <w:t>Noteikumu projekts neietekmē iesaistīto institūciju funkcijas un uzdevumus.</w:t>
            </w:r>
          </w:p>
          <w:p w14:paraId="1FD09AD1" w14:textId="77777777" w:rsidR="00C02EDD" w:rsidRPr="00F862E3" w:rsidRDefault="00C02EDD" w:rsidP="008B2F2E">
            <w:pPr>
              <w:pStyle w:val="naisnod"/>
              <w:spacing w:before="0" w:after="0"/>
              <w:ind w:right="57"/>
              <w:jc w:val="both"/>
              <w:rPr>
                <w:b w:val="0"/>
              </w:rPr>
            </w:pPr>
            <w:r>
              <w:rPr>
                <w:b w:val="0"/>
              </w:rPr>
              <w:t>Nav paredzēta jauno institūciju izveide/likvidēšana/reorganizēšana.</w:t>
            </w:r>
          </w:p>
        </w:tc>
      </w:tr>
      <w:tr w:rsidR="00C02EDD" w:rsidRPr="00FB41DC" w14:paraId="2231BB49" w14:textId="77777777" w:rsidTr="008B2F2E">
        <w:trPr>
          <w:trHeight w:val="476"/>
          <w:jc w:val="center"/>
        </w:trPr>
        <w:tc>
          <w:tcPr>
            <w:tcW w:w="486" w:type="dxa"/>
            <w:tcMar>
              <w:top w:w="57" w:type="dxa"/>
              <w:left w:w="57" w:type="dxa"/>
              <w:bottom w:w="57" w:type="dxa"/>
              <w:right w:w="57" w:type="dxa"/>
            </w:tcMar>
          </w:tcPr>
          <w:p w14:paraId="66BD2BCB" w14:textId="77777777" w:rsidR="00C02EDD" w:rsidRPr="00FB41DC" w:rsidRDefault="00C02EDD" w:rsidP="008B2F2E">
            <w:pPr>
              <w:pStyle w:val="naiskr"/>
              <w:spacing w:before="0" w:after="0"/>
              <w:ind w:left="57" w:right="57"/>
            </w:pPr>
            <w:r>
              <w:lastRenderedPageBreak/>
              <w:t>3</w:t>
            </w:r>
            <w:r w:rsidRPr="00FB41DC">
              <w:t>.</w:t>
            </w:r>
          </w:p>
        </w:tc>
        <w:tc>
          <w:tcPr>
            <w:tcW w:w="3118" w:type="dxa"/>
            <w:tcMar>
              <w:top w:w="57" w:type="dxa"/>
              <w:left w:w="57" w:type="dxa"/>
              <w:bottom w:w="57" w:type="dxa"/>
              <w:right w:w="57" w:type="dxa"/>
            </w:tcMar>
          </w:tcPr>
          <w:p w14:paraId="0245F5F9" w14:textId="77777777" w:rsidR="00C02EDD" w:rsidRPr="00FB41DC" w:rsidRDefault="00C02EDD" w:rsidP="008B2F2E">
            <w:pPr>
              <w:pStyle w:val="naiskr"/>
              <w:spacing w:before="0" w:after="0"/>
              <w:ind w:left="57" w:right="57"/>
            </w:pPr>
            <w:r w:rsidRPr="00FB41DC">
              <w:t>Cita informācija</w:t>
            </w:r>
          </w:p>
        </w:tc>
        <w:tc>
          <w:tcPr>
            <w:tcW w:w="5870" w:type="dxa"/>
            <w:tcMar>
              <w:top w:w="57" w:type="dxa"/>
              <w:left w:w="57" w:type="dxa"/>
              <w:bottom w:w="57" w:type="dxa"/>
              <w:right w:w="57" w:type="dxa"/>
            </w:tcMar>
          </w:tcPr>
          <w:p w14:paraId="50FA0229" w14:textId="77777777" w:rsidR="00C02EDD" w:rsidRPr="00FB41DC" w:rsidRDefault="00C02EDD" w:rsidP="008B2F2E">
            <w:pPr>
              <w:pStyle w:val="naiskr"/>
              <w:spacing w:before="0" w:after="0"/>
              <w:ind w:left="57" w:right="57"/>
            </w:pPr>
            <w:r>
              <w:t>Nav</w:t>
            </w:r>
          </w:p>
        </w:tc>
      </w:tr>
    </w:tbl>
    <w:p w14:paraId="68EAA893" w14:textId="77777777" w:rsidR="00C02EDD" w:rsidRDefault="00C02EDD" w:rsidP="00C02EDD">
      <w:pPr>
        <w:pStyle w:val="naisf"/>
        <w:spacing w:before="0" w:after="0"/>
        <w:ind w:firstLine="374"/>
        <w:rPr>
          <w:b/>
        </w:rPr>
      </w:pPr>
    </w:p>
    <w:p w14:paraId="0D51ED11" w14:textId="3DD66072" w:rsidR="00C02EDD" w:rsidRPr="00EE5F73" w:rsidRDefault="00C02EDD" w:rsidP="00C02EDD">
      <w:pPr>
        <w:pStyle w:val="naisf"/>
        <w:spacing w:before="0" w:after="0"/>
        <w:ind w:firstLine="374"/>
        <w:rPr>
          <w:i/>
        </w:rPr>
      </w:pPr>
      <w:r>
        <w:rPr>
          <w:i/>
        </w:rPr>
        <w:t>Anotācijas III, I</w:t>
      </w:r>
      <w:r w:rsidRPr="00EE5F73">
        <w:rPr>
          <w:i/>
        </w:rPr>
        <w:t>V</w:t>
      </w:r>
      <w:r>
        <w:rPr>
          <w:i/>
        </w:rPr>
        <w:t xml:space="preserve"> un V</w:t>
      </w:r>
      <w:r w:rsidR="00866B25">
        <w:rPr>
          <w:i/>
        </w:rPr>
        <w:t xml:space="preserve"> </w:t>
      </w:r>
      <w:r w:rsidRPr="00EE5F73">
        <w:rPr>
          <w:i/>
        </w:rPr>
        <w:t>sadaļa – noteikumu projekts šo jomu neskar.</w:t>
      </w:r>
    </w:p>
    <w:p w14:paraId="1B005A9A" w14:textId="77777777" w:rsidR="00C02EDD" w:rsidRPr="00ED433D" w:rsidRDefault="00C02EDD" w:rsidP="00C02EDD"/>
    <w:p w14:paraId="654D3426" w14:textId="6D728C1B" w:rsidR="00C02EDD" w:rsidRPr="00ED433D" w:rsidRDefault="00580DEF" w:rsidP="00C02EDD">
      <w:pPr>
        <w:pStyle w:val="tv2161"/>
        <w:spacing w:before="0" w:line="240" w:lineRule="auto"/>
        <w:ind w:firstLine="0"/>
        <w:jc w:val="both"/>
        <w:rPr>
          <w:rFonts w:ascii="Times New Roman" w:hAnsi="Times New Roman"/>
          <w:sz w:val="24"/>
          <w:szCs w:val="24"/>
        </w:rPr>
      </w:pPr>
      <w:r>
        <w:rPr>
          <w:rFonts w:ascii="Times New Roman" w:hAnsi="Times New Roman"/>
          <w:sz w:val="24"/>
          <w:szCs w:val="24"/>
        </w:rPr>
        <w:t>V</w:t>
      </w:r>
      <w:r w:rsidR="00261E06" w:rsidRPr="00ED433D">
        <w:rPr>
          <w:rFonts w:ascii="Times New Roman" w:hAnsi="Times New Roman"/>
          <w:sz w:val="24"/>
          <w:szCs w:val="24"/>
        </w:rPr>
        <w:t xml:space="preserve">ides </w:t>
      </w:r>
      <w:r w:rsidR="00C02EDD" w:rsidRPr="00ED433D">
        <w:rPr>
          <w:rFonts w:ascii="Times New Roman" w:hAnsi="Times New Roman"/>
          <w:sz w:val="24"/>
          <w:szCs w:val="24"/>
        </w:rPr>
        <w:t xml:space="preserve">aizsardzības un </w:t>
      </w:r>
    </w:p>
    <w:p w14:paraId="5DD69435" w14:textId="77777777" w:rsidR="00C02EDD" w:rsidRDefault="00C02EDD" w:rsidP="00C02EDD">
      <w:r>
        <w:t>reģionālās attīstības ministrs</w:t>
      </w:r>
      <w:r>
        <w:tab/>
      </w:r>
      <w:r>
        <w:tab/>
      </w:r>
      <w:r>
        <w:tab/>
      </w:r>
      <w:r>
        <w:tab/>
      </w:r>
      <w:r>
        <w:tab/>
      </w:r>
      <w:r>
        <w:tab/>
        <w:t>K.Gerhards</w:t>
      </w:r>
    </w:p>
    <w:p w14:paraId="0C009F81" w14:textId="77777777" w:rsidR="00C02EDD" w:rsidRDefault="00C02EDD" w:rsidP="00C02EDD"/>
    <w:p w14:paraId="0EF3E112" w14:textId="77777777" w:rsidR="00C02EDD" w:rsidRDefault="00C02EDD" w:rsidP="00C02EDD"/>
    <w:p w14:paraId="371D95E4" w14:textId="77777777" w:rsidR="00580DEF" w:rsidRDefault="00C02EDD" w:rsidP="00C02EDD">
      <w:pPr>
        <w:rPr>
          <w:sz w:val="20"/>
          <w:szCs w:val="20"/>
        </w:rPr>
      </w:pPr>
      <w:r w:rsidRPr="00507719">
        <w:rPr>
          <w:sz w:val="20"/>
          <w:szCs w:val="20"/>
        </w:rPr>
        <w:t>Doniņa</w:t>
      </w:r>
      <w:r w:rsidR="00580DEF">
        <w:rPr>
          <w:sz w:val="20"/>
          <w:szCs w:val="20"/>
        </w:rPr>
        <w:t xml:space="preserve">, </w:t>
      </w:r>
      <w:r w:rsidRPr="00507719">
        <w:rPr>
          <w:sz w:val="20"/>
          <w:szCs w:val="20"/>
        </w:rPr>
        <w:t>6</w:t>
      </w:r>
      <w:smartTag w:uri="schemas-tilde-lv/tildestengine" w:element="phone">
        <w:smartTagPr>
          <w:attr w:name="phone_number" w:val="7026515"/>
        </w:smartTagPr>
        <w:r w:rsidRPr="00507719">
          <w:rPr>
            <w:sz w:val="20"/>
            <w:szCs w:val="20"/>
          </w:rPr>
          <w:t>7026515</w:t>
        </w:r>
      </w:smartTag>
      <w:r w:rsidRPr="00507719">
        <w:rPr>
          <w:sz w:val="20"/>
          <w:szCs w:val="20"/>
        </w:rPr>
        <w:t xml:space="preserve">; </w:t>
      </w:r>
    </w:p>
    <w:p w14:paraId="73AAD463" w14:textId="050C1124" w:rsidR="00C02EDD" w:rsidRPr="00563D3C" w:rsidRDefault="00E56162" w:rsidP="00C02EDD">
      <w:pPr>
        <w:rPr>
          <w:sz w:val="20"/>
          <w:szCs w:val="20"/>
        </w:rPr>
      </w:pPr>
      <w:hyperlink r:id="rId8" w:history="1">
        <w:r w:rsidR="00C02EDD" w:rsidRPr="00507719">
          <w:rPr>
            <w:rStyle w:val="Hyperlink"/>
            <w:sz w:val="20"/>
            <w:szCs w:val="20"/>
          </w:rPr>
          <w:t>ilze.donina@varam.gov.lv</w:t>
        </w:r>
      </w:hyperlink>
    </w:p>
    <w:p w14:paraId="7BA2DDB9" w14:textId="77777777" w:rsidR="00C02EDD" w:rsidRDefault="00C02EDD" w:rsidP="00C02EDD"/>
    <w:p w14:paraId="3220FF43" w14:textId="77777777" w:rsidR="000D6C3A" w:rsidRDefault="000D6C3A"/>
    <w:sectPr w:rsidR="000D6C3A" w:rsidSect="00017A3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D9BAE" w14:textId="77777777" w:rsidR="00E56162" w:rsidRDefault="00E56162" w:rsidP="00C02EDD">
      <w:r>
        <w:separator/>
      </w:r>
    </w:p>
  </w:endnote>
  <w:endnote w:type="continuationSeparator" w:id="0">
    <w:p w14:paraId="516E1635" w14:textId="77777777" w:rsidR="00E56162" w:rsidRDefault="00E56162" w:rsidP="00C0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89715" w14:textId="77777777" w:rsidR="00580DEF" w:rsidRDefault="00580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97317" w14:textId="641CEDC1" w:rsidR="00C02EDD" w:rsidRPr="00C02EDD" w:rsidRDefault="00C02EDD" w:rsidP="00C02EDD">
    <w:pPr>
      <w:jc w:val="both"/>
    </w:pPr>
    <w:r w:rsidRPr="00C02EDD">
      <w:t>VARAMAnot_</w:t>
    </w:r>
    <w:r w:rsidR="00580DEF">
      <w:t>130117</w:t>
    </w:r>
    <w:r w:rsidRPr="00C02EDD">
      <w:t>_bistatkr</w:t>
    </w:r>
    <w:r w:rsidR="007125D8" w:rsidRPr="00C02EDD">
      <w:t xml:space="preserve">; </w:t>
    </w:r>
    <w:r w:rsidRPr="00C02EDD">
      <w:t>Ministru kabineta noteikumu projekta “</w:t>
    </w:r>
    <w:r w:rsidRPr="00C02EDD">
      <w:rPr>
        <w:bCs/>
      </w:rPr>
      <w:t xml:space="preserve">Grozījums Ministru kabineta </w:t>
    </w:r>
    <w:proofErr w:type="gramStart"/>
    <w:r w:rsidRPr="00C02EDD">
      <w:rPr>
        <w:bCs/>
      </w:rPr>
      <w:t>2011.gada</w:t>
    </w:r>
    <w:proofErr w:type="gramEnd"/>
    <w:r w:rsidRPr="00C02EDD">
      <w:rPr>
        <w:bCs/>
      </w:rPr>
      <w:t xml:space="preserve"> 21.jūnija noteikumos Nr.485</w:t>
    </w:r>
    <w:r w:rsidRPr="00C02EDD">
      <w:t xml:space="preserve"> “Atsevišķu veidu bīstamo atkritumu apsaimniekošanas kārtība””</w:t>
    </w:r>
    <w:r w:rsidRPr="00C02EDD">
      <w:rPr>
        <w:sz w:val="28"/>
      </w:rPr>
      <w:t xml:space="preserve"> </w:t>
    </w:r>
    <w:r w:rsidRPr="00C02EDD">
      <w:t xml:space="preserve">sākotnējās ietekmes novērtējuma </w:t>
    </w:r>
    <w:smartTag w:uri="schemas-tilde-lv/tildestengine" w:element="veidnes">
      <w:smartTagPr>
        <w:attr w:name="id" w:val="-1"/>
        <w:attr w:name="baseform" w:val="ziņojums"/>
        <w:attr w:name="text" w:val="ziņojums"/>
      </w:smartTagPr>
      <w:r w:rsidRPr="00C02EDD">
        <w:t>ziņojums</w:t>
      </w:r>
    </w:smartTag>
    <w:r w:rsidRPr="00C02EDD">
      <w:t xml:space="preserve"> (anotācija)</w:t>
    </w:r>
  </w:p>
  <w:p w14:paraId="07A11539" w14:textId="77777777" w:rsidR="00C6407D" w:rsidRPr="00C02EDD" w:rsidRDefault="00E56162" w:rsidP="00C02EDD">
    <w:pPr>
      <w:jc w:val="both"/>
    </w:pPr>
  </w:p>
  <w:p w14:paraId="49B7D358" w14:textId="77777777" w:rsidR="00C6407D" w:rsidRPr="00C6407D" w:rsidRDefault="00E56162" w:rsidP="00C64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4AC0" w14:textId="77777777" w:rsidR="00580DEF" w:rsidRPr="00C02EDD" w:rsidRDefault="00580DEF" w:rsidP="00580DEF">
    <w:pPr>
      <w:jc w:val="both"/>
    </w:pPr>
    <w:r w:rsidRPr="00C02EDD">
      <w:t>VARAMAnot_</w:t>
    </w:r>
    <w:r>
      <w:t>130117</w:t>
    </w:r>
    <w:r w:rsidRPr="00C02EDD">
      <w:t>_bistatkr; Ministru kabineta noteikumu projekta “</w:t>
    </w:r>
    <w:r w:rsidRPr="00C02EDD">
      <w:rPr>
        <w:bCs/>
      </w:rPr>
      <w:t xml:space="preserve">Grozījums Ministru kabineta </w:t>
    </w:r>
    <w:proofErr w:type="gramStart"/>
    <w:r w:rsidRPr="00C02EDD">
      <w:rPr>
        <w:bCs/>
      </w:rPr>
      <w:t>2011.gada</w:t>
    </w:r>
    <w:proofErr w:type="gramEnd"/>
    <w:r w:rsidRPr="00C02EDD">
      <w:rPr>
        <w:bCs/>
      </w:rPr>
      <w:t xml:space="preserve"> 21.jūnija noteikumos Nr.485</w:t>
    </w:r>
    <w:r w:rsidRPr="00C02EDD">
      <w:t xml:space="preserve"> “Atsevišķu veidu bīstamo atkritumu apsaimniekošanas kārtība””</w:t>
    </w:r>
    <w:r w:rsidRPr="00C02EDD">
      <w:rPr>
        <w:sz w:val="28"/>
      </w:rPr>
      <w:t xml:space="preserve"> </w:t>
    </w:r>
    <w:r w:rsidRPr="00C02EDD">
      <w:t xml:space="preserve">sākotnējās ietekmes novērtējuma </w:t>
    </w:r>
    <w:smartTag w:uri="schemas-tilde-lv/tildestengine" w:element="veidnes">
      <w:smartTagPr>
        <w:attr w:name="id" w:val="-1"/>
        <w:attr w:name="baseform" w:val="ziņojums"/>
        <w:attr w:name="text" w:val="ziņojums"/>
      </w:smartTagPr>
      <w:r w:rsidRPr="00C02EDD">
        <w:t>ziņojums</w:t>
      </w:r>
    </w:smartTag>
    <w:r w:rsidRPr="00C02EDD">
      <w:t xml:space="preserve"> (anotācija)</w:t>
    </w:r>
  </w:p>
  <w:p w14:paraId="6BB9DF85" w14:textId="77777777" w:rsidR="00580DEF" w:rsidRDefault="00580DEF">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668D" w14:textId="77777777" w:rsidR="00E56162" w:rsidRDefault="00E56162" w:rsidP="00C02EDD">
      <w:r>
        <w:separator/>
      </w:r>
    </w:p>
  </w:footnote>
  <w:footnote w:type="continuationSeparator" w:id="0">
    <w:p w14:paraId="640A84C2" w14:textId="77777777" w:rsidR="00E56162" w:rsidRDefault="00E56162" w:rsidP="00C02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9339" w14:textId="77777777" w:rsidR="00580DEF" w:rsidRDefault="00580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089790"/>
      <w:docPartObj>
        <w:docPartGallery w:val="Page Numbers (Top of Page)"/>
        <w:docPartUnique/>
      </w:docPartObj>
    </w:sdtPr>
    <w:sdtEndPr>
      <w:rPr>
        <w:noProof/>
      </w:rPr>
    </w:sdtEndPr>
    <w:sdtContent>
      <w:p w14:paraId="69B30C5E" w14:textId="16308BB6" w:rsidR="0007078D" w:rsidRDefault="0007078D">
        <w:pPr>
          <w:pStyle w:val="Header"/>
          <w:jc w:val="center"/>
        </w:pPr>
        <w:r>
          <w:fldChar w:fldCharType="begin"/>
        </w:r>
        <w:r>
          <w:instrText xml:space="preserve"> PAGE   \* MERGEFORMAT </w:instrText>
        </w:r>
        <w:r>
          <w:fldChar w:fldCharType="separate"/>
        </w:r>
        <w:r w:rsidR="00580DEF">
          <w:rPr>
            <w:noProof/>
          </w:rPr>
          <w:t>2</w:t>
        </w:r>
        <w:r>
          <w:rPr>
            <w:noProof/>
          </w:rPr>
          <w:fldChar w:fldCharType="end"/>
        </w:r>
      </w:p>
    </w:sdtContent>
  </w:sdt>
  <w:p w14:paraId="2E81ABC5" w14:textId="77777777" w:rsidR="0007078D" w:rsidRDefault="000707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929BF" w14:textId="77777777" w:rsidR="00580DEF" w:rsidRDefault="00580D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A5A91"/>
    <w:multiLevelType w:val="hybridMultilevel"/>
    <w:tmpl w:val="501CBFA8"/>
    <w:lvl w:ilvl="0" w:tplc="7BE20482">
      <w:start w:val="119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8A219E"/>
    <w:multiLevelType w:val="hybridMultilevel"/>
    <w:tmpl w:val="31DA0020"/>
    <w:lvl w:ilvl="0" w:tplc="96AA90B0">
      <w:start w:val="3"/>
      <w:numFmt w:val="bullet"/>
      <w:lvlText w:val="-"/>
      <w:lvlJc w:val="left"/>
      <w:pPr>
        <w:ind w:left="453" w:hanging="360"/>
      </w:pPr>
      <w:rPr>
        <w:rFonts w:ascii="Times New Roman" w:eastAsia="Calibri" w:hAnsi="Times New Roman" w:cs="Times New Roman" w:hint="default"/>
        <w:sz w:val="24"/>
      </w:rPr>
    </w:lvl>
    <w:lvl w:ilvl="1" w:tplc="04260003" w:tentative="1">
      <w:start w:val="1"/>
      <w:numFmt w:val="bullet"/>
      <w:lvlText w:val="o"/>
      <w:lvlJc w:val="left"/>
      <w:pPr>
        <w:ind w:left="1173" w:hanging="360"/>
      </w:pPr>
      <w:rPr>
        <w:rFonts w:ascii="Courier New" w:hAnsi="Courier New" w:cs="Courier New" w:hint="default"/>
      </w:rPr>
    </w:lvl>
    <w:lvl w:ilvl="2" w:tplc="04260005" w:tentative="1">
      <w:start w:val="1"/>
      <w:numFmt w:val="bullet"/>
      <w:lvlText w:val=""/>
      <w:lvlJc w:val="left"/>
      <w:pPr>
        <w:ind w:left="1893" w:hanging="360"/>
      </w:pPr>
      <w:rPr>
        <w:rFonts w:ascii="Wingdings" w:hAnsi="Wingdings" w:hint="default"/>
      </w:rPr>
    </w:lvl>
    <w:lvl w:ilvl="3" w:tplc="04260001" w:tentative="1">
      <w:start w:val="1"/>
      <w:numFmt w:val="bullet"/>
      <w:lvlText w:val=""/>
      <w:lvlJc w:val="left"/>
      <w:pPr>
        <w:ind w:left="2613" w:hanging="360"/>
      </w:pPr>
      <w:rPr>
        <w:rFonts w:ascii="Symbol" w:hAnsi="Symbol" w:hint="default"/>
      </w:rPr>
    </w:lvl>
    <w:lvl w:ilvl="4" w:tplc="04260003" w:tentative="1">
      <w:start w:val="1"/>
      <w:numFmt w:val="bullet"/>
      <w:lvlText w:val="o"/>
      <w:lvlJc w:val="left"/>
      <w:pPr>
        <w:ind w:left="3333" w:hanging="360"/>
      </w:pPr>
      <w:rPr>
        <w:rFonts w:ascii="Courier New" w:hAnsi="Courier New" w:cs="Courier New" w:hint="default"/>
      </w:rPr>
    </w:lvl>
    <w:lvl w:ilvl="5" w:tplc="04260005" w:tentative="1">
      <w:start w:val="1"/>
      <w:numFmt w:val="bullet"/>
      <w:lvlText w:val=""/>
      <w:lvlJc w:val="left"/>
      <w:pPr>
        <w:ind w:left="4053" w:hanging="360"/>
      </w:pPr>
      <w:rPr>
        <w:rFonts w:ascii="Wingdings" w:hAnsi="Wingdings" w:hint="default"/>
      </w:rPr>
    </w:lvl>
    <w:lvl w:ilvl="6" w:tplc="04260001" w:tentative="1">
      <w:start w:val="1"/>
      <w:numFmt w:val="bullet"/>
      <w:lvlText w:val=""/>
      <w:lvlJc w:val="left"/>
      <w:pPr>
        <w:ind w:left="4773" w:hanging="360"/>
      </w:pPr>
      <w:rPr>
        <w:rFonts w:ascii="Symbol" w:hAnsi="Symbol" w:hint="default"/>
      </w:rPr>
    </w:lvl>
    <w:lvl w:ilvl="7" w:tplc="04260003" w:tentative="1">
      <w:start w:val="1"/>
      <w:numFmt w:val="bullet"/>
      <w:lvlText w:val="o"/>
      <w:lvlJc w:val="left"/>
      <w:pPr>
        <w:ind w:left="5493" w:hanging="360"/>
      </w:pPr>
      <w:rPr>
        <w:rFonts w:ascii="Courier New" w:hAnsi="Courier New" w:cs="Courier New" w:hint="default"/>
      </w:rPr>
    </w:lvl>
    <w:lvl w:ilvl="8" w:tplc="04260005" w:tentative="1">
      <w:start w:val="1"/>
      <w:numFmt w:val="bullet"/>
      <w:lvlText w:val=""/>
      <w:lvlJc w:val="left"/>
      <w:pPr>
        <w:ind w:left="6213" w:hanging="360"/>
      </w:pPr>
      <w:rPr>
        <w:rFonts w:ascii="Wingdings" w:hAnsi="Wingdings" w:hint="default"/>
      </w:rPr>
    </w:lvl>
  </w:abstractNum>
  <w:abstractNum w:abstractNumId="2" w15:restartNumberingAfterBreak="0">
    <w:nsid w:val="7FFD6AA6"/>
    <w:multiLevelType w:val="hybridMultilevel"/>
    <w:tmpl w:val="6F9AEF30"/>
    <w:lvl w:ilvl="0" w:tplc="9294DAB8">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DD"/>
    <w:rsid w:val="00017A3B"/>
    <w:rsid w:val="00033D55"/>
    <w:rsid w:val="00060D21"/>
    <w:rsid w:val="0007078D"/>
    <w:rsid w:val="000B2BE7"/>
    <w:rsid w:val="000C0368"/>
    <w:rsid w:val="000D6C3A"/>
    <w:rsid w:val="0013004A"/>
    <w:rsid w:val="00261E06"/>
    <w:rsid w:val="002A0AD1"/>
    <w:rsid w:val="002F36E5"/>
    <w:rsid w:val="00387ADF"/>
    <w:rsid w:val="00390E23"/>
    <w:rsid w:val="00421EE9"/>
    <w:rsid w:val="004B40B3"/>
    <w:rsid w:val="0051773A"/>
    <w:rsid w:val="005643BA"/>
    <w:rsid w:val="00580DEF"/>
    <w:rsid w:val="006865B9"/>
    <w:rsid w:val="007125D8"/>
    <w:rsid w:val="007252A1"/>
    <w:rsid w:val="00797F90"/>
    <w:rsid w:val="007F1BCC"/>
    <w:rsid w:val="008221E0"/>
    <w:rsid w:val="00866B25"/>
    <w:rsid w:val="008846E3"/>
    <w:rsid w:val="00987A7E"/>
    <w:rsid w:val="00A4683D"/>
    <w:rsid w:val="00A5504A"/>
    <w:rsid w:val="00B92D3D"/>
    <w:rsid w:val="00B97C23"/>
    <w:rsid w:val="00C02EDD"/>
    <w:rsid w:val="00C066BF"/>
    <w:rsid w:val="00CF200F"/>
    <w:rsid w:val="00D844C1"/>
    <w:rsid w:val="00E10CA1"/>
    <w:rsid w:val="00E52182"/>
    <w:rsid w:val="00E56162"/>
    <w:rsid w:val="00EC70E1"/>
    <w:rsid w:val="00EE0AFB"/>
    <w:rsid w:val="00F321A0"/>
    <w:rsid w:val="00F926CE"/>
    <w:rsid w:val="00FE7D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185880C5"/>
  <w15:chartTrackingRefBased/>
  <w15:docId w15:val="{8B98197B-D9E9-4CAC-995F-FDB6C428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C02EDD"/>
    <w:pPr>
      <w:spacing w:before="75" w:after="75"/>
      <w:ind w:firstLine="375"/>
      <w:jc w:val="both"/>
    </w:pPr>
  </w:style>
  <w:style w:type="character" w:styleId="Hyperlink">
    <w:name w:val="Hyperlink"/>
    <w:rsid w:val="00C02EDD"/>
    <w:rPr>
      <w:rFonts w:cs="Times New Roman"/>
      <w:color w:val="0000FF"/>
      <w:u w:val="single"/>
    </w:rPr>
  </w:style>
  <w:style w:type="paragraph" w:customStyle="1" w:styleId="naisnod">
    <w:name w:val="naisnod"/>
    <w:basedOn w:val="Normal"/>
    <w:rsid w:val="00C02EDD"/>
    <w:pPr>
      <w:spacing w:before="150" w:after="150"/>
      <w:jc w:val="center"/>
    </w:pPr>
    <w:rPr>
      <w:b/>
      <w:bCs/>
    </w:rPr>
  </w:style>
  <w:style w:type="paragraph" w:customStyle="1" w:styleId="naiskr">
    <w:name w:val="naiskr"/>
    <w:basedOn w:val="Normal"/>
    <w:rsid w:val="00C02EDD"/>
    <w:pPr>
      <w:spacing w:before="75" w:after="75"/>
    </w:pPr>
  </w:style>
  <w:style w:type="paragraph" w:customStyle="1" w:styleId="naisc">
    <w:name w:val="naisc"/>
    <w:basedOn w:val="Normal"/>
    <w:rsid w:val="00C02EDD"/>
    <w:pPr>
      <w:spacing w:before="75" w:after="75"/>
      <w:jc w:val="center"/>
    </w:pPr>
  </w:style>
  <w:style w:type="character" w:styleId="Strong">
    <w:name w:val="Strong"/>
    <w:uiPriority w:val="22"/>
    <w:qFormat/>
    <w:rsid w:val="00C02EDD"/>
    <w:rPr>
      <w:b/>
      <w:bCs/>
    </w:rPr>
  </w:style>
  <w:style w:type="paragraph" w:customStyle="1" w:styleId="tv2161">
    <w:name w:val="tv2161"/>
    <w:basedOn w:val="Normal"/>
    <w:rsid w:val="00C02EDD"/>
    <w:pPr>
      <w:spacing w:before="240" w:line="360" w:lineRule="auto"/>
      <w:ind w:firstLine="259"/>
      <w:jc w:val="right"/>
    </w:pPr>
    <w:rPr>
      <w:rFonts w:ascii="Verdana" w:hAnsi="Verdana"/>
      <w:sz w:val="16"/>
      <w:szCs w:val="16"/>
      <w:lang w:eastAsia="en-US"/>
    </w:rPr>
  </w:style>
  <w:style w:type="paragraph" w:styleId="ListParagraph">
    <w:name w:val="List Paragraph"/>
    <w:basedOn w:val="Normal"/>
    <w:qFormat/>
    <w:rsid w:val="00C02EDD"/>
    <w:pPr>
      <w:spacing w:after="200" w:line="276" w:lineRule="auto"/>
      <w:ind w:left="720"/>
      <w:contextualSpacing/>
    </w:pPr>
    <w:rPr>
      <w:rFonts w:ascii="Calibri" w:eastAsia="Calibri" w:hAnsi="Calibri"/>
      <w:sz w:val="22"/>
      <w:szCs w:val="22"/>
      <w:lang w:val="en-US" w:eastAsia="en-US"/>
    </w:rPr>
  </w:style>
  <w:style w:type="paragraph" w:customStyle="1" w:styleId="tv213">
    <w:name w:val="tv213"/>
    <w:basedOn w:val="Normal"/>
    <w:rsid w:val="00C02EDD"/>
    <w:pPr>
      <w:spacing w:before="100" w:beforeAutospacing="1" w:after="100" w:afterAutospacing="1"/>
    </w:pPr>
  </w:style>
  <w:style w:type="paragraph" w:styleId="Footer">
    <w:name w:val="footer"/>
    <w:basedOn w:val="Normal"/>
    <w:link w:val="FooterChar"/>
    <w:uiPriority w:val="99"/>
    <w:unhideWhenUsed/>
    <w:rsid w:val="00C02EDD"/>
    <w:pPr>
      <w:tabs>
        <w:tab w:val="center" w:pos="4153"/>
        <w:tab w:val="right" w:pos="8306"/>
      </w:tabs>
    </w:pPr>
  </w:style>
  <w:style w:type="character" w:customStyle="1" w:styleId="FooterChar">
    <w:name w:val="Footer Char"/>
    <w:basedOn w:val="DefaultParagraphFont"/>
    <w:link w:val="Footer"/>
    <w:uiPriority w:val="99"/>
    <w:rsid w:val="00C02EDD"/>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02EDD"/>
    <w:pPr>
      <w:tabs>
        <w:tab w:val="center" w:pos="4153"/>
        <w:tab w:val="right" w:pos="8306"/>
      </w:tabs>
    </w:pPr>
  </w:style>
  <w:style w:type="character" w:customStyle="1" w:styleId="HeaderChar">
    <w:name w:val="Header Char"/>
    <w:basedOn w:val="DefaultParagraphFont"/>
    <w:link w:val="Header"/>
    <w:uiPriority w:val="99"/>
    <w:rsid w:val="00C02EDD"/>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221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E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F321A0"/>
    <w:rPr>
      <w:sz w:val="16"/>
      <w:szCs w:val="16"/>
    </w:rPr>
  </w:style>
  <w:style w:type="paragraph" w:styleId="CommentText">
    <w:name w:val="annotation text"/>
    <w:basedOn w:val="Normal"/>
    <w:link w:val="CommentTextChar"/>
    <w:uiPriority w:val="99"/>
    <w:semiHidden/>
    <w:unhideWhenUsed/>
    <w:rsid w:val="00F321A0"/>
    <w:rPr>
      <w:sz w:val="20"/>
      <w:szCs w:val="20"/>
    </w:rPr>
  </w:style>
  <w:style w:type="character" w:customStyle="1" w:styleId="CommentTextChar">
    <w:name w:val="Comment Text Char"/>
    <w:basedOn w:val="DefaultParagraphFont"/>
    <w:link w:val="CommentText"/>
    <w:uiPriority w:val="99"/>
    <w:semiHidden/>
    <w:rsid w:val="00F321A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321A0"/>
    <w:rPr>
      <w:b/>
      <w:bCs/>
    </w:rPr>
  </w:style>
  <w:style w:type="character" w:customStyle="1" w:styleId="CommentSubjectChar">
    <w:name w:val="Comment Subject Char"/>
    <w:basedOn w:val="CommentTextChar"/>
    <w:link w:val="CommentSubject"/>
    <w:uiPriority w:val="99"/>
    <w:semiHidden/>
    <w:rsid w:val="00F321A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donina@vara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3271</Words>
  <Characters>1866</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Ilze Doniņa</cp:lastModifiedBy>
  <cp:revision>3</cp:revision>
  <dcterms:created xsi:type="dcterms:W3CDTF">2017-01-13T13:46:00Z</dcterms:created>
  <dcterms:modified xsi:type="dcterms:W3CDTF">2017-01-13T13:57:00Z</dcterms:modified>
</cp:coreProperties>
</file>