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3B" w:rsidRPr="0059233E" w:rsidRDefault="006A403B" w:rsidP="006A403B">
      <w:pPr>
        <w:jc w:val="center"/>
        <w:rPr>
          <w:sz w:val="28"/>
          <w:szCs w:val="28"/>
        </w:rPr>
      </w:pPr>
      <w:r w:rsidRPr="0059233E">
        <w:rPr>
          <w:sz w:val="28"/>
          <w:szCs w:val="28"/>
        </w:rPr>
        <w:t>LATVIJAS REPUBLIKAS MINISTRU KABINETS</w:t>
      </w:r>
    </w:p>
    <w:p w:rsidR="006A403B" w:rsidRPr="0059233E" w:rsidRDefault="006A403B" w:rsidP="006A403B">
      <w:pPr>
        <w:jc w:val="center"/>
        <w:rPr>
          <w:sz w:val="28"/>
          <w:szCs w:val="28"/>
        </w:rPr>
      </w:pPr>
    </w:p>
    <w:p w:rsidR="006A403B" w:rsidRPr="0059233E" w:rsidRDefault="006A403B" w:rsidP="006A403B">
      <w:pPr>
        <w:jc w:val="center"/>
        <w:rPr>
          <w:sz w:val="28"/>
          <w:szCs w:val="28"/>
        </w:rPr>
      </w:pPr>
    </w:p>
    <w:p w:rsidR="006A403B" w:rsidRPr="0059233E" w:rsidRDefault="006A403B" w:rsidP="006A403B">
      <w:pPr>
        <w:jc w:val="both"/>
        <w:rPr>
          <w:sz w:val="28"/>
          <w:szCs w:val="28"/>
          <w:u w:val="single"/>
        </w:rPr>
      </w:pPr>
      <w:r w:rsidRPr="0059233E">
        <w:rPr>
          <w:sz w:val="28"/>
          <w:szCs w:val="28"/>
        </w:rPr>
        <w:t>201</w:t>
      </w:r>
      <w:r w:rsidR="001C62E7">
        <w:rPr>
          <w:sz w:val="28"/>
          <w:szCs w:val="28"/>
        </w:rPr>
        <w:t>7</w:t>
      </w:r>
      <w:r w:rsidRPr="0059233E">
        <w:rPr>
          <w:sz w:val="28"/>
          <w:szCs w:val="28"/>
        </w:rPr>
        <w:t xml:space="preserve">.gada </w:t>
      </w:r>
      <w:r w:rsidRPr="0059233E">
        <w:rPr>
          <w:sz w:val="28"/>
          <w:szCs w:val="28"/>
          <w:u w:val="single"/>
        </w:rPr>
        <w:tab/>
      </w:r>
      <w:r w:rsidRPr="0059233E">
        <w:rPr>
          <w:sz w:val="28"/>
          <w:szCs w:val="28"/>
        </w:rPr>
        <w:t>.</w:t>
      </w:r>
      <w:r w:rsidRPr="0059233E">
        <w:rPr>
          <w:sz w:val="28"/>
          <w:szCs w:val="28"/>
          <w:u w:val="single"/>
        </w:rPr>
        <w:tab/>
      </w:r>
      <w:r w:rsidRPr="0059233E">
        <w:rPr>
          <w:sz w:val="28"/>
          <w:szCs w:val="28"/>
          <w:u w:val="single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  <w:t>Noteikumi Nr.</w:t>
      </w:r>
    </w:p>
    <w:p w:rsidR="006A403B" w:rsidRPr="0059233E" w:rsidRDefault="006A403B" w:rsidP="006A403B">
      <w:pPr>
        <w:jc w:val="both"/>
        <w:rPr>
          <w:sz w:val="28"/>
          <w:szCs w:val="28"/>
        </w:rPr>
      </w:pPr>
      <w:r w:rsidRPr="0059233E">
        <w:rPr>
          <w:sz w:val="28"/>
          <w:szCs w:val="28"/>
        </w:rPr>
        <w:t xml:space="preserve">Rīgā </w:t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  <w:t xml:space="preserve"> </w:t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  <w:t>(prot.</w:t>
      </w:r>
      <w:r w:rsidR="00376C98">
        <w:rPr>
          <w:sz w:val="28"/>
          <w:szCs w:val="28"/>
        </w:rPr>
        <w:t xml:space="preserve"> </w:t>
      </w:r>
      <w:r w:rsidRPr="0059233E">
        <w:rPr>
          <w:sz w:val="28"/>
          <w:szCs w:val="28"/>
        </w:rPr>
        <w:t>Nr.</w:t>
      </w:r>
      <w:r w:rsidRPr="0059233E">
        <w:rPr>
          <w:sz w:val="28"/>
          <w:szCs w:val="28"/>
          <w:u w:val="single"/>
        </w:rPr>
        <w:tab/>
      </w:r>
      <w:r w:rsidRPr="0059233E">
        <w:rPr>
          <w:sz w:val="28"/>
          <w:szCs w:val="28"/>
        </w:rPr>
        <w:t>,</w:t>
      </w:r>
      <w:r w:rsidRPr="0059233E">
        <w:rPr>
          <w:sz w:val="28"/>
          <w:szCs w:val="28"/>
          <w:u w:val="single"/>
        </w:rPr>
        <w:tab/>
      </w:r>
      <w:r w:rsidRPr="0059233E">
        <w:rPr>
          <w:sz w:val="28"/>
          <w:szCs w:val="28"/>
        </w:rPr>
        <w:t>. §)</w:t>
      </w:r>
    </w:p>
    <w:p w:rsidR="006A403B" w:rsidRPr="0059233E" w:rsidRDefault="006A403B" w:rsidP="006A403B">
      <w:pPr>
        <w:jc w:val="both"/>
        <w:rPr>
          <w:sz w:val="28"/>
          <w:szCs w:val="28"/>
        </w:rPr>
      </w:pPr>
    </w:p>
    <w:p w:rsidR="006A403B" w:rsidRPr="0059233E" w:rsidRDefault="006A403B" w:rsidP="006A403B">
      <w:pPr>
        <w:jc w:val="both"/>
        <w:rPr>
          <w:sz w:val="28"/>
          <w:szCs w:val="28"/>
        </w:rPr>
      </w:pPr>
    </w:p>
    <w:p w:rsidR="00B47B1E" w:rsidRDefault="00B47B1E" w:rsidP="006A403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</w:p>
    <w:p w:rsidR="006A403B" w:rsidRPr="0059233E" w:rsidRDefault="00E1728C" w:rsidP="006A40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9233E">
        <w:rPr>
          <w:b/>
          <w:bCs/>
          <w:sz w:val="28"/>
          <w:szCs w:val="28"/>
        </w:rPr>
        <w:t>G</w:t>
      </w:r>
      <w:r w:rsidR="006A403B" w:rsidRPr="0059233E">
        <w:rPr>
          <w:b/>
          <w:bCs/>
          <w:sz w:val="28"/>
          <w:szCs w:val="28"/>
        </w:rPr>
        <w:t>rozījum</w:t>
      </w:r>
      <w:r w:rsidR="002514FF" w:rsidRPr="0059233E">
        <w:rPr>
          <w:b/>
          <w:bCs/>
          <w:sz w:val="28"/>
          <w:szCs w:val="28"/>
        </w:rPr>
        <w:t>i</w:t>
      </w:r>
      <w:r w:rsidR="006A403B" w:rsidRPr="0059233E">
        <w:rPr>
          <w:b/>
          <w:bCs/>
          <w:sz w:val="28"/>
          <w:szCs w:val="28"/>
        </w:rPr>
        <w:t xml:space="preserve"> Ministru kabineta </w:t>
      </w:r>
      <w:r w:rsidR="00FE082E" w:rsidRPr="0059233E">
        <w:rPr>
          <w:b/>
          <w:sz w:val="28"/>
          <w:szCs w:val="28"/>
        </w:rPr>
        <w:t>201</w:t>
      </w:r>
      <w:r w:rsidR="00B07A21" w:rsidRPr="0059233E">
        <w:rPr>
          <w:b/>
          <w:sz w:val="28"/>
          <w:szCs w:val="28"/>
        </w:rPr>
        <w:t>4</w:t>
      </w:r>
      <w:r w:rsidR="00FE082E" w:rsidRPr="0059233E">
        <w:rPr>
          <w:b/>
          <w:sz w:val="28"/>
          <w:szCs w:val="28"/>
        </w:rPr>
        <w:t xml:space="preserve">.gada </w:t>
      </w:r>
      <w:r w:rsidR="00B07A21" w:rsidRPr="0059233E">
        <w:rPr>
          <w:b/>
          <w:sz w:val="28"/>
          <w:szCs w:val="28"/>
        </w:rPr>
        <w:t>4.februāra</w:t>
      </w:r>
      <w:r w:rsidR="00475F75" w:rsidRPr="0059233E">
        <w:rPr>
          <w:b/>
          <w:sz w:val="28"/>
          <w:szCs w:val="28"/>
        </w:rPr>
        <w:t xml:space="preserve"> </w:t>
      </w:r>
      <w:r w:rsidR="006A403B" w:rsidRPr="0059233E">
        <w:rPr>
          <w:b/>
          <w:sz w:val="28"/>
          <w:szCs w:val="28"/>
        </w:rPr>
        <w:t>noteikumos Nr.</w:t>
      </w:r>
      <w:r w:rsidR="00B07A21" w:rsidRPr="0059233E">
        <w:rPr>
          <w:b/>
          <w:sz w:val="28"/>
          <w:szCs w:val="28"/>
        </w:rPr>
        <w:t>78</w:t>
      </w:r>
      <w:r w:rsidR="006A403B" w:rsidRPr="0059233E">
        <w:rPr>
          <w:b/>
          <w:sz w:val="28"/>
          <w:szCs w:val="28"/>
        </w:rPr>
        <w:t xml:space="preserve"> „</w:t>
      </w:r>
      <w:r w:rsidR="006A403B" w:rsidRPr="0059233E">
        <w:rPr>
          <w:b/>
          <w:bCs/>
          <w:sz w:val="28"/>
          <w:szCs w:val="28"/>
        </w:rPr>
        <w:t>Klimata pārmaiņu finanšu instrumenta finansēto projektu atklāta konkursa „</w:t>
      </w:r>
      <w:r w:rsidR="00B07A21" w:rsidRPr="0059233E">
        <w:rPr>
          <w:b/>
          <w:bCs/>
          <w:sz w:val="28"/>
          <w:szCs w:val="28"/>
        </w:rPr>
        <w:t>Siltumnīcefekta gāzu emisijas samazināšana transporta sektorā – atbalsts elektromobiļu un to uzlādes infrastruktūras ieviešanai</w:t>
      </w:r>
      <w:r w:rsidR="006A403B" w:rsidRPr="0059233E">
        <w:rPr>
          <w:b/>
          <w:bCs/>
          <w:sz w:val="28"/>
          <w:szCs w:val="28"/>
        </w:rPr>
        <w:t>” nolikums”</w:t>
      </w:r>
      <w:bookmarkEnd w:id="0"/>
      <w:bookmarkEnd w:id="1"/>
    </w:p>
    <w:p w:rsidR="006A403B" w:rsidRPr="0059233E" w:rsidRDefault="006A403B" w:rsidP="006A403B">
      <w:pPr>
        <w:shd w:val="clear" w:color="auto" w:fill="FFFFFF"/>
        <w:jc w:val="center"/>
        <w:rPr>
          <w:bCs/>
          <w:sz w:val="28"/>
          <w:szCs w:val="28"/>
        </w:rPr>
      </w:pPr>
    </w:p>
    <w:p w:rsidR="006A403B" w:rsidRPr="0059233E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59233E">
        <w:rPr>
          <w:iCs/>
          <w:sz w:val="28"/>
          <w:szCs w:val="28"/>
        </w:rPr>
        <w:t xml:space="preserve">Izdoti saskaņā ar likuma </w:t>
      </w:r>
    </w:p>
    <w:p w:rsidR="006A403B" w:rsidRPr="0059233E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59233E">
        <w:rPr>
          <w:iCs/>
          <w:sz w:val="28"/>
          <w:szCs w:val="28"/>
        </w:rPr>
        <w:t xml:space="preserve">“Par Latvijas Republikas dalību Kioto </w:t>
      </w:r>
      <w:r w:rsidRPr="0059233E">
        <w:rPr>
          <w:iCs/>
          <w:sz w:val="28"/>
          <w:szCs w:val="28"/>
        </w:rPr>
        <w:br/>
        <w:t xml:space="preserve">protokola elastīgajos mehānismos” </w:t>
      </w:r>
    </w:p>
    <w:p w:rsidR="006A403B" w:rsidRPr="0059233E" w:rsidRDefault="006A403B" w:rsidP="006A403B">
      <w:pPr>
        <w:shd w:val="clear" w:color="auto" w:fill="FFFFFF"/>
        <w:jc w:val="right"/>
        <w:rPr>
          <w:iCs/>
          <w:sz w:val="28"/>
          <w:szCs w:val="28"/>
        </w:rPr>
      </w:pPr>
      <w:r w:rsidRPr="0059233E">
        <w:rPr>
          <w:iCs/>
          <w:sz w:val="28"/>
          <w:szCs w:val="28"/>
        </w:rPr>
        <w:t xml:space="preserve">10.panta trešās daļas </w:t>
      </w:r>
      <w:r w:rsidR="0002668F" w:rsidRPr="0059233E">
        <w:rPr>
          <w:iCs/>
          <w:sz w:val="28"/>
          <w:szCs w:val="28"/>
        </w:rPr>
        <w:t>2</w:t>
      </w:r>
      <w:r w:rsidRPr="0059233E">
        <w:rPr>
          <w:iCs/>
          <w:sz w:val="28"/>
          <w:szCs w:val="28"/>
        </w:rPr>
        <w:t>.punktu</w:t>
      </w:r>
    </w:p>
    <w:p w:rsidR="006A403B" w:rsidRPr="0059233E" w:rsidRDefault="006A403B" w:rsidP="006A403B">
      <w:pPr>
        <w:jc w:val="both"/>
        <w:rPr>
          <w:sz w:val="28"/>
          <w:szCs w:val="28"/>
        </w:rPr>
      </w:pPr>
    </w:p>
    <w:p w:rsidR="006A403B" w:rsidRPr="0059233E" w:rsidRDefault="006A403B" w:rsidP="006A403B">
      <w:pPr>
        <w:jc w:val="both"/>
        <w:rPr>
          <w:sz w:val="28"/>
          <w:szCs w:val="28"/>
        </w:rPr>
      </w:pPr>
    </w:p>
    <w:p w:rsidR="002514FF" w:rsidRPr="0059233E" w:rsidRDefault="006A403B" w:rsidP="006A403B">
      <w:pPr>
        <w:shd w:val="clear" w:color="auto" w:fill="FFFFFF"/>
        <w:jc w:val="both"/>
        <w:rPr>
          <w:sz w:val="28"/>
          <w:szCs w:val="28"/>
        </w:rPr>
      </w:pPr>
      <w:r w:rsidRPr="0059233E">
        <w:rPr>
          <w:sz w:val="28"/>
          <w:szCs w:val="28"/>
        </w:rPr>
        <w:tab/>
        <w:t xml:space="preserve">Izdarīt </w:t>
      </w:r>
      <w:r w:rsidR="0045189D" w:rsidRPr="0059233E">
        <w:rPr>
          <w:bCs/>
          <w:sz w:val="28"/>
          <w:szCs w:val="28"/>
        </w:rPr>
        <w:t xml:space="preserve">Ministru kabineta </w:t>
      </w:r>
      <w:r w:rsidR="0045189D" w:rsidRPr="0059233E">
        <w:rPr>
          <w:sz w:val="28"/>
          <w:szCs w:val="28"/>
        </w:rPr>
        <w:t>2014.gada 4.februāra noteikumos Nr.78 „</w:t>
      </w:r>
      <w:r w:rsidR="0045189D" w:rsidRPr="0059233E">
        <w:rPr>
          <w:bCs/>
          <w:sz w:val="28"/>
          <w:szCs w:val="28"/>
        </w:rPr>
        <w:t>Klimata pārmaiņu finanšu instrumenta finansēto projektu atklāta konkursa „Siltumnīcefekta gāzu emisijas samazināšana transporta sektorā – atbalsts elektromobiļu un to uzlādes infrastruktūras ieviešanai”</w:t>
      </w:r>
      <w:r w:rsidR="006D1BDE" w:rsidRPr="0059233E">
        <w:rPr>
          <w:bCs/>
          <w:sz w:val="28"/>
          <w:szCs w:val="28"/>
        </w:rPr>
        <w:t xml:space="preserve"> nolikums”</w:t>
      </w:r>
      <w:r w:rsidRPr="0059233E">
        <w:rPr>
          <w:bCs/>
          <w:sz w:val="28"/>
          <w:szCs w:val="28"/>
        </w:rPr>
        <w:t xml:space="preserve"> </w:t>
      </w:r>
      <w:r w:rsidR="00A035EF" w:rsidRPr="0059233E">
        <w:rPr>
          <w:sz w:val="28"/>
          <w:szCs w:val="28"/>
        </w:rPr>
        <w:t>(Latvijas Vēstnesis, 20</w:t>
      </w:r>
      <w:r w:rsidR="00610D89" w:rsidRPr="0059233E">
        <w:rPr>
          <w:sz w:val="28"/>
          <w:szCs w:val="28"/>
        </w:rPr>
        <w:t>1</w:t>
      </w:r>
      <w:r w:rsidR="00B07A21" w:rsidRPr="0059233E">
        <w:rPr>
          <w:sz w:val="28"/>
          <w:szCs w:val="28"/>
        </w:rPr>
        <w:t>4</w:t>
      </w:r>
      <w:r w:rsidRPr="0059233E">
        <w:rPr>
          <w:sz w:val="28"/>
          <w:szCs w:val="28"/>
        </w:rPr>
        <w:t>, nr.</w:t>
      </w:r>
      <w:r w:rsidR="0045189D" w:rsidRPr="0059233E">
        <w:rPr>
          <w:sz w:val="28"/>
          <w:szCs w:val="28"/>
        </w:rPr>
        <w:t>42, 120</w:t>
      </w:r>
      <w:r w:rsidRPr="0059233E">
        <w:rPr>
          <w:sz w:val="28"/>
          <w:szCs w:val="28"/>
        </w:rPr>
        <w:t xml:space="preserve">) </w:t>
      </w:r>
      <w:r w:rsidR="002514FF" w:rsidRPr="0059233E">
        <w:rPr>
          <w:sz w:val="28"/>
          <w:szCs w:val="28"/>
        </w:rPr>
        <w:t xml:space="preserve">šādus </w:t>
      </w:r>
      <w:r w:rsidR="006B75AB" w:rsidRPr="0059233E">
        <w:rPr>
          <w:sz w:val="28"/>
          <w:szCs w:val="28"/>
        </w:rPr>
        <w:t>grozījumu</w:t>
      </w:r>
      <w:r w:rsidR="002514FF" w:rsidRPr="0059233E">
        <w:rPr>
          <w:sz w:val="28"/>
          <w:szCs w:val="28"/>
        </w:rPr>
        <w:t>s:</w:t>
      </w:r>
    </w:p>
    <w:bookmarkEnd w:id="2"/>
    <w:bookmarkEnd w:id="3"/>
    <w:p w:rsidR="0059233E" w:rsidRDefault="0059233E" w:rsidP="0004767D">
      <w:pPr>
        <w:shd w:val="clear" w:color="auto" w:fill="FFFFFF"/>
        <w:ind w:left="720"/>
        <w:jc w:val="both"/>
        <w:rPr>
          <w:sz w:val="28"/>
          <w:szCs w:val="28"/>
        </w:rPr>
      </w:pPr>
    </w:p>
    <w:p w:rsidR="0057254E" w:rsidRPr="00A347FC" w:rsidRDefault="001B1A7F" w:rsidP="0027241B">
      <w:pPr>
        <w:shd w:val="clear" w:color="auto" w:fill="FFFFFF"/>
        <w:tabs>
          <w:tab w:val="left" w:pos="5280"/>
        </w:tabs>
        <w:ind w:firstLine="567"/>
        <w:jc w:val="both"/>
        <w:rPr>
          <w:sz w:val="28"/>
          <w:szCs w:val="28"/>
        </w:rPr>
      </w:pPr>
      <w:r w:rsidRPr="00A347FC">
        <w:rPr>
          <w:rFonts w:eastAsia="Calibri"/>
          <w:sz w:val="28"/>
          <w:szCs w:val="28"/>
        </w:rPr>
        <w:t>1</w:t>
      </w:r>
      <w:r w:rsidR="000448A3" w:rsidRPr="00A347FC">
        <w:rPr>
          <w:rFonts w:eastAsia="Calibri"/>
          <w:sz w:val="28"/>
          <w:szCs w:val="28"/>
        </w:rPr>
        <w:t>.</w:t>
      </w:r>
      <w:r w:rsidR="00934665" w:rsidRPr="00A347FC">
        <w:rPr>
          <w:sz w:val="28"/>
          <w:szCs w:val="28"/>
        </w:rPr>
        <w:t> </w:t>
      </w:r>
      <w:r w:rsidR="0057254E" w:rsidRPr="00A347FC">
        <w:rPr>
          <w:sz w:val="28"/>
          <w:szCs w:val="28"/>
        </w:rPr>
        <w:t xml:space="preserve">Izteikt 72.punktu šādā redakcijā: </w:t>
      </w:r>
      <w:r w:rsidR="0027241B">
        <w:rPr>
          <w:sz w:val="28"/>
          <w:szCs w:val="28"/>
        </w:rPr>
        <w:tab/>
      </w:r>
    </w:p>
    <w:p w:rsidR="0057254E" w:rsidRPr="00A347FC" w:rsidRDefault="0057254E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„72. Piecus gadus pēc projekta īstenošanas termiņa beigām finansējuma saņēmējs katru gadu veic projekta rezultātu monitoringu un līdz nākamā gada 31. janvārim iesniedz Vides investīciju fondā projekta rezultātu monitoringa pārskatu (turpmāk – monitoringa pārskats) atbilstoši projekta līgumam pievienotajam paraugam. Monitoringa pārskatā iekļautā elektromobiļa viena gada faktiskā nobraukuma pieļaujamā nobīde uz leju ir 20 % no projekta iesniegumā norādītā viena gada plānotā elektromobiļa nobraukuma.</w:t>
      </w:r>
      <w:r w:rsidR="007123D0" w:rsidRPr="00A347FC">
        <w:t xml:space="preserve"> </w:t>
      </w:r>
      <w:r w:rsidR="00376C98" w:rsidRPr="00A347FC">
        <w:t xml:space="preserve"> </w:t>
      </w:r>
      <w:r w:rsidR="007123D0" w:rsidRPr="00A347FC">
        <w:rPr>
          <w:color w:val="000000"/>
          <w:sz w:val="28"/>
          <w:szCs w:val="28"/>
        </w:rPr>
        <w:t>Monitoringa periods sākas ar nākamā mēneša 1.datumu pēc noslēguma pārskata apstiprināšanas.</w:t>
      </w:r>
      <w:r w:rsidRPr="00A347FC">
        <w:rPr>
          <w:sz w:val="28"/>
          <w:szCs w:val="28"/>
        </w:rPr>
        <w:t xml:space="preserve"> Monitoringa gads sākas </w:t>
      </w:r>
      <w:r w:rsidRPr="00A347FC">
        <w:rPr>
          <w:rFonts w:eastAsia="Calibri"/>
          <w:sz w:val="28"/>
          <w:szCs w:val="28"/>
        </w:rPr>
        <w:t>no kārtējā kalendārā gada 1. janvāra un ilgst līdz kārtējā kalendārā gada 31. decembrim.”</w:t>
      </w:r>
      <w:r w:rsidRPr="00A347FC">
        <w:rPr>
          <w:sz w:val="28"/>
          <w:szCs w:val="28"/>
        </w:rPr>
        <w:t xml:space="preserve"> </w:t>
      </w:r>
    </w:p>
    <w:p w:rsidR="00B83EF8" w:rsidRPr="00A347FC" w:rsidRDefault="008108CC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3EF8" w:rsidRPr="00A347FC">
        <w:rPr>
          <w:sz w:val="28"/>
          <w:szCs w:val="28"/>
        </w:rPr>
        <w:t>Izteikt 74.punktu šādā redakcijā:</w:t>
      </w:r>
    </w:p>
    <w:p w:rsidR="00A00157" w:rsidRPr="00A347FC" w:rsidRDefault="00413DCA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 xml:space="preserve">„74. </w:t>
      </w:r>
      <w:r w:rsidR="00D83E1C" w:rsidRPr="00A347FC">
        <w:rPr>
          <w:sz w:val="28"/>
          <w:szCs w:val="28"/>
        </w:rPr>
        <w:t>Ja Vides investīciju fonds atbilstoši finansējuma saņēmēja iesniegtajam monitoringa pārskatam jebkur</w:t>
      </w:r>
      <w:r w:rsidR="00376C98" w:rsidRPr="00A347FC">
        <w:rPr>
          <w:sz w:val="28"/>
          <w:szCs w:val="28"/>
        </w:rPr>
        <w:t>ā</w:t>
      </w:r>
      <w:r w:rsidR="00D83E1C" w:rsidRPr="00A347FC">
        <w:rPr>
          <w:sz w:val="28"/>
          <w:szCs w:val="28"/>
        </w:rPr>
        <w:t xml:space="preserve"> no pirmajiem četriem monitoringa gadiem (konstatē, ka finansējuma saņēmējs nenodrošina šo noteikumu 69. </w:t>
      </w:r>
      <w:r w:rsidR="00D83E1C" w:rsidRPr="00A347FC">
        <w:rPr>
          <w:sz w:val="28"/>
          <w:szCs w:val="28"/>
        </w:rPr>
        <w:lastRenderedPageBreak/>
        <w:t xml:space="preserve">punktā minēto prasību izpildi, Vides investīciju fonds rakstiski par to informē finansējuma saņēmēju un atbildīgo iestādi.” </w:t>
      </w:r>
    </w:p>
    <w:p w:rsidR="00934665" w:rsidRPr="00A347FC" w:rsidRDefault="008108CC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DCA" w:rsidRPr="00A347FC">
        <w:rPr>
          <w:sz w:val="28"/>
          <w:szCs w:val="28"/>
        </w:rPr>
        <w:t>. Izteikt 76.punktu šādā redakcijā:</w:t>
      </w:r>
    </w:p>
    <w:p w:rsidR="008B799D" w:rsidRPr="00A347FC" w:rsidRDefault="00413DCA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 xml:space="preserve">„76. </w:t>
      </w:r>
      <w:r w:rsidR="00D83E1C" w:rsidRPr="00A347FC">
        <w:rPr>
          <w:sz w:val="28"/>
          <w:szCs w:val="28"/>
        </w:rPr>
        <w:t>Ja finansējuma saņēmējs</w:t>
      </w:r>
      <w:r w:rsidRPr="00A347FC">
        <w:rPr>
          <w:sz w:val="28"/>
          <w:szCs w:val="28"/>
        </w:rPr>
        <w:t>:</w:t>
      </w:r>
    </w:p>
    <w:p w:rsidR="008B799D" w:rsidRPr="00A347FC" w:rsidRDefault="00413DCA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76.1.</w:t>
      </w:r>
      <w:r w:rsidR="00D83E1C" w:rsidRPr="00A347FC">
        <w:rPr>
          <w:sz w:val="28"/>
          <w:szCs w:val="28"/>
        </w:rPr>
        <w:t xml:space="preserve"> šo noteikumu 69.2. apakšpunktā minēto nosacījumu neizpilda </w:t>
      </w:r>
      <w:r w:rsidR="00794012" w:rsidRPr="00A347FC">
        <w:rPr>
          <w:sz w:val="28"/>
          <w:szCs w:val="28"/>
        </w:rPr>
        <w:t xml:space="preserve">monitoringa perioda </w:t>
      </w:r>
      <w:r w:rsidR="008F1556" w:rsidRPr="00A347FC">
        <w:rPr>
          <w:sz w:val="28"/>
          <w:szCs w:val="28"/>
        </w:rPr>
        <w:t xml:space="preserve">ceturtajā monitoringa </w:t>
      </w:r>
      <w:r w:rsidR="00794012" w:rsidRPr="00A347FC">
        <w:rPr>
          <w:sz w:val="28"/>
          <w:szCs w:val="28"/>
        </w:rPr>
        <w:t xml:space="preserve">gadā </w:t>
      </w:r>
      <w:r w:rsidR="00D83E1C" w:rsidRPr="00A347FC">
        <w:rPr>
          <w:sz w:val="28"/>
          <w:szCs w:val="28"/>
        </w:rPr>
        <w:t xml:space="preserve">un Vides investīciju fonds pēc </w:t>
      </w:r>
      <w:r w:rsidR="008F1556" w:rsidRPr="00A347FC">
        <w:rPr>
          <w:sz w:val="28"/>
          <w:szCs w:val="28"/>
        </w:rPr>
        <w:t xml:space="preserve">ceturtā </w:t>
      </w:r>
      <w:r w:rsidR="00D83E1C" w:rsidRPr="00A347FC">
        <w:rPr>
          <w:sz w:val="28"/>
          <w:szCs w:val="28"/>
        </w:rPr>
        <w:t>monitoringa</w:t>
      </w:r>
      <w:r w:rsidR="008F1556" w:rsidRPr="00A347FC">
        <w:rPr>
          <w:sz w:val="28"/>
          <w:szCs w:val="28"/>
        </w:rPr>
        <w:t xml:space="preserve"> gada monitoringa</w:t>
      </w:r>
      <w:r w:rsidR="00D83E1C" w:rsidRPr="00A347FC">
        <w:rPr>
          <w:sz w:val="28"/>
          <w:szCs w:val="28"/>
        </w:rPr>
        <w:t xml:space="preserve"> pārskata konstatē, ka projekta līgumā</w:t>
      </w:r>
      <w:r w:rsidR="00067756" w:rsidRPr="00A347FC">
        <w:rPr>
          <w:sz w:val="28"/>
          <w:szCs w:val="28"/>
        </w:rPr>
        <w:t xml:space="preserve"> un projekta iesniegumā</w:t>
      </w:r>
      <w:r w:rsidR="00D83E1C" w:rsidRPr="00A347FC">
        <w:rPr>
          <w:sz w:val="28"/>
          <w:szCs w:val="28"/>
        </w:rPr>
        <w:t xml:space="preserve"> norādītais plānotais elektromobiļu viena gada nobraukums gadā,</w:t>
      </w:r>
      <w:r w:rsidR="00345B6D" w:rsidRPr="00A347FC">
        <w:rPr>
          <w:sz w:val="28"/>
          <w:szCs w:val="28"/>
        </w:rPr>
        <w:t xml:space="preserve"> salīdzinot ar monitoringa</w:t>
      </w:r>
      <w:r w:rsidR="008F1556" w:rsidRPr="00A347FC">
        <w:rPr>
          <w:sz w:val="28"/>
          <w:szCs w:val="28"/>
        </w:rPr>
        <w:t xml:space="preserve"> perioda monitoringa gadu </w:t>
      </w:r>
      <w:r w:rsidR="00345B6D" w:rsidRPr="00A347FC">
        <w:rPr>
          <w:sz w:val="28"/>
          <w:szCs w:val="28"/>
        </w:rPr>
        <w:t>vidējo nobraukum</w:t>
      </w:r>
      <w:r w:rsidR="00352990" w:rsidRPr="00A347FC">
        <w:rPr>
          <w:sz w:val="28"/>
          <w:szCs w:val="28"/>
        </w:rPr>
        <w:t>u</w:t>
      </w:r>
      <w:r w:rsidR="00345B6D" w:rsidRPr="00A347FC">
        <w:rPr>
          <w:sz w:val="28"/>
          <w:szCs w:val="28"/>
        </w:rPr>
        <w:t xml:space="preserve"> gadā, </w:t>
      </w:r>
      <w:r w:rsidR="00D83E1C" w:rsidRPr="00A347FC">
        <w:rPr>
          <w:sz w:val="28"/>
          <w:szCs w:val="28"/>
        </w:rPr>
        <w:t xml:space="preserve">nav sasniegts, Vides investīciju fonds rakstiski informē finansējuma saņēmēju un atbildīgo iestādi par finansējuma saņēmējam izmaksāto un atgūstamo finanšu instrumenta finansējumu. </w:t>
      </w:r>
      <w:r w:rsidR="008B799D" w:rsidRPr="00A347FC">
        <w:rPr>
          <w:sz w:val="28"/>
          <w:szCs w:val="28"/>
        </w:rPr>
        <w:t>Atbildīgā iestāde pieņem</w:t>
      </w:r>
      <w:r w:rsidR="005D72A5" w:rsidRPr="00A347FC">
        <w:rPr>
          <w:sz w:val="28"/>
          <w:szCs w:val="28"/>
        </w:rPr>
        <w:t>, ievērojot šo noteikumu X nodaļā ietverto regulējumu redakcijā, kas stājusies spēkā 201</w:t>
      </w:r>
      <w:r w:rsidR="001C62E7">
        <w:rPr>
          <w:sz w:val="28"/>
          <w:szCs w:val="28"/>
        </w:rPr>
        <w:t>7</w:t>
      </w:r>
      <w:r w:rsidR="005D72A5" w:rsidRPr="00A347FC">
        <w:rPr>
          <w:sz w:val="28"/>
          <w:szCs w:val="28"/>
        </w:rPr>
        <w:t>.gada ___,</w:t>
      </w:r>
      <w:r w:rsidR="008B799D" w:rsidRPr="00A347FC">
        <w:rPr>
          <w:sz w:val="28"/>
          <w:szCs w:val="28"/>
        </w:rPr>
        <w:t xml:space="preserve"> lēmumu par projektam izmaksāto finanšu instrumenta līdzekļu atzīšanu par neattiecināmiem </w:t>
      </w:r>
      <w:r w:rsidR="00A347FC" w:rsidRPr="00A347FC">
        <w:rPr>
          <w:sz w:val="28"/>
          <w:szCs w:val="28"/>
        </w:rPr>
        <w:t xml:space="preserve">un finansējuma atgūšanu </w:t>
      </w:r>
      <w:r w:rsidR="005F0864">
        <w:rPr>
          <w:sz w:val="28"/>
          <w:szCs w:val="28"/>
        </w:rPr>
        <w:t>atbilstoši</w:t>
      </w:r>
      <w:r w:rsidR="00A347FC" w:rsidRPr="00A347FC">
        <w:rPr>
          <w:sz w:val="28"/>
          <w:szCs w:val="28"/>
        </w:rPr>
        <w:t xml:space="preserve"> elektromobiļa nobraukuma neizpildei un </w:t>
      </w:r>
      <w:r w:rsidR="00DC14E8" w:rsidRPr="00A347FC">
        <w:rPr>
          <w:sz w:val="28"/>
          <w:szCs w:val="28"/>
        </w:rPr>
        <w:t>šo noteikumu 79.punktā minētajām vadlīnijām</w:t>
      </w:r>
      <w:r w:rsidR="00D83E1C" w:rsidRPr="00A347FC">
        <w:rPr>
          <w:sz w:val="28"/>
          <w:szCs w:val="28"/>
        </w:rPr>
        <w:t>.</w:t>
      </w:r>
    </w:p>
    <w:p w:rsidR="00B83EF8" w:rsidRPr="00A347FC" w:rsidRDefault="00D83E1C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 xml:space="preserve">76.2. šo noteikumu </w:t>
      </w:r>
      <w:hyperlink r:id="rId10" w:anchor="p75" w:tgtFrame="_blank" w:history="1">
        <w:r w:rsidRPr="00A347FC">
          <w:rPr>
            <w:sz w:val="28"/>
            <w:szCs w:val="28"/>
          </w:rPr>
          <w:t>75.1. un 75.3.apakšpunktā</w:t>
        </w:r>
      </w:hyperlink>
      <w:r w:rsidRPr="00A347FC">
        <w:rPr>
          <w:sz w:val="28"/>
          <w:szCs w:val="28"/>
        </w:rPr>
        <w:t xml:space="preserve"> minētās prasības neizpilda norādītajos termiņos, Vides investīciju fonds rakstiski informē finansējuma saņēmēju un atbildīgo iestādi par finansējuma saņēmējam izmaksāto un atgūstamo finanšu instrumenta finansējumu. </w:t>
      </w:r>
      <w:r w:rsidR="005D72A5" w:rsidRPr="00A347FC">
        <w:rPr>
          <w:sz w:val="28"/>
          <w:szCs w:val="28"/>
        </w:rPr>
        <w:t>Atbildīgā iestāde, ievērojot šo noteikumu X nodaļā ietverto regulējumu redakcijā, kas stājusies spēkā 201</w:t>
      </w:r>
      <w:r w:rsidR="001C62E7">
        <w:rPr>
          <w:sz w:val="28"/>
          <w:szCs w:val="28"/>
        </w:rPr>
        <w:t>7</w:t>
      </w:r>
      <w:r w:rsidR="005D72A5" w:rsidRPr="00A347FC">
        <w:rPr>
          <w:sz w:val="28"/>
          <w:szCs w:val="28"/>
        </w:rPr>
        <w:t xml:space="preserve">.gada ___, </w:t>
      </w:r>
      <w:r w:rsidR="00B16C8B" w:rsidRPr="00A347FC">
        <w:rPr>
          <w:sz w:val="28"/>
          <w:szCs w:val="28"/>
        </w:rPr>
        <w:t>pieņem lēmumu par projektam izmaksāto finanšu instrumenta līdzekļu atzīšanu par neattiecināmiem un finansējuma atgūšanu</w:t>
      </w:r>
      <w:r w:rsidRPr="00A347FC">
        <w:rPr>
          <w:sz w:val="28"/>
          <w:szCs w:val="28"/>
        </w:rPr>
        <w:t xml:space="preserve"> proporcionāli elektromobiļa</w:t>
      </w:r>
      <w:r w:rsidR="00352990" w:rsidRPr="00A347FC">
        <w:rPr>
          <w:sz w:val="28"/>
          <w:szCs w:val="28"/>
        </w:rPr>
        <w:t xml:space="preserve"> </w:t>
      </w:r>
      <w:r w:rsidRPr="00A347FC">
        <w:rPr>
          <w:sz w:val="28"/>
          <w:szCs w:val="28"/>
        </w:rPr>
        <w:t xml:space="preserve">vai publiski pieejamās uzlādes stacijas ekspluatācijas </w:t>
      </w:r>
      <w:r w:rsidR="00A347FC" w:rsidRPr="00A347FC">
        <w:rPr>
          <w:sz w:val="28"/>
          <w:szCs w:val="28"/>
        </w:rPr>
        <w:t>neizpilde</w:t>
      </w:r>
      <w:r w:rsidR="00A347FC">
        <w:rPr>
          <w:sz w:val="28"/>
          <w:szCs w:val="28"/>
        </w:rPr>
        <w:t>s</w:t>
      </w:r>
      <w:r w:rsidR="00A347FC" w:rsidRPr="00A347FC">
        <w:rPr>
          <w:sz w:val="28"/>
          <w:szCs w:val="28"/>
        </w:rPr>
        <w:t xml:space="preserve"> </w:t>
      </w:r>
      <w:r w:rsidRPr="00A347FC">
        <w:rPr>
          <w:sz w:val="28"/>
          <w:szCs w:val="28"/>
        </w:rPr>
        <w:t>laikam. Atgūstamajiem līdzekļiem piemēro Eiropas Centrālās bankas refinansēšanas likmi, kas ir spēkā dienā, kad pieņemts lēmums par līdzekļu atgūšanu.</w:t>
      </w:r>
      <w:r w:rsidR="00413DCA" w:rsidRPr="00A347FC">
        <w:rPr>
          <w:sz w:val="28"/>
          <w:szCs w:val="28"/>
        </w:rPr>
        <w:t>”</w:t>
      </w:r>
    </w:p>
    <w:p w:rsidR="00A00157" w:rsidRPr="00A347FC" w:rsidRDefault="0081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E1C" w:rsidRPr="00A347FC">
        <w:rPr>
          <w:sz w:val="28"/>
          <w:szCs w:val="28"/>
        </w:rPr>
        <w:t xml:space="preserve">. Papildināt noteikumus ar 77., 78, 79.punktu šādā redakcijā: </w:t>
      </w:r>
    </w:p>
    <w:p w:rsidR="000D07AC" w:rsidRPr="00A347FC" w:rsidRDefault="00413DCA">
      <w:pPr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„</w:t>
      </w:r>
      <w:r w:rsidR="00D83E1C" w:rsidRPr="00A347FC">
        <w:rPr>
          <w:sz w:val="28"/>
          <w:szCs w:val="28"/>
        </w:rPr>
        <w:t xml:space="preserve">77. </w:t>
      </w:r>
      <w:r w:rsidR="0057254E" w:rsidRPr="00A347FC">
        <w:rPr>
          <w:sz w:val="28"/>
          <w:szCs w:val="28"/>
        </w:rPr>
        <w:t>Lai noteiktu atgūstamo neattiecināmo līdzekļu apjomu</w:t>
      </w:r>
      <w:r w:rsidR="000D07AC" w:rsidRPr="00A347FC">
        <w:rPr>
          <w:sz w:val="28"/>
          <w:szCs w:val="28"/>
        </w:rPr>
        <w:t>:</w:t>
      </w:r>
    </w:p>
    <w:p w:rsidR="00A00157" w:rsidRPr="00A347FC" w:rsidRDefault="000D07AC">
      <w:pPr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77.1. </w:t>
      </w:r>
      <w:r w:rsidR="0057254E" w:rsidRPr="00A347FC">
        <w:rPr>
          <w:sz w:val="28"/>
          <w:szCs w:val="28"/>
        </w:rPr>
        <w:t xml:space="preserve"> atbilstoši konstatētajai šo noteikumu 76.1.apakšpunktā minētās prasības neatbilstībai, attiecīgi elektromobiļa vidējo nobraukumu gadā par pieciem monitoringa gadiem</w:t>
      </w:r>
      <w:r w:rsidR="004025DF" w:rsidRPr="00A347FC">
        <w:rPr>
          <w:sz w:val="28"/>
          <w:szCs w:val="28"/>
        </w:rPr>
        <w:t xml:space="preserve"> </w:t>
      </w:r>
      <w:r w:rsidR="0057254E" w:rsidRPr="00A347FC">
        <w:rPr>
          <w:sz w:val="28"/>
          <w:szCs w:val="28"/>
        </w:rPr>
        <w:t>dala ar projekta</w:t>
      </w:r>
      <w:r w:rsidR="005A5803" w:rsidRPr="00A347FC">
        <w:rPr>
          <w:sz w:val="28"/>
          <w:szCs w:val="28"/>
        </w:rPr>
        <w:t xml:space="preserve"> līgumā un projekta</w:t>
      </w:r>
      <w:r w:rsidR="0057254E" w:rsidRPr="00A347FC">
        <w:rPr>
          <w:sz w:val="28"/>
          <w:szCs w:val="28"/>
        </w:rPr>
        <w:t xml:space="preserve"> iesniegumā norādīto plānoto elektromobiļu viena gada nobraukumu gadā</w:t>
      </w:r>
      <w:r w:rsidR="004025DF" w:rsidRPr="00A347FC">
        <w:rPr>
          <w:sz w:val="28"/>
          <w:szCs w:val="28"/>
        </w:rPr>
        <w:t xml:space="preserve">, kas </w:t>
      </w:r>
      <w:r w:rsidR="0057254E" w:rsidRPr="00A347FC">
        <w:rPr>
          <w:sz w:val="28"/>
          <w:szCs w:val="28"/>
        </w:rPr>
        <w:t>reizināt</w:t>
      </w:r>
      <w:r w:rsidR="004025DF" w:rsidRPr="00A347FC">
        <w:rPr>
          <w:sz w:val="28"/>
          <w:szCs w:val="28"/>
        </w:rPr>
        <w:t>s</w:t>
      </w:r>
      <w:r w:rsidR="0057254E" w:rsidRPr="00A347FC">
        <w:rPr>
          <w:sz w:val="28"/>
          <w:szCs w:val="28"/>
        </w:rPr>
        <w:t xml:space="preserve"> ar 0.8</w:t>
      </w:r>
      <w:r w:rsidR="004025DF" w:rsidRPr="00A347FC">
        <w:rPr>
          <w:sz w:val="28"/>
          <w:szCs w:val="28"/>
        </w:rPr>
        <w:t>.</w:t>
      </w:r>
      <w:r w:rsidR="00130A33" w:rsidRPr="00A347FC">
        <w:rPr>
          <w:sz w:val="28"/>
          <w:szCs w:val="28"/>
        </w:rPr>
        <w:t xml:space="preserve"> </w:t>
      </w:r>
      <w:r w:rsidR="00413DCA" w:rsidRPr="00A347FC">
        <w:rPr>
          <w:sz w:val="28"/>
          <w:szCs w:val="28"/>
        </w:rPr>
        <w:t xml:space="preserve">No vieninieka atņem dalījuma rezultātu un reizina ar piešķirto finansējumu no finanšu instrumenta un </w:t>
      </w:r>
      <w:r w:rsidR="00D83E1C" w:rsidRPr="00A347FC">
        <w:rPr>
          <w:sz w:val="28"/>
          <w:szCs w:val="28"/>
        </w:rPr>
        <w:t xml:space="preserve">rezultātam piemēro Eiropas Centrālās bankas refinansēšanas likmi, kas ir spēkā dienā, kad pieņemts lēmums par līdzekļu atgūšanu. </w:t>
      </w:r>
    </w:p>
    <w:bookmarkStart w:id="4" w:name="_GoBack"/>
    <w:p w:rsidR="00A7397C" w:rsidRPr="00A347FC" w:rsidRDefault="00E359EF" w:rsidP="00A7397C">
      <w:pPr>
        <w:rPr>
          <w:rFonts w:asciiTheme="minorHAnsi" w:eastAsiaTheme="minorEastAsia" w:hAnsiTheme="minorHAnsi" w:cstheme="minorBidi"/>
          <w:b/>
          <w:sz w:val="18"/>
          <w:szCs w:val="1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18"/>
                  <w:szCs w:val="18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>KPFI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 xml:space="preserve">n.l. </m:t>
              </m:r>
            </m:sub>
          </m:sSub>
          <w:bookmarkEnd w:id="4"/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18"/>
                  <w:szCs w:val="1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18"/>
                          <w:szCs w:val="1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 xml:space="preserve"> 1.gads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2.gads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3.gads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4.gads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18"/>
                              <w:szCs w:val="18"/>
                            </w:rPr>
                            <m:t>n.gads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18"/>
                      <w:szCs w:val="18"/>
                    </w:rPr>
                    <m:t>/n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Līgums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18"/>
                      <w:szCs w:val="18"/>
                    </w:rPr>
                    <m:t>×0,8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theme="minorBidi"/>
              <w:sz w:val="18"/>
              <w:szCs w:val="18"/>
            </w:rPr>
            <m:t>×K</m:t>
          </m:r>
          <m:r>
            <m:rPr>
              <m:sty m:val="bi"/>
            </m:rPr>
            <w:rPr>
              <w:rFonts w:ascii="Cambria Math" w:eastAsiaTheme="minorEastAsia" w:hAnsi="Cambria Math" w:cstheme="minorBidi"/>
              <w:sz w:val="18"/>
              <w:szCs w:val="18"/>
            </w:rPr>
            <m:t>PFI</m:t>
          </m:r>
          <m:r>
            <m:rPr>
              <m:sty m:val="bi"/>
            </m:rPr>
            <w:rPr>
              <w:rFonts w:ascii="Cambria Math" w:hAnsi="Cambria Math" w:cs="Arial" w:hint="eastAsia"/>
              <w:sz w:val="18"/>
              <w:szCs w:val="18"/>
            </w:rPr>
            <m:t>×</m:t>
          </m:r>
          <m:d>
            <m:d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ECB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likme</m:t>
                  </m:r>
                </m:sub>
              </m:sSub>
            </m:e>
          </m:d>
        </m:oMath>
      </m:oMathPara>
    </w:p>
    <w:p w:rsidR="00B47B1E" w:rsidRDefault="00B47B1E">
      <w:pPr>
        <w:ind w:firstLine="567"/>
        <w:jc w:val="both"/>
        <w:rPr>
          <w:sz w:val="28"/>
          <w:szCs w:val="28"/>
        </w:rPr>
      </w:pPr>
    </w:p>
    <w:p w:rsidR="00A7397C" w:rsidRPr="00A347FC" w:rsidRDefault="00A7397C">
      <w:pPr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kur:</w:t>
      </w:r>
    </w:p>
    <w:p w:rsidR="00336ED5" w:rsidRPr="00A347FC" w:rsidRDefault="00336ED5" w:rsidP="00336ED5">
      <w:pPr>
        <w:jc w:val="both"/>
      </w:pPr>
      <w:r w:rsidRPr="00A347FC">
        <w:rPr>
          <w:i/>
        </w:rPr>
        <w:t>KPFI</w:t>
      </w:r>
      <w:r w:rsidRPr="00A347FC">
        <w:rPr>
          <w:i/>
          <w:vertAlign w:val="subscript"/>
        </w:rPr>
        <w:t>n.l.</w:t>
      </w:r>
      <w:r w:rsidRPr="00A347FC">
        <w:rPr>
          <w:vertAlign w:val="subscript"/>
        </w:rPr>
        <w:t xml:space="preserve">  </w:t>
      </w:r>
      <w:r w:rsidRPr="00A347FC">
        <w:t xml:space="preserve">- atgūstamais neattiecināmo līdzekļu apjoms, </w:t>
      </w:r>
      <w:r w:rsidRPr="00A347FC">
        <w:rPr>
          <w:i/>
        </w:rPr>
        <w:t>euro</w:t>
      </w:r>
      <w:r w:rsidRPr="00A347FC">
        <w:t xml:space="preserve"> (noapaļots</w:t>
      </w:r>
      <w:r w:rsidR="00565B89" w:rsidRPr="00A347FC">
        <w:t xml:space="preserve"> uz augšu</w:t>
      </w:r>
      <w:r w:rsidRPr="00A347FC">
        <w:t xml:space="preserve"> līdz 2 zīmēm aiz komata);</w:t>
      </w:r>
    </w:p>
    <w:p w:rsidR="00336ED5" w:rsidRPr="00A347FC" w:rsidRDefault="00E359EF" w:rsidP="00336ED5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  <m:r>
              <m:rPr>
                <m:sty m:val="bi"/>
              </m:rPr>
              <w:rPr>
                <w:rFonts w:ascii="Cambria Math" w:eastAsiaTheme="minorEastAsia"/>
              </w:rPr>
              <m:t>ī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gums</m:t>
            </m:r>
          </m:sub>
        </m:sSub>
      </m:oMath>
      <w:r w:rsidR="00130A33" w:rsidRPr="00A347FC">
        <w:t> </w:t>
      </w:r>
      <w:r w:rsidR="00336ED5" w:rsidRPr="00A347FC">
        <w:t>–</w:t>
      </w:r>
      <w:r w:rsidR="00130A33" w:rsidRPr="00A347FC">
        <w:t> </w:t>
      </w:r>
      <w:r w:rsidR="00336ED5" w:rsidRPr="00A347FC">
        <w:t xml:space="preserve">projekta līgumā un projekta iesniegumā norādītais </w:t>
      </w:r>
      <w:r w:rsidR="00565B89" w:rsidRPr="00A347FC">
        <w:t>elektromobiļa vidējais nobraukums gadā</w:t>
      </w:r>
      <w:r w:rsidR="00336ED5" w:rsidRPr="00A347FC">
        <w:t xml:space="preserve">, </w:t>
      </w:r>
      <w:r w:rsidR="00565B89" w:rsidRPr="00A347FC">
        <w:t>km</w:t>
      </w:r>
      <w:r w:rsidR="00336ED5" w:rsidRPr="00A347FC">
        <w:t>;</w:t>
      </w:r>
    </w:p>
    <w:p w:rsidR="00336ED5" w:rsidRPr="00A347FC" w:rsidRDefault="00E359EF" w:rsidP="00336ED5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likme</m:t>
            </m:r>
          </m:sub>
        </m:sSub>
      </m:oMath>
      <w:r w:rsidR="00130A33" w:rsidRPr="00A347FC">
        <w:t> </w:t>
      </w:r>
      <w:r w:rsidR="00336ED5" w:rsidRPr="00A347FC">
        <w:t>-</w:t>
      </w:r>
      <w:r w:rsidR="00130A33" w:rsidRPr="00A347FC">
        <w:t> </w:t>
      </w:r>
      <w:r w:rsidR="00336ED5" w:rsidRPr="00A347FC">
        <w:t>Eiropas Centrālās bankas refinansēšanas likme;</w:t>
      </w:r>
    </w:p>
    <w:p w:rsidR="00336ED5" w:rsidRPr="00A347FC" w:rsidRDefault="00E359EF" w:rsidP="00336ED5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  <m:r>
              <m:rPr>
                <m:sty m:val="bi"/>
              </m:rPr>
              <w:rPr>
                <w:rFonts w:ascii="Cambria Math" w:eastAsiaTheme="minorEastAsia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gads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gads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gads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  <m:r>
              <m:rPr>
                <m:sty m:val="bi"/>
              </m:rPr>
              <w:rPr>
                <w:rFonts w:ascii="Cambria Math" w:eastAsiaTheme="minorEastAsia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gads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  <m:r>
              <m:rPr>
                <m:sty m:val="bi"/>
              </m:rPr>
              <w:rPr>
                <w:rFonts w:ascii="Cambria Math" w:eastAsiaTheme="minorEastAsia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gads</m:t>
            </m:r>
          </m:sub>
        </m:sSub>
        <m:r>
          <m:rPr>
            <m:sty m:val="p"/>
          </m:rPr>
          <w:rPr>
            <w:rFonts w:ascii="Cambria Math"/>
          </w:rPr>
          <m:t> –</m:t>
        </m:r>
      </m:oMath>
      <w:r w:rsidR="00336ED5" w:rsidRPr="00A347FC">
        <w:t> elektromobiļa vidējais nobraukums gadā par pieciem monitoringa gadiem</w:t>
      </w:r>
      <w:r w:rsidR="00565B89" w:rsidRPr="00A347FC">
        <w:t>, km</w:t>
      </w:r>
      <w:r w:rsidR="00336ED5" w:rsidRPr="00A347FC">
        <w:t>;</w:t>
      </w:r>
    </w:p>
    <w:p w:rsidR="00336ED5" w:rsidRPr="00A347FC" w:rsidRDefault="00336ED5" w:rsidP="00336ED5">
      <w:pPr>
        <w:jc w:val="both"/>
      </w:pPr>
      <w:r w:rsidRPr="00A347FC">
        <w:t>n – gadu skaits;</w:t>
      </w:r>
    </w:p>
    <w:p w:rsidR="00A7397C" w:rsidRPr="00A347FC" w:rsidRDefault="00336ED5" w:rsidP="00336ED5">
      <w:pPr>
        <w:jc w:val="both"/>
      </w:pPr>
      <w:r w:rsidRPr="00A347FC">
        <w:rPr>
          <w:position w:val="-4"/>
        </w:rPr>
        <w:object w:dxaOrig="6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13.85pt" o:ole="">
            <v:imagedata r:id="rId11" o:title=""/>
          </v:shape>
          <o:OLEObject Type="Embed" ProgID="Equation.3" ShapeID="_x0000_i1025" DrawAspect="Content" ObjectID="_1547991236" r:id="rId12"/>
        </w:object>
      </w:r>
      <w:r w:rsidRPr="00A347FC">
        <w:t xml:space="preserve"> – piešķirtais finanšu instrumenta finansējums, </w:t>
      </w:r>
      <w:r w:rsidRPr="00A347FC">
        <w:rPr>
          <w:i/>
        </w:rPr>
        <w:t>euro</w:t>
      </w:r>
    </w:p>
    <w:p w:rsidR="000D07AC" w:rsidRPr="00A347FC" w:rsidRDefault="000D07AC" w:rsidP="000D07AC">
      <w:pPr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77.2.  atbilstoši konstatētajai šo noteikumu 76.</w:t>
      </w:r>
      <w:r w:rsidR="00CC0753" w:rsidRPr="00A347FC">
        <w:rPr>
          <w:sz w:val="28"/>
          <w:szCs w:val="28"/>
        </w:rPr>
        <w:t>2</w:t>
      </w:r>
      <w:r w:rsidRPr="00A347FC">
        <w:rPr>
          <w:sz w:val="28"/>
          <w:szCs w:val="28"/>
        </w:rPr>
        <w:t xml:space="preserve">.apakšpunktā minētās prasības neatbilstībai, attiecīgi elektromobiļa </w:t>
      </w:r>
      <w:r w:rsidR="00CC0753" w:rsidRPr="00A347FC">
        <w:rPr>
          <w:sz w:val="28"/>
          <w:szCs w:val="28"/>
        </w:rPr>
        <w:t xml:space="preserve">vai publiski pieejamās uzlādes stacijas ekspluatācijas laiku </w:t>
      </w:r>
      <w:r w:rsidRPr="00A347FC">
        <w:rPr>
          <w:sz w:val="28"/>
          <w:szCs w:val="28"/>
        </w:rPr>
        <w:t xml:space="preserve">dala ar projekta </w:t>
      </w:r>
      <w:r w:rsidR="00CC0753" w:rsidRPr="00A347FC">
        <w:rPr>
          <w:sz w:val="28"/>
          <w:szCs w:val="28"/>
        </w:rPr>
        <w:t>monitoringa perioda ilgumu</w:t>
      </w:r>
      <w:r w:rsidRPr="00A347FC">
        <w:rPr>
          <w:sz w:val="28"/>
          <w:szCs w:val="28"/>
        </w:rPr>
        <w:t xml:space="preserve">. No vieninieka atņem dalījuma rezultātu un reizina ar piešķirto finansējumu no finanšu instrumenta un rezultātam piemēro Eiropas Centrālās bankas refinansēšanas likmi, kas ir spēkā dienā, kad pieņemts lēmums par līdzekļu atgūšanu. </w:t>
      </w:r>
    </w:p>
    <w:p w:rsidR="000D07AC" w:rsidRPr="00A347FC" w:rsidRDefault="00E359EF" w:rsidP="000D07AC">
      <w:pPr>
        <w:rPr>
          <w:rFonts w:asciiTheme="minorHAnsi" w:eastAsiaTheme="minorEastAsia" w:hAnsiTheme="minorHAnsi" w:cstheme="minorBidi"/>
          <w:b/>
          <w:sz w:val="18"/>
          <w:szCs w:val="1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18"/>
                  <w:szCs w:val="18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>KPFI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18"/>
                  <w:szCs w:val="18"/>
                </w:rPr>
                <m:t xml:space="preserve">n.l. 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8"/>
              <w:szCs w:val="1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18"/>
                  <w:szCs w:val="1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ekspl.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Bidi"/>
                          <w:sz w:val="18"/>
                          <w:szCs w:val="18"/>
                        </w:rPr>
                        <m:t>Līgums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theme="minorBidi"/>
              <w:sz w:val="18"/>
              <w:szCs w:val="18"/>
            </w:rPr>
            <m:t>×KPFI</m:t>
          </m:r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×</m:t>
          </m:r>
          <m:d>
            <m:d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1+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ECB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likme</m:t>
                  </m:r>
                </m:sub>
              </m:sSub>
            </m:e>
          </m:d>
        </m:oMath>
      </m:oMathPara>
    </w:p>
    <w:p w:rsidR="00B47B1E" w:rsidRDefault="00B47B1E" w:rsidP="000D07AC">
      <w:pPr>
        <w:ind w:firstLine="567"/>
        <w:jc w:val="both"/>
        <w:rPr>
          <w:sz w:val="28"/>
          <w:szCs w:val="28"/>
        </w:rPr>
      </w:pPr>
    </w:p>
    <w:p w:rsidR="000D07AC" w:rsidRPr="00A347FC" w:rsidRDefault="000D07AC" w:rsidP="000D07AC">
      <w:pPr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>kur:</w:t>
      </w:r>
    </w:p>
    <w:p w:rsidR="000D07AC" w:rsidRPr="00A347FC" w:rsidRDefault="000D07AC" w:rsidP="000D07AC">
      <w:pPr>
        <w:jc w:val="both"/>
      </w:pPr>
      <w:r w:rsidRPr="00A347FC">
        <w:rPr>
          <w:i/>
        </w:rPr>
        <w:t>KPFI</w:t>
      </w:r>
      <w:r w:rsidRPr="00A347FC">
        <w:rPr>
          <w:i/>
          <w:vertAlign w:val="subscript"/>
        </w:rPr>
        <w:t>n.l.</w:t>
      </w:r>
      <w:r w:rsidRPr="00A347FC">
        <w:rPr>
          <w:vertAlign w:val="subscript"/>
        </w:rPr>
        <w:t xml:space="preserve">  </w:t>
      </w:r>
      <w:r w:rsidRPr="00A347FC">
        <w:t xml:space="preserve">- atgūstamais neattiecināmo līdzekļu apjoms, </w:t>
      </w:r>
      <w:r w:rsidRPr="00A347FC">
        <w:rPr>
          <w:i/>
        </w:rPr>
        <w:t>euro</w:t>
      </w:r>
      <w:r w:rsidRPr="00A347FC">
        <w:t xml:space="preserve"> (noapaļots</w:t>
      </w:r>
      <w:r w:rsidR="00BF6E5C" w:rsidRPr="00A347FC">
        <w:t xml:space="preserve"> uz augšu</w:t>
      </w:r>
      <w:r w:rsidRPr="00A347FC">
        <w:t xml:space="preserve"> līdz 2 zīmēm aiz komata);</w:t>
      </w:r>
    </w:p>
    <w:p w:rsidR="000D07AC" w:rsidRPr="00A347FC" w:rsidRDefault="00E359EF" w:rsidP="000D07AC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  <m:r>
              <m:rPr>
                <m:sty m:val="bi"/>
              </m:rPr>
              <w:rPr>
                <w:rFonts w:ascii="Cambria Math" w:eastAsiaTheme="minorEastAsia"/>
              </w:rPr>
              <m:t>ī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gums</m:t>
            </m:r>
          </m:sub>
        </m:sSub>
      </m:oMath>
      <w:r w:rsidR="000D07AC" w:rsidRPr="00A347FC">
        <w:t xml:space="preserve"> – projekta līgumā un projekta iesniegumā norādītais </w:t>
      </w:r>
      <w:r w:rsidR="00F61B6C" w:rsidRPr="00A347FC">
        <w:t>monitoringa periods</w:t>
      </w:r>
      <w:r w:rsidR="00BF6E5C" w:rsidRPr="00A347FC">
        <w:t>,</w:t>
      </w:r>
      <w:r w:rsidR="000D07AC" w:rsidRPr="00A347FC">
        <w:t xml:space="preserve"> </w:t>
      </w:r>
      <w:r w:rsidR="00F61B6C" w:rsidRPr="00A347FC">
        <w:t>gadi</w:t>
      </w:r>
      <w:r w:rsidR="000D07AC" w:rsidRPr="00A347FC">
        <w:t>)</w:t>
      </w:r>
    </w:p>
    <w:p w:rsidR="000D07AC" w:rsidRPr="00A347FC" w:rsidRDefault="00E359EF" w:rsidP="000D07AC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ECB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likme</m:t>
            </m:r>
          </m:sub>
        </m:sSub>
      </m:oMath>
      <w:r w:rsidR="000D07AC" w:rsidRPr="00A347FC">
        <w:t> - Eiropas Centrālās bankas refinansēšanas likme;</w:t>
      </w:r>
    </w:p>
    <w:p w:rsidR="000D07AC" w:rsidRPr="00A347FC" w:rsidRDefault="00E359EF" w:rsidP="000D07AC">
      <w:pPr>
        <w:jc w:val="both"/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ekspl.</m:t>
            </m:r>
          </m:sub>
        </m:sSub>
      </m:oMath>
      <w:r w:rsidR="00F61B6C" w:rsidRPr="00A347FC">
        <w:t> - </w:t>
      </w:r>
      <w:r w:rsidR="000D07AC" w:rsidRPr="00A347FC">
        <w:t xml:space="preserve">ektromobiļa </w:t>
      </w:r>
      <w:r w:rsidR="00F61B6C" w:rsidRPr="00A347FC">
        <w:t>vai publiski pieejamās uzlādes stacijas ekspluatācijas laiks</w:t>
      </w:r>
      <w:r w:rsidR="00BF6E5C" w:rsidRPr="00A347FC">
        <w:t>,</w:t>
      </w:r>
      <w:r w:rsidR="00F61B6C" w:rsidRPr="00A347FC">
        <w:t xml:space="preserve"> gadi</w:t>
      </w:r>
      <w:r w:rsidR="000D07AC" w:rsidRPr="00A347FC">
        <w:t>;</w:t>
      </w:r>
    </w:p>
    <w:p w:rsidR="000D07AC" w:rsidRPr="00A347FC" w:rsidRDefault="000D07AC" w:rsidP="000D07AC">
      <w:pPr>
        <w:jc w:val="both"/>
      </w:pPr>
      <w:r w:rsidRPr="00A347FC">
        <w:rPr>
          <w:position w:val="-4"/>
        </w:rPr>
        <w:object w:dxaOrig="639" w:dyaOrig="260">
          <v:shape id="_x0000_i1026" type="#_x0000_t75" style="width:33.7pt;height:13.85pt" o:ole="">
            <v:imagedata r:id="rId11" o:title=""/>
          </v:shape>
          <o:OLEObject Type="Embed" ProgID="Equation.3" ShapeID="_x0000_i1026" DrawAspect="Content" ObjectID="_1547991237" r:id="rId13"/>
        </w:object>
      </w:r>
      <w:r w:rsidRPr="00A347FC">
        <w:t xml:space="preserve"> – piešķirtais finanšu instrumenta finansējums, </w:t>
      </w:r>
      <w:r w:rsidRPr="00A347FC">
        <w:rPr>
          <w:i/>
        </w:rPr>
        <w:t>euro</w:t>
      </w:r>
      <w:r w:rsidR="00BF6E5C" w:rsidRPr="00A347FC">
        <w:rPr>
          <w:i/>
        </w:rPr>
        <w:t>.</w:t>
      </w:r>
    </w:p>
    <w:p w:rsidR="002A417C" w:rsidRPr="00A347FC" w:rsidRDefault="00D83E1C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sz w:val="28"/>
          <w:szCs w:val="28"/>
        </w:rPr>
        <w:t xml:space="preserve">78. Atbildīgā iestāde, pieņemot lēmumu par atgūstamo neattiecināmo līdzekļu apjomu, ņem vērā </w:t>
      </w:r>
      <w:r w:rsidR="005D72A5" w:rsidRPr="00A347FC">
        <w:rPr>
          <w:rFonts w:eastAsia="Calibri"/>
          <w:sz w:val="28"/>
          <w:szCs w:val="28"/>
        </w:rPr>
        <w:t xml:space="preserve">iepriekš neparedzamus vai neatkarīgus ārējus apstākļus, kas ir ietekmējuši projekta līgumā </w:t>
      </w:r>
      <w:r w:rsidR="00067756" w:rsidRPr="00A347FC">
        <w:rPr>
          <w:sz w:val="28"/>
          <w:szCs w:val="28"/>
        </w:rPr>
        <w:t xml:space="preserve">un projekta iesniegumā </w:t>
      </w:r>
      <w:r w:rsidR="005D72A5" w:rsidRPr="00A347FC">
        <w:rPr>
          <w:rFonts w:eastAsia="Calibri"/>
          <w:sz w:val="28"/>
          <w:szCs w:val="28"/>
        </w:rPr>
        <w:t>noteikto rezultātu sasniegšanu</w:t>
      </w:r>
      <w:r w:rsidR="00EA42C9" w:rsidRPr="00A347FC">
        <w:rPr>
          <w:rFonts w:eastAsia="Calibri"/>
          <w:sz w:val="28"/>
          <w:szCs w:val="28"/>
        </w:rPr>
        <w:t xml:space="preserve"> atbilstoši šo noteikumu </w:t>
      </w:r>
      <w:r w:rsidR="00EA42C9" w:rsidRPr="00A347FC">
        <w:rPr>
          <w:sz w:val="28"/>
          <w:szCs w:val="28"/>
        </w:rPr>
        <w:t>79</w:t>
      </w:r>
      <w:r w:rsidR="00EA42C9" w:rsidRPr="00A347FC">
        <w:rPr>
          <w:rFonts w:eastAsia="Calibri"/>
          <w:sz w:val="28"/>
          <w:szCs w:val="28"/>
        </w:rPr>
        <w:t>.punktā minētajām vadlīnijām</w:t>
      </w:r>
      <w:r w:rsidR="00EA42C9" w:rsidRPr="00A347FC">
        <w:rPr>
          <w:rStyle w:val="CommentReference"/>
        </w:rPr>
        <w:t xml:space="preserve"> </w:t>
      </w:r>
      <w:r w:rsidRPr="00A347FC">
        <w:rPr>
          <w:rFonts w:eastAsia="Calibri"/>
          <w:sz w:val="28"/>
          <w:szCs w:val="28"/>
        </w:rPr>
        <w:t xml:space="preserve">. </w:t>
      </w:r>
    </w:p>
    <w:p w:rsidR="00934665" w:rsidRPr="00A347FC" w:rsidRDefault="00413DCA" w:rsidP="0073018F">
      <w:pPr>
        <w:shd w:val="clear" w:color="auto" w:fill="FFFFFF"/>
        <w:ind w:firstLine="567"/>
        <w:jc w:val="both"/>
        <w:rPr>
          <w:sz w:val="28"/>
          <w:szCs w:val="28"/>
        </w:rPr>
      </w:pPr>
      <w:r w:rsidRPr="00A347FC">
        <w:rPr>
          <w:bCs/>
          <w:sz w:val="28"/>
          <w:szCs w:val="28"/>
        </w:rPr>
        <w:t>79. </w:t>
      </w:r>
      <w:r w:rsidRPr="00A347FC">
        <w:rPr>
          <w:sz w:val="28"/>
          <w:szCs w:val="28"/>
        </w:rPr>
        <w:t xml:space="preserve">Atbildīgā iestāde </w:t>
      </w:r>
      <w:r w:rsidR="00A5707C">
        <w:rPr>
          <w:sz w:val="28"/>
          <w:szCs w:val="28"/>
        </w:rPr>
        <w:t xml:space="preserve">līdz 2017.gada 1.jūnijam </w:t>
      </w:r>
      <w:r w:rsidRPr="00A347FC">
        <w:rPr>
          <w:sz w:val="28"/>
          <w:szCs w:val="28"/>
        </w:rPr>
        <w:t>sadarbībā ar Vides investīciju fondu sagatavo un publicē atbildīgās iestādes</w:t>
      </w:r>
      <w:r w:rsidR="005D72A5" w:rsidRPr="00A347FC">
        <w:rPr>
          <w:sz w:val="28"/>
          <w:szCs w:val="28"/>
        </w:rPr>
        <w:t xml:space="preserve"> tīmekļvietnē</w:t>
      </w:r>
      <w:r w:rsidRPr="00A347FC">
        <w:rPr>
          <w:sz w:val="28"/>
          <w:szCs w:val="28"/>
        </w:rPr>
        <w:t xml:space="preserve"> un Vides investīciju fonda tīmekļvietnē </w:t>
      </w:r>
      <w:r w:rsidR="00215DA5" w:rsidRPr="00A347FC">
        <w:rPr>
          <w:sz w:val="28"/>
          <w:szCs w:val="28"/>
        </w:rPr>
        <w:t>vadlīnijās projektu rezultātu monitoringa izvērtēšanai un kompensējošo pasākumu piemērošanai</w:t>
      </w:r>
      <w:r w:rsidRPr="00A347FC">
        <w:rPr>
          <w:sz w:val="28"/>
          <w:szCs w:val="28"/>
        </w:rPr>
        <w:t>.</w:t>
      </w:r>
      <w:r w:rsidRPr="00A347FC">
        <w:rPr>
          <w:rFonts w:eastAsia="Calibri"/>
          <w:sz w:val="28"/>
          <w:szCs w:val="28"/>
        </w:rPr>
        <w:t>”</w:t>
      </w:r>
    </w:p>
    <w:p w:rsidR="00934665" w:rsidRPr="008B799D" w:rsidRDefault="00934665" w:rsidP="0004767D">
      <w:pPr>
        <w:rPr>
          <w:sz w:val="28"/>
          <w:szCs w:val="28"/>
        </w:rPr>
      </w:pPr>
    </w:p>
    <w:p w:rsidR="001C1066" w:rsidRPr="00A92783" w:rsidRDefault="001C1066" w:rsidP="001C1066">
      <w:pPr>
        <w:pStyle w:val="naisf"/>
        <w:spacing w:before="0" w:after="0"/>
        <w:ind w:left="567" w:firstLine="0"/>
        <w:rPr>
          <w:sz w:val="28"/>
          <w:szCs w:val="28"/>
        </w:rPr>
      </w:pPr>
      <w:r w:rsidRPr="00A92783">
        <w:rPr>
          <w:sz w:val="28"/>
          <w:szCs w:val="28"/>
        </w:rPr>
        <w:t>Ministru prezidents</w:t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A92783">
        <w:rPr>
          <w:sz w:val="28"/>
          <w:szCs w:val="28"/>
        </w:rPr>
        <w:t xml:space="preserve"> M.Kučinskis</w:t>
      </w:r>
    </w:p>
    <w:p w:rsidR="001C1066" w:rsidRPr="00A92783" w:rsidRDefault="001C1066" w:rsidP="001C1066">
      <w:pPr>
        <w:ind w:left="567"/>
        <w:rPr>
          <w:sz w:val="28"/>
          <w:szCs w:val="28"/>
        </w:rPr>
      </w:pPr>
    </w:p>
    <w:p w:rsidR="001C1066" w:rsidRPr="00A92783" w:rsidRDefault="001C1066" w:rsidP="001C1066">
      <w:pPr>
        <w:ind w:left="567"/>
        <w:rPr>
          <w:sz w:val="28"/>
          <w:szCs w:val="28"/>
        </w:rPr>
      </w:pPr>
      <w:r w:rsidRPr="00A92783">
        <w:rPr>
          <w:sz w:val="28"/>
          <w:szCs w:val="28"/>
        </w:rPr>
        <w:t>Vides aizsardzības un</w:t>
      </w:r>
    </w:p>
    <w:p w:rsidR="001C1066" w:rsidRPr="00A92783" w:rsidRDefault="001C1066" w:rsidP="001C1066">
      <w:pPr>
        <w:ind w:left="567"/>
        <w:rPr>
          <w:sz w:val="28"/>
          <w:szCs w:val="28"/>
        </w:rPr>
      </w:pPr>
      <w:r w:rsidRPr="00A92783">
        <w:rPr>
          <w:sz w:val="28"/>
          <w:szCs w:val="28"/>
        </w:rPr>
        <w:t>reģionālās attīstības ministrs</w:t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</w:r>
      <w:r w:rsidRPr="00A92783">
        <w:rPr>
          <w:sz w:val="28"/>
          <w:szCs w:val="28"/>
        </w:rPr>
        <w:tab/>
        <w:t xml:space="preserve">    K.Gerhards</w:t>
      </w:r>
    </w:p>
    <w:p w:rsidR="001C1066" w:rsidRDefault="001C1066" w:rsidP="001C1066">
      <w:pPr>
        <w:ind w:left="567"/>
        <w:rPr>
          <w:sz w:val="28"/>
          <w:szCs w:val="28"/>
        </w:rPr>
      </w:pPr>
    </w:p>
    <w:p w:rsidR="001C1066" w:rsidRDefault="001C1066" w:rsidP="001C1066">
      <w:pPr>
        <w:ind w:left="567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C1066" w:rsidRPr="0059233E" w:rsidRDefault="007E0034" w:rsidP="001C1066">
      <w:pPr>
        <w:ind w:left="567"/>
        <w:rPr>
          <w:sz w:val="28"/>
          <w:szCs w:val="28"/>
        </w:rPr>
      </w:pPr>
      <w:r>
        <w:rPr>
          <w:sz w:val="28"/>
          <w:szCs w:val="28"/>
        </w:rPr>
        <w:t>v</w:t>
      </w:r>
      <w:r w:rsidR="001C1066" w:rsidRPr="0059233E">
        <w:rPr>
          <w:sz w:val="28"/>
          <w:szCs w:val="28"/>
        </w:rPr>
        <w:t>ides aizsardzības un</w:t>
      </w:r>
    </w:p>
    <w:p w:rsidR="001C1066" w:rsidRDefault="001C1066" w:rsidP="001C1066">
      <w:pPr>
        <w:ind w:left="567"/>
        <w:rPr>
          <w:sz w:val="28"/>
          <w:szCs w:val="28"/>
        </w:rPr>
      </w:pPr>
      <w:r w:rsidRPr="0059233E">
        <w:rPr>
          <w:sz w:val="28"/>
          <w:szCs w:val="28"/>
        </w:rPr>
        <w:t>reģionālās attīstības ministrs</w:t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</w:r>
      <w:r w:rsidRPr="0059233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59233E">
        <w:rPr>
          <w:sz w:val="28"/>
          <w:szCs w:val="28"/>
        </w:rPr>
        <w:t xml:space="preserve"> K.</w:t>
      </w:r>
      <w:r>
        <w:rPr>
          <w:sz w:val="28"/>
          <w:szCs w:val="28"/>
        </w:rPr>
        <w:t> </w:t>
      </w:r>
      <w:r w:rsidRPr="0059233E">
        <w:rPr>
          <w:sz w:val="28"/>
          <w:szCs w:val="28"/>
        </w:rPr>
        <w:t>Gerhards</w:t>
      </w:r>
    </w:p>
    <w:p w:rsidR="001C1066" w:rsidRPr="00A92783" w:rsidRDefault="001C1066" w:rsidP="001C1066">
      <w:pPr>
        <w:ind w:left="567"/>
        <w:rPr>
          <w:sz w:val="28"/>
          <w:szCs w:val="28"/>
        </w:rPr>
      </w:pPr>
    </w:p>
    <w:p w:rsidR="001C1066" w:rsidRPr="00A92783" w:rsidRDefault="001C1066" w:rsidP="001C1066">
      <w:pPr>
        <w:ind w:left="567"/>
        <w:rPr>
          <w:sz w:val="28"/>
          <w:szCs w:val="28"/>
        </w:rPr>
      </w:pPr>
      <w:r w:rsidRPr="00A92783">
        <w:rPr>
          <w:sz w:val="28"/>
          <w:szCs w:val="28"/>
        </w:rPr>
        <w:t>Vīza:</w:t>
      </w:r>
    </w:p>
    <w:p w:rsidR="001C1066" w:rsidRDefault="007E0034" w:rsidP="001C1066">
      <w:pPr>
        <w:pStyle w:val="naisf"/>
        <w:spacing w:before="0" w:after="0"/>
        <w:ind w:left="567" w:firstLine="0"/>
        <w:rPr>
          <w:sz w:val="28"/>
          <w:szCs w:val="28"/>
        </w:rPr>
      </w:pPr>
      <w:r>
        <w:rPr>
          <w:sz w:val="28"/>
          <w:szCs w:val="28"/>
        </w:rPr>
        <w:t>v</w:t>
      </w:r>
      <w:r w:rsidR="001C1066" w:rsidRPr="00A92783">
        <w:rPr>
          <w:sz w:val="28"/>
          <w:szCs w:val="28"/>
        </w:rPr>
        <w:t>alsts sekretārs</w:t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</w:r>
      <w:r w:rsidR="001C1066" w:rsidRPr="00A92783">
        <w:rPr>
          <w:sz w:val="28"/>
          <w:szCs w:val="28"/>
        </w:rPr>
        <w:tab/>
        <w:t xml:space="preserve">    R.Muciņš</w:t>
      </w:r>
      <w:r w:rsidR="001C1066" w:rsidRPr="0059233E">
        <w:rPr>
          <w:sz w:val="28"/>
          <w:szCs w:val="28"/>
        </w:rPr>
        <w:t xml:space="preserve"> </w:t>
      </w:r>
    </w:p>
    <w:p w:rsidR="006A403B" w:rsidRDefault="006A403B" w:rsidP="006A403B">
      <w:pPr>
        <w:ind w:left="567"/>
        <w:rPr>
          <w:sz w:val="28"/>
          <w:szCs w:val="28"/>
        </w:rPr>
      </w:pPr>
    </w:p>
    <w:p w:rsidR="002E009F" w:rsidRDefault="002E009F" w:rsidP="006A403B">
      <w:pPr>
        <w:rPr>
          <w:sz w:val="28"/>
          <w:szCs w:val="28"/>
        </w:rPr>
      </w:pPr>
    </w:p>
    <w:p w:rsidR="0059233E" w:rsidRPr="0059233E" w:rsidRDefault="0059233E" w:rsidP="006A403B">
      <w:pPr>
        <w:rPr>
          <w:sz w:val="28"/>
          <w:szCs w:val="28"/>
        </w:rPr>
      </w:pPr>
    </w:p>
    <w:p w:rsidR="0002668F" w:rsidRPr="0059233E" w:rsidRDefault="00C961FD" w:rsidP="0002668F">
      <w:pPr>
        <w:jc w:val="both"/>
      </w:pPr>
      <w:r w:rsidRPr="0059233E">
        <w:fldChar w:fldCharType="begin"/>
      </w:r>
      <w:r w:rsidR="0002668F" w:rsidRPr="0059233E">
        <w:instrText xml:space="preserve"> TIME  \@ "yyyy.MM.dd. H:mm"  \* MERGEFORMAT </w:instrText>
      </w:r>
      <w:r w:rsidRPr="0059233E">
        <w:fldChar w:fldCharType="separate"/>
      </w:r>
      <w:r w:rsidR="003372D1">
        <w:rPr>
          <w:noProof/>
        </w:rPr>
        <w:t>2017.02.07. 16:47</w:t>
      </w:r>
      <w:r w:rsidRPr="0059233E">
        <w:fldChar w:fldCharType="end"/>
      </w:r>
    </w:p>
    <w:p w:rsidR="0002668F" w:rsidRPr="0059233E" w:rsidRDefault="00E359EF" w:rsidP="0002668F">
      <w:pPr>
        <w:tabs>
          <w:tab w:val="center" w:pos="4536"/>
          <w:tab w:val="right" w:pos="8306"/>
        </w:tabs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0D11E8">
        <w:rPr>
          <w:noProof/>
          <w:lang w:eastAsia="en-US"/>
        </w:rPr>
        <w:t>778</w:t>
      </w:r>
      <w:r>
        <w:rPr>
          <w:noProof/>
          <w:lang w:eastAsia="en-US"/>
        </w:rPr>
        <w:fldChar w:fldCharType="end"/>
      </w:r>
    </w:p>
    <w:p w:rsidR="0002668F" w:rsidRPr="0059233E" w:rsidRDefault="0002668F" w:rsidP="0002668F">
      <w:pPr>
        <w:jc w:val="both"/>
      </w:pPr>
      <w:r w:rsidRPr="0059233E">
        <w:t>I.Vonda</w:t>
      </w:r>
    </w:p>
    <w:p w:rsidR="0002668F" w:rsidRPr="0059233E" w:rsidRDefault="0002668F" w:rsidP="0002668F">
      <w:pPr>
        <w:jc w:val="both"/>
      </w:pPr>
      <w:r w:rsidRPr="0059233E">
        <w:t xml:space="preserve">67026554, </w:t>
      </w:r>
      <w:hyperlink r:id="rId14" w:history="1">
        <w:r w:rsidRPr="0059233E">
          <w:rPr>
            <w:rStyle w:val="Hyperlink"/>
          </w:rPr>
          <w:t>ilze.vonda@varam.gov.lv</w:t>
        </w:r>
      </w:hyperlink>
    </w:p>
    <w:p w:rsidR="00DE768B" w:rsidRDefault="00DE768B"/>
    <w:sectPr w:rsidR="00DE768B" w:rsidSect="00B83E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C8647" w15:done="0"/>
  <w15:commentEx w15:paraId="704131B8" w15:done="0"/>
  <w15:commentEx w15:paraId="4E1DAA98" w15:done="0"/>
  <w15:commentEx w15:paraId="3FFAEE42" w15:done="0"/>
  <w15:commentEx w15:paraId="61B6506A" w15:done="0"/>
  <w15:commentEx w15:paraId="3E616D8F" w15:done="0"/>
  <w15:commentEx w15:paraId="46C4A6B4" w15:done="0"/>
  <w15:commentEx w15:paraId="013C20B6" w15:done="0"/>
  <w15:commentEx w15:paraId="66DAD3DF" w15:done="0"/>
  <w15:commentEx w15:paraId="0BB0353B" w15:done="0"/>
  <w15:commentEx w15:paraId="0BC3E727" w15:done="0"/>
  <w15:commentEx w15:paraId="4A6989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EF" w:rsidRDefault="00E359EF" w:rsidP="00A035EF">
      <w:r>
        <w:separator/>
      </w:r>
    </w:p>
  </w:endnote>
  <w:endnote w:type="continuationSeparator" w:id="0">
    <w:p w:rsidR="00E359EF" w:rsidRDefault="00E359EF" w:rsidP="00A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Default="00C96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D97" w:rsidRDefault="001C6D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Default="001C6D97">
    <w:pPr>
      <w:pStyle w:val="Footer"/>
      <w:framePr w:wrap="around" w:vAnchor="text" w:hAnchor="margin" w:xAlign="right" w:y="1"/>
      <w:rPr>
        <w:rStyle w:val="PageNumber"/>
      </w:rPr>
    </w:pPr>
  </w:p>
  <w:p w:rsidR="0001325D" w:rsidRPr="0045189D" w:rsidRDefault="00C961FD" w:rsidP="0001325D">
    <w:pPr>
      <w:pStyle w:val="Footer"/>
      <w:ind w:right="360"/>
      <w:jc w:val="both"/>
      <w:rPr>
        <w:sz w:val="20"/>
        <w:szCs w:val="20"/>
      </w:rPr>
    </w:pPr>
    <w:r w:rsidRPr="00FE082E">
      <w:rPr>
        <w:sz w:val="20"/>
        <w:szCs w:val="20"/>
      </w:rPr>
      <w:fldChar w:fldCharType="begin"/>
    </w:r>
    <w:r w:rsidR="0001325D" w:rsidRPr="00FE082E">
      <w:rPr>
        <w:sz w:val="20"/>
        <w:szCs w:val="20"/>
      </w:rPr>
      <w:instrText xml:space="preserve"> FILENAME </w:instrText>
    </w:r>
    <w:r w:rsidRPr="00FE082E">
      <w:rPr>
        <w:sz w:val="20"/>
        <w:szCs w:val="20"/>
      </w:rPr>
      <w:fldChar w:fldCharType="separate"/>
    </w:r>
    <w:r w:rsidR="0001325D">
      <w:rPr>
        <w:noProof/>
        <w:sz w:val="20"/>
        <w:szCs w:val="20"/>
      </w:rPr>
      <w:t>VARAMNot_070217_78</w:t>
    </w:r>
    <w:r w:rsidRPr="00FE082E">
      <w:rPr>
        <w:noProof/>
        <w:sz w:val="20"/>
        <w:szCs w:val="20"/>
      </w:rPr>
      <w:fldChar w:fldCharType="end"/>
    </w:r>
    <w:r w:rsidR="0001325D" w:rsidRPr="00FE082E">
      <w:rPr>
        <w:sz w:val="20"/>
        <w:szCs w:val="20"/>
      </w:rPr>
      <w:t xml:space="preserve">; </w:t>
    </w:r>
    <w:r w:rsidR="0001325D" w:rsidRPr="0045189D">
      <w:rPr>
        <w:sz w:val="20"/>
        <w:szCs w:val="20"/>
      </w:rPr>
      <w:t xml:space="preserve">Grozījumi </w:t>
    </w:r>
    <w:r w:rsidR="0001325D" w:rsidRPr="0045189D">
      <w:rPr>
        <w:bCs/>
        <w:sz w:val="20"/>
        <w:szCs w:val="20"/>
      </w:rPr>
      <w:t xml:space="preserve">Ministru kabineta </w:t>
    </w:r>
    <w:r w:rsidR="0001325D" w:rsidRPr="0045189D">
      <w:rPr>
        <w:sz w:val="20"/>
        <w:szCs w:val="20"/>
      </w:rPr>
      <w:t>2014.gada 4.februāra noteikumos Nr.78 „</w:t>
    </w:r>
    <w:r w:rsidR="0001325D" w:rsidRPr="0045189D">
      <w:rPr>
        <w:bCs/>
        <w:sz w:val="20"/>
        <w:szCs w:val="20"/>
      </w:rPr>
      <w:t xml:space="preserve">Klimata pārmaiņu finanšu instrumenta finansēto projektu atklāta konkursa „Siltumnīcefekta gāzu emisijas samazināšana transporta sektorā – atbalsts elektromobiļu un to uzlādes infrastruktūras ieviešanai” nolikums” </w:t>
    </w:r>
  </w:p>
  <w:p w:rsidR="001C6D97" w:rsidRPr="002119AF" w:rsidRDefault="001C6D97" w:rsidP="00B76ABD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Pr="0045189D" w:rsidRDefault="00C961FD" w:rsidP="00B83EF8">
    <w:pPr>
      <w:pStyle w:val="Footer"/>
      <w:ind w:right="360"/>
      <w:jc w:val="both"/>
      <w:rPr>
        <w:sz w:val="20"/>
        <w:szCs w:val="20"/>
      </w:rPr>
    </w:pPr>
    <w:r w:rsidRPr="00FE082E">
      <w:rPr>
        <w:sz w:val="20"/>
        <w:szCs w:val="20"/>
      </w:rPr>
      <w:fldChar w:fldCharType="begin"/>
    </w:r>
    <w:r w:rsidR="001C6D97" w:rsidRPr="00FE082E">
      <w:rPr>
        <w:sz w:val="20"/>
        <w:szCs w:val="20"/>
      </w:rPr>
      <w:instrText xml:space="preserve"> FILENAME </w:instrText>
    </w:r>
    <w:r w:rsidRPr="00FE082E">
      <w:rPr>
        <w:sz w:val="20"/>
        <w:szCs w:val="20"/>
      </w:rPr>
      <w:fldChar w:fldCharType="separate"/>
    </w:r>
    <w:r w:rsidR="001C6D97">
      <w:rPr>
        <w:noProof/>
        <w:sz w:val="20"/>
        <w:szCs w:val="20"/>
      </w:rPr>
      <w:t>VARAMNot_</w:t>
    </w:r>
    <w:r w:rsidR="0001325D">
      <w:rPr>
        <w:noProof/>
        <w:sz w:val="20"/>
        <w:szCs w:val="20"/>
      </w:rPr>
      <w:t>0702</w:t>
    </w:r>
    <w:r w:rsidR="0027241B">
      <w:rPr>
        <w:noProof/>
        <w:sz w:val="20"/>
        <w:szCs w:val="20"/>
      </w:rPr>
      <w:t>17</w:t>
    </w:r>
    <w:r w:rsidR="001C6D97">
      <w:rPr>
        <w:noProof/>
        <w:sz w:val="20"/>
        <w:szCs w:val="20"/>
      </w:rPr>
      <w:t>_78</w:t>
    </w:r>
    <w:r w:rsidRPr="00FE082E">
      <w:rPr>
        <w:noProof/>
        <w:sz w:val="20"/>
        <w:szCs w:val="20"/>
      </w:rPr>
      <w:fldChar w:fldCharType="end"/>
    </w:r>
    <w:r w:rsidR="001C6D97" w:rsidRPr="00FE082E">
      <w:rPr>
        <w:sz w:val="20"/>
        <w:szCs w:val="20"/>
      </w:rPr>
      <w:t xml:space="preserve">; </w:t>
    </w:r>
    <w:r w:rsidR="001C6D97" w:rsidRPr="0045189D">
      <w:rPr>
        <w:sz w:val="20"/>
        <w:szCs w:val="20"/>
      </w:rPr>
      <w:t xml:space="preserve">Grozījumi </w:t>
    </w:r>
    <w:r w:rsidR="001C6D97" w:rsidRPr="0045189D">
      <w:rPr>
        <w:bCs/>
        <w:sz w:val="20"/>
        <w:szCs w:val="20"/>
      </w:rPr>
      <w:t xml:space="preserve">Ministru kabineta </w:t>
    </w:r>
    <w:r w:rsidR="001C6D97" w:rsidRPr="0045189D">
      <w:rPr>
        <w:sz w:val="20"/>
        <w:szCs w:val="20"/>
      </w:rPr>
      <w:t>2014.gada 4.februāra noteikumos Nr.78 „</w:t>
    </w:r>
    <w:r w:rsidR="001C6D97" w:rsidRPr="0045189D">
      <w:rPr>
        <w:bCs/>
        <w:sz w:val="20"/>
        <w:szCs w:val="20"/>
      </w:rPr>
      <w:t xml:space="preserve">Klimata pārmaiņu finanšu instrumenta finansēto projektu atklāta konkursa „Siltumnīcefekta gāzu emisijas samazināšana transporta sektorā – atbalsts elektromobiļu un to uzlādes infrastruktūras ieviešanai” nolikums” </w:t>
    </w:r>
  </w:p>
  <w:p w:rsidR="001C6D97" w:rsidRPr="008400B9" w:rsidRDefault="001C6D97" w:rsidP="00B83EF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EF" w:rsidRDefault="00E359EF" w:rsidP="00A035EF">
      <w:r>
        <w:separator/>
      </w:r>
    </w:p>
  </w:footnote>
  <w:footnote w:type="continuationSeparator" w:id="0">
    <w:p w:rsidR="00E359EF" w:rsidRDefault="00E359EF" w:rsidP="00A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Default="00C961FD" w:rsidP="00B83E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D97">
      <w:rPr>
        <w:rStyle w:val="PageNumber"/>
        <w:noProof/>
      </w:rPr>
      <w:t>35</w:t>
    </w:r>
    <w:r>
      <w:rPr>
        <w:rStyle w:val="PageNumber"/>
      </w:rPr>
      <w:fldChar w:fldCharType="end"/>
    </w:r>
  </w:p>
  <w:p w:rsidR="001C6D97" w:rsidRDefault="001C6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Default="00C961FD" w:rsidP="00B83E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2D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D97" w:rsidRDefault="001C6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7" w:rsidRDefault="001C6D9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39D"/>
    <w:multiLevelType w:val="hybridMultilevel"/>
    <w:tmpl w:val="5EF43C6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3775BE"/>
    <w:multiLevelType w:val="hybridMultilevel"/>
    <w:tmpl w:val="1D42C906"/>
    <w:lvl w:ilvl="0" w:tplc="BE9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monds Kašs">
    <w15:presenceInfo w15:providerId="AD" w15:userId="S-1-5-21-1177238915-1417001333-839522115-2311"/>
  </w15:person>
  <w15:person w15:author="Raimonds">
    <w15:presenceInfo w15:providerId="None" w15:userId="Raimo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B"/>
    <w:rsid w:val="0000722D"/>
    <w:rsid w:val="0001325D"/>
    <w:rsid w:val="0002668F"/>
    <w:rsid w:val="00032F1F"/>
    <w:rsid w:val="000448A3"/>
    <w:rsid w:val="0004767D"/>
    <w:rsid w:val="000537EA"/>
    <w:rsid w:val="00067756"/>
    <w:rsid w:val="000723C4"/>
    <w:rsid w:val="000A024A"/>
    <w:rsid w:val="000A3164"/>
    <w:rsid w:val="000D07AC"/>
    <w:rsid w:val="000D11E8"/>
    <w:rsid w:val="000F1D26"/>
    <w:rsid w:val="000F6BFB"/>
    <w:rsid w:val="001129B5"/>
    <w:rsid w:val="0011310A"/>
    <w:rsid w:val="00117A82"/>
    <w:rsid w:val="00121DAF"/>
    <w:rsid w:val="00127644"/>
    <w:rsid w:val="00130A33"/>
    <w:rsid w:val="00133FF4"/>
    <w:rsid w:val="00144CC5"/>
    <w:rsid w:val="001541C3"/>
    <w:rsid w:val="0018298A"/>
    <w:rsid w:val="001B001A"/>
    <w:rsid w:val="001B1473"/>
    <w:rsid w:val="001B1A7F"/>
    <w:rsid w:val="001B26FF"/>
    <w:rsid w:val="001B2B43"/>
    <w:rsid w:val="001C1066"/>
    <w:rsid w:val="001C62E7"/>
    <w:rsid w:val="001C6D97"/>
    <w:rsid w:val="001D094F"/>
    <w:rsid w:val="001D784A"/>
    <w:rsid w:val="00201842"/>
    <w:rsid w:val="002124F6"/>
    <w:rsid w:val="00213AB7"/>
    <w:rsid w:val="00215DA5"/>
    <w:rsid w:val="00226B40"/>
    <w:rsid w:val="00235F26"/>
    <w:rsid w:val="002514FF"/>
    <w:rsid w:val="0027241B"/>
    <w:rsid w:val="00294D75"/>
    <w:rsid w:val="00297632"/>
    <w:rsid w:val="002A417C"/>
    <w:rsid w:val="002A46FD"/>
    <w:rsid w:val="002E009F"/>
    <w:rsid w:val="002E775C"/>
    <w:rsid w:val="00314722"/>
    <w:rsid w:val="00324D47"/>
    <w:rsid w:val="003253AE"/>
    <w:rsid w:val="003269A3"/>
    <w:rsid w:val="00335451"/>
    <w:rsid w:val="00336ED5"/>
    <w:rsid w:val="003372D1"/>
    <w:rsid w:val="00342441"/>
    <w:rsid w:val="0034561D"/>
    <w:rsid w:val="00345B6D"/>
    <w:rsid w:val="00352990"/>
    <w:rsid w:val="00361BDE"/>
    <w:rsid w:val="00361C5B"/>
    <w:rsid w:val="00376C98"/>
    <w:rsid w:val="003830B6"/>
    <w:rsid w:val="003908E9"/>
    <w:rsid w:val="003A12EE"/>
    <w:rsid w:val="003A24C0"/>
    <w:rsid w:val="003A3007"/>
    <w:rsid w:val="003B0CA6"/>
    <w:rsid w:val="003C137A"/>
    <w:rsid w:val="003D7A28"/>
    <w:rsid w:val="003E0BCD"/>
    <w:rsid w:val="003E1C75"/>
    <w:rsid w:val="003F17AE"/>
    <w:rsid w:val="003F28AB"/>
    <w:rsid w:val="00400288"/>
    <w:rsid w:val="004025DF"/>
    <w:rsid w:val="00403428"/>
    <w:rsid w:val="004079B2"/>
    <w:rsid w:val="00413DCA"/>
    <w:rsid w:val="004350D1"/>
    <w:rsid w:val="0045189D"/>
    <w:rsid w:val="0045731C"/>
    <w:rsid w:val="00470DA7"/>
    <w:rsid w:val="00475F75"/>
    <w:rsid w:val="0048483B"/>
    <w:rsid w:val="0049061A"/>
    <w:rsid w:val="004A1E6B"/>
    <w:rsid w:val="004A280F"/>
    <w:rsid w:val="004A7A4F"/>
    <w:rsid w:val="004C0139"/>
    <w:rsid w:val="004C2356"/>
    <w:rsid w:val="004D3EA2"/>
    <w:rsid w:val="004E2C29"/>
    <w:rsid w:val="004F5DF6"/>
    <w:rsid w:val="005117BB"/>
    <w:rsid w:val="00543874"/>
    <w:rsid w:val="0055451F"/>
    <w:rsid w:val="00565B89"/>
    <w:rsid w:val="0057254E"/>
    <w:rsid w:val="00574382"/>
    <w:rsid w:val="00574F53"/>
    <w:rsid w:val="0057547D"/>
    <w:rsid w:val="0059233E"/>
    <w:rsid w:val="005A5803"/>
    <w:rsid w:val="005B2A01"/>
    <w:rsid w:val="005B626F"/>
    <w:rsid w:val="005D2C2E"/>
    <w:rsid w:val="005D722B"/>
    <w:rsid w:val="005D72A5"/>
    <w:rsid w:val="005F0864"/>
    <w:rsid w:val="005F6963"/>
    <w:rsid w:val="00610D89"/>
    <w:rsid w:val="006178AA"/>
    <w:rsid w:val="00624356"/>
    <w:rsid w:val="0062799C"/>
    <w:rsid w:val="00630E4F"/>
    <w:rsid w:val="00631F58"/>
    <w:rsid w:val="00635765"/>
    <w:rsid w:val="0063619B"/>
    <w:rsid w:val="00640C25"/>
    <w:rsid w:val="006514C0"/>
    <w:rsid w:val="00651801"/>
    <w:rsid w:val="006518DB"/>
    <w:rsid w:val="00655C41"/>
    <w:rsid w:val="00670F71"/>
    <w:rsid w:val="00684233"/>
    <w:rsid w:val="006906AC"/>
    <w:rsid w:val="0069440F"/>
    <w:rsid w:val="006A403B"/>
    <w:rsid w:val="006B1B0A"/>
    <w:rsid w:val="006B21C8"/>
    <w:rsid w:val="006B75AB"/>
    <w:rsid w:val="006C51E0"/>
    <w:rsid w:val="006D1BDE"/>
    <w:rsid w:val="006D7BA9"/>
    <w:rsid w:val="007123D0"/>
    <w:rsid w:val="0073018F"/>
    <w:rsid w:val="00744323"/>
    <w:rsid w:val="00760BD9"/>
    <w:rsid w:val="00764A04"/>
    <w:rsid w:val="00780A72"/>
    <w:rsid w:val="00784DB3"/>
    <w:rsid w:val="00793F79"/>
    <w:rsid w:val="00794012"/>
    <w:rsid w:val="007A42DC"/>
    <w:rsid w:val="007A5FCE"/>
    <w:rsid w:val="007E0034"/>
    <w:rsid w:val="007E7C1B"/>
    <w:rsid w:val="007F4228"/>
    <w:rsid w:val="008058D6"/>
    <w:rsid w:val="008058DE"/>
    <w:rsid w:val="00807D2B"/>
    <w:rsid w:val="008108CC"/>
    <w:rsid w:val="00811A8F"/>
    <w:rsid w:val="008125D0"/>
    <w:rsid w:val="00837092"/>
    <w:rsid w:val="00841770"/>
    <w:rsid w:val="00845EA9"/>
    <w:rsid w:val="00862BB2"/>
    <w:rsid w:val="00893A99"/>
    <w:rsid w:val="008B799D"/>
    <w:rsid w:val="008E68C4"/>
    <w:rsid w:val="008F1556"/>
    <w:rsid w:val="00905EEF"/>
    <w:rsid w:val="009205D5"/>
    <w:rsid w:val="00921650"/>
    <w:rsid w:val="00934665"/>
    <w:rsid w:val="0094572B"/>
    <w:rsid w:val="00946217"/>
    <w:rsid w:val="009705CA"/>
    <w:rsid w:val="00974A84"/>
    <w:rsid w:val="00997FDC"/>
    <w:rsid w:val="009A2A26"/>
    <w:rsid w:val="009B690E"/>
    <w:rsid w:val="009E112F"/>
    <w:rsid w:val="009E35CB"/>
    <w:rsid w:val="009E75FB"/>
    <w:rsid w:val="009F25E6"/>
    <w:rsid w:val="00A00157"/>
    <w:rsid w:val="00A00A85"/>
    <w:rsid w:val="00A035EF"/>
    <w:rsid w:val="00A12EC6"/>
    <w:rsid w:val="00A27146"/>
    <w:rsid w:val="00A30B32"/>
    <w:rsid w:val="00A347FC"/>
    <w:rsid w:val="00A415F5"/>
    <w:rsid w:val="00A5707C"/>
    <w:rsid w:val="00A61B95"/>
    <w:rsid w:val="00A7397C"/>
    <w:rsid w:val="00A8321A"/>
    <w:rsid w:val="00AA1765"/>
    <w:rsid w:val="00AB08A3"/>
    <w:rsid w:val="00AB358C"/>
    <w:rsid w:val="00AB5B2D"/>
    <w:rsid w:val="00AC14DC"/>
    <w:rsid w:val="00AD63A4"/>
    <w:rsid w:val="00AD7E52"/>
    <w:rsid w:val="00AE0611"/>
    <w:rsid w:val="00AF0097"/>
    <w:rsid w:val="00AF09AB"/>
    <w:rsid w:val="00AF0E2C"/>
    <w:rsid w:val="00AF1BE4"/>
    <w:rsid w:val="00B02522"/>
    <w:rsid w:val="00B031F4"/>
    <w:rsid w:val="00B056C4"/>
    <w:rsid w:val="00B07A21"/>
    <w:rsid w:val="00B16C8B"/>
    <w:rsid w:val="00B43E21"/>
    <w:rsid w:val="00B47B1E"/>
    <w:rsid w:val="00B518F3"/>
    <w:rsid w:val="00B57CBE"/>
    <w:rsid w:val="00B7557D"/>
    <w:rsid w:val="00B76ABD"/>
    <w:rsid w:val="00B77B16"/>
    <w:rsid w:val="00B834A7"/>
    <w:rsid w:val="00B83EF8"/>
    <w:rsid w:val="00B84343"/>
    <w:rsid w:val="00B84C7A"/>
    <w:rsid w:val="00B966F4"/>
    <w:rsid w:val="00BF1A4E"/>
    <w:rsid w:val="00BF6E5C"/>
    <w:rsid w:val="00C027F4"/>
    <w:rsid w:val="00C02F93"/>
    <w:rsid w:val="00C04271"/>
    <w:rsid w:val="00C2442F"/>
    <w:rsid w:val="00C84555"/>
    <w:rsid w:val="00C8542D"/>
    <w:rsid w:val="00C91281"/>
    <w:rsid w:val="00C91FA0"/>
    <w:rsid w:val="00C961FD"/>
    <w:rsid w:val="00CC0753"/>
    <w:rsid w:val="00CD41FA"/>
    <w:rsid w:val="00CF1F05"/>
    <w:rsid w:val="00D20EA9"/>
    <w:rsid w:val="00D269E0"/>
    <w:rsid w:val="00D46A66"/>
    <w:rsid w:val="00D542D1"/>
    <w:rsid w:val="00D83E1C"/>
    <w:rsid w:val="00D84A01"/>
    <w:rsid w:val="00D955A2"/>
    <w:rsid w:val="00DA7777"/>
    <w:rsid w:val="00DC14E8"/>
    <w:rsid w:val="00DC2CEA"/>
    <w:rsid w:val="00DD3DDD"/>
    <w:rsid w:val="00DE768B"/>
    <w:rsid w:val="00DF1E15"/>
    <w:rsid w:val="00DF462D"/>
    <w:rsid w:val="00DF6141"/>
    <w:rsid w:val="00DF6F17"/>
    <w:rsid w:val="00E0791D"/>
    <w:rsid w:val="00E1728C"/>
    <w:rsid w:val="00E21A77"/>
    <w:rsid w:val="00E30294"/>
    <w:rsid w:val="00E30E3D"/>
    <w:rsid w:val="00E359EF"/>
    <w:rsid w:val="00E71AF5"/>
    <w:rsid w:val="00E72750"/>
    <w:rsid w:val="00E80FE4"/>
    <w:rsid w:val="00E86183"/>
    <w:rsid w:val="00E87E79"/>
    <w:rsid w:val="00E9183B"/>
    <w:rsid w:val="00EA1FEA"/>
    <w:rsid w:val="00EA42C9"/>
    <w:rsid w:val="00EC069D"/>
    <w:rsid w:val="00ED1AA7"/>
    <w:rsid w:val="00EE35C4"/>
    <w:rsid w:val="00EE5631"/>
    <w:rsid w:val="00F3401F"/>
    <w:rsid w:val="00F61B6C"/>
    <w:rsid w:val="00F71C66"/>
    <w:rsid w:val="00F72F36"/>
    <w:rsid w:val="00F75440"/>
    <w:rsid w:val="00F932F3"/>
    <w:rsid w:val="00FA3164"/>
    <w:rsid w:val="00FB53CD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customStyle="1" w:styleId="tv213">
    <w:name w:val="tv213"/>
    <w:basedOn w:val="Normal"/>
    <w:rsid w:val="006B7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75AB"/>
  </w:style>
  <w:style w:type="character" w:styleId="CommentReference">
    <w:name w:val="annotation reference"/>
    <w:basedOn w:val="DefaultParagraphFont"/>
    <w:uiPriority w:val="99"/>
    <w:semiHidden/>
    <w:unhideWhenUsed/>
    <w:rsid w:val="003A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2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7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2">
    <w:name w:val="tv2132"/>
    <w:basedOn w:val="Normal"/>
    <w:rsid w:val="0073018F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6A403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6A40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6A40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4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  <w:style w:type="paragraph" w:customStyle="1" w:styleId="tv213">
    <w:name w:val="tv213"/>
    <w:basedOn w:val="Normal"/>
    <w:rsid w:val="006B75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75AB"/>
  </w:style>
  <w:style w:type="character" w:styleId="CommentReference">
    <w:name w:val="annotation reference"/>
    <w:basedOn w:val="DefaultParagraphFont"/>
    <w:uiPriority w:val="99"/>
    <w:semiHidden/>
    <w:unhideWhenUsed/>
    <w:rsid w:val="003A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2E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5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7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5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2">
    <w:name w:val="tv2132"/>
    <w:basedOn w:val="Normal"/>
    <w:rsid w:val="0073018F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20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likumi.lv/doc.php?id=264639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lze.vonda@varam.gov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91C0-1CD1-4A46-A4B7-ADD6CB20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E23B3-2255-4CCD-AC18-C3AC43BB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</dc:creator>
  <cp:lastModifiedBy>Jekaterina Borovika</cp:lastModifiedBy>
  <cp:revision>2</cp:revision>
  <cp:lastPrinted>2015-01-29T12:26:00Z</cp:lastPrinted>
  <dcterms:created xsi:type="dcterms:W3CDTF">2017-02-07T14:48:00Z</dcterms:created>
  <dcterms:modified xsi:type="dcterms:W3CDTF">2017-02-07T14:48:00Z</dcterms:modified>
</cp:coreProperties>
</file>