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B41BC" w14:textId="77777777" w:rsidR="00B44C2C" w:rsidRPr="005B6906" w:rsidRDefault="00B44C2C"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14:paraId="708598DE" w14:textId="77777777" w:rsidR="00B44C2C" w:rsidRPr="005B6906" w:rsidRDefault="00B44C2C"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14:paraId="5046791B" w14:textId="18B5B435" w:rsidR="00B44C2C" w:rsidRPr="005B6906" w:rsidRDefault="00B44C2C"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0B0925">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009B5A61" w:rsidRPr="005B6906">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009B5A61" w:rsidRPr="005B6906">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14:paraId="3AA0CF69" w14:textId="77777777" w:rsidR="00AD2A37" w:rsidRPr="005B6906" w:rsidRDefault="00AD2A37" w:rsidP="00AD2A37">
      <w:pPr>
        <w:pStyle w:val="VPBody"/>
        <w:jc w:val="right"/>
        <w:rPr>
          <w:szCs w:val="24"/>
        </w:rPr>
      </w:pPr>
    </w:p>
    <w:p w14:paraId="4641B760" w14:textId="77777777" w:rsidR="005331FE" w:rsidRPr="00943C9B" w:rsidRDefault="005331FE" w:rsidP="00E9724C">
      <w:pPr>
        <w:pStyle w:val="VPBody"/>
        <w:spacing w:before="0" w:after="0"/>
        <w:jc w:val="center"/>
        <w:rPr>
          <w:b/>
          <w:szCs w:val="24"/>
        </w:rPr>
      </w:pPr>
      <w:r w:rsidRPr="00B0112C">
        <w:rPr>
          <w:b/>
          <w:szCs w:val="24"/>
        </w:rPr>
        <w:t>E-</w:t>
      </w:r>
      <w:r w:rsidR="005A4D85" w:rsidRPr="00B0112C">
        <w:rPr>
          <w:b/>
          <w:szCs w:val="24"/>
        </w:rPr>
        <w:t>muita</w:t>
      </w:r>
      <w:r w:rsidRPr="00943C9B">
        <w:rPr>
          <w:b/>
          <w:szCs w:val="24"/>
        </w:rPr>
        <w:t xml:space="preserve"> </w:t>
      </w:r>
      <w:r w:rsidR="008375FF">
        <w:rPr>
          <w:b/>
          <w:szCs w:val="24"/>
        </w:rPr>
        <w:t>(1.kārta)</w:t>
      </w:r>
    </w:p>
    <w:p w14:paraId="6224BB9C" w14:textId="77777777" w:rsidR="00B44C2C" w:rsidRPr="00943C9B" w:rsidRDefault="005A4D85" w:rsidP="00E9724C">
      <w:pPr>
        <w:pStyle w:val="VPBody"/>
        <w:spacing w:before="0" w:after="0"/>
        <w:jc w:val="center"/>
        <w:rPr>
          <w:b/>
          <w:szCs w:val="24"/>
        </w:rPr>
      </w:pPr>
      <w:r w:rsidRPr="00943C9B">
        <w:rPr>
          <w:b/>
          <w:szCs w:val="24"/>
        </w:rPr>
        <w:t>p</w:t>
      </w:r>
      <w:r w:rsidR="00B44C2C" w:rsidRPr="00943C9B">
        <w:rPr>
          <w:b/>
          <w:szCs w:val="24"/>
        </w:rPr>
        <w:t>rojekta apraksts (kopsavilkums)</w:t>
      </w:r>
    </w:p>
    <w:p w14:paraId="363E326E" w14:textId="77777777" w:rsidR="00AD2A37" w:rsidRPr="00943C9B" w:rsidRDefault="00AD2A37" w:rsidP="00FF0C61">
      <w:pPr>
        <w:pStyle w:val="VPBody"/>
        <w:spacing w:before="0" w:after="60"/>
        <w:jc w:val="right"/>
        <w:rPr>
          <w:szCs w:val="24"/>
        </w:rPr>
      </w:pPr>
    </w:p>
    <w:p w14:paraId="0B2168E0" w14:textId="77777777" w:rsidR="009B3DB9" w:rsidRPr="00FF0C61" w:rsidRDefault="00E03A1D" w:rsidP="00E9724C">
      <w:pPr>
        <w:spacing w:before="0" w:after="0"/>
        <w:jc w:val="both"/>
        <w:rPr>
          <w:rFonts w:ascii="Times New Roman" w:hAnsi="Times New Roman" w:cs="Times New Roman"/>
          <w:bCs/>
          <w:sz w:val="24"/>
          <w:szCs w:val="24"/>
        </w:rPr>
      </w:pPr>
      <w:bookmarkStart w:id="0" w:name="_Toc435687094"/>
      <w:bookmarkStart w:id="1" w:name="_Toc435687095"/>
      <w:bookmarkStart w:id="2" w:name="_Toc435687096"/>
      <w:bookmarkEnd w:id="0"/>
      <w:bookmarkEnd w:id="1"/>
      <w:bookmarkEnd w:id="2"/>
      <w:r w:rsidRPr="00FF0C61">
        <w:rPr>
          <w:rFonts w:ascii="Times New Roman" w:hAnsi="Times New Roman" w:cs="Times New Roman"/>
          <w:bCs/>
          <w:sz w:val="24"/>
          <w:szCs w:val="24"/>
        </w:rPr>
        <w:t xml:space="preserve">Projekta </w:t>
      </w:r>
      <w:r w:rsidR="009B3DB9" w:rsidRPr="00FF0C61">
        <w:rPr>
          <w:rFonts w:ascii="Times New Roman" w:hAnsi="Times New Roman" w:cs="Times New Roman"/>
          <w:bCs/>
          <w:sz w:val="24"/>
          <w:szCs w:val="24"/>
        </w:rPr>
        <w:t>mērķis paredz samazināt administratīvo slogu uzņēmējdarbībai un paaugstināt Eiropas Savienības (</w:t>
      </w:r>
      <w:r w:rsidR="00733CD1">
        <w:rPr>
          <w:rFonts w:ascii="Times New Roman" w:hAnsi="Times New Roman" w:cs="Times New Roman"/>
          <w:bCs/>
          <w:sz w:val="24"/>
          <w:szCs w:val="24"/>
        </w:rPr>
        <w:t xml:space="preserve">turpmāk - </w:t>
      </w:r>
      <w:r w:rsidR="009B3DB9" w:rsidRPr="00FF0C61">
        <w:rPr>
          <w:rFonts w:ascii="Times New Roman" w:hAnsi="Times New Roman" w:cs="Times New Roman"/>
          <w:bCs/>
          <w:sz w:val="24"/>
          <w:szCs w:val="24"/>
        </w:rPr>
        <w:t>ES) komersantu konkurētspēju kopējā tirgū, kā arī uzlabot esošo muitas procesu un procedūru efektivitāti.</w:t>
      </w:r>
    </w:p>
    <w:p w14:paraId="1BC114B9" w14:textId="77777777" w:rsidR="009B3DB9" w:rsidRPr="00FF0C61" w:rsidRDefault="009B3DB9" w:rsidP="00E9724C">
      <w:pPr>
        <w:overflowPunct w:val="0"/>
        <w:autoSpaceDE w:val="0"/>
        <w:autoSpaceDN w:val="0"/>
        <w:spacing w:before="0" w:after="0"/>
        <w:ind w:firstLine="720"/>
        <w:jc w:val="both"/>
        <w:textAlignment w:val="baseline"/>
        <w:rPr>
          <w:rFonts w:ascii="Times New Roman" w:hAnsi="Times New Roman" w:cs="Times New Roman"/>
          <w:b/>
          <w:sz w:val="24"/>
          <w:szCs w:val="24"/>
        </w:rPr>
      </w:pPr>
    </w:p>
    <w:p w14:paraId="5944AB49" w14:textId="77777777" w:rsidR="00991397" w:rsidRDefault="000B527B" w:rsidP="00E9724C">
      <w:pPr>
        <w:overflowPunct w:val="0"/>
        <w:autoSpaceDE w:val="0"/>
        <w:autoSpaceDN w:val="0"/>
        <w:spacing w:before="0" w:after="0"/>
        <w:textAlignment w:val="baseline"/>
        <w:rPr>
          <w:rFonts w:ascii="Times New Roman" w:eastAsia="Times New Roman" w:hAnsi="Times New Roman" w:cs="Times New Roman"/>
          <w:b/>
          <w:sz w:val="24"/>
          <w:szCs w:val="24"/>
          <w:lang w:eastAsia="lv-LV"/>
        </w:rPr>
      </w:pPr>
      <w:r w:rsidRPr="00FF0C61">
        <w:rPr>
          <w:rFonts w:ascii="Times New Roman" w:eastAsia="Times New Roman" w:hAnsi="Times New Roman" w:cs="Times New Roman"/>
          <w:b/>
          <w:sz w:val="24"/>
          <w:szCs w:val="24"/>
          <w:lang w:eastAsia="lv-LV"/>
        </w:rPr>
        <w:t>Projektam ir izvirzīti šādi mērķi:</w:t>
      </w:r>
    </w:p>
    <w:p w14:paraId="581006F2" w14:textId="77777777" w:rsidR="009F5066" w:rsidRPr="00FF0C61" w:rsidRDefault="009F5066" w:rsidP="00E9724C">
      <w:pPr>
        <w:overflowPunct w:val="0"/>
        <w:autoSpaceDE w:val="0"/>
        <w:autoSpaceDN w:val="0"/>
        <w:spacing w:before="0" w:after="0"/>
        <w:textAlignment w:val="baseline"/>
        <w:rPr>
          <w:rFonts w:ascii="Times New Roman" w:eastAsia="Times New Roman" w:hAnsi="Times New Roman" w:cs="Times New Roman"/>
          <w:b/>
          <w:sz w:val="24"/>
          <w:szCs w:val="24"/>
          <w:lang w:eastAsia="lv-LV"/>
        </w:rPr>
      </w:pPr>
    </w:p>
    <w:p w14:paraId="3A6C048F" w14:textId="77777777" w:rsidR="009B3DB9" w:rsidRPr="00FF0C61" w:rsidRDefault="009B3DB9" w:rsidP="00E9724C">
      <w:pPr>
        <w:pStyle w:val="VPBody"/>
        <w:numPr>
          <w:ilvl w:val="0"/>
          <w:numId w:val="17"/>
        </w:numPr>
        <w:spacing w:before="0" w:after="0"/>
        <w:rPr>
          <w:b/>
          <w:szCs w:val="24"/>
        </w:rPr>
      </w:pPr>
      <w:r w:rsidRPr="00FF0C61">
        <w:rPr>
          <w:b/>
          <w:szCs w:val="24"/>
        </w:rPr>
        <w:t xml:space="preserve">Samazināt administratīvo slogu uzņēmējdarbībai un paaugstināt ES komersantu konkurētspēju kopējā tirgū. </w:t>
      </w:r>
    </w:p>
    <w:p w14:paraId="5CF7B126" w14:textId="77777777" w:rsidR="009B3DB9" w:rsidRPr="00FF0C61" w:rsidRDefault="009B3DB9" w:rsidP="009F5066">
      <w:pPr>
        <w:pStyle w:val="VPBody"/>
        <w:spacing w:before="0" w:after="0"/>
        <w:rPr>
          <w:szCs w:val="24"/>
        </w:rPr>
      </w:pPr>
      <w:r w:rsidRPr="00FF0C61">
        <w:rPr>
          <w:szCs w:val="24"/>
        </w:rPr>
        <w:t xml:space="preserve">Mērķa sasniegšanai definēti šādi </w:t>
      </w:r>
      <w:proofErr w:type="spellStart"/>
      <w:r w:rsidRPr="00FF0C61">
        <w:rPr>
          <w:szCs w:val="24"/>
        </w:rPr>
        <w:t>apakšmērķi</w:t>
      </w:r>
      <w:proofErr w:type="spellEnd"/>
      <w:r w:rsidRPr="00FF0C61">
        <w:rPr>
          <w:szCs w:val="24"/>
        </w:rPr>
        <w:t>:</w:t>
      </w:r>
    </w:p>
    <w:p w14:paraId="2553D86C" w14:textId="77777777" w:rsidR="009B3DB9" w:rsidRPr="00FF0C61" w:rsidRDefault="00E85297" w:rsidP="009F5066">
      <w:pPr>
        <w:pStyle w:val="VPBody"/>
        <w:numPr>
          <w:ilvl w:val="1"/>
          <w:numId w:val="17"/>
        </w:numPr>
        <w:spacing w:before="0" w:after="0"/>
        <w:rPr>
          <w:b/>
          <w:szCs w:val="24"/>
        </w:rPr>
      </w:pPr>
      <w:r w:rsidRPr="00FF0C61">
        <w:rPr>
          <w:b/>
          <w:szCs w:val="24"/>
        </w:rPr>
        <w:t xml:space="preserve"> </w:t>
      </w:r>
      <w:r w:rsidR="009B3DB9" w:rsidRPr="00FF0C61">
        <w:rPr>
          <w:b/>
          <w:szCs w:val="24"/>
        </w:rPr>
        <w:t>Harmonizēt un standartizēt muitošanas procesu</w:t>
      </w:r>
    </w:p>
    <w:p w14:paraId="1CA26401" w14:textId="77777777" w:rsidR="009B3DB9" w:rsidRPr="00FF0C61" w:rsidRDefault="009B3DB9" w:rsidP="009F5066">
      <w:pPr>
        <w:pStyle w:val="VPBody"/>
        <w:numPr>
          <w:ilvl w:val="0"/>
          <w:numId w:val="21"/>
        </w:numPr>
        <w:spacing w:before="0" w:after="0"/>
        <w:rPr>
          <w:szCs w:val="24"/>
        </w:rPr>
      </w:pPr>
      <w:r w:rsidRPr="00FF0C61">
        <w:rPr>
          <w:szCs w:val="24"/>
        </w:rPr>
        <w:t xml:space="preserve">harmonizēt un atvieglināt muitas procedūras un procesus, samazinot iesniedzamo datu un dokumentu apjomu, nodrošinot to elektronisku izpildi, aizstājot dažādu papīra formāta dokumentu izmantošanu ar strukturētiem elektroniskiem dokumentiem un informācijas apmaiņu; </w:t>
      </w:r>
    </w:p>
    <w:p w14:paraId="1CE339C1" w14:textId="77777777" w:rsidR="009B3DB9" w:rsidRPr="00FF0C61" w:rsidRDefault="009B3DB9" w:rsidP="009F5066">
      <w:pPr>
        <w:pStyle w:val="VPBody"/>
        <w:numPr>
          <w:ilvl w:val="0"/>
          <w:numId w:val="21"/>
        </w:numPr>
        <w:spacing w:before="0" w:after="0"/>
        <w:rPr>
          <w:szCs w:val="24"/>
        </w:rPr>
      </w:pPr>
      <w:r w:rsidRPr="00FF0C61">
        <w:rPr>
          <w:szCs w:val="24"/>
        </w:rPr>
        <w:t>nodrošināt vienotu pieeju muitas procedūru noformēšanai un preču kontrolei visā ES teritorijā;</w:t>
      </w:r>
    </w:p>
    <w:p w14:paraId="542B6E37" w14:textId="77777777" w:rsidR="009B3DB9" w:rsidRPr="00FF0C61" w:rsidRDefault="00E85297" w:rsidP="009F5066">
      <w:pPr>
        <w:pStyle w:val="VPBody"/>
        <w:numPr>
          <w:ilvl w:val="1"/>
          <w:numId w:val="17"/>
        </w:numPr>
        <w:spacing w:before="0" w:after="0"/>
        <w:rPr>
          <w:b/>
          <w:szCs w:val="24"/>
        </w:rPr>
      </w:pPr>
      <w:r w:rsidRPr="00FF0C61">
        <w:rPr>
          <w:b/>
          <w:szCs w:val="24"/>
        </w:rPr>
        <w:t xml:space="preserve"> </w:t>
      </w:r>
      <w:r w:rsidR="009B3DB9" w:rsidRPr="00FF0C61">
        <w:rPr>
          <w:b/>
          <w:szCs w:val="24"/>
        </w:rPr>
        <w:t xml:space="preserve">Paātrināt muitošanas procesu </w:t>
      </w:r>
    </w:p>
    <w:p w14:paraId="21300A4D" w14:textId="77777777" w:rsidR="009B3DB9" w:rsidRPr="00FF0C61" w:rsidRDefault="009B3DB9" w:rsidP="009F5066">
      <w:pPr>
        <w:pStyle w:val="VPBody"/>
        <w:numPr>
          <w:ilvl w:val="0"/>
          <w:numId w:val="22"/>
        </w:numPr>
        <w:spacing w:before="0" w:after="0"/>
        <w:rPr>
          <w:szCs w:val="24"/>
        </w:rPr>
      </w:pPr>
      <w:r w:rsidRPr="00FF0C61">
        <w:rPr>
          <w:szCs w:val="24"/>
        </w:rPr>
        <w:t>samazināt muitas procedūru formēšanai patērēto laiku, tādējādi samazinot arī izmaksas (ātrākās finanšu plūsmas un preču kustības rezultātā);</w:t>
      </w:r>
    </w:p>
    <w:p w14:paraId="4B07E90A" w14:textId="77777777" w:rsidR="009B3DB9" w:rsidRPr="00FF0C61" w:rsidRDefault="009B3DB9" w:rsidP="009F5066">
      <w:pPr>
        <w:pStyle w:val="VPBody"/>
        <w:numPr>
          <w:ilvl w:val="0"/>
          <w:numId w:val="22"/>
        </w:numPr>
        <w:spacing w:before="0" w:after="0"/>
        <w:rPr>
          <w:szCs w:val="24"/>
        </w:rPr>
      </w:pPr>
      <w:r w:rsidRPr="00FF0C61">
        <w:rPr>
          <w:szCs w:val="24"/>
        </w:rPr>
        <w:t>uzlabot visu muitas nodokļu un citu maksājumu iekasēšanas mehānismu;</w:t>
      </w:r>
    </w:p>
    <w:p w14:paraId="0983FFE6" w14:textId="77777777" w:rsidR="009B3DB9" w:rsidRPr="00FF0C61" w:rsidRDefault="009B3DB9" w:rsidP="009F5066">
      <w:pPr>
        <w:pStyle w:val="VPBody"/>
        <w:numPr>
          <w:ilvl w:val="0"/>
          <w:numId w:val="22"/>
        </w:numPr>
        <w:spacing w:before="0" w:after="0"/>
        <w:rPr>
          <w:szCs w:val="24"/>
        </w:rPr>
      </w:pPr>
      <w:r w:rsidRPr="00FF0C61">
        <w:rPr>
          <w:szCs w:val="24"/>
        </w:rPr>
        <w:t>nodrošināt ka muitošanas procesā iesaistītās iestādes savlaicīgi sniedz un saņem visu nepieciešamo informāciju;</w:t>
      </w:r>
    </w:p>
    <w:p w14:paraId="27FCD72C" w14:textId="77777777" w:rsidR="009B3DB9" w:rsidRPr="00FF0C61" w:rsidRDefault="00E85297" w:rsidP="009F5066">
      <w:pPr>
        <w:pStyle w:val="VPBody"/>
        <w:numPr>
          <w:ilvl w:val="1"/>
          <w:numId w:val="17"/>
        </w:numPr>
        <w:spacing w:before="0" w:after="0"/>
        <w:rPr>
          <w:b/>
          <w:szCs w:val="24"/>
        </w:rPr>
      </w:pPr>
      <w:r w:rsidRPr="00FF0C61">
        <w:rPr>
          <w:b/>
          <w:szCs w:val="24"/>
        </w:rPr>
        <w:t xml:space="preserve"> </w:t>
      </w:r>
      <w:r w:rsidR="009B3DB9" w:rsidRPr="00FF0C61">
        <w:rPr>
          <w:b/>
          <w:szCs w:val="24"/>
        </w:rPr>
        <w:t>Pilnveidot muitas sniegtos e-pakalpojumus</w:t>
      </w:r>
    </w:p>
    <w:p w14:paraId="29D78ACD" w14:textId="77777777" w:rsidR="009B3DB9" w:rsidRPr="00FF0C61" w:rsidRDefault="009B3DB9" w:rsidP="009F5066">
      <w:pPr>
        <w:pStyle w:val="VPBody"/>
        <w:numPr>
          <w:ilvl w:val="0"/>
          <w:numId w:val="23"/>
        </w:numPr>
        <w:spacing w:before="0" w:after="0"/>
        <w:rPr>
          <w:szCs w:val="24"/>
        </w:rPr>
      </w:pPr>
      <w:r w:rsidRPr="00FF0C61">
        <w:rPr>
          <w:szCs w:val="24"/>
        </w:rPr>
        <w:t>vienkāršot sniegto pakalpojumu pieprasīšanu un saņemšanu;</w:t>
      </w:r>
    </w:p>
    <w:p w14:paraId="4CF4AFD1" w14:textId="77777777" w:rsidR="009B3DB9" w:rsidRPr="00FF0C61" w:rsidRDefault="009B3DB9" w:rsidP="009F5066">
      <w:pPr>
        <w:pStyle w:val="VPBody"/>
        <w:numPr>
          <w:ilvl w:val="0"/>
          <w:numId w:val="23"/>
        </w:numPr>
        <w:spacing w:before="0" w:after="0"/>
        <w:rPr>
          <w:szCs w:val="24"/>
        </w:rPr>
      </w:pPr>
      <w:r w:rsidRPr="00FF0C61">
        <w:rPr>
          <w:szCs w:val="24"/>
        </w:rPr>
        <w:t>uzlabot pakalpojumu pieejamību;</w:t>
      </w:r>
    </w:p>
    <w:p w14:paraId="6209BA7E" w14:textId="77777777" w:rsidR="009B3DB9" w:rsidRDefault="009B3DB9" w:rsidP="009F5066">
      <w:pPr>
        <w:pStyle w:val="VPBody"/>
        <w:numPr>
          <w:ilvl w:val="0"/>
          <w:numId w:val="23"/>
        </w:numPr>
        <w:spacing w:before="0" w:after="0"/>
        <w:rPr>
          <w:szCs w:val="24"/>
        </w:rPr>
      </w:pPr>
      <w:r w:rsidRPr="00FF0C61">
        <w:rPr>
          <w:szCs w:val="24"/>
        </w:rPr>
        <w:t>nodrošinot iespēju izmantot ES normatīvajos aktos paredzētās priekšrocības visā ES teritorijā.</w:t>
      </w:r>
    </w:p>
    <w:p w14:paraId="469FEBB9" w14:textId="77777777" w:rsidR="009F5066" w:rsidRPr="00FF0C61" w:rsidRDefault="009F5066" w:rsidP="009F5066">
      <w:pPr>
        <w:pStyle w:val="VPBody"/>
        <w:spacing w:before="0" w:after="0"/>
        <w:ind w:left="1080"/>
        <w:rPr>
          <w:szCs w:val="24"/>
        </w:rPr>
      </w:pPr>
    </w:p>
    <w:p w14:paraId="2A445E40" w14:textId="77777777" w:rsidR="009B3DB9" w:rsidRPr="00FF0C61" w:rsidRDefault="009B3DB9" w:rsidP="009F5066">
      <w:pPr>
        <w:pStyle w:val="VPBody"/>
        <w:numPr>
          <w:ilvl w:val="0"/>
          <w:numId w:val="17"/>
        </w:numPr>
        <w:spacing w:before="0" w:after="0"/>
        <w:rPr>
          <w:b/>
          <w:szCs w:val="24"/>
        </w:rPr>
      </w:pPr>
      <w:r w:rsidRPr="00FF0C61">
        <w:rPr>
          <w:b/>
          <w:szCs w:val="24"/>
        </w:rPr>
        <w:t>Uzlabot esošo muitas procesu un procedūru efektivitāti</w:t>
      </w:r>
    </w:p>
    <w:p w14:paraId="1BE07500" w14:textId="77777777" w:rsidR="009B3DB9" w:rsidRPr="00FF0C61" w:rsidRDefault="009B3DB9" w:rsidP="009F5066">
      <w:pPr>
        <w:pStyle w:val="VPBody"/>
        <w:spacing w:before="0" w:after="0"/>
        <w:rPr>
          <w:szCs w:val="24"/>
        </w:rPr>
      </w:pPr>
      <w:r w:rsidRPr="00FF0C61">
        <w:rPr>
          <w:szCs w:val="24"/>
        </w:rPr>
        <w:t xml:space="preserve">Mērķa sasniegšanai definēti šādi </w:t>
      </w:r>
      <w:proofErr w:type="spellStart"/>
      <w:r w:rsidRPr="00FF0C61">
        <w:rPr>
          <w:szCs w:val="24"/>
        </w:rPr>
        <w:t>apakšmērķi</w:t>
      </w:r>
      <w:proofErr w:type="spellEnd"/>
      <w:r w:rsidRPr="00FF0C61">
        <w:rPr>
          <w:szCs w:val="24"/>
        </w:rPr>
        <w:t>:</w:t>
      </w:r>
    </w:p>
    <w:p w14:paraId="0CF539E0" w14:textId="77777777" w:rsidR="009B3DB9" w:rsidRPr="00FF0C61" w:rsidRDefault="00E85297" w:rsidP="009F5066">
      <w:pPr>
        <w:pStyle w:val="VPBody"/>
        <w:numPr>
          <w:ilvl w:val="1"/>
          <w:numId w:val="17"/>
        </w:numPr>
        <w:spacing w:before="0" w:after="0"/>
        <w:rPr>
          <w:b/>
          <w:szCs w:val="24"/>
        </w:rPr>
      </w:pPr>
      <w:r w:rsidRPr="00FF0C61">
        <w:rPr>
          <w:b/>
          <w:szCs w:val="24"/>
        </w:rPr>
        <w:t xml:space="preserve"> </w:t>
      </w:r>
      <w:r w:rsidR="009B3DB9" w:rsidRPr="00FF0C61">
        <w:rPr>
          <w:b/>
          <w:szCs w:val="24"/>
        </w:rPr>
        <w:t>Optimizēt esošo resursu izmantošanu</w:t>
      </w:r>
    </w:p>
    <w:p w14:paraId="36B9F4AE" w14:textId="77777777" w:rsidR="009B3DB9" w:rsidRPr="00FF0C61" w:rsidRDefault="009B3DB9" w:rsidP="009F5066">
      <w:pPr>
        <w:pStyle w:val="VPBody"/>
        <w:numPr>
          <w:ilvl w:val="0"/>
          <w:numId w:val="24"/>
        </w:numPr>
        <w:spacing w:before="0" w:after="0"/>
        <w:rPr>
          <w:szCs w:val="24"/>
        </w:rPr>
      </w:pPr>
      <w:r w:rsidRPr="00FF0C61">
        <w:rPr>
          <w:szCs w:val="24"/>
        </w:rPr>
        <w:t xml:space="preserve">paaugstināt muitas pakalpojumu, muitošanas procesa, riska analīzes un kontroles efektivitātes līmeni, tādējādi uzlabojot komersantiem sniegtos pakalpojumus un samazinot ar muitas procesiem un procedūrām saistītās </w:t>
      </w:r>
      <w:proofErr w:type="spellStart"/>
      <w:r w:rsidRPr="00FF0C61">
        <w:rPr>
          <w:szCs w:val="24"/>
        </w:rPr>
        <w:t>krāpniecības</w:t>
      </w:r>
      <w:proofErr w:type="spellEnd"/>
      <w:r w:rsidRPr="00FF0C61">
        <w:rPr>
          <w:szCs w:val="24"/>
        </w:rPr>
        <w:t xml:space="preserve"> iespējas. </w:t>
      </w:r>
    </w:p>
    <w:p w14:paraId="16EC9ACB" w14:textId="77777777" w:rsidR="009B3DB9" w:rsidRPr="00FF0C61" w:rsidRDefault="009B3DB9" w:rsidP="009F5066">
      <w:pPr>
        <w:pStyle w:val="VPBody"/>
        <w:numPr>
          <w:ilvl w:val="0"/>
          <w:numId w:val="24"/>
        </w:numPr>
        <w:spacing w:before="0" w:after="0"/>
        <w:rPr>
          <w:szCs w:val="24"/>
        </w:rPr>
      </w:pPr>
      <w:r w:rsidRPr="00FF0C61">
        <w:rPr>
          <w:szCs w:val="24"/>
        </w:rPr>
        <w:t xml:space="preserve">sadalot </w:t>
      </w:r>
      <w:r w:rsidR="00733CD1" w:rsidRPr="002B2535">
        <w:rPr>
          <w:szCs w:val="24"/>
        </w:rPr>
        <w:t>Centrālā</w:t>
      </w:r>
      <w:r w:rsidR="00733CD1">
        <w:rPr>
          <w:szCs w:val="24"/>
        </w:rPr>
        <w:t>s</w:t>
      </w:r>
      <w:r w:rsidR="00733CD1" w:rsidRPr="002B2535">
        <w:rPr>
          <w:szCs w:val="24"/>
        </w:rPr>
        <w:t xml:space="preserve"> muitas informācijas sistēma</w:t>
      </w:r>
      <w:r w:rsidR="00733CD1">
        <w:rPr>
          <w:szCs w:val="24"/>
        </w:rPr>
        <w:t>s (turpmāk –</w:t>
      </w:r>
      <w:r w:rsidR="00733CD1" w:rsidRPr="00FF0C61">
        <w:rPr>
          <w:szCs w:val="24"/>
        </w:rPr>
        <w:t xml:space="preserve"> </w:t>
      </w:r>
      <w:r w:rsidRPr="00FF0C61">
        <w:rPr>
          <w:szCs w:val="24"/>
        </w:rPr>
        <w:t>CMIS</w:t>
      </w:r>
      <w:r w:rsidR="00733CD1">
        <w:rPr>
          <w:szCs w:val="24"/>
        </w:rPr>
        <w:t>)</w:t>
      </w:r>
      <w:r w:rsidRPr="00FF0C61">
        <w:rPr>
          <w:szCs w:val="24"/>
        </w:rPr>
        <w:t xml:space="preserve"> funkcionalitāti starp </w:t>
      </w:r>
      <w:r w:rsidR="00F90B3E">
        <w:rPr>
          <w:szCs w:val="24"/>
        </w:rPr>
        <w:t xml:space="preserve">Elektronisko muitas datu apstrādes sistēmu (turpmāk – </w:t>
      </w:r>
      <w:r w:rsidRPr="00FF0C61">
        <w:rPr>
          <w:szCs w:val="24"/>
        </w:rPr>
        <w:t>EMDAS</w:t>
      </w:r>
      <w:r w:rsidR="00F90B3E">
        <w:rPr>
          <w:szCs w:val="24"/>
        </w:rPr>
        <w:t>)</w:t>
      </w:r>
      <w:r w:rsidRPr="00FF0C61">
        <w:rPr>
          <w:szCs w:val="24"/>
        </w:rPr>
        <w:t xml:space="preserve">, </w:t>
      </w:r>
      <w:r w:rsidR="00733CD1">
        <w:rPr>
          <w:szCs w:val="24"/>
        </w:rPr>
        <w:t>M</w:t>
      </w:r>
      <w:r w:rsidR="00733CD1" w:rsidRPr="002B2535">
        <w:rPr>
          <w:szCs w:val="24"/>
        </w:rPr>
        <w:t>aksājumu admi</w:t>
      </w:r>
      <w:r w:rsidR="00733CD1">
        <w:rPr>
          <w:szCs w:val="24"/>
        </w:rPr>
        <w:t xml:space="preserve">nistrēšanas informācijas sistēmu (turpmāk – </w:t>
      </w:r>
      <w:r w:rsidRPr="00FF0C61">
        <w:rPr>
          <w:szCs w:val="24"/>
        </w:rPr>
        <w:t>MAIS</w:t>
      </w:r>
      <w:r w:rsidR="00733CD1">
        <w:rPr>
          <w:szCs w:val="24"/>
        </w:rPr>
        <w:t>)</w:t>
      </w:r>
      <w:r w:rsidRPr="00FF0C61">
        <w:rPr>
          <w:szCs w:val="24"/>
        </w:rPr>
        <w:t xml:space="preserve">, </w:t>
      </w:r>
      <w:r w:rsidR="00733CD1">
        <w:rPr>
          <w:szCs w:val="24"/>
        </w:rPr>
        <w:t>Integrēto tarifa vadības sistēmu (turpmāk –</w:t>
      </w:r>
      <w:r w:rsidR="00733CD1" w:rsidRPr="00FF0C61">
        <w:rPr>
          <w:szCs w:val="24"/>
        </w:rPr>
        <w:t xml:space="preserve"> </w:t>
      </w:r>
      <w:r w:rsidRPr="00FF0C61">
        <w:rPr>
          <w:szCs w:val="24"/>
        </w:rPr>
        <w:t>ITVS</w:t>
      </w:r>
      <w:r w:rsidR="00733CD1">
        <w:rPr>
          <w:szCs w:val="24"/>
        </w:rPr>
        <w:t>)</w:t>
      </w:r>
      <w:r w:rsidRPr="00FF0C61">
        <w:rPr>
          <w:szCs w:val="24"/>
        </w:rPr>
        <w:t xml:space="preserve"> un </w:t>
      </w:r>
      <w:r w:rsidR="00C912D3">
        <w:rPr>
          <w:szCs w:val="24"/>
        </w:rPr>
        <w:t>Datu noliktavu sistēmu</w:t>
      </w:r>
      <w:r w:rsidR="00733CD1">
        <w:rPr>
          <w:szCs w:val="24"/>
        </w:rPr>
        <w:t xml:space="preserve"> </w:t>
      </w:r>
      <w:r w:rsidR="00C912D3">
        <w:rPr>
          <w:szCs w:val="24"/>
        </w:rPr>
        <w:t xml:space="preserve"> (turpmāk – </w:t>
      </w:r>
      <w:r w:rsidRPr="00FF0C61">
        <w:rPr>
          <w:szCs w:val="24"/>
        </w:rPr>
        <w:t>DNS</w:t>
      </w:r>
      <w:r w:rsidR="00C912D3">
        <w:rPr>
          <w:szCs w:val="24"/>
        </w:rPr>
        <w:t>)</w:t>
      </w:r>
      <w:r w:rsidRPr="00FF0C61">
        <w:rPr>
          <w:szCs w:val="24"/>
        </w:rPr>
        <w:t xml:space="preserve"> risinājumiem, uzlabot datu apmaiņu starp </w:t>
      </w:r>
      <w:r w:rsidR="00C912D3">
        <w:rPr>
          <w:szCs w:val="24"/>
        </w:rPr>
        <w:t>Valsts ieņēmumu dienestu (turpmāk –</w:t>
      </w:r>
      <w:r w:rsidRPr="00FF0C61">
        <w:rPr>
          <w:szCs w:val="24"/>
        </w:rPr>
        <w:t>VID</w:t>
      </w:r>
      <w:r w:rsidR="005577E1">
        <w:rPr>
          <w:szCs w:val="24"/>
        </w:rPr>
        <w:t>)</w:t>
      </w:r>
      <w:r w:rsidRPr="00FF0C61">
        <w:rPr>
          <w:szCs w:val="24"/>
        </w:rPr>
        <w:t xml:space="preserve"> informācijas sistēmām, tādējādi optimizējot datu plūsmas un esošo resursu noslodzi.</w:t>
      </w:r>
    </w:p>
    <w:p w14:paraId="0DFB2096" w14:textId="77777777" w:rsidR="009B3DB9" w:rsidRPr="00FF0C61" w:rsidRDefault="009B3DB9" w:rsidP="009F5066">
      <w:pPr>
        <w:pStyle w:val="VPBody"/>
        <w:numPr>
          <w:ilvl w:val="0"/>
          <w:numId w:val="24"/>
        </w:numPr>
        <w:spacing w:before="0" w:after="0"/>
        <w:rPr>
          <w:szCs w:val="24"/>
        </w:rPr>
      </w:pPr>
      <w:r w:rsidRPr="00FF0C61">
        <w:rPr>
          <w:szCs w:val="24"/>
        </w:rPr>
        <w:lastRenderedPageBreak/>
        <w:t>pakāpeniski pielāgot muitas informācijas sistēmas ciešākai sadarbībai ar citām valsts IS, nodrošinot informācijas sabiedrības pamatnostādnēs noteiktās prasības. Šīs izmaiņas prasa konceptuāli pārskatīt informācijas aizsardzības un datu apstrādes kontroles, lai samazinātu iespēju, ka sistēmās ir neprecīza vai novecojusi informācija vai tiek publicēta aizsargājama informācija.</w:t>
      </w:r>
    </w:p>
    <w:p w14:paraId="761DCEDD" w14:textId="77777777" w:rsidR="009B3DB9" w:rsidRPr="00FF0C61" w:rsidRDefault="00E85297" w:rsidP="009F5066">
      <w:pPr>
        <w:pStyle w:val="VPBody"/>
        <w:numPr>
          <w:ilvl w:val="1"/>
          <w:numId w:val="17"/>
        </w:numPr>
        <w:spacing w:before="0" w:after="0"/>
        <w:rPr>
          <w:b/>
          <w:szCs w:val="24"/>
        </w:rPr>
      </w:pPr>
      <w:r w:rsidRPr="00FF0C61">
        <w:rPr>
          <w:b/>
          <w:szCs w:val="24"/>
        </w:rPr>
        <w:t xml:space="preserve"> </w:t>
      </w:r>
      <w:r w:rsidR="009B3DB9" w:rsidRPr="00FF0C61">
        <w:rPr>
          <w:b/>
          <w:szCs w:val="24"/>
        </w:rPr>
        <w:t>Pilnveidot datu atlases un pārskatu sistēmas</w:t>
      </w:r>
    </w:p>
    <w:p w14:paraId="7095F336" w14:textId="77777777" w:rsidR="009B3DB9" w:rsidRPr="00FF0C61" w:rsidRDefault="009B3DB9" w:rsidP="009F5066">
      <w:pPr>
        <w:pStyle w:val="VPBody"/>
        <w:numPr>
          <w:ilvl w:val="0"/>
          <w:numId w:val="24"/>
        </w:numPr>
        <w:spacing w:before="0" w:after="0"/>
        <w:rPr>
          <w:szCs w:val="24"/>
        </w:rPr>
      </w:pPr>
      <w:r w:rsidRPr="00FF0C61">
        <w:rPr>
          <w:szCs w:val="24"/>
        </w:rPr>
        <w:t>papildināt esošo muitas sistēmu funkcionalitāti, lai nodrošinātu funkcionāli plašāku esošo datu ieguvi muitas atskaitēm un analītiskajiem pārskatiem, kā arī nodrošināt dažādu muitas atskaišu iegūšanu vienotā sistēmā, tādējādi optimizējot esošās datu plūsmas un veicinot valsts pārvaldes efektivitāti .</w:t>
      </w:r>
    </w:p>
    <w:p w14:paraId="43A0536E" w14:textId="77777777" w:rsidR="009B3DB9" w:rsidRPr="00FF0C61" w:rsidRDefault="009B3DB9" w:rsidP="009F5066">
      <w:pPr>
        <w:pStyle w:val="VPBody"/>
        <w:numPr>
          <w:ilvl w:val="0"/>
          <w:numId w:val="24"/>
        </w:numPr>
        <w:spacing w:before="0" w:after="0"/>
        <w:rPr>
          <w:szCs w:val="24"/>
        </w:rPr>
      </w:pPr>
      <w:r w:rsidRPr="00FF0C61">
        <w:rPr>
          <w:szCs w:val="24"/>
        </w:rPr>
        <w:t xml:space="preserve">izveidot datu kopas publicēšanai </w:t>
      </w:r>
      <w:proofErr w:type="spellStart"/>
      <w:r w:rsidRPr="00FF0C61">
        <w:rPr>
          <w:szCs w:val="24"/>
        </w:rPr>
        <w:t>atkalizmantojamo</w:t>
      </w:r>
      <w:proofErr w:type="spellEnd"/>
      <w:r w:rsidRPr="00FF0C61">
        <w:rPr>
          <w:szCs w:val="24"/>
        </w:rPr>
        <w:t xml:space="preserve"> datu formātos.</w:t>
      </w:r>
    </w:p>
    <w:p w14:paraId="78AD83B1" w14:textId="77777777" w:rsidR="009B3DB9" w:rsidRPr="00FF0C61" w:rsidRDefault="009B3DB9" w:rsidP="00FF0C61">
      <w:pPr>
        <w:pStyle w:val="VPBody"/>
        <w:spacing w:before="0" w:after="60"/>
        <w:rPr>
          <w:szCs w:val="24"/>
        </w:rPr>
      </w:pPr>
    </w:p>
    <w:p w14:paraId="33A20A3F" w14:textId="77777777" w:rsidR="00C71D31" w:rsidRPr="00FF0C61" w:rsidRDefault="00C71D31" w:rsidP="00FF0C61">
      <w:pPr>
        <w:overflowPunct w:val="0"/>
        <w:autoSpaceDE w:val="0"/>
        <w:autoSpaceDN w:val="0"/>
        <w:spacing w:before="0" w:after="60"/>
        <w:textAlignment w:val="baseline"/>
        <w:rPr>
          <w:rFonts w:ascii="Times New Roman" w:eastAsia="Times New Roman" w:hAnsi="Times New Roman" w:cs="Times New Roman"/>
          <w:b/>
          <w:sz w:val="24"/>
          <w:szCs w:val="24"/>
          <w:lang w:eastAsia="lv-LV"/>
        </w:rPr>
      </w:pPr>
      <w:r w:rsidRPr="00FF0C61">
        <w:rPr>
          <w:rFonts w:ascii="Times New Roman" w:eastAsia="Times New Roman" w:hAnsi="Times New Roman" w:cs="Times New Roman"/>
          <w:b/>
          <w:sz w:val="24"/>
          <w:szCs w:val="24"/>
          <w:lang w:eastAsia="lv-LV"/>
        </w:rPr>
        <w:t>Darbības</w:t>
      </w:r>
      <w:r w:rsidRPr="00FF0C61">
        <w:rPr>
          <w:rFonts w:ascii="Times New Roman" w:hAnsi="Times New Roman" w:cs="Times New Roman"/>
          <w:b/>
          <w:sz w:val="24"/>
          <w:szCs w:val="24"/>
        </w:rPr>
        <w:t xml:space="preserve"> pr</w:t>
      </w:r>
      <w:r w:rsidR="00BA2041" w:rsidRPr="00FF0C61">
        <w:rPr>
          <w:rFonts w:ascii="Times New Roman" w:eastAsia="Times New Roman" w:hAnsi="Times New Roman" w:cs="Times New Roman"/>
          <w:b/>
          <w:sz w:val="24"/>
          <w:szCs w:val="24"/>
          <w:lang w:eastAsia="lv-LV"/>
        </w:rPr>
        <w:t>ojekta mērķu sasniegša</w:t>
      </w:r>
      <w:r w:rsidR="00260FF4">
        <w:rPr>
          <w:rFonts w:ascii="Times New Roman" w:eastAsia="Times New Roman" w:hAnsi="Times New Roman" w:cs="Times New Roman"/>
          <w:b/>
          <w:sz w:val="24"/>
          <w:szCs w:val="24"/>
          <w:lang w:eastAsia="lv-LV"/>
        </w:rPr>
        <w:t>nai</w:t>
      </w:r>
      <w:r w:rsidR="00BA2041" w:rsidRPr="00FF0C61">
        <w:rPr>
          <w:rFonts w:ascii="Times New Roman" w:eastAsia="Times New Roman" w:hAnsi="Times New Roman" w:cs="Times New Roman"/>
          <w:b/>
          <w:sz w:val="24"/>
          <w:szCs w:val="24"/>
          <w:lang w:eastAsia="lv-LV"/>
        </w:rPr>
        <w:t>:</w:t>
      </w:r>
    </w:p>
    <w:p w14:paraId="6A6FF0EB" w14:textId="77777777" w:rsidR="009B3DB9" w:rsidRPr="00FF0C61" w:rsidRDefault="009B3DB9" w:rsidP="00FF0C61">
      <w:pPr>
        <w:pStyle w:val="ListParagraph"/>
        <w:numPr>
          <w:ilvl w:val="0"/>
          <w:numId w:val="19"/>
        </w:numPr>
        <w:spacing w:after="60"/>
        <w:jc w:val="both"/>
        <w:rPr>
          <w:b/>
          <w:szCs w:val="24"/>
        </w:rPr>
      </w:pPr>
      <w:r w:rsidRPr="00FF0C61">
        <w:rPr>
          <w:b/>
          <w:szCs w:val="24"/>
        </w:rPr>
        <w:t>Muitas lēmumu (atļauju), kā arī citu ar komersantu saistīto datu elektronizēšana</w:t>
      </w:r>
    </w:p>
    <w:p w14:paraId="637A6600" w14:textId="77777777" w:rsidR="009B3DB9" w:rsidRPr="00FF0C61" w:rsidRDefault="009B3DB9" w:rsidP="00FF0C61">
      <w:pPr>
        <w:pStyle w:val="ListParagraph"/>
        <w:spacing w:after="60"/>
        <w:jc w:val="both"/>
        <w:rPr>
          <w:szCs w:val="24"/>
        </w:rPr>
      </w:pPr>
      <w:r w:rsidRPr="00FF0C61">
        <w:rPr>
          <w:szCs w:val="24"/>
        </w:rPr>
        <w:t>Latvijas EMDAS tiks papildināta ar funkcionalitāti ES normatīvajos aktos paredzēto muitas lēmumu, kā arī nacionālo atļauju datu apstrādei, datu apmaiņai ar Eiropas Komisijas centrālo sistēmu, nodrošinot vienotu elektronisko muitas lēmumu izsniegšanas un administrēšana procesu, kā arī automatizējot lēmumu/atļauju piemērošanas kontroli</w:t>
      </w:r>
    </w:p>
    <w:p w14:paraId="69A7E6CA" w14:textId="77777777" w:rsidR="009B3DB9" w:rsidRPr="00FF0C61" w:rsidRDefault="009B3DB9" w:rsidP="00FF0C61">
      <w:pPr>
        <w:pStyle w:val="ListParagraph"/>
        <w:numPr>
          <w:ilvl w:val="0"/>
          <w:numId w:val="19"/>
        </w:numPr>
        <w:spacing w:after="60"/>
        <w:jc w:val="both"/>
        <w:rPr>
          <w:b/>
          <w:szCs w:val="24"/>
        </w:rPr>
      </w:pPr>
      <w:r w:rsidRPr="00FF0C61">
        <w:rPr>
          <w:b/>
          <w:szCs w:val="24"/>
        </w:rPr>
        <w:t>Pakāpeniska Eksporta kontroles sistēmas paplašināšana; Automatizētās eksporta sistēmas ieviešana</w:t>
      </w:r>
    </w:p>
    <w:p w14:paraId="694DB696" w14:textId="77777777" w:rsidR="009B3DB9" w:rsidRPr="00FF0C61" w:rsidRDefault="009B3DB9" w:rsidP="00FF0C61">
      <w:pPr>
        <w:pStyle w:val="ListParagraph"/>
        <w:spacing w:after="60"/>
        <w:jc w:val="both"/>
        <w:rPr>
          <w:szCs w:val="24"/>
        </w:rPr>
      </w:pPr>
      <w:r w:rsidRPr="00FF0C61">
        <w:rPr>
          <w:szCs w:val="24"/>
        </w:rPr>
        <w:t>EMDAS Eksporta kontroles sistēmas un ar to saistīto sistēmu (t.sk. datu apmaiņas) harmonizēšana, paplašināšana un pielāgošana ES prasībām.</w:t>
      </w:r>
    </w:p>
    <w:p w14:paraId="65628536" w14:textId="77777777" w:rsidR="009B3DB9" w:rsidRPr="00FF0C61" w:rsidRDefault="009B3DB9" w:rsidP="00FF0C61">
      <w:pPr>
        <w:pStyle w:val="ListParagraph"/>
        <w:spacing w:after="60"/>
        <w:jc w:val="both"/>
        <w:rPr>
          <w:szCs w:val="24"/>
        </w:rPr>
      </w:pPr>
      <w:r w:rsidRPr="00FF0C61">
        <w:rPr>
          <w:szCs w:val="24"/>
        </w:rPr>
        <w:t>Tiks ieviestas jaunas funkcionalitātes, nodrošinot izvešanas procesa elektroniskās apstrādes atbilstību ES prasībām, t.sk. saistībā ar centralizētās muitošanas ieviešanu, vienkāršotām procedūrām, sūtījumu izvešanu pa daļām un citu ar preču eksportu un to kontroli saistīto procesu optimizēšanu un pilnveidošanu.</w:t>
      </w:r>
    </w:p>
    <w:p w14:paraId="0F9D57F7" w14:textId="77777777" w:rsidR="009B3DB9" w:rsidRPr="00FF0C61" w:rsidRDefault="009B3DB9" w:rsidP="00FF0C61">
      <w:pPr>
        <w:pStyle w:val="ListParagraph"/>
        <w:numPr>
          <w:ilvl w:val="0"/>
          <w:numId w:val="19"/>
        </w:numPr>
        <w:spacing w:after="60"/>
        <w:jc w:val="both"/>
        <w:rPr>
          <w:b/>
          <w:szCs w:val="24"/>
        </w:rPr>
      </w:pPr>
      <w:r w:rsidRPr="00FF0C61">
        <w:rPr>
          <w:b/>
          <w:szCs w:val="24"/>
        </w:rPr>
        <w:t>Pakāpeniska Tranzīta kontroles sistēmas paplašināšana</w:t>
      </w:r>
    </w:p>
    <w:p w14:paraId="22444F10" w14:textId="77777777" w:rsidR="009B3DB9" w:rsidRPr="00FF0C61" w:rsidRDefault="009B3DB9" w:rsidP="00FF0C61">
      <w:pPr>
        <w:pStyle w:val="ListParagraph"/>
        <w:spacing w:after="60"/>
        <w:jc w:val="both"/>
        <w:rPr>
          <w:szCs w:val="24"/>
        </w:rPr>
      </w:pPr>
      <w:r w:rsidRPr="00FF0C61">
        <w:rPr>
          <w:szCs w:val="24"/>
        </w:rPr>
        <w:t>EMDAS Tranzīta kontroles sistēmas un ar to saistīto sistēmu (t.sk. datu apmaiņas) harmonizēšana, paplašināšana un pielāgošana ES prasībām; vienkāršoto procedūru un citu ar tranzītu saistīto procesu elektronizēšana.</w:t>
      </w:r>
    </w:p>
    <w:p w14:paraId="3199D25C" w14:textId="77777777" w:rsidR="009B3DB9" w:rsidRPr="00FF0C61" w:rsidRDefault="009B3DB9" w:rsidP="00FF0C61">
      <w:pPr>
        <w:pStyle w:val="ListParagraph"/>
        <w:numPr>
          <w:ilvl w:val="0"/>
          <w:numId w:val="19"/>
        </w:numPr>
        <w:spacing w:after="60"/>
        <w:jc w:val="both"/>
        <w:rPr>
          <w:b/>
          <w:szCs w:val="24"/>
        </w:rPr>
      </w:pPr>
      <w:r w:rsidRPr="00FF0C61">
        <w:rPr>
          <w:b/>
          <w:szCs w:val="24"/>
        </w:rPr>
        <w:t>Ar preču ierašanos, uzrādīšanu, novietošanu pagaidu uzglabāšanas vietās un uzskaiti saistīto procesu pilnveidošana un automatizācija</w:t>
      </w:r>
    </w:p>
    <w:p w14:paraId="7527DA14" w14:textId="77777777" w:rsidR="009B3DB9" w:rsidRPr="00FF0C61" w:rsidRDefault="009B3DB9" w:rsidP="00FF0C61">
      <w:pPr>
        <w:pStyle w:val="ListParagraph"/>
        <w:spacing w:after="60"/>
        <w:jc w:val="both"/>
        <w:rPr>
          <w:szCs w:val="24"/>
        </w:rPr>
      </w:pPr>
      <w:r w:rsidRPr="00FF0C61">
        <w:rPr>
          <w:szCs w:val="24"/>
        </w:rPr>
        <w:t xml:space="preserve">EMDAS Pagaidu uzglabāšanas un citu sistēmu izmaiņas un pielāgošana ES prasībām saistībā ar preču ierašanos, uzrādīšanu un novietošanu preču pagaidu uzglabāšanas vietās. Tiks nodrošināta elektronisko preču ierašanās paziņojumu, preču uzrādīšanas paziņojumu un pagaidu uzglabāšanas noformēšanas procesu atbilstība ES prasībām, kā arī ar to saistīto kontroles procesu pilnveidošana. Tiks ieviesta jauna iespēja pārvietot preces starp pagaidu uzglabāšanas vietām. </w:t>
      </w:r>
    </w:p>
    <w:p w14:paraId="14E6161F" w14:textId="77777777" w:rsidR="009B3DB9" w:rsidRPr="00FF0C61" w:rsidRDefault="009B3DB9" w:rsidP="00FF0C61">
      <w:pPr>
        <w:pStyle w:val="ListParagraph"/>
        <w:numPr>
          <w:ilvl w:val="0"/>
          <w:numId w:val="19"/>
        </w:numPr>
        <w:spacing w:after="60"/>
        <w:jc w:val="both"/>
        <w:rPr>
          <w:b/>
          <w:szCs w:val="24"/>
        </w:rPr>
      </w:pPr>
      <w:r w:rsidRPr="00FF0C61">
        <w:rPr>
          <w:b/>
          <w:szCs w:val="24"/>
        </w:rPr>
        <w:t>ES vienotas galvojumu sistēmas ieviešana</w:t>
      </w:r>
    </w:p>
    <w:p w14:paraId="59EB699E" w14:textId="77777777" w:rsidR="009B3DB9" w:rsidRPr="00FF0C61" w:rsidRDefault="009B3DB9" w:rsidP="00FF0C61">
      <w:pPr>
        <w:pStyle w:val="ListParagraph"/>
        <w:spacing w:after="60"/>
        <w:jc w:val="both"/>
        <w:rPr>
          <w:szCs w:val="24"/>
        </w:rPr>
      </w:pPr>
      <w:r w:rsidRPr="00FF0C61">
        <w:rPr>
          <w:szCs w:val="24"/>
        </w:rPr>
        <w:t>EMDAS un ar to saistīto sistēmu papildināšana, nodrošinot ES vienotu galvojumu administrēšanas un kontroles procesu. Tiks nodrošināta atbilstība ES prasībām attiecībā uz galvojumu administrēšanu un kontroli.</w:t>
      </w:r>
    </w:p>
    <w:p w14:paraId="373FC1BE" w14:textId="77777777" w:rsidR="00510918" w:rsidRPr="00510918" w:rsidRDefault="009B3DB9" w:rsidP="00FF0C61">
      <w:pPr>
        <w:pStyle w:val="ListParagraph"/>
        <w:numPr>
          <w:ilvl w:val="0"/>
          <w:numId w:val="19"/>
        </w:numPr>
        <w:spacing w:after="60"/>
        <w:jc w:val="both"/>
        <w:rPr>
          <w:szCs w:val="24"/>
        </w:rPr>
      </w:pPr>
      <w:r w:rsidRPr="00510918">
        <w:rPr>
          <w:b/>
          <w:szCs w:val="24"/>
        </w:rPr>
        <w:t>Integrētā tarifa vadības sistēmas papildināšana</w:t>
      </w:r>
    </w:p>
    <w:p w14:paraId="23F86CB8" w14:textId="77777777" w:rsidR="009B3DB9" w:rsidRPr="00510918" w:rsidRDefault="009B3DB9" w:rsidP="001B06E3">
      <w:pPr>
        <w:pStyle w:val="ListParagraph"/>
        <w:spacing w:after="60"/>
        <w:jc w:val="both"/>
        <w:rPr>
          <w:szCs w:val="24"/>
        </w:rPr>
      </w:pPr>
      <w:r w:rsidRPr="00510918">
        <w:rPr>
          <w:szCs w:val="24"/>
        </w:rPr>
        <w:t xml:space="preserve">Integrētās tarifa vadības sistēmas un ar to saistīto sistēmu pielāgošana ES prasībām, t.sk. datu ticamības pārbaude, jaunu tarifu un tarifu atvieglojumu pasākumu, </w:t>
      </w:r>
      <w:proofErr w:type="spellStart"/>
      <w:r w:rsidRPr="00510918">
        <w:rPr>
          <w:i/>
          <w:szCs w:val="24"/>
        </w:rPr>
        <w:lastRenderedPageBreak/>
        <w:t>Surveillance</w:t>
      </w:r>
      <w:proofErr w:type="spellEnd"/>
      <w:r w:rsidRPr="00510918">
        <w:rPr>
          <w:szCs w:val="24"/>
        </w:rPr>
        <w:t xml:space="preserve"> (datu nodošana uzraudzībai </w:t>
      </w:r>
      <w:r w:rsidR="00EA3AC2" w:rsidRPr="002B2535">
        <w:rPr>
          <w:szCs w:val="24"/>
        </w:rPr>
        <w:t>Eiropas Komisija</w:t>
      </w:r>
      <w:r w:rsidR="00EA3AC2">
        <w:rPr>
          <w:szCs w:val="24"/>
        </w:rPr>
        <w:t xml:space="preserve">i (turpmāk - </w:t>
      </w:r>
      <w:r w:rsidRPr="00510918">
        <w:rPr>
          <w:szCs w:val="24"/>
        </w:rPr>
        <w:t xml:space="preserve">EK) sistēmas papildinājumi u.c. </w:t>
      </w:r>
    </w:p>
    <w:p w14:paraId="0C6F8864" w14:textId="77777777" w:rsidR="009B3DB9" w:rsidRPr="00FF0C61" w:rsidRDefault="009B3DB9" w:rsidP="00FF0C61">
      <w:pPr>
        <w:pStyle w:val="ListParagraph"/>
        <w:spacing w:after="60"/>
        <w:jc w:val="both"/>
        <w:rPr>
          <w:szCs w:val="24"/>
        </w:rPr>
      </w:pPr>
      <w:r w:rsidRPr="00FF0C61">
        <w:rPr>
          <w:szCs w:val="24"/>
        </w:rPr>
        <w:t>Tiks nodrošināta atbilstība ES prasībām attiecībā uz datu apstrādi, kas saistīti ar tarifu un maksājumu piemērošanu, ierobežojumu un ar preču kustību saistīto nosacījumu automatizēto kontroli.</w:t>
      </w:r>
    </w:p>
    <w:p w14:paraId="2DD02AFD" w14:textId="77777777" w:rsidR="009B3DB9" w:rsidRPr="00FF0C61" w:rsidRDefault="009B3DB9" w:rsidP="00FF0C61">
      <w:pPr>
        <w:pStyle w:val="ListParagraph"/>
        <w:numPr>
          <w:ilvl w:val="0"/>
          <w:numId w:val="19"/>
        </w:numPr>
        <w:spacing w:after="60"/>
        <w:jc w:val="both"/>
        <w:rPr>
          <w:b/>
          <w:szCs w:val="24"/>
        </w:rPr>
      </w:pPr>
      <w:r w:rsidRPr="00FF0C61">
        <w:rPr>
          <w:b/>
          <w:szCs w:val="24"/>
        </w:rPr>
        <w:t>Pakāpeniska Importa kontroles sistēmas paplašināšana; Automatizētās importa sistēmas ieviešana</w:t>
      </w:r>
    </w:p>
    <w:p w14:paraId="260DEA67" w14:textId="77777777" w:rsidR="009B3DB9" w:rsidRPr="00FF0C61" w:rsidRDefault="009B3DB9" w:rsidP="00FF0C61">
      <w:pPr>
        <w:pStyle w:val="ListParagraph"/>
        <w:spacing w:after="60"/>
        <w:jc w:val="both"/>
        <w:rPr>
          <w:szCs w:val="24"/>
        </w:rPr>
      </w:pPr>
      <w:r w:rsidRPr="00FF0C61">
        <w:rPr>
          <w:szCs w:val="24"/>
        </w:rPr>
        <w:t xml:space="preserve">EMDAS Importa kontroles sistēmas (importa deklarācijas, importam nepieciešamie klasifikatori, vidējās statistikas cenas) un ar to saistīto sistēmu (t.sk. datu apmaiņas) harmonizēšana, paplašināšana un pielāgošana ES prasībām. </w:t>
      </w:r>
    </w:p>
    <w:p w14:paraId="7EE6379F" w14:textId="7084DD85" w:rsidR="009B3DB9" w:rsidRPr="00FF0C61" w:rsidRDefault="009B3DB9" w:rsidP="00FF0C61">
      <w:pPr>
        <w:pStyle w:val="ListParagraph"/>
        <w:spacing w:after="60"/>
        <w:jc w:val="both"/>
        <w:rPr>
          <w:szCs w:val="24"/>
        </w:rPr>
      </w:pPr>
      <w:r w:rsidRPr="00FF0C61">
        <w:rPr>
          <w:szCs w:val="24"/>
        </w:rPr>
        <w:t xml:space="preserve">Tiks ieviestas jaunas funkcionalitātes, nodrošināta elektronisko ievešanas, tai skaitā, vienkāršoto procedūru apstrādes atbilstība ES prasībām, datu apmaiņa ar </w:t>
      </w:r>
      <w:r w:rsidR="007B6668">
        <w:rPr>
          <w:szCs w:val="24"/>
        </w:rPr>
        <w:t xml:space="preserve">Eiropas Komisijas </w:t>
      </w:r>
      <w:r w:rsidR="009F5066">
        <w:rPr>
          <w:szCs w:val="24"/>
        </w:rPr>
        <w:t>(</w:t>
      </w:r>
      <w:r w:rsidR="007B6668">
        <w:rPr>
          <w:szCs w:val="24"/>
        </w:rPr>
        <w:t xml:space="preserve">turpmāk – </w:t>
      </w:r>
      <w:r w:rsidRPr="00FF0C61">
        <w:rPr>
          <w:szCs w:val="24"/>
        </w:rPr>
        <w:t>EK</w:t>
      </w:r>
      <w:r w:rsidR="007B6668">
        <w:rPr>
          <w:szCs w:val="24"/>
        </w:rPr>
        <w:t>)</w:t>
      </w:r>
      <w:r w:rsidRPr="00FF0C61">
        <w:rPr>
          <w:szCs w:val="24"/>
        </w:rPr>
        <w:t xml:space="preserve"> centrālajām sistēmām, paredzot automatizēto kontroli attiecībā uz saistītajiem dokumentiem, kas nepieciešami ievešanas procedūru piemērošanai, datu apmaiņa ar visām ES dalībvalstu sistēmām, paredzot centralizētās muitošanas principa ieviešanu, vidējo statistisko cenu aprēķina mehānisma izstrāde u.c.</w:t>
      </w:r>
    </w:p>
    <w:p w14:paraId="60F0D688" w14:textId="77777777" w:rsidR="009B3DB9" w:rsidRPr="00FF0C61" w:rsidRDefault="009B3DB9" w:rsidP="00FF0C61">
      <w:pPr>
        <w:pStyle w:val="ListParagraph"/>
        <w:numPr>
          <w:ilvl w:val="0"/>
          <w:numId w:val="19"/>
        </w:numPr>
        <w:spacing w:after="60"/>
        <w:jc w:val="both"/>
        <w:rPr>
          <w:b/>
          <w:szCs w:val="24"/>
        </w:rPr>
      </w:pPr>
      <w:r w:rsidRPr="00FF0C61">
        <w:rPr>
          <w:b/>
          <w:szCs w:val="24"/>
        </w:rPr>
        <w:t>Vienota lietotāju administrēšanas un sasaistes ar EK centrālajām sistēmām ieviešana</w:t>
      </w:r>
    </w:p>
    <w:p w14:paraId="1262FE58" w14:textId="77777777" w:rsidR="009B3DB9" w:rsidRPr="00FF0C61" w:rsidRDefault="009B3DB9" w:rsidP="00FF0C61">
      <w:pPr>
        <w:pStyle w:val="ListParagraph"/>
        <w:spacing w:after="60"/>
        <w:jc w:val="both"/>
        <w:rPr>
          <w:szCs w:val="24"/>
        </w:rPr>
      </w:pPr>
      <w:r w:rsidRPr="00FF0C61">
        <w:rPr>
          <w:szCs w:val="24"/>
        </w:rPr>
        <w:t>Papildinot VID Elektroniskās deklarēšanas sistēmu, komersantiem tiks nodrošināta vienotas piekļuves punkts arī ES centrālajām muitas informācijas sistēmām, izmantojot VID lietotāju identifikācijas līdzekļus (t.sk. elektronisku atļauju pieteikumu iesniegšanai, piešķirto atļauju/lēmumu datu apskatei u.c.).</w:t>
      </w:r>
    </w:p>
    <w:p w14:paraId="7AC42EC3" w14:textId="77777777" w:rsidR="009B3DB9" w:rsidRPr="00FF0C61" w:rsidRDefault="009B3DB9" w:rsidP="00FF0C61">
      <w:pPr>
        <w:pStyle w:val="ListParagraph"/>
        <w:numPr>
          <w:ilvl w:val="0"/>
          <w:numId w:val="19"/>
        </w:numPr>
        <w:spacing w:after="60"/>
        <w:jc w:val="both"/>
        <w:rPr>
          <w:b/>
          <w:szCs w:val="24"/>
        </w:rPr>
      </w:pPr>
      <w:r w:rsidRPr="00FF0C61">
        <w:rPr>
          <w:b/>
          <w:szCs w:val="24"/>
        </w:rPr>
        <w:t>Ar datu atlasi un pārskatu veidošanu saistīto procesu pilnveidošana un automatizācija</w:t>
      </w:r>
    </w:p>
    <w:p w14:paraId="5342E2E7" w14:textId="77777777" w:rsidR="009B3DB9" w:rsidRPr="00FF0C61" w:rsidRDefault="009B3DB9" w:rsidP="00FF0C61">
      <w:pPr>
        <w:pStyle w:val="ListParagraph"/>
        <w:spacing w:after="60"/>
        <w:jc w:val="both"/>
        <w:rPr>
          <w:szCs w:val="24"/>
        </w:rPr>
      </w:pPr>
      <w:r w:rsidRPr="00FF0C61">
        <w:rPr>
          <w:szCs w:val="24"/>
        </w:rPr>
        <w:t xml:space="preserve">Datu nodošana no EMDAS uz VID DNS; EMDAS papildināšana automatizēto pārskatu izveidei (t.sk. citām iestādēm, piem. Centrālajai statistikas pārvaldei). </w:t>
      </w:r>
    </w:p>
    <w:p w14:paraId="48079FB2" w14:textId="77777777" w:rsidR="009B3DB9" w:rsidRPr="00FF0C61" w:rsidRDefault="009B3DB9" w:rsidP="00FF0C61">
      <w:pPr>
        <w:pStyle w:val="ListParagraph"/>
        <w:spacing w:after="60"/>
        <w:jc w:val="both"/>
        <w:rPr>
          <w:szCs w:val="24"/>
        </w:rPr>
      </w:pPr>
      <w:r w:rsidRPr="00FF0C61">
        <w:rPr>
          <w:szCs w:val="24"/>
        </w:rPr>
        <w:t>Tiks veikta DNS papildināšana un strukturālās izmaiņas, nodrošinot dažādu muitas atskaišu un analītisko pārskatu iegūšanu vienotā sistēmā, tādējādi optimizējot esošās datu plūsmas, datu atlases iespējas un VID amatpersonu darbu.</w:t>
      </w:r>
    </w:p>
    <w:p w14:paraId="67863917" w14:textId="77777777" w:rsidR="009B3DB9" w:rsidRPr="00FF0C61" w:rsidRDefault="009B3DB9" w:rsidP="00FF0C61">
      <w:pPr>
        <w:pStyle w:val="ListParagraph"/>
        <w:numPr>
          <w:ilvl w:val="0"/>
          <w:numId w:val="19"/>
        </w:numPr>
        <w:spacing w:after="60"/>
        <w:jc w:val="both"/>
        <w:rPr>
          <w:b/>
          <w:szCs w:val="24"/>
        </w:rPr>
      </w:pPr>
      <w:r w:rsidRPr="00FF0C61">
        <w:rPr>
          <w:b/>
          <w:szCs w:val="24"/>
        </w:rPr>
        <w:t>Skaidras naudas deklarāciju elektronizēšana</w:t>
      </w:r>
    </w:p>
    <w:p w14:paraId="234927DC" w14:textId="77777777" w:rsidR="009B3DB9" w:rsidRPr="00FF0C61" w:rsidRDefault="009B3DB9" w:rsidP="00FF0C61">
      <w:pPr>
        <w:pStyle w:val="ListParagraph"/>
        <w:spacing w:after="60"/>
        <w:jc w:val="both"/>
        <w:rPr>
          <w:szCs w:val="24"/>
        </w:rPr>
      </w:pPr>
      <w:r w:rsidRPr="00FF0C61">
        <w:rPr>
          <w:szCs w:val="24"/>
        </w:rPr>
        <w:t>EMDAS un saistīto sistēmu papildināšana ar funkcionalitāti skaidras naudas deklarāciju datu apstrādei, nodrošinot arī pārskatu izveidi. Tiks nodrošināta elektronisko skaidras naudas deklarāciju apstrāde un uzskaite.</w:t>
      </w:r>
    </w:p>
    <w:p w14:paraId="488AEA1B" w14:textId="77777777" w:rsidR="00381E3F" w:rsidRPr="00FF0C61" w:rsidRDefault="00381E3F" w:rsidP="00FF0C61">
      <w:pPr>
        <w:pStyle w:val="VPBody"/>
        <w:spacing w:before="0" w:after="60"/>
        <w:rPr>
          <w:szCs w:val="24"/>
        </w:rPr>
      </w:pPr>
    </w:p>
    <w:p w14:paraId="1443D6B8" w14:textId="77777777" w:rsidR="00C71D31" w:rsidRPr="00FF0C61" w:rsidRDefault="00C71D31" w:rsidP="00FF0C61">
      <w:pPr>
        <w:overflowPunct w:val="0"/>
        <w:autoSpaceDE w:val="0"/>
        <w:autoSpaceDN w:val="0"/>
        <w:adjustRightInd w:val="0"/>
        <w:spacing w:before="0" w:after="60"/>
        <w:textAlignment w:val="baseline"/>
        <w:rPr>
          <w:rFonts w:ascii="Times New Roman" w:eastAsia="MS Mincho" w:hAnsi="Times New Roman" w:cs="Times New Roman"/>
          <w:b/>
          <w:bCs/>
          <w:sz w:val="24"/>
          <w:szCs w:val="24"/>
        </w:rPr>
      </w:pPr>
      <w:r w:rsidRPr="00FF0C61">
        <w:rPr>
          <w:rFonts w:ascii="Times New Roman" w:eastAsia="MS Mincho" w:hAnsi="Times New Roman" w:cs="Times New Roman"/>
          <w:b/>
          <w:bCs/>
          <w:sz w:val="24"/>
          <w:szCs w:val="24"/>
        </w:rPr>
        <w:t>Projekta rezultāta rādītāji:</w:t>
      </w:r>
    </w:p>
    <w:tbl>
      <w:tblPr>
        <w:tblStyle w:val="TableGrid"/>
        <w:tblW w:w="5000" w:type="pct"/>
        <w:tblLook w:val="04A0" w:firstRow="1" w:lastRow="0" w:firstColumn="1" w:lastColumn="0" w:noHBand="0" w:noVBand="1"/>
      </w:tblPr>
      <w:tblGrid>
        <w:gridCol w:w="407"/>
        <w:gridCol w:w="3366"/>
        <w:gridCol w:w="932"/>
        <w:gridCol w:w="968"/>
        <w:gridCol w:w="1807"/>
        <w:gridCol w:w="1807"/>
      </w:tblGrid>
      <w:tr w:rsidR="009B6EE2" w:rsidRPr="00FF0C61" w14:paraId="1D27BF67" w14:textId="77777777" w:rsidTr="00CE4BB6">
        <w:trPr>
          <w:tblHeader/>
        </w:trPr>
        <w:tc>
          <w:tcPr>
            <w:tcW w:w="219" w:type="pct"/>
            <w:vAlign w:val="center"/>
          </w:tcPr>
          <w:p w14:paraId="0990FA35" w14:textId="77777777" w:rsidR="009B6EE2" w:rsidRPr="00FF0C61" w:rsidRDefault="009B6EE2" w:rsidP="00FF0C61">
            <w:pPr>
              <w:tabs>
                <w:tab w:val="left" w:pos="0"/>
              </w:tabs>
              <w:spacing w:before="0" w:after="60"/>
              <w:jc w:val="both"/>
              <w:rPr>
                <w:rFonts w:ascii="Times New Roman" w:hAnsi="Times New Roman" w:cs="Times New Roman"/>
                <w:bCs/>
                <w:sz w:val="24"/>
                <w:szCs w:val="24"/>
              </w:rPr>
            </w:pPr>
          </w:p>
        </w:tc>
        <w:tc>
          <w:tcPr>
            <w:tcW w:w="1812" w:type="pct"/>
            <w:vAlign w:val="center"/>
          </w:tcPr>
          <w:p w14:paraId="19DB80EC" w14:textId="77777777" w:rsidR="009B6EE2" w:rsidRPr="00FF0C61" w:rsidRDefault="009B6EE2" w:rsidP="00FF0C61">
            <w:pPr>
              <w:tabs>
                <w:tab w:val="left" w:pos="0"/>
              </w:tabs>
              <w:spacing w:before="0" w:after="60"/>
              <w:jc w:val="both"/>
              <w:rPr>
                <w:rFonts w:ascii="Times New Roman" w:hAnsi="Times New Roman" w:cs="Times New Roman"/>
                <w:bCs/>
                <w:sz w:val="24"/>
                <w:szCs w:val="24"/>
              </w:rPr>
            </w:pPr>
            <w:r w:rsidRPr="00FF0C61">
              <w:rPr>
                <w:rFonts w:ascii="Times New Roman" w:hAnsi="Times New Roman" w:cs="Times New Roman"/>
                <w:bCs/>
                <w:sz w:val="24"/>
                <w:szCs w:val="24"/>
              </w:rPr>
              <w:t>Rezultāta rādītājs</w:t>
            </w:r>
          </w:p>
        </w:tc>
        <w:tc>
          <w:tcPr>
            <w:tcW w:w="502" w:type="pct"/>
            <w:vAlign w:val="center"/>
          </w:tcPr>
          <w:p w14:paraId="14EDA405" w14:textId="77777777" w:rsidR="009B6EE2" w:rsidRPr="00FF0C61" w:rsidRDefault="009B6EE2" w:rsidP="00FF0C61">
            <w:pPr>
              <w:tabs>
                <w:tab w:val="left" w:pos="0"/>
              </w:tabs>
              <w:spacing w:before="0" w:after="60"/>
              <w:jc w:val="both"/>
              <w:rPr>
                <w:rFonts w:ascii="Times New Roman" w:hAnsi="Times New Roman" w:cs="Times New Roman"/>
                <w:bCs/>
                <w:sz w:val="24"/>
                <w:szCs w:val="24"/>
              </w:rPr>
            </w:pPr>
            <w:proofErr w:type="spellStart"/>
            <w:r w:rsidRPr="00FF0C61">
              <w:rPr>
                <w:rFonts w:ascii="Times New Roman" w:hAnsi="Times New Roman" w:cs="Times New Roman"/>
                <w:bCs/>
                <w:sz w:val="24"/>
                <w:szCs w:val="24"/>
              </w:rPr>
              <w:t>Mēr-vienība</w:t>
            </w:r>
            <w:proofErr w:type="spellEnd"/>
          </w:p>
        </w:tc>
        <w:tc>
          <w:tcPr>
            <w:tcW w:w="521" w:type="pct"/>
            <w:vAlign w:val="center"/>
          </w:tcPr>
          <w:p w14:paraId="7BBA15D3"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Sākot-</w:t>
            </w:r>
            <w:proofErr w:type="spellStart"/>
            <w:r w:rsidRPr="00FF0C61">
              <w:rPr>
                <w:rFonts w:ascii="Times New Roman" w:hAnsi="Times New Roman" w:cs="Times New Roman"/>
                <w:bCs/>
                <w:sz w:val="24"/>
                <w:szCs w:val="24"/>
              </w:rPr>
              <w:t>nējā</w:t>
            </w:r>
            <w:proofErr w:type="spellEnd"/>
            <w:r w:rsidRPr="00FF0C61">
              <w:rPr>
                <w:rFonts w:ascii="Times New Roman" w:hAnsi="Times New Roman" w:cs="Times New Roman"/>
                <w:bCs/>
                <w:sz w:val="24"/>
                <w:szCs w:val="24"/>
              </w:rPr>
              <w:t xml:space="preserve"> vērtība</w:t>
            </w:r>
          </w:p>
        </w:tc>
        <w:tc>
          <w:tcPr>
            <w:tcW w:w="973" w:type="pct"/>
            <w:vAlign w:val="center"/>
          </w:tcPr>
          <w:p w14:paraId="2CE440D5"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Sasniedzamā vērtība 2 gadus pēc projekta beigām</w:t>
            </w:r>
          </w:p>
        </w:tc>
        <w:tc>
          <w:tcPr>
            <w:tcW w:w="973" w:type="pct"/>
          </w:tcPr>
          <w:p w14:paraId="4B97E48C"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Sasniedzamā vērtība 3 gadus pēc projekta beigām</w:t>
            </w:r>
          </w:p>
        </w:tc>
      </w:tr>
      <w:tr w:rsidR="009B6EE2" w:rsidRPr="00FF0C61" w14:paraId="5750CCA9" w14:textId="77777777" w:rsidTr="00CE4BB6">
        <w:tc>
          <w:tcPr>
            <w:tcW w:w="219" w:type="pct"/>
          </w:tcPr>
          <w:p w14:paraId="18E6A584"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1.</w:t>
            </w:r>
          </w:p>
        </w:tc>
        <w:tc>
          <w:tcPr>
            <w:tcW w:w="1812" w:type="pct"/>
          </w:tcPr>
          <w:p w14:paraId="63687D49"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 xml:space="preserve">Ieguldījums publiskā sektora vidējā informācijas </w:t>
            </w:r>
            <w:proofErr w:type="spellStart"/>
            <w:r w:rsidRPr="00943C9B">
              <w:rPr>
                <w:rFonts w:ascii="Times New Roman" w:hAnsi="Times New Roman" w:cs="Times New Roman"/>
                <w:bCs/>
                <w:sz w:val="24"/>
                <w:szCs w:val="24"/>
              </w:rPr>
              <w:t>atkalizmantošanas</w:t>
            </w:r>
            <w:proofErr w:type="spellEnd"/>
            <w:r w:rsidRPr="00943C9B">
              <w:rPr>
                <w:rFonts w:ascii="Times New Roman" w:hAnsi="Times New Roman" w:cs="Times New Roman"/>
                <w:bCs/>
                <w:sz w:val="24"/>
                <w:szCs w:val="24"/>
              </w:rPr>
              <w:t xml:space="preserve"> indeksā, palielinot pieejamo VID datu kopu skaitu</w:t>
            </w:r>
          </w:p>
        </w:tc>
        <w:tc>
          <w:tcPr>
            <w:tcW w:w="502" w:type="pct"/>
          </w:tcPr>
          <w:p w14:paraId="3A9B4C89"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w:t>
            </w:r>
          </w:p>
        </w:tc>
        <w:tc>
          <w:tcPr>
            <w:tcW w:w="521" w:type="pct"/>
          </w:tcPr>
          <w:p w14:paraId="72D3F6A3"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0</w:t>
            </w:r>
          </w:p>
        </w:tc>
        <w:tc>
          <w:tcPr>
            <w:tcW w:w="973" w:type="pct"/>
          </w:tcPr>
          <w:p w14:paraId="48A9C75F"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100%</w:t>
            </w:r>
          </w:p>
        </w:tc>
        <w:tc>
          <w:tcPr>
            <w:tcW w:w="973" w:type="pct"/>
          </w:tcPr>
          <w:p w14:paraId="3452609A"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100%</w:t>
            </w:r>
          </w:p>
        </w:tc>
      </w:tr>
      <w:tr w:rsidR="009B6EE2" w:rsidRPr="00FF0C61" w14:paraId="26196C59" w14:textId="77777777" w:rsidTr="00CE4BB6">
        <w:tc>
          <w:tcPr>
            <w:tcW w:w="219" w:type="pct"/>
          </w:tcPr>
          <w:p w14:paraId="51C84BA1"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2.</w:t>
            </w:r>
          </w:p>
        </w:tc>
        <w:tc>
          <w:tcPr>
            <w:tcW w:w="1812" w:type="pct"/>
          </w:tcPr>
          <w:p w14:paraId="0C0A5055"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 xml:space="preserve">Muitošanas vidējais laiks - </w:t>
            </w:r>
            <w:r w:rsidRPr="00943C9B">
              <w:rPr>
                <w:rFonts w:ascii="Times New Roman" w:hAnsi="Times New Roman" w:cs="Times New Roman"/>
                <w:bCs/>
                <w:sz w:val="24"/>
                <w:szCs w:val="24"/>
              </w:rPr>
              <w:lastRenderedPageBreak/>
              <w:t>laišana brīvā apgrozībā</w:t>
            </w:r>
          </w:p>
        </w:tc>
        <w:tc>
          <w:tcPr>
            <w:tcW w:w="502" w:type="pct"/>
          </w:tcPr>
          <w:p w14:paraId="02B8957D"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lastRenderedPageBreak/>
              <w:t>min</w:t>
            </w:r>
          </w:p>
        </w:tc>
        <w:tc>
          <w:tcPr>
            <w:tcW w:w="521" w:type="pct"/>
          </w:tcPr>
          <w:p w14:paraId="7E4B9042"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287</w:t>
            </w:r>
          </w:p>
        </w:tc>
        <w:tc>
          <w:tcPr>
            <w:tcW w:w="973" w:type="pct"/>
          </w:tcPr>
          <w:p w14:paraId="33EA287E"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240</w:t>
            </w:r>
          </w:p>
        </w:tc>
        <w:tc>
          <w:tcPr>
            <w:tcW w:w="973" w:type="pct"/>
          </w:tcPr>
          <w:p w14:paraId="39204590"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240</w:t>
            </w:r>
          </w:p>
        </w:tc>
      </w:tr>
      <w:tr w:rsidR="009B6EE2" w:rsidRPr="00FF0C61" w14:paraId="126618E9" w14:textId="77777777" w:rsidTr="00CE4BB6">
        <w:tc>
          <w:tcPr>
            <w:tcW w:w="219" w:type="pct"/>
          </w:tcPr>
          <w:p w14:paraId="385E4D4D"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lastRenderedPageBreak/>
              <w:t>3.</w:t>
            </w:r>
          </w:p>
        </w:tc>
        <w:tc>
          <w:tcPr>
            <w:tcW w:w="1812" w:type="pct"/>
          </w:tcPr>
          <w:p w14:paraId="14C85AF1"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Muitošanas vidējais laiks – pagaidu uzglabāšana</w:t>
            </w:r>
          </w:p>
        </w:tc>
        <w:tc>
          <w:tcPr>
            <w:tcW w:w="502" w:type="pct"/>
          </w:tcPr>
          <w:p w14:paraId="65558C77"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min</w:t>
            </w:r>
          </w:p>
        </w:tc>
        <w:tc>
          <w:tcPr>
            <w:tcW w:w="521" w:type="pct"/>
          </w:tcPr>
          <w:p w14:paraId="1DFAA4EC"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241</w:t>
            </w:r>
          </w:p>
        </w:tc>
        <w:tc>
          <w:tcPr>
            <w:tcW w:w="973" w:type="pct"/>
          </w:tcPr>
          <w:p w14:paraId="3395B698"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200</w:t>
            </w:r>
          </w:p>
        </w:tc>
        <w:tc>
          <w:tcPr>
            <w:tcW w:w="973" w:type="pct"/>
          </w:tcPr>
          <w:p w14:paraId="118ABC4A"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200</w:t>
            </w:r>
          </w:p>
        </w:tc>
      </w:tr>
      <w:tr w:rsidR="009B6EE2" w:rsidRPr="00FF0C61" w14:paraId="45EC35B5" w14:textId="77777777" w:rsidTr="00CE4BB6">
        <w:tc>
          <w:tcPr>
            <w:tcW w:w="219" w:type="pct"/>
          </w:tcPr>
          <w:p w14:paraId="71D654B2"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4.</w:t>
            </w:r>
          </w:p>
        </w:tc>
        <w:tc>
          <w:tcPr>
            <w:tcW w:w="1812" w:type="pct"/>
          </w:tcPr>
          <w:p w14:paraId="467C1764"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E-pakalpojuma “Muitas maksājumu veikšana tiešsaistē” izmantošanas īpatsvara pieaugums</w:t>
            </w:r>
          </w:p>
        </w:tc>
        <w:tc>
          <w:tcPr>
            <w:tcW w:w="502" w:type="pct"/>
          </w:tcPr>
          <w:p w14:paraId="219A325E"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w:t>
            </w:r>
          </w:p>
        </w:tc>
        <w:tc>
          <w:tcPr>
            <w:tcW w:w="521" w:type="pct"/>
          </w:tcPr>
          <w:p w14:paraId="338B0E3A"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10</w:t>
            </w:r>
          </w:p>
        </w:tc>
        <w:tc>
          <w:tcPr>
            <w:tcW w:w="973" w:type="pct"/>
          </w:tcPr>
          <w:p w14:paraId="78AD84E2"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50%</w:t>
            </w:r>
          </w:p>
        </w:tc>
        <w:tc>
          <w:tcPr>
            <w:tcW w:w="973" w:type="pct"/>
          </w:tcPr>
          <w:p w14:paraId="33CFCCAF"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70%</w:t>
            </w:r>
          </w:p>
        </w:tc>
      </w:tr>
    </w:tbl>
    <w:p w14:paraId="11D53C52" w14:textId="77777777" w:rsidR="009B3DB9" w:rsidRPr="00B0112C" w:rsidRDefault="009B3DB9" w:rsidP="00FF0C61">
      <w:pPr>
        <w:overflowPunct w:val="0"/>
        <w:autoSpaceDE w:val="0"/>
        <w:autoSpaceDN w:val="0"/>
        <w:adjustRightInd w:val="0"/>
        <w:spacing w:before="0" w:after="60"/>
        <w:textAlignment w:val="baseline"/>
        <w:rPr>
          <w:rFonts w:ascii="Times New Roman" w:eastAsia="MS Mincho" w:hAnsi="Times New Roman" w:cs="Times New Roman"/>
          <w:b/>
          <w:bCs/>
          <w:sz w:val="24"/>
          <w:szCs w:val="24"/>
          <w:u w:val="single"/>
        </w:rPr>
      </w:pPr>
    </w:p>
    <w:p w14:paraId="3C77C7EB" w14:textId="77777777" w:rsidR="00C71D31" w:rsidRPr="00943C9B" w:rsidRDefault="00C71D31" w:rsidP="00FF0C61">
      <w:pPr>
        <w:overflowPunct w:val="0"/>
        <w:autoSpaceDE w:val="0"/>
        <w:autoSpaceDN w:val="0"/>
        <w:adjustRightInd w:val="0"/>
        <w:spacing w:before="0" w:after="60"/>
        <w:textAlignment w:val="baseline"/>
        <w:rPr>
          <w:rFonts w:ascii="Times New Roman" w:eastAsia="MS Mincho" w:hAnsi="Times New Roman" w:cs="Times New Roman"/>
          <w:b/>
          <w:bCs/>
          <w:sz w:val="24"/>
          <w:szCs w:val="24"/>
        </w:rPr>
      </w:pPr>
      <w:r w:rsidRPr="00943C9B">
        <w:rPr>
          <w:rFonts w:ascii="Times New Roman" w:eastAsia="MS Mincho" w:hAnsi="Times New Roman" w:cs="Times New Roman"/>
          <w:b/>
          <w:bCs/>
          <w:sz w:val="24"/>
          <w:szCs w:val="24"/>
        </w:rPr>
        <w:t>Projekta iznākuma rādītāji:</w:t>
      </w:r>
    </w:p>
    <w:tbl>
      <w:tblPr>
        <w:tblStyle w:val="TableGrid"/>
        <w:tblW w:w="5000" w:type="pct"/>
        <w:tblLook w:val="04A0" w:firstRow="1" w:lastRow="0" w:firstColumn="1" w:lastColumn="0" w:noHBand="0" w:noVBand="1"/>
      </w:tblPr>
      <w:tblGrid>
        <w:gridCol w:w="411"/>
        <w:gridCol w:w="3842"/>
        <w:gridCol w:w="1338"/>
        <w:gridCol w:w="1913"/>
        <w:gridCol w:w="1783"/>
      </w:tblGrid>
      <w:tr w:rsidR="009B6EE2" w:rsidRPr="00FF0C61" w14:paraId="5C7B20C2" w14:textId="77777777" w:rsidTr="00CE4BB6">
        <w:tc>
          <w:tcPr>
            <w:tcW w:w="221" w:type="pct"/>
          </w:tcPr>
          <w:p w14:paraId="5A3D49B4"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p>
        </w:tc>
        <w:tc>
          <w:tcPr>
            <w:tcW w:w="2068" w:type="pct"/>
            <w:vAlign w:val="center"/>
          </w:tcPr>
          <w:p w14:paraId="7C41553B"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Iznākuma rādītājs</w:t>
            </w:r>
          </w:p>
        </w:tc>
        <w:tc>
          <w:tcPr>
            <w:tcW w:w="720" w:type="pct"/>
            <w:vAlign w:val="center"/>
          </w:tcPr>
          <w:p w14:paraId="716FA647"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Mērvienība</w:t>
            </w:r>
          </w:p>
        </w:tc>
        <w:tc>
          <w:tcPr>
            <w:tcW w:w="1030" w:type="pct"/>
            <w:vAlign w:val="center"/>
          </w:tcPr>
          <w:p w14:paraId="634AD6B8" w14:textId="77777777" w:rsidR="009B6EE2" w:rsidRPr="00FF0C61" w:rsidRDefault="009B6EE2" w:rsidP="00FF0C61">
            <w:pPr>
              <w:tabs>
                <w:tab w:val="left" w:pos="0"/>
              </w:tabs>
              <w:spacing w:before="0" w:after="60"/>
              <w:jc w:val="both"/>
              <w:rPr>
                <w:rFonts w:ascii="Times New Roman" w:hAnsi="Times New Roman" w:cs="Times New Roman"/>
                <w:bCs/>
                <w:sz w:val="24"/>
                <w:szCs w:val="24"/>
              </w:rPr>
            </w:pPr>
            <w:proofErr w:type="spellStart"/>
            <w:r w:rsidRPr="00FF0C61">
              <w:rPr>
                <w:rFonts w:ascii="Times New Roman" w:hAnsi="Times New Roman" w:cs="Times New Roman"/>
                <w:bCs/>
                <w:sz w:val="24"/>
                <w:szCs w:val="24"/>
              </w:rPr>
              <w:t>Starpvērtība</w:t>
            </w:r>
            <w:proofErr w:type="spellEnd"/>
            <w:r w:rsidRPr="00FF0C61">
              <w:rPr>
                <w:rFonts w:ascii="Times New Roman" w:hAnsi="Times New Roman" w:cs="Times New Roman"/>
                <w:bCs/>
                <w:sz w:val="24"/>
                <w:szCs w:val="24"/>
              </w:rPr>
              <w:t xml:space="preserve"> (2 gadi pēc projekta sākuma)</w:t>
            </w:r>
          </w:p>
        </w:tc>
        <w:tc>
          <w:tcPr>
            <w:tcW w:w="960" w:type="pct"/>
            <w:vAlign w:val="center"/>
          </w:tcPr>
          <w:p w14:paraId="491C4475" w14:textId="77777777" w:rsidR="009B6EE2" w:rsidRPr="00FF0C61" w:rsidRDefault="009B6EE2" w:rsidP="00FF0C61">
            <w:pPr>
              <w:tabs>
                <w:tab w:val="left" w:pos="0"/>
              </w:tabs>
              <w:spacing w:before="0" w:after="60"/>
              <w:jc w:val="both"/>
              <w:rPr>
                <w:rFonts w:ascii="Times New Roman" w:hAnsi="Times New Roman" w:cs="Times New Roman"/>
                <w:bCs/>
                <w:sz w:val="24"/>
                <w:szCs w:val="24"/>
              </w:rPr>
            </w:pPr>
            <w:r w:rsidRPr="00FF0C61">
              <w:rPr>
                <w:rFonts w:ascii="Times New Roman" w:hAnsi="Times New Roman" w:cs="Times New Roman"/>
                <w:bCs/>
                <w:sz w:val="24"/>
                <w:szCs w:val="24"/>
              </w:rPr>
              <w:t>Sasniedzamā vērtība projekta beigās</w:t>
            </w:r>
          </w:p>
        </w:tc>
      </w:tr>
      <w:tr w:rsidR="009B6EE2" w:rsidRPr="00FF0C61" w14:paraId="45FC0C62" w14:textId="77777777" w:rsidTr="00CE4BB6">
        <w:tc>
          <w:tcPr>
            <w:tcW w:w="221" w:type="pct"/>
          </w:tcPr>
          <w:p w14:paraId="7AA48DA9"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1.</w:t>
            </w:r>
          </w:p>
        </w:tc>
        <w:tc>
          <w:tcPr>
            <w:tcW w:w="2068" w:type="pct"/>
          </w:tcPr>
          <w:p w14:paraId="15DB8EC6"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Pilnveidoti VID pamatdarbības procesi</w:t>
            </w:r>
          </w:p>
        </w:tc>
        <w:tc>
          <w:tcPr>
            <w:tcW w:w="720" w:type="pct"/>
          </w:tcPr>
          <w:p w14:paraId="2300F781"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skaits</w:t>
            </w:r>
          </w:p>
        </w:tc>
        <w:tc>
          <w:tcPr>
            <w:tcW w:w="1030" w:type="pct"/>
          </w:tcPr>
          <w:p w14:paraId="7723E4D4" w14:textId="77777777" w:rsidR="009B6EE2" w:rsidRPr="00943C9B" w:rsidRDefault="009B6EE2" w:rsidP="00FF0C61">
            <w:pPr>
              <w:tabs>
                <w:tab w:val="left" w:pos="0"/>
              </w:tabs>
              <w:spacing w:before="0" w:after="60"/>
              <w:jc w:val="center"/>
              <w:rPr>
                <w:rFonts w:ascii="Times New Roman" w:hAnsi="Times New Roman" w:cs="Times New Roman"/>
                <w:bCs/>
                <w:sz w:val="24"/>
                <w:szCs w:val="24"/>
              </w:rPr>
            </w:pPr>
            <w:r w:rsidRPr="00943C9B">
              <w:rPr>
                <w:rFonts w:ascii="Times New Roman" w:hAnsi="Times New Roman" w:cs="Times New Roman"/>
                <w:bCs/>
                <w:sz w:val="24"/>
                <w:szCs w:val="24"/>
              </w:rPr>
              <w:t>8</w:t>
            </w:r>
          </w:p>
        </w:tc>
        <w:tc>
          <w:tcPr>
            <w:tcW w:w="960" w:type="pct"/>
          </w:tcPr>
          <w:p w14:paraId="370E9878"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18</w:t>
            </w:r>
          </w:p>
        </w:tc>
      </w:tr>
      <w:tr w:rsidR="009B6EE2" w:rsidRPr="00FF0C61" w14:paraId="032F5621" w14:textId="77777777" w:rsidTr="00CE4BB6">
        <w:tc>
          <w:tcPr>
            <w:tcW w:w="221" w:type="pct"/>
          </w:tcPr>
          <w:p w14:paraId="7173EECE"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2.</w:t>
            </w:r>
          </w:p>
        </w:tc>
        <w:tc>
          <w:tcPr>
            <w:tcW w:w="2068" w:type="pct"/>
          </w:tcPr>
          <w:p w14:paraId="079D4190"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Standartizēti VID pamatdarbības procesi atbilstoši MASP</w:t>
            </w:r>
          </w:p>
        </w:tc>
        <w:tc>
          <w:tcPr>
            <w:tcW w:w="720" w:type="pct"/>
          </w:tcPr>
          <w:p w14:paraId="36E8D401"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skaits</w:t>
            </w:r>
          </w:p>
        </w:tc>
        <w:tc>
          <w:tcPr>
            <w:tcW w:w="1030" w:type="pct"/>
          </w:tcPr>
          <w:p w14:paraId="1D1A0807" w14:textId="77777777" w:rsidR="009B6EE2" w:rsidRPr="00943C9B" w:rsidRDefault="009B6EE2" w:rsidP="00FF0C61">
            <w:pPr>
              <w:tabs>
                <w:tab w:val="left" w:pos="0"/>
              </w:tabs>
              <w:spacing w:before="0" w:after="60"/>
              <w:jc w:val="center"/>
              <w:rPr>
                <w:rFonts w:ascii="Times New Roman" w:hAnsi="Times New Roman" w:cs="Times New Roman"/>
                <w:bCs/>
                <w:sz w:val="24"/>
                <w:szCs w:val="24"/>
              </w:rPr>
            </w:pPr>
            <w:r w:rsidRPr="00943C9B">
              <w:rPr>
                <w:rFonts w:ascii="Times New Roman" w:hAnsi="Times New Roman" w:cs="Times New Roman"/>
                <w:bCs/>
                <w:sz w:val="24"/>
                <w:szCs w:val="24"/>
              </w:rPr>
              <w:t>3</w:t>
            </w:r>
          </w:p>
        </w:tc>
        <w:tc>
          <w:tcPr>
            <w:tcW w:w="960" w:type="pct"/>
          </w:tcPr>
          <w:p w14:paraId="0AB2A9F8"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7</w:t>
            </w:r>
          </w:p>
        </w:tc>
      </w:tr>
      <w:tr w:rsidR="009B6EE2" w:rsidRPr="00FF0C61" w14:paraId="400D3F11" w14:textId="77777777" w:rsidTr="00CE4BB6">
        <w:tc>
          <w:tcPr>
            <w:tcW w:w="221" w:type="pct"/>
          </w:tcPr>
          <w:p w14:paraId="4A07EAF5"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3.</w:t>
            </w:r>
          </w:p>
        </w:tc>
        <w:tc>
          <w:tcPr>
            <w:tcW w:w="2068" w:type="pct"/>
          </w:tcPr>
          <w:p w14:paraId="2CCD90F9"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Pilnveidoti VID e-pakalpojumi</w:t>
            </w:r>
          </w:p>
        </w:tc>
        <w:tc>
          <w:tcPr>
            <w:tcW w:w="720" w:type="pct"/>
          </w:tcPr>
          <w:p w14:paraId="653F7460"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skaits</w:t>
            </w:r>
          </w:p>
        </w:tc>
        <w:tc>
          <w:tcPr>
            <w:tcW w:w="1030" w:type="pct"/>
          </w:tcPr>
          <w:p w14:paraId="4E60717F" w14:textId="77777777" w:rsidR="009B6EE2" w:rsidRPr="00943C9B" w:rsidRDefault="009B6EE2" w:rsidP="00FF0C61">
            <w:pPr>
              <w:tabs>
                <w:tab w:val="left" w:pos="0"/>
              </w:tabs>
              <w:spacing w:before="0" w:after="60"/>
              <w:jc w:val="center"/>
              <w:rPr>
                <w:rFonts w:ascii="Times New Roman" w:hAnsi="Times New Roman" w:cs="Times New Roman"/>
                <w:bCs/>
                <w:sz w:val="24"/>
                <w:szCs w:val="24"/>
              </w:rPr>
            </w:pPr>
            <w:r w:rsidRPr="00943C9B">
              <w:rPr>
                <w:rFonts w:ascii="Times New Roman" w:hAnsi="Times New Roman" w:cs="Times New Roman"/>
                <w:bCs/>
                <w:sz w:val="24"/>
                <w:szCs w:val="24"/>
              </w:rPr>
              <w:t>23</w:t>
            </w:r>
          </w:p>
        </w:tc>
        <w:tc>
          <w:tcPr>
            <w:tcW w:w="960" w:type="pct"/>
          </w:tcPr>
          <w:p w14:paraId="64EF012E" w14:textId="77777777" w:rsidR="009B6EE2" w:rsidRPr="007C035E" w:rsidRDefault="009B6EE2" w:rsidP="00FF0C61">
            <w:pPr>
              <w:tabs>
                <w:tab w:val="left" w:pos="0"/>
              </w:tabs>
              <w:spacing w:before="0" w:after="60"/>
              <w:jc w:val="center"/>
              <w:rPr>
                <w:rFonts w:ascii="Times New Roman" w:hAnsi="Times New Roman" w:cs="Times New Roman"/>
                <w:bCs/>
                <w:sz w:val="24"/>
                <w:szCs w:val="24"/>
              </w:rPr>
            </w:pPr>
            <w:r w:rsidRPr="007C035E">
              <w:rPr>
                <w:rFonts w:ascii="Times New Roman" w:hAnsi="Times New Roman" w:cs="Times New Roman"/>
                <w:bCs/>
                <w:sz w:val="24"/>
                <w:szCs w:val="24"/>
              </w:rPr>
              <w:t>38</w:t>
            </w:r>
          </w:p>
        </w:tc>
      </w:tr>
      <w:tr w:rsidR="009B6EE2" w:rsidRPr="00FF0C61" w14:paraId="242A123B" w14:textId="77777777" w:rsidTr="00CE4BB6">
        <w:tc>
          <w:tcPr>
            <w:tcW w:w="221" w:type="pct"/>
          </w:tcPr>
          <w:p w14:paraId="57394498"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4.</w:t>
            </w:r>
          </w:p>
        </w:tc>
        <w:tc>
          <w:tcPr>
            <w:tcW w:w="2068" w:type="pct"/>
          </w:tcPr>
          <w:p w14:paraId="4B0957C1"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 xml:space="preserve">Izveidotas datu kopas publicēšanai </w:t>
            </w:r>
            <w:proofErr w:type="spellStart"/>
            <w:r w:rsidRPr="00943C9B">
              <w:rPr>
                <w:rFonts w:ascii="Times New Roman" w:hAnsi="Times New Roman" w:cs="Times New Roman"/>
                <w:bCs/>
                <w:sz w:val="24"/>
                <w:szCs w:val="24"/>
              </w:rPr>
              <w:t>atkalizmantojamo</w:t>
            </w:r>
            <w:proofErr w:type="spellEnd"/>
            <w:r w:rsidRPr="00943C9B">
              <w:rPr>
                <w:rFonts w:ascii="Times New Roman" w:hAnsi="Times New Roman" w:cs="Times New Roman"/>
                <w:bCs/>
                <w:sz w:val="24"/>
                <w:szCs w:val="24"/>
              </w:rPr>
              <w:t xml:space="preserve"> datu formātos</w:t>
            </w:r>
          </w:p>
        </w:tc>
        <w:tc>
          <w:tcPr>
            <w:tcW w:w="720" w:type="pct"/>
          </w:tcPr>
          <w:p w14:paraId="40786D77"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skaits</w:t>
            </w:r>
          </w:p>
        </w:tc>
        <w:tc>
          <w:tcPr>
            <w:tcW w:w="1030" w:type="pct"/>
          </w:tcPr>
          <w:p w14:paraId="670C4CB7" w14:textId="77777777" w:rsidR="009B6EE2" w:rsidRPr="00943C9B" w:rsidRDefault="009B6EE2" w:rsidP="00FF0C61">
            <w:pPr>
              <w:tabs>
                <w:tab w:val="left" w:pos="0"/>
              </w:tabs>
              <w:spacing w:before="0" w:after="60"/>
              <w:jc w:val="center"/>
              <w:rPr>
                <w:rFonts w:ascii="Times New Roman" w:hAnsi="Times New Roman" w:cs="Times New Roman"/>
                <w:bCs/>
                <w:sz w:val="24"/>
                <w:szCs w:val="24"/>
              </w:rPr>
            </w:pPr>
            <w:r w:rsidRPr="00943C9B">
              <w:rPr>
                <w:rFonts w:ascii="Times New Roman" w:hAnsi="Times New Roman" w:cs="Times New Roman"/>
                <w:bCs/>
                <w:sz w:val="24"/>
                <w:szCs w:val="24"/>
              </w:rPr>
              <w:t>0</w:t>
            </w:r>
          </w:p>
        </w:tc>
        <w:tc>
          <w:tcPr>
            <w:tcW w:w="960" w:type="pct"/>
          </w:tcPr>
          <w:p w14:paraId="5DE7E431"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4</w:t>
            </w:r>
          </w:p>
        </w:tc>
      </w:tr>
      <w:tr w:rsidR="009B6EE2" w:rsidRPr="00FF0C61" w14:paraId="3FA13F6A" w14:textId="77777777" w:rsidTr="00CE4BB6">
        <w:tc>
          <w:tcPr>
            <w:tcW w:w="221" w:type="pct"/>
          </w:tcPr>
          <w:p w14:paraId="7D0A2085"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5.</w:t>
            </w:r>
          </w:p>
        </w:tc>
        <w:tc>
          <w:tcPr>
            <w:tcW w:w="2068" w:type="pct"/>
          </w:tcPr>
          <w:p w14:paraId="088E8C46"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Pilnveidotas VID informācijas sistēmas</w:t>
            </w:r>
          </w:p>
        </w:tc>
        <w:tc>
          <w:tcPr>
            <w:tcW w:w="720" w:type="pct"/>
          </w:tcPr>
          <w:p w14:paraId="5FA819F1"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skaits</w:t>
            </w:r>
          </w:p>
        </w:tc>
        <w:tc>
          <w:tcPr>
            <w:tcW w:w="1030" w:type="pct"/>
          </w:tcPr>
          <w:p w14:paraId="4EF81B73" w14:textId="77777777" w:rsidR="009B6EE2" w:rsidRPr="00943C9B" w:rsidRDefault="009B6EE2" w:rsidP="00FF0C61">
            <w:pPr>
              <w:tabs>
                <w:tab w:val="left" w:pos="0"/>
              </w:tabs>
              <w:spacing w:before="0" w:after="60"/>
              <w:jc w:val="center"/>
              <w:rPr>
                <w:rFonts w:ascii="Times New Roman" w:hAnsi="Times New Roman" w:cs="Times New Roman"/>
                <w:bCs/>
                <w:sz w:val="24"/>
                <w:szCs w:val="24"/>
              </w:rPr>
            </w:pPr>
            <w:r w:rsidRPr="00943C9B">
              <w:rPr>
                <w:rFonts w:ascii="Times New Roman" w:hAnsi="Times New Roman" w:cs="Times New Roman"/>
                <w:bCs/>
                <w:sz w:val="24"/>
                <w:szCs w:val="24"/>
              </w:rPr>
              <w:t>0</w:t>
            </w:r>
          </w:p>
        </w:tc>
        <w:tc>
          <w:tcPr>
            <w:tcW w:w="960" w:type="pct"/>
          </w:tcPr>
          <w:p w14:paraId="1F41F002"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6</w:t>
            </w:r>
          </w:p>
        </w:tc>
      </w:tr>
      <w:tr w:rsidR="009B6EE2" w:rsidRPr="00FF0C61" w14:paraId="6E335CAD" w14:textId="77777777" w:rsidTr="00CE4BB6">
        <w:tc>
          <w:tcPr>
            <w:tcW w:w="221" w:type="pct"/>
          </w:tcPr>
          <w:p w14:paraId="280A9250" w14:textId="77777777" w:rsidR="009B6EE2" w:rsidRPr="00B0112C" w:rsidRDefault="009B6EE2" w:rsidP="00FF0C61">
            <w:pPr>
              <w:tabs>
                <w:tab w:val="left" w:pos="0"/>
              </w:tabs>
              <w:spacing w:before="0" w:after="60"/>
              <w:jc w:val="both"/>
              <w:rPr>
                <w:rFonts w:ascii="Times New Roman" w:hAnsi="Times New Roman" w:cs="Times New Roman"/>
                <w:bCs/>
                <w:sz w:val="24"/>
                <w:szCs w:val="24"/>
              </w:rPr>
            </w:pPr>
            <w:r w:rsidRPr="00B0112C">
              <w:rPr>
                <w:rFonts w:ascii="Times New Roman" w:hAnsi="Times New Roman" w:cs="Times New Roman"/>
                <w:bCs/>
                <w:sz w:val="24"/>
                <w:szCs w:val="24"/>
              </w:rPr>
              <w:t>6.</w:t>
            </w:r>
          </w:p>
        </w:tc>
        <w:tc>
          <w:tcPr>
            <w:tcW w:w="2068" w:type="pct"/>
          </w:tcPr>
          <w:p w14:paraId="389BC182"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Izveidotas/pilnveidotas datu apmaiņas ar EK centrālajām sistēmām</w:t>
            </w:r>
          </w:p>
        </w:tc>
        <w:tc>
          <w:tcPr>
            <w:tcW w:w="720" w:type="pct"/>
          </w:tcPr>
          <w:p w14:paraId="4A5B65C7" w14:textId="77777777" w:rsidR="009B6EE2" w:rsidRPr="00943C9B" w:rsidRDefault="009B6EE2" w:rsidP="00FF0C61">
            <w:pPr>
              <w:tabs>
                <w:tab w:val="left" w:pos="0"/>
              </w:tabs>
              <w:spacing w:before="0" w:after="60"/>
              <w:jc w:val="both"/>
              <w:rPr>
                <w:rFonts w:ascii="Times New Roman" w:hAnsi="Times New Roman" w:cs="Times New Roman"/>
                <w:bCs/>
                <w:sz w:val="24"/>
                <w:szCs w:val="24"/>
              </w:rPr>
            </w:pPr>
            <w:r w:rsidRPr="00943C9B">
              <w:rPr>
                <w:rFonts w:ascii="Times New Roman" w:hAnsi="Times New Roman" w:cs="Times New Roman"/>
                <w:bCs/>
                <w:sz w:val="24"/>
                <w:szCs w:val="24"/>
              </w:rPr>
              <w:t>skaits</w:t>
            </w:r>
          </w:p>
        </w:tc>
        <w:tc>
          <w:tcPr>
            <w:tcW w:w="1030" w:type="pct"/>
          </w:tcPr>
          <w:p w14:paraId="2F5C5D0F" w14:textId="77777777" w:rsidR="009B6EE2" w:rsidRPr="00943C9B" w:rsidRDefault="009B6EE2" w:rsidP="00FF0C61">
            <w:pPr>
              <w:tabs>
                <w:tab w:val="left" w:pos="0"/>
              </w:tabs>
              <w:spacing w:before="0" w:after="60"/>
              <w:jc w:val="center"/>
              <w:rPr>
                <w:rFonts w:ascii="Times New Roman" w:hAnsi="Times New Roman" w:cs="Times New Roman"/>
                <w:bCs/>
                <w:sz w:val="24"/>
                <w:szCs w:val="24"/>
              </w:rPr>
            </w:pPr>
            <w:r w:rsidRPr="00943C9B">
              <w:rPr>
                <w:rFonts w:ascii="Times New Roman" w:hAnsi="Times New Roman" w:cs="Times New Roman"/>
                <w:bCs/>
                <w:sz w:val="24"/>
                <w:szCs w:val="24"/>
              </w:rPr>
              <w:t>2</w:t>
            </w:r>
          </w:p>
        </w:tc>
        <w:tc>
          <w:tcPr>
            <w:tcW w:w="960" w:type="pct"/>
          </w:tcPr>
          <w:p w14:paraId="056AD328" w14:textId="77777777" w:rsidR="009B6EE2" w:rsidRPr="00FF0C61" w:rsidRDefault="009B6EE2" w:rsidP="00FF0C61">
            <w:pPr>
              <w:tabs>
                <w:tab w:val="left" w:pos="0"/>
              </w:tabs>
              <w:spacing w:before="0" w:after="60"/>
              <w:jc w:val="center"/>
              <w:rPr>
                <w:rFonts w:ascii="Times New Roman" w:hAnsi="Times New Roman" w:cs="Times New Roman"/>
                <w:bCs/>
                <w:sz w:val="24"/>
                <w:szCs w:val="24"/>
              </w:rPr>
            </w:pPr>
            <w:r w:rsidRPr="00FF0C61">
              <w:rPr>
                <w:rFonts w:ascii="Times New Roman" w:hAnsi="Times New Roman" w:cs="Times New Roman"/>
                <w:bCs/>
                <w:sz w:val="24"/>
                <w:szCs w:val="24"/>
              </w:rPr>
              <w:t>5</w:t>
            </w:r>
          </w:p>
        </w:tc>
      </w:tr>
    </w:tbl>
    <w:p w14:paraId="43774D10" w14:textId="77777777" w:rsidR="009B3DB9" w:rsidRPr="00B0112C" w:rsidRDefault="009B3DB9" w:rsidP="00FF0C61">
      <w:pPr>
        <w:overflowPunct w:val="0"/>
        <w:autoSpaceDE w:val="0"/>
        <w:autoSpaceDN w:val="0"/>
        <w:adjustRightInd w:val="0"/>
        <w:spacing w:before="0" w:after="60"/>
        <w:textAlignment w:val="baseline"/>
        <w:rPr>
          <w:rFonts w:ascii="Times New Roman" w:eastAsia="MS Mincho" w:hAnsi="Times New Roman" w:cs="Times New Roman"/>
          <w:b/>
          <w:bCs/>
          <w:sz w:val="24"/>
          <w:szCs w:val="24"/>
        </w:rPr>
      </w:pPr>
    </w:p>
    <w:p w14:paraId="52D42E29" w14:textId="77777777" w:rsidR="000B527B" w:rsidRPr="00943C9B" w:rsidRDefault="000B527B" w:rsidP="00FF0C61">
      <w:pPr>
        <w:overflowPunct w:val="0"/>
        <w:autoSpaceDE w:val="0"/>
        <w:autoSpaceDN w:val="0"/>
        <w:adjustRightInd w:val="0"/>
        <w:spacing w:before="0" w:after="60"/>
        <w:jc w:val="both"/>
        <w:textAlignment w:val="baseline"/>
        <w:rPr>
          <w:rFonts w:ascii="Times New Roman" w:eastAsia="MS Mincho" w:hAnsi="Times New Roman" w:cs="Times New Roman"/>
          <w:bCs/>
          <w:i/>
          <w:sz w:val="24"/>
          <w:szCs w:val="24"/>
        </w:rPr>
      </w:pPr>
      <w:r w:rsidRPr="00B0112C">
        <w:rPr>
          <w:rFonts w:ascii="Times New Roman" w:eastAsia="MS Mincho" w:hAnsi="Times New Roman" w:cs="Times New Roman"/>
          <w:b/>
          <w:bCs/>
          <w:sz w:val="24"/>
          <w:szCs w:val="24"/>
        </w:rPr>
        <w:t xml:space="preserve">Projekta finansējuma kopējais apjoms:  </w:t>
      </w:r>
      <w:r w:rsidRPr="00B0112C">
        <w:rPr>
          <w:rFonts w:ascii="Times New Roman" w:eastAsia="MS Mincho" w:hAnsi="Times New Roman" w:cs="Times New Roman"/>
          <w:b/>
          <w:bCs/>
          <w:sz w:val="24"/>
          <w:szCs w:val="24"/>
        </w:rPr>
        <w:tab/>
      </w:r>
      <w:r w:rsidRPr="00B0112C">
        <w:rPr>
          <w:rFonts w:ascii="Times New Roman" w:eastAsia="MS Mincho" w:hAnsi="Times New Roman" w:cs="Times New Roman"/>
          <w:b/>
          <w:bCs/>
          <w:sz w:val="24"/>
          <w:szCs w:val="24"/>
        </w:rPr>
        <w:tab/>
      </w:r>
      <w:r w:rsidRPr="00B0112C">
        <w:rPr>
          <w:rFonts w:ascii="Times New Roman" w:eastAsia="MS Mincho" w:hAnsi="Times New Roman" w:cs="Times New Roman"/>
          <w:b/>
          <w:bCs/>
          <w:sz w:val="24"/>
          <w:szCs w:val="24"/>
        </w:rPr>
        <w:tab/>
      </w:r>
      <w:r w:rsidR="009B6EE2" w:rsidRPr="00B0112C">
        <w:rPr>
          <w:rFonts w:ascii="Times New Roman" w:eastAsia="MS Mincho" w:hAnsi="Times New Roman" w:cs="Times New Roman"/>
          <w:bCs/>
          <w:sz w:val="24"/>
          <w:szCs w:val="24"/>
        </w:rPr>
        <w:t>4</w:t>
      </w:r>
      <w:r w:rsidR="009B6EE2" w:rsidRPr="00943C9B">
        <w:rPr>
          <w:rFonts w:ascii="Times New Roman" w:eastAsia="MS Mincho" w:hAnsi="Times New Roman" w:cs="Times New Roman"/>
          <w:bCs/>
          <w:sz w:val="24"/>
          <w:szCs w:val="24"/>
        </w:rPr>
        <w:t xml:space="preserve"> 500 000</w:t>
      </w:r>
      <w:r w:rsidR="009B6EE2" w:rsidRPr="00943C9B">
        <w:rPr>
          <w:rFonts w:ascii="Times New Roman" w:hAnsi="Times New Roman" w:cs="Times New Roman"/>
          <w:sz w:val="24"/>
          <w:szCs w:val="24"/>
        </w:rPr>
        <w:t xml:space="preserve"> </w:t>
      </w:r>
      <w:proofErr w:type="spellStart"/>
      <w:r w:rsidRPr="00943C9B">
        <w:rPr>
          <w:rFonts w:ascii="Times New Roman" w:eastAsia="MS Mincho" w:hAnsi="Times New Roman" w:cs="Times New Roman"/>
          <w:bCs/>
          <w:i/>
          <w:sz w:val="24"/>
          <w:szCs w:val="24"/>
        </w:rPr>
        <w:t>euro</w:t>
      </w:r>
      <w:proofErr w:type="spellEnd"/>
    </w:p>
    <w:p w14:paraId="30FBC272" w14:textId="77777777" w:rsidR="000B527B" w:rsidRPr="00FF0C61" w:rsidRDefault="000B527B" w:rsidP="00FF0C61">
      <w:pPr>
        <w:overflowPunct w:val="0"/>
        <w:autoSpaceDE w:val="0"/>
        <w:autoSpaceDN w:val="0"/>
        <w:adjustRightInd w:val="0"/>
        <w:spacing w:before="0" w:after="60"/>
        <w:jc w:val="both"/>
        <w:textAlignment w:val="baseline"/>
        <w:rPr>
          <w:rFonts w:ascii="Times New Roman" w:eastAsia="MS Mincho" w:hAnsi="Times New Roman" w:cs="Times New Roman"/>
          <w:b/>
          <w:bCs/>
          <w:sz w:val="24"/>
          <w:szCs w:val="24"/>
        </w:rPr>
      </w:pPr>
      <w:r w:rsidRPr="00943C9B">
        <w:rPr>
          <w:rFonts w:ascii="Times New Roman" w:eastAsia="MS Mincho" w:hAnsi="Times New Roman" w:cs="Times New Roman"/>
          <w:b/>
          <w:bCs/>
          <w:sz w:val="24"/>
          <w:szCs w:val="24"/>
        </w:rPr>
        <w:t xml:space="preserve">Projekta īstenošanas laiks (mēnešos): </w:t>
      </w:r>
      <w:r w:rsidRPr="00943C9B">
        <w:rPr>
          <w:rFonts w:ascii="Times New Roman" w:eastAsia="MS Mincho" w:hAnsi="Times New Roman" w:cs="Times New Roman"/>
          <w:b/>
          <w:bCs/>
          <w:sz w:val="24"/>
          <w:szCs w:val="24"/>
        </w:rPr>
        <w:tab/>
      </w:r>
      <w:r w:rsidRPr="00943C9B">
        <w:rPr>
          <w:rFonts w:ascii="Times New Roman" w:eastAsia="MS Mincho" w:hAnsi="Times New Roman" w:cs="Times New Roman"/>
          <w:b/>
          <w:bCs/>
          <w:sz w:val="24"/>
          <w:szCs w:val="24"/>
        </w:rPr>
        <w:tab/>
      </w:r>
      <w:r w:rsidRPr="00943C9B">
        <w:rPr>
          <w:rFonts w:ascii="Times New Roman" w:eastAsia="MS Mincho" w:hAnsi="Times New Roman" w:cs="Times New Roman"/>
          <w:b/>
          <w:bCs/>
          <w:sz w:val="24"/>
          <w:szCs w:val="24"/>
        </w:rPr>
        <w:tab/>
      </w:r>
      <w:r w:rsidRPr="00943C9B">
        <w:rPr>
          <w:rFonts w:ascii="Times New Roman" w:eastAsia="MS Mincho" w:hAnsi="Times New Roman" w:cs="Times New Roman"/>
          <w:bCs/>
          <w:sz w:val="24"/>
          <w:szCs w:val="24"/>
        </w:rPr>
        <w:t>3</w:t>
      </w:r>
      <w:r w:rsidR="00C073A9" w:rsidRPr="00943C9B">
        <w:rPr>
          <w:rFonts w:ascii="Times New Roman" w:eastAsia="MS Mincho" w:hAnsi="Times New Roman" w:cs="Times New Roman"/>
          <w:bCs/>
          <w:sz w:val="24"/>
          <w:szCs w:val="24"/>
        </w:rPr>
        <w:t>6</w:t>
      </w:r>
      <w:r w:rsidRPr="00FF0C61">
        <w:rPr>
          <w:rFonts w:ascii="Times New Roman" w:eastAsia="MS Mincho" w:hAnsi="Times New Roman" w:cs="Times New Roman"/>
          <w:bCs/>
          <w:sz w:val="24"/>
          <w:szCs w:val="24"/>
        </w:rPr>
        <w:t xml:space="preserve"> mēneši</w:t>
      </w:r>
    </w:p>
    <w:p w14:paraId="455F6A4D" w14:textId="77777777" w:rsidR="005331FE" w:rsidRPr="00FF0C61" w:rsidRDefault="005331FE" w:rsidP="00FF0C61">
      <w:pPr>
        <w:tabs>
          <w:tab w:val="left" w:pos="0"/>
        </w:tabs>
        <w:spacing w:before="0" w:after="60"/>
        <w:jc w:val="both"/>
        <w:rPr>
          <w:rFonts w:ascii="Times New Roman" w:eastAsia="MS Mincho" w:hAnsi="Times New Roman" w:cs="Times New Roman"/>
          <w:b/>
          <w:bCs/>
          <w:sz w:val="24"/>
          <w:szCs w:val="24"/>
          <w:u w:val="single"/>
        </w:rPr>
      </w:pPr>
    </w:p>
    <w:p w14:paraId="787DF279" w14:textId="77777777" w:rsidR="005331FE" w:rsidRPr="00FF0C61" w:rsidRDefault="005331FE" w:rsidP="00FF0C61">
      <w:pPr>
        <w:spacing w:before="0" w:after="60"/>
        <w:jc w:val="center"/>
        <w:rPr>
          <w:rFonts w:ascii="Times New Roman" w:eastAsia="MS Mincho" w:hAnsi="Times New Roman" w:cs="Times New Roman"/>
          <w:b/>
          <w:bCs/>
          <w:sz w:val="24"/>
          <w:szCs w:val="24"/>
        </w:rPr>
      </w:pPr>
      <w:r w:rsidRPr="00FF0C61">
        <w:rPr>
          <w:rFonts w:ascii="Times New Roman" w:eastAsia="MS Mincho" w:hAnsi="Times New Roman" w:cs="Times New Roman"/>
          <w:b/>
          <w:bCs/>
          <w:sz w:val="24"/>
          <w:szCs w:val="24"/>
        </w:rPr>
        <w:t>Saistība ar iepriekšējā plānošanas perioda projektiem, projekta lietderība un ieguldījums specifiskā atbalsta mērķa rezultāta rādītājos</w:t>
      </w:r>
    </w:p>
    <w:p w14:paraId="12CBF862" w14:textId="77777777" w:rsidR="00A51042" w:rsidRPr="00FF0C61" w:rsidRDefault="00A51042" w:rsidP="00FF0C61">
      <w:pPr>
        <w:spacing w:before="0" w:after="60"/>
        <w:ind w:firstLine="720"/>
        <w:jc w:val="both"/>
        <w:rPr>
          <w:rFonts w:ascii="Times New Roman" w:hAnsi="Times New Roman" w:cs="Times New Roman"/>
          <w:sz w:val="24"/>
          <w:szCs w:val="24"/>
        </w:rPr>
      </w:pPr>
    </w:p>
    <w:p w14:paraId="360474C9" w14:textId="77777777" w:rsidR="00EB257E" w:rsidRPr="00FF0C61" w:rsidRDefault="00EB257E" w:rsidP="00FF0C61">
      <w:pPr>
        <w:pStyle w:val="VPBody"/>
        <w:spacing w:before="0" w:after="60"/>
        <w:rPr>
          <w:rFonts w:eastAsia="Times New Roman"/>
          <w:szCs w:val="24"/>
          <w:lang w:eastAsia="lv-LV"/>
        </w:rPr>
      </w:pPr>
      <w:r w:rsidRPr="00FF0C61">
        <w:rPr>
          <w:szCs w:val="24"/>
        </w:rPr>
        <w:t xml:space="preserve">Laikā no 2011.gada 1.jūlija līdz 2015.gada 31.janvārim VID tika īstenots </w:t>
      </w:r>
      <w:r w:rsidR="00E91939" w:rsidRPr="00E91939">
        <w:rPr>
          <w:szCs w:val="24"/>
        </w:rPr>
        <w:t>Eiropas Savienības struktūrfondu un Kohēzijas fonda 2007.–2013.gada plānošanas perioda darbības programmas “Infrastruktūra un pakalpojumi” papildinājuma 3.2.2.1.1.apakšaktivitātes “Informācijas sistēmu un elektronisko pakalpojumu attīs</w:t>
      </w:r>
      <w:r w:rsidR="00E91939">
        <w:rPr>
          <w:szCs w:val="24"/>
        </w:rPr>
        <w:t xml:space="preserve">tība” </w:t>
      </w:r>
      <w:r w:rsidRPr="00FF0C61">
        <w:rPr>
          <w:szCs w:val="24"/>
        </w:rPr>
        <w:t xml:space="preserve">Eiropas Reģionālās attīstības fonda finansētais projekts “Elektroniskās muitas datu apstrādes sistēmas ieviešana, pilnveidošana un uzturēšana” Nr.3DP/3.2.2.1.1/11/IPIA/CFLA/001, automatizējot muitošanas procesu atbilstoši ES un nacionālajos normatīvajos aktos noteiktajām prasībām, īstenojot informācijas apmaiņu starp komersantiem un muitas iestādēm, Latvijas un citu ES dalībvalstu muitas </w:t>
      </w:r>
      <w:r w:rsidRPr="00FF0C61">
        <w:rPr>
          <w:szCs w:val="24"/>
        </w:rPr>
        <w:lastRenderedPageBreak/>
        <w:t xml:space="preserve">iestādēm, kā arī starp Latvijas muitas iestādēm un citām valsts institūcijām, kas iesaistītas preču muitošanas un kontroles procesā, tādējādi uzsākot virzību uz elektronisku jeb </w:t>
      </w:r>
      <w:proofErr w:type="spellStart"/>
      <w:r w:rsidRPr="00FF0C61">
        <w:rPr>
          <w:szCs w:val="24"/>
        </w:rPr>
        <w:t>bezpapīru</w:t>
      </w:r>
      <w:proofErr w:type="spellEnd"/>
      <w:r w:rsidRPr="00FF0C61">
        <w:rPr>
          <w:szCs w:val="24"/>
        </w:rPr>
        <w:t xml:space="preserve"> muitas vidi. </w:t>
      </w:r>
      <w:r w:rsidRPr="00FF0C61">
        <w:rPr>
          <w:rFonts w:eastAsia="Times New Roman"/>
          <w:szCs w:val="24"/>
          <w:lang w:eastAsia="lv-LV"/>
        </w:rPr>
        <w:t>Projekta īstenošanas gaitā tika izstrādāta EMDAS, tostarp:</w:t>
      </w:r>
    </w:p>
    <w:p w14:paraId="64010ACD" w14:textId="77777777" w:rsidR="00EB257E" w:rsidRPr="00FF0C61" w:rsidRDefault="00EB257E" w:rsidP="00FF0C61">
      <w:pPr>
        <w:numPr>
          <w:ilvl w:val="0"/>
          <w:numId w:val="20"/>
        </w:numPr>
        <w:spacing w:before="0" w:after="60"/>
        <w:contextualSpacing/>
        <w:jc w:val="both"/>
        <w:rPr>
          <w:rFonts w:ascii="Times New Roman" w:eastAsia="Times New Roman" w:hAnsi="Times New Roman" w:cs="Times New Roman"/>
          <w:sz w:val="24"/>
          <w:szCs w:val="24"/>
          <w:lang w:eastAsia="lv-LV"/>
        </w:rPr>
      </w:pPr>
      <w:r w:rsidRPr="00FF0C61">
        <w:rPr>
          <w:rFonts w:ascii="Times New Roman" w:eastAsia="Times New Roman" w:hAnsi="Times New Roman" w:cs="Times New Roman"/>
          <w:sz w:val="24"/>
          <w:szCs w:val="24"/>
          <w:lang w:eastAsia="lv-LV"/>
        </w:rPr>
        <w:t>Tranzīta kontroles sistēmas (</w:t>
      </w:r>
      <w:r w:rsidR="005577E1">
        <w:rPr>
          <w:rFonts w:ascii="Times New Roman" w:eastAsia="Times New Roman" w:hAnsi="Times New Roman" w:cs="Times New Roman"/>
          <w:sz w:val="24"/>
          <w:szCs w:val="24"/>
          <w:lang w:eastAsia="lv-LV"/>
        </w:rPr>
        <w:t xml:space="preserve">turpmāk - </w:t>
      </w:r>
      <w:r w:rsidRPr="00FF0C61">
        <w:rPr>
          <w:rFonts w:ascii="Times New Roman" w:eastAsia="Times New Roman" w:hAnsi="Times New Roman" w:cs="Times New Roman"/>
          <w:sz w:val="24"/>
          <w:szCs w:val="24"/>
          <w:lang w:eastAsia="lv-LV"/>
        </w:rPr>
        <w:t>TKS) muitas modulis, kas nodrošina tranzīta deklarāciju, TIR karnešu un galvojumu administrēšanu, aizstājot līdz šim izmantoto sistēmu NCTS (Jaunā datorizētā tranzīta kontroles sistēma);</w:t>
      </w:r>
    </w:p>
    <w:p w14:paraId="170834C4" w14:textId="77777777" w:rsidR="00EB257E" w:rsidRPr="00FF0C61" w:rsidRDefault="00EB257E" w:rsidP="00FF0C61">
      <w:pPr>
        <w:numPr>
          <w:ilvl w:val="0"/>
          <w:numId w:val="20"/>
        </w:numPr>
        <w:spacing w:before="0" w:after="60"/>
        <w:contextualSpacing/>
        <w:jc w:val="both"/>
        <w:rPr>
          <w:rFonts w:ascii="Times New Roman" w:eastAsia="Times New Roman" w:hAnsi="Times New Roman" w:cs="Times New Roman"/>
          <w:sz w:val="24"/>
          <w:szCs w:val="24"/>
          <w:lang w:eastAsia="lv-LV"/>
        </w:rPr>
      </w:pPr>
      <w:r w:rsidRPr="00FF0C61">
        <w:rPr>
          <w:rFonts w:ascii="Times New Roman" w:eastAsia="Times New Roman" w:hAnsi="Times New Roman" w:cs="Times New Roman"/>
          <w:sz w:val="24"/>
          <w:szCs w:val="24"/>
          <w:lang w:eastAsia="lv-LV"/>
        </w:rPr>
        <w:t>sistēma importa muitas procedūru noformēšanai, aizstājot līdz šim importa muitas procedūru formēšanai izmantoto deklarēšanas sistēmu ASYCUDA++. Tādejādi komersantiem ir nodrošināta vienota piekļuve visu veidu muitas deklarāciju iesniegšanai, komersantiem vairs nav papildus jāiesniedz parakstītas importa deklarācijas papīra formā, ir nodrošinātas iespējas atkārtoti izmantot jau sistēmā iesniegtos datus, kā arī iespēja attālināti formēt importa muitas deklarācijas u.c.;</w:t>
      </w:r>
    </w:p>
    <w:p w14:paraId="30DCF1F6" w14:textId="77777777" w:rsidR="00EB257E" w:rsidRPr="00FF0C61" w:rsidRDefault="00EB257E" w:rsidP="00FF0C61">
      <w:pPr>
        <w:numPr>
          <w:ilvl w:val="0"/>
          <w:numId w:val="20"/>
        </w:numPr>
        <w:spacing w:before="0" w:after="60"/>
        <w:contextualSpacing/>
        <w:jc w:val="both"/>
        <w:rPr>
          <w:rFonts w:ascii="Times New Roman" w:eastAsia="Times New Roman" w:hAnsi="Times New Roman" w:cs="Times New Roman"/>
          <w:sz w:val="24"/>
          <w:szCs w:val="24"/>
          <w:lang w:eastAsia="lv-LV"/>
        </w:rPr>
      </w:pPr>
      <w:r w:rsidRPr="00FF0C61">
        <w:rPr>
          <w:rFonts w:ascii="Times New Roman" w:eastAsia="Times New Roman" w:hAnsi="Times New Roman" w:cs="Times New Roman"/>
          <w:sz w:val="24"/>
          <w:szCs w:val="24"/>
          <w:lang w:eastAsia="lv-LV"/>
        </w:rPr>
        <w:t>manifestu un pagaidu uzglabāšanas sistēma, nodrošinot vienotu kravas manifestu un pagaidu uzglabāšanas deklarāciju iesniegšanu, noformēšanu un preču uzskaites procesu, aizstājot kārtību, kad pagaidu uzglabāšanas noformēšanai tiek izmantoti dokumenti papīra formā;</w:t>
      </w:r>
    </w:p>
    <w:p w14:paraId="273B2B08" w14:textId="77777777" w:rsidR="00EB257E" w:rsidRPr="00FF0C61" w:rsidRDefault="00EB257E" w:rsidP="00FF0C61">
      <w:pPr>
        <w:numPr>
          <w:ilvl w:val="0"/>
          <w:numId w:val="20"/>
        </w:numPr>
        <w:spacing w:before="0" w:after="60"/>
        <w:contextualSpacing/>
        <w:jc w:val="both"/>
        <w:rPr>
          <w:rFonts w:ascii="Times New Roman" w:eastAsia="Times New Roman" w:hAnsi="Times New Roman" w:cs="Times New Roman"/>
          <w:sz w:val="24"/>
          <w:szCs w:val="24"/>
          <w:lang w:eastAsia="lv-LV"/>
        </w:rPr>
      </w:pPr>
      <w:r w:rsidRPr="00FF0C61">
        <w:rPr>
          <w:rFonts w:ascii="Times New Roman" w:eastAsia="Times New Roman" w:hAnsi="Times New Roman" w:cs="Times New Roman"/>
          <w:sz w:val="24"/>
          <w:szCs w:val="24"/>
          <w:lang w:eastAsia="lv-LV"/>
        </w:rPr>
        <w:t>pasta pavadzīmju un fizisko personu mutiski deklarēto preču kvīšu funkcionalitāte muitas modulī, nodrošinot minēto muitas dokumentu elektronisko apstrādi;</w:t>
      </w:r>
    </w:p>
    <w:p w14:paraId="23EEA262" w14:textId="77777777" w:rsidR="00EB257E" w:rsidRPr="00B0112C" w:rsidRDefault="00EB257E" w:rsidP="00FF0C61">
      <w:pPr>
        <w:numPr>
          <w:ilvl w:val="0"/>
          <w:numId w:val="20"/>
        </w:numPr>
        <w:spacing w:before="0" w:after="60"/>
        <w:contextualSpacing/>
        <w:jc w:val="both"/>
        <w:rPr>
          <w:rFonts w:ascii="Times New Roman" w:eastAsia="Times New Roman" w:hAnsi="Times New Roman" w:cs="Times New Roman"/>
          <w:sz w:val="24"/>
          <w:szCs w:val="24"/>
          <w:lang w:eastAsia="lv-LV"/>
        </w:rPr>
      </w:pPr>
      <w:r w:rsidRPr="00FF0C61">
        <w:rPr>
          <w:rFonts w:ascii="Times New Roman" w:eastAsia="Times New Roman" w:hAnsi="Times New Roman" w:cs="Times New Roman"/>
          <w:sz w:val="24"/>
          <w:szCs w:val="24"/>
          <w:lang w:eastAsia="lv-LV"/>
        </w:rPr>
        <w:t xml:space="preserve">jauni e-pakalpojumi portālā </w:t>
      </w:r>
      <w:hyperlink r:id="rId9" w:history="1">
        <w:r w:rsidRPr="00FF0C61">
          <w:rPr>
            <w:rStyle w:val="Hyperlink"/>
            <w:rFonts w:ascii="Times New Roman" w:eastAsia="Times New Roman" w:hAnsi="Times New Roman" w:cs="Times New Roman"/>
            <w:sz w:val="24"/>
            <w:szCs w:val="24"/>
            <w:lang w:eastAsia="lv-LV"/>
          </w:rPr>
          <w:t>www.latvija.lv</w:t>
        </w:r>
      </w:hyperlink>
      <w:r w:rsidRPr="00B0112C">
        <w:rPr>
          <w:rFonts w:ascii="Times New Roman" w:eastAsia="Times New Roman" w:hAnsi="Times New Roman" w:cs="Times New Roman"/>
          <w:sz w:val="24"/>
          <w:szCs w:val="24"/>
          <w:lang w:eastAsia="lv-LV"/>
        </w:rPr>
        <w:t xml:space="preserve"> muitas maksājumu veikšanai, nodrošinot iespēju jebkurai personai tiešsaistē apmaksāt muitas iestāžu aprēķinātos muitas maksājumus, tādējādi muitas klientiem ir radīta iespēja samazināt muitas formalitāšu kārtošanai patērējamo laiku un resursus.</w:t>
      </w:r>
    </w:p>
    <w:p w14:paraId="14D8403A" w14:textId="77777777" w:rsidR="00EB257E" w:rsidRPr="00943C9B" w:rsidRDefault="00EB257E" w:rsidP="00FF0C61">
      <w:pPr>
        <w:pStyle w:val="VPBody"/>
        <w:spacing w:before="0" w:after="60"/>
        <w:rPr>
          <w:szCs w:val="24"/>
        </w:rPr>
      </w:pPr>
      <w:r w:rsidRPr="00943C9B">
        <w:rPr>
          <w:szCs w:val="24"/>
        </w:rPr>
        <w:t xml:space="preserve">“E-muita” 1.kārtas projekta ietvaros realizējamās aktivitātes turpinās iepriekšējā plānošanas periodā uzsākto virzību uz elektronisku jeb </w:t>
      </w:r>
      <w:proofErr w:type="spellStart"/>
      <w:r w:rsidRPr="00943C9B">
        <w:rPr>
          <w:szCs w:val="24"/>
        </w:rPr>
        <w:t>bezpapīru</w:t>
      </w:r>
      <w:proofErr w:type="spellEnd"/>
      <w:r w:rsidRPr="00943C9B">
        <w:rPr>
          <w:szCs w:val="24"/>
        </w:rPr>
        <w:t xml:space="preserve"> muitas vidi. Savukārt, projekta rezultāti tieši un netieši ietekmēs</w:t>
      </w:r>
      <w:r w:rsidR="004109A9">
        <w:rPr>
          <w:szCs w:val="24"/>
        </w:rPr>
        <w:t xml:space="preserve"> specifiskā atbalsta mērķa </w:t>
      </w:r>
      <w:r w:rsidRPr="00943C9B">
        <w:rPr>
          <w:szCs w:val="24"/>
        </w:rPr>
        <w:t>kopējo rezultāta rādītāju sasniegšanu.</w:t>
      </w:r>
    </w:p>
    <w:p w14:paraId="4724B481" w14:textId="77777777" w:rsidR="00EB257E" w:rsidRPr="00FF0C61" w:rsidRDefault="00EB257E" w:rsidP="00FF0C61">
      <w:pPr>
        <w:pStyle w:val="VPBody"/>
        <w:spacing w:before="0" w:after="60"/>
        <w:rPr>
          <w:szCs w:val="24"/>
        </w:rPr>
      </w:pPr>
      <w:r w:rsidRPr="00943C9B">
        <w:rPr>
          <w:szCs w:val="24"/>
        </w:rPr>
        <w:t xml:space="preserve">Projekta īstenoto aktivitāšu rezultātā tiks pilnveidoti 18 VID darbības </w:t>
      </w:r>
      <w:proofErr w:type="spellStart"/>
      <w:r w:rsidRPr="00943C9B">
        <w:rPr>
          <w:szCs w:val="24"/>
        </w:rPr>
        <w:t>pamatprocesi</w:t>
      </w:r>
      <w:proofErr w:type="spellEnd"/>
      <w:r w:rsidRPr="00943C9B">
        <w:rPr>
          <w:szCs w:val="24"/>
        </w:rPr>
        <w:t xml:space="preserve">, </w:t>
      </w:r>
      <w:r w:rsidRPr="00FF0C61">
        <w:rPr>
          <w:szCs w:val="24"/>
        </w:rPr>
        <w:t>pilnveidoti 38 muitas sniegtie pakalpojumi, tāpat var prognozēt, ka projekta īstenošanas rezultātā pieaugs iedzīvotāju un komersantu īpatsvars, kas izmanto e-pakalpojumus sadarbībai ar valsts institūcijām, ņemot vērā, ka muitas deklarāciju un citu muitas dokumentu iesniegšana un apstrāde notiek tikai elektroniski, izmantojot tam paredzētās informācijas sistēmas, izņemot gadījumus, kad deklarācijas tiek iesniegtas atkāpšanās režīmā (sistēmas nav pieejamas), kā to nosaka ES un nacionālie normatīvie akti.</w:t>
      </w:r>
    </w:p>
    <w:p w14:paraId="662DA4FC" w14:textId="77777777" w:rsidR="00EB257E" w:rsidRPr="00B0112C" w:rsidRDefault="00EB257E" w:rsidP="00FF0C61">
      <w:pPr>
        <w:pStyle w:val="VPBody"/>
        <w:spacing w:before="0" w:after="60"/>
        <w:jc w:val="center"/>
        <w:rPr>
          <w:b/>
          <w:szCs w:val="24"/>
        </w:rPr>
      </w:pPr>
    </w:p>
    <w:p w14:paraId="001F3583" w14:textId="77777777" w:rsidR="005331FE" w:rsidRPr="00943C9B" w:rsidRDefault="005331FE" w:rsidP="00FF0C61">
      <w:pPr>
        <w:pStyle w:val="VPBody"/>
        <w:spacing w:before="0" w:after="60"/>
        <w:jc w:val="center"/>
        <w:rPr>
          <w:b/>
          <w:szCs w:val="24"/>
        </w:rPr>
      </w:pPr>
      <w:r w:rsidRPr="00943C9B">
        <w:rPr>
          <w:b/>
          <w:szCs w:val="24"/>
        </w:rPr>
        <w:t>Indikatīvi sociālekonomisko ieguvumu aprēķini</w:t>
      </w:r>
    </w:p>
    <w:p w14:paraId="48548D86" w14:textId="77777777" w:rsidR="005331FE" w:rsidRPr="00943C9B" w:rsidRDefault="005331FE" w:rsidP="00FF0C61">
      <w:pPr>
        <w:spacing w:before="0" w:after="60"/>
        <w:jc w:val="center"/>
        <w:rPr>
          <w:rFonts w:ascii="Times New Roman" w:eastAsia="MS Mincho" w:hAnsi="Times New Roman" w:cs="Times New Roman"/>
          <w:b/>
          <w:bCs/>
          <w:sz w:val="24"/>
          <w:szCs w:val="24"/>
        </w:rPr>
      </w:pPr>
    </w:p>
    <w:p w14:paraId="6EC62A97" w14:textId="77777777" w:rsidR="00EB257E" w:rsidRPr="00FF0C61" w:rsidRDefault="00EB257E" w:rsidP="00FF0C61">
      <w:pPr>
        <w:pStyle w:val="VPBody"/>
        <w:tabs>
          <w:tab w:val="left" w:pos="1755"/>
        </w:tabs>
        <w:spacing w:before="0" w:after="60"/>
        <w:rPr>
          <w:szCs w:val="24"/>
        </w:rPr>
      </w:pPr>
      <w:r w:rsidRPr="00943C9B">
        <w:rPr>
          <w:szCs w:val="24"/>
        </w:rPr>
        <w:t xml:space="preserve">Latvijas muitas informācijas sistēmas ir integrētas kopējā ES mēroga sistēmā un kalpo par </w:t>
      </w:r>
      <w:proofErr w:type="spellStart"/>
      <w:r w:rsidRPr="00943C9B">
        <w:rPr>
          <w:szCs w:val="24"/>
        </w:rPr>
        <w:t>pamatrīku</w:t>
      </w:r>
      <w:proofErr w:type="spellEnd"/>
      <w:r w:rsidRPr="00943C9B">
        <w:rPr>
          <w:szCs w:val="24"/>
        </w:rPr>
        <w:t xml:space="preserve"> eksporta, importa un tranzīta kravu elektroniskai apstrādei. Sistēmu nepārtraukta darbība ir būtisks nosacījums Latvijas ārējās tirdzniecības nodrošināšanai. Nodrošinot ES normatīvajos aktos noteikto prasību izpildi attiecībā uz muitas formalitāšu elektronizāciju ES līmenī, kā arī šim nolūkam paredzēto informācijas sistēmu izstrādi un ieviešanu, tiks pilnveidoti arī VID deleģētie </w:t>
      </w:r>
      <w:proofErr w:type="spellStart"/>
      <w:r w:rsidRPr="00943C9B">
        <w:rPr>
          <w:szCs w:val="24"/>
        </w:rPr>
        <w:t>pamatprocesi</w:t>
      </w:r>
      <w:proofErr w:type="spellEnd"/>
      <w:r w:rsidRPr="00943C9B">
        <w:rPr>
          <w:szCs w:val="24"/>
        </w:rPr>
        <w:t>, paaugstinot muitas pakalpojumu, muitošanas procesa, riska analīzes un kontroles efektivitātes līmeni. Līdz ar to, tiks uzlaboti arī komersantiem sniegtie pakalpojumi, harmonizējot, vienkāršojot un vienādojot muitas procedūra</w:t>
      </w:r>
      <w:r w:rsidRPr="00FF0C61">
        <w:rPr>
          <w:szCs w:val="24"/>
        </w:rPr>
        <w:t>s un procesus visā ES teritorijā. Īstenojot projektā plānotās aktivitātes, komersantiem tiks samazināts administratīvais slogs, saīsinot muitošanas laiku, tādejādi samazinot arī izmaksas.</w:t>
      </w:r>
    </w:p>
    <w:p w14:paraId="435CD412" w14:textId="77777777" w:rsidR="00EB257E" w:rsidRPr="00FF0C61" w:rsidRDefault="00EB257E" w:rsidP="00FF0C61">
      <w:pPr>
        <w:pStyle w:val="VPBody"/>
        <w:spacing w:before="0" w:after="60"/>
        <w:rPr>
          <w:szCs w:val="24"/>
        </w:rPr>
      </w:pPr>
      <w:r w:rsidRPr="00FF0C61">
        <w:rPr>
          <w:szCs w:val="24"/>
        </w:rPr>
        <w:lastRenderedPageBreak/>
        <w:t>Veicot projekta naudas plūsmas un sociālekonomiskā indikatīvā lietderīguma aprēķinu projekta dzīves ciklā (15 gadi), veidojas pozitīva naudas plūsma. Projekta investīciju izmaksas trīs gadu laikā ir plānotas  4 500 000 EUR apmērā, savukārt aprēķinātās provizoriskās darbības izmaksas projekta dzīves cikla laikā ir 3 900 000 EUR. Līdz ar to, projekta dzīves ciklā darbības izmaksas sastāda 8 400 000 EUR.</w:t>
      </w:r>
    </w:p>
    <w:p w14:paraId="5B40A20F" w14:textId="77777777" w:rsidR="00EB257E" w:rsidRPr="00FF0C61" w:rsidRDefault="00EB257E" w:rsidP="00FF0C61">
      <w:pPr>
        <w:pStyle w:val="VPBody"/>
        <w:spacing w:before="0" w:after="60"/>
        <w:rPr>
          <w:szCs w:val="24"/>
        </w:rPr>
      </w:pPr>
      <w:r w:rsidRPr="00FF0C61">
        <w:rPr>
          <w:szCs w:val="24"/>
        </w:rPr>
        <w:t xml:space="preserve">Savukārt, veicot projekta sociālekonomisko ieguvumu analīzi un aprēķinu, nediskontētā ieguvumu summa projekta dzīves cikla laikā kopā sastāda 11 348 240 EUR. </w:t>
      </w:r>
    </w:p>
    <w:p w14:paraId="59960C63" w14:textId="77777777" w:rsidR="00EB257E" w:rsidRPr="00FF0C61" w:rsidRDefault="00EB257E" w:rsidP="00FF0C61">
      <w:pPr>
        <w:pStyle w:val="VPBody"/>
        <w:spacing w:before="0" w:after="60"/>
        <w:rPr>
          <w:szCs w:val="24"/>
        </w:rPr>
      </w:pPr>
      <w:r w:rsidRPr="00FF0C61">
        <w:rPr>
          <w:szCs w:val="24"/>
        </w:rPr>
        <w:t xml:space="preserve">Veicot projekta naudas plūsmas diskontēšanu ar diskonta likmi 5%, projekta dzīves cikla laikā kopējās </w:t>
      </w:r>
      <w:r w:rsidR="008C4CF9">
        <w:rPr>
          <w:szCs w:val="24"/>
        </w:rPr>
        <w:t xml:space="preserve">diskontētās </w:t>
      </w:r>
      <w:r w:rsidRPr="00FF0C61">
        <w:rPr>
          <w:szCs w:val="24"/>
        </w:rPr>
        <w:t>izmaksas ir 6 808 002 EUR, savukārt</w:t>
      </w:r>
      <w:r w:rsidR="008C4CF9">
        <w:rPr>
          <w:szCs w:val="24"/>
        </w:rPr>
        <w:t xml:space="preserve"> diskontētie</w:t>
      </w:r>
      <w:r w:rsidRPr="00FF0C61">
        <w:rPr>
          <w:szCs w:val="24"/>
        </w:rPr>
        <w:t xml:space="preserve"> projekta sociālekonomiskie ieguvumi projekta dzīves cikla laikā kopā sastāda 7 589 660 EUR. </w:t>
      </w:r>
    </w:p>
    <w:p w14:paraId="6C66243A" w14:textId="77777777" w:rsidR="00EB257E" w:rsidRPr="00FF0C61" w:rsidRDefault="00EB257E" w:rsidP="00FF0C61">
      <w:pPr>
        <w:pStyle w:val="VPBody"/>
        <w:spacing w:before="0" w:after="60"/>
        <w:rPr>
          <w:szCs w:val="24"/>
        </w:rPr>
      </w:pPr>
      <w:r w:rsidRPr="00FF0C61">
        <w:rPr>
          <w:szCs w:val="24"/>
        </w:rPr>
        <w:t>Tādejādi, ieguvumi no “E-muitas” projekta realizācijas ir lielāki par projekta investīciju un darbības izmaksām projekta dzīves cikla laikā.</w:t>
      </w:r>
    </w:p>
    <w:p w14:paraId="2588C559" w14:textId="77777777" w:rsidR="00EB257E" w:rsidRPr="00FF0C61" w:rsidRDefault="00EB257E" w:rsidP="00FF0C61">
      <w:pPr>
        <w:pStyle w:val="VPBody"/>
        <w:spacing w:before="0" w:after="60"/>
        <w:rPr>
          <w:szCs w:val="24"/>
        </w:rPr>
      </w:pPr>
    </w:p>
    <w:tbl>
      <w:tblPr>
        <w:tblStyle w:val="TableGrid"/>
        <w:tblW w:w="0" w:type="auto"/>
        <w:tblLook w:val="04A0" w:firstRow="1" w:lastRow="0" w:firstColumn="1" w:lastColumn="0" w:noHBand="0" w:noVBand="1"/>
      </w:tblPr>
      <w:tblGrid>
        <w:gridCol w:w="3642"/>
        <w:gridCol w:w="1525"/>
        <w:gridCol w:w="4120"/>
      </w:tblGrid>
      <w:tr w:rsidR="00EB257E" w:rsidRPr="00FF0C61" w14:paraId="2EBD5E37" w14:textId="77777777" w:rsidTr="00CE4BB6">
        <w:tc>
          <w:tcPr>
            <w:tcW w:w="5837" w:type="dxa"/>
          </w:tcPr>
          <w:p w14:paraId="0B07BFFA" w14:textId="77777777" w:rsidR="00EB257E" w:rsidRPr="00FF0C61" w:rsidRDefault="00EB257E" w:rsidP="00FF0C61">
            <w:pPr>
              <w:pStyle w:val="VPBody"/>
              <w:spacing w:before="0" w:after="60"/>
              <w:jc w:val="center"/>
              <w:rPr>
                <w:b/>
                <w:szCs w:val="24"/>
              </w:rPr>
            </w:pPr>
            <w:r w:rsidRPr="00FF0C61">
              <w:rPr>
                <w:b/>
                <w:szCs w:val="24"/>
              </w:rPr>
              <w:t>Plānotais ieguvums</w:t>
            </w:r>
          </w:p>
        </w:tc>
        <w:tc>
          <w:tcPr>
            <w:tcW w:w="2097" w:type="dxa"/>
          </w:tcPr>
          <w:p w14:paraId="435C88BA" w14:textId="77777777" w:rsidR="00EB257E" w:rsidRPr="00FF0C61" w:rsidRDefault="00EB257E" w:rsidP="00FF0C61">
            <w:pPr>
              <w:pStyle w:val="VPBody"/>
              <w:spacing w:before="0" w:after="60"/>
              <w:jc w:val="center"/>
              <w:rPr>
                <w:b/>
                <w:szCs w:val="24"/>
              </w:rPr>
            </w:pPr>
            <w:r w:rsidRPr="00FF0C61">
              <w:rPr>
                <w:b/>
                <w:szCs w:val="24"/>
              </w:rPr>
              <w:t>Summa</w:t>
            </w:r>
          </w:p>
        </w:tc>
        <w:tc>
          <w:tcPr>
            <w:tcW w:w="6342" w:type="dxa"/>
          </w:tcPr>
          <w:p w14:paraId="4FF6162B" w14:textId="77777777" w:rsidR="00EB257E" w:rsidRPr="00FF0C61" w:rsidRDefault="00EB257E" w:rsidP="00FF0C61">
            <w:pPr>
              <w:pStyle w:val="VPBody"/>
              <w:spacing w:before="0" w:after="60"/>
              <w:jc w:val="center"/>
              <w:rPr>
                <w:b/>
                <w:szCs w:val="24"/>
              </w:rPr>
            </w:pPr>
            <w:r w:rsidRPr="00FF0C61">
              <w:rPr>
                <w:b/>
                <w:szCs w:val="24"/>
              </w:rPr>
              <w:t>Aprēķina pamatojums</w:t>
            </w:r>
          </w:p>
        </w:tc>
      </w:tr>
      <w:tr w:rsidR="00EB257E" w:rsidRPr="00FF0C61" w14:paraId="7218B9C8" w14:textId="77777777" w:rsidTr="00CE4BB6">
        <w:tc>
          <w:tcPr>
            <w:tcW w:w="5837" w:type="dxa"/>
          </w:tcPr>
          <w:p w14:paraId="31D441B8" w14:textId="77777777" w:rsidR="00EB257E" w:rsidRPr="00B0112C" w:rsidRDefault="00EB257E" w:rsidP="00FF0C61">
            <w:pPr>
              <w:pStyle w:val="VPBody"/>
              <w:spacing w:before="0" w:after="60"/>
              <w:rPr>
                <w:szCs w:val="24"/>
              </w:rPr>
            </w:pPr>
            <w:r w:rsidRPr="00B0112C">
              <w:rPr>
                <w:szCs w:val="24"/>
              </w:rPr>
              <w:t>Ar pasta sūtījumiem saistīto formalitāšu kārtošanas un kontroles atvieglošana.</w:t>
            </w:r>
          </w:p>
          <w:p w14:paraId="36E9EC3D" w14:textId="77777777" w:rsidR="00EB257E" w:rsidRPr="00943C9B" w:rsidRDefault="00EB257E" w:rsidP="00FF0C61">
            <w:pPr>
              <w:pStyle w:val="VPBody"/>
              <w:spacing w:before="0" w:after="60"/>
              <w:rPr>
                <w:szCs w:val="24"/>
              </w:rPr>
            </w:pPr>
            <w:r w:rsidRPr="00943C9B">
              <w:rPr>
                <w:szCs w:val="24"/>
              </w:rPr>
              <w:t>Izstrādājot iespēju fiziskajām personām, pasūtot preces no trešajām valstīm Internetā, kārtot muitas formalitātes vienkāršotā veidā, iesniedzot importa deklarāciju ar samazinātu datu kopu, tiks radīta iespēja ietaupīt līdzekļus muitas formalitāšu kārtošanai.</w:t>
            </w:r>
          </w:p>
        </w:tc>
        <w:tc>
          <w:tcPr>
            <w:tcW w:w="2097" w:type="dxa"/>
          </w:tcPr>
          <w:p w14:paraId="4718A312" w14:textId="77777777" w:rsidR="00EB257E" w:rsidRPr="00943C9B" w:rsidRDefault="00EB257E" w:rsidP="00FF0C61">
            <w:pPr>
              <w:pStyle w:val="VPBody"/>
              <w:spacing w:before="0" w:after="60"/>
              <w:rPr>
                <w:szCs w:val="24"/>
              </w:rPr>
            </w:pPr>
            <w:r w:rsidRPr="00943C9B">
              <w:rPr>
                <w:szCs w:val="24"/>
              </w:rPr>
              <w:t>440 000 EUR gadā</w:t>
            </w:r>
          </w:p>
        </w:tc>
        <w:tc>
          <w:tcPr>
            <w:tcW w:w="6342" w:type="dxa"/>
          </w:tcPr>
          <w:p w14:paraId="1734CB40" w14:textId="36A75B2B" w:rsidR="00EB257E" w:rsidRPr="00FF0C61" w:rsidRDefault="00EB257E" w:rsidP="00FF0C61">
            <w:pPr>
              <w:pStyle w:val="VPBody"/>
              <w:spacing w:before="0" w:after="60"/>
              <w:rPr>
                <w:szCs w:val="24"/>
              </w:rPr>
            </w:pPr>
            <w:r w:rsidRPr="00FF0C61">
              <w:rPr>
                <w:szCs w:val="24"/>
              </w:rPr>
              <w:t>Lai pieteiktu muitas procedūru “laišana brīvajam apgrozījumam”, saskaņā ar ES prasībām nepieciešams aizpildīt un iesniegt elektronisku importa muitas deklarāciju, kas prasa padziļinātas zināšanas muitas jomā un ir sarežģīts process fiziskai personai, kura ar muitas formalitāšu kārtošanu nekad nav sask</w:t>
            </w:r>
            <w:r w:rsidR="005577E1">
              <w:rPr>
                <w:szCs w:val="24"/>
              </w:rPr>
              <w:t>ā</w:t>
            </w:r>
            <w:r w:rsidRPr="00FF0C61">
              <w:rPr>
                <w:szCs w:val="24"/>
              </w:rPr>
              <w:t>rusies. Lai atvieglotu fiziskai personai šo procesu, EMDAS tiks iestrādāta jauna funkcionalitāte, ļaujot importa deklarāciju aizpildīt vienkāršotā veidā (t.sk. veidojot “alternatīvo preču klasifikatoru un tarifu piemērošanas sistēmu”).</w:t>
            </w:r>
          </w:p>
          <w:p w14:paraId="5F660454" w14:textId="77777777" w:rsidR="00EB257E" w:rsidRDefault="00EB257E" w:rsidP="00FF0C61">
            <w:pPr>
              <w:pStyle w:val="VPBody"/>
              <w:spacing w:before="0" w:after="60"/>
              <w:rPr>
                <w:szCs w:val="24"/>
              </w:rPr>
            </w:pPr>
            <w:r w:rsidRPr="00FF0C61">
              <w:rPr>
                <w:szCs w:val="24"/>
              </w:rPr>
              <w:t>2015.gadā vidēji noformēti 11 000 pasta sūtījumi. Vidēji vienas deklarācijas noformēšana izmaksā 40 EUR. Pieņemot, ka turpmākajos gados pasta sūtījumu skaits paliks līdzšinējā apjomā (vai pat pieaugs), ikgadējais sociālekonomiskais ieguvums ir 11 000 x 40 EUR = 440 000 EUR.</w:t>
            </w:r>
            <w:r w:rsidR="00E00A03">
              <w:rPr>
                <w:szCs w:val="24"/>
              </w:rPr>
              <w:t xml:space="preserve"> </w:t>
            </w:r>
          </w:p>
          <w:p w14:paraId="67C0FF8D" w14:textId="77777777" w:rsidR="00E62062" w:rsidRPr="00FF0C61" w:rsidRDefault="00E62062" w:rsidP="00E62062">
            <w:pPr>
              <w:pStyle w:val="VPBody"/>
              <w:spacing w:before="0" w:after="60"/>
              <w:rPr>
                <w:szCs w:val="24"/>
              </w:rPr>
            </w:pPr>
            <w:r>
              <w:rPr>
                <w:szCs w:val="24"/>
              </w:rPr>
              <w:t>Ieguvums tiek prognozēts sākot no 2019.gada, t.i.</w:t>
            </w:r>
            <w:r w:rsidR="0008388C">
              <w:rPr>
                <w:szCs w:val="24"/>
              </w:rPr>
              <w:t>,</w:t>
            </w:r>
            <w:r>
              <w:rPr>
                <w:szCs w:val="24"/>
              </w:rPr>
              <w:t xml:space="preserve"> 14 gadi x 440 000 EUR = 6 160 000 EUR projekta dzīves ciklā.</w:t>
            </w:r>
          </w:p>
        </w:tc>
      </w:tr>
      <w:tr w:rsidR="00EB257E" w:rsidRPr="00FF0C61" w14:paraId="463FE30D" w14:textId="77777777" w:rsidTr="00CE4BB6">
        <w:tc>
          <w:tcPr>
            <w:tcW w:w="5837" w:type="dxa"/>
          </w:tcPr>
          <w:p w14:paraId="399C2DA2" w14:textId="77777777" w:rsidR="00EB257E" w:rsidRPr="00B0112C" w:rsidRDefault="00EB257E" w:rsidP="00FF0C61">
            <w:pPr>
              <w:pStyle w:val="VPBody"/>
              <w:spacing w:before="0" w:after="60"/>
              <w:rPr>
                <w:szCs w:val="24"/>
              </w:rPr>
            </w:pPr>
            <w:r w:rsidRPr="00B0112C">
              <w:rPr>
                <w:szCs w:val="24"/>
              </w:rPr>
              <w:t>Darbaspēka resursu ietaupījums automatizējot muitas procesus</w:t>
            </w:r>
          </w:p>
          <w:p w14:paraId="378F82FC" w14:textId="77777777" w:rsidR="00EB257E" w:rsidRPr="00943C9B" w:rsidRDefault="00EB257E" w:rsidP="00FF0C61">
            <w:pPr>
              <w:pStyle w:val="VPBody"/>
              <w:numPr>
                <w:ilvl w:val="0"/>
                <w:numId w:val="20"/>
              </w:numPr>
              <w:spacing w:before="0" w:after="60"/>
              <w:rPr>
                <w:szCs w:val="24"/>
              </w:rPr>
            </w:pPr>
            <w:r w:rsidRPr="00943C9B">
              <w:rPr>
                <w:szCs w:val="24"/>
              </w:rPr>
              <w:t xml:space="preserve">Eksporta procedūru automatizētai noslēgšanai, nododot kravu vienotajam </w:t>
            </w:r>
            <w:r w:rsidRPr="00943C9B">
              <w:rPr>
                <w:szCs w:val="24"/>
              </w:rPr>
              <w:lastRenderedPageBreak/>
              <w:t>pārvadājumam (saistībā ar kravām, ko izved pa dzelzceļu un ar kuģiem). Tiks iestrādāts jauns ziņojums, ar kuru komersants var iesniegt informāciju par to, ka krava ir nodota pārvadātāja</w:t>
            </w:r>
            <w:r w:rsidR="008237F6">
              <w:rPr>
                <w:szCs w:val="24"/>
              </w:rPr>
              <w:t>m (dzelzceļam – valsts akciju sabiedrība “Latvijas Dzelzceļš”</w:t>
            </w:r>
            <w:r w:rsidRPr="00943C9B">
              <w:rPr>
                <w:szCs w:val="24"/>
              </w:rPr>
              <w:t>) vai kuģim (</w:t>
            </w:r>
            <w:r w:rsidR="008237F6" w:rsidRPr="002B2535">
              <w:rPr>
                <w:szCs w:val="24"/>
              </w:rPr>
              <w:t>Starptautiskā kravu loģistikas un ostu informācijas sistēma</w:t>
            </w:r>
            <w:r w:rsidR="008237F6" w:rsidRPr="00943C9B">
              <w:rPr>
                <w:szCs w:val="24"/>
              </w:rPr>
              <w:t xml:space="preserve"> </w:t>
            </w:r>
            <w:r w:rsidR="008237F6">
              <w:rPr>
                <w:szCs w:val="24"/>
              </w:rPr>
              <w:t xml:space="preserve"> - </w:t>
            </w:r>
            <w:r w:rsidR="00FA58CB">
              <w:rPr>
                <w:szCs w:val="24"/>
              </w:rPr>
              <w:t>SKLOIS)</w:t>
            </w:r>
            <w:r w:rsidRPr="00943C9B">
              <w:rPr>
                <w:szCs w:val="24"/>
              </w:rPr>
              <w:t>. Saņemot ziņojumu, eksporta procedūra EMDAS var tikt automatizēti noslēgta.</w:t>
            </w:r>
          </w:p>
          <w:p w14:paraId="17A0BCF0" w14:textId="77777777" w:rsidR="00EB257E" w:rsidRPr="00FF0C61" w:rsidRDefault="00EB257E" w:rsidP="00FF0C61">
            <w:pPr>
              <w:pStyle w:val="VPBody"/>
              <w:numPr>
                <w:ilvl w:val="0"/>
                <w:numId w:val="20"/>
              </w:numPr>
              <w:spacing w:before="0" w:after="60"/>
              <w:rPr>
                <w:szCs w:val="24"/>
              </w:rPr>
            </w:pPr>
            <w:r w:rsidRPr="00943C9B">
              <w:rPr>
                <w:szCs w:val="24"/>
              </w:rPr>
              <w:t>Ieviešot automatizēto deklarācij</w:t>
            </w:r>
            <w:r w:rsidRPr="00FF0C61">
              <w:rPr>
                <w:szCs w:val="24"/>
              </w:rPr>
              <w:t>u izlaišanu</w:t>
            </w:r>
          </w:p>
          <w:p w14:paraId="0C7D104B" w14:textId="77777777" w:rsidR="00EB257E" w:rsidRPr="00FF0C61" w:rsidRDefault="00EB257E" w:rsidP="00FF0C61">
            <w:pPr>
              <w:pStyle w:val="VPBody"/>
              <w:numPr>
                <w:ilvl w:val="0"/>
                <w:numId w:val="20"/>
              </w:numPr>
              <w:spacing w:before="0" w:after="60"/>
              <w:rPr>
                <w:szCs w:val="24"/>
              </w:rPr>
            </w:pPr>
            <w:r w:rsidRPr="00FF0C61">
              <w:rPr>
                <w:szCs w:val="24"/>
              </w:rPr>
              <w:t>Pārejot uz elektronisko datu apstrādi (t.sk. atļaujas u.c. papīra dokumenti)</w:t>
            </w:r>
          </w:p>
        </w:tc>
        <w:tc>
          <w:tcPr>
            <w:tcW w:w="2097" w:type="dxa"/>
          </w:tcPr>
          <w:p w14:paraId="34E6BD34" w14:textId="77777777" w:rsidR="00EB257E" w:rsidRPr="00FF0C61" w:rsidRDefault="00EB257E" w:rsidP="00FF0C61">
            <w:pPr>
              <w:pStyle w:val="VPBody"/>
              <w:spacing w:before="0" w:after="60"/>
              <w:rPr>
                <w:szCs w:val="24"/>
              </w:rPr>
            </w:pPr>
            <w:r w:rsidRPr="00FF0C61">
              <w:rPr>
                <w:szCs w:val="24"/>
              </w:rPr>
              <w:lastRenderedPageBreak/>
              <w:t>222 480 EUR gadā</w:t>
            </w:r>
          </w:p>
        </w:tc>
        <w:tc>
          <w:tcPr>
            <w:tcW w:w="6342" w:type="dxa"/>
          </w:tcPr>
          <w:p w14:paraId="12F530F6" w14:textId="77777777" w:rsidR="00EB257E" w:rsidRPr="00FF0C61" w:rsidRDefault="00EB257E" w:rsidP="00FF0C61">
            <w:pPr>
              <w:pStyle w:val="VPBody"/>
              <w:spacing w:before="0" w:after="60"/>
              <w:rPr>
                <w:szCs w:val="24"/>
              </w:rPr>
            </w:pPr>
            <w:r w:rsidRPr="00FF0C61">
              <w:rPr>
                <w:szCs w:val="24"/>
              </w:rPr>
              <w:t xml:space="preserve">Šobrīd eksporta deklarāciju noslēgšanai tiek patērētas aptuveni 8-10 slodzes. Automatizējot eksporta procedūru noslēgšanu, iespējams ietaupīt līdz ~10 muitas amatpersonu </w:t>
            </w:r>
            <w:proofErr w:type="spellStart"/>
            <w:r w:rsidRPr="00FF0C61">
              <w:rPr>
                <w:szCs w:val="24"/>
              </w:rPr>
              <w:t>noslodzēm</w:t>
            </w:r>
            <w:proofErr w:type="spellEnd"/>
            <w:r w:rsidRPr="00FF0C61">
              <w:rPr>
                <w:szCs w:val="24"/>
              </w:rPr>
              <w:t>.</w:t>
            </w:r>
          </w:p>
          <w:p w14:paraId="63640244" w14:textId="77777777" w:rsidR="00EB257E" w:rsidRPr="00FF0C61" w:rsidRDefault="00EB257E" w:rsidP="00FF0C61">
            <w:pPr>
              <w:pStyle w:val="VPBody"/>
              <w:spacing w:before="0" w:after="60"/>
              <w:rPr>
                <w:szCs w:val="24"/>
              </w:rPr>
            </w:pPr>
            <w:r w:rsidRPr="00FF0C61">
              <w:rPr>
                <w:szCs w:val="24"/>
              </w:rPr>
              <w:lastRenderedPageBreak/>
              <w:t xml:space="preserve">Pakāpeniski pārejot uz elektroniskajiem dokumentiem, kā arī automatizējot citus ar muitas procedūru noformēšanu saistītos procesus, būs iespējams papildus ietaupīt 5-10 amatpersonu noslodzes, attiecīgos resursus novirzot citu funkciju nodrošināšanai. </w:t>
            </w:r>
          </w:p>
          <w:p w14:paraId="0EB7CDB0" w14:textId="77777777" w:rsidR="00EB257E" w:rsidRPr="00FF0C61" w:rsidRDefault="00EB257E" w:rsidP="00FF0C61">
            <w:pPr>
              <w:pStyle w:val="VPBody"/>
              <w:spacing w:before="0" w:after="60"/>
              <w:rPr>
                <w:szCs w:val="24"/>
              </w:rPr>
            </w:pPr>
            <w:r w:rsidRPr="00FF0C61">
              <w:rPr>
                <w:szCs w:val="24"/>
              </w:rPr>
              <w:t xml:space="preserve">2016.gada maijā vidējā darba alga kopā ar darba devēju izmaksām VID ir 1 236 EUR mēnesī, tādejādi </w:t>
            </w:r>
          </w:p>
          <w:p w14:paraId="3C5A8A64" w14:textId="77777777" w:rsidR="00EB257E" w:rsidRDefault="00EB257E" w:rsidP="00FF0C61">
            <w:pPr>
              <w:pStyle w:val="VPBody"/>
              <w:spacing w:before="0" w:after="60"/>
              <w:rPr>
                <w:szCs w:val="24"/>
              </w:rPr>
            </w:pPr>
            <w:r w:rsidRPr="00FF0C61">
              <w:rPr>
                <w:szCs w:val="24"/>
              </w:rPr>
              <w:t>1236 EUR x 12mēn x 15 slodzes=222 480 EUR.</w:t>
            </w:r>
          </w:p>
          <w:p w14:paraId="787BF3AB" w14:textId="77777777" w:rsidR="00E62062" w:rsidRPr="00FF0C61" w:rsidRDefault="00E62062" w:rsidP="00E62062">
            <w:pPr>
              <w:pStyle w:val="VPBody"/>
              <w:spacing w:before="0" w:after="60"/>
              <w:rPr>
                <w:szCs w:val="24"/>
              </w:rPr>
            </w:pPr>
            <w:r w:rsidRPr="00E62062">
              <w:rPr>
                <w:szCs w:val="24"/>
              </w:rPr>
              <w:t>Ieguv</w:t>
            </w:r>
            <w:r>
              <w:rPr>
                <w:szCs w:val="24"/>
              </w:rPr>
              <w:t>ums tiek prognozēts sākot no 2020</w:t>
            </w:r>
            <w:r w:rsidRPr="00E62062">
              <w:rPr>
                <w:szCs w:val="24"/>
              </w:rPr>
              <w:t>.gada, t.i.</w:t>
            </w:r>
            <w:r w:rsidR="0008388C">
              <w:rPr>
                <w:szCs w:val="24"/>
              </w:rPr>
              <w:t>,</w:t>
            </w:r>
            <w:r w:rsidRPr="00E62062">
              <w:rPr>
                <w:szCs w:val="24"/>
              </w:rPr>
              <w:t xml:space="preserve"> 1</w:t>
            </w:r>
            <w:r>
              <w:rPr>
                <w:szCs w:val="24"/>
              </w:rPr>
              <w:t>3 gadi x 222 480</w:t>
            </w:r>
            <w:r w:rsidRPr="00E62062">
              <w:rPr>
                <w:szCs w:val="24"/>
              </w:rPr>
              <w:t xml:space="preserve"> EUR = </w:t>
            </w:r>
            <w:r>
              <w:rPr>
                <w:szCs w:val="24"/>
              </w:rPr>
              <w:t xml:space="preserve">2 892 240 </w:t>
            </w:r>
            <w:r w:rsidRPr="00E62062">
              <w:rPr>
                <w:szCs w:val="24"/>
              </w:rPr>
              <w:t>EUR</w:t>
            </w:r>
            <w:r>
              <w:rPr>
                <w:szCs w:val="24"/>
              </w:rPr>
              <w:t xml:space="preserve"> </w:t>
            </w:r>
            <w:r w:rsidRPr="00E62062">
              <w:rPr>
                <w:szCs w:val="24"/>
              </w:rPr>
              <w:t>projekta dzīves ciklā.</w:t>
            </w:r>
          </w:p>
        </w:tc>
      </w:tr>
      <w:tr w:rsidR="00EB257E" w:rsidRPr="00FF0C61" w14:paraId="0F7D45C1" w14:textId="77777777" w:rsidTr="00CE4BB6">
        <w:tc>
          <w:tcPr>
            <w:tcW w:w="5837" w:type="dxa"/>
          </w:tcPr>
          <w:p w14:paraId="1BF65459" w14:textId="77777777" w:rsidR="00EB257E" w:rsidRPr="00943C9B" w:rsidRDefault="00EB257E" w:rsidP="00FF0C61">
            <w:pPr>
              <w:pStyle w:val="VPBody"/>
              <w:spacing w:before="0" w:after="60"/>
              <w:rPr>
                <w:szCs w:val="24"/>
              </w:rPr>
            </w:pPr>
            <w:r w:rsidRPr="00B0112C">
              <w:rPr>
                <w:szCs w:val="24"/>
              </w:rPr>
              <w:lastRenderedPageBreak/>
              <w:t xml:space="preserve">Komersantu patērētā laika un ceļa izdevumu ietaupījumi, elektronizējot muitas atļauju </w:t>
            </w:r>
            <w:r w:rsidRPr="00943C9B">
              <w:rPr>
                <w:szCs w:val="24"/>
              </w:rPr>
              <w:t>izsniegšanu un pārvaldību, saistošās informācijas par tarifu (SIT) izsniegšanu, kā arī automatizējot Atzītā eksportētāja statusa pārvaldību.</w:t>
            </w:r>
          </w:p>
          <w:p w14:paraId="540EA004" w14:textId="77777777" w:rsidR="00EB257E" w:rsidRPr="00943C9B" w:rsidRDefault="00EB257E" w:rsidP="00FF0C61">
            <w:pPr>
              <w:pStyle w:val="VPBody"/>
              <w:spacing w:before="0" w:after="60"/>
              <w:rPr>
                <w:szCs w:val="24"/>
              </w:rPr>
            </w:pPr>
            <w:r w:rsidRPr="00943C9B">
              <w:rPr>
                <w:szCs w:val="24"/>
              </w:rPr>
              <w:t xml:space="preserve">Sasaistot dalībvalstu nacionālās sistēmas ar centrālo </w:t>
            </w:r>
            <w:proofErr w:type="spellStart"/>
            <w:r w:rsidRPr="00943C9B">
              <w:rPr>
                <w:szCs w:val="24"/>
              </w:rPr>
              <w:t>transeiropas</w:t>
            </w:r>
            <w:proofErr w:type="spellEnd"/>
            <w:r w:rsidRPr="00943C9B">
              <w:rPr>
                <w:szCs w:val="24"/>
              </w:rPr>
              <w:t xml:space="preserve"> sistēmu REX, tiks nodrošināta automatizēta citās valstīs reģistrēto eksportētāju datu derīguma kontrole.</w:t>
            </w:r>
          </w:p>
        </w:tc>
        <w:tc>
          <w:tcPr>
            <w:tcW w:w="2097" w:type="dxa"/>
          </w:tcPr>
          <w:p w14:paraId="501D9072" w14:textId="77777777" w:rsidR="00EB257E" w:rsidRPr="00FF0C61" w:rsidRDefault="00EB257E" w:rsidP="00FF0C61">
            <w:pPr>
              <w:pStyle w:val="VPBody"/>
              <w:spacing w:before="0" w:after="60"/>
              <w:rPr>
                <w:szCs w:val="24"/>
              </w:rPr>
            </w:pPr>
            <w:r w:rsidRPr="00FF0C61">
              <w:rPr>
                <w:szCs w:val="24"/>
              </w:rPr>
              <w:t>18 000 EUR gadā</w:t>
            </w:r>
          </w:p>
        </w:tc>
        <w:tc>
          <w:tcPr>
            <w:tcW w:w="6342" w:type="dxa"/>
          </w:tcPr>
          <w:p w14:paraId="193B3AD6" w14:textId="77777777" w:rsidR="00EB257E" w:rsidRPr="00FF0C61" w:rsidRDefault="00EB257E" w:rsidP="00FF0C61">
            <w:pPr>
              <w:pStyle w:val="VPBody"/>
              <w:spacing w:before="0" w:after="60"/>
              <w:rPr>
                <w:szCs w:val="24"/>
              </w:rPr>
            </w:pPr>
            <w:r w:rsidRPr="00FF0C61">
              <w:rPr>
                <w:szCs w:val="24"/>
              </w:rPr>
              <w:t>Muita 2015.gadā izsniegusi ap 650 dažāda veida atļaujas un to grozījumus, kā arī vairāk kā 100 saistošās informācijas par tarifu (SIT), izsniegtas pilnvara patstāvīgi deklarēt preču izcelsmi -33.</w:t>
            </w:r>
          </w:p>
          <w:p w14:paraId="104CD9EB" w14:textId="77777777" w:rsidR="00EB257E" w:rsidRPr="00FF0C61" w:rsidRDefault="00EB257E" w:rsidP="00FF0C61">
            <w:pPr>
              <w:pStyle w:val="VPBody"/>
              <w:spacing w:before="0" w:after="60"/>
              <w:rPr>
                <w:szCs w:val="24"/>
              </w:rPr>
            </w:pPr>
            <w:r w:rsidRPr="00FF0C61">
              <w:rPr>
                <w:szCs w:val="24"/>
              </w:rPr>
              <w:t>Tādējādi, tiek pieņemts, ka klientiem gadā aptuveni 770 reizes jābrauc uz muitu, vidēji viens klients lēmuma saņemšanai muitā pavada apmēram 1 stundu. Tā kā ap 80 % komersantu darbojās Rīgas reģionā, tiek pieņemts , ka vidēji ceļā jāpavada 30 km, līdz ar to, tiek pieņemts, ka ceļā uz/no muitu tiek pavadītas vēl apmēram 2 stundas, kopā vidēji viena lēmuma saņemšanai tērējot aptuveni 3 stundas.</w:t>
            </w:r>
          </w:p>
          <w:p w14:paraId="6F50CC5B" w14:textId="77777777" w:rsidR="00EB257E" w:rsidRPr="00FF0C61" w:rsidRDefault="00EB257E" w:rsidP="00FF0C61">
            <w:pPr>
              <w:pStyle w:val="VPBody"/>
              <w:spacing w:before="0" w:after="60"/>
              <w:rPr>
                <w:szCs w:val="24"/>
              </w:rPr>
            </w:pPr>
            <w:r w:rsidRPr="00FF0C61">
              <w:rPr>
                <w:szCs w:val="24"/>
              </w:rPr>
              <w:t>Pamatojoties uz Centrālas statistikas pārvaldes datiem, 2015.gadā darbaspēka izmaksas ir 6.86 EUR/h. Savukārt, vidējais degvielas patēriņš ir 10 litri uz 100 km, vidējā degvielas cena – 1,05 EUR/l.</w:t>
            </w:r>
          </w:p>
          <w:p w14:paraId="09BCC3E9" w14:textId="77777777" w:rsidR="00EB257E" w:rsidRPr="00FF0C61" w:rsidRDefault="00EB257E" w:rsidP="00FF0C61">
            <w:pPr>
              <w:pStyle w:val="VPBody"/>
              <w:spacing w:before="0" w:after="60"/>
              <w:rPr>
                <w:szCs w:val="24"/>
              </w:rPr>
            </w:pPr>
            <w:r w:rsidRPr="00FF0C61">
              <w:rPr>
                <w:szCs w:val="24"/>
              </w:rPr>
              <w:t>770 kontakti x 3 h=2 310 h x 6.86 EUR = 15 846 EUR.</w:t>
            </w:r>
          </w:p>
          <w:p w14:paraId="29B47712" w14:textId="77777777" w:rsidR="00EB257E" w:rsidRPr="00FF0C61" w:rsidRDefault="00EB257E" w:rsidP="00FF0C61">
            <w:pPr>
              <w:pStyle w:val="VPBody"/>
              <w:spacing w:before="0" w:after="60"/>
              <w:rPr>
                <w:szCs w:val="24"/>
              </w:rPr>
            </w:pPr>
            <w:r w:rsidRPr="00FF0C61">
              <w:rPr>
                <w:szCs w:val="24"/>
              </w:rPr>
              <w:t xml:space="preserve">770 x 30 km=23 100 km </w:t>
            </w:r>
          </w:p>
          <w:p w14:paraId="0B48B493" w14:textId="77777777" w:rsidR="00EB257E" w:rsidRPr="00FF0C61" w:rsidRDefault="00EB257E" w:rsidP="00FF0C61">
            <w:pPr>
              <w:pStyle w:val="VPBody"/>
              <w:spacing w:before="0" w:after="60"/>
              <w:rPr>
                <w:szCs w:val="24"/>
              </w:rPr>
            </w:pPr>
            <w:r w:rsidRPr="00FF0C61">
              <w:rPr>
                <w:szCs w:val="24"/>
              </w:rPr>
              <w:lastRenderedPageBreak/>
              <w:t>2 310 l degviela x 1,05 EUR = 2 425 EUR</w:t>
            </w:r>
          </w:p>
          <w:p w14:paraId="7F44265E" w14:textId="77777777" w:rsidR="00EB257E" w:rsidRDefault="00EB257E" w:rsidP="00FF0C61">
            <w:pPr>
              <w:pStyle w:val="VPBody"/>
              <w:spacing w:before="0" w:after="60"/>
              <w:rPr>
                <w:szCs w:val="24"/>
              </w:rPr>
            </w:pPr>
            <w:r w:rsidRPr="00FF0C61">
              <w:rPr>
                <w:szCs w:val="24"/>
              </w:rPr>
              <w:t>Summējot darbaspēka izmaksas un degvielas izmaksas ( 15 846 EUR + 2 425 EUR = 18 272 EUR) komersantiem iespējams aptuveni 18 000 EUR ietaupījums gadā.</w:t>
            </w:r>
          </w:p>
          <w:p w14:paraId="7480E27A" w14:textId="77777777" w:rsidR="00E62062" w:rsidRPr="00FF0C61" w:rsidRDefault="00E62062" w:rsidP="00E62062">
            <w:pPr>
              <w:pStyle w:val="VPBody"/>
              <w:spacing w:before="0" w:after="60"/>
              <w:rPr>
                <w:szCs w:val="24"/>
              </w:rPr>
            </w:pPr>
            <w:r w:rsidRPr="00E62062">
              <w:rPr>
                <w:szCs w:val="24"/>
              </w:rPr>
              <w:t>Ieguvums tiek prognozēts sākot no 20</w:t>
            </w:r>
            <w:r>
              <w:rPr>
                <w:szCs w:val="24"/>
              </w:rPr>
              <w:t>19.gada, t.i.</w:t>
            </w:r>
            <w:r w:rsidR="0008388C">
              <w:rPr>
                <w:szCs w:val="24"/>
              </w:rPr>
              <w:t>,</w:t>
            </w:r>
            <w:r>
              <w:rPr>
                <w:szCs w:val="24"/>
              </w:rPr>
              <w:t xml:space="preserve"> 14 gadi x 18 000 </w:t>
            </w:r>
            <w:r w:rsidRPr="00E62062">
              <w:rPr>
                <w:szCs w:val="24"/>
              </w:rPr>
              <w:t xml:space="preserve">EUR = </w:t>
            </w:r>
            <w:r>
              <w:rPr>
                <w:szCs w:val="24"/>
              </w:rPr>
              <w:t xml:space="preserve">252 000 </w:t>
            </w:r>
            <w:r w:rsidRPr="00E62062">
              <w:rPr>
                <w:szCs w:val="24"/>
              </w:rPr>
              <w:t>EUR projekta dzīves ciklā.</w:t>
            </w:r>
          </w:p>
        </w:tc>
      </w:tr>
      <w:tr w:rsidR="00EB257E" w:rsidRPr="00FF0C61" w14:paraId="6D34D9F3" w14:textId="77777777" w:rsidTr="00CE4BB6">
        <w:tc>
          <w:tcPr>
            <w:tcW w:w="5837" w:type="dxa"/>
          </w:tcPr>
          <w:p w14:paraId="53E9B216" w14:textId="77777777" w:rsidR="00EB257E" w:rsidRPr="00B0112C" w:rsidRDefault="00EB257E" w:rsidP="00FF0C61">
            <w:pPr>
              <w:pStyle w:val="VPBody"/>
              <w:spacing w:before="0" w:after="60"/>
              <w:rPr>
                <w:szCs w:val="24"/>
              </w:rPr>
            </w:pPr>
            <w:r w:rsidRPr="00B0112C">
              <w:rPr>
                <w:szCs w:val="24"/>
              </w:rPr>
              <w:lastRenderedPageBreak/>
              <w:t>Komersantu izmaksu ietaupījums, elektronizējot preču pārvietošanu starp pagaidu uzglabāšanas vietām</w:t>
            </w:r>
          </w:p>
        </w:tc>
        <w:tc>
          <w:tcPr>
            <w:tcW w:w="2097" w:type="dxa"/>
          </w:tcPr>
          <w:p w14:paraId="4761DFF1" w14:textId="77777777" w:rsidR="00EB257E" w:rsidRPr="00943C9B" w:rsidRDefault="00EB257E" w:rsidP="00FF0C61">
            <w:pPr>
              <w:pStyle w:val="VPBody"/>
              <w:spacing w:before="0" w:after="60"/>
              <w:rPr>
                <w:szCs w:val="24"/>
              </w:rPr>
            </w:pPr>
            <w:r w:rsidRPr="00943C9B">
              <w:rPr>
                <w:szCs w:val="24"/>
              </w:rPr>
              <w:t>146 000 EUR gadā</w:t>
            </w:r>
          </w:p>
        </w:tc>
        <w:tc>
          <w:tcPr>
            <w:tcW w:w="6342" w:type="dxa"/>
          </w:tcPr>
          <w:p w14:paraId="10D8F440" w14:textId="77777777" w:rsidR="00EB257E" w:rsidRPr="00FF0C61" w:rsidRDefault="00EB257E" w:rsidP="00FF0C61">
            <w:pPr>
              <w:pStyle w:val="VPBody"/>
              <w:spacing w:before="0" w:after="60"/>
              <w:rPr>
                <w:szCs w:val="24"/>
              </w:rPr>
            </w:pPr>
            <w:r w:rsidRPr="00943C9B">
              <w:rPr>
                <w:szCs w:val="24"/>
              </w:rPr>
              <w:t>Šobrīd, lai pagaidu uzglabāšanā novietotās preces pārvestu uz citu pagaidu uzglabāšanas vietu, ir jāformē tranzīta deklarācija. Šobrīd preču pārvietošanai starp pagaidu uzglabāšanas vietām vidēji tiek noformētas 10 tranzīta deklarācijas dienā. Izmantojot ārpakalpojumu sniedzēju pakalpoju</w:t>
            </w:r>
            <w:r w:rsidRPr="00FF0C61">
              <w:rPr>
                <w:szCs w:val="24"/>
              </w:rPr>
              <w:t xml:space="preserve">mus, tranzīta deklarācijas noformēšana vidēji izmaksā 40 EUR. </w:t>
            </w:r>
          </w:p>
          <w:p w14:paraId="6E1EEA9A" w14:textId="77777777" w:rsidR="00EB257E" w:rsidRPr="00FF0C61" w:rsidRDefault="00EB257E" w:rsidP="00FF0C61">
            <w:pPr>
              <w:pStyle w:val="VPBody"/>
              <w:spacing w:before="0" w:after="60"/>
              <w:rPr>
                <w:szCs w:val="24"/>
              </w:rPr>
            </w:pPr>
            <w:r w:rsidRPr="00FF0C61">
              <w:rPr>
                <w:szCs w:val="24"/>
              </w:rPr>
              <w:t>Savukārt, izstrādājot iespēju pārvietot preces no vienas pagaidu uzglabāšanas vietas uz citu bez tranzīta deklarācijas formēšanas, uzņēmējiem tiek radīta iespēja ietaupīt līdz 146 000 EUR gadā.</w:t>
            </w:r>
          </w:p>
          <w:p w14:paraId="331B0E5B" w14:textId="77777777" w:rsidR="00EB257E" w:rsidRDefault="00EB257E" w:rsidP="00FF0C61">
            <w:pPr>
              <w:pStyle w:val="VPBody"/>
              <w:spacing w:before="0" w:after="60"/>
              <w:rPr>
                <w:szCs w:val="24"/>
              </w:rPr>
            </w:pPr>
            <w:r w:rsidRPr="00FF0C61">
              <w:rPr>
                <w:szCs w:val="24"/>
              </w:rPr>
              <w:t>10 deklarācijas x 365 dienas x 40 EUR = 146 000 EUR.</w:t>
            </w:r>
          </w:p>
          <w:p w14:paraId="30028F01" w14:textId="77777777" w:rsidR="00E62062" w:rsidRPr="00FF0C61" w:rsidRDefault="00E62062" w:rsidP="008C4CF9">
            <w:pPr>
              <w:pStyle w:val="VPBody"/>
              <w:spacing w:before="0" w:after="60"/>
              <w:rPr>
                <w:szCs w:val="24"/>
              </w:rPr>
            </w:pPr>
            <w:r>
              <w:rPr>
                <w:szCs w:val="24"/>
              </w:rPr>
              <w:t xml:space="preserve">Ieguvums tiek prognozēts sākot no 2019.gada, t.i. 14 gadi x </w:t>
            </w:r>
            <w:r w:rsidR="008C4CF9">
              <w:rPr>
                <w:szCs w:val="24"/>
              </w:rPr>
              <w:t>146</w:t>
            </w:r>
            <w:r>
              <w:rPr>
                <w:szCs w:val="24"/>
              </w:rPr>
              <w:t xml:space="preserve"> 000 EUR = </w:t>
            </w:r>
            <w:r w:rsidR="008C4CF9">
              <w:rPr>
                <w:szCs w:val="24"/>
              </w:rPr>
              <w:t>2</w:t>
            </w:r>
            <w:r>
              <w:rPr>
                <w:szCs w:val="24"/>
              </w:rPr>
              <w:t> </w:t>
            </w:r>
            <w:r w:rsidR="008C4CF9">
              <w:rPr>
                <w:szCs w:val="24"/>
              </w:rPr>
              <w:t>044</w:t>
            </w:r>
            <w:r>
              <w:rPr>
                <w:szCs w:val="24"/>
              </w:rPr>
              <w:t> 000 EUR projekta dzīves ciklā.</w:t>
            </w:r>
          </w:p>
        </w:tc>
      </w:tr>
    </w:tbl>
    <w:p w14:paraId="1F9A2F26" w14:textId="77777777" w:rsidR="00ED1F9C" w:rsidRPr="005B6906" w:rsidRDefault="00ED1F9C" w:rsidP="00EB257E">
      <w:pPr>
        <w:pStyle w:val="VPBody"/>
        <w:spacing w:before="0" w:after="0"/>
        <w:rPr>
          <w:rFonts w:eastAsia="Times New Roman"/>
          <w:szCs w:val="24"/>
          <w:lang w:eastAsia="lv-LV"/>
        </w:rPr>
      </w:pPr>
    </w:p>
    <w:p w14:paraId="5AF07FA2" w14:textId="77777777" w:rsidR="00E9724C" w:rsidRPr="00E9724C" w:rsidRDefault="00E9724C" w:rsidP="00E9724C">
      <w:pPr>
        <w:spacing w:before="0" w:after="0"/>
        <w:ind w:right="-1"/>
        <w:jc w:val="both"/>
        <w:rPr>
          <w:rFonts w:ascii="Times New Roman" w:hAnsi="Times New Roman"/>
          <w:sz w:val="24"/>
          <w:szCs w:val="24"/>
        </w:rPr>
      </w:pPr>
      <w:r w:rsidRPr="00E9724C">
        <w:rPr>
          <w:rFonts w:ascii="Times New Roman" w:hAnsi="Times New Roman"/>
          <w:sz w:val="24"/>
          <w:szCs w:val="24"/>
        </w:rPr>
        <w:t xml:space="preserve">Vides aizsardzības un reģionālās attīstības </w:t>
      </w:r>
    </w:p>
    <w:p w14:paraId="575D4ABC" w14:textId="77777777" w:rsidR="00E9724C" w:rsidRPr="00E9724C" w:rsidRDefault="00E9724C" w:rsidP="00E9724C">
      <w:pPr>
        <w:spacing w:before="0" w:after="0"/>
        <w:ind w:right="-1"/>
        <w:jc w:val="both"/>
        <w:rPr>
          <w:rFonts w:ascii="Times New Roman" w:hAnsi="Times New Roman"/>
          <w:sz w:val="24"/>
          <w:szCs w:val="24"/>
        </w:rPr>
      </w:pPr>
      <w:r w:rsidRPr="00E9724C">
        <w:rPr>
          <w:rFonts w:ascii="Times New Roman" w:hAnsi="Times New Roman"/>
          <w:sz w:val="24"/>
          <w:szCs w:val="24"/>
        </w:rPr>
        <w:t xml:space="preserve">ministra vietā – </w:t>
      </w:r>
    </w:p>
    <w:p w14:paraId="3108E2D1" w14:textId="7E10C6B4" w:rsidR="00E9724C" w:rsidRPr="00E9724C" w:rsidRDefault="00E9724C" w:rsidP="00E9724C">
      <w:pPr>
        <w:spacing w:before="0" w:after="0"/>
        <w:ind w:right="-1"/>
        <w:jc w:val="both"/>
        <w:rPr>
          <w:rFonts w:ascii="Times New Roman" w:hAnsi="Times New Roman"/>
          <w:sz w:val="24"/>
          <w:szCs w:val="24"/>
        </w:rPr>
      </w:pPr>
      <w:r w:rsidRPr="00E9724C">
        <w:rPr>
          <w:rFonts w:ascii="Times New Roman" w:hAnsi="Times New Roman"/>
          <w:sz w:val="24"/>
          <w:szCs w:val="24"/>
        </w:rPr>
        <w:t xml:space="preserve">Izglītības un zinātnes ministrs                                                    </w:t>
      </w:r>
      <w:r w:rsidR="002C0553">
        <w:rPr>
          <w:rFonts w:ascii="Times New Roman" w:hAnsi="Times New Roman"/>
          <w:sz w:val="24"/>
          <w:szCs w:val="24"/>
        </w:rPr>
        <w:t xml:space="preserve">                        </w:t>
      </w:r>
      <w:r w:rsidR="00CF6096">
        <w:rPr>
          <w:rFonts w:ascii="Times New Roman" w:hAnsi="Times New Roman"/>
          <w:sz w:val="24"/>
          <w:szCs w:val="24"/>
        </w:rPr>
        <w:t xml:space="preserve">     </w:t>
      </w:r>
      <w:bookmarkStart w:id="3" w:name="_GoBack"/>
      <w:bookmarkEnd w:id="3"/>
      <w:proofErr w:type="spellStart"/>
      <w:r w:rsidRPr="00E9724C">
        <w:rPr>
          <w:rFonts w:ascii="Times New Roman" w:hAnsi="Times New Roman"/>
          <w:sz w:val="24"/>
          <w:szCs w:val="24"/>
        </w:rPr>
        <w:t>K</w:t>
      </w:r>
      <w:r w:rsidR="00CF6096">
        <w:rPr>
          <w:rFonts w:ascii="Times New Roman" w:hAnsi="Times New Roman"/>
          <w:sz w:val="24"/>
          <w:szCs w:val="24"/>
        </w:rPr>
        <w:t>.</w:t>
      </w:r>
      <w:r w:rsidRPr="00E9724C">
        <w:rPr>
          <w:rFonts w:ascii="Times New Roman" w:hAnsi="Times New Roman"/>
          <w:sz w:val="24"/>
          <w:szCs w:val="24"/>
        </w:rPr>
        <w:t>Šadurskis</w:t>
      </w:r>
      <w:proofErr w:type="spellEnd"/>
      <w:r w:rsidRPr="00E9724C">
        <w:rPr>
          <w:rFonts w:ascii="Times New Roman" w:hAnsi="Times New Roman"/>
          <w:sz w:val="24"/>
          <w:szCs w:val="24"/>
        </w:rPr>
        <w:t xml:space="preserve">    </w:t>
      </w:r>
    </w:p>
    <w:p w14:paraId="2B73AEB1" w14:textId="4F63DDE3" w:rsidR="00606402" w:rsidRPr="005B6906" w:rsidRDefault="00E9724C"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00188E1" w14:textId="77777777" w:rsidR="00606402" w:rsidRPr="005B6906"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Vīza:</w:t>
      </w:r>
    </w:p>
    <w:p w14:paraId="25ECEBA4" w14:textId="729CA271" w:rsidR="00606402" w:rsidRDefault="0000256E"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606402" w:rsidRPr="005B6906">
        <w:rPr>
          <w:rFonts w:ascii="Times New Roman" w:eastAsia="Times New Roman" w:hAnsi="Times New Roman" w:cs="Times New Roman"/>
          <w:sz w:val="24"/>
          <w:szCs w:val="24"/>
          <w:lang w:eastAsia="lv-LV"/>
        </w:rPr>
        <w:t>alsts sekretārs</w:t>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606402" w:rsidRPr="005B6906">
        <w:rPr>
          <w:rFonts w:ascii="Times New Roman" w:eastAsia="Times New Roman" w:hAnsi="Times New Roman" w:cs="Times New Roman"/>
          <w:sz w:val="24"/>
          <w:szCs w:val="24"/>
          <w:lang w:eastAsia="lv-LV"/>
        </w:rPr>
        <w:tab/>
      </w:r>
      <w:r w:rsidR="00E9724C">
        <w:rPr>
          <w:rFonts w:ascii="Times New Roman" w:eastAsia="Times New Roman" w:hAnsi="Times New Roman" w:cs="Times New Roman"/>
          <w:sz w:val="24"/>
          <w:szCs w:val="24"/>
          <w:lang w:eastAsia="lv-LV"/>
        </w:rPr>
        <w:t xml:space="preserve">     </w:t>
      </w:r>
      <w:r w:rsidR="00CF6096">
        <w:rPr>
          <w:rFonts w:ascii="Times New Roman" w:eastAsia="Times New Roman" w:hAnsi="Times New Roman" w:cs="Times New Roman"/>
          <w:sz w:val="24"/>
          <w:szCs w:val="24"/>
          <w:lang w:eastAsia="lv-LV"/>
        </w:rPr>
        <w:t xml:space="preserve">    </w:t>
      </w:r>
      <w:r w:rsidR="00606402" w:rsidRPr="005B6906">
        <w:rPr>
          <w:rFonts w:ascii="Times New Roman" w:eastAsia="Times New Roman" w:hAnsi="Times New Roman" w:cs="Times New Roman"/>
          <w:sz w:val="24"/>
          <w:szCs w:val="24"/>
          <w:lang w:eastAsia="lv-LV"/>
        </w:rPr>
        <w:t>R</w:t>
      </w:r>
      <w:r w:rsidR="00CF6096">
        <w:rPr>
          <w:rFonts w:ascii="Times New Roman" w:eastAsia="Times New Roman" w:hAnsi="Times New Roman" w:cs="Times New Roman"/>
          <w:sz w:val="24"/>
          <w:szCs w:val="24"/>
          <w:lang w:eastAsia="lv-LV"/>
        </w:rPr>
        <w:t>.</w:t>
      </w:r>
      <w:r w:rsidR="00606402" w:rsidRPr="005B6906">
        <w:rPr>
          <w:rFonts w:ascii="Times New Roman" w:eastAsia="Times New Roman" w:hAnsi="Times New Roman" w:cs="Times New Roman"/>
          <w:sz w:val="24"/>
          <w:szCs w:val="24"/>
          <w:lang w:eastAsia="lv-LV"/>
        </w:rPr>
        <w:t>Muciņš</w:t>
      </w:r>
    </w:p>
    <w:p w14:paraId="0D18CC7F" w14:textId="77777777" w:rsidR="007C035E" w:rsidRPr="005B6906" w:rsidRDefault="007C035E"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14:paraId="0B69D66B" w14:textId="298221EE" w:rsidR="00606402" w:rsidRPr="00AE016C" w:rsidRDefault="00532F78" w:rsidP="00606402">
      <w:pPr>
        <w:spacing w:before="0" w:after="0"/>
        <w:jc w:val="both"/>
        <w:rPr>
          <w:rFonts w:ascii="Times New Roman" w:eastAsia="Times New Roman" w:hAnsi="Times New Roman" w:cs="Times New Roman"/>
          <w:sz w:val="20"/>
          <w:szCs w:val="20"/>
        </w:rPr>
      </w:pPr>
      <w:r w:rsidRPr="00AE016C">
        <w:rPr>
          <w:rFonts w:ascii="Times New Roman" w:eastAsia="Times New Roman" w:hAnsi="Times New Roman" w:cs="Times New Roman"/>
          <w:sz w:val="20"/>
          <w:szCs w:val="20"/>
        </w:rPr>
        <w:fldChar w:fldCharType="begin"/>
      </w:r>
      <w:r w:rsidR="00606402" w:rsidRPr="00AE016C">
        <w:rPr>
          <w:rFonts w:ascii="Times New Roman" w:eastAsia="Times New Roman" w:hAnsi="Times New Roman" w:cs="Times New Roman"/>
          <w:sz w:val="20"/>
          <w:szCs w:val="20"/>
        </w:rPr>
        <w:instrText xml:space="preserve"> DATE  \@ "dd.MM.yyyy. H:mm"  \* MERGEFORMAT </w:instrText>
      </w:r>
      <w:r w:rsidRPr="00AE016C">
        <w:rPr>
          <w:rFonts w:ascii="Times New Roman" w:eastAsia="Times New Roman" w:hAnsi="Times New Roman" w:cs="Times New Roman"/>
          <w:sz w:val="20"/>
          <w:szCs w:val="20"/>
        </w:rPr>
        <w:fldChar w:fldCharType="separate"/>
      </w:r>
      <w:r w:rsidR="00CF6096">
        <w:rPr>
          <w:rFonts w:ascii="Times New Roman" w:eastAsia="Times New Roman" w:hAnsi="Times New Roman" w:cs="Times New Roman"/>
          <w:noProof/>
          <w:sz w:val="20"/>
          <w:szCs w:val="20"/>
        </w:rPr>
        <w:t>04.01.2017. 14:22</w:t>
      </w:r>
      <w:r w:rsidRPr="00AE016C">
        <w:rPr>
          <w:rFonts w:ascii="Times New Roman" w:eastAsia="Times New Roman" w:hAnsi="Times New Roman" w:cs="Times New Roman"/>
          <w:sz w:val="20"/>
          <w:szCs w:val="20"/>
        </w:rPr>
        <w:fldChar w:fldCharType="end"/>
      </w:r>
    </w:p>
    <w:p w14:paraId="765375C6" w14:textId="3B227047" w:rsidR="00561319" w:rsidRPr="007C035E" w:rsidRDefault="00FF0C61" w:rsidP="00561319">
      <w:pPr>
        <w:tabs>
          <w:tab w:val="left" w:pos="3750"/>
          <w:tab w:val="center" w:pos="4535"/>
        </w:tabs>
        <w:spacing w:before="0" w:after="0"/>
        <w:jc w:val="both"/>
        <w:rPr>
          <w:rFonts w:ascii="Times New Roman" w:eastAsia="Times New Roman" w:hAnsi="Times New Roman" w:cs="Times New Roman"/>
          <w:sz w:val="20"/>
          <w:szCs w:val="20"/>
        </w:rPr>
      </w:pPr>
      <w:r w:rsidRPr="004942AA">
        <w:rPr>
          <w:rFonts w:ascii="Times New Roman" w:eastAsia="Times New Roman" w:hAnsi="Times New Roman" w:cs="Times New Roman"/>
          <w:sz w:val="20"/>
          <w:szCs w:val="20"/>
        </w:rPr>
        <w:t>2</w:t>
      </w:r>
      <w:r w:rsidR="002C0553">
        <w:rPr>
          <w:rFonts w:ascii="Times New Roman" w:eastAsia="Times New Roman" w:hAnsi="Times New Roman" w:cs="Times New Roman"/>
          <w:sz w:val="20"/>
          <w:szCs w:val="20"/>
        </w:rPr>
        <w:t>506</w:t>
      </w:r>
    </w:p>
    <w:p w14:paraId="7ADA21E4" w14:textId="77777777" w:rsidR="00C04020" w:rsidRPr="007C035E" w:rsidRDefault="00C04020" w:rsidP="00C04020">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Vides aizsardzības un reģionālās attīstības ministrijas</w:t>
      </w:r>
    </w:p>
    <w:p w14:paraId="1D531680" w14:textId="77777777" w:rsidR="00C04020" w:rsidRPr="007C035E" w:rsidRDefault="007D08F6" w:rsidP="00C04020">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Elektroniskās pārvaldes</w:t>
      </w:r>
      <w:r w:rsidR="00C04020" w:rsidRPr="007C035E">
        <w:rPr>
          <w:rFonts w:ascii="Times New Roman" w:eastAsia="Times New Roman" w:hAnsi="Times New Roman" w:cs="Times New Roman"/>
          <w:sz w:val="20"/>
          <w:szCs w:val="20"/>
          <w:lang w:eastAsia="lv-LV"/>
        </w:rPr>
        <w:t xml:space="preserve"> departamenta</w:t>
      </w:r>
      <w:r w:rsidR="006F08BA">
        <w:rPr>
          <w:rFonts w:ascii="Times New Roman" w:eastAsia="Times New Roman" w:hAnsi="Times New Roman" w:cs="Times New Roman"/>
          <w:sz w:val="20"/>
          <w:szCs w:val="20"/>
          <w:lang w:eastAsia="lv-LV"/>
        </w:rPr>
        <w:t xml:space="preserve"> </w:t>
      </w:r>
    </w:p>
    <w:p w14:paraId="1792EAEB" w14:textId="77777777" w:rsidR="00C04020" w:rsidRPr="007C035E" w:rsidRDefault="00C04020" w:rsidP="00C04020">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Informācijas sistēmu arhitektūras nodaļas</w:t>
      </w:r>
    </w:p>
    <w:p w14:paraId="7A4AF89B" w14:textId="77777777" w:rsidR="00C04020" w:rsidRPr="007C035E" w:rsidRDefault="00C04020" w:rsidP="00C04020">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vecākā konsultante</w:t>
      </w:r>
    </w:p>
    <w:p w14:paraId="29305E34" w14:textId="77777777" w:rsidR="00C04020" w:rsidRPr="007C035E" w:rsidRDefault="00C04020" w:rsidP="00C04020">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Vineta Brūvere</w:t>
      </w:r>
    </w:p>
    <w:p w14:paraId="2B58738C" w14:textId="748173A2" w:rsidR="00C04020" w:rsidRPr="007C035E" w:rsidRDefault="00C04020" w:rsidP="00C04020">
      <w:pPr>
        <w:spacing w:before="0" w:after="0"/>
        <w:rPr>
          <w:rStyle w:val="Hyperlink"/>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 xml:space="preserve">67026575, </w:t>
      </w:r>
      <w:hyperlink r:id="rId10" w:history="1">
        <w:r w:rsidRPr="007C035E">
          <w:rPr>
            <w:rStyle w:val="Hyperlink"/>
            <w:rFonts w:ascii="Times New Roman" w:eastAsia="Times New Roman" w:hAnsi="Times New Roman" w:cs="Times New Roman"/>
            <w:sz w:val="20"/>
            <w:szCs w:val="20"/>
            <w:lang w:eastAsia="lv-LV"/>
          </w:rPr>
          <w:t>vineta.bruvere@varam.gov.lv</w:t>
        </w:r>
      </w:hyperlink>
      <w:r w:rsidR="00FF0C61" w:rsidRPr="007C035E">
        <w:rPr>
          <w:rStyle w:val="Hyperlink"/>
          <w:rFonts w:ascii="Times New Roman" w:eastAsia="Times New Roman" w:hAnsi="Times New Roman" w:cs="Times New Roman"/>
          <w:sz w:val="20"/>
          <w:szCs w:val="20"/>
          <w:lang w:eastAsia="lv-LV"/>
        </w:rPr>
        <w:t xml:space="preserve"> </w:t>
      </w:r>
    </w:p>
    <w:p w14:paraId="1929EE6A" w14:textId="77777777" w:rsidR="00C7790A" w:rsidRPr="007C035E" w:rsidRDefault="00C7790A" w:rsidP="00C7790A">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lastRenderedPageBreak/>
        <w:t xml:space="preserve">Valsts </w:t>
      </w:r>
      <w:r w:rsidR="00871518" w:rsidRPr="007C035E">
        <w:rPr>
          <w:rFonts w:ascii="Times New Roman" w:eastAsia="Times New Roman" w:hAnsi="Times New Roman" w:cs="Times New Roman"/>
          <w:sz w:val="20"/>
          <w:szCs w:val="20"/>
          <w:lang w:eastAsia="lv-LV"/>
        </w:rPr>
        <w:t>ieņēmumu dienesta</w:t>
      </w:r>
    </w:p>
    <w:p w14:paraId="78AC290D" w14:textId="77777777" w:rsidR="009F4406" w:rsidRPr="007C035E" w:rsidRDefault="009F4406" w:rsidP="009F4406">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 xml:space="preserve">Muitas pārvaldes </w:t>
      </w:r>
    </w:p>
    <w:p w14:paraId="7FAFE209" w14:textId="77777777" w:rsidR="009F4406" w:rsidRPr="007C035E" w:rsidRDefault="009F4406" w:rsidP="009F4406">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 xml:space="preserve">E-muitas daļas E-muitas attīstības nodaļas </w:t>
      </w:r>
    </w:p>
    <w:p w14:paraId="197F7F77" w14:textId="77777777" w:rsidR="009F4406" w:rsidRPr="007C035E" w:rsidRDefault="009F4406" w:rsidP="009F4406">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vecākā muitas eksperte</w:t>
      </w:r>
    </w:p>
    <w:p w14:paraId="4B49A603" w14:textId="77777777" w:rsidR="00C7790A" w:rsidRPr="007C035E" w:rsidRDefault="00871518" w:rsidP="00C7790A">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Daiga Uzaite</w:t>
      </w:r>
    </w:p>
    <w:p w14:paraId="63729A41" w14:textId="77777777" w:rsidR="00C7790A" w:rsidRPr="007C035E" w:rsidRDefault="00871518" w:rsidP="00C7790A">
      <w:pPr>
        <w:spacing w:before="0" w:after="0"/>
        <w:rPr>
          <w:rFonts w:ascii="Times New Roman" w:eastAsia="Times New Roman" w:hAnsi="Times New Roman" w:cs="Times New Roman"/>
          <w:sz w:val="20"/>
          <w:szCs w:val="20"/>
          <w:lang w:eastAsia="lv-LV"/>
        </w:rPr>
      </w:pPr>
      <w:r w:rsidRPr="007C035E">
        <w:rPr>
          <w:rFonts w:ascii="Times New Roman" w:eastAsia="Times New Roman" w:hAnsi="Times New Roman" w:cs="Times New Roman"/>
          <w:sz w:val="20"/>
          <w:szCs w:val="20"/>
          <w:lang w:eastAsia="lv-LV"/>
        </w:rPr>
        <w:t>67120814</w:t>
      </w:r>
      <w:r w:rsidR="00C7790A" w:rsidRPr="007C035E">
        <w:rPr>
          <w:rFonts w:ascii="Times New Roman" w:eastAsia="Times New Roman" w:hAnsi="Times New Roman" w:cs="Times New Roman"/>
          <w:sz w:val="20"/>
          <w:szCs w:val="20"/>
          <w:lang w:eastAsia="lv-LV"/>
        </w:rPr>
        <w:t xml:space="preserve">, </w:t>
      </w:r>
    </w:p>
    <w:p w14:paraId="3E948F4C" w14:textId="77777777" w:rsidR="00C04020" w:rsidRPr="007C035E" w:rsidRDefault="00CF6096" w:rsidP="006A002C">
      <w:pPr>
        <w:spacing w:before="0" w:after="0"/>
        <w:rPr>
          <w:rStyle w:val="Hyperlink"/>
          <w:rFonts w:eastAsia="Times New Roman"/>
          <w:sz w:val="20"/>
          <w:szCs w:val="20"/>
          <w:lang w:eastAsia="lv-LV"/>
        </w:rPr>
      </w:pPr>
      <w:hyperlink r:id="rId11" w:history="1">
        <w:r w:rsidR="00871518" w:rsidRPr="007C035E">
          <w:rPr>
            <w:rStyle w:val="Hyperlink"/>
            <w:rFonts w:ascii="Times New Roman" w:eastAsia="Times New Roman" w:hAnsi="Times New Roman" w:cs="Times New Roman"/>
            <w:sz w:val="20"/>
            <w:szCs w:val="20"/>
            <w:lang w:eastAsia="lv-LV"/>
          </w:rPr>
          <w:t>daiga.uzaite@vid.gov.lv</w:t>
        </w:r>
      </w:hyperlink>
      <w:r w:rsidR="00FF0C61" w:rsidRPr="007C035E">
        <w:rPr>
          <w:rStyle w:val="Hyperlink"/>
          <w:rFonts w:ascii="Times New Roman" w:eastAsia="Times New Roman" w:hAnsi="Times New Roman" w:cs="Times New Roman"/>
          <w:sz w:val="20"/>
          <w:szCs w:val="20"/>
          <w:lang w:eastAsia="lv-LV"/>
        </w:rPr>
        <w:t xml:space="preserve"> </w:t>
      </w:r>
    </w:p>
    <w:sectPr w:rsidR="00C04020" w:rsidRPr="007C035E" w:rsidSect="00E36A8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F606D" w15:done="0"/>
  <w15:commentEx w15:paraId="5652FAAE" w15:done="0"/>
  <w15:commentEx w15:paraId="4867D12F" w15:done="0"/>
  <w15:commentEx w15:paraId="51D0C819" w15:done="0"/>
  <w15:commentEx w15:paraId="5199409F" w15:done="0"/>
  <w15:commentEx w15:paraId="7F50EF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46960" w14:textId="77777777" w:rsidR="00116D8B" w:rsidRDefault="00116D8B">
      <w:pPr>
        <w:spacing w:before="0" w:after="0"/>
      </w:pPr>
      <w:r>
        <w:separator/>
      </w:r>
    </w:p>
    <w:p w14:paraId="335B4BFC" w14:textId="77777777" w:rsidR="00116D8B" w:rsidRDefault="00116D8B"/>
  </w:endnote>
  <w:endnote w:type="continuationSeparator" w:id="0">
    <w:p w14:paraId="2E7D6C44" w14:textId="77777777" w:rsidR="00116D8B" w:rsidRDefault="00116D8B">
      <w:pPr>
        <w:spacing w:before="0" w:after="0"/>
      </w:pPr>
      <w:r>
        <w:continuationSeparator/>
      </w:r>
    </w:p>
    <w:p w14:paraId="1CAF4160" w14:textId="77777777" w:rsidR="00116D8B" w:rsidRDefault="00116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6D6E" w14:textId="77777777" w:rsidR="00E36A85" w:rsidRDefault="00E36A85">
    <w:pPr>
      <w:pStyle w:val="Footer"/>
      <w:jc w:val="center"/>
    </w:pPr>
  </w:p>
  <w:p w14:paraId="44150487" w14:textId="08D5A1FD" w:rsidR="00E36A85" w:rsidRPr="00F765AE" w:rsidRDefault="00E36A85" w:rsidP="00E36A85">
    <w:pPr>
      <w:jc w:val="both"/>
      <w:rPr>
        <w:rFonts w:ascii="Times New Roman" w:hAnsi="Times New Roman" w:cs="Times New Roman"/>
        <w:sz w:val="20"/>
        <w:szCs w:val="20"/>
      </w:rPr>
    </w:pPr>
    <w:r w:rsidRPr="0008388C">
      <w:rPr>
        <w:rFonts w:ascii="Times New Roman" w:hAnsi="Times New Roman" w:cs="Times New Roman"/>
        <w:sz w:val="20"/>
        <w:szCs w:val="20"/>
      </w:rPr>
      <w:t>VARAMRikP_</w:t>
    </w:r>
    <w:r w:rsidR="004942AA">
      <w:rPr>
        <w:rFonts w:ascii="Times New Roman" w:hAnsi="Times New Roman" w:cs="Times New Roman"/>
        <w:sz w:val="20"/>
        <w:szCs w:val="20"/>
      </w:rPr>
      <w:t>030117</w:t>
    </w:r>
    <w:r w:rsidRPr="0008388C">
      <w:rPr>
        <w:rFonts w:ascii="Times New Roman" w:hAnsi="Times New Roman" w:cs="Times New Roman"/>
        <w:sz w:val="20"/>
        <w:szCs w:val="20"/>
      </w:rPr>
      <w:t>_MA</w:t>
    </w:r>
    <w:r w:rsidR="00593866" w:rsidRPr="0008388C">
      <w:rPr>
        <w:rFonts w:ascii="Times New Roman" w:hAnsi="Times New Roman" w:cs="Times New Roman"/>
        <w:sz w:val="20"/>
        <w:szCs w:val="20"/>
      </w:rPr>
      <w:t xml:space="preserve"> 8</w:t>
    </w:r>
    <w:r w:rsidRPr="0008388C">
      <w:rPr>
        <w:rFonts w:ascii="Times New Roman" w:hAnsi="Times New Roman" w:cs="Times New Roman"/>
        <w:sz w:val="20"/>
        <w:szCs w:val="20"/>
      </w:rPr>
      <w:t>.0.versija_</w:t>
    </w:r>
    <w:r w:rsidR="00A744B4" w:rsidRPr="0008388C">
      <w:rPr>
        <w:rFonts w:ascii="Times New Roman" w:hAnsi="Times New Roman" w:cs="Times New Roman"/>
        <w:sz w:val="20"/>
        <w:szCs w:val="20"/>
      </w:rPr>
      <w:t xml:space="preserve">VID </w:t>
    </w:r>
    <w:r w:rsidR="00D108C6" w:rsidRPr="0008388C">
      <w:rPr>
        <w:rFonts w:ascii="Times New Roman" w:hAnsi="Times New Roman" w:cs="Times New Roman"/>
        <w:sz w:val="20"/>
        <w:szCs w:val="20"/>
      </w:rPr>
      <w:t>E</w:t>
    </w:r>
    <w:r w:rsidR="00A744B4" w:rsidRPr="0008388C">
      <w:rPr>
        <w:rFonts w:ascii="Times New Roman" w:hAnsi="Times New Roman" w:cs="Times New Roman"/>
        <w:sz w:val="20"/>
        <w:szCs w:val="20"/>
      </w:rPr>
      <w:t>-</w:t>
    </w:r>
    <w:r w:rsidR="00D108C6" w:rsidRPr="0008388C">
      <w:rPr>
        <w:rFonts w:ascii="Times New Roman" w:hAnsi="Times New Roman" w:cs="Times New Roman"/>
        <w:sz w:val="20"/>
        <w:szCs w:val="20"/>
      </w:rPr>
      <w:t>muita</w:t>
    </w:r>
    <w:r w:rsidRPr="0008388C">
      <w:rPr>
        <w:rFonts w:ascii="Times New Roman" w:hAnsi="Times New Roman" w:cs="Times New Roman"/>
        <w:sz w:val="20"/>
        <w:szCs w:val="20"/>
      </w:rPr>
      <w:t>; Ministru kabineta rīkojuma projekts “Par informācijas</w:t>
    </w:r>
    <w:r w:rsidRPr="00EB1B6F">
      <w:rPr>
        <w:rFonts w:ascii="Times New Roman" w:hAnsi="Times New Roman" w:cs="Times New Roman"/>
        <w:sz w:val="20"/>
        <w:szCs w:val="20"/>
      </w:rPr>
      <w:t xml:space="preserve"> sabiedrības attīstības pamatnostādņu ieviešanu publiskās pārvaldes informācijas sistēmu jomā (</w:t>
    </w:r>
    <w:proofErr w:type="spellStart"/>
    <w:r w:rsidRPr="00EB1B6F">
      <w:rPr>
        <w:rFonts w:ascii="Times New Roman" w:hAnsi="Times New Roman" w:cs="Times New Roman"/>
        <w:sz w:val="20"/>
        <w:szCs w:val="20"/>
      </w:rPr>
      <w:t>mērķarhitektūras</w:t>
    </w:r>
    <w:proofErr w:type="spellEnd"/>
    <w:r w:rsidRPr="00EB1B6F">
      <w:rPr>
        <w:rFonts w:ascii="Times New Roman" w:hAnsi="Times New Roman" w:cs="Times New Roman"/>
        <w:sz w:val="20"/>
        <w:szCs w:val="20"/>
      </w:rPr>
      <w:t xml:space="preserve"> </w:t>
    </w:r>
    <w:r w:rsidR="00593866">
      <w:rPr>
        <w:rFonts w:ascii="Times New Roman" w:hAnsi="Times New Roman" w:cs="Times New Roman"/>
        <w:sz w:val="20"/>
        <w:szCs w:val="20"/>
      </w:rPr>
      <w:t>8</w:t>
    </w:r>
    <w:r w:rsidRPr="00EB1B6F">
      <w:rPr>
        <w:rFonts w:ascii="Times New Roman" w:hAnsi="Times New Roman" w:cs="Times New Roman"/>
        <w:sz w:val="20"/>
        <w:szCs w:val="20"/>
      </w:rPr>
      <w:t>.0.versija)</w:t>
    </w:r>
    <w:r w:rsidRPr="00F765AE">
      <w:rPr>
        <w:rFonts w:ascii="Times New Roman" w:hAnsi="Times New Roman" w:cs="Times New Roman"/>
        <w:sz w:val="20"/>
        <w:szCs w:val="20"/>
      </w:rPr>
      <w:t>”</w:t>
    </w:r>
    <w:r w:rsidR="00B03F09">
      <w:rPr>
        <w:rFonts w:ascii="Times New Roman" w:hAnsi="Times New Roman" w:cs="Times New Roman"/>
        <w:sz w:val="20"/>
        <w:szCs w:val="20"/>
      </w:rPr>
      <w:t xml:space="preserve"> pielikums</w:t>
    </w:r>
  </w:p>
  <w:p w14:paraId="755B9AB6" w14:textId="77777777" w:rsidR="00B44C2C" w:rsidRDefault="00B44C2C" w:rsidP="00E36A8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524D" w14:textId="06B42EC5" w:rsidR="00E36A85" w:rsidRPr="00F765AE" w:rsidRDefault="00E36A85" w:rsidP="00E36A85">
    <w:pPr>
      <w:jc w:val="both"/>
      <w:rPr>
        <w:rFonts w:ascii="Times New Roman" w:hAnsi="Times New Roman" w:cs="Times New Roman"/>
        <w:sz w:val="20"/>
        <w:szCs w:val="20"/>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F765AE">
      <w:rPr>
        <w:rFonts w:ascii="Times New Roman" w:hAnsi="Times New Roman" w:cs="Times New Roman"/>
        <w:sz w:val="20"/>
        <w:szCs w:val="20"/>
      </w:rPr>
      <w:t>_</w:t>
    </w:r>
    <w:r w:rsidR="004942AA">
      <w:rPr>
        <w:rFonts w:ascii="Times New Roman" w:hAnsi="Times New Roman" w:cs="Times New Roman"/>
        <w:sz w:val="20"/>
        <w:szCs w:val="20"/>
      </w:rPr>
      <w:t>030117</w:t>
    </w:r>
    <w:r>
      <w:rPr>
        <w:rFonts w:ascii="Times New Roman" w:hAnsi="Times New Roman" w:cs="Times New Roman"/>
        <w:sz w:val="20"/>
        <w:szCs w:val="20"/>
      </w:rPr>
      <w:t>_</w:t>
    </w:r>
    <w:r w:rsidRPr="00F765AE">
      <w:rPr>
        <w:rFonts w:ascii="Times New Roman" w:hAnsi="Times New Roman" w:cs="Times New Roman"/>
        <w:sz w:val="20"/>
        <w:szCs w:val="20"/>
      </w:rPr>
      <w:t>MA</w:t>
    </w:r>
    <w:r>
      <w:rPr>
        <w:rFonts w:ascii="Times New Roman" w:hAnsi="Times New Roman" w:cs="Times New Roman"/>
        <w:sz w:val="20"/>
        <w:szCs w:val="20"/>
      </w:rPr>
      <w:t xml:space="preserve"> </w:t>
    </w:r>
    <w:r w:rsidR="00593866">
      <w:rPr>
        <w:rFonts w:ascii="Times New Roman" w:hAnsi="Times New Roman" w:cs="Times New Roman"/>
        <w:sz w:val="20"/>
        <w:szCs w:val="20"/>
      </w:rPr>
      <w:t>8</w:t>
    </w:r>
    <w:r>
      <w:rPr>
        <w:rFonts w:ascii="Times New Roman" w:hAnsi="Times New Roman" w:cs="Times New Roman"/>
        <w:sz w:val="20"/>
        <w:szCs w:val="20"/>
      </w:rPr>
      <w:t>.0.</w:t>
    </w:r>
    <w:r w:rsidRPr="00F765AE">
      <w:rPr>
        <w:rFonts w:ascii="Times New Roman" w:hAnsi="Times New Roman" w:cs="Times New Roman"/>
        <w:sz w:val="20"/>
        <w:szCs w:val="20"/>
      </w:rPr>
      <w:t>versija_</w:t>
    </w:r>
    <w:r w:rsidR="00A744B4">
      <w:rPr>
        <w:rFonts w:ascii="Times New Roman" w:hAnsi="Times New Roman" w:cs="Times New Roman"/>
        <w:sz w:val="20"/>
        <w:szCs w:val="20"/>
      </w:rPr>
      <w:t xml:space="preserve">VID </w:t>
    </w:r>
    <w:r w:rsidR="00D108C6">
      <w:rPr>
        <w:rFonts w:ascii="Times New Roman" w:hAnsi="Times New Roman" w:cs="Times New Roman"/>
        <w:sz w:val="20"/>
        <w:szCs w:val="20"/>
      </w:rPr>
      <w:t>E</w:t>
    </w:r>
    <w:r w:rsidR="00A744B4">
      <w:rPr>
        <w:rFonts w:ascii="Times New Roman" w:hAnsi="Times New Roman" w:cs="Times New Roman"/>
        <w:sz w:val="20"/>
        <w:szCs w:val="20"/>
      </w:rPr>
      <w:t>-</w:t>
    </w:r>
    <w:r w:rsidR="00D108C6">
      <w:rPr>
        <w:rFonts w:ascii="Times New Roman" w:hAnsi="Times New Roman" w:cs="Times New Roman"/>
        <w:sz w:val="20"/>
        <w:szCs w:val="20"/>
      </w:rPr>
      <w:t>muita</w:t>
    </w:r>
    <w:r w:rsidRPr="00F765AE">
      <w:rPr>
        <w:rFonts w:ascii="Times New Roman" w:hAnsi="Times New Roman" w:cs="Times New Roman"/>
        <w:sz w:val="20"/>
        <w:szCs w:val="20"/>
      </w:rPr>
      <w:t>; Min</w:t>
    </w:r>
    <w:r w:rsidR="00B03F09">
      <w:rPr>
        <w:rFonts w:ascii="Times New Roman" w:hAnsi="Times New Roman" w:cs="Times New Roman"/>
        <w:sz w:val="20"/>
        <w:szCs w:val="20"/>
      </w:rPr>
      <w:t>istru kabineta rīkojuma projekta</w:t>
    </w:r>
    <w:r w:rsidRPr="00F765AE">
      <w:rPr>
        <w:rFonts w:ascii="Times New Roman" w:hAnsi="Times New Roman" w:cs="Times New Roman"/>
        <w:sz w:val="20"/>
        <w:szCs w:val="20"/>
      </w:rPr>
      <w:t xml:space="preserve"> “</w:t>
    </w:r>
    <w:r w:rsidRPr="00EB1B6F">
      <w:rPr>
        <w:rFonts w:ascii="Times New Roman" w:hAnsi="Times New Roman" w:cs="Times New Roman"/>
        <w:sz w:val="20"/>
        <w:szCs w:val="20"/>
      </w:rPr>
      <w:t>Par informācijas sabiedrības attīstības pamatnostādņu ieviešanu publiskās pārvaldes informācijas sistēmu jomā (</w:t>
    </w:r>
    <w:proofErr w:type="spellStart"/>
    <w:r w:rsidRPr="00EB1B6F">
      <w:rPr>
        <w:rFonts w:ascii="Times New Roman" w:hAnsi="Times New Roman" w:cs="Times New Roman"/>
        <w:sz w:val="20"/>
        <w:szCs w:val="20"/>
      </w:rPr>
      <w:t>mērķarhitektūras</w:t>
    </w:r>
    <w:proofErr w:type="spellEnd"/>
    <w:r w:rsidRPr="00EB1B6F">
      <w:rPr>
        <w:rFonts w:ascii="Times New Roman" w:hAnsi="Times New Roman" w:cs="Times New Roman"/>
        <w:sz w:val="20"/>
        <w:szCs w:val="20"/>
      </w:rPr>
      <w:t xml:space="preserve"> </w:t>
    </w:r>
    <w:r w:rsidR="00593866">
      <w:rPr>
        <w:rFonts w:ascii="Times New Roman" w:hAnsi="Times New Roman" w:cs="Times New Roman"/>
        <w:sz w:val="20"/>
        <w:szCs w:val="20"/>
      </w:rPr>
      <w:t>8</w:t>
    </w:r>
    <w:r w:rsidRPr="00EB1B6F">
      <w:rPr>
        <w:rFonts w:ascii="Times New Roman" w:hAnsi="Times New Roman" w:cs="Times New Roman"/>
        <w:sz w:val="20"/>
        <w:szCs w:val="20"/>
      </w:rPr>
      <w:t>.0.versija)</w:t>
    </w:r>
    <w:r w:rsidRPr="00F765AE">
      <w:rPr>
        <w:rFonts w:ascii="Times New Roman" w:hAnsi="Times New Roman" w:cs="Times New Roman"/>
        <w:sz w:val="20"/>
        <w:szCs w:val="20"/>
      </w:rPr>
      <w:t>”</w:t>
    </w:r>
    <w:r w:rsidR="00B03F09">
      <w:rPr>
        <w:rFonts w:ascii="Times New Roman" w:hAnsi="Times New Roman" w:cs="Times New Roman"/>
        <w:sz w:val="20"/>
        <w:szCs w:val="20"/>
      </w:rPr>
      <w:t xml:space="preserve"> pielikums</w:t>
    </w:r>
  </w:p>
  <w:p w14:paraId="1F200846" w14:textId="77777777" w:rsidR="00E36A85" w:rsidRDefault="00E3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1855" w14:textId="77777777" w:rsidR="00116D8B" w:rsidRDefault="00116D8B">
      <w:pPr>
        <w:spacing w:before="0" w:after="0"/>
      </w:pPr>
      <w:r>
        <w:separator/>
      </w:r>
    </w:p>
    <w:p w14:paraId="4A8B584F" w14:textId="77777777" w:rsidR="00116D8B" w:rsidRDefault="00116D8B"/>
  </w:footnote>
  <w:footnote w:type="continuationSeparator" w:id="0">
    <w:p w14:paraId="2CD02559" w14:textId="77777777" w:rsidR="00116D8B" w:rsidRDefault="00116D8B">
      <w:pPr>
        <w:spacing w:before="0" w:after="0"/>
      </w:pPr>
      <w:r>
        <w:continuationSeparator/>
      </w:r>
    </w:p>
    <w:p w14:paraId="48359F26" w14:textId="77777777" w:rsidR="00116D8B" w:rsidRDefault="00116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84271"/>
      <w:docPartObj>
        <w:docPartGallery w:val="Page Numbers (Top of Page)"/>
        <w:docPartUnique/>
      </w:docPartObj>
    </w:sdtPr>
    <w:sdtEndPr>
      <w:rPr>
        <w:noProof/>
      </w:rPr>
    </w:sdtEndPr>
    <w:sdtContent>
      <w:p w14:paraId="7F92AC8F" w14:textId="77777777" w:rsidR="00E36A85" w:rsidRDefault="00532F78">
        <w:pPr>
          <w:pStyle w:val="Header"/>
          <w:jc w:val="center"/>
        </w:pPr>
        <w:r>
          <w:fldChar w:fldCharType="begin"/>
        </w:r>
        <w:r w:rsidR="00E36A85">
          <w:instrText xml:space="preserve"> PAGE   \* MERGEFORMAT </w:instrText>
        </w:r>
        <w:r>
          <w:fldChar w:fldCharType="separate"/>
        </w:r>
        <w:r w:rsidR="00CF6096">
          <w:rPr>
            <w:noProof/>
          </w:rPr>
          <w:t>8</w:t>
        </w:r>
        <w:r>
          <w:rPr>
            <w:noProof/>
          </w:rPr>
          <w:fldChar w:fldCharType="end"/>
        </w:r>
      </w:p>
    </w:sdtContent>
  </w:sdt>
  <w:p w14:paraId="38F2F1A5" w14:textId="77777777" w:rsidR="00E36A85" w:rsidRDefault="00E3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1080C"/>
    <w:multiLevelType w:val="hybridMultilevel"/>
    <w:tmpl w:val="AF8AB1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F91E05"/>
    <w:multiLevelType w:val="hybridMultilevel"/>
    <w:tmpl w:val="D11A7E80"/>
    <w:lvl w:ilvl="0" w:tplc="65E0CA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9B384A"/>
    <w:multiLevelType w:val="hybridMultilevel"/>
    <w:tmpl w:val="37A4E19C"/>
    <w:lvl w:ilvl="0" w:tplc="65E0CA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FF21A8"/>
    <w:multiLevelType w:val="hybridMultilevel"/>
    <w:tmpl w:val="E8A0C6B4"/>
    <w:lvl w:ilvl="0" w:tplc="65E0CA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D64B9"/>
    <w:multiLevelType w:val="hybridMultilevel"/>
    <w:tmpl w:val="87A89F66"/>
    <w:lvl w:ilvl="0" w:tplc="65E0CA3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2B453EB"/>
    <w:multiLevelType w:val="hybridMultilevel"/>
    <w:tmpl w:val="62667F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64706"/>
    <w:multiLevelType w:val="hybridMultilevel"/>
    <w:tmpl w:val="4C70B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D2312"/>
    <w:multiLevelType w:val="hybridMultilevel"/>
    <w:tmpl w:val="51CEA900"/>
    <w:lvl w:ilvl="0" w:tplc="65E0CA3A">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246ED"/>
    <w:multiLevelType w:val="hybridMultilevel"/>
    <w:tmpl w:val="5FD00862"/>
    <w:lvl w:ilvl="0" w:tplc="65E0CA3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5D56FC3"/>
    <w:multiLevelType w:val="hybridMultilevel"/>
    <w:tmpl w:val="B8BCA4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6B2A0904"/>
    <w:multiLevelType w:val="hybridMultilevel"/>
    <w:tmpl w:val="093A3B1E"/>
    <w:lvl w:ilvl="0" w:tplc="B1E07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EE84F6D"/>
    <w:multiLevelType w:val="hybridMultilevel"/>
    <w:tmpl w:val="093A3B1E"/>
    <w:lvl w:ilvl="0" w:tplc="B1E07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15"/>
  </w:num>
  <w:num w:numId="4">
    <w:abstractNumId w:val="7"/>
  </w:num>
  <w:num w:numId="5">
    <w:abstractNumId w:val="22"/>
  </w:num>
  <w:num w:numId="6">
    <w:abstractNumId w:val="1"/>
  </w:num>
  <w:num w:numId="7">
    <w:abstractNumId w:val="13"/>
  </w:num>
  <w:num w:numId="8">
    <w:abstractNumId w:val="21"/>
  </w:num>
  <w:num w:numId="9">
    <w:abstractNumId w:val="0"/>
  </w:num>
  <w:num w:numId="10">
    <w:abstractNumId w:val="23"/>
  </w:num>
  <w:num w:numId="11">
    <w:abstractNumId w:val="16"/>
  </w:num>
  <w:num w:numId="12">
    <w:abstractNumId w:val="11"/>
  </w:num>
  <w:num w:numId="13">
    <w:abstractNumId w:val="2"/>
  </w:num>
  <w:num w:numId="14">
    <w:abstractNumId w:val="20"/>
  </w:num>
  <w:num w:numId="15">
    <w:abstractNumId w:val="24"/>
  </w:num>
  <w:num w:numId="16">
    <w:abstractNumId w:val="9"/>
  </w:num>
  <w:num w:numId="17">
    <w:abstractNumId w:val="10"/>
  </w:num>
  <w:num w:numId="18">
    <w:abstractNumId w:val="19"/>
  </w:num>
  <w:num w:numId="19">
    <w:abstractNumId w:val="12"/>
  </w:num>
  <w:num w:numId="20">
    <w:abstractNumId w:val="8"/>
  </w:num>
  <w:num w:numId="21">
    <w:abstractNumId w:val="4"/>
  </w:num>
  <w:num w:numId="22">
    <w:abstractNumId w:val="6"/>
  </w:num>
  <w:num w:numId="23">
    <w:abstractNumId w:val="17"/>
  </w:num>
  <w:num w:numId="24">
    <w:abstractNumId w:val="5"/>
  </w:num>
  <w:num w:numId="25">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Madars Laurs">
    <w15:presenceInfo w15:providerId="AD" w15:userId="S-1-5-21-1177238915-1417001333-839522115-13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37"/>
    <w:rsid w:val="0000256E"/>
    <w:rsid w:val="000036C0"/>
    <w:rsid w:val="00007399"/>
    <w:rsid w:val="000108E6"/>
    <w:rsid w:val="0001102B"/>
    <w:rsid w:val="000112D0"/>
    <w:rsid w:val="00012979"/>
    <w:rsid w:val="00012A21"/>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70FC2"/>
    <w:rsid w:val="00072DBF"/>
    <w:rsid w:val="000730E5"/>
    <w:rsid w:val="00075382"/>
    <w:rsid w:val="00080F6C"/>
    <w:rsid w:val="00082C0D"/>
    <w:rsid w:val="0008388C"/>
    <w:rsid w:val="00083DB0"/>
    <w:rsid w:val="00085831"/>
    <w:rsid w:val="000877AA"/>
    <w:rsid w:val="0008780E"/>
    <w:rsid w:val="0009115B"/>
    <w:rsid w:val="000934FD"/>
    <w:rsid w:val="00094359"/>
    <w:rsid w:val="00095328"/>
    <w:rsid w:val="00095CD9"/>
    <w:rsid w:val="00097681"/>
    <w:rsid w:val="000A2A69"/>
    <w:rsid w:val="000A3613"/>
    <w:rsid w:val="000A470F"/>
    <w:rsid w:val="000A693B"/>
    <w:rsid w:val="000B0925"/>
    <w:rsid w:val="000B288E"/>
    <w:rsid w:val="000B486B"/>
    <w:rsid w:val="000B49EB"/>
    <w:rsid w:val="000B527B"/>
    <w:rsid w:val="000C1BB0"/>
    <w:rsid w:val="000C7608"/>
    <w:rsid w:val="000C7BB8"/>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6FFF"/>
    <w:rsid w:val="00107C17"/>
    <w:rsid w:val="001113C3"/>
    <w:rsid w:val="0011519A"/>
    <w:rsid w:val="00116D8B"/>
    <w:rsid w:val="00116DD0"/>
    <w:rsid w:val="00120F02"/>
    <w:rsid w:val="00123E23"/>
    <w:rsid w:val="00126967"/>
    <w:rsid w:val="00127F10"/>
    <w:rsid w:val="00134D02"/>
    <w:rsid w:val="00144AD0"/>
    <w:rsid w:val="00144CFA"/>
    <w:rsid w:val="00150CC0"/>
    <w:rsid w:val="0015181B"/>
    <w:rsid w:val="001541D0"/>
    <w:rsid w:val="00160646"/>
    <w:rsid w:val="00162D69"/>
    <w:rsid w:val="00174500"/>
    <w:rsid w:val="00176228"/>
    <w:rsid w:val="00180A79"/>
    <w:rsid w:val="00181405"/>
    <w:rsid w:val="001838A2"/>
    <w:rsid w:val="001846A2"/>
    <w:rsid w:val="001910C4"/>
    <w:rsid w:val="00193142"/>
    <w:rsid w:val="001A14D0"/>
    <w:rsid w:val="001A15E4"/>
    <w:rsid w:val="001B06E3"/>
    <w:rsid w:val="001B07B8"/>
    <w:rsid w:val="001B0ABE"/>
    <w:rsid w:val="001D6FC9"/>
    <w:rsid w:val="001E1923"/>
    <w:rsid w:val="001E30F1"/>
    <w:rsid w:val="001F56B0"/>
    <w:rsid w:val="001F64FC"/>
    <w:rsid w:val="001F651C"/>
    <w:rsid w:val="001F68B9"/>
    <w:rsid w:val="001F72F4"/>
    <w:rsid w:val="00200CA5"/>
    <w:rsid w:val="00204B0B"/>
    <w:rsid w:val="002059E5"/>
    <w:rsid w:val="00205EA6"/>
    <w:rsid w:val="00206E50"/>
    <w:rsid w:val="00210A16"/>
    <w:rsid w:val="00223B41"/>
    <w:rsid w:val="00225299"/>
    <w:rsid w:val="002257E7"/>
    <w:rsid w:val="00230C2E"/>
    <w:rsid w:val="002356EB"/>
    <w:rsid w:val="0024037D"/>
    <w:rsid w:val="00241635"/>
    <w:rsid w:val="00242933"/>
    <w:rsid w:val="002452B8"/>
    <w:rsid w:val="00247F2F"/>
    <w:rsid w:val="00251F63"/>
    <w:rsid w:val="00260FF4"/>
    <w:rsid w:val="0026154B"/>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3EE4"/>
    <w:rsid w:val="002C0553"/>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20C86"/>
    <w:rsid w:val="0032399B"/>
    <w:rsid w:val="00324BF2"/>
    <w:rsid w:val="00335CF7"/>
    <w:rsid w:val="00336DED"/>
    <w:rsid w:val="00345405"/>
    <w:rsid w:val="0034544F"/>
    <w:rsid w:val="00345695"/>
    <w:rsid w:val="00350AC1"/>
    <w:rsid w:val="00351F2B"/>
    <w:rsid w:val="00351F33"/>
    <w:rsid w:val="00356650"/>
    <w:rsid w:val="00357294"/>
    <w:rsid w:val="003618D4"/>
    <w:rsid w:val="003621B8"/>
    <w:rsid w:val="0037098D"/>
    <w:rsid w:val="0037292E"/>
    <w:rsid w:val="003729D1"/>
    <w:rsid w:val="00376128"/>
    <w:rsid w:val="00376E24"/>
    <w:rsid w:val="0037777F"/>
    <w:rsid w:val="003808B2"/>
    <w:rsid w:val="003813A7"/>
    <w:rsid w:val="003819BA"/>
    <w:rsid w:val="00381B4C"/>
    <w:rsid w:val="00381E3F"/>
    <w:rsid w:val="003825E8"/>
    <w:rsid w:val="003862F8"/>
    <w:rsid w:val="00386836"/>
    <w:rsid w:val="0038731B"/>
    <w:rsid w:val="00390FC0"/>
    <w:rsid w:val="00394A0A"/>
    <w:rsid w:val="00397FD9"/>
    <w:rsid w:val="003A05B7"/>
    <w:rsid w:val="003A1574"/>
    <w:rsid w:val="003A1EAB"/>
    <w:rsid w:val="003A2AA0"/>
    <w:rsid w:val="003A3977"/>
    <w:rsid w:val="003A54E1"/>
    <w:rsid w:val="003A68CE"/>
    <w:rsid w:val="003B0778"/>
    <w:rsid w:val="003B07CA"/>
    <w:rsid w:val="003B2BDD"/>
    <w:rsid w:val="003B4660"/>
    <w:rsid w:val="003C2921"/>
    <w:rsid w:val="003C2D51"/>
    <w:rsid w:val="003C7EBE"/>
    <w:rsid w:val="003D08D9"/>
    <w:rsid w:val="003D2194"/>
    <w:rsid w:val="003D45B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349"/>
    <w:rsid w:val="0041043F"/>
    <w:rsid w:val="004109A9"/>
    <w:rsid w:val="0041452A"/>
    <w:rsid w:val="00414FA3"/>
    <w:rsid w:val="0042455A"/>
    <w:rsid w:val="00425165"/>
    <w:rsid w:val="00427855"/>
    <w:rsid w:val="004327CC"/>
    <w:rsid w:val="00433A9E"/>
    <w:rsid w:val="004420DA"/>
    <w:rsid w:val="00445549"/>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42AA"/>
    <w:rsid w:val="0049694A"/>
    <w:rsid w:val="004971A7"/>
    <w:rsid w:val="004A2894"/>
    <w:rsid w:val="004A2E28"/>
    <w:rsid w:val="004A6034"/>
    <w:rsid w:val="004B34FC"/>
    <w:rsid w:val="004B398A"/>
    <w:rsid w:val="004B6857"/>
    <w:rsid w:val="004B6C1D"/>
    <w:rsid w:val="004B72C7"/>
    <w:rsid w:val="004C19F3"/>
    <w:rsid w:val="004C5462"/>
    <w:rsid w:val="004D49FA"/>
    <w:rsid w:val="004E1EDC"/>
    <w:rsid w:val="004E56ED"/>
    <w:rsid w:val="004E78B0"/>
    <w:rsid w:val="004E7ADC"/>
    <w:rsid w:val="004F2A2F"/>
    <w:rsid w:val="00502083"/>
    <w:rsid w:val="00503EC7"/>
    <w:rsid w:val="0050663D"/>
    <w:rsid w:val="00510918"/>
    <w:rsid w:val="00511A27"/>
    <w:rsid w:val="005204C5"/>
    <w:rsid w:val="00521D34"/>
    <w:rsid w:val="005240C7"/>
    <w:rsid w:val="00531FA8"/>
    <w:rsid w:val="00532F78"/>
    <w:rsid w:val="005331FE"/>
    <w:rsid w:val="00533287"/>
    <w:rsid w:val="00535F3B"/>
    <w:rsid w:val="00536C7F"/>
    <w:rsid w:val="00537852"/>
    <w:rsid w:val="00540942"/>
    <w:rsid w:val="005467B6"/>
    <w:rsid w:val="005577E1"/>
    <w:rsid w:val="0055797F"/>
    <w:rsid w:val="00561319"/>
    <w:rsid w:val="00562E57"/>
    <w:rsid w:val="00565560"/>
    <w:rsid w:val="00565584"/>
    <w:rsid w:val="00571E72"/>
    <w:rsid w:val="00575D35"/>
    <w:rsid w:val="005773EA"/>
    <w:rsid w:val="005776DE"/>
    <w:rsid w:val="00581FCB"/>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E01B5"/>
    <w:rsid w:val="005E042E"/>
    <w:rsid w:val="005E1232"/>
    <w:rsid w:val="005E5475"/>
    <w:rsid w:val="005E5834"/>
    <w:rsid w:val="005F135E"/>
    <w:rsid w:val="005F259D"/>
    <w:rsid w:val="00603098"/>
    <w:rsid w:val="00606402"/>
    <w:rsid w:val="0061496D"/>
    <w:rsid w:val="00622860"/>
    <w:rsid w:val="006240CE"/>
    <w:rsid w:val="00627B13"/>
    <w:rsid w:val="00631729"/>
    <w:rsid w:val="00634695"/>
    <w:rsid w:val="00635A8C"/>
    <w:rsid w:val="0064028E"/>
    <w:rsid w:val="006429ED"/>
    <w:rsid w:val="00645C1C"/>
    <w:rsid w:val="006476E9"/>
    <w:rsid w:val="006537A4"/>
    <w:rsid w:val="00654B24"/>
    <w:rsid w:val="00664220"/>
    <w:rsid w:val="00664DE7"/>
    <w:rsid w:val="00665296"/>
    <w:rsid w:val="006656F2"/>
    <w:rsid w:val="00670DB3"/>
    <w:rsid w:val="00674431"/>
    <w:rsid w:val="006779A9"/>
    <w:rsid w:val="006809C0"/>
    <w:rsid w:val="00684DA1"/>
    <w:rsid w:val="00685C8A"/>
    <w:rsid w:val="00687130"/>
    <w:rsid w:val="0069162E"/>
    <w:rsid w:val="006919CE"/>
    <w:rsid w:val="006927BC"/>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2553"/>
    <w:rsid w:val="006C41FB"/>
    <w:rsid w:val="006C4F9F"/>
    <w:rsid w:val="006C54D3"/>
    <w:rsid w:val="006D142A"/>
    <w:rsid w:val="006D3A51"/>
    <w:rsid w:val="006D655B"/>
    <w:rsid w:val="006D7B1F"/>
    <w:rsid w:val="006D7FD2"/>
    <w:rsid w:val="006E5DE1"/>
    <w:rsid w:val="006F08BA"/>
    <w:rsid w:val="006F2DDD"/>
    <w:rsid w:val="006F39B7"/>
    <w:rsid w:val="006F5E34"/>
    <w:rsid w:val="006F61C6"/>
    <w:rsid w:val="006F741A"/>
    <w:rsid w:val="006F78E7"/>
    <w:rsid w:val="0071501F"/>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49F5"/>
    <w:rsid w:val="007451C9"/>
    <w:rsid w:val="00753334"/>
    <w:rsid w:val="0075396B"/>
    <w:rsid w:val="00754A4E"/>
    <w:rsid w:val="00754A6F"/>
    <w:rsid w:val="00754ABB"/>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243C"/>
    <w:rsid w:val="007A5B18"/>
    <w:rsid w:val="007A5B54"/>
    <w:rsid w:val="007A5B69"/>
    <w:rsid w:val="007A61C5"/>
    <w:rsid w:val="007A6440"/>
    <w:rsid w:val="007B086D"/>
    <w:rsid w:val="007B0DF2"/>
    <w:rsid w:val="007B6668"/>
    <w:rsid w:val="007B6C01"/>
    <w:rsid w:val="007C035E"/>
    <w:rsid w:val="007C3FE3"/>
    <w:rsid w:val="007D08F6"/>
    <w:rsid w:val="007D38FD"/>
    <w:rsid w:val="007D54C2"/>
    <w:rsid w:val="007D5E7B"/>
    <w:rsid w:val="007D614E"/>
    <w:rsid w:val="007D75BF"/>
    <w:rsid w:val="007E1FB4"/>
    <w:rsid w:val="007E3621"/>
    <w:rsid w:val="007E3B95"/>
    <w:rsid w:val="007E60A2"/>
    <w:rsid w:val="007F0ACF"/>
    <w:rsid w:val="007F26C8"/>
    <w:rsid w:val="00800298"/>
    <w:rsid w:val="00800DA2"/>
    <w:rsid w:val="00803F2A"/>
    <w:rsid w:val="00816582"/>
    <w:rsid w:val="008222DF"/>
    <w:rsid w:val="0082293A"/>
    <w:rsid w:val="008237F6"/>
    <w:rsid w:val="00830B33"/>
    <w:rsid w:val="00832426"/>
    <w:rsid w:val="0083377A"/>
    <w:rsid w:val="008341E1"/>
    <w:rsid w:val="00834AEC"/>
    <w:rsid w:val="00835050"/>
    <w:rsid w:val="00835149"/>
    <w:rsid w:val="00836E73"/>
    <w:rsid w:val="008375FF"/>
    <w:rsid w:val="00852FB7"/>
    <w:rsid w:val="00854935"/>
    <w:rsid w:val="0085547C"/>
    <w:rsid w:val="008601FF"/>
    <w:rsid w:val="00861E73"/>
    <w:rsid w:val="00871518"/>
    <w:rsid w:val="0087464D"/>
    <w:rsid w:val="008766A6"/>
    <w:rsid w:val="00880D80"/>
    <w:rsid w:val="00883FD9"/>
    <w:rsid w:val="00884E02"/>
    <w:rsid w:val="00892BBB"/>
    <w:rsid w:val="00894B6F"/>
    <w:rsid w:val="00894D70"/>
    <w:rsid w:val="0089742D"/>
    <w:rsid w:val="00897FD7"/>
    <w:rsid w:val="008A616E"/>
    <w:rsid w:val="008B04CC"/>
    <w:rsid w:val="008B0B6C"/>
    <w:rsid w:val="008B2722"/>
    <w:rsid w:val="008B5AED"/>
    <w:rsid w:val="008B6296"/>
    <w:rsid w:val="008C4CF9"/>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1AE6"/>
    <w:rsid w:val="009153B1"/>
    <w:rsid w:val="009164FD"/>
    <w:rsid w:val="00920404"/>
    <w:rsid w:val="00920414"/>
    <w:rsid w:val="009231BD"/>
    <w:rsid w:val="0092745B"/>
    <w:rsid w:val="00930909"/>
    <w:rsid w:val="00935D3B"/>
    <w:rsid w:val="009360F4"/>
    <w:rsid w:val="00943C9B"/>
    <w:rsid w:val="00943D6C"/>
    <w:rsid w:val="00944C9D"/>
    <w:rsid w:val="00945912"/>
    <w:rsid w:val="00947D71"/>
    <w:rsid w:val="00953B2E"/>
    <w:rsid w:val="00956207"/>
    <w:rsid w:val="00956637"/>
    <w:rsid w:val="009616BC"/>
    <w:rsid w:val="00962C5A"/>
    <w:rsid w:val="0096568C"/>
    <w:rsid w:val="0097098E"/>
    <w:rsid w:val="0097177B"/>
    <w:rsid w:val="00973FA8"/>
    <w:rsid w:val="00974952"/>
    <w:rsid w:val="0098009D"/>
    <w:rsid w:val="00984B14"/>
    <w:rsid w:val="00991397"/>
    <w:rsid w:val="009914EE"/>
    <w:rsid w:val="0099220E"/>
    <w:rsid w:val="00992568"/>
    <w:rsid w:val="009949D8"/>
    <w:rsid w:val="009A152F"/>
    <w:rsid w:val="009A2B0B"/>
    <w:rsid w:val="009A35FE"/>
    <w:rsid w:val="009A457C"/>
    <w:rsid w:val="009B2100"/>
    <w:rsid w:val="009B3DB9"/>
    <w:rsid w:val="009B4345"/>
    <w:rsid w:val="009B5A61"/>
    <w:rsid w:val="009B6EE2"/>
    <w:rsid w:val="009C361B"/>
    <w:rsid w:val="009C5BD6"/>
    <w:rsid w:val="009C6ACB"/>
    <w:rsid w:val="009C7BD7"/>
    <w:rsid w:val="009D0A0F"/>
    <w:rsid w:val="009D0BDE"/>
    <w:rsid w:val="009D2B87"/>
    <w:rsid w:val="009D383B"/>
    <w:rsid w:val="009D38D5"/>
    <w:rsid w:val="009D5C55"/>
    <w:rsid w:val="009E4A7A"/>
    <w:rsid w:val="009E668F"/>
    <w:rsid w:val="009F304C"/>
    <w:rsid w:val="009F4406"/>
    <w:rsid w:val="009F5066"/>
    <w:rsid w:val="009F6E76"/>
    <w:rsid w:val="009F71C2"/>
    <w:rsid w:val="009F7D24"/>
    <w:rsid w:val="00A015FE"/>
    <w:rsid w:val="00A019E8"/>
    <w:rsid w:val="00A055FF"/>
    <w:rsid w:val="00A12C85"/>
    <w:rsid w:val="00A13767"/>
    <w:rsid w:val="00A15307"/>
    <w:rsid w:val="00A15DE7"/>
    <w:rsid w:val="00A1715E"/>
    <w:rsid w:val="00A177A0"/>
    <w:rsid w:val="00A2468A"/>
    <w:rsid w:val="00A25D4D"/>
    <w:rsid w:val="00A2698D"/>
    <w:rsid w:val="00A27092"/>
    <w:rsid w:val="00A30D66"/>
    <w:rsid w:val="00A46B31"/>
    <w:rsid w:val="00A46FCD"/>
    <w:rsid w:val="00A51042"/>
    <w:rsid w:val="00A528F7"/>
    <w:rsid w:val="00A62B6D"/>
    <w:rsid w:val="00A62E9A"/>
    <w:rsid w:val="00A7130E"/>
    <w:rsid w:val="00A73DCE"/>
    <w:rsid w:val="00A741D2"/>
    <w:rsid w:val="00A744B4"/>
    <w:rsid w:val="00A8373A"/>
    <w:rsid w:val="00A84D8E"/>
    <w:rsid w:val="00A85284"/>
    <w:rsid w:val="00A91C96"/>
    <w:rsid w:val="00AA3963"/>
    <w:rsid w:val="00AA4E1A"/>
    <w:rsid w:val="00AA54CB"/>
    <w:rsid w:val="00AA64C0"/>
    <w:rsid w:val="00AA66F1"/>
    <w:rsid w:val="00AA6B43"/>
    <w:rsid w:val="00AA75BD"/>
    <w:rsid w:val="00AB0F7A"/>
    <w:rsid w:val="00AB1B33"/>
    <w:rsid w:val="00AB3EB7"/>
    <w:rsid w:val="00AB3F3A"/>
    <w:rsid w:val="00AC10D8"/>
    <w:rsid w:val="00AC1659"/>
    <w:rsid w:val="00AC21FA"/>
    <w:rsid w:val="00AC31AC"/>
    <w:rsid w:val="00AD1682"/>
    <w:rsid w:val="00AD17FF"/>
    <w:rsid w:val="00AD2A37"/>
    <w:rsid w:val="00AD6882"/>
    <w:rsid w:val="00AE016C"/>
    <w:rsid w:val="00AE2F8D"/>
    <w:rsid w:val="00AE4282"/>
    <w:rsid w:val="00AE555B"/>
    <w:rsid w:val="00AE6366"/>
    <w:rsid w:val="00AF0149"/>
    <w:rsid w:val="00AF14E3"/>
    <w:rsid w:val="00AF38E6"/>
    <w:rsid w:val="00B00662"/>
    <w:rsid w:val="00B0112C"/>
    <w:rsid w:val="00B02864"/>
    <w:rsid w:val="00B03F09"/>
    <w:rsid w:val="00B0493E"/>
    <w:rsid w:val="00B04B8B"/>
    <w:rsid w:val="00B06233"/>
    <w:rsid w:val="00B109D5"/>
    <w:rsid w:val="00B11D3C"/>
    <w:rsid w:val="00B15576"/>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60037"/>
    <w:rsid w:val="00B61FD2"/>
    <w:rsid w:val="00B6210D"/>
    <w:rsid w:val="00B67E20"/>
    <w:rsid w:val="00B733AB"/>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2CCF"/>
    <w:rsid w:val="00BD2EEE"/>
    <w:rsid w:val="00BD4569"/>
    <w:rsid w:val="00BD7E1E"/>
    <w:rsid w:val="00BE306A"/>
    <w:rsid w:val="00BE6D99"/>
    <w:rsid w:val="00BE7F2C"/>
    <w:rsid w:val="00BF1DD1"/>
    <w:rsid w:val="00BF28EB"/>
    <w:rsid w:val="00BF7A59"/>
    <w:rsid w:val="00C04020"/>
    <w:rsid w:val="00C048E6"/>
    <w:rsid w:val="00C073A9"/>
    <w:rsid w:val="00C1223E"/>
    <w:rsid w:val="00C13868"/>
    <w:rsid w:val="00C157AD"/>
    <w:rsid w:val="00C204AF"/>
    <w:rsid w:val="00C22AA7"/>
    <w:rsid w:val="00C23BB9"/>
    <w:rsid w:val="00C269E5"/>
    <w:rsid w:val="00C3042A"/>
    <w:rsid w:val="00C32D32"/>
    <w:rsid w:val="00C3439F"/>
    <w:rsid w:val="00C419CD"/>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D31"/>
    <w:rsid w:val="00C7761C"/>
    <w:rsid w:val="00C7790A"/>
    <w:rsid w:val="00C82A79"/>
    <w:rsid w:val="00C86B07"/>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096"/>
    <w:rsid w:val="00CF61BD"/>
    <w:rsid w:val="00CF6A09"/>
    <w:rsid w:val="00D000CE"/>
    <w:rsid w:val="00D108C6"/>
    <w:rsid w:val="00D11BBB"/>
    <w:rsid w:val="00D11FCE"/>
    <w:rsid w:val="00D1309C"/>
    <w:rsid w:val="00D144DA"/>
    <w:rsid w:val="00D24287"/>
    <w:rsid w:val="00D26644"/>
    <w:rsid w:val="00D267FC"/>
    <w:rsid w:val="00D2763E"/>
    <w:rsid w:val="00D31874"/>
    <w:rsid w:val="00D331FD"/>
    <w:rsid w:val="00D349B7"/>
    <w:rsid w:val="00D423E1"/>
    <w:rsid w:val="00D42812"/>
    <w:rsid w:val="00D42A3C"/>
    <w:rsid w:val="00D43688"/>
    <w:rsid w:val="00D44BD6"/>
    <w:rsid w:val="00D46A91"/>
    <w:rsid w:val="00D46EEE"/>
    <w:rsid w:val="00D52299"/>
    <w:rsid w:val="00D55AD1"/>
    <w:rsid w:val="00D56CD6"/>
    <w:rsid w:val="00D6209E"/>
    <w:rsid w:val="00D660E3"/>
    <w:rsid w:val="00D66B5D"/>
    <w:rsid w:val="00D66D58"/>
    <w:rsid w:val="00D67165"/>
    <w:rsid w:val="00D74EED"/>
    <w:rsid w:val="00D81DE7"/>
    <w:rsid w:val="00D8217A"/>
    <w:rsid w:val="00D845AA"/>
    <w:rsid w:val="00D85EBE"/>
    <w:rsid w:val="00D85F70"/>
    <w:rsid w:val="00D90C77"/>
    <w:rsid w:val="00D90D38"/>
    <w:rsid w:val="00D9673B"/>
    <w:rsid w:val="00D96768"/>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5D1"/>
    <w:rsid w:val="00DE5E6C"/>
    <w:rsid w:val="00DF0545"/>
    <w:rsid w:val="00DF4B82"/>
    <w:rsid w:val="00DF7DF0"/>
    <w:rsid w:val="00E00A03"/>
    <w:rsid w:val="00E01F48"/>
    <w:rsid w:val="00E033E3"/>
    <w:rsid w:val="00E03A1D"/>
    <w:rsid w:val="00E05C99"/>
    <w:rsid w:val="00E10DA4"/>
    <w:rsid w:val="00E110E8"/>
    <w:rsid w:val="00E157DB"/>
    <w:rsid w:val="00E15D44"/>
    <w:rsid w:val="00E17242"/>
    <w:rsid w:val="00E17500"/>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1884"/>
    <w:rsid w:val="00E62062"/>
    <w:rsid w:val="00E6468B"/>
    <w:rsid w:val="00E66E72"/>
    <w:rsid w:val="00E6714A"/>
    <w:rsid w:val="00E67F3E"/>
    <w:rsid w:val="00E73DCE"/>
    <w:rsid w:val="00E744E0"/>
    <w:rsid w:val="00E75DFD"/>
    <w:rsid w:val="00E83759"/>
    <w:rsid w:val="00E84437"/>
    <w:rsid w:val="00E85297"/>
    <w:rsid w:val="00E90E8D"/>
    <w:rsid w:val="00E91939"/>
    <w:rsid w:val="00E9724C"/>
    <w:rsid w:val="00EA3AC2"/>
    <w:rsid w:val="00EA67DB"/>
    <w:rsid w:val="00EB2355"/>
    <w:rsid w:val="00EB257E"/>
    <w:rsid w:val="00EB2A93"/>
    <w:rsid w:val="00EB40E8"/>
    <w:rsid w:val="00EB5E5C"/>
    <w:rsid w:val="00EB69C4"/>
    <w:rsid w:val="00EC3634"/>
    <w:rsid w:val="00ED1F9C"/>
    <w:rsid w:val="00ED2374"/>
    <w:rsid w:val="00ED2EB8"/>
    <w:rsid w:val="00ED31C8"/>
    <w:rsid w:val="00ED4D0D"/>
    <w:rsid w:val="00ED5F57"/>
    <w:rsid w:val="00EE0928"/>
    <w:rsid w:val="00EE23D6"/>
    <w:rsid w:val="00EE3102"/>
    <w:rsid w:val="00EE3848"/>
    <w:rsid w:val="00EF44AF"/>
    <w:rsid w:val="00EF6A1D"/>
    <w:rsid w:val="00EF7DA9"/>
    <w:rsid w:val="00F04752"/>
    <w:rsid w:val="00F04BC4"/>
    <w:rsid w:val="00F078C1"/>
    <w:rsid w:val="00F07DEF"/>
    <w:rsid w:val="00F104FB"/>
    <w:rsid w:val="00F11C5E"/>
    <w:rsid w:val="00F27CD1"/>
    <w:rsid w:val="00F32729"/>
    <w:rsid w:val="00F32C22"/>
    <w:rsid w:val="00F33C11"/>
    <w:rsid w:val="00F361E0"/>
    <w:rsid w:val="00F471EE"/>
    <w:rsid w:val="00F6250E"/>
    <w:rsid w:val="00F625E8"/>
    <w:rsid w:val="00F63D80"/>
    <w:rsid w:val="00F65EE3"/>
    <w:rsid w:val="00F66AF3"/>
    <w:rsid w:val="00F67415"/>
    <w:rsid w:val="00F67489"/>
    <w:rsid w:val="00F76324"/>
    <w:rsid w:val="00F77583"/>
    <w:rsid w:val="00F80E2B"/>
    <w:rsid w:val="00F90B3E"/>
    <w:rsid w:val="00F932A8"/>
    <w:rsid w:val="00FA0E1E"/>
    <w:rsid w:val="00FA20F0"/>
    <w:rsid w:val="00FA5418"/>
    <w:rsid w:val="00FA58CB"/>
    <w:rsid w:val="00FA6B1C"/>
    <w:rsid w:val="00FA6FFE"/>
    <w:rsid w:val="00FB5B7E"/>
    <w:rsid w:val="00FC73A9"/>
    <w:rsid w:val="00FD07E7"/>
    <w:rsid w:val="00FD0D82"/>
    <w:rsid w:val="00FD3A5E"/>
    <w:rsid w:val="00FD3EE3"/>
    <w:rsid w:val="00FD78BA"/>
    <w:rsid w:val="00FE477F"/>
    <w:rsid w:val="00FE4D89"/>
    <w:rsid w:val="00FF0C61"/>
    <w:rsid w:val="00FF12F0"/>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4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456341435">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050686615">
      <w:bodyDiv w:val="1"/>
      <w:marLeft w:val="0"/>
      <w:marRight w:val="0"/>
      <w:marTop w:val="0"/>
      <w:marBottom w:val="0"/>
      <w:divBdr>
        <w:top w:val="none" w:sz="0" w:space="0" w:color="auto"/>
        <w:left w:val="none" w:sz="0" w:space="0" w:color="auto"/>
        <w:bottom w:val="none" w:sz="0" w:space="0" w:color="auto"/>
        <w:right w:val="none" w:sz="0" w:space="0" w:color="auto"/>
      </w:divBdr>
    </w:div>
    <w:div w:id="1844926834">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ga.uzaite@vi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neta.bruvere@varam.gov.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4C72-00EC-48A7-957A-31611879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12819</Words>
  <Characters>7307</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Vineta Brūvere</cp:lastModifiedBy>
  <cp:revision>13</cp:revision>
  <cp:lastPrinted>2016-12-07T09:56:00Z</cp:lastPrinted>
  <dcterms:created xsi:type="dcterms:W3CDTF">2017-01-02T09:38:00Z</dcterms:created>
  <dcterms:modified xsi:type="dcterms:W3CDTF">2017-01-04T12:23:00Z</dcterms:modified>
</cp:coreProperties>
</file>