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0F95F" w14:textId="77777777" w:rsidR="00F87892" w:rsidRDefault="00F87892" w:rsidP="00F87892">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Projekts</w:t>
      </w:r>
    </w:p>
    <w:p w14:paraId="30CB97F1" w14:textId="77777777" w:rsidR="00F87892" w:rsidRDefault="00F87892" w:rsidP="00F87892">
      <w:pPr>
        <w:spacing w:after="0" w:line="240" w:lineRule="auto"/>
        <w:rPr>
          <w:rFonts w:ascii="Times New Roman" w:hAnsi="Times New Roman" w:cs="Times New Roman"/>
          <w:sz w:val="24"/>
          <w:szCs w:val="24"/>
        </w:rPr>
      </w:pPr>
    </w:p>
    <w:p w14:paraId="4D25B4C6" w14:textId="77777777" w:rsidR="0006491A" w:rsidRDefault="0006491A" w:rsidP="00F87892">
      <w:pPr>
        <w:spacing w:after="0" w:line="240" w:lineRule="auto"/>
        <w:rPr>
          <w:rFonts w:ascii="Times New Roman" w:hAnsi="Times New Roman" w:cs="Times New Roman"/>
          <w:sz w:val="24"/>
          <w:szCs w:val="24"/>
        </w:rPr>
      </w:pPr>
      <w:bookmarkStart w:id="0" w:name="_GoBack"/>
      <w:bookmarkEnd w:id="0"/>
    </w:p>
    <w:p w14:paraId="0D90B7B8" w14:textId="77777777" w:rsidR="00F87892" w:rsidRDefault="00F87892" w:rsidP="00F878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LATVIJAS REPUBLIKAS MINISTRU KABINETS</w:t>
      </w:r>
    </w:p>
    <w:p w14:paraId="03E4C60B" w14:textId="77777777" w:rsidR="00F87892" w:rsidRDefault="00F87892" w:rsidP="00F87892">
      <w:pPr>
        <w:spacing w:after="0" w:line="240" w:lineRule="auto"/>
        <w:jc w:val="center"/>
        <w:rPr>
          <w:rFonts w:ascii="Times New Roman" w:hAnsi="Times New Roman" w:cs="Times New Roman"/>
          <w:sz w:val="24"/>
          <w:szCs w:val="24"/>
        </w:rPr>
      </w:pPr>
    </w:p>
    <w:p w14:paraId="7A8E504F" w14:textId="77777777" w:rsidR="00F87892" w:rsidRDefault="00F87892" w:rsidP="00F87892">
      <w:pPr>
        <w:spacing w:after="0" w:line="240" w:lineRule="auto"/>
        <w:jc w:val="center"/>
        <w:rPr>
          <w:rFonts w:ascii="Times New Roman" w:hAnsi="Times New Roman" w:cs="Times New Roman"/>
          <w:sz w:val="24"/>
          <w:szCs w:val="24"/>
        </w:rPr>
      </w:pPr>
    </w:p>
    <w:p w14:paraId="6F7C5ECB" w14:textId="77777777" w:rsidR="00CF7F32" w:rsidRDefault="00CF7F32" w:rsidP="00F87892">
      <w:pPr>
        <w:spacing w:after="0" w:line="240" w:lineRule="auto"/>
        <w:jc w:val="center"/>
        <w:rPr>
          <w:rFonts w:ascii="Times New Roman" w:hAnsi="Times New Roman" w:cs="Times New Roman"/>
          <w:sz w:val="24"/>
          <w:szCs w:val="24"/>
        </w:rPr>
      </w:pPr>
    </w:p>
    <w:p w14:paraId="40ABEF5E" w14:textId="6691B848" w:rsidR="00F87892" w:rsidRDefault="00F87892" w:rsidP="00F87892">
      <w:pPr>
        <w:widowControl w:val="0"/>
        <w:tabs>
          <w:tab w:val="left" w:pos="595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CF7F32">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gada__________ </w:t>
      </w:r>
      <w:r>
        <w:rPr>
          <w:rFonts w:ascii="Times New Roman" w:eastAsia="Times New Roman" w:hAnsi="Times New Roman" w:cs="Times New Roman"/>
          <w:sz w:val="24"/>
          <w:szCs w:val="24"/>
        </w:rPr>
        <w:tab/>
        <w:t>Noteikumi Nr.___</w:t>
      </w:r>
    </w:p>
    <w:p w14:paraId="1F0ACEFA" w14:textId="77777777" w:rsidR="00F87892" w:rsidRDefault="00F87892" w:rsidP="00F87892">
      <w:pPr>
        <w:widowControl w:val="0"/>
        <w:tabs>
          <w:tab w:val="left" w:pos="426"/>
          <w:tab w:val="left" w:pos="595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Rīga</w:t>
      </w:r>
      <w:r>
        <w:rPr>
          <w:rFonts w:ascii="Times New Roman" w:eastAsia="Times New Roman" w:hAnsi="Times New Roman" w:cs="Times New Roman"/>
          <w:sz w:val="24"/>
          <w:szCs w:val="24"/>
        </w:rPr>
        <w:tab/>
        <w:t>(prot.</w:t>
      </w:r>
      <w:r w:rsidR="005E73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Nr.____.§)</w:t>
      </w:r>
    </w:p>
    <w:p w14:paraId="7CB320E3" w14:textId="77777777" w:rsidR="00F87892" w:rsidRDefault="00F87892" w:rsidP="00F87892">
      <w:pPr>
        <w:spacing w:after="0" w:line="240" w:lineRule="auto"/>
        <w:rPr>
          <w:rFonts w:ascii="Times New Roman" w:hAnsi="Times New Roman" w:cs="Times New Roman"/>
          <w:sz w:val="24"/>
          <w:szCs w:val="24"/>
        </w:rPr>
      </w:pPr>
    </w:p>
    <w:p w14:paraId="7F019D05" w14:textId="77777777" w:rsidR="00F87892" w:rsidRDefault="00F87892" w:rsidP="00F87892">
      <w:pPr>
        <w:spacing w:after="0" w:line="240" w:lineRule="auto"/>
        <w:rPr>
          <w:rFonts w:ascii="Times New Roman" w:hAnsi="Times New Roman" w:cs="Times New Roman"/>
          <w:sz w:val="24"/>
          <w:szCs w:val="24"/>
        </w:rPr>
      </w:pPr>
    </w:p>
    <w:p w14:paraId="7BF1D30E" w14:textId="77777777" w:rsidR="005E7324" w:rsidRDefault="005E7324" w:rsidP="00F87892">
      <w:pPr>
        <w:spacing w:after="0" w:line="240" w:lineRule="auto"/>
        <w:rPr>
          <w:rFonts w:ascii="Times New Roman" w:hAnsi="Times New Roman" w:cs="Times New Roman"/>
          <w:sz w:val="24"/>
          <w:szCs w:val="24"/>
        </w:rPr>
      </w:pPr>
    </w:p>
    <w:p w14:paraId="073AC53D" w14:textId="77777777" w:rsidR="00F87892" w:rsidRDefault="00F87892" w:rsidP="00F87892">
      <w:pPr>
        <w:spacing w:after="0" w:line="240" w:lineRule="auto"/>
        <w:jc w:val="center"/>
        <w:rPr>
          <w:rFonts w:ascii="Times New Roman" w:hAnsi="Times New Roman" w:cs="Times New Roman"/>
          <w:b/>
          <w:sz w:val="24"/>
          <w:szCs w:val="24"/>
        </w:rPr>
      </w:pPr>
      <w:bookmarkStart w:id="1" w:name="OLE_LINK2"/>
      <w:bookmarkStart w:id="2" w:name="OLE_LINK1"/>
      <w:r>
        <w:rPr>
          <w:rFonts w:ascii="Times New Roman" w:hAnsi="Times New Roman" w:cs="Times New Roman"/>
          <w:b/>
          <w:sz w:val="24"/>
          <w:szCs w:val="24"/>
        </w:rPr>
        <w:t>Grozījumi Ministru kabineta 2009. gada 3. novembra noteikumos Nr. 1</w:t>
      </w:r>
      <w:r w:rsidR="00323408">
        <w:rPr>
          <w:rFonts w:ascii="Times New Roman" w:hAnsi="Times New Roman" w:cs="Times New Roman"/>
          <w:b/>
          <w:sz w:val="24"/>
          <w:szCs w:val="24"/>
        </w:rPr>
        <w:t>290</w:t>
      </w:r>
      <w:r>
        <w:rPr>
          <w:rFonts w:ascii="Times New Roman" w:hAnsi="Times New Roman" w:cs="Times New Roman"/>
          <w:b/>
          <w:sz w:val="24"/>
          <w:szCs w:val="24"/>
        </w:rPr>
        <w:t xml:space="preserve"> „Noteikumi par gaisa kvalitāti”</w:t>
      </w:r>
    </w:p>
    <w:bookmarkEnd w:id="1"/>
    <w:bookmarkEnd w:id="2"/>
    <w:p w14:paraId="74AD6017" w14:textId="77777777" w:rsidR="00F87892" w:rsidRPr="00F11E65" w:rsidRDefault="00F87892" w:rsidP="00F87892">
      <w:pPr>
        <w:spacing w:after="0" w:line="240" w:lineRule="auto"/>
        <w:rPr>
          <w:rFonts w:ascii="Times New Roman" w:hAnsi="Times New Roman" w:cs="Times New Roman"/>
          <w:sz w:val="24"/>
          <w:szCs w:val="24"/>
        </w:rPr>
      </w:pPr>
    </w:p>
    <w:p w14:paraId="3A4C55A1" w14:textId="77777777" w:rsidR="00F87892" w:rsidRDefault="00F87892" w:rsidP="00F87892">
      <w:pPr>
        <w:spacing w:after="0" w:line="240" w:lineRule="auto"/>
        <w:rPr>
          <w:rFonts w:ascii="Times New Roman" w:hAnsi="Times New Roman" w:cs="Times New Roman"/>
          <w:sz w:val="24"/>
          <w:szCs w:val="24"/>
        </w:rPr>
      </w:pPr>
    </w:p>
    <w:p w14:paraId="6DA3917D" w14:textId="77777777" w:rsidR="005D136D" w:rsidRPr="00F11E65" w:rsidRDefault="005D136D" w:rsidP="00F87892">
      <w:pPr>
        <w:spacing w:after="0" w:line="240" w:lineRule="auto"/>
        <w:rPr>
          <w:rFonts w:ascii="Times New Roman" w:hAnsi="Times New Roman" w:cs="Times New Roman"/>
          <w:sz w:val="24"/>
          <w:szCs w:val="24"/>
        </w:rPr>
      </w:pPr>
    </w:p>
    <w:p w14:paraId="1D7DE452" w14:textId="77777777" w:rsidR="00F87892" w:rsidRPr="00F11E65" w:rsidRDefault="00F87892" w:rsidP="00F87892">
      <w:pPr>
        <w:pStyle w:val="naislab"/>
        <w:spacing w:before="0" w:after="0"/>
      </w:pPr>
      <w:r w:rsidRPr="00F11E65">
        <w:t>Izdoti saskaņā ar </w:t>
      </w:r>
    </w:p>
    <w:p w14:paraId="01ACE7AC" w14:textId="77777777" w:rsidR="00F87892" w:rsidRPr="00F11E65" w:rsidRDefault="00867EF1" w:rsidP="00F87892">
      <w:pPr>
        <w:pStyle w:val="naislab"/>
        <w:spacing w:before="0" w:after="0"/>
      </w:pPr>
      <w:r>
        <w:t>likuma ,,</w:t>
      </w:r>
      <w:r w:rsidR="00F87892" w:rsidRPr="00F11E65">
        <w:t>Par piesārņojumu</w:t>
      </w:r>
      <w:r>
        <w:t>”</w:t>
      </w:r>
    </w:p>
    <w:p w14:paraId="614068B4" w14:textId="35D12B6D" w:rsidR="00F87892" w:rsidRPr="00F11E65" w:rsidRDefault="00F87892" w:rsidP="00F87892">
      <w:pPr>
        <w:pStyle w:val="naislab"/>
        <w:spacing w:before="0" w:after="0"/>
      </w:pPr>
      <w:r w:rsidRPr="00F11E65">
        <w:t>12.</w:t>
      </w:r>
      <w:r w:rsidR="00FE4906">
        <w:t> </w:t>
      </w:r>
      <w:r w:rsidRPr="00F11E65">
        <w:t xml:space="preserve">panta otro daļu un </w:t>
      </w:r>
    </w:p>
    <w:p w14:paraId="7EFDBC92" w14:textId="347BD6FB" w:rsidR="00F87892" w:rsidRPr="00F11E65" w:rsidRDefault="00F87892" w:rsidP="00F87892">
      <w:pPr>
        <w:pStyle w:val="naislab"/>
        <w:spacing w:before="0" w:after="0"/>
      </w:pPr>
      <w:r w:rsidRPr="00F11E65">
        <w:t>17.</w:t>
      </w:r>
      <w:r w:rsidR="00FE4906">
        <w:t> </w:t>
      </w:r>
      <w:r w:rsidRPr="00F11E65">
        <w:t>panta trešo daļu</w:t>
      </w:r>
    </w:p>
    <w:p w14:paraId="030839F1" w14:textId="77777777" w:rsidR="005D136D" w:rsidRPr="00F11E65" w:rsidRDefault="005D136D">
      <w:pPr>
        <w:rPr>
          <w:rFonts w:ascii="Times New Roman" w:hAnsi="Times New Roman" w:cs="Times New Roman"/>
          <w:sz w:val="24"/>
          <w:szCs w:val="24"/>
        </w:rPr>
      </w:pPr>
    </w:p>
    <w:p w14:paraId="726B86FD" w14:textId="742B7AE6" w:rsidR="00323408" w:rsidRPr="00F11E65" w:rsidRDefault="00323408" w:rsidP="00927E14">
      <w:pPr>
        <w:pStyle w:val="naisf"/>
        <w:spacing w:before="120" w:after="120"/>
        <w:ind w:firstLine="720"/>
      </w:pPr>
      <w:r w:rsidRPr="00F11E65">
        <w:t>Izdarīt Ministru kabineta 2009.</w:t>
      </w:r>
      <w:r w:rsidR="00FE4906">
        <w:t> </w:t>
      </w:r>
      <w:r w:rsidRPr="00F11E65">
        <w:t>gada 3.</w:t>
      </w:r>
      <w:r w:rsidR="00FE4906">
        <w:t> </w:t>
      </w:r>
      <w:r w:rsidRPr="00F11E65">
        <w:t>novembra noteikumos Nr.</w:t>
      </w:r>
      <w:r w:rsidR="00FE4906">
        <w:t> </w:t>
      </w:r>
      <w:r w:rsidRPr="00F11E65">
        <w:t>1290 „Noteikumi par gaisa kvalitāti” (Latvijas Vēstnesis, 200</w:t>
      </w:r>
      <w:r w:rsidR="003E72DA">
        <w:t>9</w:t>
      </w:r>
      <w:r w:rsidRPr="00F11E65">
        <w:t xml:space="preserve">, </w:t>
      </w:r>
      <w:r w:rsidR="003E72DA">
        <w:t xml:space="preserve">182 </w:t>
      </w:r>
      <w:r w:rsidRPr="00F11E65">
        <w:t>nr.) šādus grozījumus:</w:t>
      </w:r>
    </w:p>
    <w:p w14:paraId="22268229" w14:textId="77777777" w:rsidR="00323408" w:rsidRDefault="00323408" w:rsidP="00927E14">
      <w:pPr>
        <w:pStyle w:val="naisf"/>
        <w:spacing w:before="120" w:after="120"/>
        <w:ind w:firstLine="720"/>
      </w:pPr>
    </w:p>
    <w:p w14:paraId="4FEB3FBA" w14:textId="127D2739" w:rsidR="00D629F0" w:rsidRPr="00597F9A" w:rsidRDefault="00D629F0" w:rsidP="00D629F0">
      <w:pPr>
        <w:pStyle w:val="naisf"/>
        <w:spacing w:before="120" w:after="120"/>
        <w:ind w:firstLine="720"/>
      </w:pPr>
      <w:r w:rsidRPr="00597F9A">
        <w:t>1. Izteikt pilnvarojuma sadaļu šādā redakcijā:</w:t>
      </w:r>
    </w:p>
    <w:p w14:paraId="5E22DA1F" w14:textId="17F8F45A" w:rsidR="00D629F0" w:rsidRDefault="00D629F0" w:rsidP="00D629F0">
      <w:pPr>
        <w:pStyle w:val="naisf"/>
        <w:spacing w:before="0" w:after="0"/>
        <w:ind w:firstLine="720"/>
      </w:pPr>
      <w:r w:rsidRPr="00597F9A">
        <w:t>„Izdoti saskaņā ar likuma ,,Par piesārņojumu” 12. panta otro daļu un 17. panta trešo daļu un Vides aizsardzības likuma 17.panta otro daļu</w:t>
      </w:r>
      <w:r w:rsidR="00B260A4" w:rsidRPr="00597F9A">
        <w:t>.</w:t>
      </w:r>
      <w:r w:rsidR="00597F9A" w:rsidRPr="00597F9A">
        <w:t>"</w:t>
      </w:r>
      <w:r w:rsidR="00B260A4" w:rsidRPr="00597F9A">
        <w:t>.</w:t>
      </w:r>
    </w:p>
    <w:p w14:paraId="27DDAA6E" w14:textId="77777777" w:rsidR="00D629F0" w:rsidRPr="00F11E65" w:rsidRDefault="00D629F0" w:rsidP="00D629F0">
      <w:pPr>
        <w:pStyle w:val="naisf"/>
        <w:spacing w:before="0" w:after="0"/>
        <w:ind w:firstLine="720"/>
      </w:pPr>
    </w:p>
    <w:p w14:paraId="3A5C2840" w14:textId="4270F018" w:rsidR="00FB3953" w:rsidRDefault="00597F9A" w:rsidP="00D629F0">
      <w:pPr>
        <w:pStyle w:val="naisf"/>
        <w:spacing w:before="0" w:after="0"/>
        <w:ind w:firstLine="720"/>
      </w:pPr>
      <w:r>
        <w:t>2</w:t>
      </w:r>
      <w:r w:rsidR="00FC0A01">
        <w:t xml:space="preserve">. </w:t>
      </w:r>
      <w:r w:rsidR="00FB3953">
        <w:t xml:space="preserve">Aizstāt visā </w:t>
      </w:r>
      <w:r w:rsidR="007E439B">
        <w:t xml:space="preserve">noteikumu </w:t>
      </w:r>
      <w:r w:rsidR="00FB3953">
        <w:t xml:space="preserve">tekstā vārdus </w:t>
      </w:r>
      <w:r w:rsidR="00651BE6">
        <w:t>„</w:t>
      </w:r>
      <w:r w:rsidR="00FB3953">
        <w:t>Vides ministrija” (attiecīgā locījumā) ar vārdiem ,,Vides aizsardzības un reģionālās attīstības ministrija”</w:t>
      </w:r>
      <w:r w:rsidR="007E439B">
        <w:t xml:space="preserve"> (attiecīgā locījumā).</w:t>
      </w:r>
    </w:p>
    <w:p w14:paraId="7C80F26B" w14:textId="77777777" w:rsidR="00FB3953" w:rsidRDefault="00FB3953" w:rsidP="008617B7">
      <w:pPr>
        <w:pStyle w:val="naisf"/>
        <w:spacing w:before="120" w:after="120"/>
        <w:ind w:firstLine="720"/>
      </w:pPr>
    </w:p>
    <w:p w14:paraId="79E0E489" w14:textId="01B79AD8" w:rsidR="008173CB" w:rsidRDefault="00597F9A" w:rsidP="008617B7">
      <w:pPr>
        <w:pStyle w:val="naisf"/>
        <w:spacing w:before="120" w:after="120"/>
        <w:ind w:firstLine="720"/>
      </w:pPr>
      <w:r>
        <w:t>3</w:t>
      </w:r>
      <w:r w:rsidR="00FC0A01">
        <w:t xml:space="preserve">. </w:t>
      </w:r>
      <w:r w:rsidR="0087277F">
        <w:t xml:space="preserve">Papildināt noteikumus ar </w:t>
      </w:r>
      <w:r w:rsidR="008173CB">
        <w:t>2.30.</w:t>
      </w:r>
      <w:r w:rsidR="00C80EA8">
        <w:t> </w:t>
      </w:r>
      <w:r w:rsidR="008173CB">
        <w:t>apakšpunktu šādā redakcijā:</w:t>
      </w:r>
    </w:p>
    <w:p w14:paraId="43AC4ABD" w14:textId="61DF77A2" w:rsidR="008173CB" w:rsidRDefault="008173CB" w:rsidP="008617B7">
      <w:pPr>
        <w:pStyle w:val="naisf"/>
        <w:spacing w:before="120" w:after="120"/>
        <w:ind w:firstLine="720"/>
        <w:rPr>
          <w:bCs/>
        </w:rPr>
      </w:pPr>
      <w:r w:rsidRPr="008173CB">
        <w:rPr>
          <w:rFonts w:eastAsiaTheme="minorHAnsi"/>
          <w:bCs/>
          <w:lang w:eastAsia="en-US"/>
        </w:rPr>
        <w:t>,,</w:t>
      </w:r>
      <w:r w:rsidRPr="008173CB">
        <w:rPr>
          <w:bCs/>
        </w:rPr>
        <w:t>2.30.</w:t>
      </w:r>
      <w:r w:rsidR="007E439B">
        <w:rPr>
          <w:bCs/>
        </w:rPr>
        <w:t> </w:t>
      </w:r>
      <w:r w:rsidRPr="008173CB">
        <w:rPr>
          <w:bCs/>
        </w:rPr>
        <w:t xml:space="preserve">valsts monitoringa tīkls – valsts </w:t>
      </w:r>
      <w:r w:rsidRPr="008163A8">
        <w:rPr>
          <w:bCs/>
        </w:rPr>
        <w:t xml:space="preserve">sabiedrības ar ierobežotu atbildību </w:t>
      </w:r>
      <w:r w:rsidR="00564681" w:rsidRPr="008163A8">
        <w:rPr>
          <w:bCs/>
        </w:rPr>
        <w:t>,,</w:t>
      </w:r>
      <w:r w:rsidRPr="008163A8">
        <w:rPr>
          <w:bCs/>
        </w:rPr>
        <w:t xml:space="preserve">Latvijas Vides, ģeoloģijas un meteoroloģijas centrs” </w:t>
      </w:r>
      <w:r w:rsidR="00A94D2A" w:rsidRPr="008163A8">
        <w:rPr>
          <w:bCs/>
        </w:rPr>
        <w:t xml:space="preserve">(turpmāk – Centrs) </w:t>
      </w:r>
      <w:r w:rsidRPr="008163A8">
        <w:rPr>
          <w:bCs/>
        </w:rPr>
        <w:t>pārziņā esošās gaisa kvalitātes monitoringa stacijas, k</w:t>
      </w:r>
      <w:r w:rsidR="00C80EA8" w:rsidRPr="008163A8">
        <w:rPr>
          <w:bCs/>
        </w:rPr>
        <w:t>as</w:t>
      </w:r>
      <w:r w:rsidRPr="008163A8">
        <w:rPr>
          <w:bCs/>
        </w:rPr>
        <w:t xml:space="preserve"> izvietotas visā valsts teritorijā atbilstoši </w:t>
      </w:r>
      <w:r w:rsidR="002F1D03" w:rsidRPr="008163A8">
        <w:rPr>
          <w:bCs/>
        </w:rPr>
        <w:t xml:space="preserve">šo </w:t>
      </w:r>
      <w:r w:rsidRPr="008163A8">
        <w:rPr>
          <w:bCs/>
        </w:rPr>
        <w:t>noteikum</w:t>
      </w:r>
      <w:r w:rsidR="002F1D03" w:rsidRPr="008163A8">
        <w:rPr>
          <w:bCs/>
        </w:rPr>
        <w:t>u III nodaļā</w:t>
      </w:r>
      <w:r w:rsidRPr="008163A8">
        <w:rPr>
          <w:bCs/>
        </w:rPr>
        <w:t xml:space="preserve"> noteiktajiem kritērijiem un kurās tiek nodrošinātas citas šajos noteikumos noteiktās prasības ar mērķi sniegt sabiedrībai, kā arī starptautiskajām sadarbības organizācijām un Eiropas Komisijai ticamu un reprezentatīvu informāciju par gaisa kvalitāti Latvijā.”</w:t>
      </w:r>
    </w:p>
    <w:p w14:paraId="43BC0EF3" w14:textId="77777777" w:rsidR="00171EBF" w:rsidRDefault="00171EBF" w:rsidP="008617B7">
      <w:pPr>
        <w:pStyle w:val="naisf"/>
        <w:spacing w:before="120" w:after="120"/>
        <w:ind w:firstLine="720"/>
        <w:rPr>
          <w:bCs/>
        </w:rPr>
      </w:pPr>
    </w:p>
    <w:p w14:paraId="20965566" w14:textId="7BBC06F0" w:rsidR="00171EBF" w:rsidRPr="008163A8" w:rsidRDefault="00597F9A" w:rsidP="008617B7">
      <w:pPr>
        <w:pStyle w:val="naisf"/>
        <w:spacing w:before="120" w:after="120"/>
        <w:ind w:firstLine="720"/>
      </w:pPr>
      <w:r>
        <w:t>4</w:t>
      </w:r>
      <w:r w:rsidR="00FC0A01">
        <w:t xml:space="preserve">. </w:t>
      </w:r>
      <w:r w:rsidR="00651BE6">
        <w:t>Aizstāt 3.1.2., 3.2.2</w:t>
      </w:r>
      <w:r w:rsidR="00651BE6" w:rsidRPr="008163A8">
        <w:t>., 3.6.</w:t>
      </w:r>
      <w:r w:rsidR="001B79D9" w:rsidRPr="008163A8">
        <w:t>2</w:t>
      </w:r>
      <w:r w:rsidR="00651BE6" w:rsidRPr="008163A8">
        <w:t>. un 3.8.2.</w:t>
      </w:r>
      <w:r w:rsidR="00C80EA8" w:rsidRPr="008163A8">
        <w:t> </w:t>
      </w:r>
      <w:r w:rsidR="00651BE6" w:rsidRPr="008163A8">
        <w:t>apakšpunktā skaitli „2005” ar skaitli „201</w:t>
      </w:r>
      <w:r w:rsidR="00A21456" w:rsidRPr="008163A8">
        <w:t>2</w:t>
      </w:r>
      <w:r w:rsidR="00651BE6" w:rsidRPr="008163A8">
        <w:t>”</w:t>
      </w:r>
      <w:r w:rsidR="00C80EA8" w:rsidRPr="008163A8">
        <w:t>.</w:t>
      </w:r>
    </w:p>
    <w:p w14:paraId="4256EAB8" w14:textId="77777777" w:rsidR="00F1322F" w:rsidRPr="008163A8" w:rsidRDefault="00F1322F" w:rsidP="008617B7">
      <w:pPr>
        <w:pStyle w:val="naisf"/>
        <w:spacing w:before="120" w:after="120"/>
        <w:ind w:firstLine="720"/>
      </w:pPr>
    </w:p>
    <w:p w14:paraId="1B776552" w14:textId="7763276A" w:rsidR="000B1630" w:rsidRPr="008163A8" w:rsidRDefault="00597F9A" w:rsidP="008617B7">
      <w:pPr>
        <w:pStyle w:val="naisf"/>
        <w:spacing w:before="120" w:after="120"/>
        <w:ind w:firstLine="720"/>
      </w:pPr>
      <w:r>
        <w:t>5</w:t>
      </w:r>
      <w:r w:rsidR="00FC0A01" w:rsidRPr="008163A8">
        <w:t xml:space="preserve">. </w:t>
      </w:r>
      <w:r w:rsidR="00F05470" w:rsidRPr="008163A8">
        <w:t>Aizstāt 3.3.2.</w:t>
      </w:r>
      <w:r w:rsidR="00C80EA8" w:rsidRPr="008163A8">
        <w:t> </w:t>
      </w:r>
      <w:r w:rsidR="00F05470" w:rsidRPr="008163A8">
        <w:t xml:space="preserve">apakšpunktā </w:t>
      </w:r>
      <w:r w:rsidR="0018266D" w:rsidRPr="008163A8">
        <w:t>vārdus „</w:t>
      </w:r>
      <w:r w:rsidR="005B0C73" w:rsidRPr="008163A8">
        <w:t xml:space="preserve">12341:2001 </w:t>
      </w:r>
      <w:r w:rsidR="00AB0710" w:rsidRPr="008163A8">
        <w:t>„</w:t>
      </w:r>
      <w:r w:rsidR="005B0C73" w:rsidRPr="008163A8">
        <w:t>Gaisa kvalitāte – Cieto daļiņu frakcijas PM</w:t>
      </w:r>
      <w:r w:rsidR="005B0C73" w:rsidRPr="008163A8">
        <w:rPr>
          <w:vertAlign w:val="subscript"/>
        </w:rPr>
        <w:t>10</w:t>
      </w:r>
      <w:r w:rsidR="005B0C73" w:rsidRPr="008163A8">
        <w:t xml:space="preserve"> noteikšana – Etalona metode un testēšana lauka apstākļos, lai demonstrētu mērīšanas metožu līdzvērtību etalona metodei</w:t>
      </w:r>
      <w:r w:rsidR="0018266D" w:rsidRPr="008163A8">
        <w:t>”</w:t>
      </w:r>
      <w:r w:rsidR="005B0C73" w:rsidRPr="008163A8">
        <w:t xml:space="preserve"> ar vārdiem „12341:2014 „</w:t>
      </w:r>
      <w:r w:rsidR="005B0C73" w:rsidRPr="008163A8">
        <w:rPr>
          <w:shd w:val="clear" w:color="auto" w:fill="FFFFFF"/>
        </w:rPr>
        <w:t xml:space="preserve">Gaisa kvalitāte. </w:t>
      </w:r>
      <w:r w:rsidR="005B0C73" w:rsidRPr="008163A8">
        <w:rPr>
          <w:shd w:val="clear" w:color="auto" w:fill="FFFFFF"/>
        </w:rPr>
        <w:lastRenderedPageBreak/>
        <w:t xml:space="preserve">Gravimetrisko mērījumu </w:t>
      </w:r>
      <w:proofErr w:type="spellStart"/>
      <w:r w:rsidR="005B0C73" w:rsidRPr="008163A8">
        <w:rPr>
          <w:shd w:val="clear" w:color="auto" w:fill="FFFFFF"/>
        </w:rPr>
        <w:t>standartmetode</w:t>
      </w:r>
      <w:proofErr w:type="spellEnd"/>
      <w:r w:rsidR="005B0C73" w:rsidRPr="008163A8">
        <w:rPr>
          <w:shd w:val="clear" w:color="auto" w:fill="FFFFFF"/>
        </w:rPr>
        <w:t xml:space="preserve"> suspendēto cieto daļiņu PM</w:t>
      </w:r>
      <w:r w:rsidR="005B0C73" w:rsidRPr="008163A8">
        <w:rPr>
          <w:shd w:val="clear" w:color="auto" w:fill="FFFFFF"/>
          <w:vertAlign w:val="subscript"/>
        </w:rPr>
        <w:t>10</w:t>
      </w:r>
      <w:r w:rsidR="005B0C73" w:rsidRPr="008163A8">
        <w:rPr>
          <w:shd w:val="clear" w:color="auto" w:fill="FFFFFF"/>
        </w:rPr>
        <w:t xml:space="preserve"> vai PM</w:t>
      </w:r>
      <w:r w:rsidR="005B0C73" w:rsidRPr="008163A8">
        <w:rPr>
          <w:shd w:val="clear" w:color="auto" w:fill="FFFFFF"/>
          <w:vertAlign w:val="subscript"/>
        </w:rPr>
        <w:t>2,5</w:t>
      </w:r>
      <w:r w:rsidR="005B0C73" w:rsidRPr="008163A8">
        <w:rPr>
          <w:shd w:val="clear" w:color="auto" w:fill="FFFFFF"/>
        </w:rPr>
        <w:t xml:space="preserve"> frakcijas masas koncentrācijas noteikšanai</w:t>
      </w:r>
      <w:r w:rsidR="005B0C73" w:rsidRPr="008163A8">
        <w:t>”</w:t>
      </w:r>
      <w:r w:rsidR="007E439B" w:rsidRPr="008163A8">
        <w:t>.</w:t>
      </w:r>
    </w:p>
    <w:p w14:paraId="4E76B169" w14:textId="77777777" w:rsidR="000B1630" w:rsidRPr="008163A8" w:rsidRDefault="000B1630" w:rsidP="008617B7">
      <w:pPr>
        <w:pStyle w:val="ListParagraph"/>
        <w:spacing w:before="120" w:after="120" w:line="240" w:lineRule="auto"/>
        <w:ind w:left="0" w:firstLine="720"/>
      </w:pPr>
    </w:p>
    <w:p w14:paraId="4B276FA4" w14:textId="31EBF296" w:rsidR="00164BA0" w:rsidRPr="008163A8" w:rsidRDefault="00597F9A" w:rsidP="008163A8">
      <w:pPr>
        <w:pStyle w:val="naisf"/>
        <w:spacing w:before="120" w:after="120"/>
        <w:ind w:firstLine="720"/>
        <w:rPr>
          <w:shd w:val="clear" w:color="auto" w:fill="FFFFFF"/>
        </w:rPr>
      </w:pPr>
      <w:r>
        <w:t>6</w:t>
      </w:r>
      <w:r w:rsidR="00FC0A01" w:rsidRPr="008163A8">
        <w:t xml:space="preserve">. </w:t>
      </w:r>
      <w:r w:rsidR="00AB0710" w:rsidRPr="008163A8">
        <w:t>Aizstāt 3.4.2.</w:t>
      </w:r>
      <w:r w:rsidR="00C80EA8" w:rsidRPr="008163A8">
        <w:t> </w:t>
      </w:r>
      <w:r w:rsidR="00AB0710" w:rsidRPr="008163A8">
        <w:t xml:space="preserve">apakšpunktā vārdus „14907:2006 „Gaisa kvalitāte – Gravimetriskā </w:t>
      </w:r>
      <w:proofErr w:type="spellStart"/>
      <w:r w:rsidR="00AB0710" w:rsidRPr="008163A8">
        <w:t>standartmetode</w:t>
      </w:r>
      <w:proofErr w:type="spellEnd"/>
      <w:r w:rsidR="00AB0710" w:rsidRPr="008163A8">
        <w:t xml:space="preserve"> suspendēto daļiņu PM</w:t>
      </w:r>
      <w:r w:rsidR="00AB0710" w:rsidRPr="008163A8">
        <w:rPr>
          <w:vertAlign w:val="subscript"/>
        </w:rPr>
        <w:t xml:space="preserve">2,5 </w:t>
      </w:r>
      <w:r w:rsidR="00AB0710" w:rsidRPr="008163A8">
        <w:t>masas frakcijas noteikšanai”</w:t>
      </w:r>
      <w:r w:rsidR="000B1630" w:rsidRPr="008163A8">
        <w:t xml:space="preserve"> ar vārdiem „12341:2014 </w:t>
      </w:r>
      <w:r w:rsidR="000B1630" w:rsidRPr="008163A8">
        <w:rPr>
          <w:shd w:val="clear" w:color="auto" w:fill="FFFFFF"/>
        </w:rPr>
        <w:t xml:space="preserve">„Gaisa kvalitāte. Gravimetrisko mērījumu </w:t>
      </w:r>
      <w:proofErr w:type="spellStart"/>
      <w:r w:rsidR="000B1630" w:rsidRPr="008163A8">
        <w:rPr>
          <w:shd w:val="clear" w:color="auto" w:fill="FFFFFF"/>
        </w:rPr>
        <w:t>standartmetode</w:t>
      </w:r>
      <w:proofErr w:type="spellEnd"/>
      <w:r w:rsidR="000B1630" w:rsidRPr="008163A8">
        <w:rPr>
          <w:shd w:val="clear" w:color="auto" w:fill="FFFFFF"/>
        </w:rPr>
        <w:t xml:space="preserve"> suspendēto cieto daļiņu PM</w:t>
      </w:r>
      <w:r w:rsidR="000B1630" w:rsidRPr="008163A8">
        <w:rPr>
          <w:shd w:val="clear" w:color="auto" w:fill="FFFFFF"/>
          <w:vertAlign w:val="subscript"/>
        </w:rPr>
        <w:t>10</w:t>
      </w:r>
      <w:r w:rsidR="000B1630" w:rsidRPr="008163A8">
        <w:rPr>
          <w:shd w:val="clear" w:color="auto" w:fill="FFFFFF"/>
        </w:rPr>
        <w:t xml:space="preserve"> vai PM</w:t>
      </w:r>
      <w:r w:rsidR="000B1630" w:rsidRPr="008163A8">
        <w:rPr>
          <w:shd w:val="clear" w:color="auto" w:fill="FFFFFF"/>
          <w:vertAlign w:val="subscript"/>
        </w:rPr>
        <w:t xml:space="preserve">2,5 </w:t>
      </w:r>
      <w:r w:rsidR="000B1630" w:rsidRPr="008163A8">
        <w:rPr>
          <w:shd w:val="clear" w:color="auto" w:fill="FFFFFF"/>
        </w:rPr>
        <w:t>frakcijas masas koncentrācijas noteikšanai”</w:t>
      </w:r>
      <w:r w:rsidR="007E439B" w:rsidRPr="008163A8">
        <w:rPr>
          <w:shd w:val="clear" w:color="auto" w:fill="FFFFFF"/>
        </w:rPr>
        <w:t>.</w:t>
      </w:r>
    </w:p>
    <w:p w14:paraId="6D142D8D" w14:textId="77777777" w:rsidR="00597F9A" w:rsidRDefault="00597F9A" w:rsidP="008617B7">
      <w:pPr>
        <w:pStyle w:val="naisf"/>
        <w:spacing w:before="120" w:after="120"/>
        <w:ind w:firstLine="720"/>
      </w:pPr>
    </w:p>
    <w:p w14:paraId="42F2B507" w14:textId="43C63FAE" w:rsidR="00164BA0" w:rsidRPr="008163A8" w:rsidRDefault="00597F9A" w:rsidP="008617B7">
      <w:pPr>
        <w:pStyle w:val="naisf"/>
        <w:spacing w:before="120" w:after="120"/>
        <w:ind w:firstLine="720"/>
      </w:pPr>
      <w:r>
        <w:t>7</w:t>
      </w:r>
      <w:r w:rsidR="004A7ADD" w:rsidRPr="008163A8">
        <w:t xml:space="preserve">. </w:t>
      </w:r>
      <w:r w:rsidR="00164BA0" w:rsidRPr="008163A8">
        <w:t>Aizstāt 3.9.3.</w:t>
      </w:r>
      <w:r w:rsidR="007E439B" w:rsidRPr="008163A8">
        <w:t> </w:t>
      </w:r>
      <w:r w:rsidR="00164BA0" w:rsidRPr="008163A8">
        <w:t>apakšpunktā vārdus „paraugu ņemšanai” ar vārdiem „mērīšanai”</w:t>
      </w:r>
      <w:r w:rsidR="007E439B" w:rsidRPr="008163A8">
        <w:t>.</w:t>
      </w:r>
    </w:p>
    <w:p w14:paraId="7417AE33" w14:textId="77777777" w:rsidR="00164BA0" w:rsidRPr="008163A8" w:rsidRDefault="00164BA0" w:rsidP="008617B7">
      <w:pPr>
        <w:pStyle w:val="naisf"/>
        <w:spacing w:before="120" w:after="120"/>
        <w:ind w:firstLine="720"/>
      </w:pPr>
    </w:p>
    <w:p w14:paraId="4B82C081" w14:textId="2785D23A" w:rsidR="00164BA0" w:rsidRPr="008163A8" w:rsidRDefault="00597F9A" w:rsidP="008617B7">
      <w:pPr>
        <w:pStyle w:val="naisf"/>
        <w:spacing w:before="120" w:after="120"/>
        <w:ind w:firstLine="720"/>
      </w:pPr>
      <w:r>
        <w:t>8</w:t>
      </w:r>
      <w:r w:rsidR="004A7ADD" w:rsidRPr="008163A8">
        <w:t xml:space="preserve">. </w:t>
      </w:r>
      <w:r w:rsidR="00164BA0" w:rsidRPr="008163A8">
        <w:t>Izteikt 3.9.4.</w:t>
      </w:r>
      <w:r w:rsidR="007E439B" w:rsidRPr="008163A8">
        <w:t> </w:t>
      </w:r>
      <w:r w:rsidR="00164BA0" w:rsidRPr="008163A8">
        <w:t>apakšpunktu šādā redakcijā:</w:t>
      </w:r>
    </w:p>
    <w:p w14:paraId="721FF6F1" w14:textId="697EEE90" w:rsidR="00164BA0" w:rsidRPr="008163A8" w:rsidRDefault="00164BA0" w:rsidP="008617B7">
      <w:pPr>
        <w:pStyle w:val="naisf"/>
        <w:spacing w:before="120" w:after="120"/>
        <w:ind w:firstLine="720"/>
      </w:pPr>
      <w:r w:rsidRPr="008163A8">
        <w:rPr>
          <w:rFonts w:eastAsiaTheme="minorHAnsi"/>
          <w:lang w:eastAsia="en-US"/>
        </w:rPr>
        <w:t>„</w:t>
      </w:r>
      <w:r w:rsidRPr="008163A8">
        <w:t>3.9.4.</w:t>
      </w:r>
      <w:r w:rsidR="007E439B" w:rsidRPr="008163A8">
        <w:t> </w:t>
      </w:r>
      <w:proofErr w:type="spellStart"/>
      <w:r w:rsidRPr="008163A8">
        <w:t>benz</w:t>
      </w:r>
      <w:proofErr w:type="spellEnd"/>
      <w:r w:rsidRPr="008163A8">
        <w:t>(a)</w:t>
      </w:r>
      <w:proofErr w:type="spellStart"/>
      <w:r w:rsidRPr="008163A8">
        <w:t>pirēna</w:t>
      </w:r>
      <w:proofErr w:type="spellEnd"/>
      <w:r w:rsidRPr="008163A8">
        <w:t xml:space="preserve"> un citu attiecīgo </w:t>
      </w:r>
      <w:proofErr w:type="spellStart"/>
      <w:r w:rsidRPr="008163A8">
        <w:t>policiklisko</w:t>
      </w:r>
      <w:proofErr w:type="spellEnd"/>
      <w:r w:rsidRPr="008163A8">
        <w:t xml:space="preserve"> aromātisko ogļūdeņražu, kā arī arsēna, kadmija un niķeļa paraugu ņemšanai izmanto bāzes (references) metodi, kas noteikta standartā LVS EN 12341:2014 „Gaisa kvalitāte. Gravimetrisko mērījumu </w:t>
      </w:r>
      <w:proofErr w:type="spellStart"/>
      <w:r w:rsidRPr="008163A8">
        <w:t>standartmetode</w:t>
      </w:r>
      <w:proofErr w:type="spellEnd"/>
      <w:r w:rsidRPr="008163A8">
        <w:t xml:space="preserve"> suspendēto cieto daļiņu PM</w:t>
      </w:r>
      <w:r w:rsidRPr="008163A8">
        <w:rPr>
          <w:vertAlign w:val="subscript"/>
        </w:rPr>
        <w:t>10</w:t>
      </w:r>
      <w:r w:rsidRPr="008163A8">
        <w:t xml:space="preserve"> vai PM</w:t>
      </w:r>
      <w:r w:rsidRPr="008163A8">
        <w:rPr>
          <w:vertAlign w:val="subscript"/>
        </w:rPr>
        <w:t xml:space="preserve">2,5 </w:t>
      </w:r>
      <w:r w:rsidRPr="008163A8">
        <w:t>frakcijas masas koncentrācijas noteikšanai”, vai citu līdzvērtīgu analīzes metodi;”</w:t>
      </w:r>
    </w:p>
    <w:p w14:paraId="4F5172D6" w14:textId="77777777" w:rsidR="00164BA0" w:rsidRPr="008163A8" w:rsidRDefault="00164BA0" w:rsidP="008617B7">
      <w:pPr>
        <w:pStyle w:val="naisf"/>
        <w:spacing w:before="120" w:after="120"/>
        <w:ind w:firstLine="720"/>
      </w:pPr>
    </w:p>
    <w:p w14:paraId="02AF5C2E" w14:textId="53DEB0A5" w:rsidR="00FB3953" w:rsidRPr="008163A8" w:rsidRDefault="00597F9A" w:rsidP="008617B7">
      <w:pPr>
        <w:pStyle w:val="naisf"/>
        <w:spacing w:before="120" w:after="120"/>
        <w:ind w:firstLine="720"/>
      </w:pPr>
      <w:r>
        <w:t>9</w:t>
      </w:r>
      <w:r w:rsidR="004A7ADD" w:rsidRPr="008163A8">
        <w:t xml:space="preserve">. </w:t>
      </w:r>
      <w:r w:rsidR="00164BA0" w:rsidRPr="008163A8">
        <w:t>Izteikt 3.9.5.</w:t>
      </w:r>
      <w:r w:rsidR="007E439B" w:rsidRPr="008163A8">
        <w:t> </w:t>
      </w:r>
      <w:r w:rsidR="00164BA0" w:rsidRPr="008163A8">
        <w:t xml:space="preserve">apakšpunktu šādā redakcijā: </w:t>
      </w:r>
    </w:p>
    <w:p w14:paraId="1C6FFB6C" w14:textId="54FD6548" w:rsidR="00164BA0" w:rsidRPr="008163A8" w:rsidRDefault="00164BA0" w:rsidP="008617B7">
      <w:pPr>
        <w:pStyle w:val="naisf"/>
        <w:spacing w:before="120" w:after="120"/>
        <w:ind w:firstLine="720"/>
      </w:pPr>
      <w:r w:rsidRPr="008163A8">
        <w:t>„3.9.5. </w:t>
      </w:r>
      <w:proofErr w:type="spellStart"/>
      <w:r w:rsidRPr="008163A8">
        <w:t>benz</w:t>
      </w:r>
      <w:proofErr w:type="spellEnd"/>
      <w:r w:rsidRPr="008163A8">
        <w:t>(a)</w:t>
      </w:r>
      <w:proofErr w:type="spellStart"/>
      <w:r w:rsidRPr="008163A8">
        <w:t>pirēna</w:t>
      </w:r>
      <w:proofErr w:type="spellEnd"/>
      <w:r w:rsidRPr="008163A8">
        <w:t xml:space="preserve"> koncentrācijas mērījumiem izmanto bāzes (references) metodi, kas noteikta standartā LVS EN 15549:2010 </w:t>
      </w:r>
      <w:r w:rsidR="007E439B" w:rsidRPr="008163A8">
        <w:t>„</w:t>
      </w:r>
      <w:r w:rsidRPr="008163A8">
        <w:t xml:space="preserve">Gaisa kvalitāte. </w:t>
      </w:r>
      <w:proofErr w:type="spellStart"/>
      <w:r w:rsidRPr="008163A8">
        <w:t>Standartmetode</w:t>
      </w:r>
      <w:proofErr w:type="spellEnd"/>
      <w:r w:rsidRPr="008163A8">
        <w:t xml:space="preserve"> </w:t>
      </w:r>
      <w:proofErr w:type="spellStart"/>
      <w:r w:rsidRPr="008163A8">
        <w:t>benz</w:t>
      </w:r>
      <w:proofErr w:type="spellEnd"/>
      <w:r w:rsidRPr="008163A8">
        <w:t>(a)</w:t>
      </w:r>
      <w:proofErr w:type="spellStart"/>
      <w:r w:rsidRPr="008163A8">
        <w:t>pirēna</w:t>
      </w:r>
      <w:proofErr w:type="spellEnd"/>
      <w:r w:rsidRPr="008163A8">
        <w:t xml:space="preserve"> koncentrācijas mērīšanai gaisā</w:t>
      </w:r>
      <w:r w:rsidR="007E439B" w:rsidRPr="008163A8">
        <w:t>”</w:t>
      </w:r>
      <w:r w:rsidRPr="008163A8">
        <w:t xml:space="preserve"> vai citu līdzvērtīgu analīzes metodi, bet citu attiecīgo </w:t>
      </w:r>
      <w:proofErr w:type="spellStart"/>
      <w:r w:rsidRPr="008163A8">
        <w:t>policiklisko</w:t>
      </w:r>
      <w:proofErr w:type="spellEnd"/>
      <w:r w:rsidRPr="008163A8">
        <w:t xml:space="preserve"> aromātisko ogļūdeņražu koncentrācijas mērījumiem – standartā LVS ISO 12884:2001 </w:t>
      </w:r>
      <w:r w:rsidR="007E439B" w:rsidRPr="008163A8">
        <w:t>„</w:t>
      </w:r>
      <w:r w:rsidRPr="008163A8">
        <w:t xml:space="preserve">Gaiss – Kopējā (gāzes un daļiņu fāzē) </w:t>
      </w:r>
      <w:proofErr w:type="spellStart"/>
      <w:r w:rsidRPr="008163A8">
        <w:t>policiklisko</w:t>
      </w:r>
      <w:proofErr w:type="spellEnd"/>
      <w:r w:rsidRPr="008163A8">
        <w:t xml:space="preserve"> aromātisko ogļūdeņražu satura noteikšana – Savākšana uz filtra un tam sekojoša </w:t>
      </w:r>
      <w:proofErr w:type="spellStart"/>
      <w:r w:rsidRPr="008163A8">
        <w:t>sorbenta</w:t>
      </w:r>
      <w:proofErr w:type="spellEnd"/>
      <w:r w:rsidRPr="008163A8">
        <w:t>, analīze ar gāzu hromatogrāfijas metodi</w:t>
      </w:r>
      <w:r w:rsidR="007E439B" w:rsidRPr="008163A8">
        <w:t>”</w:t>
      </w:r>
      <w:r w:rsidRPr="008163A8">
        <w:t xml:space="preserve"> noteikto metodi vai citu līdzvērtīgu analīzes metodi;”</w:t>
      </w:r>
    </w:p>
    <w:p w14:paraId="0F0D263F" w14:textId="77777777" w:rsidR="00152EF2" w:rsidRDefault="00152EF2" w:rsidP="008617B7">
      <w:pPr>
        <w:pStyle w:val="naisf"/>
        <w:spacing w:before="120" w:after="120"/>
        <w:ind w:firstLine="720"/>
      </w:pPr>
    </w:p>
    <w:p w14:paraId="0680F85C" w14:textId="212B7EEA" w:rsidR="0065132D" w:rsidRDefault="00597F9A" w:rsidP="008617B7">
      <w:pPr>
        <w:pStyle w:val="naisf"/>
        <w:spacing w:before="120" w:after="120"/>
        <w:ind w:firstLine="720"/>
      </w:pPr>
      <w:r>
        <w:t>10</w:t>
      </w:r>
      <w:r w:rsidR="008617B7">
        <w:t xml:space="preserve">. </w:t>
      </w:r>
      <w:r w:rsidR="006F65FC">
        <w:t>Izteikt 3.9.6.</w:t>
      </w:r>
      <w:r w:rsidR="007E439B">
        <w:t> </w:t>
      </w:r>
      <w:r w:rsidR="006F65FC">
        <w:t>apakšpunktu šādā redakcijā:</w:t>
      </w:r>
    </w:p>
    <w:p w14:paraId="1CC4A11D" w14:textId="182D9E06" w:rsidR="006F65FC" w:rsidRDefault="006F65FC" w:rsidP="008617B7">
      <w:pPr>
        <w:pStyle w:val="naisf"/>
        <w:spacing w:before="120" w:after="120"/>
        <w:ind w:firstLine="720"/>
      </w:pPr>
      <w:r>
        <w:t>„3.9.6.</w:t>
      </w:r>
      <w:r w:rsidR="007E439B">
        <w:t> </w:t>
      </w:r>
      <w:r>
        <w:t xml:space="preserve">kopējā gāzveida dzīvsudraba (dzīvsudraba tvaiki un </w:t>
      </w:r>
      <w:proofErr w:type="spellStart"/>
      <w:r>
        <w:t>reaģētspējīgs</w:t>
      </w:r>
      <w:proofErr w:type="spellEnd"/>
      <w:r>
        <w:t xml:space="preserve"> gāzveida dzīvsudrabs – </w:t>
      </w:r>
      <w:r w:rsidRPr="006F65FC">
        <w:t xml:space="preserve">ūdenī šķīstoši dzīvsudraba savienojumi ar pietiekami augstu tvaika spiedienu, lai tie būtu gāzveida stāvoklī) koncentrācijas mērījumiem izmanto bāzes (references) metodi, kas noteikta standartā </w:t>
      </w:r>
      <w:r w:rsidRPr="0065132D">
        <w:rPr>
          <w:bCs/>
          <w:shd w:val="clear" w:color="auto" w:fill="FFFFFF"/>
        </w:rPr>
        <w:t>LVS EN 15852:2010</w:t>
      </w:r>
      <w:r w:rsidRPr="006F65FC">
        <w:t xml:space="preserve"> “Gaisa </w:t>
      </w:r>
      <w:r w:rsidRPr="0065132D">
        <w:rPr>
          <w:color w:val="333333"/>
        </w:rPr>
        <w:t>kvalitāte. Standarta metode dzīvsudraba tvaiku noteikšanai</w:t>
      </w:r>
      <w:r w:rsidR="005E4246" w:rsidRPr="0065132D">
        <w:rPr>
          <w:color w:val="333333"/>
        </w:rPr>
        <w:t>”</w:t>
      </w:r>
      <w:r>
        <w:t>, vai citu līdzvērtīgu analīzes metodi;”</w:t>
      </w:r>
    </w:p>
    <w:p w14:paraId="3E659826" w14:textId="77777777" w:rsidR="006F65FC" w:rsidRDefault="006F65FC" w:rsidP="008617B7">
      <w:pPr>
        <w:pStyle w:val="naisf"/>
        <w:spacing w:before="120" w:after="120"/>
        <w:ind w:firstLine="720"/>
      </w:pPr>
    </w:p>
    <w:p w14:paraId="5A8AAFA3" w14:textId="1CB089BD" w:rsidR="00323408" w:rsidRDefault="00597F9A" w:rsidP="008617B7">
      <w:pPr>
        <w:pStyle w:val="naisf"/>
        <w:spacing w:before="120" w:after="120"/>
        <w:ind w:firstLine="720"/>
      </w:pPr>
      <w:r>
        <w:t>11</w:t>
      </w:r>
      <w:r w:rsidR="008617B7">
        <w:t xml:space="preserve">. </w:t>
      </w:r>
      <w:r w:rsidR="00992AB9">
        <w:t>Izteikt</w:t>
      </w:r>
      <w:r w:rsidR="00CA2AF0">
        <w:t xml:space="preserve"> 3.9.7.</w:t>
      </w:r>
      <w:r w:rsidR="00F5079C">
        <w:t> </w:t>
      </w:r>
      <w:r w:rsidR="00CA2AF0">
        <w:t>apakšpunkt</w:t>
      </w:r>
      <w:r w:rsidR="00992AB9">
        <w:t>u šādā redakcijā:</w:t>
      </w:r>
    </w:p>
    <w:p w14:paraId="1580E525" w14:textId="29140A99" w:rsidR="00992AB9" w:rsidRPr="00992AB9" w:rsidRDefault="00992AB9" w:rsidP="008617B7">
      <w:pPr>
        <w:pStyle w:val="naisf"/>
        <w:spacing w:before="120" w:after="120"/>
        <w:ind w:firstLine="720"/>
      </w:pPr>
      <w:r>
        <w:t>„3.9.7.</w:t>
      </w:r>
      <w:r w:rsidR="00F5079C">
        <w:t> </w:t>
      </w:r>
      <w:r>
        <w:t xml:space="preserve">lai novērtētu arsēna, kadmija, dzīvsudraba, niķeļa un </w:t>
      </w:r>
      <w:proofErr w:type="spellStart"/>
      <w:r>
        <w:t>policiklisko</w:t>
      </w:r>
      <w:proofErr w:type="spellEnd"/>
      <w:r>
        <w:t xml:space="preserve"> aromātisko ogļūdeņražu kopējo </w:t>
      </w:r>
      <w:r w:rsidRPr="00992AB9">
        <w:t>nosēdumu daudzumu izmanto šādas bāzes (references) metodes:</w:t>
      </w:r>
    </w:p>
    <w:p w14:paraId="0CE3899F" w14:textId="62382868" w:rsidR="00992AB9" w:rsidRPr="00992AB9" w:rsidRDefault="00992AB9" w:rsidP="008617B7">
      <w:pPr>
        <w:pStyle w:val="naisf"/>
        <w:spacing w:before="120" w:after="120"/>
        <w:ind w:firstLine="720"/>
        <w:rPr>
          <w:shd w:val="clear" w:color="auto" w:fill="FFFFFF"/>
        </w:rPr>
      </w:pPr>
      <w:r w:rsidRPr="00992AB9">
        <w:t>3.9.7.</w:t>
      </w:r>
      <w:r w:rsidRPr="008163A8">
        <w:t>1.</w:t>
      </w:r>
      <w:r w:rsidR="00F5079C" w:rsidRPr="008163A8">
        <w:t> </w:t>
      </w:r>
      <w:r w:rsidRPr="008163A8">
        <w:t xml:space="preserve">arsēna, kadmija un niķeļa nosēdumu noteikšanai - metodi </w:t>
      </w:r>
      <w:r w:rsidRPr="008163A8">
        <w:rPr>
          <w:bCs/>
          <w:shd w:val="clear" w:color="auto" w:fill="FFFFFF"/>
        </w:rPr>
        <w:t>LVS EN 15841:2010 „</w:t>
      </w:r>
      <w:r w:rsidR="002F1D03" w:rsidRPr="008163A8">
        <w:rPr>
          <w:shd w:val="clear" w:color="auto" w:fill="FFFFFF"/>
        </w:rPr>
        <w:t>G</w:t>
      </w:r>
      <w:r w:rsidRPr="008163A8">
        <w:rPr>
          <w:shd w:val="clear" w:color="auto" w:fill="FFFFFF"/>
        </w:rPr>
        <w:t>aisa kvalitāte.</w:t>
      </w:r>
      <w:r w:rsidRPr="00992AB9">
        <w:rPr>
          <w:shd w:val="clear" w:color="auto" w:fill="FFFFFF"/>
        </w:rPr>
        <w:t xml:space="preserve"> </w:t>
      </w:r>
      <w:proofErr w:type="spellStart"/>
      <w:r w:rsidRPr="00992AB9">
        <w:rPr>
          <w:shd w:val="clear" w:color="auto" w:fill="FFFFFF"/>
        </w:rPr>
        <w:t>Standartmetode</w:t>
      </w:r>
      <w:proofErr w:type="spellEnd"/>
      <w:r w:rsidRPr="00992AB9">
        <w:rPr>
          <w:shd w:val="clear" w:color="auto" w:fill="FFFFFF"/>
        </w:rPr>
        <w:t xml:space="preserve"> arsēna, kadmija, svina un niķeļa noteikšanai atmosfēras nosēdumos”;</w:t>
      </w:r>
    </w:p>
    <w:p w14:paraId="10234FB0" w14:textId="44C7B3D1" w:rsidR="00992AB9" w:rsidRPr="00992AB9" w:rsidRDefault="00992AB9" w:rsidP="008617B7">
      <w:pPr>
        <w:pStyle w:val="naisf"/>
        <w:spacing w:before="120" w:after="120"/>
        <w:ind w:firstLine="720"/>
        <w:rPr>
          <w:shd w:val="clear" w:color="auto" w:fill="FFFFFF"/>
        </w:rPr>
      </w:pPr>
      <w:r w:rsidRPr="00992AB9">
        <w:rPr>
          <w:shd w:val="clear" w:color="auto" w:fill="FFFFFF"/>
        </w:rPr>
        <w:t>3.9.7.2.</w:t>
      </w:r>
      <w:r w:rsidR="00F5079C">
        <w:rPr>
          <w:shd w:val="clear" w:color="auto" w:fill="FFFFFF"/>
        </w:rPr>
        <w:t> </w:t>
      </w:r>
      <w:r w:rsidRPr="00992AB9">
        <w:rPr>
          <w:shd w:val="clear" w:color="auto" w:fill="FFFFFF"/>
        </w:rPr>
        <w:t xml:space="preserve">dzīvsudraba uzkrāšanās noteikšanai - metodi </w:t>
      </w:r>
      <w:r>
        <w:rPr>
          <w:shd w:val="clear" w:color="auto" w:fill="FFFFFF"/>
        </w:rPr>
        <w:t>LVS EN 15853:2010 „</w:t>
      </w:r>
      <w:r w:rsidRPr="00992AB9">
        <w:rPr>
          <w:shd w:val="clear" w:color="auto" w:fill="FFFFFF"/>
        </w:rPr>
        <w:t>Gaisa kvalitāte. Standarta metode dzīvsudraba nosēdumu noteikšanai”;</w:t>
      </w:r>
    </w:p>
    <w:p w14:paraId="35B4CBE2" w14:textId="063F7E32" w:rsidR="00992AB9" w:rsidRDefault="00992AB9" w:rsidP="008617B7">
      <w:pPr>
        <w:pStyle w:val="naisf"/>
        <w:spacing w:before="120" w:after="120"/>
        <w:ind w:firstLine="720"/>
      </w:pPr>
      <w:r w:rsidRPr="00992AB9">
        <w:rPr>
          <w:shd w:val="clear" w:color="auto" w:fill="FFFFFF"/>
        </w:rPr>
        <w:t>3.9.7.3.</w:t>
      </w:r>
      <w:r w:rsidR="00F5079C">
        <w:rPr>
          <w:shd w:val="clear" w:color="auto" w:fill="FFFFFF"/>
        </w:rPr>
        <w:t> </w:t>
      </w:r>
      <w:proofErr w:type="spellStart"/>
      <w:r w:rsidRPr="00992AB9">
        <w:t>benz</w:t>
      </w:r>
      <w:proofErr w:type="spellEnd"/>
      <w:r w:rsidRPr="00992AB9">
        <w:t>(a)</w:t>
      </w:r>
      <w:proofErr w:type="spellStart"/>
      <w:r w:rsidRPr="00992AB9">
        <w:t>pirēna</w:t>
      </w:r>
      <w:proofErr w:type="spellEnd"/>
      <w:r w:rsidRPr="00992AB9">
        <w:t xml:space="preserve"> un pārējo attiecīgo </w:t>
      </w:r>
      <w:proofErr w:type="spellStart"/>
      <w:r w:rsidRPr="00992AB9">
        <w:t>policiklisko</w:t>
      </w:r>
      <w:proofErr w:type="spellEnd"/>
      <w:r w:rsidRPr="00992AB9">
        <w:t xml:space="preserve"> aromātisko ogļūdeņražu uzkrāšanās noteikšanai - metodi LVS EN 15980:2011 “Gaisa kvalitāte. </w:t>
      </w:r>
      <w:proofErr w:type="spellStart"/>
      <w:r w:rsidRPr="00992AB9">
        <w:t>Benzo</w:t>
      </w:r>
      <w:proofErr w:type="spellEnd"/>
      <w:r w:rsidRPr="00992AB9">
        <w:t>[a]</w:t>
      </w:r>
      <w:proofErr w:type="spellStart"/>
      <w:r w:rsidRPr="00992AB9">
        <w:t>antracēna</w:t>
      </w:r>
      <w:proofErr w:type="spellEnd"/>
      <w:r w:rsidRPr="00992AB9">
        <w:t xml:space="preserve">, </w:t>
      </w:r>
      <w:proofErr w:type="spellStart"/>
      <w:r w:rsidRPr="00992AB9">
        <w:lastRenderedPageBreak/>
        <w:t>benzo</w:t>
      </w:r>
      <w:proofErr w:type="spellEnd"/>
      <w:r w:rsidRPr="00992AB9">
        <w:t>[b]</w:t>
      </w:r>
      <w:proofErr w:type="spellStart"/>
      <w:r w:rsidRPr="00992AB9">
        <w:t>fluoretēna</w:t>
      </w:r>
      <w:proofErr w:type="spellEnd"/>
      <w:r w:rsidRPr="00992AB9">
        <w:t xml:space="preserve">, </w:t>
      </w:r>
      <w:proofErr w:type="spellStart"/>
      <w:r w:rsidRPr="00992AB9">
        <w:t>benzo</w:t>
      </w:r>
      <w:proofErr w:type="spellEnd"/>
      <w:r w:rsidRPr="00992AB9">
        <w:t>[j]</w:t>
      </w:r>
      <w:proofErr w:type="spellStart"/>
      <w:r w:rsidRPr="00992AB9">
        <w:t>fluoretēna</w:t>
      </w:r>
      <w:proofErr w:type="spellEnd"/>
      <w:r w:rsidRPr="00992AB9">
        <w:t xml:space="preserve">, </w:t>
      </w:r>
      <w:proofErr w:type="spellStart"/>
      <w:r w:rsidRPr="00992AB9">
        <w:t>benzo</w:t>
      </w:r>
      <w:proofErr w:type="spellEnd"/>
      <w:r w:rsidRPr="006F6DFE">
        <w:t>[k]</w:t>
      </w:r>
      <w:proofErr w:type="spellStart"/>
      <w:r w:rsidRPr="006F6DFE">
        <w:t>fluoretēna</w:t>
      </w:r>
      <w:proofErr w:type="spellEnd"/>
      <w:r w:rsidRPr="006F6DFE">
        <w:t xml:space="preserve">, </w:t>
      </w:r>
      <w:proofErr w:type="spellStart"/>
      <w:r w:rsidRPr="006F6DFE">
        <w:t>benzo</w:t>
      </w:r>
      <w:proofErr w:type="spellEnd"/>
      <w:r w:rsidRPr="006F6DFE">
        <w:t>[a]</w:t>
      </w:r>
      <w:proofErr w:type="spellStart"/>
      <w:r w:rsidRPr="006F6DFE">
        <w:t>pirēna</w:t>
      </w:r>
      <w:proofErr w:type="spellEnd"/>
      <w:r w:rsidRPr="006F6DFE">
        <w:t xml:space="preserve">, </w:t>
      </w:r>
      <w:proofErr w:type="spellStart"/>
      <w:r w:rsidRPr="006F6DFE">
        <w:t>dibenzo</w:t>
      </w:r>
      <w:proofErr w:type="spellEnd"/>
      <w:r w:rsidRPr="006F6DFE">
        <w:t>[</w:t>
      </w:r>
      <w:proofErr w:type="spellStart"/>
      <w:r w:rsidRPr="006F6DFE">
        <w:t>a,h</w:t>
      </w:r>
      <w:proofErr w:type="spellEnd"/>
      <w:r w:rsidRPr="006F6DFE">
        <w:t>]</w:t>
      </w:r>
      <w:proofErr w:type="spellStart"/>
      <w:r w:rsidRPr="006F6DFE">
        <w:t>antracēna</w:t>
      </w:r>
      <w:proofErr w:type="spellEnd"/>
      <w:r w:rsidRPr="006F6DFE">
        <w:t xml:space="preserve"> un </w:t>
      </w:r>
      <w:proofErr w:type="spellStart"/>
      <w:r w:rsidRPr="006F6DFE">
        <w:t>indeno</w:t>
      </w:r>
      <w:proofErr w:type="spellEnd"/>
      <w:r w:rsidRPr="006F6DFE">
        <w:t>[1,2,3-cd]</w:t>
      </w:r>
      <w:proofErr w:type="spellStart"/>
      <w:r w:rsidRPr="006F6DFE">
        <w:t>pirēna</w:t>
      </w:r>
      <w:proofErr w:type="spellEnd"/>
      <w:r w:rsidRPr="006F6DFE">
        <w:t xml:space="preserve"> nosēdumu noteikšana”.</w:t>
      </w:r>
    </w:p>
    <w:p w14:paraId="73FE78BC" w14:textId="77777777" w:rsidR="000F678E" w:rsidRDefault="000F678E" w:rsidP="008617B7">
      <w:pPr>
        <w:pStyle w:val="naisf"/>
        <w:spacing w:before="120" w:after="120"/>
        <w:ind w:firstLine="720"/>
      </w:pPr>
    </w:p>
    <w:p w14:paraId="046ACA1F" w14:textId="3BA0CA03" w:rsidR="0065132D" w:rsidRDefault="00597F9A" w:rsidP="008617B7">
      <w:pPr>
        <w:pStyle w:val="naisf"/>
        <w:spacing w:before="120" w:after="120"/>
        <w:ind w:firstLine="720"/>
      </w:pPr>
      <w:r>
        <w:t>12</w:t>
      </w:r>
      <w:r w:rsidR="008617B7">
        <w:t xml:space="preserve">. </w:t>
      </w:r>
      <w:r w:rsidR="005D314C">
        <w:t xml:space="preserve">Papildināt </w:t>
      </w:r>
      <w:r w:rsidR="007D69CD">
        <w:t>noteikumus ar 3.</w:t>
      </w:r>
      <w:r w:rsidR="007D69CD">
        <w:rPr>
          <w:vertAlign w:val="superscript"/>
        </w:rPr>
        <w:t>1</w:t>
      </w:r>
      <w:r w:rsidR="00F5079C">
        <w:t> </w:t>
      </w:r>
      <w:r w:rsidR="007D69CD">
        <w:t>punktu šādā redakcijā:</w:t>
      </w:r>
    </w:p>
    <w:p w14:paraId="0FD8CAA0" w14:textId="3AB25F7A" w:rsidR="00323408" w:rsidRDefault="0065132D" w:rsidP="008617B7">
      <w:pPr>
        <w:pStyle w:val="naisf"/>
        <w:spacing w:before="120" w:after="120"/>
        <w:ind w:firstLine="720"/>
      </w:pPr>
      <w:r>
        <w:t>„</w:t>
      </w:r>
      <w:r w:rsidRPr="000C2298">
        <w:t>3.</w:t>
      </w:r>
      <w:r w:rsidRPr="0065132D">
        <w:rPr>
          <w:vertAlign w:val="superscript"/>
        </w:rPr>
        <w:t>1</w:t>
      </w:r>
      <w:r w:rsidR="00742B90">
        <w:t> </w:t>
      </w:r>
      <w:r w:rsidRPr="000C2298">
        <w:t>Daļiņām PM</w:t>
      </w:r>
      <w:r w:rsidRPr="0065132D">
        <w:rPr>
          <w:vertAlign w:val="subscript"/>
        </w:rPr>
        <w:t>10</w:t>
      </w:r>
      <w:r w:rsidRPr="000C2298">
        <w:t xml:space="preserve"> un daļiņām PM</w:t>
      </w:r>
      <w:r w:rsidRPr="0065132D">
        <w:rPr>
          <w:vertAlign w:val="subscript"/>
        </w:rPr>
        <w:t>2,5</w:t>
      </w:r>
      <w:r w:rsidRPr="000C2298">
        <w:t>, kā arī analizējamām daļiņu sastāvdaļām (piemēram, svinam) parauga tilpumu nosaka attiecīgās vides apstākļos, ņemot vērā temperatūru un atmosfēras spiedienu mērījumu dienā.</w:t>
      </w:r>
      <w:r>
        <w:t>”</w:t>
      </w:r>
    </w:p>
    <w:p w14:paraId="0AE21AEB" w14:textId="77777777" w:rsidR="0065132D" w:rsidRDefault="0065132D" w:rsidP="008617B7">
      <w:pPr>
        <w:pStyle w:val="naisf"/>
        <w:spacing w:before="120" w:after="120"/>
        <w:ind w:firstLine="720"/>
      </w:pPr>
    </w:p>
    <w:p w14:paraId="1F2F6517" w14:textId="2272B154" w:rsidR="0065132D" w:rsidRDefault="00597F9A" w:rsidP="008617B7">
      <w:pPr>
        <w:pStyle w:val="naisf"/>
        <w:spacing w:before="120" w:after="120"/>
        <w:ind w:firstLine="720"/>
      </w:pPr>
      <w:r>
        <w:t>13</w:t>
      </w:r>
      <w:r w:rsidR="008617B7">
        <w:t xml:space="preserve">. </w:t>
      </w:r>
      <w:r w:rsidR="00353B36">
        <w:t>Svītrot 5., 6., 7.,</w:t>
      </w:r>
      <w:r w:rsidR="0065132D">
        <w:t xml:space="preserve"> 8.</w:t>
      </w:r>
      <w:r w:rsidR="00353B36">
        <w:t>, 50.</w:t>
      </w:r>
      <w:r w:rsidR="00292F1A">
        <w:t>,</w:t>
      </w:r>
      <w:r w:rsidR="00353B36">
        <w:t xml:space="preserve"> 57</w:t>
      </w:r>
      <w:r w:rsidR="000B1887">
        <w:t>.</w:t>
      </w:r>
      <w:r w:rsidR="00742B90">
        <w:t> </w:t>
      </w:r>
      <w:r w:rsidR="0065132D">
        <w:t>punktu</w:t>
      </w:r>
      <w:r w:rsidR="00292F1A">
        <w:t xml:space="preserve"> un 11.</w:t>
      </w:r>
      <w:r w:rsidR="00742B90">
        <w:t> </w:t>
      </w:r>
      <w:r w:rsidR="00292F1A">
        <w:t>pielikuma 4.</w:t>
      </w:r>
      <w:r w:rsidR="00742B90">
        <w:t> </w:t>
      </w:r>
      <w:r w:rsidR="00292F1A">
        <w:t>punktu</w:t>
      </w:r>
      <w:r w:rsidR="00742B90">
        <w:t>.</w:t>
      </w:r>
    </w:p>
    <w:p w14:paraId="7845F446" w14:textId="77777777" w:rsidR="0065132D" w:rsidRPr="008163A8" w:rsidRDefault="0065132D" w:rsidP="008617B7">
      <w:pPr>
        <w:pStyle w:val="naisf"/>
        <w:spacing w:before="120" w:after="120"/>
        <w:ind w:firstLine="720"/>
      </w:pPr>
    </w:p>
    <w:p w14:paraId="7522571E" w14:textId="2509ADFF" w:rsidR="00927639" w:rsidRPr="008163A8" w:rsidRDefault="00597F9A" w:rsidP="008617B7">
      <w:pPr>
        <w:pStyle w:val="naisf"/>
        <w:spacing w:before="120" w:after="120"/>
        <w:ind w:firstLine="720"/>
      </w:pPr>
      <w:r w:rsidRPr="008163A8">
        <w:t>1</w:t>
      </w:r>
      <w:r>
        <w:t>4</w:t>
      </w:r>
      <w:r w:rsidR="008617B7" w:rsidRPr="008163A8">
        <w:t xml:space="preserve">. </w:t>
      </w:r>
      <w:r w:rsidR="00927639" w:rsidRPr="008163A8">
        <w:t>Papildināt noteikumus ar 7.</w:t>
      </w:r>
      <w:r w:rsidR="00927639" w:rsidRPr="008163A8">
        <w:rPr>
          <w:vertAlign w:val="superscript"/>
        </w:rPr>
        <w:t>1</w:t>
      </w:r>
      <w:r w:rsidR="00927639" w:rsidRPr="008163A8">
        <w:t>, 7.</w:t>
      </w:r>
      <w:r w:rsidR="00927639" w:rsidRPr="008163A8">
        <w:rPr>
          <w:vertAlign w:val="superscript"/>
        </w:rPr>
        <w:t>2</w:t>
      </w:r>
      <w:r w:rsidR="00927639" w:rsidRPr="008163A8">
        <w:t>, 7.</w:t>
      </w:r>
      <w:r w:rsidR="00927639" w:rsidRPr="008163A8">
        <w:rPr>
          <w:vertAlign w:val="superscript"/>
        </w:rPr>
        <w:t>3</w:t>
      </w:r>
      <w:r w:rsidR="00927639" w:rsidRPr="008163A8">
        <w:t>, 7.</w:t>
      </w:r>
      <w:r w:rsidR="00927639" w:rsidRPr="008163A8">
        <w:rPr>
          <w:vertAlign w:val="superscript"/>
        </w:rPr>
        <w:t>4</w:t>
      </w:r>
      <w:r w:rsidR="00927639" w:rsidRPr="008163A8">
        <w:t>, 7.</w:t>
      </w:r>
      <w:r w:rsidR="00927639" w:rsidRPr="008163A8">
        <w:rPr>
          <w:vertAlign w:val="superscript"/>
        </w:rPr>
        <w:t>5</w:t>
      </w:r>
      <w:r w:rsidR="00927639" w:rsidRPr="008163A8">
        <w:t xml:space="preserve"> un 7.</w:t>
      </w:r>
      <w:r w:rsidR="00927639" w:rsidRPr="008163A8">
        <w:rPr>
          <w:vertAlign w:val="superscript"/>
        </w:rPr>
        <w:t>6</w:t>
      </w:r>
      <w:r w:rsidR="00927639" w:rsidRPr="008163A8">
        <w:t xml:space="preserve"> punktu šādā redakcijā:</w:t>
      </w:r>
    </w:p>
    <w:p w14:paraId="0935B2DB" w14:textId="76E28322" w:rsidR="00927639" w:rsidRPr="008163A8" w:rsidRDefault="00623359" w:rsidP="008617B7">
      <w:pPr>
        <w:pStyle w:val="naisf"/>
        <w:spacing w:before="120" w:after="120"/>
        <w:ind w:firstLine="720"/>
      </w:pPr>
      <w:r w:rsidRPr="008163A8">
        <w:t>„</w:t>
      </w:r>
      <w:r w:rsidR="00927639" w:rsidRPr="008163A8">
        <w:t>7.</w:t>
      </w:r>
      <w:r w:rsidR="00927639" w:rsidRPr="008163A8">
        <w:rPr>
          <w:vertAlign w:val="superscript"/>
        </w:rPr>
        <w:t>1</w:t>
      </w:r>
      <w:r w:rsidR="00927639" w:rsidRPr="008163A8">
        <w:t xml:space="preserve"> Centrs attiecībā uz valsts monitoringa tīklā iekļautajām stacijām un </w:t>
      </w:r>
      <w:r w:rsidR="003343FB" w:rsidRPr="008163A8">
        <w:t>citas valsts un pašvaldību iestādes</w:t>
      </w:r>
      <w:r w:rsidR="00927639" w:rsidRPr="008163A8">
        <w:t xml:space="preserve">, kuru pārziņā ir gaisa kvalitātes monitoringa stacijas, kurās iegūtie dati tiek izmantoti sabiedrības informēšanai </w:t>
      </w:r>
      <w:r w:rsidR="001D53E9" w:rsidRPr="008163A8">
        <w:t xml:space="preserve">atbilstoši šo noteikumu </w:t>
      </w:r>
      <w:r w:rsidR="00065836" w:rsidRPr="008163A8">
        <w:t>45.5.apakš</w:t>
      </w:r>
      <w:r w:rsidR="001D53E9" w:rsidRPr="008163A8">
        <w:t xml:space="preserve">punktā noteiktajam </w:t>
      </w:r>
      <w:r w:rsidR="00927639" w:rsidRPr="008163A8">
        <w:t xml:space="preserve">vai arī </w:t>
      </w:r>
      <w:r w:rsidR="001D53E9" w:rsidRPr="008163A8">
        <w:t>šo noteikumu 24.punktā minēto rīcības programmu izstrādei</w:t>
      </w:r>
      <w:r w:rsidR="00395585" w:rsidRPr="008163A8">
        <w:t>,</w:t>
      </w:r>
      <w:r w:rsidR="00927639" w:rsidRPr="008163A8">
        <w:t xml:space="preserve"> </w:t>
      </w:r>
      <w:r w:rsidR="0048174E" w:rsidRPr="008163A8">
        <w:t xml:space="preserve">gaisa piesārņojuma </w:t>
      </w:r>
      <w:r w:rsidR="005E3C18" w:rsidRPr="008163A8">
        <w:t xml:space="preserve">līmeņa noteikšanai un </w:t>
      </w:r>
      <w:r w:rsidR="00927639" w:rsidRPr="008163A8">
        <w:t>mērīšanai, izmanto šo noteikumu 3. punktā minētās bāzes (references) metodes.</w:t>
      </w:r>
    </w:p>
    <w:p w14:paraId="6CC81CD5" w14:textId="77777777" w:rsidR="00927639" w:rsidRPr="008163A8" w:rsidRDefault="00927639" w:rsidP="008617B7">
      <w:pPr>
        <w:pStyle w:val="naisf"/>
        <w:spacing w:before="120" w:after="120"/>
        <w:ind w:firstLine="720"/>
      </w:pPr>
    </w:p>
    <w:p w14:paraId="50A0C247" w14:textId="3097E2CC" w:rsidR="009907D8" w:rsidRPr="008163A8" w:rsidRDefault="009907D8" w:rsidP="008617B7">
      <w:pPr>
        <w:pStyle w:val="naisf"/>
        <w:spacing w:before="120" w:after="120"/>
        <w:ind w:firstLine="720"/>
      </w:pPr>
      <w:r w:rsidRPr="008163A8">
        <w:t>7.</w:t>
      </w:r>
      <w:r w:rsidRPr="008163A8">
        <w:rPr>
          <w:vertAlign w:val="superscript"/>
        </w:rPr>
        <w:t>2</w:t>
      </w:r>
      <w:r w:rsidRPr="008163A8">
        <w:t xml:space="preserve"> </w:t>
      </w:r>
      <w:r w:rsidR="00E24A3B" w:rsidRPr="008163A8">
        <w:t>Šo noteikumu 7.</w:t>
      </w:r>
      <w:r w:rsidR="00E24A3B" w:rsidRPr="008163A8">
        <w:rPr>
          <w:vertAlign w:val="superscript"/>
        </w:rPr>
        <w:t xml:space="preserve">1 </w:t>
      </w:r>
      <w:r w:rsidR="00E24A3B" w:rsidRPr="008163A8">
        <w:t xml:space="preserve">punktā noteiktajos gadījumos gaisa </w:t>
      </w:r>
      <w:r w:rsidRPr="008163A8">
        <w:t xml:space="preserve">piesārņojuma </w:t>
      </w:r>
      <w:r w:rsidR="007725B9" w:rsidRPr="008163A8">
        <w:t xml:space="preserve">līmeņa </w:t>
      </w:r>
      <w:r w:rsidR="002D0205" w:rsidRPr="008163A8">
        <w:t xml:space="preserve">noteikšanai un </w:t>
      </w:r>
      <w:r w:rsidRPr="008163A8">
        <w:t>mērīšanai var izmantot arī cit</w:t>
      </w:r>
      <w:r w:rsidR="00232B36" w:rsidRPr="008163A8">
        <w:t>u</w:t>
      </w:r>
      <w:r w:rsidRPr="008163A8">
        <w:t xml:space="preserve"> paraugu ņemšanas un analīzes metod</w:t>
      </w:r>
      <w:r w:rsidR="00232B36" w:rsidRPr="008163A8">
        <w:t>i</w:t>
      </w:r>
      <w:r w:rsidRPr="008163A8">
        <w:t>, kas nav šo noteikumu 3. punktā minētā</w:t>
      </w:r>
      <w:r w:rsidR="00232B36" w:rsidRPr="008163A8">
        <w:t xml:space="preserve"> bāzes (references) metode</w:t>
      </w:r>
      <w:r w:rsidRPr="008163A8">
        <w:t>, ja ar šo citu metodi iegūtie rezultāti ir līdzvērtīgi rezultātiem, kas tiek iegūti ar šo noteikumu 3. punktā minētajām standarta (bāzes) metodēm vai daļiņu PM</w:t>
      </w:r>
      <w:r w:rsidRPr="008163A8">
        <w:rPr>
          <w:vertAlign w:val="subscript"/>
        </w:rPr>
        <w:t>10</w:t>
      </w:r>
      <w:r w:rsidRPr="008163A8">
        <w:t xml:space="preserve"> un daļiņu PM</w:t>
      </w:r>
      <w:r w:rsidRPr="008163A8">
        <w:rPr>
          <w:vertAlign w:val="subscript"/>
        </w:rPr>
        <w:t>2,5</w:t>
      </w:r>
      <w:r w:rsidRPr="008163A8">
        <w:t xml:space="preserve"> gadījumā </w:t>
      </w:r>
      <w:r w:rsidR="00542376" w:rsidRPr="008163A8">
        <w:t>var izmantot tādas</w:t>
      </w:r>
      <w:r w:rsidRPr="008163A8">
        <w:t xml:space="preserve"> metodes, kas </w:t>
      </w:r>
      <w:r w:rsidR="00542376" w:rsidRPr="008163A8">
        <w:t xml:space="preserve">pilnībā </w:t>
      </w:r>
      <w:r w:rsidRPr="008163A8">
        <w:t xml:space="preserve">atbilst </w:t>
      </w:r>
      <w:r w:rsidR="00CB78A2" w:rsidRPr="008163A8">
        <w:t xml:space="preserve">bāzes </w:t>
      </w:r>
      <w:r w:rsidR="00A82616" w:rsidRPr="008163A8">
        <w:t>(</w:t>
      </w:r>
      <w:r w:rsidR="00CB78A2" w:rsidRPr="008163A8">
        <w:t>references</w:t>
      </w:r>
      <w:r w:rsidR="00A82616" w:rsidRPr="008163A8">
        <w:t xml:space="preserve">) </w:t>
      </w:r>
      <w:r w:rsidRPr="008163A8">
        <w:t xml:space="preserve">metodei. </w:t>
      </w:r>
      <w:r w:rsidR="00D56A5B" w:rsidRPr="008163A8">
        <w:t>D</w:t>
      </w:r>
      <w:r w:rsidR="00D815FE" w:rsidRPr="008163A8">
        <w:t>aļiņu PM</w:t>
      </w:r>
      <w:r w:rsidR="00D815FE" w:rsidRPr="008163A8">
        <w:rPr>
          <w:vertAlign w:val="subscript"/>
        </w:rPr>
        <w:t>10</w:t>
      </w:r>
      <w:r w:rsidR="00D815FE" w:rsidRPr="008163A8">
        <w:t xml:space="preserve"> un daļiņu PM</w:t>
      </w:r>
      <w:r w:rsidR="00D815FE" w:rsidRPr="008163A8">
        <w:rPr>
          <w:vertAlign w:val="subscript"/>
        </w:rPr>
        <w:t>2,5</w:t>
      </w:r>
      <w:r w:rsidR="00D815FE" w:rsidRPr="008163A8">
        <w:t xml:space="preserve"> </w:t>
      </w:r>
      <w:r w:rsidRPr="008163A8">
        <w:t xml:space="preserve">gadījumā iegūtie rezultāti ir jākoriģē ar koeficientu, lai tie kļūtu līdzvērtīgi ar </w:t>
      </w:r>
      <w:r w:rsidR="001E2A6E" w:rsidRPr="008163A8">
        <w:t xml:space="preserve">bāzes (references) metodi </w:t>
      </w:r>
      <w:r w:rsidRPr="008163A8">
        <w:t>iegūtiem rezultātiem</w:t>
      </w:r>
      <w:r w:rsidR="000418FB" w:rsidRPr="008163A8">
        <w:t xml:space="preserve">, </w:t>
      </w:r>
      <w:r w:rsidR="00542376" w:rsidRPr="008163A8">
        <w:t xml:space="preserve">tai skaitā, arī </w:t>
      </w:r>
      <w:r w:rsidRPr="008163A8">
        <w:t>iepriekš veikto mērījumu rezultātus koriģē ar atbilstošu koeficientu, lai datiem nodrošinātu labāku salīdzināmību. Ja līdzvērtīguma nodrošināšanai izmanto koeficientus, tos apstiprina vai groza ar atsauci uz Eiropas Komisijas izstrādātajām vadlīnijām par līdzvērtīguma pierādīšanu.</w:t>
      </w:r>
    </w:p>
    <w:p w14:paraId="2E82076D" w14:textId="77777777" w:rsidR="009907D8" w:rsidRPr="008163A8" w:rsidRDefault="009907D8" w:rsidP="008617B7">
      <w:pPr>
        <w:pStyle w:val="naisf"/>
        <w:spacing w:before="120" w:after="120"/>
        <w:ind w:firstLine="720"/>
      </w:pPr>
    </w:p>
    <w:p w14:paraId="384919A4" w14:textId="5B2517B7" w:rsidR="00927639" w:rsidRPr="008163A8" w:rsidRDefault="00927639" w:rsidP="008617B7">
      <w:pPr>
        <w:pStyle w:val="naisf"/>
        <w:spacing w:before="120" w:after="120"/>
        <w:ind w:firstLine="720"/>
      </w:pPr>
      <w:r w:rsidRPr="008163A8">
        <w:t>7.</w:t>
      </w:r>
      <w:r w:rsidR="009907D8" w:rsidRPr="008163A8">
        <w:rPr>
          <w:vertAlign w:val="superscript"/>
        </w:rPr>
        <w:t>3</w:t>
      </w:r>
      <w:r w:rsidRPr="008163A8">
        <w:t xml:space="preserve"> Ja </w:t>
      </w:r>
      <w:r w:rsidR="009907D8" w:rsidRPr="008163A8">
        <w:t>atbilstoši šo noteikumu 7.</w:t>
      </w:r>
      <w:r w:rsidR="009907D8" w:rsidRPr="008163A8">
        <w:rPr>
          <w:vertAlign w:val="superscript"/>
        </w:rPr>
        <w:t>2</w:t>
      </w:r>
      <w:r w:rsidR="00065836" w:rsidRPr="008163A8">
        <w:t xml:space="preserve"> </w:t>
      </w:r>
      <w:r w:rsidR="009907D8" w:rsidRPr="008163A8">
        <w:t xml:space="preserve">punktam </w:t>
      </w:r>
      <w:r w:rsidRPr="008163A8">
        <w:t xml:space="preserve">gaisa piesārņojuma </w:t>
      </w:r>
      <w:r w:rsidR="009907D8" w:rsidRPr="008163A8">
        <w:t>mērīšanai</w:t>
      </w:r>
      <w:r w:rsidRPr="008163A8">
        <w:t xml:space="preserve"> izmanto paraugu ņemšanas un analīzes metodi, kas nav šo noteikumu 3.punktā minētā bāzes (references) metode, nepieciešams pierādīt, ka ar izmantojamo metodi iegūtie rezultāti ir līdzvērtīgi rezultātiem, kurus iegūst ar bāzes (references) metodi.</w:t>
      </w:r>
      <w:r w:rsidR="00232B36" w:rsidRPr="008163A8">
        <w:t xml:space="preserve"> </w:t>
      </w:r>
      <w:r w:rsidRPr="008163A8">
        <w:t xml:space="preserve">Lai </w:t>
      </w:r>
      <w:r w:rsidR="00232B36" w:rsidRPr="008163A8">
        <w:t xml:space="preserve">to </w:t>
      </w:r>
      <w:r w:rsidRPr="008163A8">
        <w:t xml:space="preserve">pierādītu </w:t>
      </w:r>
      <w:r w:rsidR="006D7A47" w:rsidRPr="008163A8">
        <w:t xml:space="preserve">valsts </w:t>
      </w:r>
      <w:r w:rsidR="00B9319E" w:rsidRPr="008163A8">
        <w:t xml:space="preserve">un pašvaldību </w:t>
      </w:r>
      <w:r w:rsidR="006D7A47" w:rsidRPr="008163A8">
        <w:t xml:space="preserve">iestādes, kuras veic gaisa </w:t>
      </w:r>
      <w:r w:rsidR="00F20390" w:rsidRPr="008163A8">
        <w:t>piesārņojuma līmeņa mērījumus</w:t>
      </w:r>
      <w:r w:rsidR="006D7A47" w:rsidRPr="008163A8">
        <w:t xml:space="preserve"> un iegūtos datus izmanto sabiedrības informēšanai atbilstoši šo noteikumu 45.5.apakšpunktā noteiktajam vai arī šo noteikumu 24.punktā minēto rīcības programmu izstrādei</w:t>
      </w:r>
      <w:r w:rsidR="00395585" w:rsidRPr="008163A8">
        <w:t xml:space="preserve">, </w:t>
      </w:r>
      <w:r w:rsidRPr="008163A8">
        <w:t xml:space="preserve"> centrā iesniedz attiecīgu metodes līdzv</w:t>
      </w:r>
      <w:r w:rsidR="000418FB" w:rsidRPr="008163A8">
        <w:t xml:space="preserve">ērtīguma pierādīšanas protokolu </w:t>
      </w:r>
      <w:r w:rsidRPr="008163A8">
        <w:t xml:space="preserve">(atskaiti), </w:t>
      </w:r>
      <w:r w:rsidR="00695ABE" w:rsidRPr="00356294">
        <w:t>k</w:t>
      </w:r>
      <w:r w:rsidR="00054DBA" w:rsidRPr="00356294">
        <w:t>uru</w:t>
      </w:r>
      <w:r w:rsidR="00695ABE" w:rsidRPr="00356294">
        <w:t xml:space="preserve"> izd</w:t>
      </w:r>
      <w:r w:rsidR="00054DBA" w:rsidRPr="00356294">
        <w:t>evusi</w:t>
      </w:r>
      <w:r w:rsidR="00695ABE" w:rsidRPr="00356294">
        <w:t xml:space="preserve"> </w:t>
      </w:r>
      <w:r w:rsidR="00E20D6C" w:rsidRPr="00356294">
        <w:t xml:space="preserve">Latvijā vai citā Eiropas Savienības dalībvalstī atbilstīgi attiecīgajam testēšanas un kalibrēšanas laboratoriju saskaņotajam standartam </w:t>
      </w:r>
      <w:r w:rsidR="00054DBA" w:rsidRPr="00356294">
        <w:t xml:space="preserve">akreditēta testēšanas </w:t>
      </w:r>
      <w:r w:rsidR="00695ABE" w:rsidRPr="00356294">
        <w:t>laboratorija</w:t>
      </w:r>
      <w:r w:rsidR="00E20D6C" w:rsidRPr="00356294">
        <w:rPr>
          <w:sz w:val="19"/>
          <w:szCs w:val="19"/>
        </w:rPr>
        <w:t>.</w:t>
      </w:r>
      <w:r w:rsidR="00E20D6C">
        <w:rPr>
          <w:sz w:val="19"/>
          <w:szCs w:val="19"/>
        </w:rPr>
        <w:t xml:space="preserve"> </w:t>
      </w:r>
      <w:r w:rsidRPr="008163A8">
        <w:t xml:space="preserve">Centrs ievēro šajā punktā minētās prasības </w:t>
      </w:r>
      <w:r w:rsidR="0077505C" w:rsidRPr="008163A8">
        <w:t xml:space="preserve">arī </w:t>
      </w:r>
      <w:r w:rsidRPr="008163A8">
        <w:t>attiecībā uz valsts monitoringa tīklā iekļautajām stacijām.</w:t>
      </w:r>
    </w:p>
    <w:p w14:paraId="538DBD8D" w14:textId="77777777" w:rsidR="00927639" w:rsidRPr="008163A8" w:rsidRDefault="00927639" w:rsidP="008617B7">
      <w:pPr>
        <w:pStyle w:val="naisf"/>
        <w:spacing w:before="120" w:after="120"/>
        <w:ind w:firstLine="720"/>
      </w:pPr>
    </w:p>
    <w:p w14:paraId="11636988" w14:textId="57183085" w:rsidR="009907D8" w:rsidRPr="008163A8" w:rsidRDefault="009907D8" w:rsidP="008617B7">
      <w:pPr>
        <w:pStyle w:val="naisf"/>
        <w:spacing w:before="120" w:after="120"/>
        <w:ind w:firstLine="720"/>
      </w:pPr>
      <w:r w:rsidRPr="008163A8">
        <w:t>7.</w:t>
      </w:r>
      <w:r w:rsidR="00C07E71" w:rsidRPr="008163A8">
        <w:rPr>
          <w:vertAlign w:val="superscript"/>
        </w:rPr>
        <w:t>4</w:t>
      </w:r>
      <w:r w:rsidRPr="008163A8">
        <w:t xml:space="preserve"> Šo noteikumu 7.</w:t>
      </w:r>
      <w:r w:rsidR="00C07E71" w:rsidRPr="008163A8">
        <w:rPr>
          <w:vertAlign w:val="superscript"/>
        </w:rPr>
        <w:t>3</w:t>
      </w:r>
      <w:r w:rsidRPr="008163A8">
        <w:rPr>
          <w:vertAlign w:val="superscript"/>
        </w:rPr>
        <w:t xml:space="preserve"> </w:t>
      </w:r>
      <w:r w:rsidRPr="008163A8">
        <w:t>punktā minētajam līdzvērtīguma pierādīšanas protokolam (atskaitei) jāapliecina, ka iekārta atbilst visām veiktspējas prasībām, tostarp</w:t>
      </w:r>
      <w:r w:rsidR="00FD3F02" w:rsidRPr="008163A8">
        <w:t xml:space="preserve"> jāietver</w:t>
      </w:r>
      <w:r w:rsidRPr="008163A8">
        <w:t xml:space="preserve"> </w:t>
      </w:r>
      <w:r w:rsidR="00A24E80" w:rsidRPr="008163A8">
        <w:t>informāci</w:t>
      </w:r>
      <w:r w:rsidR="00BB4042" w:rsidRPr="008163A8">
        <w:t>ja</w:t>
      </w:r>
      <w:r w:rsidR="00A24E80" w:rsidRPr="008163A8">
        <w:t xml:space="preserve"> par </w:t>
      </w:r>
      <w:r w:rsidR="001655A3" w:rsidRPr="008163A8">
        <w:t xml:space="preserve">testēšanas </w:t>
      </w:r>
      <w:r w:rsidR="00A24E80" w:rsidRPr="008163A8">
        <w:t>vietai</w:t>
      </w:r>
      <w:r w:rsidR="00D328D3" w:rsidRPr="008163A8">
        <w:t xml:space="preserve"> </w:t>
      </w:r>
      <w:r w:rsidR="00A24E80" w:rsidRPr="008163A8">
        <w:t>raksturīgajiem specifiskajiem</w:t>
      </w:r>
      <w:r w:rsidRPr="008163A8">
        <w:t xml:space="preserve"> vides un vietējie</w:t>
      </w:r>
      <w:r w:rsidR="00A24E80" w:rsidRPr="008163A8">
        <w:t>m</w:t>
      </w:r>
      <w:r w:rsidRPr="008163A8">
        <w:t xml:space="preserve"> nosacījumi</w:t>
      </w:r>
      <w:r w:rsidR="00A24E80" w:rsidRPr="008163A8">
        <w:t>em</w:t>
      </w:r>
      <w:r w:rsidRPr="008163A8">
        <w:t xml:space="preserve">. </w:t>
      </w:r>
      <w:r w:rsidR="001655A3" w:rsidRPr="008163A8">
        <w:t xml:space="preserve">Centrs </w:t>
      </w:r>
      <w:r w:rsidR="001655A3" w:rsidRPr="008163A8">
        <w:lastRenderedPageBreak/>
        <w:t>izvērtē iekārtas izmantošanas iespējas, ņemot vērā raksturīgos specifiskos vides un vietējos nosacījumus, kuros paredzēts izmantot iekārtu.</w:t>
      </w:r>
    </w:p>
    <w:p w14:paraId="2DD451C9" w14:textId="77777777" w:rsidR="009907D8" w:rsidRPr="008163A8" w:rsidRDefault="009907D8" w:rsidP="008617B7">
      <w:pPr>
        <w:pStyle w:val="naisf"/>
        <w:spacing w:before="120" w:after="120"/>
        <w:ind w:firstLine="720"/>
        <w:rPr>
          <w:strike/>
        </w:rPr>
      </w:pPr>
    </w:p>
    <w:p w14:paraId="455BD5E3" w14:textId="689D2AE1" w:rsidR="00927639" w:rsidRPr="008163A8" w:rsidRDefault="00927639" w:rsidP="008617B7">
      <w:pPr>
        <w:pStyle w:val="naisf"/>
        <w:spacing w:before="120" w:after="120"/>
        <w:ind w:firstLine="720"/>
      </w:pPr>
      <w:r w:rsidRPr="008163A8">
        <w:t>7.</w:t>
      </w:r>
      <w:r w:rsidR="00C07E71" w:rsidRPr="008163A8">
        <w:rPr>
          <w:vertAlign w:val="superscript"/>
        </w:rPr>
        <w:t>5</w:t>
      </w:r>
      <w:r w:rsidRPr="008163A8">
        <w:t xml:space="preserve"> Ja </w:t>
      </w:r>
      <w:r w:rsidR="00331D24" w:rsidRPr="008163A8">
        <w:t>valsts monitoringa tīklā esošajās stacijās tiek izmantota metode, kas nav šo noteikumu 3. punktā minētā bāze</w:t>
      </w:r>
      <w:r w:rsidR="00A265DF" w:rsidRPr="008163A8">
        <w:t>s</w:t>
      </w:r>
      <w:r w:rsidR="00331D24" w:rsidRPr="008163A8">
        <w:t xml:space="preserve"> (references) metode un par kuru nav pieejams citu Eiropas Savienības dalībvalstu kompetento iestāžu sagatavots līdzvērtīguma pierādīšanas protokols (atskaite), </w:t>
      </w:r>
      <w:r w:rsidRPr="008163A8">
        <w:t>centrs</w:t>
      </w:r>
      <w:r w:rsidR="00331D24" w:rsidRPr="008163A8">
        <w:t xml:space="preserve"> </w:t>
      </w:r>
      <w:r w:rsidRPr="008163A8">
        <w:t>organizē savstarpēju metožu salīdzināšanu un sagatavo atskaiti par iegūtajiem rezultātiem. Šo novērtējuma rezultātā sastādītos metodes līdzvērtīguma pierādīšanas protokolus (atskaites) un visus testu rezultātus centrs pēc pieprasījuma dara pieejamus citām kompetentajām iestādēm.</w:t>
      </w:r>
    </w:p>
    <w:p w14:paraId="1CB921A6" w14:textId="77777777" w:rsidR="00927639" w:rsidRPr="008163A8" w:rsidRDefault="00927639" w:rsidP="008617B7">
      <w:pPr>
        <w:pStyle w:val="naisf"/>
        <w:spacing w:before="120" w:after="120"/>
        <w:ind w:firstLine="720"/>
      </w:pPr>
    </w:p>
    <w:p w14:paraId="45E5727C" w14:textId="057DA3AA" w:rsidR="00927639" w:rsidRPr="008163A8" w:rsidRDefault="00927639" w:rsidP="008617B7">
      <w:pPr>
        <w:pStyle w:val="naisf"/>
        <w:spacing w:before="120" w:after="120"/>
        <w:ind w:firstLine="720"/>
      </w:pPr>
      <w:r w:rsidRPr="008163A8">
        <w:t>7.</w:t>
      </w:r>
      <w:r w:rsidR="00C07E71" w:rsidRPr="008163A8">
        <w:rPr>
          <w:vertAlign w:val="superscript"/>
        </w:rPr>
        <w:t>6</w:t>
      </w:r>
      <w:r w:rsidRPr="008163A8">
        <w:t xml:space="preserve"> Centrs saskaņā ar šo noteikumu 7.</w:t>
      </w:r>
      <w:r w:rsidR="00C07E71" w:rsidRPr="008163A8">
        <w:rPr>
          <w:vertAlign w:val="superscript"/>
        </w:rPr>
        <w:t>3</w:t>
      </w:r>
      <w:r w:rsidRPr="008163A8">
        <w:t xml:space="preserve"> punktu iesniegtos </w:t>
      </w:r>
      <w:r w:rsidR="00A56709" w:rsidRPr="008163A8">
        <w:t xml:space="preserve">līdzvērtīguma pierādīšanas protokolus (atskaites) </w:t>
      </w:r>
      <w:r w:rsidRPr="008163A8">
        <w:t>uzglabā tik ilgi, kamēr attiecīgā paraugu ņemšanas un analīzes metode tiek izmantota gaisa piesārņojuma līmeņa noteikšanai un mērīšanai, bet ne mazāk kā piecus gadus.”</w:t>
      </w:r>
      <w:r w:rsidR="00623359" w:rsidRPr="008163A8">
        <w:t>”</w:t>
      </w:r>
    </w:p>
    <w:p w14:paraId="14380820" w14:textId="77777777" w:rsidR="00927639" w:rsidRPr="008163A8" w:rsidRDefault="00927639" w:rsidP="008617B7">
      <w:pPr>
        <w:pStyle w:val="naisf"/>
        <w:spacing w:before="120" w:after="120"/>
        <w:ind w:firstLine="720"/>
      </w:pPr>
    </w:p>
    <w:p w14:paraId="4F98D58F" w14:textId="7F64D83D" w:rsidR="008E1C51" w:rsidRPr="008163A8" w:rsidRDefault="00597F9A" w:rsidP="008617B7">
      <w:pPr>
        <w:pStyle w:val="naisf"/>
        <w:spacing w:before="120" w:after="120"/>
        <w:ind w:firstLine="720"/>
      </w:pPr>
      <w:r w:rsidRPr="008163A8">
        <w:t>1</w:t>
      </w:r>
      <w:r>
        <w:t>5</w:t>
      </w:r>
      <w:r w:rsidR="008617B7" w:rsidRPr="008163A8">
        <w:t xml:space="preserve">. </w:t>
      </w:r>
      <w:r w:rsidR="00800BF5" w:rsidRPr="008163A8">
        <w:t xml:space="preserve">Izteikt </w:t>
      </w:r>
      <w:r w:rsidR="0065132D" w:rsidRPr="008163A8">
        <w:t>II</w:t>
      </w:r>
      <w:r w:rsidR="00800BF5" w:rsidRPr="008163A8">
        <w:t>I</w:t>
      </w:r>
      <w:r w:rsidR="0065132D" w:rsidRPr="008163A8">
        <w:t xml:space="preserve"> nodaļas </w:t>
      </w:r>
      <w:r w:rsidR="00800BF5" w:rsidRPr="008163A8">
        <w:t>virsrakstu šādā redakcijā:</w:t>
      </w:r>
    </w:p>
    <w:p w14:paraId="21E4907F" w14:textId="77777777" w:rsidR="008617B7" w:rsidRPr="008163A8" w:rsidRDefault="00800BF5" w:rsidP="008617B7">
      <w:pPr>
        <w:pStyle w:val="naisf"/>
        <w:spacing w:before="120" w:after="120"/>
        <w:ind w:firstLine="720"/>
      </w:pPr>
      <w:r w:rsidRPr="008163A8">
        <w:t xml:space="preserve">„III. Gaisa kvalitātes novērtējums un </w:t>
      </w:r>
      <w:r w:rsidR="008E1C51" w:rsidRPr="008163A8">
        <w:t>tā veikšanas</w:t>
      </w:r>
      <w:r w:rsidRPr="008163A8">
        <w:t xml:space="preserve"> nosacījumi</w:t>
      </w:r>
      <w:r w:rsidR="008E1C51" w:rsidRPr="008163A8">
        <w:t>”</w:t>
      </w:r>
    </w:p>
    <w:p w14:paraId="7A0C4B58" w14:textId="77777777" w:rsidR="008617B7" w:rsidRPr="008163A8" w:rsidRDefault="008617B7" w:rsidP="008617B7">
      <w:pPr>
        <w:pStyle w:val="naisf"/>
        <w:spacing w:before="120" w:after="120"/>
        <w:ind w:firstLine="720"/>
      </w:pPr>
    </w:p>
    <w:p w14:paraId="4483FC58" w14:textId="5AC89CBC" w:rsidR="00AF4948" w:rsidRPr="008163A8" w:rsidRDefault="00597F9A" w:rsidP="008617B7">
      <w:pPr>
        <w:pStyle w:val="naisf"/>
        <w:spacing w:before="120" w:after="120"/>
        <w:ind w:firstLine="720"/>
      </w:pPr>
      <w:r w:rsidRPr="008163A8">
        <w:t>1</w:t>
      </w:r>
      <w:r>
        <w:t>6</w:t>
      </w:r>
      <w:r w:rsidR="008617B7" w:rsidRPr="008163A8">
        <w:t xml:space="preserve">. </w:t>
      </w:r>
      <w:r w:rsidR="004F17CE" w:rsidRPr="008163A8">
        <w:t>Papildināt noteikumus ar 8.</w:t>
      </w:r>
      <w:r w:rsidR="0065132D" w:rsidRPr="008163A8">
        <w:rPr>
          <w:vertAlign w:val="superscript"/>
        </w:rPr>
        <w:t>1</w:t>
      </w:r>
      <w:r w:rsidR="0065132D" w:rsidRPr="008163A8">
        <w:t>, 8.</w:t>
      </w:r>
      <w:r w:rsidR="0065132D" w:rsidRPr="008163A8">
        <w:rPr>
          <w:vertAlign w:val="superscript"/>
        </w:rPr>
        <w:t>2</w:t>
      </w:r>
      <w:r w:rsidR="0065132D" w:rsidRPr="008163A8">
        <w:t>, 8.</w:t>
      </w:r>
      <w:r w:rsidR="0065132D" w:rsidRPr="008163A8">
        <w:rPr>
          <w:vertAlign w:val="superscript"/>
        </w:rPr>
        <w:t>3</w:t>
      </w:r>
      <w:r w:rsidR="0065132D" w:rsidRPr="008163A8">
        <w:t>, 8.</w:t>
      </w:r>
      <w:r w:rsidR="0065132D" w:rsidRPr="008163A8">
        <w:rPr>
          <w:vertAlign w:val="superscript"/>
        </w:rPr>
        <w:t>4</w:t>
      </w:r>
      <w:r w:rsidR="004F17CE" w:rsidRPr="008163A8">
        <w:t>, 8.</w:t>
      </w:r>
      <w:r w:rsidR="004F17CE" w:rsidRPr="008163A8">
        <w:rPr>
          <w:vertAlign w:val="superscript"/>
        </w:rPr>
        <w:t>5</w:t>
      </w:r>
      <w:r w:rsidR="004F17CE" w:rsidRPr="008163A8">
        <w:t>, 8.</w:t>
      </w:r>
      <w:r w:rsidR="004F17CE" w:rsidRPr="008163A8">
        <w:rPr>
          <w:vertAlign w:val="superscript"/>
        </w:rPr>
        <w:t>6</w:t>
      </w:r>
      <w:r w:rsidR="004F17CE" w:rsidRPr="008163A8">
        <w:t>, 8.</w:t>
      </w:r>
      <w:r w:rsidR="004F17CE" w:rsidRPr="008163A8">
        <w:rPr>
          <w:vertAlign w:val="superscript"/>
        </w:rPr>
        <w:t>7</w:t>
      </w:r>
      <w:r w:rsidR="004F17CE" w:rsidRPr="008163A8">
        <w:t>, 8.</w:t>
      </w:r>
      <w:r w:rsidR="004F17CE" w:rsidRPr="008163A8">
        <w:rPr>
          <w:vertAlign w:val="superscript"/>
        </w:rPr>
        <w:t>8</w:t>
      </w:r>
      <w:r w:rsidR="00AA048B" w:rsidRPr="008163A8">
        <w:t xml:space="preserve"> un </w:t>
      </w:r>
      <w:r w:rsidR="004F17CE" w:rsidRPr="008163A8">
        <w:t>8.</w:t>
      </w:r>
      <w:r w:rsidR="004F17CE" w:rsidRPr="008163A8">
        <w:rPr>
          <w:vertAlign w:val="superscript"/>
        </w:rPr>
        <w:t>9</w:t>
      </w:r>
      <w:r w:rsidR="00742B90" w:rsidRPr="008163A8">
        <w:rPr>
          <w:vertAlign w:val="superscript"/>
        </w:rPr>
        <w:t> </w:t>
      </w:r>
      <w:r w:rsidR="0065132D" w:rsidRPr="008163A8">
        <w:t>punktu</w:t>
      </w:r>
      <w:r w:rsidR="004F17CE" w:rsidRPr="008163A8">
        <w:t xml:space="preserve"> </w:t>
      </w:r>
      <w:r w:rsidR="0065132D" w:rsidRPr="008163A8">
        <w:t>šādā redakcijā:</w:t>
      </w:r>
    </w:p>
    <w:p w14:paraId="43196F80" w14:textId="4ED4BC58" w:rsidR="0065132D" w:rsidRPr="008163A8" w:rsidRDefault="0065132D" w:rsidP="008617B7">
      <w:pPr>
        <w:pStyle w:val="naisf"/>
        <w:spacing w:before="120" w:after="120"/>
        <w:ind w:firstLine="720"/>
      </w:pPr>
      <w:r w:rsidRPr="008163A8">
        <w:rPr>
          <w:rFonts w:eastAsiaTheme="minorHAnsi"/>
          <w:lang w:eastAsia="en-US"/>
        </w:rPr>
        <w:t>„</w:t>
      </w:r>
      <w:r w:rsidR="004F17CE" w:rsidRPr="008163A8">
        <w:t>8.</w:t>
      </w:r>
      <w:r w:rsidR="004F17CE" w:rsidRPr="008163A8">
        <w:rPr>
          <w:vertAlign w:val="superscript"/>
        </w:rPr>
        <w:t>1</w:t>
      </w:r>
      <w:r w:rsidR="00742B90" w:rsidRPr="008163A8">
        <w:t> </w:t>
      </w:r>
      <w:r w:rsidR="00A518B6" w:rsidRPr="008163A8">
        <w:t>Centrs</w:t>
      </w:r>
      <w:r w:rsidR="008617B7" w:rsidRPr="008163A8">
        <w:t xml:space="preserve"> ir </w:t>
      </w:r>
      <w:r w:rsidR="001C25D4" w:rsidRPr="008163A8">
        <w:t xml:space="preserve">Latvijas nacionālā references laboratorija, kas veic gaisa piesārņojuma līmeņa mērījumus un ir </w:t>
      </w:r>
      <w:r w:rsidRPr="008163A8">
        <w:t>atbildīgā iestāde Latvijā par:</w:t>
      </w:r>
    </w:p>
    <w:p w14:paraId="41D74AA1" w14:textId="0897AF16" w:rsidR="0065132D" w:rsidRPr="008163A8" w:rsidRDefault="004F17CE" w:rsidP="008617B7">
      <w:pPr>
        <w:pStyle w:val="naisf"/>
        <w:spacing w:before="120" w:after="120"/>
        <w:ind w:firstLine="720"/>
      </w:pPr>
      <w:r w:rsidRPr="008163A8">
        <w:t>8.</w:t>
      </w:r>
      <w:r w:rsidRPr="008163A8">
        <w:rPr>
          <w:vertAlign w:val="superscript"/>
        </w:rPr>
        <w:t>1</w:t>
      </w:r>
      <w:r w:rsidR="0065132D" w:rsidRPr="008163A8">
        <w:t>1.</w:t>
      </w:r>
      <w:r w:rsidR="00742B90" w:rsidRPr="008163A8">
        <w:t> </w:t>
      </w:r>
      <w:r w:rsidR="0065132D" w:rsidRPr="008163A8">
        <w:t>valsts monitoringa tīkla izveidi un uzturēšanu, un gaisa kvalitātes novērtējuma veikšanu;</w:t>
      </w:r>
    </w:p>
    <w:p w14:paraId="7B56E71D" w14:textId="2F274653" w:rsidR="0065132D" w:rsidRPr="008163A8" w:rsidRDefault="004F17CE" w:rsidP="008617B7">
      <w:pPr>
        <w:pStyle w:val="naisf"/>
        <w:spacing w:before="120" w:after="120"/>
        <w:ind w:firstLine="720"/>
      </w:pPr>
      <w:r w:rsidRPr="008163A8">
        <w:t>8.</w:t>
      </w:r>
      <w:r w:rsidRPr="008163A8">
        <w:rPr>
          <w:vertAlign w:val="superscript"/>
        </w:rPr>
        <w:t>1</w:t>
      </w:r>
      <w:r w:rsidR="0065132D" w:rsidRPr="008163A8">
        <w:t>.2.</w:t>
      </w:r>
      <w:r w:rsidR="00742B90" w:rsidRPr="008163A8">
        <w:t> </w:t>
      </w:r>
      <w:r w:rsidR="0065132D" w:rsidRPr="008163A8">
        <w:t xml:space="preserve">par valsts monitoringa tīklā </w:t>
      </w:r>
      <w:r w:rsidR="00C97399" w:rsidRPr="008163A8">
        <w:t xml:space="preserve">pielietojamo </w:t>
      </w:r>
      <w:r w:rsidR="0065132D" w:rsidRPr="008163A8">
        <w:t>mērījumu sistēmu akreditāciju</w:t>
      </w:r>
      <w:r w:rsidR="008617B7" w:rsidRPr="008163A8">
        <w:t xml:space="preserve"> </w:t>
      </w:r>
      <w:r w:rsidR="0065132D" w:rsidRPr="008163A8">
        <w:t>un</w:t>
      </w:r>
      <w:r w:rsidR="0065132D" w:rsidRPr="008163A8">
        <w:rPr>
          <w:strike/>
        </w:rPr>
        <w:t xml:space="preserve"> </w:t>
      </w:r>
      <w:r w:rsidR="00206D86" w:rsidRPr="008163A8">
        <w:t>novērtējuma metožu analīzi un valsts monitoringa tīklā izmantoto metožu līdzvērtīguma pierādīšanas procesu organizēšanu;</w:t>
      </w:r>
    </w:p>
    <w:p w14:paraId="4FED4190" w14:textId="1DAC04E7" w:rsidR="0065132D" w:rsidRPr="008163A8" w:rsidRDefault="004F17CE" w:rsidP="008617B7">
      <w:pPr>
        <w:pStyle w:val="naisf"/>
        <w:spacing w:before="120" w:after="120"/>
        <w:ind w:firstLine="720"/>
      </w:pPr>
      <w:r w:rsidRPr="008163A8">
        <w:t>8.</w:t>
      </w:r>
      <w:r w:rsidRPr="008163A8">
        <w:rPr>
          <w:vertAlign w:val="superscript"/>
        </w:rPr>
        <w:t>1</w:t>
      </w:r>
      <w:r w:rsidR="0065132D" w:rsidRPr="008163A8">
        <w:t>.3.</w:t>
      </w:r>
      <w:r w:rsidR="00742B90" w:rsidRPr="008163A8">
        <w:t> </w:t>
      </w:r>
      <w:r w:rsidR="0065132D" w:rsidRPr="008163A8">
        <w:t>valsts monitoringa tīklā veikto gaisa kvalitātes mērījumu precizitātes nodrošināšanu;</w:t>
      </w:r>
    </w:p>
    <w:p w14:paraId="497B92D2" w14:textId="77777777" w:rsidR="005B703A" w:rsidRDefault="004F17CE" w:rsidP="005B703A">
      <w:pPr>
        <w:pStyle w:val="naisf"/>
        <w:spacing w:before="120" w:after="120"/>
        <w:ind w:firstLine="720"/>
      </w:pPr>
      <w:r w:rsidRPr="008163A8">
        <w:t>8.</w:t>
      </w:r>
      <w:r w:rsidRPr="008163A8">
        <w:rPr>
          <w:vertAlign w:val="superscript"/>
        </w:rPr>
        <w:t>1</w:t>
      </w:r>
      <w:r w:rsidR="0065132D" w:rsidRPr="008163A8">
        <w:t>.</w:t>
      </w:r>
      <w:r w:rsidR="00206D86" w:rsidRPr="008163A8">
        <w:t>4</w:t>
      </w:r>
      <w:r w:rsidR="0065132D" w:rsidRPr="008163A8">
        <w:t>.</w:t>
      </w:r>
      <w:r w:rsidR="00742B90" w:rsidRPr="008163A8">
        <w:t> </w:t>
      </w:r>
      <w:r w:rsidR="0065132D" w:rsidRPr="008163A8">
        <w:t>sadarbības nodrošināšanu ar Eiropas Komisijas izveidoto Nacionālo references laboratoriju Eiropas tīklu un Kopīgo Pētniecības centru</w:t>
      </w:r>
      <w:r w:rsidR="00013867" w:rsidRPr="008163A8">
        <w:t xml:space="preserve"> un Eiropas Savienības mēroga kvalitātes nodrošināšanas programmu koordināciju Latvijā.</w:t>
      </w:r>
      <w:r w:rsidR="00013197" w:rsidRPr="008163A8">
        <w:t>"</w:t>
      </w:r>
    </w:p>
    <w:p w14:paraId="1F9A7A00" w14:textId="77777777" w:rsidR="005B703A" w:rsidRDefault="005B703A" w:rsidP="005B703A">
      <w:pPr>
        <w:pStyle w:val="naisf"/>
        <w:spacing w:before="120" w:after="120"/>
        <w:ind w:firstLine="720"/>
      </w:pPr>
    </w:p>
    <w:p w14:paraId="2BC9E1C8" w14:textId="1D8BBB69" w:rsidR="004F17CE" w:rsidRPr="00F817D0" w:rsidRDefault="004F17CE" w:rsidP="005B703A">
      <w:pPr>
        <w:pStyle w:val="naisf"/>
        <w:spacing w:before="120" w:after="120"/>
        <w:ind w:firstLine="720"/>
      </w:pPr>
      <w:r w:rsidRPr="00F817D0">
        <w:t>8.</w:t>
      </w:r>
      <w:r w:rsidRPr="00F817D0">
        <w:rPr>
          <w:vertAlign w:val="superscript"/>
        </w:rPr>
        <w:t>2</w:t>
      </w:r>
      <w:r w:rsidR="007A5595" w:rsidRPr="00F817D0">
        <w:t> </w:t>
      </w:r>
      <w:r w:rsidRPr="00F817D0">
        <w:t xml:space="preserve">Centrs nodrošina, ka </w:t>
      </w:r>
      <w:r w:rsidR="007D4A34" w:rsidRPr="00F817D0">
        <w:t xml:space="preserve">nacionālā references laboratorija </w:t>
      </w:r>
      <w:r w:rsidRPr="00F817D0">
        <w:t xml:space="preserve">ir </w:t>
      </w:r>
      <w:r w:rsidR="00054DBA" w:rsidRPr="00F817D0">
        <w:t xml:space="preserve">testēšanas laboratorija, </w:t>
      </w:r>
      <w:r w:rsidR="005B703A" w:rsidRPr="00F817D0">
        <w:t xml:space="preserve">kura ir akreditēta Nacionālajā akreditācijas institūcijā saskaņā ar normatīvajiem aktiem par atbilstības novērtēšanas institūciju novērtēšanu, akreditāciju un uzraudzību (turpmāk – akreditēta laboratorija) </w:t>
      </w:r>
      <w:r w:rsidRPr="00F817D0">
        <w:t>attiecībā uz šo noteikumu 3.</w:t>
      </w:r>
      <w:r w:rsidR="007A5595" w:rsidRPr="00F817D0">
        <w:t> </w:t>
      </w:r>
      <w:r w:rsidRPr="00F817D0">
        <w:t>punktā minētajām standartmetodēm, vismaz tām piesārņojošajām vielām, kuru koncentrācija pārsniedz apakšējo piesārņojuma novērtēšanas slieksni.</w:t>
      </w:r>
      <w:r w:rsidR="00860DED" w:rsidRPr="00F817D0">
        <w:t xml:space="preserve"> Ja centrs veic </w:t>
      </w:r>
      <w:r w:rsidR="00F46026" w:rsidRPr="00F817D0">
        <w:t xml:space="preserve">metožu </w:t>
      </w:r>
      <w:r w:rsidR="00860DED" w:rsidRPr="00F817D0">
        <w:t>savstarpējo salīdzināšanu valsts mērogā,</w:t>
      </w:r>
      <w:r w:rsidR="00F46026" w:rsidRPr="00F817D0">
        <w:t xml:space="preserve"> ta</w:t>
      </w:r>
      <w:r w:rsidR="00091D48" w:rsidRPr="00F817D0">
        <w:t>i</w:t>
      </w:r>
      <w:r w:rsidR="00F46026" w:rsidRPr="00F817D0">
        <w:t xml:space="preserve"> skaitā</w:t>
      </w:r>
      <w:r w:rsidR="00091D48" w:rsidRPr="00F817D0">
        <w:t>,</w:t>
      </w:r>
      <w:r w:rsidR="00F46026" w:rsidRPr="00F817D0">
        <w:t xml:space="preserve"> šo noteikumu 7.</w:t>
      </w:r>
      <w:r w:rsidR="00F46026" w:rsidRPr="00F817D0">
        <w:rPr>
          <w:vertAlign w:val="superscript"/>
        </w:rPr>
        <w:t>5</w:t>
      </w:r>
      <w:r w:rsidR="00F46026" w:rsidRPr="00F817D0">
        <w:t xml:space="preserve"> punktā minētajā gadījumā,</w:t>
      </w:r>
      <w:r w:rsidR="00860DED" w:rsidRPr="00F817D0">
        <w:t xml:space="preserve"> tam jābūt akreditētam saskaņā ar attiecīgo standartu prasmju pārbaužu jomā.</w:t>
      </w:r>
    </w:p>
    <w:p w14:paraId="7AE7715F" w14:textId="77777777" w:rsidR="004F17CE" w:rsidRPr="008163A8" w:rsidRDefault="004F17CE" w:rsidP="008617B7">
      <w:pPr>
        <w:pStyle w:val="naisf"/>
        <w:spacing w:before="120" w:after="120"/>
        <w:ind w:firstLine="720"/>
      </w:pPr>
    </w:p>
    <w:p w14:paraId="1BF540CD" w14:textId="06DA9E07" w:rsidR="004F17CE" w:rsidRPr="00521E04" w:rsidRDefault="004F17CE" w:rsidP="008617B7">
      <w:pPr>
        <w:pStyle w:val="naisf"/>
        <w:spacing w:before="120" w:after="120"/>
        <w:ind w:firstLine="720"/>
      </w:pPr>
      <w:r w:rsidRPr="008163A8">
        <w:lastRenderedPageBreak/>
        <w:t>8.</w:t>
      </w:r>
      <w:r w:rsidRPr="008163A8">
        <w:rPr>
          <w:vertAlign w:val="superscript"/>
        </w:rPr>
        <w:t>3</w:t>
      </w:r>
      <w:r w:rsidRPr="008163A8">
        <w:t> Centrs</w:t>
      </w:r>
      <w:r w:rsidR="007D4A34" w:rsidRPr="008163A8">
        <w:t xml:space="preserve"> nodrošina, ka valsts monitoringa tīklā iekļautajās stacijās mērījumus veic</w:t>
      </w:r>
      <w:r w:rsidRPr="008163A8">
        <w:t xml:space="preserve"> </w:t>
      </w:r>
      <w:r w:rsidR="00AB1BE3" w:rsidRPr="008163A8">
        <w:t xml:space="preserve">akreditēta laboratorija, kas ir akreditēta attiecībā uz šo noteikumu 3.punktā minētajām bāzes (references) metodēm vai citām līdzvērtīgām metodēm. Valsts </w:t>
      </w:r>
      <w:r w:rsidRPr="008163A8">
        <w:t xml:space="preserve">monitoringa tīklā iekļautajām monitoringa stacijām </w:t>
      </w:r>
      <w:r w:rsidR="009165B0" w:rsidRPr="008163A8">
        <w:t xml:space="preserve">izveido un </w:t>
      </w:r>
      <w:r w:rsidRPr="008163A8">
        <w:t>piemēro kvalitātes nodrošināšanas un kvalitātes kontroles sistēmu, kas paredz veikt regulāru iekārtu apkopi, kas ir nepieciešama mēriekārtu precizitātes garantēšanai, kā arī nodrošina</w:t>
      </w:r>
      <w:r w:rsidRPr="00521E04">
        <w:t xml:space="preserve"> datu vākšanas un paziņošanas kvalitātes kontroles procedūras izstrādi un mērījumu datu izsekojamību, ievērojot prasības, kas izklāstītas testēšanas un kalibrēšanas laboratoriju saskaņotajā standartā. Centrs sākot ar 2019.</w:t>
      </w:r>
      <w:r w:rsidR="007A5595">
        <w:t> </w:t>
      </w:r>
      <w:r w:rsidRPr="00521E04">
        <w:t>gadu vismaz reizi piecos gados izvērtē izveidoto kvalitātes nodrošināšanas sistēmu un par tās rezultātiem informē Vides aizsardzības un reģionālās attīstības ministriju.</w:t>
      </w:r>
    </w:p>
    <w:p w14:paraId="2AC3B28B" w14:textId="77777777" w:rsidR="004F17CE" w:rsidRPr="008163A8" w:rsidRDefault="004F17CE" w:rsidP="008617B7">
      <w:pPr>
        <w:pStyle w:val="naisf"/>
        <w:spacing w:before="120" w:after="120"/>
        <w:ind w:firstLine="720"/>
      </w:pPr>
    </w:p>
    <w:p w14:paraId="30A54F92" w14:textId="05046B92" w:rsidR="004F17CE" w:rsidRPr="008163A8" w:rsidRDefault="004F17CE" w:rsidP="008617B7">
      <w:pPr>
        <w:pStyle w:val="naisf"/>
        <w:spacing w:before="120" w:after="120"/>
        <w:ind w:firstLine="720"/>
      </w:pPr>
      <w:r w:rsidRPr="008163A8">
        <w:t>8.</w:t>
      </w:r>
      <w:r w:rsidR="004F54C6" w:rsidRPr="008163A8">
        <w:rPr>
          <w:vertAlign w:val="superscript"/>
        </w:rPr>
        <w:t>4</w:t>
      </w:r>
      <w:r w:rsidR="007A5595" w:rsidRPr="008163A8">
        <w:rPr>
          <w:vertAlign w:val="superscript"/>
        </w:rPr>
        <w:t> </w:t>
      </w:r>
      <w:r w:rsidRPr="008163A8">
        <w:t>Centrs ne vēlāk kā 2019.gadā un pēc tam vismaz reizi trijos gados piedalās Eiropas Savienības mērogā organizētajās kvalitātes nodrošināšanas programmās. Ja, piedaloties šajās programmās, tiek gūti neapmierinoši</w:t>
      </w:r>
      <w:r w:rsidR="00314057" w:rsidRPr="008163A8">
        <w:t xml:space="preserve"> </w:t>
      </w:r>
      <w:r w:rsidR="00304D3F" w:rsidRPr="008163A8">
        <w:t xml:space="preserve">rezultāti jeb </w:t>
      </w:r>
      <w:r w:rsidR="00314057" w:rsidRPr="008163A8">
        <w:t xml:space="preserve">tādi </w:t>
      </w:r>
      <w:r w:rsidRPr="008163A8">
        <w:t>rezultāti</w:t>
      </w:r>
      <w:r w:rsidR="009E03CD" w:rsidRPr="008163A8">
        <w:t xml:space="preserve">, kas </w:t>
      </w:r>
      <w:r w:rsidR="00304D3F" w:rsidRPr="008163A8">
        <w:t>ir būtiski atšķirīgi no citās iekārtās iegūtajiem rezultātiem</w:t>
      </w:r>
      <w:r w:rsidRPr="008163A8">
        <w:t xml:space="preserve">, centrs līdz nākošajai novērtēšanas reizei veic atbilstošus pasākumus un iesniedz ziņojumu par paveikto </w:t>
      </w:r>
      <w:r w:rsidR="007A5595" w:rsidRPr="008163A8">
        <w:t xml:space="preserve">Eiropas Komisijas </w:t>
      </w:r>
      <w:r w:rsidRPr="008163A8">
        <w:t xml:space="preserve">Kopīgajam </w:t>
      </w:r>
      <w:r w:rsidR="007A5595" w:rsidRPr="008163A8">
        <w:t>P</w:t>
      </w:r>
      <w:r w:rsidRPr="008163A8">
        <w:t>ētniecības centram.</w:t>
      </w:r>
      <w:r w:rsidR="00685F29" w:rsidRPr="008163A8">
        <w:t xml:space="preserve"> </w:t>
      </w:r>
    </w:p>
    <w:p w14:paraId="50EA5C0B" w14:textId="77777777" w:rsidR="004F17CE" w:rsidRPr="008163A8" w:rsidRDefault="004F17CE" w:rsidP="008617B7">
      <w:pPr>
        <w:pStyle w:val="CommentText"/>
        <w:spacing w:before="120" w:after="120"/>
        <w:ind w:firstLine="720"/>
        <w:rPr>
          <w:noProof/>
        </w:rPr>
      </w:pPr>
    </w:p>
    <w:p w14:paraId="66949415" w14:textId="10C1AD21" w:rsidR="0095270E" w:rsidRPr="008163A8" w:rsidRDefault="004F17CE" w:rsidP="008617B7">
      <w:pPr>
        <w:pStyle w:val="naisf"/>
        <w:spacing w:before="120" w:after="120"/>
        <w:ind w:firstLine="720"/>
      </w:pPr>
      <w:r w:rsidRPr="008163A8">
        <w:t>8.</w:t>
      </w:r>
      <w:r w:rsidR="004F54C6" w:rsidRPr="008163A8">
        <w:rPr>
          <w:vertAlign w:val="superscript"/>
        </w:rPr>
        <w:t>5</w:t>
      </w:r>
      <w:r w:rsidR="007A5595" w:rsidRPr="008163A8">
        <w:t> </w:t>
      </w:r>
      <w:r w:rsidRPr="008163A8">
        <w:t xml:space="preserve">Centrs atbild par Eiropas Komisijas Kopīgā </w:t>
      </w:r>
      <w:r w:rsidR="007A5595" w:rsidRPr="008163A8">
        <w:t>P</w:t>
      </w:r>
      <w:r w:rsidRPr="008163A8">
        <w:t xml:space="preserve">ētniecības centra organizētu </w:t>
      </w:r>
      <w:r w:rsidR="007A5595" w:rsidRPr="008163A8">
        <w:t xml:space="preserve">Eiropas </w:t>
      </w:r>
      <w:r w:rsidRPr="008163A8">
        <w:t>Savienības mēroga kvalitātes nodrošināšanas programmu koordināciju Latvijā un par šo noteikumu 3.</w:t>
      </w:r>
      <w:r w:rsidR="007A5595" w:rsidRPr="008163A8">
        <w:t> </w:t>
      </w:r>
      <w:r w:rsidRPr="008163A8">
        <w:t>punktā minēto bāzes (references) metožu izmantošanas koordināciju valsts mērogā.</w:t>
      </w:r>
      <w:r w:rsidR="00013867" w:rsidRPr="008163A8">
        <w:t xml:space="preserve"> </w:t>
      </w:r>
      <w:r w:rsidRPr="008163A8">
        <w:t xml:space="preserve">Centrs savā </w:t>
      </w:r>
      <w:r w:rsidR="007A5595" w:rsidRPr="008163A8">
        <w:t>tīmekļa vietnē</w:t>
      </w:r>
      <w:r w:rsidR="000B1887" w:rsidRPr="008163A8">
        <w:t xml:space="preserve"> </w:t>
      </w:r>
      <w:r w:rsidRPr="008163A8">
        <w:t xml:space="preserve">publicē norādes par kvalitātes kontroles procedūrām, </w:t>
      </w:r>
      <w:r w:rsidR="003F3847" w:rsidRPr="008163A8">
        <w:t>lai tās nepieciešamības gadījumā var piemērot arī</w:t>
      </w:r>
      <w:r w:rsidRPr="008163A8">
        <w:t xml:space="preserve"> </w:t>
      </w:r>
      <w:r w:rsidR="003F3847" w:rsidRPr="008163A8">
        <w:t xml:space="preserve">citas iestādes </w:t>
      </w:r>
      <w:r w:rsidRPr="008163A8">
        <w:t xml:space="preserve">un </w:t>
      </w:r>
      <w:r w:rsidR="003F3847" w:rsidRPr="008163A8">
        <w:t xml:space="preserve">organizācijas, kas veic </w:t>
      </w:r>
      <w:r w:rsidRPr="008163A8">
        <w:t xml:space="preserve">gaisa kvalitātes </w:t>
      </w:r>
      <w:r w:rsidR="00312F69" w:rsidRPr="008163A8">
        <w:t xml:space="preserve">piesārņojuma līmeņa </w:t>
      </w:r>
      <w:r w:rsidR="003F3847" w:rsidRPr="008163A8">
        <w:t>mērījumus</w:t>
      </w:r>
      <w:r w:rsidRPr="008163A8">
        <w:t>.</w:t>
      </w:r>
    </w:p>
    <w:p w14:paraId="68D0FE02" w14:textId="77777777" w:rsidR="00B25577" w:rsidRPr="008163A8" w:rsidRDefault="00B25577" w:rsidP="008617B7">
      <w:pPr>
        <w:pStyle w:val="naisf"/>
        <w:spacing w:before="120" w:after="120"/>
        <w:ind w:firstLine="720"/>
      </w:pPr>
    </w:p>
    <w:p w14:paraId="169EBAC9" w14:textId="4E063687" w:rsidR="00915AFF" w:rsidRPr="008163A8" w:rsidRDefault="003F3847" w:rsidP="008617B7">
      <w:pPr>
        <w:pStyle w:val="naisf"/>
        <w:spacing w:before="120" w:after="120"/>
        <w:ind w:firstLine="720"/>
      </w:pPr>
      <w:r w:rsidRPr="008163A8">
        <w:t>8.</w:t>
      </w:r>
      <w:r w:rsidRPr="008163A8">
        <w:rPr>
          <w:vertAlign w:val="superscript"/>
        </w:rPr>
        <w:t>6</w:t>
      </w:r>
      <w:r w:rsidRPr="008163A8">
        <w:t xml:space="preserve"> Lai nodrošinātu mērījumu precizitāti un atbilstību šajos noteikumos noteiktajiem datu kvalitātes mērķiem, </w:t>
      </w:r>
      <w:r w:rsidR="006D7A47" w:rsidRPr="008163A8">
        <w:t xml:space="preserve">valsts </w:t>
      </w:r>
      <w:r w:rsidR="003731B8" w:rsidRPr="008163A8">
        <w:t xml:space="preserve">un pašvaldību </w:t>
      </w:r>
      <w:r w:rsidR="006D7A47" w:rsidRPr="008163A8">
        <w:t>iestādes</w:t>
      </w:r>
      <w:r w:rsidR="008006D5">
        <w:t>, kas</w:t>
      </w:r>
      <w:r w:rsidR="008006D5" w:rsidRPr="008163A8">
        <w:t xml:space="preserve"> iegūtos datus izmanto sabiedrības informēšanai atbilstoši šo noteikumu 45.5.apakšpunktā noteiktajam vai arī šo noteikumu 24.punktā minēto rīcības programmu izstrādei</w:t>
      </w:r>
      <w:r w:rsidR="00FF1786">
        <w:t>,</w:t>
      </w:r>
      <w:r w:rsidR="008006D5">
        <w:t xml:space="preserve"> </w:t>
      </w:r>
      <w:r w:rsidR="00D60CEA" w:rsidRPr="008163A8">
        <w:t>nodrošina, ka gaisa piesārņojuma līmeņa mērījumus veic akreditēta laboratorija</w:t>
      </w:r>
      <w:r w:rsidR="00FF1786">
        <w:t>.</w:t>
      </w:r>
    </w:p>
    <w:p w14:paraId="403C9387" w14:textId="77777777" w:rsidR="00BF1C78" w:rsidRPr="008163A8" w:rsidRDefault="00BF1C78" w:rsidP="008617B7">
      <w:pPr>
        <w:pStyle w:val="naisf"/>
        <w:spacing w:before="120" w:after="120"/>
        <w:ind w:firstLine="720"/>
      </w:pPr>
    </w:p>
    <w:p w14:paraId="40CEC564" w14:textId="77777777" w:rsidR="00FF1786" w:rsidRDefault="003A24FD" w:rsidP="00FF1786">
      <w:pPr>
        <w:pStyle w:val="naisf"/>
        <w:spacing w:before="120" w:after="120"/>
        <w:ind w:firstLine="720"/>
      </w:pPr>
      <w:r w:rsidRPr="008163A8">
        <w:t>8</w:t>
      </w:r>
      <w:r w:rsidR="00F20390" w:rsidRPr="008163A8">
        <w:t>.</w:t>
      </w:r>
      <w:r w:rsidR="003D17CF" w:rsidRPr="008163A8">
        <w:rPr>
          <w:vertAlign w:val="superscript"/>
        </w:rPr>
        <w:t>7</w:t>
      </w:r>
      <w:r w:rsidR="003D17CF" w:rsidRPr="008163A8">
        <w:t xml:space="preserve"> </w:t>
      </w:r>
      <w:r w:rsidR="005B6266">
        <w:t xml:space="preserve">Ja </w:t>
      </w:r>
      <w:r w:rsidR="0067799F">
        <w:t>v</w:t>
      </w:r>
      <w:r w:rsidR="0067799F" w:rsidRPr="008163A8">
        <w:t>alsts un pašvaldības iestāde</w:t>
      </w:r>
      <w:r w:rsidR="0067799F">
        <w:t xml:space="preserve"> </w:t>
      </w:r>
      <w:r w:rsidR="005B6266">
        <w:t>vei</w:t>
      </w:r>
      <w:r w:rsidR="0067799F">
        <w:t>c</w:t>
      </w:r>
      <w:r w:rsidR="005B6266">
        <w:t xml:space="preserve"> indikatīv</w:t>
      </w:r>
      <w:r w:rsidR="0067799F">
        <w:t>os</w:t>
      </w:r>
      <w:r w:rsidR="005B6266">
        <w:t xml:space="preserve"> gaisa piesārņojuma mērījum</w:t>
      </w:r>
      <w:r w:rsidR="0067799F">
        <w:t>us</w:t>
      </w:r>
      <w:r w:rsidR="00F20390" w:rsidRPr="008163A8">
        <w:t xml:space="preserve"> </w:t>
      </w:r>
      <w:r w:rsidR="0067799F">
        <w:t xml:space="preserve"> un </w:t>
      </w:r>
      <w:r w:rsidR="00F20390" w:rsidRPr="008163A8">
        <w:t xml:space="preserve">iegūtos datus izmanto sabiedrības informēšanai atbilstoši šo noteikumu 45.5.apakšpunktā noteiktajam vai arī šo noteikumu 24.punktā minēto </w:t>
      </w:r>
      <w:r w:rsidR="00F20390" w:rsidRPr="008163A8">
        <w:t>rīcības programmu izstrādei</w:t>
      </w:r>
      <w:r w:rsidR="00D60CEA" w:rsidRPr="008163A8">
        <w:t>,</w:t>
      </w:r>
      <w:r w:rsidR="00C07DB3" w:rsidRPr="008163A8">
        <w:t xml:space="preserve"> var</w:t>
      </w:r>
      <w:r w:rsidR="00510CB3" w:rsidRPr="008163A8">
        <w:t xml:space="preserve"> neievērot šo noteikumu 8.</w:t>
      </w:r>
      <w:r w:rsidR="00510CB3" w:rsidRPr="008163A8">
        <w:rPr>
          <w:vertAlign w:val="superscript"/>
        </w:rPr>
        <w:t>6</w:t>
      </w:r>
      <w:r w:rsidR="00510CB3" w:rsidRPr="008163A8">
        <w:t xml:space="preserve"> punktā noteiktās prasības</w:t>
      </w:r>
      <w:r w:rsidR="00C07DB3" w:rsidRPr="008163A8">
        <w:t xml:space="preserve">, </w:t>
      </w:r>
      <w:r w:rsidR="00D60CEA" w:rsidRPr="008163A8">
        <w:t xml:space="preserve">ja tā </w:t>
      </w:r>
      <w:r w:rsidR="007A6083" w:rsidRPr="008163A8">
        <w:t>izveido un piemēro kvalitātes nodrošināšanas un kvalitātes kontroles sistēm</w:t>
      </w:r>
      <w:r w:rsidR="00F20390" w:rsidRPr="008163A8">
        <w:t>u</w:t>
      </w:r>
      <w:r w:rsidR="007A6083" w:rsidRPr="008163A8">
        <w:t xml:space="preserve">, kas paredz veikt regulāru iekārtu apkopi, kas ir nepieciešama mēriekārtu precizitātes garantēšanai, kā arī nodrošina datu vākšanas un paziņošanas kvalitātes kontroles </w:t>
      </w:r>
      <w:r w:rsidR="00A43E3D" w:rsidRPr="008163A8">
        <w:t xml:space="preserve">procedūru </w:t>
      </w:r>
      <w:r w:rsidR="007A6083" w:rsidRPr="008163A8">
        <w:t>izstrād</w:t>
      </w:r>
      <w:r w:rsidR="00F20390" w:rsidRPr="008163A8">
        <w:t>i</w:t>
      </w:r>
      <w:r w:rsidR="007A6083" w:rsidRPr="008163A8">
        <w:t xml:space="preserve"> un mērījumu datu izsekojamīb</w:t>
      </w:r>
      <w:r w:rsidR="00F20390" w:rsidRPr="008163A8">
        <w:t>u</w:t>
      </w:r>
      <w:r w:rsidR="007A6083" w:rsidRPr="008163A8">
        <w:t>, ievērojot prasības, kas izklāstītas testēšanas un kalibrēšanas laboratoriju saskaņotajā standartā</w:t>
      </w:r>
      <w:r w:rsidR="00F05274" w:rsidRPr="008163A8">
        <w:t xml:space="preserve">. </w:t>
      </w:r>
      <w:r w:rsidR="00F20390" w:rsidRPr="008163A8">
        <w:t>Minētajā gadījumā iestāde</w:t>
      </w:r>
      <w:r w:rsidRPr="008163A8">
        <w:t xml:space="preserve"> iesniedz Centram informāciju par izveidoto kvalitātes kontroles nodrošināšanas un kvalitātes kontroles sistēmu un tajā noteikto prasību piemērošanu un citu informāciju, kas centram var būt nepieciešama </w:t>
      </w:r>
      <w:r w:rsidR="00A43E3D" w:rsidRPr="008163A8">
        <w:t xml:space="preserve">iestādes vai tās struktūrvienības darbības </w:t>
      </w:r>
      <w:r w:rsidRPr="008163A8">
        <w:t>atbilstības pārbaudei</w:t>
      </w:r>
      <w:r w:rsidR="00A43E3D" w:rsidRPr="008163A8">
        <w:t xml:space="preserve"> atbilstoši testēšanas un kalibrēšanas laboratoriju saskaņotā standarta prasībām</w:t>
      </w:r>
      <w:r w:rsidR="008163A8" w:rsidRPr="008163A8">
        <w:t xml:space="preserve">. </w:t>
      </w:r>
      <w:r w:rsidRPr="008163A8">
        <w:t xml:space="preserve">Centrs </w:t>
      </w:r>
      <w:r w:rsidR="00A43E3D" w:rsidRPr="008163A8">
        <w:t>par maksu saskaņā ar Ministru kabineta apstiprinātu cenrādi  izvērtē valsts vai pašvaldības iestādes vai tās struktūrvienības kompetenci un spējas veikt testēšanu</w:t>
      </w:r>
      <w:r w:rsidR="00910F63">
        <w:t>.</w:t>
      </w:r>
      <w:r w:rsidR="00A43E3D" w:rsidRPr="008163A8">
        <w:t xml:space="preserve"> </w:t>
      </w:r>
    </w:p>
    <w:p w14:paraId="187348AE" w14:textId="77777777" w:rsidR="00FF1786" w:rsidRDefault="00FF1786" w:rsidP="00FF1786">
      <w:pPr>
        <w:pStyle w:val="naisf"/>
        <w:spacing w:before="120" w:after="120"/>
        <w:ind w:firstLine="720"/>
      </w:pPr>
    </w:p>
    <w:p w14:paraId="66B5CF88" w14:textId="577757E1" w:rsidR="00FF1786" w:rsidRPr="00FF1786" w:rsidRDefault="00FF1786" w:rsidP="00FF1786">
      <w:pPr>
        <w:pStyle w:val="naisf"/>
        <w:spacing w:before="120" w:after="120"/>
        <w:ind w:firstLine="720"/>
      </w:pPr>
      <w:r w:rsidRPr="00325D15">
        <w:rPr>
          <w:sz w:val="22"/>
          <w:szCs w:val="22"/>
        </w:rPr>
        <w:lastRenderedPageBreak/>
        <w:t>8.</w:t>
      </w:r>
      <w:r w:rsidRPr="00325D15">
        <w:rPr>
          <w:sz w:val="22"/>
          <w:szCs w:val="22"/>
          <w:vertAlign w:val="superscript"/>
        </w:rPr>
        <w:t>8</w:t>
      </w:r>
      <w:r w:rsidRPr="00325D15">
        <w:rPr>
          <w:sz w:val="22"/>
          <w:szCs w:val="22"/>
        </w:rPr>
        <w:t xml:space="preserve"> Valsts un pašvaldību iestādes, kuras veic gaisa piesārņojuma līmeņa mērījumus un iegūtos datus izmanto sabiedrības informēšanai atbilstoši šo noteikumu 45.5.apakšpunktā noteiktajam vai arī šo noteikumu 24.punktā minēto rīcības programmu izstrādei mēneša laikā pēc mērījumu uzsākšanas informē Centru par izmantotajām mērījumu metodēm un uzstādītajām gaisa kvalitātes mērīšanas iekārtām. Turpmāk centram sniedz informāciju tikai</w:t>
      </w:r>
      <w:r>
        <w:rPr>
          <w:sz w:val="22"/>
          <w:szCs w:val="22"/>
        </w:rPr>
        <w:t xml:space="preserve"> gadījumā</w:t>
      </w:r>
      <w:r w:rsidRPr="00325D15">
        <w:rPr>
          <w:sz w:val="22"/>
          <w:szCs w:val="22"/>
        </w:rPr>
        <w:t>, ja notikušas izmaiņas jau uzstādītās iekārtas darbībā</w:t>
      </w:r>
      <w:r>
        <w:rPr>
          <w:sz w:val="22"/>
          <w:szCs w:val="22"/>
        </w:rPr>
        <w:t xml:space="preserve"> (tai skaitā, ja mainīts iekārtas novietojums)</w:t>
      </w:r>
      <w:r w:rsidRPr="00325D15">
        <w:rPr>
          <w:sz w:val="22"/>
          <w:szCs w:val="22"/>
        </w:rPr>
        <w:t xml:space="preserve"> vai tiek izmantotas citas mērījumu metodes. </w:t>
      </w:r>
    </w:p>
    <w:p w14:paraId="01A52921" w14:textId="2C6639B5" w:rsidR="005D460F" w:rsidRPr="008163A8" w:rsidRDefault="005D460F" w:rsidP="008617B7">
      <w:pPr>
        <w:pStyle w:val="naisf"/>
        <w:spacing w:before="120" w:after="120"/>
        <w:ind w:firstLine="720"/>
        <w:rPr>
          <w:strike/>
        </w:rPr>
      </w:pPr>
    </w:p>
    <w:p w14:paraId="41B0C3E5" w14:textId="77777777" w:rsidR="00B25577" w:rsidRPr="008163A8" w:rsidRDefault="00B25577" w:rsidP="006A448B">
      <w:pPr>
        <w:pStyle w:val="naisf"/>
        <w:spacing w:before="120" w:after="120"/>
        <w:ind w:firstLine="0"/>
      </w:pPr>
    </w:p>
    <w:p w14:paraId="04BCB895" w14:textId="2E89EDB8" w:rsidR="008617B7" w:rsidRPr="008163A8" w:rsidRDefault="00517F73" w:rsidP="00B25577">
      <w:pPr>
        <w:pStyle w:val="naisf"/>
        <w:spacing w:before="120" w:after="120"/>
        <w:ind w:firstLine="720"/>
      </w:pPr>
      <w:r w:rsidRPr="008163A8">
        <w:t>8.</w:t>
      </w:r>
      <w:r w:rsidR="003D17CF" w:rsidRPr="008163A8">
        <w:rPr>
          <w:vertAlign w:val="superscript"/>
        </w:rPr>
        <w:t>9</w:t>
      </w:r>
      <w:r w:rsidRPr="008163A8">
        <w:t xml:space="preserve"> </w:t>
      </w:r>
      <w:r w:rsidR="00B56652" w:rsidRPr="008163A8">
        <w:t>Centrs, balstoties uz informāciju, kas iesniegta centrā atbilstoši šo noteikumu 8.</w:t>
      </w:r>
      <w:r w:rsidR="003D17CF" w:rsidRPr="008163A8">
        <w:rPr>
          <w:vertAlign w:val="superscript"/>
        </w:rPr>
        <w:t>8</w:t>
      </w:r>
      <w:r w:rsidR="00B56652" w:rsidRPr="008163A8">
        <w:t xml:space="preserve"> punktam, sākot ar 2020.gadu reizi piecos gados sagatavo pārskatu par valstī esošajām monitoringa iekārtām, </w:t>
      </w:r>
      <w:r w:rsidR="00EE373F" w:rsidRPr="008163A8">
        <w:t xml:space="preserve">kurās iegūtie dati </w:t>
      </w:r>
      <w:r w:rsidR="00395585" w:rsidRPr="008163A8">
        <w:t xml:space="preserve">tiek izmantoti </w:t>
      </w:r>
      <w:r w:rsidR="006D7A47" w:rsidRPr="008163A8">
        <w:t>sabiedrības informēšanai atbilstoši šo noteikumu 45.5.apakšpunktā noteiktajam vai arī šo noteikumu 24.punktā minēto rīcības programmu izstrādei</w:t>
      </w:r>
      <w:r w:rsidR="00F0789E" w:rsidRPr="008163A8">
        <w:t xml:space="preserve"> un to atbilstību šajos noteikumos noteiktajām prasībām</w:t>
      </w:r>
      <w:r w:rsidR="00B56652" w:rsidRPr="008163A8">
        <w:t>. Šo informāciju Centrs publicē savā tīmekļa vietnē</w:t>
      </w:r>
      <w:r w:rsidR="00C75FD5" w:rsidRPr="008163A8">
        <w:t>,</w:t>
      </w:r>
      <w:r w:rsidR="00B56652" w:rsidRPr="008163A8">
        <w:t xml:space="preserve"> norādot arī tās iekārtas, kuru mērījumi neatbilst šajos noteikumos noteiktajām prasībām un kuru mērījumos </w:t>
      </w:r>
      <w:r w:rsidR="00A43E3D" w:rsidRPr="008163A8">
        <w:t>iegūtie da</w:t>
      </w:r>
      <w:r w:rsidR="008163A8">
        <w:t>ti ir ar zemu ticamības pakāpi.</w:t>
      </w:r>
      <w:r w:rsidR="005D460F" w:rsidRPr="008163A8">
        <w:t>"</w:t>
      </w:r>
    </w:p>
    <w:p w14:paraId="7F677DE8" w14:textId="77777777" w:rsidR="008617B7" w:rsidRPr="008163A8" w:rsidRDefault="008617B7" w:rsidP="008617B7">
      <w:pPr>
        <w:pStyle w:val="naisf"/>
        <w:spacing w:before="120" w:after="120"/>
        <w:ind w:firstLine="720"/>
      </w:pPr>
    </w:p>
    <w:p w14:paraId="4EA7CCDD" w14:textId="5D31CCCF" w:rsidR="00B14D71" w:rsidRPr="008163A8" w:rsidRDefault="00597F9A" w:rsidP="008617B7">
      <w:pPr>
        <w:pStyle w:val="naisf"/>
        <w:spacing w:before="120" w:after="120"/>
        <w:ind w:firstLine="720"/>
      </w:pPr>
      <w:r w:rsidRPr="008163A8">
        <w:t>1</w:t>
      </w:r>
      <w:r>
        <w:t>7</w:t>
      </w:r>
      <w:r w:rsidR="008617B7" w:rsidRPr="008163A8">
        <w:t xml:space="preserve">. </w:t>
      </w:r>
      <w:r w:rsidR="00B14D71" w:rsidRPr="008163A8">
        <w:rPr>
          <w:rFonts w:eastAsiaTheme="minorHAnsi"/>
          <w:lang w:eastAsia="en-US"/>
        </w:rPr>
        <w:t xml:space="preserve">Izteikt </w:t>
      </w:r>
      <w:r w:rsidR="004F54C6" w:rsidRPr="008163A8">
        <w:rPr>
          <w:rFonts w:eastAsiaTheme="minorHAnsi"/>
          <w:lang w:eastAsia="en-US"/>
        </w:rPr>
        <w:t>9.</w:t>
      </w:r>
      <w:r w:rsidR="008C4AF9" w:rsidRPr="008163A8">
        <w:rPr>
          <w:rFonts w:eastAsiaTheme="minorHAnsi"/>
          <w:lang w:eastAsia="en-US"/>
        </w:rPr>
        <w:t> </w:t>
      </w:r>
      <w:r w:rsidR="00B14D71" w:rsidRPr="008163A8">
        <w:rPr>
          <w:rFonts w:eastAsiaTheme="minorHAnsi"/>
          <w:lang w:eastAsia="en-US"/>
        </w:rPr>
        <w:t>punktu šādā redakcijā:</w:t>
      </w:r>
    </w:p>
    <w:p w14:paraId="329B5117" w14:textId="166B0ECF" w:rsidR="00B14D71" w:rsidRPr="008163A8" w:rsidRDefault="00B14D71" w:rsidP="008617B7">
      <w:pPr>
        <w:pStyle w:val="naisf"/>
        <w:spacing w:before="120" w:after="120"/>
        <w:ind w:firstLine="720"/>
        <w:rPr>
          <w:highlight w:val="yellow"/>
        </w:rPr>
      </w:pPr>
      <w:r w:rsidRPr="008163A8">
        <w:rPr>
          <w:rFonts w:eastAsiaTheme="minorHAnsi"/>
          <w:lang w:eastAsia="en-US"/>
        </w:rPr>
        <w:t>„</w:t>
      </w:r>
      <w:r w:rsidRPr="008163A8">
        <w:t>9. Centrs sākot ar 2019.gadu ne retāk kā reizi piecos gados pārskata valsts teritorijas iedalījumu zonās (teritoriāla vienība, kas noteikta gaisa kvalitātes novērtēšanas un pārvaldības vajadzībām) un aglomerācijās (apdzīvoto vietu kopums, kurā iedzīvotāju skaits pārsniedz 250 000, vai apdzīvoto vietu kopums, kurā ir mazāks iedzīvotāju skaits, bet kurā iedzīvotāju blīvums pārsniedz 2500 ie</w:t>
      </w:r>
      <w:r w:rsidRPr="008163A8">
        <w:softHyphen/>
        <w:t>dzīvotājus uz kvadrātkilometru), novērtējot gaisa kvalitāti attiecībā uz šo noteikumu 3.punktā minētajām piesārņojošajām vielām. Ja aglomerācijās vai zonās ir notikušas būtiskas pārmaiņas, kas ietekmē gaisa piesārņojuma līmeni, centrs organizē ārpuskārtas gaisa kvalitātes novērtējumu.</w:t>
      </w:r>
    </w:p>
    <w:p w14:paraId="5A3632F9" w14:textId="77777777" w:rsidR="008617B7" w:rsidRPr="008163A8" w:rsidRDefault="008617B7" w:rsidP="008163A8">
      <w:pPr>
        <w:pStyle w:val="naisf"/>
        <w:spacing w:before="120" w:after="120"/>
        <w:ind w:firstLine="0"/>
        <w:rPr>
          <w:rFonts w:asciiTheme="minorHAnsi" w:eastAsiaTheme="minorHAnsi" w:hAnsiTheme="minorHAnsi" w:cstheme="minorBidi"/>
          <w:sz w:val="22"/>
          <w:szCs w:val="22"/>
          <w:lang w:eastAsia="en-US"/>
        </w:rPr>
      </w:pPr>
    </w:p>
    <w:p w14:paraId="6B4CAF65" w14:textId="5A8B0C58" w:rsidR="00FC3113" w:rsidRPr="008163A8" w:rsidRDefault="00597F9A" w:rsidP="008617B7">
      <w:pPr>
        <w:pStyle w:val="naisf"/>
        <w:spacing w:before="120" w:after="120"/>
        <w:ind w:firstLine="720"/>
        <w:rPr>
          <w:rFonts w:asciiTheme="minorHAnsi" w:eastAsiaTheme="minorHAnsi" w:hAnsiTheme="minorHAnsi" w:cstheme="minorBidi"/>
          <w:sz w:val="22"/>
          <w:szCs w:val="22"/>
          <w:lang w:eastAsia="en-US"/>
        </w:rPr>
      </w:pPr>
      <w:r w:rsidRPr="008163A8">
        <w:rPr>
          <w:rFonts w:eastAsiaTheme="minorHAnsi"/>
          <w:lang w:eastAsia="en-US"/>
        </w:rPr>
        <w:t>1</w:t>
      </w:r>
      <w:r>
        <w:rPr>
          <w:rFonts w:eastAsiaTheme="minorHAnsi"/>
          <w:lang w:eastAsia="en-US"/>
        </w:rPr>
        <w:t>8</w:t>
      </w:r>
      <w:r w:rsidR="008617B7" w:rsidRPr="008163A8">
        <w:rPr>
          <w:rFonts w:eastAsiaTheme="minorHAnsi"/>
          <w:lang w:eastAsia="en-US"/>
        </w:rPr>
        <w:t>.</w:t>
      </w:r>
      <w:r w:rsidR="008617B7" w:rsidRPr="008163A8">
        <w:rPr>
          <w:rFonts w:asciiTheme="minorHAnsi" w:eastAsiaTheme="minorHAnsi" w:hAnsiTheme="minorHAnsi" w:cstheme="minorBidi"/>
          <w:sz w:val="22"/>
          <w:szCs w:val="22"/>
          <w:lang w:eastAsia="en-US"/>
        </w:rPr>
        <w:t xml:space="preserve"> </w:t>
      </w:r>
      <w:r w:rsidR="00FC3113" w:rsidRPr="008163A8">
        <w:rPr>
          <w:rFonts w:eastAsiaTheme="minorHAnsi"/>
          <w:lang w:eastAsia="en-US"/>
        </w:rPr>
        <w:t>Izteikt 11. punktu šādā redakcijā:</w:t>
      </w:r>
    </w:p>
    <w:p w14:paraId="0F21A082" w14:textId="75D0083B" w:rsidR="008617B7" w:rsidRPr="008163A8" w:rsidRDefault="00B25577" w:rsidP="00B25577">
      <w:pPr>
        <w:pStyle w:val="naisf"/>
        <w:spacing w:before="120" w:after="120"/>
        <w:ind w:firstLine="720"/>
        <w:rPr>
          <w:rFonts w:eastAsiaTheme="minorHAnsi"/>
          <w:lang w:eastAsia="en-US"/>
        </w:rPr>
      </w:pPr>
      <w:r w:rsidRPr="008163A8">
        <w:rPr>
          <w:rFonts w:eastAsiaTheme="minorHAnsi"/>
          <w:lang w:eastAsia="en-US"/>
        </w:rPr>
        <w:t xml:space="preserve">„11. </w:t>
      </w:r>
      <w:r w:rsidR="00FC3113" w:rsidRPr="008163A8">
        <w:rPr>
          <w:rFonts w:eastAsiaTheme="minorHAnsi"/>
          <w:lang w:eastAsia="en-US"/>
        </w:rPr>
        <w:t>Lai novērtētu gaisa kvalitāti un nodrošinātu tās pārvaldību, valsts teritoriju iedala zonās un aglomerācijās saskaņā ar vides aizsardzības un reģionālās attīstības ministra rīkojumu. Rīkojumā iekļauj informāciju par valsts monitoringa tīklā esošajām gaisa kvalitātes monitoringa stacijām</w:t>
      </w:r>
      <w:r w:rsidR="00AE3DA0" w:rsidRPr="008163A8">
        <w:rPr>
          <w:rFonts w:eastAsiaTheme="minorHAnsi"/>
          <w:lang w:eastAsia="en-US"/>
        </w:rPr>
        <w:t xml:space="preserve"> un to publicē ministrijas tīmekļa vietnē</w:t>
      </w:r>
      <w:r w:rsidR="00FC3113" w:rsidRPr="008163A8">
        <w:rPr>
          <w:rFonts w:eastAsiaTheme="minorHAnsi"/>
          <w:lang w:eastAsia="en-US"/>
        </w:rPr>
        <w:t>. Šo staciju novietojumu nedrīkst mainīt, kā arī valsts monitoringa tīklā iekļauto staciju darbību pārtraukt bez saskaņojuma ar Vides aizsardzības un reģionālās attīstības</w:t>
      </w:r>
      <w:r w:rsidR="00772C11" w:rsidRPr="008163A8">
        <w:rPr>
          <w:rFonts w:eastAsiaTheme="minorHAnsi"/>
          <w:lang w:eastAsia="en-US"/>
        </w:rPr>
        <w:t xml:space="preserve"> ministriju</w:t>
      </w:r>
      <w:r w:rsidR="00FC3113" w:rsidRPr="008163A8">
        <w:rPr>
          <w:rFonts w:eastAsiaTheme="minorHAnsi"/>
          <w:lang w:eastAsia="en-US"/>
        </w:rPr>
        <w:t>.”</w:t>
      </w:r>
    </w:p>
    <w:p w14:paraId="103A2E44" w14:textId="77777777" w:rsidR="008617B7" w:rsidRDefault="008617B7" w:rsidP="008617B7">
      <w:pPr>
        <w:pStyle w:val="naisf"/>
        <w:spacing w:before="120" w:after="120"/>
        <w:ind w:firstLine="720"/>
        <w:rPr>
          <w:rFonts w:eastAsiaTheme="minorHAnsi"/>
          <w:lang w:eastAsia="en-US"/>
        </w:rPr>
      </w:pPr>
    </w:p>
    <w:p w14:paraId="39DAAD53" w14:textId="2365826F" w:rsidR="00B25577" w:rsidRDefault="00597F9A" w:rsidP="00B25577">
      <w:pPr>
        <w:pStyle w:val="naisf"/>
        <w:spacing w:before="120" w:after="120"/>
        <w:ind w:firstLine="720"/>
        <w:rPr>
          <w:rFonts w:eastAsiaTheme="minorHAnsi"/>
          <w:lang w:eastAsia="en-US"/>
        </w:rPr>
      </w:pPr>
      <w:r>
        <w:rPr>
          <w:rFonts w:eastAsiaTheme="minorHAnsi"/>
          <w:lang w:eastAsia="en-US"/>
        </w:rPr>
        <w:t>19</w:t>
      </w:r>
      <w:r w:rsidR="008617B7">
        <w:rPr>
          <w:rFonts w:eastAsiaTheme="minorHAnsi"/>
          <w:lang w:eastAsia="en-US"/>
        </w:rPr>
        <w:t xml:space="preserve">. </w:t>
      </w:r>
      <w:r w:rsidR="00917B35" w:rsidRPr="00917B35">
        <w:rPr>
          <w:rFonts w:eastAsiaTheme="minorHAnsi"/>
          <w:lang w:eastAsia="en-US"/>
        </w:rPr>
        <w:t>Izteikt 12.1. un 12.2.</w:t>
      </w:r>
      <w:r w:rsidR="00384501">
        <w:rPr>
          <w:rFonts w:eastAsiaTheme="minorHAnsi"/>
          <w:lang w:eastAsia="en-US"/>
        </w:rPr>
        <w:t> </w:t>
      </w:r>
      <w:r w:rsidR="00917B35" w:rsidRPr="00917B35">
        <w:rPr>
          <w:rFonts w:eastAsiaTheme="minorHAnsi"/>
          <w:lang w:eastAsia="en-US"/>
        </w:rPr>
        <w:t>apakšpunktu šādā redakcijā:</w:t>
      </w:r>
    </w:p>
    <w:p w14:paraId="0E0F1D93" w14:textId="15382B63" w:rsidR="00B25577" w:rsidRPr="008163A8" w:rsidRDefault="00917B35" w:rsidP="00B25577">
      <w:pPr>
        <w:pStyle w:val="naisf"/>
        <w:spacing w:before="120" w:after="120"/>
        <w:ind w:firstLine="720"/>
        <w:rPr>
          <w:rFonts w:eastAsiaTheme="minorHAnsi"/>
          <w:lang w:eastAsia="en-US"/>
        </w:rPr>
      </w:pPr>
      <w:r w:rsidRPr="00917B35">
        <w:rPr>
          <w:rFonts w:eastAsiaTheme="minorHAnsi"/>
          <w:lang w:eastAsia="en-US"/>
        </w:rPr>
        <w:t>„</w:t>
      </w:r>
      <w:r w:rsidRPr="00917B35">
        <w:t>12.1.</w:t>
      </w:r>
      <w:r w:rsidR="00384501">
        <w:t> </w:t>
      </w:r>
      <w:r w:rsidRPr="00917B35">
        <w:t>iepriekšējā gada laikā konkrētai šo noteikumu 3.</w:t>
      </w:r>
      <w:r w:rsidR="00384501">
        <w:t> </w:t>
      </w:r>
      <w:r w:rsidRPr="00917B35">
        <w:t>punktā minētajai piesārņojošajai vielai noteikto robežlielumu pārsniegumu izraisa dabisko avotu radītais piesārņojums. Centrs sniedz informāciju par dabisko avotu radīto gaisu piesārņojošo vielu koncentrāciju un pienesuma avotie</w:t>
      </w:r>
      <w:r w:rsidRPr="008163A8">
        <w:t xml:space="preserve">m, kā arī sniedz pierādījumus tam, ka pārsniegums radies no dabiskajiem avotiem. Robežlieluma pārsniegumus, </w:t>
      </w:r>
      <w:r w:rsidR="00BA3D52" w:rsidRPr="008163A8">
        <w:t>kuri ir pilnībā radušies dabisko avotu radītā piesārņojuma dēļ</w:t>
      </w:r>
      <w:r w:rsidRPr="008163A8">
        <w:t xml:space="preserve"> neuzskata par pārsniegumiem šo noteikumu izpratnē.</w:t>
      </w:r>
    </w:p>
    <w:p w14:paraId="503F90B8" w14:textId="508245DA" w:rsidR="008617B7" w:rsidRPr="008163A8" w:rsidRDefault="00917B35" w:rsidP="00B25577">
      <w:pPr>
        <w:pStyle w:val="naisf"/>
        <w:spacing w:before="120" w:after="120"/>
        <w:ind w:firstLine="720"/>
      </w:pPr>
      <w:r w:rsidRPr="008163A8">
        <w:t>12.2.</w:t>
      </w:r>
      <w:r w:rsidR="00384501" w:rsidRPr="008163A8">
        <w:t> </w:t>
      </w:r>
      <w:r w:rsidRPr="008163A8">
        <w:t>iepriekšējā gada laikā daļiņām PM</w:t>
      </w:r>
      <w:r w:rsidRPr="008163A8">
        <w:rPr>
          <w:vertAlign w:val="subscript"/>
        </w:rPr>
        <w:t>10</w:t>
      </w:r>
      <w:r w:rsidRPr="008163A8">
        <w:t xml:space="preserve"> noteikto robežlielumu pārsniegumu izraisa atkārtota daļiņu PM</w:t>
      </w:r>
      <w:r w:rsidRPr="008163A8">
        <w:rPr>
          <w:vertAlign w:val="subscript"/>
        </w:rPr>
        <w:t>10</w:t>
      </w:r>
      <w:r w:rsidRPr="008163A8">
        <w:t xml:space="preserve"> izkliedēšanās pēc ceļu kaisīšanas ar smiltīm vai sāli ziemā. Centrs sagatavo informāciju par daļiņu PM</w:t>
      </w:r>
      <w:r w:rsidRPr="008163A8">
        <w:rPr>
          <w:vertAlign w:val="subscript"/>
        </w:rPr>
        <w:t>10</w:t>
      </w:r>
      <w:r w:rsidRPr="008163A8">
        <w:t xml:space="preserve"> koncentrāciju un avotiem, kā arī sniedz pierādījumus tam, ka pārsnieguma iemesls ir šādas atkārtoti izkliedētās daļiņas PM</w:t>
      </w:r>
      <w:r w:rsidRPr="008163A8">
        <w:rPr>
          <w:vertAlign w:val="subscript"/>
        </w:rPr>
        <w:t>10</w:t>
      </w:r>
      <w:r w:rsidRPr="008163A8">
        <w:t>.</w:t>
      </w:r>
      <w:r w:rsidRPr="008163A8">
        <w:rPr>
          <w:rFonts w:eastAsiaTheme="minorHAnsi"/>
          <w:lang w:eastAsia="en-US"/>
        </w:rPr>
        <w:t>”</w:t>
      </w:r>
    </w:p>
    <w:p w14:paraId="58EDED8C" w14:textId="77777777" w:rsidR="008617B7" w:rsidRPr="008163A8" w:rsidRDefault="008617B7" w:rsidP="008617B7">
      <w:pPr>
        <w:pStyle w:val="naisf"/>
        <w:spacing w:before="120" w:after="120"/>
        <w:ind w:firstLine="720"/>
        <w:rPr>
          <w:rFonts w:eastAsiaTheme="minorHAnsi"/>
          <w:lang w:eastAsia="en-US"/>
        </w:rPr>
      </w:pPr>
    </w:p>
    <w:p w14:paraId="041222C4" w14:textId="08499679" w:rsidR="00917B35" w:rsidRPr="008163A8" w:rsidRDefault="00597F9A" w:rsidP="008617B7">
      <w:pPr>
        <w:pStyle w:val="naisf"/>
        <w:spacing w:before="120" w:after="120"/>
        <w:ind w:firstLine="720"/>
        <w:rPr>
          <w:rFonts w:eastAsiaTheme="minorHAnsi"/>
          <w:lang w:eastAsia="en-US"/>
        </w:rPr>
      </w:pPr>
      <w:r>
        <w:rPr>
          <w:rFonts w:eastAsiaTheme="minorHAnsi"/>
          <w:lang w:eastAsia="en-US"/>
        </w:rPr>
        <w:lastRenderedPageBreak/>
        <w:t>20</w:t>
      </w:r>
      <w:r w:rsidR="008617B7" w:rsidRPr="008163A8">
        <w:rPr>
          <w:rFonts w:eastAsiaTheme="minorHAnsi"/>
          <w:lang w:eastAsia="en-US"/>
        </w:rPr>
        <w:t xml:space="preserve">. </w:t>
      </w:r>
      <w:r w:rsidR="00B122B5" w:rsidRPr="008163A8">
        <w:t>Papildināt noteikumus ar 14.</w:t>
      </w:r>
      <w:r w:rsidR="00B122B5" w:rsidRPr="008163A8">
        <w:rPr>
          <w:vertAlign w:val="superscript"/>
        </w:rPr>
        <w:t>1</w:t>
      </w:r>
      <w:r w:rsidR="00B122B5" w:rsidRPr="008163A8">
        <w:t xml:space="preserve"> punktu šādā redakcijā:</w:t>
      </w:r>
    </w:p>
    <w:p w14:paraId="46CC64D0" w14:textId="30BEAD1D" w:rsidR="00B122B5" w:rsidRPr="008163A8" w:rsidRDefault="00B122B5" w:rsidP="008617B7">
      <w:pPr>
        <w:pStyle w:val="naisf"/>
        <w:spacing w:before="120" w:after="120"/>
        <w:ind w:firstLine="720"/>
      </w:pPr>
      <w:r w:rsidRPr="008163A8">
        <w:t>„14.</w:t>
      </w:r>
      <w:r w:rsidRPr="008163A8">
        <w:rPr>
          <w:vertAlign w:val="superscript"/>
        </w:rPr>
        <w:t>1</w:t>
      </w:r>
      <w:r w:rsidR="004934B9" w:rsidRPr="008163A8">
        <w:t> </w:t>
      </w:r>
      <w:r w:rsidRPr="008163A8">
        <w:t>Lai nodrošinātu  šajos noteikumos noteiktajām prasībām atbilstoša valsts monitoringa tīkla izveidi un regulāri izvērtētu vai esošais valsts monitoringa tīkla plānojums un monitoringa staciju atrašanās vietas vēl joprojām ir pamatotas un optimālas, Centrs sākot ar 20</w:t>
      </w:r>
      <w:r w:rsidR="008D0E12" w:rsidRPr="008163A8">
        <w:t>20</w:t>
      </w:r>
      <w:r w:rsidRPr="008163A8">
        <w:t>.</w:t>
      </w:r>
      <w:r w:rsidR="004934B9" w:rsidRPr="008163A8">
        <w:t> </w:t>
      </w:r>
      <w:r w:rsidRPr="008163A8">
        <w:t xml:space="preserve">gadu un turpmāk pēc nepieciešamības, taču ne retāk kā reizi piecos gados sagatavo ziņojumu, kurā </w:t>
      </w:r>
      <w:r w:rsidR="00BA3D52" w:rsidRPr="008163A8">
        <w:t xml:space="preserve">izvērtē un </w:t>
      </w:r>
      <w:r w:rsidRPr="008163A8">
        <w:t>pamato visu valsts monitoringa tīklā iekļauto monitoringa staciju vietu izvēli un iekļauj šo monitoringa staciju apkārtnes fotogrāfijas, kurās norādītas debespuses, un detalizētas kartes. Ziņojumā ietver informāciju par valsts monitoringa tīklā iekļauto staciju atbilstību šo noteikumu 10., 11. un 12.</w:t>
      </w:r>
      <w:r w:rsidR="004934B9" w:rsidRPr="008163A8">
        <w:t> </w:t>
      </w:r>
      <w:r w:rsidRPr="008163A8">
        <w:t>pielikumā noteiktajiem kritērijiem un nepieciešamajām izmaiņām esošajā valsts monitoringa tīkla plānojumā. Ja kādā zonā vai aglomerācijā izmanto papildu novērtējuma metodes (modelēšana vai indikatīvie mērījumi), ziņojumā iekļauj detalizētu informāciju par šīm metodēm un informāciju par to, kā ir izpildīti šo noteikumu 20.</w:t>
      </w:r>
      <w:r w:rsidR="004934B9" w:rsidRPr="008163A8">
        <w:t> </w:t>
      </w:r>
      <w:r w:rsidRPr="008163A8">
        <w:t xml:space="preserve">punktā uzskaitītie kritēriji. Centrs pēc </w:t>
      </w:r>
      <w:r w:rsidR="002863EE" w:rsidRPr="008163A8">
        <w:t xml:space="preserve">Eiropas Komisijas </w:t>
      </w:r>
      <w:r w:rsidRPr="008163A8">
        <w:t>pieprasījuma trīs mēnešu laikā sagatavoto ziņojumu iesniedz Eiropas Komisijai.</w:t>
      </w:r>
      <w:r w:rsidR="00B25577" w:rsidRPr="008163A8">
        <w:t>"</w:t>
      </w:r>
    </w:p>
    <w:p w14:paraId="1982E8F9" w14:textId="77777777" w:rsidR="0065132D" w:rsidRPr="008163A8" w:rsidRDefault="0065132D" w:rsidP="008617B7">
      <w:pPr>
        <w:pStyle w:val="naisf"/>
        <w:spacing w:before="120" w:after="120"/>
        <w:ind w:firstLine="720"/>
      </w:pPr>
    </w:p>
    <w:p w14:paraId="4E3065B5" w14:textId="0A1E51A3" w:rsidR="00B27E8A" w:rsidRPr="008163A8" w:rsidRDefault="00597F9A" w:rsidP="008617B7">
      <w:pPr>
        <w:pStyle w:val="naisf"/>
        <w:spacing w:before="120" w:after="120"/>
        <w:ind w:firstLine="720"/>
      </w:pPr>
      <w:r w:rsidRPr="008163A8">
        <w:t>2</w:t>
      </w:r>
      <w:r>
        <w:t>1</w:t>
      </w:r>
      <w:r w:rsidR="008617B7" w:rsidRPr="008163A8">
        <w:t xml:space="preserve">. </w:t>
      </w:r>
      <w:r w:rsidR="00B122B5" w:rsidRPr="008163A8">
        <w:t>Aizstāt 15.</w:t>
      </w:r>
      <w:r w:rsidR="004934B9" w:rsidRPr="008163A8">
        <w:t> </w:t>
      </w:r>
      <w:r w:rsidR="00B122B5" w:rsidRPr="008163A8">
        <w:t>punktā vārdus „aglomerācijas vai rūpnieciskas teritorijas” ar vārdiem „</w:t>
      </w:r>
      <w:r w:rsidR="00CC6AAA" w:rsidRPr="008163A8">
        <w:t>nozīmīgiem</w:t>
      </w:r>
      <w:r w:rsidR="00B122B5" w:rsidRPr="008163A8">
        <w:t xml:space="preserve"> piesārņojuma avotiem”</w:t>
      </w:r>
      <w:r w:rsidR="004934B9" w:rsidRPr="008163A8">
        <w:t>.</w:t>
      </w:r>
    </w:p>
    <w:p w14:paraId="31BAB502" w14:textId="77777777" w:rsidR="00B27E8A" w:rsidRDefault="00B27E8A" w:rsidP="008617B7">
      <w:pPr>
        <w:pStyle w:val="naisf"/>
        <w:spacing w:before="120" w:after="120"/>
        <w:ind w:firstLine="720"/>
      </w:pPr>
    </w:p>
    <w:p w14:paraId="62BEE8EA" w14:textId="482E9E1A" w:rsidR="00B27E8A" w:rsidRDefault="00597F9A" w:rsidP="008617B7">
      <w:pPr>
        <w:pStyle w:val="naisf"/>
        <w:spacing w:before="120" w:after="120"/>
        <w:ind w:firstLine="720"/>
      </w:pPr>
      <w:r>
        <w:t>22</w:t>
      </w:r>
      <w:r w:rsidR="008617B7">
        <w:t xml:space="preserve">. </w:t>
      </w:r>
      <w:r w:rsidR="00B27E8A">
        <w:t>Papildināt noteikumus ar 19.</w:t>
      </w:r>
      <w:r w:rsidR="00B27E8A" w:rsidRPr="00B27E8A">
        <w:rPr>
          <w:vertAlign w:val="superscript"/>
        </w:rPr>
        <w:t>1</w:t>
      </w:r>
      <w:r w:rsidR="00D81EFF">
        <w:t> </w:t>
      </w:r>
      <w:r w:rsidR="00B27E8A">
        <w:t xml:space="preserve">punktu šādā redakcijā: </w:t>
      </w:r>
    </w:p>
    <w:p w14:paraId="50FA3505" w14:textId="64CFDD14" w:rsidR="00B27E8A" w:rsidRDefault="00B27E8A" w:rsidP="008617B7">
      <w:pPr>
        <w:pStyle w:val="naisf"/>
        <w:spacing w:before="120" w:after="120"/>
        <w:ind w:firstLine="720"/>
      </w:pPr>
      <w:r>
        <w:t>„19.</w:t>
      </w:r>
      <w:r>
        <w:rPr>
          <w:vertAlign w:val="superscript"/>
        </w:rPr>
        <w:t>1</w:t>
      </w:r>
      <w:r w:rsidR="00D81EFF">
        <w:rPr>
          <w:vertAlign w:val="superscript"/>
        </w:rPr>
        <w:t> </w:t>
      </w:r>
      <w:r>
        <w:t>Veicot gaisa kvalitātes novērtējumu un gaisa kvalitātes izkliedes modelēšanu</w:t>
      </w:r>
      <w:r w:rsidR="00D81EFF">
        <w:t>,</w:t>
      </w:r>
      <w:r>
        <w:t xml:space="preserve"> ievēro šo noteikumu 15.</w:t>
      </w:r>
      <w:r w:rsidR="00D81EFF">
        <w:t> </w:t>
      </w:r>
      <w:r>
        <w:t>pielikumā noteiktos datu kvalitātes mērķus un citus šajā pielikumā noteiktos kritērijus.”</w:t>
      </w:r>
    </w:p>
    <w:p w14:paraId="29D0DCC1" w14:textId="77777777" w:rsidR="00B27E8A" w:rsidRDefault="00B27E8A" w:rsidP="008617B7">
      <w:pPr>
        <w:pStyle w:val="naisf"/>
        <w:spacing w:before="120" w:after="120"/>
        <w:ind w:firstLine="720"/>
      </w:pPr>
    </w:p>
    <w:p w14:paraId="20103042" w14:textId="3F7414A7" w:rsidR="00B14D71" w:rsidRDefault="00597F9A" w:rsidP="008617B7">
      <w:pPr>
        <w:pStyle w:val="naisf"/>
        <w:spacing w:before="120" w:after="120"/>
        <w:ind w:firstLine="720"/>
      </w:pPr>
      <w:r>
        <w:t>23</w:t>
      </w:r>
      <w:r w:rsidR="008617B7">
        <w:t xml:space="preserve">. </w:t>
      </w:r>
      <w:r w:rsidR="00B14D71">
        <w:t>Izteikt</w:t>
      </w:r>
      <w:r w:rsidR="00B27E8A">
        <w:t xml:space="preserve"> 20.</w:t>
      </w:r>
      <w:r w:rsidR="00D81EFF">
        <w:t> </w:t>
      </w:r>
      <w:r w:rsidR="00B27E8A">
        <w:t>punktu</w:t>
      </w:r>
      <w:r w:rsidR="00B14D71">
        <w:t xml:space="preserve"> šādā redakcijā:</w:t>
      </w:r>
    </w:p>
    <w:p w14:paraId="33BEA522" w14:textId="6301273C" w:rsidR="00B14D71" w:rsidRDefault="00B14D71" w:rsidP="008617B7">
      <w:pPr>
        <w:pStyle w:val="naisf"/>
        <w:spacing w:before="120" w:after="120"/>
        <w:ind w:firstLine="720"/>
      </w:pPr>
      <w:r>
        <w:t>„20. Aglomerācijās un zonās, kur datus no stacionāro mērījumu paraugu ņemšanas vietām papildina ar modelēšanā vai indikatīvos mērījumos iegūtu informāciju, centrs par 50 % var samazināt paraugu ņemšanas vietu kopskaitu, kas noteikts šo noteikumu 10.pielikuma I daļā, ja kvalitātes novērtēšanai ierīkoto gaisa monitoringa staciju skaits un citu novērtējuma metožu nodrošinātā telpiskā izšķirtspēja ir pietiekama, lai sasniegtu šo noteikumu 15.pielikumā noteiktos datu kvalitātes mērķus un paredzētajiem kritērijiem atbilstošus novērtējuma rezultātus. Iegūtos mērījumu rezultātus ņem vērā novērtējot atbilstību šajos noteikumos noteiktajiem robežlielumiem.</w:t>
      </w:r>
      <w:r w:rsidR="007F3ECC" w:rsidRPr="00E149CE">
        <w:t>"</w:t>
      </w:r>
    </w:p>
    <w:p w14:paraId="46E5868F" w14:textId="77777777" w:rsidR="007E4E71" w:rsidRDefault="007E4E71" w:rsidP="008617B7">
      <w:pPr>
        <w:pStyle w:val="naisf"/>
        <w:spacing w:before="120" w:after="120"/>
        <w:ind w:firstLine="720"/>
      </w:pPr>
    </w:p>
    <w:p w14:paraId="6E67F82F" w14:textId="63490FE6" w:rsidR="007E4E71" w:rsidRDefault="00597F9A" w:rsidP="008617B7">
      <w:pPr>
        <w:pStyle w:val="naisf"/>
        <w:spacing w:before="120" w:after="120"/>
        <w:ind w:firstLine="720"/>
      </w:pPr>
      <w:r>
        <w:t>24</w:t>
      </w:r>
      <w:r w:rsidR="008617B7">
        <w:t xml:space="preserve">. </w:t>
      </w:r>
      <w:r w:rsidR="007E4E71">
        <w:t>Aizstāt 22.</w:t>
      </w:r>
      <w:r w:rsidR="00635E85">
        <w:t> </w:t>
      </w:r>
      <w:r w:rsidR="007E4E71">
        <w:t>punktā vārdus „</w:t>
      </w:r>
      <w:r w:rsidR="00261439">
        <w:t>vismaz vienam minētajā</w:t>
      </w:r>
      <w:r w:rsidR="007C6E67">
        <w:t xml:space="preserve"> pielikumā norādītajam noradītajam ozona prekursoram</w:t>
      </w:r>
      <w:r w:rsidR="007E4E71">
        <w:t>”</w:t>
      </w:r>
      <w:r w:rsidR="007C6E67">
        <w:t xml:space="preserve"> ar vārdiem „atbilstoši šo noteikumu 17.</w:t>
      </w:r>
      <w:r w:rsidR="00635E85">
        <w:t> </w:t>
      </w:r>
      <w:r w:rsidR="007C6E67">
        <w:t>pielikumā noteiktajām prasībām”</w:t>
      </w:r>
      <w:r w:rsidR="00635E85">
        <w:t>.</w:t>
      </w:r>
    </w:p>
    <w:p w14:paraId="25A913EB" w14:textId="77777777" w:rsidR="00DD0304" w:rsidRDefault="00DD0304" w:rsidP="008617B7">
      <w:pPr>
        <w:pStyle w:val="naisf"/>
        <w:spacing w:before="120" w:after="120"/>
        <w:ind w:firstLine="720"/>
      </w:pPr>
    </w:p>
    <w:p w14:paraId="626DE720" w14:textId="04F3E478" w:rsidR="00DD0304" w:rsidRDefault="00597F9A" w:rsidP="008617B7">
      <w:pPr>
        <w:pStyle w:val="naisf"/>
        <w:spacing w:before="120" w:after="120"/>
        <w:ind w:firstLine="720"/>
      </w:pPr>
      <w:r>
        <w:t>25</w:t>
      </w:r>
      <w:r w:rsidR="008617B7">
        <w:t xml:space="preserve">. </w:t>
      </w:r>
      <w:r w:rsidR="00DD0304">
        <w:t>Papildināt noteikumus ar 24.</w:t>
      </w:r>
      <w:r w:rsidR="00DD0304">
        <w:rPr>
          <w:vertAlign w:val="superscript"/>
        </w:rPr>
        <w:t>1</w:t>
      </w:r>
      <w:r w:rsidR="00DD0304">
        <w:t xml:space="preserve"> un 24.</w:t>
      </w:r>
      <w:r w:rsidR="00DD0304">
        <w:rPr>
          <w:vertAlign w:val="superscript"/>
        </w:rPr>
        <w:t>2</w:t>
      </w:r>
      <w:r w:rsidR="00635E85">
        <w:t> </w:t>
      </w:r>
      <w:r w:rsidR="00DD0304">
        <w:t>punktu šādā redakcijā:</w:t>
      </w:r>
    </w:p>
    <w:p w14:paraId="2D489EC7" w14:textId="2ABAB565" w:rsidR="00DD0304" w:rsidRPr="00B03310" w:rsidRDefault="00DD0304" w:rsidP="008617B7">
      <w:pPr>
        <w:pStyle w:val="naisf"/>
        <w:spacing w:before="120" w:after="120"/>
        <w:ind w:firstLine="720"/>
      </w:pPr>
      <w:r w:rsidRPr="00B03310">
        <w:rPr>
          <w:rFonts w:eastAsiaTheme="minorHAnsi"/>
          <w:lang w:eastAsia="en-US"/>
        </w:rPr>
        <w:t>„</w:t>
      </w:r>
      <w:r w:rsidRPr="00B03310">
        <w:t>24.</w:t>
      </w:r>
      <w:r w:rsidRPr="00B03310">
        <w:rPr>
          <w:vertAlign w:val="superscript"/>
        </w:rPr>
        <w:t>1</w:t>
      </w:r>
      <w:r w:rsidR="00635E85">
        <w:t> </w:t>
      </w:r>
      <w:r w:rsidRPr="00B03310">
        <w:t xml:space="preserve">Lai nodrošinātu saskaņotu pieeju attiecībā uz dažādās rīcības programmās iekļautajiem pasākumiem, izstrādājot rīcības programmu pašvaldība ņem vērā pasākumus, kas ietverti rīcības programmās, kas tiek izstrādātas atbilstoši normatīvajiem aktiem par </w:t>
      </w:r>
      <w:r w:rsidRPr="00B03310">
        <w:rPr>
          <w:bCs/>
        </w:rPr>
        <w:t>kopējo valstī maksimāli pieļaujamo emisiju gaisā</w:t>
      </w:r>
      <w:r w:rsidRPr="00B03310">
        <w:t xml:space="preserve"> un normatīvajiem aktiem trokšņa novērtēšanas un pārvaldības jomā</w:t>
      </w:r>
      <w:r w:rsidR="00635E85">
        <w:t>.</w:t>
      </w:r>
    </w:p>
    <w:p w14:paraId="55FFFE33" w14:textId="77777777" w:rsidR="00DD0304" w:rsidRPr="008163A8" w:rsidRDefault="00DD0304" w:rsidP="008617B7">
      <w:pPr>
        <w:pStyle w:val="naisf"/>
        <w:spacing w:before="120" w:after="120"/>
        <w:ind w:firstLine="720"/>
      </w:pPr>
    </w:p>
    <w:p w14:paraId="58C7D66C" w14:textId="7009C696" w:rsidR="00DD0304" w:rsidRPr="008163A8" w:rsidRDefault="00DD0304" w:rsidP="008617B7">
      <w:pPr>
        <w:pStyle w:val="naisf"/>
        <w:spacing w:before="120" w:after="120"/>
        <w:ind w:firstLine="720"/>
        <w:rPr>
          <w:rFonts w:eastAsiaTheme="minorHAnsi"/>
          <w:lang w:eastAsia="en-US"/>
        </w:rPr>
      </w:pPr>
      <w:r w:rsidRPr="008163A8">
        <w:lastRenderedPageBreak/>
        <w:t> 24.</w:t>
      </w:r>
      <w:r w:rsidRPr="008163A8">
        <w:rPr>
          <w:vertAlign w:val="superscript"/>
        </w:rPr>
        <w:t>2</w:t>
      </w:r>
      <w:r w:rsidR="00635E85" w:rsidRPr="008163A8">
        <w:t> </w:t>
      </w:r>
      <w:r w:rsidRPr="008163A8">
        <w:t xml:space="preserve">Veicot </w:t>
      </w:r>
      <w:r w:rsidR="00635E85" w:rsidRPr="008163A8">
        <w:t xml:space="preserve">šo noteikumu </w:t>
      </w:r>
      <w:r w:rsidRPr="008163A8">
        <w:t>24.</w:t>
      </w:r>
      <w:r w:rsidR="00635E85" w:rsidRPr="008163A8">
        <w:t> </w:t>
      </w:r>
      <w:r w:rsidRPr="008163A8">
        <w:t xml:space="preserve">punktā minētās rīcības programmas izstrādi,  pašvaldība sadarbībā ar </w:t>
      </w:r>
      <w:r w:rsidR="00635E85" w:rsidRPr="008163A8">
        <w:t xml:space="preserve">Vides aizsardzības un reģionālās attīstības </w:t>
      </w:r>
      <w:r w:rsidRPr="008163A8">
        <w:t>ministriju novērtē arī pašvaldību teritorijā esošo sadedzināšanas iekārtu radīto ietekmi uz gaisa kvalitāti. Nepieciešamības gadījumā vidējas</w:t>
      </w:r>
      <w:r w:rsidR="009B4542" w:rsidRPr="008163A8">
        <w:t xml:space="preserve"> un mazas</w:t>
      </w:r>
      <w:r w:rsidRPr="008163A8">
        <w:t xml:space="preserve"> jaudas sadedzināšanas iekārtām zonās vai zonu daļās, kur gaisa kvalitātes novērtējums uzrāda iespējamu gaisu piesārņojošo vielu normatīvu pārsniegumus vai </w:t>
      </w:r>
      <w:r w:rsidR="00CC6AAA" w:rsidRPr="008163A8">
        <w:t>pārsniedz augšējo piesārņojuma novērtēšanas slieksni</w:t>
      </w:r>
      <w:r w:rsidRPr="008163A8">
        <w:t xml:space="preserve">, atbilstoši likumā </w:t>
      </w:r>
      <w:r w:rsidR="00635E85" w:rsidRPr="008163A8">
        <w:t>„</w:t>
      </w:r>
      <w:r w:rsidRPr="008163A8">
        <w:t xml:space="preserve">Par piesārņojumu” noteiktajam </w:t>
      </w:r>
      <w:r w:rsidR="00953395" w:rsidRPr="008163A8">
        <w:t xml:space="preserve">pašvaldība saistošajos noteikumos </w:t>
      </w:r>
      <w:r w:rsidR="0084659C" w:rsidRPr="008163A8">
        <w:t>var piemērot</w:t>
      </w:r>
      <w:r w:rsidRPr="008163A8">
        <w:t xml:space="preserve"> stingrāk</w:t>
      </w:r>
      <w:r w:rsidR="009B4542" w:rsidRPr="008163A8">
        <w:t>u</w:t>
      </w:r>
      <w:r w:rsidRPr="008163A8">
        <w:t>s emisij</w:t>
      </w:r>
      <w:r w:rsidR="009B4542" w:rsidRPr="008163A8">
        <w:t>u</w:t>
      </w:r>
      <w:r w:rsidRPr="008163A8">
        <w:t xml:space="preserve"> robež</w:t>
      </w:r>
      <w:r w:rsidR="009B4542" w:rsidRPr="008163A8">
        <w:t>lielumus</w:t>
      </w:r>
      <w:r w:rsidRPr="008163A8">
        <w:t xml:space="preserve"> nekā t</w:t>
      </w:r>
      <w:r w:rsidR="009B4542" w:rsidRPr="008163A8">
        <w:t>os</w:t>
      </w:r>
      <w:r w:rsidRPr="008163A8">
        <w:t>, kas noteikt</w:t>
      </w:r>
      <w:r w:rsidR="009B4542" w:rsidRPr="008163A8">
        <w:t>i</w:t>
      </w:r>
      <w:r w:rsidRPr="008163A8">
        <w:t xml:space="preserve"> normatīvajos aktos par sadedzināšanas iekārtām.</w:t>
      </w:r>
      <w:r w:rsidR="004644EA" w:rsidRPr="008163A8">
        <w:t xml:space="preserve"> Nosakot stingrākus emisiju robežlielumus</w:t>
      </w:r>
      <w:r w:rsidR="00635E85" w:rsidRPr="008163A8">
        <w:t>,</w:t>
      </w:r>
      <w:r w:rsidR="004644EA" w:rsidRPr="008163A8">
        <w:t xml:space="preserve"> ņem vērā </w:t>
      </w:r>
      <w:r w:rsidR="009D331B" w:rsidRPr="008163A8">
        <w:t xml:space="preserve">Eiropas </w:t>
      </w:r>
      <w:r w:rsidR="004644EA" w:rsidRPr="008163A8">
        <w:t xml:space="preserve">Komisijas publicēto informāciju par emisijas līmeņiem, ko var sasniegt ar </w:t>
      </w:r>
      <w:r w:rsidR="00F344B8" w:rsidRPr="008163A8">
        <w:t>labākajiem pieejamajiem vai jaunākajiem tehniskajiem paņēmieniem</w:t>
      </w:r>
      <w:r w:rsidR="004644EA" w:rsidRPr="008163A8">
        <w:t>.</w:t>
      </w:r>
      <w:r w:rsidRPr="008163A8">
        <w:rPr>
          <w:rFonts w:eastAsiaTheme="minorHAnsi"/>
          <w:lang w:eastAsia="en-US"/>
        </w:rPr>
        <w:t>”</w:t>
      </w:r>
    </w:p>
    <w:p w14:paraId="0579DCA8" w14:textId="77777777" w:rsidR="00525B64" w:rsidRPr="008163A8" w:rsidRDefault="00525B64" w:rsidP="008617B7">
      <w:pPr>
        <w:pStyle w:val="naisf"/>
        <w:spacing w:before="120" w:after="120"/>
        <w:ind w:firstLine="720"/>
        <w:rPr>
          <w:rFonts w:asciiTheme="minorHAnsi" w:eastAsiaTheme="minorHAnsi" w:hAnsiTheme="minorHAnsi" w:cstheme="minorBidi"/>
          <w:sz w:val="22"/>
          <w:szCs w:val="22"/>
          <w:lang w:eastAsia="en-US"/>
        </w:rPr>
      </w:pPr>
    </w:p>
    <w:p w14:paraId="2F12D054" w14:textId="1B907104" w:rsidR="00690854" w:rsidRPr="008163A8" w:rsidRDefault="00597F9A" w:rsidP="008617B7">
      <w:pPr>
        <w:pStyle w:val="naisf"/>
        <w:spacing w:before="120" w:after="120"/>
        <w:ind w:firstLine="720"/>
      </w:pPr>
      <w:r w:rsidRPr="008163A8">
        <w:t>2</w:t>
      </w:r>
      <w:r>
        <w:t>6</w:t>
      </w:r>
      <w:r w:rsidR="008617B7" w:rsidRPr="008163A8">
        <w:t xml:space="preserve">. </w:t>
      </w:r>
      <w:r w:rsidR="0036122A" w:rsidRPr="008163A8">
        <w:t>Aizstāt 31.</w:t>
      </w:r>
      <w:r w:rsidR="00E76A0D" w:rsidRPr="008163A8">
        <w:t> </w:t>
      </w:r>
      <w:r w:rsidR="0036122A" w:rsidRPr="008163A8">
        <w:t>punktā vārdus „Valsts vides dienesta reģionālo vides pārvaldi (turpmāk – reģionālā vides pārvalde) ar vārdiem „Valsts vides dienestu”</w:t>
      </w:r>
      <w:r w:rsidR="00E76A0D" w:rsidRPr="008163A8">
        <w:t>.</w:t>
      </w:r>
    </w:p>
    <w:p w14:paraId="7FCF024D" w14:textId="77777777" w:rsidR="00690854" w:rsidRPr="008163A8" w:rsidRDefault="00690854" w:rsidP="008617B7">
      <w:pPr>
        <w:pStyle w:val="naisf"/>
        <w:spacing w:before="120" w:after="120"/>
        <w:ind w:firstLine="720"/>
      </w:pPr>
    </w:p>
    <w:p w14:paraId="00FE28E2" w14:textId="0F4C5A62" w:rsidR="009A3122" w:rsidRPr="008163A8" w:rsidRDefault="00597F9A" w:rsidP="008617B7">
      <w:pPr>
        <w:pStyle w:val="naisf"/>
        <w:spacing w:before="120" w:after="120"/>
        <w:ind w:firstLine="720"/>
      </w:pPr>
      <w:r w:rsidRPr="008163A8">
        <w:t>2</w:t>
      </w:r>
      <w:r>
        <w:t>7</w:t>
      </w:r>
      <w:r w:rsidR="008617B7" w:rsidRPr="008163A8">
        <w:t xml:space="preserve">. </w:t>
      </w:r>
      <w:r w:rsidR="009A3122" w:rsidRPr="008163A8">
        <w:t>Izteikt</w:t>
      </w:r>
      <w:r w:rsidR="00690854" w:rsidRPr="008163A8">
        <w:t xml:space="preserve"> 34.</w:t>
      </w:r>
      <w:r w:rsidR="00E76A0D" w:rsidRPr="008163A8">
        <w:t> </w:t>
      </w:r>
      <w:r w:rsidR="00690854" w:rsidRPr="008163A8">
        <w:t>punktu</w:t>
      </w:r>
      <w:r w:rsidR="009A3122" w:rsidRPr="008163A8">
        <w:t xml:space="preserve"> šādā redakcijā:</w:t>
      </w:r>
    </w:p>
    <w:p w14:paraId="40AAC47B" w14:textId="2EAFA13B" w:rsidR="00690854" w:rsidRPr="008163A8" w:rsidRDefault="009A3122" w:rsidP="008617B7">
      <w:pPr>
        <w:pStyle w:val="naisf"/>
        <w:spacing w:before="120" w:after="120"/>
        <w:ind w:firstLine="720"/>
      </w:pPr>
      <w:r w:rsidRPr="008163A8">
        <w:rPr>
          <w:rFonts w:eastAsiaTheme="minorHAnsi"/>
          <w:lang w:eastAsia="en-US"/>
        </w:rPr>
        <w:t>„</w:t>
      </w:r>
      <w:r w:rsidRPr="008163A8">
        <w:t xml:space="preserve">34. Rīcības programmā iekļauj šo noteikumu 18.pielikuma I daļā minēto informāciju, kā arī citu informāciju, kura izriet no Eiropas Savienības tiesību aktiem par informācijas sniegšanu un rīcības programmas izstrādi gaisa aizsardzības jomā vai, kuru programmas izstrādātāji uzskata par nepieciešamu. Rīcības programmā var iekļaut pasākumus emisiju ierobežošanai no stacionāriem piesārņojuma avotiem, kā arī transportlīdzekļu kustības ierobežošanai, ja tie izraisa gaisa kvalitātes robežlielumu pārsniegumus. </w:t>
      </w:r>
      <w:r w:rsidR="00F77BDD" w:rsidRPr="008163A8">
        <w:t xml:space="preserve">Rīcības </w:t>
      </w:r>
      <w:r w:rsidRPr="008163A8">
        <w:t xml:space="preserve">programmā novērtē paredzamās satiksmes intensitātes </w:t>
      </w:r>
      <w:r w:rsidR="00F77BDD" w:rsidRPr="008163A8">
        <w:t xml:space="preserve">pieaugumu, ko nākotnē var radīt jaunu objektu būvniecība un tā radīto </w:t>
      </w:r>
      <w:r w:rsidRPr="008163A8">
        <w:t>ietekmi uz gaisa kvalitāti un rīcības programmā noteikto mērķu sasniegšanu, pamatojot to ar gaisa piesārņojuma izkliedes modelēšanu.</w:t>
      </w:r>
      <w:r w:rsidR="00660E6C" w:rsidRPr="008163A8">
        <w:t>"</w:t>
      </w:r>
    </w:p>
    <w:p w14:paraId="763225FA" w14:textId="77777777" w:rsidR="009A3122" w:rsidRPr="008163A8" w:rsidRDefault="009A3122" w:rsidP="008617B7">
      <w:pPr>
        <w:pStyle w:val="naisf"/>
        <w:spacing w:before="120" w:after="120"/>
        <w:ind w:firstLine="720"/>
      </w:pPr>
    </w:p>
    <w:p w14:paraId="72407AA6" w14:textId="7F34105A" w:rsidR="00F324D7" w:rsidRPr="008163A8" w:rsidRDefault="00597F9A" w:rsidP="008617B7">
      <w:pPr>
        <w:pStyle w:val="naisf"/>
        <w:spacing w:before="120" w:after="120"/>
        <w:ind w:firstLine="720"/>
      </w:pPr>
      <w:r w:rsidRPr="008163A8">
        <w:t>2</w:t>
      </w:r>
      <w:r>
        <w:t>8</w:t>
      </w:r>
      <w:r w:rsidR="008617B7" w:rsidRPr="008163A8">
        <w:t xml:space="preserve">. </w:t>
      </w:r>
      <w:r w:rsidR="001722F7" w:rsidRPr="008163A8">
        <w:t>Aizstāt 37.</w:t>
      </w:r>
      <w:r w:rsidR="00E76A0D" w:rsidRPr="008163A8">
        <w:t> </w:t>
      </w:r>
      <w:r w:rsidR="001722F7" w:rsidRPr="008163A8">
        <w:t>punktā vārdus „</w:t>
      </w:r>
      <w:r w:rsidR="005D4852" w:rsidRPr="008163A8">
        <w:t>r</w:t>
      </w:r>
      <w:r w:rsidR="001722F7" w:rsidRPr="008163A8">
        <w:t>eģionāl</w:t>
      </w:r>
      <w:r w:rsidR="005D4852" w:rsidRPr="008163A8">
        <w:t>ajā</w:t>
      </w:r>
      <w:r w:rsidR="001722F7" w:rsidRPr="008163A8">
        <w:t xml:space="preserve"> vides pārvald</w:t>
      </w:r>
      <w:r w:rsidR="005D4852" w:rsidRPr="008163A8">
        <w:t>ē</w:t>
      </w:r>
      <w:r w:rsidR="001722F7" w:rsidRPr="008163A8">
        <w:t>” ar vārdiem „Vides aizsardzības un reģionālās attīstības ministrij</w:t>
      </w:r>
      <w:r w:rsidR="005D4852" w:rsidRPr="008163A8">
        <w:t>ā</w:t>
      </w:r>
      <w:r w:rsidR="001722F7" w:rsidRPr="008163A8">
        <w:t>”</w:t>
      </w:r>
      <w:r w:rsidR="00E76A0D" w:rsidRPr="008163A8">
        <w:t>.</w:t>
      </w:r>
    </w:p>
    <w:p w14:paraId="2EAE1596" w14:textId="77777777" w:rsidR="00F324D7" w:rsidRPr="008163A8" w:rsidRDefault="00F324D7" w:rsidP="008617B7">
      <w:pPr>
        <w:spacing w:before="120" w:after="120" w:line="240" w:lineRule="auto"/>
        <w:ind w:firstLine="720"/>
      </w:pPr>
    </w:p>
    <w:p w14:paraId="677EE8E4" w14:textId="0B645A17" w:rsidR="00E602B7" w:rsidRPr="008163A8" w:rsidRDefault="00597F9A" w:rsidP="008617B7">
      <w:pPr>
        <w:pStyle w:val="naisf"/>
        <w:spacing w:before="120" w:after="120"/>
        <w:ind w:firstLine="720"/>
      </w:pPr>
      <w:r w:rsidRPr="008163A8">
        <w:t>2</w:t>
      </w:r>
      <w:r>
        <w:t>9</w:t>
      </w:r>
      <w:r w:rsidR="008617B7" w:rsidRPr="008163A8">
        <w:t xml:space="preserve">. </w:t>
      </w:r>
      <w:r w:rsidR="005B5A04" w:rsidRPr="008163A8">
        <w:t>Izteikt 38.</w:t>
      </w:r>
      <w:r w:rsidR="00E76A0D" w:rsidRPr="008163A8">
        <w:t> </w:t>
      </w:r>
      <w:r w:rsidR="005B5A04" w:rsidRPr="008163A8">
        <w:t>punktu šādā redakcijā:</w:t>
      </w:r>
      <w:r w:rsidR="00E602B7" w:rsidRPr="008163A8">
        <w:t xml:space="preserve"> </w:t>
      </w:r>
    </w:p>
    <w:p w14:paraId="52FC4C2A" w14:textId="799619AC" w:rsidR="00BC785E" w:rsidRDefault="00E602B7" w:rsidP="008617B7">
      <w:pPr>
        <w:pStyle w:val="naisf"/>
        <w:spacing w:before="120" w:after="120"/>
        <w:ind w:firstLine="720"/>
      </w:pPr>
      <w:r w:rsidRPr="008163A8">
        <w:t>„38. Vides aizsardzības un reģionālās attīstības ministrija, pamatojoties uz šo noteikumu 37.</w:t>
      </w:r>
      <w:r w:rsidR="00E76A0D" w:rsidRPr="008163A8">
        <w:t> </w:t>
      </w:r>
      <w:r w:rsidRPr="008163A8">
        <w:t>punktā minētajā pārskatā sniegto informāciju, sagatavo programmas izpildes novērtē</w:t>
      </w:r>
      <w:r w:rsidRPr="008163A8">
        <w:softHyphen/>
        <w:t xml:space="preserve">jumu un priekšlikumus par pasākumiem, kas veicinātu programmas izpildi, un tos nosūta attiecīgajai pašvaldībai divu mēnešu laikā pēc </w:t>
      </w:r>
      <w:r w:rsidRPr="006F6DFE">
        <w:t xml:space="preserve">tam, kad saņemts pārskats par programmas izpildi vai arī sasauc sanāksmi, lai pārrunātu identificētos </w:t>
      </w:r>
      <w:proofErr w:type="spellStart"/>
      <w:r w:rsidRPr="006F6DFE">
        <w:t>problēmjautājumus</w:t>
      </w:r>
      <w:proofErr w:type="spellEnd"/>
      <w:r w:rsidRPr="006F6DFE">
        <w:t>.</w:t>
      </w:r>
      <w:r>
        <w:t>”</w:t>
      </w:r>
    </w:p>
    <w:p w14:paraId="67D0B819" w14:textId="77777777" w:rsidR="00BC785E" w:rsidRDefault="00BC785E" w:rsidP="008617B7">
      <w:pPr>
        <w:pStyle w:val="naisf"/>
        <w:spacing w:before="120" w:after="120"/>
        <w:ind w:firstLine="720"/>
      </w:pPr>
    </w:p>
    <w:p w14:paraId="5F33C75E" w14:textId="23E0CE8B" w:rsidR="009A3122" w:rsidRDefault="00597F9A" w:rsidP="008617B7">
      <w:pPr>
        <w:pStyle w:val="naisf"/>
        <w:spacing w:before="120" w:after="120"/>
        <w:ind w:firstLine="720"/>
      </w:pPr>
      <w:r>
        <w:t>30</w:t>
      </w:r>
      <w:r w:rsidR="008617B7">
        <w:t xml:space="preserve">. </w:t>
      </w:r>
      <w:r w:rsidR="009A3122">
        <w:t>Izteik</w:t>
      </w:r>
      <w:r w:rsidR="00F324D7">
        <w:t>t 40.</w:t>
      </w:r>
      <w:r w:rsidR="00E76A0D">
        <w:t> </w:t>
      </w:r>
      <w:r w:rsidR="00F324D7">
        <w:t>punkt</w:t>
      </w:r>
      <w:r w:rsidR="009A3122">
        <w:t>u šādā redakcijā:</w:t>
      </w:r>
    </w:p>
    <w:p w14:paraId="544E0E6E" w14:textId="20AE0B0F" w:rsidR="009B1BCE" w:rsidRDefault="009A3122" w:rsidP="008617B7">
      <w:pPr>
        <w:pStyle w:val="naisf"/>
        <w:spacing w:before="120" w:after="120"/>
        <w:ind w:firstLine="720"/>
      </w:pPr>
      <w:r>
        <w:t>„</w:t>
      </w:r>
      <w:r w:rsidRPr="006F6DFE">
        <w:t>40. Ja gaisa piesārņojums pārsniedz šajos noteikumos noteiktos gaisa kvalitātes normatīvus, trauksmes līmeņus vai ilgtermiņa mērķus nozīmīgas gaisa</w:t>
      </w:r>
      <w:r>
        <w:t xml:space="preserve"> piesārņojuma (arī ozona prekursoru) </w:t>
      </w:r>
      <w:proofErr w:type="spellStart"/>
      <w:r>
        <w:t>pārneses</w:t>
      </w:r>
      <w:proofErr w:type="spellEnd"/>
      <w:r>
        <w:t xml:space="preserve"> dēļ no Eiropas Savienības dalībvalstīm, Vides </w:t>
      </w:r>
      <w:r w:rsidR="00221795">
        <w:t xml:space="preserve">aizsardzības un reģionālās attīstības </w:t>
      </w:r>
      <w:r>
        <w:t>ministrija sadarbībā ar Eiropas Komisiju un attiecīgās valsts atbildīgo institūciju izstrādā kopīgus plānus un programmas gaisa piesārņojuma samazināšanai. Ja nepieciešams, vietējā pašvaldība saskaņā ar šo noteikumu 26.punktu sagatavo un īsteno kopējas īstermiņa rīcības programmas, kas aptver piegulošās zonas citās dalībvalstīs, un nodrošina, ka šīs valstis saņem visu attiecīgo informāciju.”</w:t>
      </w:r>
    </w:p>
    <w:p w14:paraId="2E999A3A" w14:textId="77777777" w:rsidR="000F2783" w:rsidRDefault="000F2783" w:rsidP="008617B7">
      <w:pPr>
        <w:pStyle w:val="naisf"/>
        <w:spacing w:before="120" w:after="120"/>
        <w:ind w:firstLine="720"/>
      </w:pPr>
    </w:p>
    <w:p w14:paraId="11F3617A" w14:textId="02606817" w:rsidR="009B1BCE" w:rsidRDefault="00597F9A" w:rsidP="008617B7">
      <w:pPr>
        <w:pStyle w:val="naisf"/>
        <w:spacing w:before="120" w:after="120"/>
        <w:ind w:firstLine="720"/>
      </w:pPr>
      <w:r>
        <w:t>31</w:t>
      </w:r>
      <w:r w:rsidR="008617B7">
        <w:t xml:space="preserve">. </w:t>
      </w:r>
      <w:r w:rsidR="009B1BCE">
        <w:t>Izteikt noteikumu 42.</w:t>
      </w:r>
      <w:r w:rsidR="00E76A0D">
        <w:t> </w:t>
      </w:r>
      <w:r w:rsidR="009B1BCE">
        <w:t xml:space="preserve">punktu šādā redakcijā: </w:t>
      </w:r>
    </w:p>
    <w:p w14:paraId="5AB776B1" w14:textId="7B789AE5" w:rsidR="009B1BCE" w:rsidRDefault="009B1BCE" w:rsidP="008617B7">
      <w:pPr>
        <w:pStyle w:val="naisf"/>
        <w:spacing w:before="120" w:after="120"/>
        <w:ind w:firstLine="720"/>
      </w:pPr>
      <w:r>
        <w:t>„</w:t>
      </w:r>
      <w:r w:rsidRPr="006F6DFE">
        <w:t xml:space="preserve">42. Centrs </w:t>
      </w:r>
      <w:r>
        <w:t>sākot ar 2019.</w:t>
      </w:r>
      <w:r w:rsidR="00E76A0D">
        <w:t> </w:t>
      </w:r>
      <w:r>
        <w:t xml:space="preserve">gadu </w:t>
      </w:r>
      <w:r w:rsidRPr="006F6DFE">
        <w:t>ne retāk kā reizi piecos gados apkopo un sagatavo informāciju par gaisa kvalitātes novērtējumu aglomerācijās un zonās</w:t>
      </w:r>
      <w:r>
        <w:t xml:space="preserve"> iepriekšējos piecos gados</w:t>
      </w:r>
      <w:r w:rsidRPr="006F6DFE">
        <w:t>, kā arī pievieno attiecīgas gaisa piesārņojuma izkliedes kartes un nepieciešamos aprakstus.</w:t>
      </w:r>
      <w:r>
        <w:t>”</w:t>
      </w:r>
    </w:p>
    <w:p w14:paraId="54F486F7" w14:textId="77777777" w:rsidR="009B1BCE" w:rsidRDefault="009B1BCE" w:rsidP="008617B7">
      <w:pPr>
        <w:pStyle w:val="naisf"/>
        <w:spacing w:before="120" w:after="120"/>
        <w:ind w:firstLine="720"/>
      </w:pPr>
    </w:p>
    <w:p w14:paraId="348424D7" w14:textId="4785F9AB" w:rsidR="00206CBC" w:rsidRPr="008163A8" w:rsidRDefault="00597F9A" w:rsidP="008617B7">
      <w:pPr>
        <w:pStyle w:val="naisf"/>
        <w:spacing w:before="120" w:after="120"/>
        <w:ind w:firstLine="720"/>
      </w:pPr>
      <w:r>
        <w:t>32</w:t>
      </w:r>
      <w:r w:rsidR="008617B7">
        <w:t xml:space="preserve">. </w:t>
      </w:r>
      <w:r w:rsidR="00206CBC">
        <w:t xml:space="preserve">Papildināt noteikumus ar </w:t>
      </w:r>
      <w:r w:rsidR="00206CBC" w:rsidRPr="008163A8">
        <w:t>46.4.</w:t>
      </w:r>
      <w:r w:rsidR="00E76A0D" w:rsidRPr="008163A8">
        <w:t> </w:t>
      </w:r>
      <w:r w:rsidR="00206CBC" w:rsidRPr="008163A8">
        <w:t>apakšpunktu šādā redakcijā:</w:t>
      </w:r>
    </w:p>
    <w:p w14:paraId="3DA908DE" w14:textId="1A51ACFE" w:rsidR="00BC785E" w:rsidRPr="008163A8" w:rsidRDefault="00206CBC" w:rsidP="008617B7">
      <w:pPr>
        <w:pStyle w:val="naisf"/>
        <w:spacing w:before="120" w:after="120"/>
        <w:ind w:firstLine="720"/>
      </w:pPr>
      <w:r w:rsidRPr="008163A8">
        <w:t>„46.4.</w:t>
      </w:r>
      <w:r w:rsidR="00E76A0D" w:rsidRPr="008163A8">
        <w:t> </w:t>
      </w:r>
      <w:r w:rsidRPr="008163A8">
        <w:t xml:space="preserve">Vides aizsardzības un reģionālās attīstības ministrija sadarbībā ar Valsts vides dienestu un attiecīgo pašvaldību </w:t>
      </w:r>
      <w:r w:rsidR="004E524B" w:rsidRPr="008163A8">
        <w:t xml:space="preserve">nekavējoties </w:t>
      </w:r>
      <w:r w:rsidRPr="008163A8">
        <w:t>sagatavo informāciju iedzīvotājiem par galvenajiem piesārņojuma avotiem, kā arī informāciju par nepieciešamajiem pasākumiem, lai samazinātu šo avotu radīto gaisa piesārņojumu</w:t>
      </w:r>
      <w:r w:rsidR="00EF6582" w:rsidRPr="008163A8">
        <w:t>,</w:t>
      </w:r>
      <w:r w:rsidRPr="008163A8">
        <w:t xml:space="preserve"> un </w:t>
      </w:r>
      <w:r w:rsidR="00EF6582" w:rsidRPr="008163A8">
        <w:t>nodrošina tās</w:t>
      </w:r>
      <w:r w:rsidRPr="008163A8">
        <w:t xml:space="preserve"> pieejam</w:t>
      </w:r>
      <w:r w:rsidR="00EF6582" w:rsidRPr="008163A8">
        <w:t>ību</w:t>
      </w:r>
      <w:r w:rsidRPr="008163A8">
        <w:t xml:space="preserve"> sabiedrībai.”</w:t>
      </w:r>
    </w:p>
    <w:p w14:paraId="7C6D23B0" w14:textId="77777777" w:rsidR="00BC785E" w:rsidRPr="008163A8" w:rsidRDefault="00BC785E" w:rsidP="008617B7">
      <w:pPr>
        <w:pStyle w:val="naisf"/>
        <w:spacing w:before="120" w:after="120"/>
        <w:ind w:firstLine="720"/>
      </w:pPr>
    </w:p>
    <w:p w14:paraId="20A73CD4" w14:textId="79C8019E" w:rsidR="009A2E27" w:rsidRPr="008163A8" w:rsidRDefault="00597F9A" w:rsidP="008617B7">
      <w:pPr>
        <w:pStyle w:val="naisf"/>
        <w:spacing w:before="120" w:after="120"/>
        <w:ind w:firstLine="720"/>
      </w:pPr>
      <w:r w:rsidRPr="008163A8">
        <w:t>3</w:t>
      </w:r>
      <w:r>
        <w:t>3</w:t>
      </w:r>
      <w:r w:rsidR="008617B7" w:rsidRPr="008163A8">
        <w:t xml:space="preserve">. </w:t>
      </w:r>
      <w:r w:rsidR="009A2E27" w:rsidRPr="008163A8">
        <w:t>Papildināt noteikumu</w:t>
      </w:r>
      <w:r w:rsidR="00522A7A" w:rsidRPr="008163A8">
        <w:t>s ar</w:t>
      </w:r>
      <w:r w:rsidR="009A2E27" w:rsidRPr="008163A8">
        <w:t xml:space="preserve"> </w:t>
      </w:r>
      <w:r w:rsidR="00FE4A6A" w:rsidRPr="008163A8">
        <w:t>45.</w:t>
      </w:r>
      <w:r w:rsidR="007A742A" w:rsidRPr="008163A8">
        <w:t>5.</w:t>
      </w:r>
      <w:r w:rsidR="00522A7A" w:rsidRPr="008163A8">
        <w:t xml:space="preserve"> apakš</w:t>
      </w:r>
      <w:r w:rsidR="007A742A" w:rsidRPr="008163A8">
        <w:t xml:space="preserve">punktu </w:t>
      </w:r>
      <w:r w:rsidR="00522A7A" w:rsidRPr="008163A8">
        <w:t>šādā redakcijā:</w:t>
      </w:r>
    </w:p>
    <w:p w14:paraId="6F26D545" w14:textId="320DD8BD" w:rsidR="00522A7A" w:rsidRPr="008163A8" w:rsidRDefault="00522A7A" w:rsidP="008617B7">
      <w:pPr>
        <w:pStyle w:val="naisf"/>
        <w:spacing w:before="120" w:after="120"/>
        <w:ind w:firstLine="720"/>
      </w:pPr>
      <w:r w:rsidRPr="008163A8">
        <w:t xml:space="preserve">„45.5. </w:t>
      </w:r>
      <w:r w:rsidR="003343FB" w:rsidRPr="008163A8">
        <w:t xml:space="preserve">Citas valsts un pašvaldību iestādes, kas veic gaisa </w:t>
      </w:r>
      <w:r w:rsidR="00AF324D" w:rsidRPr="008163A8">
        <w:t>piesārņojuma līmeņa mērījumus</w:t>
      </w:r>
      <w:r w:rsidR="003343FB" w:rsidRPr="008163A8">
        <w:t xml:space="preserve"> un </w:t>
      </w:r>
      <w:r w:rsidR="000C7D77" w:rsidRPr="008163A8">
        <w:t>publicē vai citādi informē sab</w:t>
      </w:r>
      <w:r w:rsidR="00B37100" w:rsidRPr="008163A8">
        <w:t>iedrību par piesārņojuma līmeni</w:t>
      </w:r>
      <w:r w:rsidR="000C7D77" w:rsidRPr="008163A8">
        <w:t>,</w:t>
      </w:r>
      <w:r w:rsidRPr="008163A8">
        <w:t xml:space="preserve"> </w:t>
      </w:r>
      <w:r w:rsidR="003343FB" w:rsidRPr="008163A8">
        <w:t>ievēro šo noteikumu III nodaļā noteiktās prasības</w:t>
      </w:r>
      <w:r w:rsidR="003D17CF" w:rsidRPr="008163A8">
        <w:t>.</w:t>
      </w:r>
      <w:r w:rsidR="00825EE3" w:rsidRPr="008163A8">
        <w:t xml:space="preserve"> </w:t>
      </w:r>
      <w:r w:rsidRPr="008163A8">
        <w:t xml:space="preserve">Ja iestāde neievēro </w:t>
      </w:r>
      <w:r w:rsidR="00D61897" w:rsidRPr="008163A8">
        <w:t>šo</w:t>
      </w:r>
      <w:r w:rsidRPr="008163A8">
        <w:t xml:space="preserve"> noteikum</w:t>
      </w:r>
      <w:r w:rsidR="005308A2" w:rsidRPr="008163A8">
        <w:t>u III nodaļ</w:t>
      </w:r>
      <w:r w:rsidR="00D61897" w:rsidRPr="008163A8">
        <w:t xml:space="preserve">ā </w:t>
      </w:r>
      <w:r w:rsidRPr="008163A8">
        <w:t>noteiktās prasības, tad</w:t>
      </w:r>
      <w:r w:rsidR="005A240F" w:rsidRPr="008163A8">
        <w:t>,</w:t>
      </w:r>
      <w:r w:rsidRPr="008163A8">
        <w:t xml:space="preserve"> </w:t>
      </w:r>
      <w:r w:rsidR="000C7D77" w:rsidRPr="008163A8">
        <w:t xml:space="preserve">publiskojot </w:t>
      </w:r>
      <w:r w:rsidRPr="008163A8">
        <w:t xml:space="preserve">iegūto mērījumu rezultātus, </w:t>
      </w:r>
      <w:r w:rsidR="000C7D77" w:rsidRPr="008163A8">
        <w:t xml:space="preserve">tā </w:t>
      </w:r>
      <w:r w:rsidRPr="008163A8">
        <w:t xml:space="preserve">norāda, ka šī informācija </w:t>
      </w:r>
      <w:r w:rsidR="000C7D77" w:rsidRPr="008163A8">
        <w:t>nav iegūta atbilstoši šajos noteikumos noteiktajām prasībām</w:t>
      </w:r>
      <w:r w:rsidRPr="008163A8">
        <w:t xml:space="preserve"> un ir </w:t>
      </w:r>
      <w:r w:rsidR="000C7D77" w:rsidRPr="008163A8">
        <w:t>ar zemu ticamības pakāpi</w:t>
      </w:r>
      <w:r w:rsidRPr="008163A8">
        <w:t>.”</w:t>
      </w:r>
    </w:p>
    <w:p w14:paraId="517485D3" w14:textId="77777777" w:rsidR="00522A7A" w:rsidRPr="008163A8" w:rsidRDefault="00522A7A" w:rsidP="008617B7">
      <w:pPr>
        <w:pStyle w:val="naisf"/>
        <w:spacing w:before="120" w:after="120"/>
        <w:ind w:firstLine="720"/>
      </w:pPr>
    </w:p>
    <w:p w14:paraId="20656725" w14:textId="08F2FBD8" w:rsidR="00353B36" w:rsidRPr="008163A8" w:rsidRDefault="00597F9A" w:rsidP="008617B7">
      <w:pPr>
        <w:pStyle w:val="naisf"/>
        <w:spacing w:before="120" w:after="120"/>
        <w:ind w:firstLine="720"/>
      </w:pPr>
      <w:r w:rsidRPr="008163A8">
        <w:t>3</w:t>
      </w:r>
      <w:r>
        <w:t>4</w:t>
      </w:r>
      <w:r w:rsidR="008617B7" w:rsidRPr="008163A8">
        <w:t xml:space="preserve">. </w:t>
      </w:r>
      <w:r w:rsidR="00353B36" w:rsidRPr="008163A8">
        <w:t>Papildināt noteikumus ar 48.</w:t>
      </w:r>
      <w:r w:rsidR="00353B36" w:rsidRPr="008163A8">
        <w:rPr>
          <w:vertAlign w:val="superscript"/>
        </w:rPr>
        <w:t>1</w:t>
      </w:r>
      <w:r w:rsidR="00A3188A" w:rsidRPr="008163A8">
        <w:rPr>
          <w:vertAlign w:val="superscript"/>
        </w:rPr>
        <w:t> </w:t>
      </w:r>
      <w:r w:rsidR="00353B36" w:rsidRPr="008163A8">
        <w:t xml:space="preserve">punktu šādā redakcijā: </w:t>
      </w:r>
    </w:p>
    <w:p w14:paraId="06AB5275" w14:textId="38E1462B" w:rsidR="00BC785E" w:rsidRPr="008163A8" w:rsidRDefault="00353B36" w:rsidP="008617B7">
      <w:pPr>
        <w:pStyle w:val="naisf"/>
        <w:spacing w:before="120" w:after="120"/>
        <w:ind w:firstLine="720"/>
      </w:pPr>
      <w:r w:rsidRPr="00ED0E3E">
        <w:t>„48.</w:t>
      </w:r>
      <w:r w:rsidRPr="00ED0E3E">
        <w:rPr>
          <w:vertAlign w:val="superscript"/>
        </w:rPr>
        <w:t>1</w:t>
      </w:r>
      <w:r w:rsidR="00A3188A" w:rsidRPr="00ED0E3E">
        <w:t> </w:t>
      </w:r>
      <w:r w:rsidRPr="00ED0E3E">
        <w:t>Ziņošanai izmanto tikai datus, k</w:t>
      </w:r>
      <w:r w:rsidR="00A3188A" w:rsidRPr="00ED0E3E">
        <w:t>as</w:t>
      </w:r>
      <w:r w:rsidRPr="00ED0E3E">
        <w:t xml:space="preserve"> uzskatāmi par derīgiem. Visus saskaņā ar šo noteikumu 48.</w:t>
      </w:r>
      <w:r w:rsidR="00A3188A" w:rsidRPr="00ED0E3E">
        <w:t> </w:t>
      </w:r>
      <w:r w:rsidRPr="00ED0E3E">
        <w:t>punktu paziņotos datus uzskata par derīgiem, izņemot datus, kas raksturoti kā provizoriski.”</w:t>
      </w:r>
    </w:p>
    <w:p w14:paraId="0CA06515" w14:textId="77777777" w:rsidR="00B612B0" w:rsidRPr="008163A8" w:rsidRDefault="00B612B0" w:rsidP="008617B7">
      <w:pPr>
        <w:pStyle w:val="naisf"/>
        <w:spacing w:before="120" w:after="120"/>
        <w:ind w:firstLine="720"/>
      </w:pPr>
    </w:p>
    <w:p w14:paraId="28425EED" w14:textId="6CB4413E" w:rsidR="00B612B0" w:rsidRPr="008163A8" w:rsidRDefault="00597F9A" w:rsidP="008617B7">
      <w:pPr>
        <w:pStyle w:val="naisf"/>
        <w:spacing w:before="120" w:after="120"/>
        <w:ind w:firstLine="720"/>
      </w:pPr>
      <w:r w:rsidRPr="008163A8">
        <w:t>3</w:t>
      </w:r>
      <w:r>
        <w:t>5</w:t>
      </w:r>
      <w:r w:rsidR="008617B7" w:rsidRPr="008163A8">
        <w:t xml:space="preserve">. </w:t>
      </w:r>
      <w:r w:rsidR="00B612B0" w:rsidRPr="008163A8">
        <w:t>Papildināt noteikumu VII. nodaļu ar 56.</w:t>
      </w:r>
      <w:r w:rsidR="00B612B0" w:rsidRPr="008163A8">
        <w:rPr>
          <w:vertAlign w:val="superscript"/>
        </w:rPr>
        <w:t xml:space="preserve">1 </w:t>
      </w:r>
      <w:r w:rsidR="00B612B0" w:rsidRPr="008163A8">
        <w:t>punktu šādā redakcijā:</w:t>
      </w:r>
    </w:p>
    <w:p w14:paraId="00529C51" w14:textId="18E39465" w:rsidR="00B612B0" w:rsidRPr="008163A8" w:rsidRDefault="00B612B0" w:rsidP="008617B7">
      <w:pPr>
        <w:pStyle w:val="naisf"/>
        <w:spacing w:before="120" w:after="120"/>
        <w:ind w:firstLine="720"/>
      </w:pPr>
      <w:r w:rsidRPr="008163A8">
        <w:t>„56.</w:t>
      </w:r>
      <w:r w:rsidRPr="008163A8">
        <w:rPr>
          <w:vertAlign w:val="superscript"/>
        </w:rPr>
        <w:t>1</w:t>
      </w:r>
      <w:r w:rsidRPr="008163A8">
        <w:t xml:space="preserve"> Šo noteikumu </w:t>
      </w:r>
      <w:r w:rsidR="003B1A98" w:rsidRPr="008163A8">
        <w:t>8.</w:t>
      </w:r>
      <w:r w:rsidR="003B1A98" w:rsidRPr="008163A8">
        <w:rPr>
          <w:vertAlign w:val="superscript"/>
        </w:rPr>
        <w:t>6</w:t>
      </w:r>
      <w:r w:rsidR="003B1A98" w:rsidRPr="008163A8">
        <w:t xml:space="preserve"> un 8.</w:t>
      </w:r>
      <w:r w:rsidR="003B1A98" w:rsidRPr="008163A8">
        <w:rPr>
          <w:vertAlign w:val="superscript"/>
        </w:rPr>
        <w:t xml:space="preserve">7 </w:t>
      </w:r>
      <w:r w:rsidR="003B1A98" w:rsidRPr="008163A8">
        <w:t>punkts stājas spēkā 2018.gada 30.jūnijā.</w:t>
      </w:r>
      <w:r w:rsidRPr="008163A8">
        <w:t xml:space="preserve">” </w:t>
      </w:r>
    </w:p>
    <w:p w14:paraId="577BF40C" w14:textId="77777777" w:rsidR="00BC785E" w:rsidRPr="008163A8" w:rsidRDefault="00BC785E" w:rsidP="008617B7">
      <w:pPr>
        <w:pStyle w:val="naisf"/>
        <w:ind w:firstLine="720"/>
      </w:pPr>
    </w:p>
    <w:p w14:paraId="54C1E2AE" w14:textId="5A37D511" w:rsidR="009F35B3" w:rsidRPr="008163A8" w:rsidRDefault="00597F9A" w:rsidP="008617B7">
      <w:pPr>
        <w:pStyle w:val="naisf"/>
        <w:ind w:firstLine="720"/>
      </w:pPr>
      <w:r w:rsidRPr="008163A8">
        <w:t>3</w:t>
      </w:r>
      <w:r>
        <w:t>6</w:t>
      </w:r>
      <w:r w:rsidR="008617B7" w:rsidRPr="008163A8">
        <w:t xml:space="preserve">. </w:t>
      </w:r>
      <w:r w:rsidR="009F35B3" w:rsidRPr="008163A8">
        <w:t>Papildināt noteikumu informatīvo atsauci uz Eiropas Savienības direktīvām ar 3</w:t>
      </w:r>
      <w:r w:rsidR="00A3188A" w:rsidRPr="008163A8">
        <w:t>.</w:t>
      </w:r>
      <w:r w:rsidR="00A75749" w:rsidRPr="008163A8">
        <w:t xml:space="preserve"> un 4</w:t>
      </w:r>
      <w:r w:rsidR="00A3188A" w:rsidRPr="008163A8">
        <w:t>. </w:t>
      </w:r>
      <w:r w:rsidR="009F35B3" w:rsidRPr="008163A8">
        <w:t>apakšpunktu šād</w:t>
      </w:r>
      <w:r w:rsidR="00A3188A" w:rsidRPr="008163A8">
        <w:t>ā</w:t>
      </w:r>
      <w:r w:rsidR="009F35B3" w:rsidRPr="008163A8">
        <w:t xml:space="preserve"> redakcijā:</w:t>
      </w:r>
    </w:p>
    <w:p w14:paraId="5F7D034D" w14:textId="3B49D473" w:rsidR="00A75749" w:rsidRDefault="009F35B3" w:rsidP="008617B7">
      <w:pPr>
        <w:pStyle w:val="naisf"/>
        <w:ind w:firstLine="720"/>
      </w:pPr>
      <w:r w:rsidRPr="008163A8">
        <w:t xml:space="preserve"> „</w:t>
      </w:r>
      <w:r w:rsidR="00A3188A" w:rsidRPr="008163A8">
        <w:t> </w:t>
      </w:r>
      <w:r w:rsidR="00A75749" w:rsidRPr="008163A8">
        <w:t>3)</w:t>
      </w:r>
      <w:r w:rsidR="00A3188A" w:rsidRPr="008163A8">
        <w:t> </w:t>
      </w:r>
      <w:r w:rsidR="00A75749" w:rsidRPr="008163A8">
        <w:t>Eiropas Komisijas 2015.</w:t>
      </w:r>
      <w:r w:rsidR="00A3188A">
        <w:t> </w:t>
      </w:r>
      <w:r w:rsidR="00A75749">
        <w:t>gada 28.</w:t>
      </w:r>
      <w:r w:rsidR="00A3188A">
        <w:t> </w:t>
      </w:r>
      <w:r w:rsidR="00A75749">
        <w:t>augusta Direktīva</w:t>
      </w:r>
      <w:r w:rsidR="0049576B" w:rsidRPr="0073326E">
        <w:rPr>
          <w:b/>
        </w:rPr>
        <w:t>s</w:t>
      </w:r>
      <w:r w:rsidR="00A75749">
        <w:t xml:space="preserve"> (ES) </w:t>
      </w:r>
      <w:r w:rsidR="00A75749" w:rsidRPr="00A75749">
        <w:t>2015/1480, ar kuru groza dažus pielikumus Eiropas Parlamenta un Padomes Direktīvās 2004/107/EK un 2008/50/EK, ar ko paredz noteikumus attiecībā uz standartmetodēm, datu validēšanu un paraugu ņemšanas vietu izvietojumu gaisa kvalitātes novērtēšanai</w:t>
      </w:r>
      <w:r w:rsidR="00A75749">
        <w:t>;</w:t>
      </w:r>
    </w:p>
    <w:p w14:paraId="79A52685" w14:textId="1A680A8F" w:rsidR="00BC785E" w:rsidRDefault="00A75749" w:rsidP="008617B7">
      <w:pPr>
        <w:pStyle w:val="naisf"/>
        <w:ind w:firstLine="720"/>
      </w:pPr>
      <w:r>
        <w:t>4</w:t>
      </w:r>
      <w:r w:rsidR="009F35B3">
        <w:t>)</w:t>
      </w:r>
      <w:r w:rsidR="00A3188A">
        <w:t> </w:t>
      </w:r>
      <w:r w:rsidR="009F35B3">
        <w:t>Eiropas Parlamenta un Padomes 2015.</w:t>
      </w:r>
      <w:r w:rsidR="00A3188A">
        <w:t> </w:t>
      </w:r>
      <w:r w:rsidR="009F35B3">
        <w:t>gada 25.</w:t>
      </w:r>
      <w:r w:rsidR="00A3188A">
        <w:t> </w:t>
      </w:r>
      <w:r w:rsidR="009F35B3">
        <w:t>novembra Direktīva</w:t>
      </w:r>
      <w:r w:rsidR="0049576B" w:rsidRPr="0073326E">
        <w:rPr>
          <w:b/>
        </w:rPr>
        <w:t>s</w:t>
      </w:r>
      <w:r w:rsidR="009F35B3">
        <w:t xml:space="preserve"> 2015/2193 par </w:t>
      </w:r>
      <w:r w:rsidR="009F35B3" w:rsidRPr="00DA585F">
        <w:t>ierobežojumiem attiecībā uz dažu piesārņojošu vielu emisiju gaisā no vidējas jaudas sadedzināšanas iekārtām</w:t>
      </w:r>
      <w:r w:rsidR="009F35B3">
        <w:t>.”</w:t>
      </w:r>
    </w:p>
    <w:p w14:paraId="2177BF69" w14:textId="77777777" w:rsidR="00BC785E" w:rsidRDefault="00BC785E" w:rsidP="008617B7">
      <w:pPr>
        <w:pStyle w:val="naisf"/>
        <w:spacing w:before="120" w:after="120"/>
        <w:ind w:firstLine="720"/>
      </w:pPr>
    </w:p>
    <w:p w14:paraId="702E5C71" w14:textId="2AF5DC99" w:rsidR="009F35B3" w:rsidRDefault="00597F9A" w:rsidP="008617B7">
      <w:pPr>
        <w:pStyle w:val="naisf"/>
        <w:spacing w:before="120" w:after="120"/>
        <w:ind w:firstLine="720"/>
      </w:pPr>
      <w:r>
        <w:t>37</w:t>
      </w:r>
      <w:r w:rsidR="008617B7">
        <w:t xml:space="preserve">. </w:t>
      </w:r>
      <w:r w:rsidR="003C7F83">
        <w:t xml:space="preserve">Papildināt </w:t>
      </w:r>
      <w:r w:rsidR="002A575C">
        <w:t>4.</w:t>
      </w:r>
      <w:r w:rsidR="00A3188A">
        <w:t> </w:t>
      </w:r>
      <w:r w:rsidR="002A575C">
        <w:t>pielikuma 1.</w:t>
      </w:r>
      <w:r w:rsidR="00A3188A">
        <w:t> </w:t>
      </w:r>
      <w:r w:rsidR="002A575C">
        <w:t>punktu ar šādu teikumu:</w:t>
      </w:r>
    </w:p>
    <w:p w14:paraId="5F185C21" w14:textId="4DD5D1DA" w:rsidR="00BC785E" w:rsidRPr="00E24DF5" w:rsidRDefault="002A575C" w:rsidP="008617B7">
      <w:pPr>
        <w:pStyle w:val="naisf"/>
        <w:spacing w:before="120" w:after="120"/>
        <w:ind w:firstLine="720"/>
      </w:pPr>
      <w:r>
        <w:t>„</w:t>
      </w:r>
      <w:r w:rsidR="00A3188A">
        <w:t xml:space="preserve">Atbilstīgais </w:t>
      </w:r>
      <w:r w:rsidR="00A3188A" w:rsidRPr="00E24DF5">
        <w:t xml:space="preserve">vidējais ekspozīcijas rādītājs </w:t>
      </w:r>
      <w:r w:rsidRPr="00E24DF5">
        <w:t>2015.</w:t>
      </w:r>
      <w:r w:rsidR="00A3188A" w:rsidRPr="00E24DF5">
        <w:t> </w:t>
      </w:r>
      <w:r w:rsidRPr="00E24DF5">
        <w:t>gadam  ir trijos gados aprēķinātas vidējās koncentrācijas vidējā vērtība visās paraugu ņemšanas vietās 2013., 2014. un 2015. gadā. Vidējo ekspozīcijas rādītāju lieto, lai pārbaudītu, vai ir sasniegts ekspozīcijas samazināšanas mērķis.”</w:t>
      </w:r>
    </w:p>
    <w:p w14:paraId="5FDCE5A9" w14:textId="77777777" w:rsidR="00BC785E" w:rsidRPr="00E24DF5" w:rsidRDefault="00BC785E" w:rsidP="008617B7">
      <w:pPr>
        <w:pStyle w:val="naisf"/>
        <w:spacing w:before="120" w:after="120"/>
        <w:ind w:firstLine="720"/>
      </w:pPr>
    </w:p>
    <w:p w14:paraId="5E70A966" w14:textId="351C90E1" w:rsidR="002A575C" w:rsidRPr="00E24DF5" w:rsidRDefault="00597F9A" w:rsidP="008617B7">
      <w:pPr>
        <w:pStyle w:val="naisf"/>
        <w:spacing w:before="120" w:after="120"/>
        <w:ind w:firstLine="720"/>
      </w:pPr>
      <w:r>
        <w:t>38</w:t>
      </w:r>
      <w:r w:rsidR="008617B7">
        <w:t xml:space="preserve">. </w:t>
      </w:r>
      <w:r w:rsidR="00791C49" w:rsidRPr="00E24DF5">
        <w:t>Izteikt 4.</w:t>
      </w:r>
      <w:r w:rsidR="00A3188A" w:rsidRPr="00E24DF5">
        <w:t> </w:t>
      </w:r>
      <w:r w:rsidR="00791C49" w:rsidRPr="00E24DF5">
        <w:t xml:space="preserve">pielikuma </w:t>
      </w:r>
      <w:r w:rsidR="000B1887" w:rsidRPr="00E24DF5">
        <w:t>II</w:t>
      </w:r>
      <w:r w:rsidR="00F10F58" w:rsidRPr="00E24DF5">
        <w:t>.</w:t>
      </w:r>
      <w:r w:rsidR="00A3188A" w:rsidRPr="00E24DF5">
        <w:t> </w:t>
      </w:r>
      <w:r w:rsidR="00791C49" w:rsidRPr="00E24DF5">
        <w:t>sadaļas tabulas 2</w:t>
      </w:r>
      <w:r w:rsidR="00A3188A" w:rsidRPr="00E24DF5">
        <w:t>. </w:t>
      </w:r>
      <w:r w:rsidR="00791C49" w:rsidRPr="00E24DF5">
        <w:t>kolonnas 1.</w:t>
      </w:r>
      <w:r w:rsidR="00A3188A" w:rsidRPr="00E24DF5">
        <w:t>,2.,3.</w:t>
      </w:r>
      <w:r w:rsidR="00791C49" w:rsidRPr="00E24DF5">
        <w:t xml:space="preserve"> </w:t>
      </w:r>
      <w:r w:rsidR="00A3188A" w:rsidRPr="00E24DF5">
        <w:t>un</w:t>
      </w:r>
      <w:r w:rsidR="00791C49" w:rsidRPr="00E24DF5">
        <w:t xml:space="preserve"> 4.</w:t>
      </w:r>
      <w:r w:rsidR="00A3188A" w:rsidRPr="00E24DF5">
        <w:t> </w:t>
      </w:r>
      <w:r w:rsidR="00791C49" w:rsidRPr="00E24DF5">
        <w:t>rindu šādā redakcijā:</w:t>
      </w:r>
    </w:p>
    <w:p w14:paraId="3900827C" w14:textId="77777777" w:rsidR="00791C49" w:rsidRPr="00E24DF5" w:rsidRDefault="00791C49" w:rsidP="00927E14">
      <w:pPr>
        <w:pStyle w:val="naisf"/>
        <w:spacing w:before="120" w:after="120"/>
        <w:ind w:firstLine="720"/>
      </w:pPr>
      <w:r w:rsidRPr="00E24DF5">
        <w:t>„</w:t>
      </w:r>
    </w:p>
    <w:tbl>
      <w:tblPr>
        <w:tblW w:w="1951" w:type="pct"/>
        <w:tblCellSpacing w:w="0" w:type="dxa"/>
        <w:tblInd w:w="70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539"/>
      </w:tblGrid>
      <w:tr w:rsidR="00791C49" w:rsidRPr="00E24DF5" w14:paraId="4008B5BB" w14:textId="77777777" w:rsidTr="00791C49">
        <w:trPr>
          <w:trHeight w:val="409"/>
          <w:tblCellSpacing w:w="0" w:type="dxa"/>
        </w:trPr>
        <w:tc>
          <w:tcPr>
            <w:tcW w:w="5000" w:type="pct"/>
            <w:tcBorders>
              <w:top w:val="single" w:sz="6" w:space="0" w:color="808080"/>
              <w:left w:val="single" w:sz="6" w:space="0" w:color="808080"/>
              <w:bottom w:val="single" w:sz="6" w:space="0" w:color="808080"/>
              <w:right w:val="single" w:sz="6" w:space="0" w:color="808080"/>
            </w:tcBorders>
            <w:vAlign w:val="center"/>
          </w:tcPr>
          <w:p w14:paraId="639AADC1" w14:textId="77777777" w:rsidR="00791C49" w:rsidRPr="00E24DF5" w:rsidRDefault="00791C49" w:rsidP="00927E14">
            <w:pPr>
              <w:pStyle w:val="naisc"/>
              <w:spacing w:before="120" w:after="120"/>
              <w:ind w:firstLine="720"/>
            </w:pPr>
            <w:r w:rsidRPr="00E24DF5">
              <w:t>&lt;8,5 = 8,5</w:t>
            </w:r>
          </w:p>
        </w:tc>
      </w:tr>
      <w:tr w:rsidR="00791C49" w:rsidRPr="00E24DF5" w14:paraId="499D3D37" w14:textId="77777777" w:rsidTr="00791C49">
        <w:trPr>
          <w:trHeight w:val="423"/>
          <w:tblCellSpacing w:w="0" w:type="dxa"/>
        </w:trPr>
        <w:tc>
          <w:tcPr>
            <w:tcW w:w="5000" w:type="pct"/>
            <w:tcBorders>
              <w:top w:val="single" w:sz="6" w:space="0" w:color="808080"/>
              <w:left w:val="single" w:sz="6" w:space="0" w:color="808080"/>
              <w:bottom w:val="single" w:sz="6" w:space="0" w:color="808080"/>
              <w:right w:val="single" w:sz="6" w:space="0" w:color="808080"/>
            </w:tcBorders>
            <w:vAlign w:val="center"/>
          </w:tcPr>
          <w:p w14:paraId="2930A100" w14:textId="77777777" w:rsidR="00791C49" w:rsidRPr="00E24DF5" w:rsidRDefault="00791C49" w:rsidP="00927E14">
            <w:pPr>
              <w:pStyle w:val="naisc"/>
              <w:spacing w:before="120" w:after="120"/>
              <w:ind w:firstLine="720"/>
            </w:pPr>
            <w:r w:rsidRPr="00E24DF5">
              <w:t>no &gt; 8,5 - &lt;13</w:t>
            </w:r>
          </w:p>
        </w:tc>
      </w:tr>
      <w:tr w:rsidR="00791C49" w:rsidRPr="00E24DF5" w14:paraId="76D20013" w14:textId="77777777" w:rsidTr="00791C49">
        <w:trPr>
          <w:trHeight w:val="409"/>
          <w:tblCellSpacing w:w="0" w:type="dxa"/>
        </w:trPr>
        <w:tc>
          <w:tcPr>
            <w:tcW w:w="5000" w:type="pct"/>
            <w:tcBorders>
              <w:top w:val="single" w:sz="6" w:space="0" w:color="808080"/>
              <w:left w:val="single" w:sz="6" w:space="0" w:color="808080"/>
              <w:bottom w:val="single" w:sz="6" w:space="0" w:color="808080"/>
              <w:right w:val="single" w:sz="6" w:space="0" w:color="808080"/>
            </w:tcBorders>
            <w:vAlign w:val="center"/>
          </w:tcPr>
          <w:p w14:paraId="30423402" w14:textId="2E4FF080" w:rsidR="00791C49" w:rsidRPr="00E24DF5" w:rsidRDefault="00791C49" w:rsidP="00927E14">
            <w:pPr>
              <w:pStyle w:val="naisc"/>
              <w:spacing w:before="120" w:after="120"/>
              <w:ind w:firstLine="720"/>
            </w:pPr>
            <w:r w:rsidRPr="00E24DF5">
              <w:t xml:space="preserve">  = 13 - &lt; 17</w:t>
            </w:r>
          </w:p>
        </w:tc>
      </w:tr>
      <w:tr w:rsidR="00791C49" w:rsidRPr="00E24DF5" w14:paraId="1B38FD2E" w14:textId="77777777" w:rsidTr="00791C49">
        <w:trPr>
          <w:trHeight w:val="423"/>
          <w:tblCellSpacing w:w="0" w:type="dxa"/>
        </w:trPr>
        <w:tc>
          <w:tcPr>
            <w:tcW w:w="5000" w:type="pct"/>
            <w:tcBorders>
              <w:top w:val="single" w:sz="6" w:space="0" w:color="808080"/>
              <w:left w:val="single" w:sz="6" w:space="0" w:color="808080"/>
              <w:bottom w:val="single" w:sz="6" w:space="0" w:color="808080"/>
              <w:right w:val="single" w:sz="6" w:space="0" w:color="808080"/>
            </w:tcBorders>
            <w:vAlign w:val="center"/>
          </w:tcPr>
          <w:p w14:paraId="7159C073" w14:textId="77777777" w:rsidR="00791C49" w:rsidRPr="00E24DF5" w:rsidRDefault="00791C49" w:rsidP="00927E14">
            <w:pPr>
              <w:pStyle w:val="naisc"/>
              <w:spacing w:before="120" w:after="120"/>
              <w:ind w:firstLine="720"/>
            </w:pPr>
            <w:r w:rsidRPr="00E24DF5">
              <w:t>= 18 - &lt; 21</w:t>
            </w:r>
          </w:p>
        </w:tc>
      </w:tr>
      <w:tr w:rsidR="00791C49" w:rsidRPr="00E24DF5" w14:paraId="13493213" w14:textId="77777777" w:rsidTr="00791C49">
        <w:trPr>
          <w:trHeight w:val="409"/>
          <w:tblCellSpacing w:w="0" w:type="dxa"/>
        </w:trPr>
        <w:tc>
          <w:tcPr>
            <w:tcW w:w="5000" w:type="pct"/>
            <w:tcBorders>
              <w:top w:val="single" w:sz="6" w:space="0" w:color="808080"/>
              <w:left w:val="single" w:sz="6" w:space="0" w:color="808080"/>
              <w:bottom w:val="single" w:sz="6" w:space="0" w:color="808080"/>
              <w:right w:val="single" w:sz="6" w:space="0" w:color="808080"/>
            </w:tcBorders>
            <w:vAlign w:val="center"/>
          </w:tcPr>
          <w:p w14:paraId="74559BDC" w14:textId="77777777" w:rsidR="00791C49" w:rsidRPr="00E24DF5" w:rsidRDefault="00791C49" w:rsidP="00927E14">
            <w:pPr>
              <w:pStyle w:val="naisc"/>
              <w:spacing w:before="120" w:after="120"/>
              <w:ind w:firstLine="720"/>
            </w:pPr>
            <w:r w:rsidRPr="00E24DF5">
              <w:t xml:space="preserve">≥ 22 </w:t>
            </w:r>
          </w:p>
        </w:tc>
      </w:tr>
    </w:tbl>
    <w:p w14:paraId="131BBF68" w14:textId="77777777" w:rsidR="00BC785E" w:rsidRPr="00E24DF5" w:rsidRDefault="00791C49" w:rsidP="00927E14">
      <w:pPr>
        <w:pStyle w:val="naisf"/>
        <w:spacing w:before="120" w:after="120"/>
        <w:ind w:firstLine="720"/>
        <w:jc w:val="center"/>
      </w:pPr>
      <w:r w:rsidRPr="00E24DF5">
        <w:t>”</w:t>
      </w:r>
    </w:p>
    <w:p w14:paraId="12ADA5BB" w14:textId="23EEE387" w:rsidR="00791C49" w:rsidRPr="00E24DF5" w:rsidRDefault="00597F9A" w:rsidP="008617B7">
      <w:pPr>
        <w:pStyle w:val="naisf"/>
        <w:spacing w:before="120" w:after="120"/>
        <w:ind w:firstLine="720"/>
      </w:pPr>
      <w:r>
        <w:t>39</w:t>
      </w:r>
      <w:r w:rsidR="008617B7">
        <w:t xml:space="preserve">. </w:t>
      </w:r>
      <w:r w:rsidR="00BC785E" w:rsidRPr="00E24DF5">
        <w:t>Papildināt 10.</w:t>
      </w:r>
      <w:r w:rsidR="0028424D" w:rsidRPr="00E24DF5">
        <w:t> </w:t>
      </w:r>
      <w:r w:rsidR="00BC785E" w:rsidRPr="00E24DF5">
        <w:t>pielikuma 1.1.</w:t>
      </w:r>
      <w:r w:rsidR="0028424D" w:rsidRPr="00E24DF5">
        <w:t> </w:t>
      </w:r>
      <w:r w:rsidR="00BC785E" w:rsidRPr="00E24DF5">
        <w:t>apakšpunkt</w:t>
      </w:r>
      <w:r w:rsidR="0028424D" w:rsidRPr="00E24DF5">
        <w:t>a</w:t>
      </w:r>
      <w:r w:rsidR="00BC785E" w:rsidRPr="00E24DF5">
        <w:t xml:space="preserve"> tabulu ar 1.1.7.</w:t>
      </w:r>
      <w:r w:rsidR="0028424D" w:rsidRPr="00E24DF5">
        <w:t>, 1.1.8., 1.1.8., 1.1.9., 1.1.10.</w:t>
      </w:r>
      <w:r w:rsidR="00BC785E" w:rsidRPr="00E24DF5">
        <w:t xml:space="preserve"> </w:t>
      </w:r>
      <w:r w:rsidR="0028424D" w:rsidRPr="00E24DF5">
        <w:t>un</w:t>
      </w:r>
      <w:r w:rsidR="00BC785E" w:rsidRPr="00E24DF5">
        <w:t xml:space="preserve"> 1.1.11.</w:t>
      </w:r>
      <w:r w:rsidR="0028424D" w:rsidRPr="00E24DF5">
        <w:t> </w:t>
      </w:r>
      <w:r w:rsidR="00BC785E" w:rsidRPr="00E24DF5">
        <w:t>rind</w:t>
      </w:r>
      <w:r w:rsidR="0028424D" w:rsidRPr="00E24DF5">
        <w:t>u</w:t>
      </w:r>
      <w:r w:rsidR="00BC785E" w:rsidRPr="00E24DF5">
        <w:t xml:space="preserve"> šādā redakcijā:</w:t>
      </w:r>
    </w:p>
    <w:p w14:paraId="1CFD6E31" w14:textId="77777777" w:rsidR="00BC785E" w:rsidRPr="00E24DF5" w:rsidRDefault="00BC785E" w:rsidP="00791C49">
      <w:pPr>
        <w:pStyle w:val="naisf"/>
        <w:ind w:firstLine="0"/>
      </w:pPr>
      <w:r w:rsidRPr="00E24DF5">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43"/>
        <w:gridCol w:w="2268"/>
        <w:gridCol w:w="1208"/>
        <w:gridCol w:w="1440"/>
        <w:gridCol w:w="1604"/>
        <w:gridCol w:w="1560"/>
      </w:tblGrid>
      <w:tr w:rsidR="00BC785E" w:rsidRPr="00E24DF5" w14:paraId="56DB42A7" w14:textId="77777777" w:rsidTr="00BC785E">
        <w:trPr>
          <w:tblCellSpacing w:w="0" w:type="dxa"/>
        </w:trPr>
        <w:tc>
          <w:tcPr>
            <w:tcW w:w="843" w:type="dxa"/>
            <w:tcBorders>
              <w:top w:val="single" w:sz="6" w:space="0" w:color="808080"/>
              <w:left w:val="single" w:sz="6" w:space="0" w:color="808080"/>
              <w:bottom w:val="single" w:sz="6" w:space="0" w:color="808080"/>
              <w:right w:val="single" w:sz="6" w:space="0" w:color="808080"/>
            </w:tcBorders>
            <w:vAlign w:val="center"/>
          </w:tcPr>
          <w:p w14:paraId="417915E2" w14:textId="77777777" w:rsidR="00BC785E" w:rsidRPr="00E24DF5" w:rsidRDefault="00BC785E" w:rsidP="00384501">
            <w:pPr>
              <w:pStyle w:val="naiskr"/>
            </w:pPr>
            <w:r w:rsidRPr="00E24DF5">
              <w:t>1.1.7.</w:t>
            </w:r>
          </w:p>
        </w:tc>
        <w:tc>
          <w:tcPr>
            <w:tcW w:w="2268" w:type="dxa"/>
            <w:tcBorders>
              <w:top w:val="single" w:sz="6" w:space="0" w:color="808080"/>
              <w:left w:val="single" w:sz="6" w:space="0" w:color="808080"/>
              <w:bottom w:val="single" w:sz="6" w:space="0" w:color="808080"/>
              <w:right w:val="single" w:sz="6" w:space="0" w:color="808080"/>
            </w:tcBorders>
            <w:vAlign w:val="center"/>
          </w:tcPr>
          <w:p w14:paraId="5D494EE6" w14:textId="77777777" w:rsidR="00BC785E" w:rsidRPr="00E24DF5" w:rsidRDefault="00BC785E" w:rsidP="00384501">
            <w:pPr>
              <w:pStyle w:val="naisc"/>
            </w:pPr>
            <w:r w:rsidRPr="00E24DF5">
              <w:t>2000 - 2749</w:t>
            </w:r>
          </w:p>
        </w:tc>
        <w:tc>
          <w:tcPr>
            <w:tcW w:w="1208" w:type="dxa"/>
            <w:tcBorders>
              <w:top w:val="single" w:sz="6" w:space="0" w:color="808080"/>
              <w:left w:val="single" w:sz="6" w:space="0" w:color="808080"/>
              <w:bottom w:val="single" w:sz="6" w:space="0" w:color="808080"/>
              <w:right w:val="single" w:sz="6" w:space="0" w:color="808080"/>
            </w:tcBorders>
            <w:vAlign w:val="center"/>
          </w:tcPr>
          <w:p w14:paraId="6064B88D" w14:textId="77777777" w:rsidR="00BC785E" w:rsidRPr="00E24DF5" w:rsidRDefault="00BC785E" w:rsidP="00384501">
            <w:pPr>
              <w:pStyle w:val="naisc"/>
            </w:pPr>
            <w:r w:rsidRPr="00E24DF5">
              <w:t>6</w:t>
            </w:r>
          </w:p>
        </w:tc>
        <w:tc>
          <w:tcPr>
            <w:tcW w:w="1440" w:type="dxa"/>
            <w:tcBorders>
              <w:top w:val="single" w:sz="6" w:space="0" w:color="808080"/>
              <w:left w:val="single" w:sz="6" w:space="0" w:color="808080"/>
              <w:bottom w:val="single" w:sz="6" w:space="0" w:color="808080"/>
              <w:right w:val="single" w:sz="6" w:space="0" w:color="808080"/>
            </w:tcBorders>
            <w:vAlign w:val="center"/>
          </w:tcPr>
          <w:p w14:paraId="1308E1C0" w14:textId="77777777" w:rsidR="00BC785E" w:rsidRPr="00E24DF5" w:rsidRDefault="00BC785E" w:rsidP="00384501">
            <w:pPr>
              <w:pStyle w:val="naisc"/>
            </w:pPr>
            <w:r w:rsidRPr="00E24DF5">
              <w:t>8</w:t>
            </w:r>
          </w:p>
        </w:tc>
        <w:tc>
          <w:tcPr>
            <w:tcW w:w="1604" w:type="dxa"/>
            <w:tcBorders>
              <w:top w:val="single" w:sz="6" w:space="0" w:color="808080"/>
              <w:left w:val="single" w:sz="6" w:space="0" w:color="808080"/>
              <w:bottom w:val="single" w:sz="6" w:space="0" w:color="808080"/>
              <w:right w:val="single" w:sz="6" w:space="0" w:color="808080"/>
            </w:tcBorders>
            <w:vAlign w:val="center"/>
          </w:tcPr>
          <w:p w14:paraId="56C94523" w14:textId="77777777" w:rsidR="00BC785E" w:rsidRPr="00E24DF5" w:rsidRDefault="00BC785E" w:rsidP="00384501">
            <w:pPr>
              <w:pStyle w:val="naisc"/>
            </w:pPr>
            <w:r w:rsidRPr="00E24DF5">
              <w:t>3</w:t>
            </w:r>
          </w:p>
        </w:tc>
        <w:tc>
          <w:tcPr>
            <w:tcW w:w="1560" w:type="dxa"/>
            <w:tcBorders>
              <w:top w:val="single" w:sz="6" w:space="0" w:color="808080"/>
              <w:left w:val="single" w:sz="6" w:space="0" w:color="808080"/>
              <w:bottom w:val="single" w:sz="6" w:space="0" w:color="808080"/>
              <w:right w:val="single" w:sz="6" w:space="0" w:color="808080"/>
            </w:tcBorders>
            <w:vAlign w:val="center"/>
          </w:tcPr>
          <w:p w14:paraId="026E2703" w14:textId="77777777" w:rsidR="00BC785E" w:rsidRPr="00E24DF5" w:rsidRDefault="00BC785E" w:rsidP="00384501">
            <w:pPr>
              <w:pStyle w:val="naisc"/>
            </w:pPr>
            <w:r w:rsidRPr="00E24DF5">
              <w:t>4</w:t>
            </w:r>
          </w:p>
        </w:tc>
      </w:tr>
      <w:tr w:rsidR="00BC785E" w:rsidRPr="00E24DF5" w14:paraId="23122DA0" w14:textId="77777777" w:rsidTr="00BC785E">
        <w:trPr>
          <w:tblCellSpacing w:w="0" w:type="dxa"/>
        </w:trPr>
        <w:tc>
          <w:tcPr>
            <w:tcW w:w="843" w:type="dxa"/>
            <w:tcBorders>
              <w:top w:val="single" w:sz="6" w:space="0" w:color="808080"/>
              <w:left w:val="single" w:sz="6" w:space="0" w:color="808080"/>
              <w:bottom w:val="single" w:sz="6" w:space="0" w:color="808080"/>
              <w:right w:val="single" w:sz="6" w:space="0" w:color="808080"/>
            </w:tcBorders>
            <w:vAlign w:val="center"/>
          </w:tcPr>
          <w:p w14:paraId="3498F316" w14:textId="77777777" w:rsidR="00BC785E" w:rsidRPr="00E24DF5" w:rsidRDefault="00BC785E" w:rsidP="00384501">
            <w:pPr>
              <w:pStyle w:val="naiskr"/>
            </w:pPr>
            <w:r w:rsidRPr="00E24DF5">
              <w:t>1.1.8.</w:t>
            </w:r>
          </w:p>
        </w:tc>
        <w:tc>
          <w:tcPr>
            <w:tcW w:w="2268" w:type="dxa"/>
            <w:tcBorders>
              <w:top w:val="single" w:sz="6" w:space="0" w:color="808080"/>
              <w:left w:val="single" w:sz="6" w:space="0" w:color="808080"/>
              <w:bottom w:val="single" w:sz="6" w:space="0" w:color="808080"/>
              <w:right w:val="single" w:sz="6" w:space="0" w:color="808080"/>
            </w:tcBorders>
            <w:vAlign w:val="center"/>
          </w:tcPr>
          <w:p w14:paraId="6AB26B7B" w14:textId="77777777" w:rsidR="00BC785E" w:rsidRPr="00E24DF5" w:rsidRDefault="00BC785E" w:rsidP="00384501">
            <w:pPr>
              <w:pStyle w:val="naisc"/>
            </w:pPr>
            <w:r w:rsidRPr="00E24DF5">
              <w:t>2759 - 3749</w:t>
            </w:r>
          </w:p>
        </w:tc>
        <w:tc>
          <w:tcPr>
            <w:tcW w:w="1208" w:type="dxa"/>
            <w:tcBorders>
              <w:top w:val="single" w:sz="6" w:space="0" w:color="808080"/>
              <w:left w:val="single" w:sz="6" w:space="0" w:color="808080"/>
              <w:bottom w:val="single" w:sz="6" w:space="0" w:color="808080"/>
              <w:right w:val="single" w:sz="6" w:space="0" w:color="808080"/>
            </w:tcBorders>
            <w:vAlign w:val="center"/>
          </w:tcPr>
          <w:p w14:paraId="59D23B61" w14:textId="77777777" w:rsidR="00BC785E" w:rsidRPr="00E24DF5" w:rsidRDefault="00BC785E" w:rsidP="00384501">
            <w:pPr>
              <w:pStyle w:val="naisc"/>
            </w:pPr>
            <w:r w:rsidRPr="00E24DF5">
              <w:t>7</w:t>
            </w:r>
          </w:p>
        </w:tc>
        <w:tc>
          <w:tcPr>
            <w:tcW w:w="1440" w:type="dxa"/>
            <w:tcBorders>
              <w:top w:val="single" w:sz="6" w:space="0" w:color="808080"/>
              <w:left w:val="single" w:sz="6" w:space="0" w:color="808080"/>
              <w:bottom w:val="single" w:sz="6" w:space="0" w:color="808080"/>
              <w:right w:val="single" w:sz="6" w:space="0" w:color="808080"/>
            </w:tcBorders>
            <w:vAlign w:val="center"/>
          </w:tcPr>
          <w:p w14:paraId="713CCF14" w14:textId="77777777" w:rsidR="00BC785E" w:rsidRPr="00E24DF5" w:rsidRDefault="00BC785E" w:rsidP="00384501">
            <w:pPr>
              <w:pStyle w:val="naisc"/>
            </w:pPr>
            <w:r w:rsidRPr="00E24DF5">
              <w:t>10</w:t>
            </w:r>
          </w:p>
        </w:tc>
        <w:tc>
          <w:tcPr>
            <w:tcW w:w="1604" w:type="dxa"/>
            <w:tcBorders>
              <w:top w:val="single" w:sz="6" w:space="0" w:color="808080"/>
              <w:left w:val="single" w:sz="6" w:space="0" w:color="808080"/>
              <w:bottom w:val="single" w:sz="6" w:space="0" w:color="808080"/>
              <w:right w:val="single" w:sz="6" w:space="0" w:color="808080"/>
            </w:tcBorders>
            <w:vAlign w:val="center"/>
          </w:tcPr>
          <w:p w14:paraId="44E1201C" w14:textId="77777777" w:rsidR="00BC785E" w:rsidRPr="00E24DF5" w:rsidRDefault="00BC785E" w:rsidP="00384501">
            <w:pPr>
              <w:pStyle w:val="naisc"/>
            </w:pPr>
            <w:r w:rsidRPr="00E24DF5">
              <w:t>3</w:t>
            </w:r>
          </w:p>
        </w:tc>
        <w:tc>
          <w:tcPr>
            <w:tcW w:w="1560" w:type="dxa"/>
            <w:tcBorders>
              <w:top w:val="single" w:sz="6" w:space="0" w:color="808080"/>
              <w:left w:val="single" w:sz="6" w:space="0" w:color="808080"/>
              <w:bottom w:val="single" w:sz="6" w:space="0" w:color="808080"/>
              <w:right w:val="single" w:sz="6" w:space="0" w:color="808080"/>
            </w:tcBorders>
            <w:vAlign w:val="center"/>
          </w:tcPr>
          <w:p w14:paraId="0B99B71B" w14:textId="77777777" w:rsidR="00BC785E" w:rsidRPr="00E24DF5" w:rsidRDefault="00BC785E" w:rsidP="00384501">
            <w:pPr>
              <w:pStyle w:val="naisc"/>
            </w:pPr>
            <w:r w:rsidRPr="00E24DF5">
              <w:t>4</w:t>
            </w:r>
          </w:p>
        </w:tc>
      </w:tr>
      <w:tr w:rsidR="00BC785E" w:rsidRPr="00E24DF5" w14:paraId="25E46456" w14:textId="77777777" w:rsidTr="00BC785E">
        <w:trPr>
          <w:tblCellSpacing w:w="0" w:type="dxa"/>
        </w:trPr>
        <w:tc>
          <w:tcPr>
            <w:tcW w:w="843" w:type="dxa"/>
            <w:tcBorders>
              <w:top w:val="single" w:sz="6" w:space="0" w:color="808080"/>
              <w:left w:val="single" w:sz="6" w:space="0" w:color="808080"/>
              <w:bottom w:val="single" w:sz="6" w:space="0" w:color="808080"/>
              <w:right w:val="single" w:sz="6" w:space="0" w:color="808080"/>
            </w:tcBorders>
            <w:vAlign w:val="center"/>
          </w:tcPr>
          <w:p w14:paraId="0B6D0A0D" w14:textId="77777777" w:rsidR="00BC785E" w:rsidRPr="00E24DF5" w:rsidRDefault="00BC785E" w:rsidP="00384501">
            <w:pPr>
              <w:pStyle w:val="naiskr"/>
            </w:pPr>
            <w:r w:rsidRPr="00E24DF5">
              <w:t>1.1.9.</w:t>
            </w:r>
          </w:p>
        </w:tc>
        <w:tc>
          <w:tcPr>
            <w:tcW w:w="2268" w:type="dxa"/>
            <w:tcBorders>
              <w:top w:val="single" w:sz="6" w:space="0" w:color="808080"/>
              <w:left w:val="single" w:sz="6" w:space="0" w:color="808080"/>
              <w:bottom w:val="single" w:sz="6" w:space="0" w:color="808080"/>
              <w:right w:val="single" w:sz="6" w:space="0" w:color="808080"/>
            </w:tcBorders>
            <w:vAlign w:val="center"/>
          </w:tcPr>
          <w:p w14:paraId="71274DAA" w14:textId="77777777" w:rsidR="00BC785E" w:rsidRPr="00E24DF5" w:rsidRDefault="00BC785E" w:rsidP="00384501">
            <w:pPr>
              <w:pStyle w:val="naisc"/>
            </w:pPr>
            <w:r w:rsidRPr="00E24DF5">
              <w:t>3750 - 4749</w:t>
            </w:r>
          </w:p>
        </w:tc>
        <w:tc>
          <w:tcPr>
            <w:tcW w:w="1208" w:type="dxa"/>
            <w:tcBorders>
              <w:top w:val="single" w:sz="6" w:space="0" w:color="808080"/>
              <w:left w:val="single" w:sz="6" w:space="0" w:color="808080"/>
              <w:bottom w:val="single" w:sz="6" w:space="0" w:color="808080"/>
              <w:right w:val="single" w:sz="6" w:space="0" w:color="808080"/>
            </w:tcBorders>
            <w:vAlign w:val="center"/>
          </w:tcPr>
          <w:p w14:paraId="0BDB74C3" w14:textId="77777777" w:rsidR="00BC785E" w:rsidRPr="00E24DF5" w:rsidRDefault="00BC785E" w:rsidP="00384501">
            <w:pPr>
              <w:pStyle w:val="naisc"/>
            </w:pPr>
            <w:r w:rsidRPr="00E24DF5">
              <w:t>8</w:t>
            </w:r>
          </w:p>
        </w:tc>
        <w:tc>
          <w:tcPr>
            <w:tcW w:w="1440" w:type="dxa"/>
            <w:tcBorders>
              <w:top w:val="single" w:sz="6" w:space="0" w:color="808080"/>
              <w:left w:val="single" w:sz="6" w:space="0" w:color="808080"/>
              <w:bottom w:val="single" w:sz="6" w:space="0" w:color="808080"/>
              <w:right w:val="single" w:sz="6" w:space="0" w:color="808080"/>
            </w:tcBorders>
            <w:vAlign w:val="center"/>
          </w:tcPr>
          <w:p w14:paraId="7D1B1602" w14:textId="77777777" w:rsidR="00BC785E" w:rsidRPr="00E24DF5" w:rsidRDefault="00BC785E" w:rsidP="00384501">
            <w:pPr>
              <w:pStyle w:val="naisc"/>
            </w:pPr>
            <w:r w:rsidRPr="00E24DF5">
              <w:t>11</w:t>
            </w:r>
          </w:p>
        </w:tc>
        <w:tc>
          <w:tcPr>
            <w:tcW w:w="1604" w:type="dxa"/>
            <w:tcBorders>
              <w:top w:val="single" w:sz="6" w:space="0" w:color="808080"/>
              <w:left w:val="single" w:sz="6" w:space="0" w:color="808080"/>
              <w:bottom w:val="single" w:sz="6" w:space="0" w:color="808080"/>
              <w:right w:val="single" w:sz="6" w:space="0" w:color="808080"/>
            </w:tcBorders>
            <w:vAlign w:val="center"/>
          </w:tcPr>
          <w:p w14:paraId="13283B46" w14:textId="77777777" w:rsidR="00BC785E" w:rsidRPr="00E24DF5" w:rsidRDefault="00BC785E" w:rsidP="00384501">
            <w:pPr>
              <w:pStyle w:val="naisc"/>
            </w:pPr>
            <w:r w:rsidRPr="00E24DF5">
              <w:t>3</w:t>
            </w:r>
          </w:p>
        </w:tc>
        <w:tc>
          <w:tcPr>
            <w:tcW w:w="1560" w:type="dxa"/>
            <w:tcBorders>
              <w:top w:val="single" w:sz="6" w:space="0" w:color="808080"/>
              <w:left w:val="single" w:sz="6" w:space="0" w:color="808080"/>
              <w:bottom w:val="single" w:sz="6" w:space="0" w:color="808080"/>
              <w:right w:val="single" w:sz="6" w:space="0" w:color="808080"/>
            </w:tcBorders>
            <w:vAlign w:val="center"/>
          </w:tcPr>
          <w:p w14:paraId="09769951" w14:textId="77777777" w:rsidR="00BC785E" w:rsidRPr="00E24DF5" w:rsidRDefault="00BC785E" w:rsidP="00384501">
            <w:pPr>
              <w:pStyle w:val="naisc"/>
            </w:pPr>
            <w:r w:rsidRPr="00E24DF5">
              <w:t>6</w:t>
            </w:r>
          </w:p>
        </w:tc>
      </w:tr>
      <w:tr w:rsidR="00BC785E" w:rsidRPr="00E24DF5" w14:paraId="24D9CAC7" w14:textId="77777777" w:rsidTr="00BC785E">
        <w:trPr>
          <w:tblCellSpacing w:w="0" w:type="dxa"/>
        </w:trPr>
        <w:tc>
          <w:tcPr>
            <w:tcW w:w="843" w:type="dxa"/>
            <w:tcBorders>
              <w:top w:val="single" w:sz="6" w:space="0" w:color="808080"/>
              <w:left w:val="single" w:sz="6" w:space="0" w:color="808080"/>
              <w:bottom w:val="single" w:sz="6" w:space="0" w:color="808080"/>
              <w:right w:val="single" w:sz="6" w:space="0" w:color="808080"/>
            </w:tcBorders>
            <w:vAlign w:val="center"/>
          </w:tcPr>
          <w:p w14:paraId="45E9FBA7" w14:textId="77777777" w:rsidR="00BC785E" w:rsidRPr="00E24DF5" w:rsidRDefault="00BC785E" w:rsidP="00384501">
            <w:pPr>
              <w:pStyle w:val="naiskr"/>
            </w:pPr>
            <w:r w:rsidRPr="00E24DF5">
              <w:t>1.1.10.</w:t>
            </w:r>
          </w:p>
        </w:tc>
        <w:tc>
          <w:tcPr>
            <w:tcW w:w="2268" w:type="dxa"/>
            <w:tcBorders>
              <w:top w:val="single" w:sz="6" w:space="0" w:color="808080"/>
              <w:left w:val="single" w:sz="6" w:space="0" w:color="808080"/>
              <w:bottom w:val="single" w:sz="6" w:space="0" w:color="808080"/>
              <w:right w:val="single" w:sz="6" w:space="0" w:color="808080"/>
            </w:tcBorders>
            <w:vAlign w:val="center"/>
          </w:tcPr>
          <w:p w14:paraId="3C68094A" w14:textId="77777777" w:rsidR="00BC785E" w:rsidRPr="00E24DF5" w:rsidRDefault="00BC785E" w:rsidP="00384501">
            <w:pPr>
              <w:pStyle w:val="naisc"/>
            </w:pPr>
            <w:r w:rsidRPr="00E24DF5">
              <w:t>4750 - 5999</w:t>
            </w:r>
          </w:p>
        </w:tc>
        <w:tc>
          <w:tcPr>
            <w:tcW w:w="1208" w:type="dxa"/>
            <w:tcBorders>
              <w:top w:val="single" w:sz="6" w:space="0" w:color="808080"/>
              <w:left w:val="single" w:sz="6" w:space="0" w:color="808080"/>
              <w:bottom w:val="single" w:sz="6" w:space="0" w:color="808080"/>
              <w:right w:val="single" w:sz="6" w:space="0" w:color="808080"/>
            </w:tcBorders>
            <w:vAlign w:val="center"/>
          </w:tcPr>
          <w:p w14:paraId="7E392AA1" w14:textId="77777777" w:rsidR="00BC785E" w:rsidRPr="00E24DF5" w:rsidRDefault="00BC785E" w:rsidP="00384501">
            <w:pPr>
              <w:pStyle w:val="naisc"/>
            </w:pPr>
            <w:r w:rsidRPr="00E24DF5">
              <w:t>9</w:t>
            </w:r>
          </w:p>
        </w:tc>
        <w:tc>
          <w:tcPr>
            <w:tcW w:w="1440" w:type="dxa"/>
            <w:tcBorders>
              <w:top w:val="single" w:sz="6" w:space="0" w:color="808080"/>
              <w:left w:val="single" w:sz="6" w:space="0" w:color="808080"/>
              <w:bottom w:val="single" w:sz="6" w:space="0" w:color="808080"/>
              <w:right w:val="single" w:sz="6" w:space="0" w:color="808080"/>
            </w:tcBorders>
            <w:vAlign w:val="center"/>
          </w:tcPr>
          <w:p w14:paraId="72255F04" w14:textId="77777777" w:rsidR="00BC785E" w:rsidRPr="00E24DF5" w:rsidRDefault="00BC785E" w:rsidP="00384501">
            <w:pPr>
              <w:pStyle w:val="naisc"/>
            </w:pPr>
            <w:r w:rsidRPr="00E24DF5">
              <w:t>13</w:t>
            </w:r>
          </w:p>
        </w:tc>
        <w:tc>
          <w:tcPr>
            <w:tcW w:w="1604" w:type="dxa"/>
            <w:tcBorders>
              <w:top w:val="single" w:sz="6" w:space="0" w:color="808080"/>
              <w:left w:val="single" w:sz="6" w:space="0" w:color="808080"/>
              <w:bottom w:val="single" w:sz="6" w:space="0" w:color="808080"/>
              <w:right w:val="single" w:sz="6" w:space="0" w:color="808080"/>
            </w:tcBorders>
            <w:vAlign w:val="center"/>
          </w:tcPr>
          <w:p w14:paraId="1EBB1876" w14:textId="77777777" w:rsidR="00BC785E" w:rsidRPr="00E24DF5" w:rsidRDefault="00BC785E" w:rsidP="00384501">
            <w:pPr>
              <w:pStyle w:val="naisc"/>
            </w:pPr>
            <w:r w:rsidRPr="00E24DF5">
              <w:t>4</w:t>
            </w:r>
          </w:p>
        </w:tc>
        <w:tc>
          <w:tcPr>
            <w:tcW w:w="1560" w:type="dxa"/>
            <w:tcBorders>
              <w:top w:val="single" w:sz="6" w:space="0" w:color="808080"/>
              <w:left w:val="single" w:sz="6" w:space="0" w:color="808080"/>
              <w:bottom w:val="single" w:sz="6" w:space="0" w:color="808080"/>
              <w:right w:val="single" w:sz="6" w:space="0" w:color="808080"/>
            </w:tcBorders>
            <w:vAlign w:val="center"/>
          </w:tcPr>
          <w:p w14:paraId="0AA63206" w14:textId="77777777" w:rsidR="00BC785E" w:rsidRPr="00E24DF5" w:rsidRDefault="00BC785E" w:rsidP="00384501">
            <w:pPr>
              <w:pStyle w:val="naisc"/>
            </w:pPr>
            <w:r w:rsidRPr="00E24DF5">
              <w:t>6</w:t>
            </w:r>
          </w:p>
        </w:tc>
      </w:tr>
      <w:tr w:rsidR="00BC785E" w:rsidRPr="00E24DF5" w14:paraId="29FF3DE2" w14:textId="77777777" w:rsidTr="00BC785E">
        <w:trPr>
          <w:tblCellSpacing w:w="0" w:type="dxa"/>
        </w:trPr>
        <w:tc>
          <w:tcPr>
            <w:tcW w:w="843" w:type="dxa"/>
            <w:tcBorders>
              <w:top w:val="single" w:sz="6" w:space="0" w:color="808080"/>
              <w:left w:val="single" w:sz="6" w:space="0" w:color="808080"/>
              <w:bottom w:val="single" w:sz="6" w:space="0" w:color="808080"/>
              <w:right w:val="single" w:sz="6" w:space="0" w:color="808080"/>
            </w:tcBorders>
            <w:vAlign w:val="center"/>
          </w:tcPr>
          <w:p w14:paraId="5244E96B" w14:textId="77777777" w:rsidR="00BC785E" w:rsidRPr="00E24DF5" w:rsidRDefault="00BC785E" w:rsidP="00384501">
            <w:pPr>
              <w:pStyle w:val="naiskr"/>
            </w:pPr>
            <w:r w:rsidRPr="00E24DF5">
              <w:t>1.1.11.</w:t>
            </w:r>
          </w:p>
        </w:tc>
        <w:tc>
          <w:tcPr>
            <w:tcW w:w="2268" w:type="dxa"/>
            <w:tcBorders>
              <w:top w:val="single" w:sz="6" w:space="0" w:color="808080"/>
              <w:left w:val="single" w:sz="6" w:space="0" w:color="808080"/>
              <w:bottom w:val="single" w:sz="6" w:space="0" w:color="808080"/>
              <w:right w:val="single" w:sz="6" w:space="0" w:color="808080"/>
            </w:tcBorders>
            <w:vAlign w:val="center"/>
          </w:tcPr>
          <w:p w14:paraId="38BB7F65" w14:textId="77777777" w:rsidR="00BC785E" w:rsidRPr="00E24DF5" w:rsidRDefault="00BC785E" w:rsidP="00384501">
            <w:pPr>
              <w:pStyle w:val="naisc"/>
            </w:pPr>
            <w:r w:rsidRPr="00E24DF5">
              <w:t>≥ 6000</w:t>
            </w:r>
          </w:p>
        </w:tc>
        <w:tc>
          <w:tcPr>
            <w:tcW w:w="1208" w:type="dxa"/>
            <w:tcBorders>
              <w:top w:val="single" w:sz="6" w:space="0" w:color="808080"/>
              <w:left w:val="single" w:sz="6" w:space="0" w:color="808080"/>
              <w:bottom w:val="single" w:sz="6" w:space="0" w:color="808080"/>
              <w:right w:val="single" w:sz="6" w:space="0" w:color="808080"/>
            </w:tcBorders>
            <w:vAlign w:val="center"/>
          </w:tcPr>
          <w:p w14:paraId="0C131126" w14:textId="77777777" w:rsidR="00BC785E" w:rsidRPr="00E24DF5" w:rsidRDefault="00BC785E" w:rsidP="00384501">
            <w:pPr>
              <w:pStyle w:val="naisc"/>
            </w:pPr>
            <w:r w:rsidRPr="00E24DF5">
              <w:t>10</w:t>
            </w:r>
          </w:p>
        </w:tc>
        <w:tc>
          <w:tcPr>
            <w:tcW w:w="1440" w:type="dxa"/>
            <w:tcBorders>
              <w:top w:val="single" w:sz="6" w:space="0" w:color="808080"/>
              <w:left w:val="single" w:sz="6" w:space="0" w:color="808080"/>
              <w:bottom w:val="single" w:sz="6" w:space="0" w:color="808080"/>
              <w:right w:val="single" w:sz="6" w:space="0" w:color="808080"/>
            </w:tcBorders>
            <w:vAlign w:val="center"/>
          </w:tcPr>
          <w:p w14:paraId="52858EE8" w14:textId="77777777" w:rsidR="00BC785E" w:rsidRPr="00E24DF5" w:rsidRDefault="00BC785E" w:rsidP="00384501">
            <w:pPr>
              <w:pStyle w:val="naisc"/>
            </w:pPr>
            <w:r w:rsidRPr="00E24DF5">
              <w:t>15</w:t>
            </w:r>
          </w:p>
        </w:tc>
        <w:tc>
          <w:tcPr>
            <w:tcW w:w="1604" w:type="dxa"/>
            <w:tcBorders>
              <w:top w:val="single" w:sz="6" w:space="0" w:color="808080"/>
              <w:left w:val="single" w:sz="6" w:space="0" w:color="808080"/>
              <w:bottom w:val="single" w:sz="6" w:space="0" w:color="808080"/>
              <w:right w:val="single" w:sz="6" w:space="0" w:color="808080"/>
            </w:tcBorders>
            <w:vAlign w:val="center"/>
          </w:tcPr>
          <w:p w14:paraId="68C84BA5" w14:textId="77777777" w:rsidR="00BC785E" w:rsidRPr="00E24DF5" w:rsidRDefault="00BC785E" w:rsidP="00384501">
            <w:pPr>
              <w:pStyle w:val="naisc"/>
            </w:pPr>
            <w:r w:rsidRPr="00E24DF5">
              <w:t>4</w:t>
            </w:r>
          </w:p>
        </w:tc>
        <w:tc>
          <w:tcPr>
            <w:tcW w:w="1560" w:type="dxa"/>
            <w:tcBorders>
              <w:top w:val="single" w:sz="6" w:space="0" w:color="808080"/>
              <w:left w:val="single" w:sz="6" w:space="0" w:color="808080"/>
              <w:bottom w:val="single" w:sz="6" w:space="0" w:color="808080"/>
              <w:right w:val="single" w:sz="6" w:space="0" w:color="808080"/>
            </w:tcBorders>
            <w:vAlign w:val="center"/>
          </w:tcPr>
          <w:p w14:paraId="670AF253" w14:textId="77777777" w:rsidR="00BC785E" w:rsidRPr="00E24DF5" w:rsidRDefault="00BC785E" w:rsidP="00384501">
            <w:pPr>
              <w:pStyle w:val="naisc"/>
            </w:pPr>
            <w:r w:rsidRPr="00E24DF5">
              <w:t>7</w:t>
            </w:r>
          </w:p>
        </w:tc>
      </w:tr>
    </w:tbl>
    <w:p w14:paraId="4EA51250" w14:textId="077134A6" w:rsidR="00BC785E" w:rsidRPr="00E24DF5" w:rsidRDefault="00BC785E" w:rsidP="00BC785E">
      <w:pPr>
        <w:pStyle w:val="naisf"/>
        <w:ind w:firstLine="0"/>
        <w:jc w:val="right"/>
      </w:pPr>
      <w:r w:rsidRPr="00E24DF5">
        <w:t>”</w:t>
      </w:r>
    </w:p>
    <w:p w14:paraId="09585C25" w14:textId="1E9B7914" w:rsidR="00BC785E" w:rsidRPr="00E24DF5" w:rsidRDefault="00597F9A" w:rsidP="008617B7">
      <w:pPr>
        <w:pStyle w:val="naisf"/>
        <w:spacing w:before="120" w:after="120"/>
        <w:ind w:firstLine="720"/>
      </w:pPr>
      <w:r>
        <w:t>40</w:t>
      </w:r>
      <w:r w:rsidR="008617B7">
        <w:t xml:space="preserve">. </w:t>
      </w:r>
      <w:r w:rsidR="00BC785E" w:rsidRPr="00E24DF5">
        <w:t>Svītrot 10.</w:t>
      </w:r>
      <w:r w:rsidR="0028424D" w:rsidRPr="00E24DF5">
        <w:t> </w:t>
      </w:r>
      <w:r w:rsidR="00BC785E" w:rsidRPr="00E24DF5">
        <w:t xml:space="preserve">pielikuma </w:t>
      </w:r>
      <w:r w:rsidR="009648E4" w:rsidRPr="00E24DF5">
        <w:t>II</w:t>
      </w:r>
      <w:r w:rsidR="0028424D" w:rsidRPr="00E24DF5">
        <w:t>. </w:t>
      </w:r>
      <w:r w:rsidR="009648E4" w:rsidRPr="00E24DF5">
        <w:t>sadaļas 3.</w:t>
      </w:r>
      <w:r w:rsidR="0028424D" w:rsidRPr="00E24DF5">
        <w:t> </w:t>
      </w:r>
      <w:r w:rsidR="009648E4" w:rsidRPr="00E24DF5">
        <w:t>punkt</w:t>
      </w:r>
      <w:r w:rsidR="0028424D" w:rsidRPr="00E24DF5">
        <w:t>a</w:t>
      </w:r>
      <w:r w:rsidR="009648E4" w:rsidRPr="00E24DF5">
        <w:t xml:space="preserve"> tabulā vārdus „(pilsēta vai piepilsēta)” un vārdus „(piepilsēta vai lauku apvidus)”</w:t>
      </w:r>
      <w:r w:rsidR="0028424D" w:rsidRPr="00E24DF5">
        <w:t>.</w:t>
      </w:r>
    </w:p>
    <w:p w14:paraId="3D20EDB0" w14:textId="77777777" w:rsidR="00ED3CBC" w:rsidRPr="00E24DF5" w:rsidRDefault="00ED3CBC" w:rsidP="00927E14">
      <w:pPr>
        <w:pStyle w:val="naisf"/>
        <w:spacing w:before="120" w:after="120"/>
        <w:ind w:firstLine="720"/>
      </w:pPr>
    </w:p>
    <w:p w14:paraId="2FF9370A" w14:textId="4D80AF3C" w:rsidR="00ED3CBC" w:rsidRPr="00E24DF5" w:rsidRDefault="00597F9A" w:rsidP="008617B7">
      <w:pPr>
        <w:pStyle w:val="naisf"/>
        <w:spacing w:before="120" w:after="120"/>
        <w:ind w:firstLine="720"/>
      </w:pPr>
      <w:r>
        <w:t>41</w:t>
      </w:r>
      <w:r w:rsidR="008617B7">
        <w:t xml:space="preserve">. </w:t>
      </w:r>
      <w:r w:rsidR="00ED3CBC" w:rsidRPr="00E24DF5">
        <w:t>Aizstāt 10.</w:t>
      </w:r>
      <w:r w:rsidR="0028424D" w:rsidRPr="00E24DF5">
        <w:t> </w:t>
      </w:r>
      <w:r w:rsidR="00ED3CBC" w:rsidRPr="00E24DF5">
        <w:t>pielikuma II</w:t>
      </w:r>
      <w:r w:rsidR="0028424D" w:rsidRPr="00E24DF5">
        <w:t>. </w:t>
      </w:r>
      <w:r w:rsidR="00ED3CBC" w:rsidRPr="00E24DF5">
        <w:t>sadaļas 3.</w:t>
      </w:r>
      <w:r w:rsidR="0028424D" w:rsidRPr="00E24DF5">
        <w:t> </w:t>
      </w:r>
      <w:r w:rsidR="00ED3CBC" w:rsidRPr="00E24DF5">
        <w:t>punkt</w:t>
      </w:r>
      <w:r w:rsidR="0028424D" w:rsidRPr="00E24DF5">
        <w:t>a</w:t>
      </w:r>
      <w:r w:rsidR="00ED3CBC" w:rsidRPr="00E24DF5">
        <w:t xml:space="preserve"> tabulas 1.</w:t>
      </w:r>
      <w:r w:rsidR="0028424D" w:rsidRPr="00E24DF5">
        <w:t> </w:t>
      </w:r>
      <w:r w:rsidR="00ED3CBC" w:rsidRPr="00E24DF5">
        <w:t>piezīmē vārdu „piepilsētā” ar vārdu „teritorijā”</w:t>
      </w:r>
      <w:r w:rsidR="0028424D" w:rsidRPr="00E24DF5">
        <w:t>.</w:t>
      </w:r>
    </w:p>
    <w:p w14:paraId="3F332FD9" w14:textId="77777777" w:rsidR="00B83B92" w:rsidRDefault="00B83B92" w:rsidP="008163A8">
      <w:pPr>
        <w:spacing w:before="120" w:after="120" w:line="240" w:lineRule="auto"/>
      </w:pPr>
    </w:p>
    <w:p w14:paraId="2AFCCC37" w14:textId="5CCF68C3" w:rsidR="00B83B92" w:rsidRPr="008163A8" w:rsidRDefault="00597F9A" w:rsidP="008617B7">
      <w:pPr>
        <w:pStyle w:val="naisf"/>
        <w:spacing w:before="120" w:after="120"/>
        <w:ind w:firstLine="720"/>
      </w:pPr>
      <w:r w:rsidRPr="00286EBE">
        <w:t>4</w:t>
      </w:r>
      <w:r>
        <w:t>2</w:t>
      </w:r>
      <w:r w:rsidR="008617B7" w:rsidRPr="00286EBE">
        <w:t xml:space="preserve">. </w:t>
      </w:r>
      <w:r w:rsidR="00B83B92" w:rsidRPr="008163A8">
        <w:t>Aizstāt 11. pielikuma 2.5. apakšpunktā vārdus „galvenajiem ceļiem” ar vārdiem „galveno ceļu posmiem, kur satiksmes intensitāte ir lielāka par 50 000 transportlīdzekļu dienā.”</w:t>
      </w:r>
    </w:p>
    <w:p w14:paraId="61A02624" w14:textId="77777777" w:rsidR="00355067" w:rsidRPr="008163A8" w:rsidRDefault="00355067" w:rsidP="008617B7">
      <w:pPr>
        <w:pStyle w:val="naisf"/>
        <w:spacing w:before="120" w:after="120"/>
        <w:ind w:firstLine="720"/>
      </w:pPr>
    </w:p>
    <w:p w14:paraId="76B1EC90" w14:textId="1BF2E41F" w:rsidR="00292F1A" w:rsidRPr="008163A8" w:rsidRDefault="00597F9A" w:rsidP="008617B7">
      <w:pPr>
        <w:pStyle w:val="naisf"/>
        <w:spacing w:before="120" w:after="120"/>
        <w:ind w:firstLine="720"/>
      </w:pPr>
      <w:r w:rsidRPr="008163A8">
        <w:t>4</w:t>
      </w:r>
      <w:r>
        <w:t>3</w:t>
      </w:r>
      <w:r w:rsidR="008617B7" w:rsidRPr="008163A8">
        <w:t xml:space="preserve">. </w:t>
      </w:r>
      <w:r w:rsidR="00292F1A" w:rsidRPr="008163A8">
        <w:t>Izteikt 11.</w:t>
      </w:r>
      <w:r w:rsidR="004934B9" w:rsidRPr="008163A8">
        <w:t> </w:t>
      </w:r>
      <w:r w:rsidR="00292F1A" w:rsidRPr="008163A8">
        <w:t>pielikuma 3.1.</w:t>
      </w:r>
      <w:r w:rsidR="009B3009" w:rsidRPr="008163A8">
        <w:t xml:space="preserve">, 3.2. </w:t>
      </w:r>
      <w:r w:rsidR="004934B9" w:rsidRPr="008163A8">
        <w:t>un</w:t>
      </w:r>
      <w:r w:rsidR="000B1887" w:rsidRPr="008163A8">
        <w:t xml:space="preserve"> </w:t>
      </w:r>
      <w:r w:rsidR="00292F1A" w:rsidRPr="008163A8">
        <w:t>3.5.</w:t>
      </w:r>
      <w:r w:rsidR="004934B9" w:rsidRPr="008163A8">
        <w:t> </w:t>
      </w:r>
      <w:r w:rsidR="00292F1A" w:rsidRPr="008163A8">
        <w:t xml:space="preserve">apakšpunktu šādā redakcijā: </w:t>
      </w:r>
    </w:p>
    <w:p w14:paraId="1A94BA06" w14:textId="2C2A8B37" w:rsidR="00292F1A" w:rsidRDefault="00292F1A" w:rsidP="008617B7">
      <w:pPr>
        <w:pStyle w:val="naisf"/>
        <w:spacing w:before="120" w:after="120"/>
        <w:ind w:firstLine="720"/>
      </w:pPr>
      <w:r w:rsidRPr="008163A8">
        <w:t>„3.1.</w:t>
      </w:r>
      <w:r w:rsidR="004934B9" w:rsidRPr="008163A8">
        <w:t> </w:t>
      </w:r>
      <w:r w:rsidRPr="008163A8">
        <w:t>gaisa plūsmai ap paraugu ņemšanas ierīces atveri jābūt brīvai no jebkādiem šķēršļiem, kas varētu ietekmēt gaisa plūsmu parauga ņemšanas ierīces tuvumā (paraugu ņemšanas vietām, kas atrodas uz apbūves līnijas vismaz 270</w:t>
      </w:r>
      <w:r w:rsidRPr="008163A8">
        <w:rPr>
          <w:vertAlign w:val="superscript"/>
        </w:rPr>
        <w:t xml:space="preserve">o </w:t>
      </w:r>
      <w:r w:rsidRPr="008163A8">
        <w:t>vai 180</w:t>
      </w:r>
      <w:r w:rsidRPr="008163A8">
        <w:rPr>
          <w:vertAlign w:val="superscript"/>
        </w:rPr>
        <w:t>o</w:t>
      </w:r>
      <w:r w:rsidRPr="008163A8">
        <w:t xml:space="preserve"> rādiusā). Parasti šīs ierīces novieto dažu metru attālumā no ēkām, kokiem un citiem šķēršļiem un vismaz 0,5</w:t>
      </w:r>
      <w:r w:rsidR="004934B9" w:rsidRPr="008163A8">
        <w:t> </w:t>
      </w:r>
      <w:r w:rsidRPr="008163A8">
        <w:t>m attālumā no tuvākās būves, ja paraugu ņemšanas vieta</w:t>
      </w:r>
      <w:r>
        <w:t xml:space="preserve"> raksturo gaisa kvalitāti uz apbūves līnijas;</w:t>
      </w:r>
    </w:p>
    <w:p w14:paraId="56B12F40" w14:textId="62406DC6" w:rsidR="00292F1A" w:rsidRDefault="00292F1A" w:rsidP="008617B7">
      <w:pPr>
        <w:pStyle w:val="naisf"/>
        <w:spacing w:before="120" w:after="120"/>
        <w:ind w:firstLine="720"/>
      </w:pPr>
      <w:r>
        <w:t>3.2.</w:t>
      </w:r>
      <w:r w:rsidR="004934B9">
        <w:t> </w:t>
      </w:r>
      <w:r>
        <w:t xml:space="preserve">gaisa plūsmas paraugu ņemšanas ierīces ieplūdes atvere novietota 1,5 m (elpošanas zona) līdz 4 m augstumā virs zemes. Augstāks novietojums var būt nepieciešams </w:t>
      </w:r>
      <w:r w:rsidRPr="00BF0D93">
        <w:t xml:space="preserve">tad, </w:t>
      </w:r>
      <w:r>
        <w:t xml:space="preserve">ja monitoringa stacija raksturo plašāku teritoriju. </w:t>
      </w:r>
      <w:r w:rsidRPr="001955DE">
        <w:t xml:space="preserve">Ja paraugu ņemšanas ierīce ir novietota augstāk </w:t>
      </w:r>
      <w:r w:rsidRPr="001955DE">
        <w:lastRenderedPageBreak/>
        <w:t>par 4</w:t>
      </w:r>
      <w:r w:rsidR="004934B9">
        <w:t> </w:t>
      </w:r>
      <w:r w:rsidRPr="001955DE">
        <w:t>m virs zemes šo informāciju iekļauj ziņojumā, kas tiek izstrādāts saskaņā ar šo noteikumu 14.</w:t>
      </w:r>
      <w:r w:rsidRPr="001955DE">
        <w:rPr>
          <w:vertAlign w:val="superscript"/>
        </w:rPr>
        <w:t>1</w:t>
      </w:r>
      <w:r w:rsidR="004934B9">
        <w:t> </w:t>
      </w:r>
      <w:r w:rsidRPr="001955DE">
        <w:t>punktā noteikto</w:t>
      </w:r>
      <w:r w:rsidR="0028424D">
        <w:t>;</w:t>
      </w:r>
    </w:p>
    <w:p w14:paraId="0944402A" w14:textId="18297499" w:rsidR="00292F1A" w:rsidRDefault="00292F1A" w:rsidP="008617B7">
      <w:pPr>
        <w:pStyle w:val="naisf"/>
        <w:spacing w:before="120" w:after="120"/>
        <w:ind w:firstLine="720"/>
      </w:pPr>
      <w:r>
        <w:t>3.5.</w:t>
      </w:r>
      <w:r w:rsidR="0028424D">
        <w:t> </w:t>
      </w:r>
      <w:r>
        <w:t xml:space="preserve">transportlīdzekļu radītā </w:t>
      </w:r>
      <w:r w:rsidRPr="00CC4535">
        <w:t>piesārņojuma mērīšanai paredzētās paraugu ņemšanas ierīces novieto vismaz 25</w:t>
      </w:r>
      <w:r w:rsidR="0028424D">
        <w:t> </w:t>
      </w:r>
      <w:r w:rsidRPr="00CC4535">
        <w:t>m attālumā no galvenajiem krustojumiem (tādi krustojumi, kas aptur satiksmes plūsmu un rada atšķirīgas emisijas (apstāšanās un kustības atsākšana) salīdzinājumā ar pārējo ceļu) un tālākais 10</w:t>
      </w:r>
      <w:r w:rsidR="0028424D">
        <w:t> </w:t>
      </w:r>
      <w:r w:rsidRPr="00CC4535">
        <w:t>m no ietves malas;</w:t>
      </w:r>
      <w:r>
        <w:t>”</w:t>
      </w:r>
    </w:p>
    <w:p w14:paraId="2EA4AC6F" w14:textId="77777777" w:rsidR="00292F1A" w:rsidRDefault="00292F1A" w:rsidP="008617B7">
      <w:pPr>
        <w:pStyle w:val="naisf"/>
        <w:spacing w:before="120" w:after="120"/>
        <w:ind w:firstLine="720"/>
      </w:pPr>
    </w:p>
    <w:p w14:paraId="449D112B" w14:textId="50264696" w:rsidR="001A1FBC" w:rsidRDefault="00597F9A" w:rsidP="008617B7">
      <w:pPr>
        <w:pStyle w:val="naisf"/>
        <w:spacing w:before="120" w:after="120"/>
        <w:ind w:firstLine="720"/>
      </w:pPr>
      <w:r>
        <w:t>44</w:t>
      </w:r>
      <w:r w:rsidR="008617B7">
        <w:t xml:space="preserve">. </w:t>
      </w:r>
      <w:r w:rsidR="0012220E">
        <w:t>Papildināt 12.</w:t>
      </w:r>
      <w:r w:rsidR="009E1E6C">
        <w:t> </w:t>
      </w:r>
      <w:r w:rsidR="0012220E">
        <w:t>pielikuma 3.</w:t>
      </w:r>
      <w:r w:rsidR="009E1E6C">
        <w:t> </w:t>
      </w:r>
      <w:r w:rsidR="0012220E">
        <w:t>rindas 4.</w:t>
      </w:r>
      <w:r w:rsidR="009E1E6C">
        <w:t> kolonnā</w:t>
      </w:r>
      <w:r w:rsidR="0012220E">
        <w:t xml:space="preserve"> aiz vārda „daži” ar vārdu „simti”</w:t>
      </w:r>
      <w:r w:rsidR="009E1E6C">
        <w:t>.</w:t>
      </w:r>
    </w:p>
    <w:p w14:paraId="52EB4F7C" w14:textId="77777777" w:rsidR="001A1FBC" w:rsidRDefault="001A1FBC" w:rsidP="008617B7">
      <w:pPr>
        <w:pStyle w:val="naisf"/>
        <w:spacing w:before="120" w:after="120"/>
        <w:ind w:firstLine="720"/>
      </w:pPr>
    </w:p>
    <w:p w14:paraId="6DD23B76" w14:textId="676ED3B6" w:rsidR="00CB57D3" w:rsidRDefault="00597F9A" w:rsidP="008617B7">
      <w:pPr>
        <w:pStyle w:val="naisf"/>
        <w:spacing w:before="120" w:after="120"/>
        <w:ind w:firstLine="720"/>
      </w:pPr>
      <w:r>
        <w:t>45</w:t>
      </w:r>
      <w:r w:rsidR="008617B7">
        <w:t xml:space="preserve">. </w:t>
      </w:r>
      <w:r w:rsidR="00CB57D3">
        <w:t>Aizstāt 15.</w:t>
      </w:r>
      <w:r w:rsidR="009E1E6C">
        <w:t> </w:t>
      </w:r>
      <w:r w:rsidR="00CB57D3">
        <w:t>pielikumā I</w:t>
      </w:r>
      <w:r w:rsidR="009E1E6C">
        <w:t> </w:t>
      </w:r>
      <w:r w:rsidR="00CB57D3">
        <w:t>sadaļas 1.punkt</w:t>
      </w:r>
      <w:r w:rsidR="009E1E6C">
        <w:t>a</w:t>
      </w:r>
      <w:r w:rsidR="00CB57D3">
        <w:t xml:space="preserve"> tabulā aiz vārda „Nenoteiktība” ar simbolu „*****”</w:t>
      </w:r>
      <w:r w:rsidR="009E1E6C">
        <w:t>.</w:t>
      </w:r>
    </w:p>
    <w:p w14:paraId="4A9E07E6" w14:textId="77777777" w:rsidR="00CB57D3" w:rsidRDefault="00CB57D3" w:rsidP="008617B7">
      <w:pPr>
        <w:pStyle w:val="naisf"/>
        <w:spacing w:before="120" w:after="120"/>
        <w:ind w:firstLine="720"/>
      </w:pPr>
    </w:p>
    <w:p w14:paraId="706D6D37" w14:textId="21BCEA8D" w:rsidR="00CB57D3" w:rsidRDefault="00597F9A" w:rsidP="008617B7">
      <w:pPr>
        <w:pStyle w:val="naisf"/>
        <w:spacing w:before="120" w:after="120"/>
        <w:ind w:firstLine="720"/>
      </w:pPr>
      <w:r>
        <w:t>46</w:t>
      </w:r>
      <w:r w:rsidR="008617B7">
        <w:t xml:space="preserve">. </w:t>
      </w:r>
      <w:r w:rsidR="00CB57D3">
        <w:t>Papildināt 15.</w:t>
      </w:r>
      <w:r w:rsidR="009E1E6C">
        <w:t> </w:t>
      </w:r>
      <w:r w:rsidR="00CB57D3">
        <w:t>pielikuma I</w:t>
      </w:r>
      <w:r w:rsidR="009E1E6C">
        <w:t> </w:t>
      </w:r>
      <w:r w:rsidR="00CB57D3">
        <w:t>sadaļas 1.</w:t>
      </w:r>
      <w:r w:rsidR="009E1E6C">
        <w:t> </w:t>
      </w:r>
      <w:r w:rsidR="00CB57D3">
        <w:t>punkt</w:t>
      </w:r>
      <w:r w:rsidR="009E1E6C">
        <w:t>a</w:t>
      </w:r>
      <w:r w:rsidR="00CB57D3">
        <w:t xml:space="preserve"> tabulu ar 5.</w:t>
      </w:r>
      <w:r w:rsidR="009E1E6C">
        <w:t> </w:t>
      </w:r>
      <w:r w:rsidR="00CB57D3">
        <w:t xml:space="preserve">piezīmi šādā redakcijā: </w:t>
      </w:r>
    </w:p>
    <w:p w14:paraId="7937FEF3" w14:textId="01067E8F" w:rsidR="00292F1A" w:rsidRDefault="00CB57D3" w:rsidP="008617B7">
      <w:pPr>
        <w:pStyle w:val="naisf"/>
        <w:spacing w:before="120" w:after="120"/>
        <w:ind w:firstLine="720"/>
      </w:pPr>
      <w:r>
        <w:t xml:space="preserve">„5. ***** </w:t>
      </w:r>
      <w:r w:rsidRPr="009C29C9">
        <w:t>norādītie nenoteiktības procentuālie lielumi attiecas uz konkrētiem mērījumiem, kuru vidējā vērtība ir noteikta laika periodam, k</w:t>
      </w:r>
      <w:r w:rsidR="009E1E6C">
        <w:t>am</w:t>
      </w:r>
      <w:r w:rsidRPr="009C29C9">
        <w:t xml:space="preserve"> piemēro robežlielumu (vai </w:t>
      </w:r>
      <w:proofErr w:type="spellStart"/>
      <w:r w:rsidRPr="009C29C9">
        <w:t>mērķlielumu</w:t>
      </w:r>
      <w:proofErr w:type="spellEnd"/>
      <w:r w:rsidRPr="009C29C9">
        <w:t xml:space="preserve"> – ozona gadījumā), ja ticamības intervāls ir 95</w:t>
      </w:r>
      <w:r w:rsidR="009E1E6C">
        <w:t> </w:t>
      </w:r>
      <w:r w:rsidRPr="009C29C9">
        <w:t xml:space="preserve">%. Stacionāro mērījumu nenoteiktību piemēro teritorijai, kurā tiek novērtēta atbilstība attiecīgajam robežlielumam (vai </w:t>
      </w:r>
      <w:r>
        <w:t xml:space="preserve">ozona gadījumā - </w:t>
      </w:r>
      <w:proofErr w:type="spellStart"/>
      <w:r>
        <w:t>mērķlielumam</w:t>
      </w:r>
      <w:proofErr w:type="spellEnd"/>
      <w:r>
        <w:t>).”</w:t>
      </w:r>
    </w:p>
    <w:p w14:paraId="349A8E73" w14:textId="77777777" w:rsidR="00CB57D3" w:rsidRDefault="00CB57D3" w:rsidP="008617B7">
      <w:pPr>
        <w:pStyle w:val="naisf"/>
        <w:spacing w:before="120" w:after="120"/>
        <w:ind w:firstLine="720"/>
      </w:pPr>
    </w:p>
    <w:p w14:paraId="7DD864BB" w14:textId="677ED93E" w:rsidR="00807210" w:rsidRDefault="00597F9A" w:rsidP="008617B7">
      <w:pPr>
        <w:pStyle w:val="naisf"/>
        <w:spacing w:before="120" w:after="120"/>
        <w:ind w:firstLine="720"/>
      </w:pPr>
      <w:r>
        <w:t>47</w:t>
      </w:r>
      <w:r w:rsidR="008617B7">
        <w:t xml:space="preserve">. </w:t>
      </w:r>
      <w:r w:rsidR="00217892">
        <w:t>Izteikt 15.</w:t>
      </w:r>
      <w:r w:rsidR="009E1E6C">
        <w:t> </w:t>
      </w:r>
      <w:r w:rsidR="00217892">
        <w:t>pielikuma 2.</w:t>
      </w:r>
      <w:r w:rsidR="009E1E6C">
        <w:t> </w:t>
      </w:r>
      <w:r w:rsidR="00217892">
        <w:t>punkta 2.3.1.</w:t>
      </w:r>
      <w:r w:rsidR="009E1E6C">
        <w:t> </w:t>
      </w:r>
      <w:r w:rsidR="00217892">
        <w:t xml:space="preserve">rindas </w:t>
      </w:r>
      <w:r w:rsidR="00807210">
        <w:t>2.</w:t>
      </w:r>
      <w:r w:rsidR="009E1E6C">
        <w:t> </w:t>
      </w:r>
      <w:r w:rsidR="00807210">
        <w:t>kolonnā vārdus „stacionārie mērījumi” ar vārdiem „stacionārie mērījumi</w:t>
      </w:r>
      <w:r w:rsidR="00807210">
        <w:rPr>
          <w:vertAlign w:val="superscript"/>
        </w:rPr>
        <w:t>1</w:t>
      </w:r>
      <w:r w:rsidR="00807210">
        <w:t>”</w:t>
      </w:r>
      <w:r w:rsidR="009E1E6C">
        <w:t>.</w:t>
      </w:r>
    </w:p>
    <w:p w14:paraId="3E862C38" w14:textId="77777777" w:rsidR="00807210" w:rsidRDefault="00807210" w:rsidP="008617B7">
      <w:pPr>
        <w:pStyle w:val="naisf"/>
        <w:spacing w:before="120" w:after="120"/>
        <w:ind w:firstLine="720"/>
      </w:pPr>
    </w:p>
    <w:p w14:paraId="6B4524CE" w14:textId="08611E4E" w:rsidR="007A5CA2" w:rsidRDefault="00597F9A" w:rsidP="008617B7">
      <w:pPr>
        <w:pStyle w:val="naisf"/>
        <w:spacing w:before="120" w:after="120"/>
        <w:ind w:firstLine="720"/>
      </w:pPr>
      <w:r>
        <w:t>48</w:t>
      </w:r>
      <w:r w:rsidR="008617B7">
        <w:t xml:space="preserve">. </w:t>
      </w:r>
      <w:r w:rsidR="00807210">
        <w:t>Izteikt 15.</w:t>
      </w:r>
      <w:r w:rsidR="009E1E6C">
        <w:t> </w:t>
      </w:r>
      <w:r w:rsidR="00807210">
        <w:t>pielikuma 2.</w:t>
      </w:r>
      <w:r w:rsidR="009E1E6C">
        <w:t> </w:t>
      </w:r>
      <w:r w:rsidR="00807210">
        <w:t>punkta 2.3.2.rindas 2.</w:t>
      </w:r>
      <w:r w:rsidR="009E1E6C">
        <w:t> </w:t>
      </w:r>
      <w:r w:rsidR="00807210">
        <w:t>kolonnā vārdus „indikatīvie mērījumi” ar „</w:t>
      </w:r>
      <w:r w:rsidR="00807210" w:rsidRPr="00807210">
        <w:t xml:space="preserve"> </w:t>
      </w:r>
      <w:r w:rsidR="00807210">
        <w:t>indikatīvie mērījumi</w:t>
      </w:r>
      <w:r w:rsidR="00807210">
        <w:rPr>
          <w:vertAlign w:val="superscript"/>
        </w:rPr>
        <w:t>1, 2</w:t>
      </w:r>
      <w:r w:rsidR="00807210">
        <w:t>”</w:t>
      </w:r>
      <w:r w:rsidR="009E1E6C">
        <w:t>.</w:t>
      </w:r>
    </w:p>
    <w:p w14:paraId="446E0846" w14:textId="77777777" w:rsidR="007A5CA2" w:rsidRDefault="007A5CA2" w:rsidP="008617B7">
      <w:pPr>
        <w:pStyle w:val="naisf"/>
        <w:spacing w:before="120" w:after="120"/>
        <w:ind w:firstLine="720"/>
      </w:pPr>
    </w:p>
    <w:p w14:paraId="49768D31" w14:textId="10D456B4" w:rsidR="007A5CA2" w:rsidRDefault="00597F9A" w:rsidP="008617B7">
      <w:pPr>
        <w:pStyle w:val="naisf"/>
        <w:spacing w:before="120" w:after="120"/>
        <w:ind w:firstLine="720"/>
      </w:pPr>
      <w:r>
        <w:t>49</w:t>
      </w:r>
      <w:r w:rsidR="008617B7">
        <w:t xml:space="preserve">. </w:t>
      </w:r>
      <w:r w:rsidR="007A5CA2">
        <w:t>Papildināt 15.</w:t>
      </w:r>
      <w:r w:rsidR="009E1E6C">
        <w:t> </w:t>
      </w:r>
      <w:r w:rsidR="007A5CA2">
        <w:t>pielikuma 2.</w:t>
      </w:r>
      <w:r w:rsidR="009E1E6C">
        <w:t> </w:t>
      </w:r>
      <w:r w:rsidR="007A5CA2">
        <w:t>punkt</w:t>
      </w:r>
      <w:r w:rsidR="009E1E6C">
        <w:t>a</w:t>
      </w:r>
      <w:r w:rsidR="007A5CA2">
        <w:t xml:space="preserve"> tabulu ar piezīmēm šādā redakcijā: </w:t>
      </w:r>
    </w:p>
    <w:p w14:paraId="39940033" w14:textId="37DF93F8" w:rsidR="007A5CA2" w:rsidRDefault="007A5CA2" w:rsidP="008617B7">
      <w:pPr>
        <w:pStyle w:val="naisf"/>
        <w:spacing w:before="120" w:after="120"/>
        <w:ind w:firstLine="720"/>
      </w:pPr>
      <w:r>
        <w:t>„Piezīmes.</w:t>
      </w:r>
    </w:p>
    <w:p w14:paraId="7DD86EED" w14:textId="173C64DE" w:rsidR="007A5CA2" w:rsidRDefault="007A5CA2" w:rsidP="008617B7">
      <w:pPr>
        <w:pStyle w:val="naisf"/>
        <w:spacing w:before="120" w:after="120"/>
        <w:ind w:firstLine="720"/>
      </w:pPr>
      <w:r>
        <w:rPr>
          <w:vertAlign w:val="superscript"/>
        </w:rPr>
        <w:t>1</w:t>
      </w:r>
      <w:r w:rsidR="009E1E6C">
        <w:t> </w:t>
      </w:r>
      <w:r>
        <w:t>sadala vienmērīgi gada laikā tā, lai tie būtu reprezentatīvi attiecībā uz dažādiem klimatiskajiem apstākļiem un antropogēnajām darbībām. </w:t>
      </w:r>
    </w:p>
    <w:p w14:paraId="4D240855" w14:textId="3E407462" w:rsidR="007A5CA2" w:rsidRDefault="007A5CA2" w:rsidP="008617B7">
      <w:pPr>
        <w:pStyle w:val="naisf"/>
        <w:spacing w:before="120" w:after="120"/>
        <w:ind w:firstLine="720"/>
      </w:pPr>
      <w:r w:rsidRPr="001520A8">
        <w:rPr>
          <w:vertAlign w:val="superscript"/>
        </w:rPr>
        <w:t>2</w:t>
      </w:r>
      <w:r w:rsidR="009E1E6C">
        <w:t> </w:t>
      </w:r>
      <w:r w:rsidRPr="001520A8">
        <w:t>indikatīvi</w:t>
      </w:r>
      <w:r>
        <w:t xml:space="preserve"> mērījumi ir tādi mērījumi, ko veic ar mazāku regularitāti, bet kas atbilst pārējiem datu kvalitātes mērķiem.”</w:t>
      </w:r>
    </w:p>
    <w:p w14:paraId="61661BF9" w14:textId="77777777" w:rsidR="007A5CA2" w:rsidRDefault="007A5CA2" w:rsidP="008617B7">
      <w:pPr>
        <w:pStyle w:val="naisf"/>
        <w:spacing w:before="120" w:after="120"/>
        <w:ind w:firstLine="720"/>
      </w:pPr>
    </w:p>
    <w:p w14:paraId="4B0197CB" w14:textId="3D0EEBFE" w:rsidR="007A5CA2" w:rsidRDefault="00597F9A" w:rsidP="008617B7">
      <w:pPr>
        <w:pStyle w:val="naisf"/>
        <w:spacing w:before="120" w:after="120"/>
        <w:ind w:firstLine="720"/>
      </w:pPr>
      <w:r>
        <w:t>50</w:t>
      </w:r>
      <w:r w:rsidR="008617B7">
        <w:t xml:space="preserve">. </w:t>
      </w:r>
      <w:r w:rsidR="007A5CA2">
        <w:t>Izteikt 15.</w:t>
      </w:r>
      <w:r w:rsidR="009E1E6C">
        <w:t> </w:t>
      </w:r>
      <w:r w:rsidR="007A5CA2">
        <w:t>pielikuma 4. un 5.</w:t>
      </w:r>
      <w:r w:rsidR="009E1E6C">
        <w:t> </w:t>
      </w:r>
      <w:r w:rsidR="007A5CA2">
        <w:t xml:space="preserve">punktu šādā redakcijā: </w:t>
      </w:r>
    </w:p>
    <w:p w14:paraId="459FAAB3" w14:textId="49BDA9D9" w:rsidR="007A5CA2" w:rsidRDefault="007A5CA2" w:rsidP="008617B7">
      <w:pPr>
        <w:pStyle w:val="naisf"/>
        <w:spacing w:before="120" w:after="120"/>
        <w:ind w:firstLine="720"/>
      </w:pPr>
      <w:r>
        <w:t>„4. Modelēšanas nenoteiktība ir maksimālā atšķirība starp izmērīto un aprēķināto koncentrāciju līmeni 90</w:t>
      </w:r>
      <w:r w:rsidR="009E1E6C">
        <w:t> %</w:t>
      </w:r>
      <w:r>
        <w:t xml:space="preserve"> no konkrētiem monitoringa punktiem attiecīgā robežlieluma (ozona piesārņojuma gadījumā – </w:t>
      </w:r>
      <w:proofErr w:type="spellStart"/>
      <w:r>
        <w:t>mērķlieluma</w:t>
      </w:r>
      <w:proofErr w:type="spellEnd"/>
      <w:r>
        <w:t xml:space="preserve">) noteikšanas periodam, neņemot vērā notikumu secību. Modelēšanas nenoteiktību piemēro teritorijai, kurā tiek novērtēta atbilstība attiecīgajam robežlielumam (ozona piesārņojuma gadījumā – </w:t>
      </w:r>
      <w:proofErr w:type="spellStart"/>
      <w:r>
        <w:t>mērķlielumam</w:t>
      </w:r>
      <w:proofErr w:type="spellEnd"/>
      <w:r>
        <w:t>).</w:t>
      </w:r>
      <w:r w:rsidRPr="006C73D1">
        <w:t xml:space="preserve"> </w:t>
      </w:r>
      <w:r>
        <w:t xml:space="preserve">Stacionārie mērījumi, kas jāatlasa, lai tos salīdzinātu ar modelēšanas rezultātiem, atbilst modeļa aptvertajam mērogam. Objektīvas novērtējuma metodes nenoteiktība ir maksimālā atšķirība starp izmērīto un aprēķināto koncentrāciju attiecīgā robežlieluma (vai ozona gadījumā - </w:t>
      </w:r>
      <w:proofErr w:type="spellStart"/>
      <w:r>
        <w:t>mērķlieluma</w:t>
      </w:r>
      <w:proofErr w:type="spellEnd"/>
      <w:r>
        <w:t>) noteikšanas periodam, neņemot vērā notikumu secību.</w:t>
      </w:r>
    </w:p>
    <w:p w14:paraId="1E7BDAE4" w14:textId="77777777" w:rsidR="007A5CA2" w:rsidRDefault="007A5CA2" w:rsidP="008617B7">
      <w:pPr>
        <w:pStyle w:val="naisf"/>
        <w:spacing w:before="120" w:after="120"/>
        <w:ind w:firstLine="720"/>
      </w:pPr>
    </w:p>
    <w:p w14:paraId="4B94185F" w14:textId="56A6D982" w:rsidR="007A5CA2" w:rsidRDefault="007A5CA2" w:rsidP="008617B7">
      <w:pPr>
        <w:pStyle w:val="naisf"/>
        <w:spacing w:before="120" w:after="120"/>
        <w:ind w:firstLine="720"/>
      </w:pPr>
      <w:r>
        <w:t>5. Benz(a)</w:t>
      </w:r>
      <w:proofErr w:type="spellStart"/>
      <w:r>
        <w:t>pirēna</w:t>
      </w:r>
      <w:proofErr w:type="spellEnd"/>
      <w:r>
        <w:t xml:space="preserve"> un citu </w:t>
      </w:r>
      <w:proofErr w:type="spellStart"/>
      <w:r>
        <w:t>policiklisko</w:t>
      </w:r>
      <w:proofErr w:type="spellEnd"/>
      <w:r>
        <w:t xml:space="preserve"> aromātisko ogļūdeņražu paraugus ņem 24 stundu periodā. Arsēna, kadmija, niķeļa, kopējā gāzveida dzīvsudraba, </w:t>
      </w:r>
      <w:proofErr w:type="spellStart"/>
      <w:r>
        <w:t>benz</w:t>
      </w:r>
      <w:proofErr w:type="spellEnd"/>
      <w:r>
        <w:t>(a)</w:t>
      </w:r>
      <w:proofErr w:type="spellStart"/>
      <w:r>
        <w:t>pirēna</w:t>
      </w:r>
      <w:proofErr w:type="spellEnd"/>
      <w:r>
        <w:t xml:space="preserve"> un citu </w:t>
      </w:r>
      <w:proofErr w:type="spellStart"/>
      <w:r>
        <w:t>policiklisko</w:t>
      </w:r>
      <w:proofErr w:type="spellEnd"/>
      <w:r>
        <w:t xml:space="preserve"> aromātisko ogļūdeņražu atsevišķos paraugus (līdz pat viena mēneša periodam) izmanto kompleksai analīzei, ja metode nodrošina paraugu ņemšanas stabilitāti šajā periodā. Atsevišķas vielas (piemēram, </w:t>
      </w:r>
      <w:proofErr w:type="spellStart"/>
      <w:r>
        <w:t>benz</w:t>
      </w:r>
      <w:proofErr w:type="spellEnd"/>
      <w:r>
        <w:t>(b)</w:t>
      </w:r>
      <w:proofErr w:type="spellStart"/>
      <w:r>
        <w:t>fluorantēns</w:t>
      </w:r>
      <w:proofErr w:type="spellEnd"/>
      <w:r>
        <w:t xml:space="preserve">, </w:t>
      </w:r>
      <w:proofErr w:type="spellStart"/>
      <w:r>
        <w:t>benz</w:t>
      </w:r>
      <w:proofErr w:type="spellEnd"/>
      <w:r>
        <w:t>(j)</w:t>
      </w:r>
      <w:proofErr w:type="spellStart"/>
      <w:r>
        <w:t>fluorantēns</w:t>
      </w:r>
      <w:proofErr w:type="spellEnd"/>
      <w:r>
        <w:t xml:space="preserve">, </w:t>
      </w:r>
      <w:proofErr w:type="spellStart"/>
      <w:r>
        <w:t>benz</w:t>
      </w:r>
      <w:proofErr w:type="spellEnd"/>
      <w:r>
        <w:t>(k)</w:t>
      </w:r>
      <w:proofErr w:type="spellStart"/>
      <w:r>
        <w:t>fluorantēns</w:t>
      </w:r>
      <w:proofErr w:type="spellEnd"/>
      <w:r>
        <w:t>) analītiski ir sarežģīti nosakāmas, bet iespējams noteikt to summu. Paraugus ņem katru dienu visa gada laikā. Lai noteiktu nosēdumu intensitāti, paraugus ņem mēneša vai nedēļas periodā gada laikā. Mitro nosēdumu paraugu ņemšanu atļauts aizstāt ar kopējo nosēdumu paraugiem, ja atšķirība starp tiem nav lielāka par 10 % (nosēdumus mēra µg/m</w:t>
      </w:r>
      <w:r>
        <w:rPr>
          <w:vertAlign w:val="superscript"/>
        </w:rPr>
        <w:t>2</w:t>
      </w:r>
      <w:r w:rsidR="004934B9">
        <w:t> </w:t>
      </w:r>
      <w:r>
        <w:t>diennaktī).”</w:t>
      </w:r>
    </w:p>
    <w:p w14:paraId="1089316D" w14:textId="77777777" w:rsidR="007A5CA2" w:rsidRDefault="007A5CA2" w:rsidP="008617B7">
      <w:pPr>
        <w:pStyle w:val="naisf"/>
        <w:spacing w:before="120" w:after="120"/>
        <w:ind w:firstLine="720"/>
      </w:pPr>
    </w:p>
    <w:p w14:paraId="7A39D8D8" w14:textId="00803662" w:rsidR="007A5CA2" w:rsidRDefault="00597F9A" w:rsidP="008617B7">
      <w:pPr>
        <w:pStyle w:val="naisf"/>
        <w:spacing w:before="120" w:after="120"/>
        <w:ind w:firstLine="720"/>
      </w:pPr>
      <w:r>
        <w:t>51</w:t>
      </w:r>
      <w:r w:rsidR="008617B7">
        <w:t xml:space="preserve">. </w:t>
      </w:r>
      <w:r w:rsidR="007A5CA2">
        <w:t>Papildināt 15.</w:t>
      </w:r>
      <w:r w:rsidR="00391E2D">
        <w:t> </w:t>
      </w:r>
      <w:r w:rsidR="007A5CA2">
        <w:t>pielikumu ar 5.</w:t>
      </w:r>
      <w:r w:rsidR="007A5CA2">
        <w:rPr>
          <w:vertAlign w:val="superscript"/>
        </w:rPr>
        <w:t>1</w:t>
      </w:r>
      <w:r w:rsidR="00391E2D">
        <w:rPr>
          <w:vertAlign w:val="superscript"/>
        </w:rPr>
        <w:t> </w:t>
      </w:r>
      <w:r w:rsidR="007A5CA2">
        <w:t>punktu šādā redakcijā:</w:t>
      </w:r>
    </w:p>
    <w:p w14:paraId="5D3F767F" w14:textId="62B7FD24" w:rsidR="007A5CA2" w:rsidRDefault="007A5CA2" w:rsidP="008617B7">
      <w:pPr>
        <w:pStyle w:val="naisf"/>
        <w:spacing w:before="120" w:after="120"/>
        <w:ind w:firstLine="720"/>
      </w:pPr>
      <w:r>
        <w:t>„5.</w:t>
      </w:r>
      <w:r>
        <w:rPr>
          <w:vertAlign w:val="superscript"/>
        </w:rPr>
        <w:t>1</w:t>
      </w:r>
      <w:r w:rsidR="00391E2D">
        <w:t> </w:t>
      </w:r>
      <w:r>
        <w:t xml:space="preserve">Daļiņu </w:t>
      </w:r>
      <w:r w:rsidRPr="00D42B9B">
        <w:t>PM</w:t>
      </w:r>
      <w:r w:rsidRPr="00D42B9B">
        <w:rPr>
          <w:vertAlign w:val="subscript"/>
        </w:rPr>
        <w:t>10</w:t>
      </w:r>
      <w:r w:rsidRPr="00D42B9B">
        <w:t xml:space="preserve"> filtru </w:t>
      </w:r>
      <w:proofErr w:type="spellStart"/>
      <w:r w:rsidRPr="00D42B9B">
        <w:t>apakšparaugu</w:t>
      </w:r>
      <w:proofErr w:type="spellEnd"/>
      <w:r w:rsidRPr="00D42B9B">
        <w:t xml:space="preserve"> ņemšana metālu noteikšanai, lai veiktu sekojošu analīzi, ir atļauta, ja ir pierādījumi, ka </w:t>
      </w:r>
      <w:proofErr w:type="spellStart"/>
      <w:r w:rsidRPr="00D42B9B">
        <w:t>apakšparaugs</w:t>
      </w:r>
      <w:proofErr w:type="spellEnd"/>
      <w:r w:rsidRPr="00D42B9B">
        <w:t xml:space="preserve"> ir reprezentatīvs attiecībā uz kopumu un ka noteikšanas jutība netiek pasliktināta salīdzinājumā ar attiecīgajiem datu kvalitātes mērķiem. Alternatīvi ikdienas paraugu ņemšanai var veikt iknedēļas paraugu ņemšanu metālu noteikšanai </w:t>
      </w:r>
      <w:r>
        <w:t xml:space="preserve">daļiņu </w:t>
      </w:r>
      <w:r w:rsidRPr="00D42B9B">
        <w:t>PM</w:t>
      </w:r>
      <w:r w:rsidRPr="00D42B9B">
        <w:rPr>
          <w:vertAlign w:val="subscript"/>
        </w:rPr>
        <w:t>10</w:t>
      </w:r>
      <w:r w:rsidRPr="00D42B9B">
        <w:t>, ja netiek apdraudēti paraugu vākšanas raksturlielumi.</w:t>
      </w:r>
      <w:r>
        <w:t>”</w:t>
      </w:r>
    </w:p>
    <w:p w14:paraId="410406EB" w14:textId="77777777" w:rsidR="004A11AC" w:rsidRDefault="004A11AC" w:rsidP="008617B7">
      <w:pPr>
        <w:pStyle w:val="naisf"/>
        <w:spacing w:before="120" w:after="120"/>
        <w:ind w:firstLine="720"/>
      </w:pPr>
    </w:p>
    <w:p w14:paraId="528A3B9D" w14:textId="51B30F8A" w:rsidR="004A11AC" w:rsidRDefault="00597F9A" w:rsidP="008617B7">
      <w:pPr>
        <w:pStyle w:val="naisf"/>
        <w:spacing w:before="120" w:after="120"/>
        <w:ind w:firstLine="720"/>
      </w:pPr>
      <w:r>
        <w:t>52</w:t>
      </w:r>
      <w:r w:rsidR="008617B7">
        <w:t xml:space="preserve">. </w:t>
      </w:r>
      <w:r w:rsidR="004A11AC">
        <w:t>Papildināt 17.</w:t>
      </w:r>
      <w:r w:rsidR="00391E2D">
        <w:t> </w:t>
      </w:r>
      <w:r w:rsidR="004A11AC">
        <w:t>pielikuma 1.punkt</w:t>
      </w:r>
      <w:r w:rsidR="00391E2D">
        <w:t>ā</w:t>
      </w:r>
      <w:r w:rsidR="004A11AC">
        <w:t xml:space="preserve"> aiz vārdiem „slāpekļa oksīdi” ar vārdiem „un atbilstošie gaistošie organiskie savienojumi, kas minēti š</w:t>
      </w:r>
      <w:r w:rsidR="00391E2D">
        <w:t>ā</w:t>
      </w:r>
      <w:r w:rsidR="004A11AC">
        <w:t xml:space="preserve"> pielikuma 2.</w:t>
      </w:r>
      <w:r w:rsidR="00391E2D">
        <w:t> </w:t>
      </w:r>
      <w:r w:rsidR="004A11AC">
        <w:t>punktā.”</w:t>
      </w:r>
    </w:p>
    <w:p w14:paraId="2429D298" w14:textId="77777777" w:rsidR="003A70FD" w:rsidRDefault="003A70FD" w:rsidP="008617B7">
      <w:pPr>
        <w:pStyle w:val="naisf"/>
        <w:spacing w:before="120" w:after="120"/>
        <w:ind w:firstLine="720"/>
      </w:pPr>
    </w:p>
    <w:p w14:paraId="39D38A73" w14:textId="5D67F4FA" w:rsidR="00AF5C11" w:rsidRDefault="00597F9A" w:rsidP="008617B7">
      <w:pPr>
        <w:pStyle w:val="naisf"/>
        <w:spacing w:before="120" w:after="120"/>
        <w:ind w:firstLine="720"/>
      </w:pPr>
      <w:r>
        <w:t>53</w:t>
      </w:r>
      <w:r w:rsidR="008617B7">
        <w:t xml:space="preserve">. </w:t>
      </w:r>
      <w:r w:rsidR="00AF5C11">
        <w:t>Izteikt</w:t>
      </w:r>
      <w:r w:rsidR="003A70FD">
        <w:t xml:space="preserve"> 17.</w:t>
      </w:r>
      <w:r w:rsidR="00391E2D">
        <w:t> </w:t>
      </w:r>
      <w:r w:rsidR="003A70FD">
        <w:t>pielikuma 3.</w:t>
      </w:r>
      <w:r w:rsidR="00391E2D">
        <w:t> </w:t>
      </w:r>
      <w:r w:rsidR="003A70FD">
        <w:t xml:space="preserve">punktu </w:t>
      </w:r>
      <w:r w:rsidR="00AF5C11">
        <w:t>šādā redakcijā:</w:t>
      </w:r>
    </w:p>
    <w:p w14:paraId="2179A3E1" w14:textId="0AB3A014" w:rsidR="00AF5C11" w:rsidRPr="008163A8" w:rsidRDefault="00AF5C11" w:rsidP="008617B7">
      <w:pPr>
        <w:pStyle w:val="naisf"/>
        <w:spacing w:before="120" w:after="120"/>
        <w:ind w:firstLine="720"/>
        <w:rPr>
          <w:rFonts w:eastAsiaTheme="minorHAnsi"/>
          <w:lang w:eastAsia="en-US"/>
        </w:rPr>
      </w:pPr>
      <w:r w:rsidRPr="00AF5C11">
        <w:rPr>
          <w:rFonts w:eastAsiaTheme="minorHAnsi"/>
          <w:lang w:eastAsia="en-US"/>
        </w:rPr>
        <w:t>„</w:t>
      </w:r>
      <w:r>
        <w:t xml:space="preserve">3. Galvenie šādu mērījumu mērķi ir iegūt datus attīstības tendenču analīzei attiecībā uz ozona prekursoriem, novērtēt emisiju samazināšanas stratēģiju efektivitāti, pārbaudīt emisiju inventarizācijas atbilstību un attiecināt konstatētās piesārņojuma koncentrācijas uz emisiju avotiem. Ozona prekursoru mērījumus pēc iespējas veic pilsētas vai piepilsētas monitoringa stacijās, kas izvietotas saskaņā ar šajos noteikumos noteiktajām prasībām un kas izvietotas tādās teritorijās, </w:t>
      </w:r>
      <w:r w:rsidRPr="008163A8">
        <w:t>kas ļauj iegūt šajā punktā minētajiem mērķiem atbilstošu informāciju.</w:t>
      </w:r>
      <w:r w:rsidRPr="008163A8">
        <w:rPr>
          <w:rFonts w:eastAsiaTheme="minorHAnsi"/>
          <w:lang w:eastAsia="en-US"/>
        </w:rPr>
        <w:t xml:space="preserve">” </w:t>
      </w:r>
    </w:p>
    <w:p w14:paraId="4DA342B2" w14:textId="77777777" w:rsidR="0033492C" w:rsidRPr="008163A8" w:rsidRDefault="0033492C" w:rsidP="008617B7">
      <w:pPr>
        <w:pStyle w:val="naisf"/>
        <w:spacing w:before="120" w:after="120"/>
        <w:ind w:firstLine="720"/>
      </w:pPr>
    </w:p>
    <w:p w14:paraId="216AC268" w14:textId="782E09F0" w:rsidR="002F512A" w:rsidRPr="008163A8" w:rsidRDefault="00597F9A" w:rsidP="008617B7">
      <w:pPr>
        <w:pStyle w:val="naisf"/>
        <w:spacing w:before="120" w:after="120"/>
        <w:ind w:firstLine="720"/>
      </w:pPr>
      <w:r w:rsidRPr="008163A8">
        <w:t>5</w:t>
      </w:r>
      <w:r>
        <w:t>4</w:t>
      </w:r>
      <w:r w:rsidR="008617B7" w:rsidRPr="008163A8">
        <w:t xml:space="preserve">. </w:t>
      </w:r>
      <w:r w:rsidR="002F512A" w:rsidRPr="008163A8">
        <w:t xml:space="preserve">Izteikt 18.pielikuma 3.punktu šādā redakcijā: </w:t>
      </w:r>
    </w:p>
    <w:p w14:paraId="12DF94BB" w14:textId="0451FED4" w:rsidR="002F512A" w:rsidRPr="008163A8" w:rsidRDefault="002F512A" w:rsidP="008617B7">
      <w:pPr>
        <w:pStyle w:val="naisf"/>
        <w:spacing w:before="120" w:after="120"/>
        <w:ind w:firstLine="720"/>
      </w:pPr>
      <w:r w:rsidRPr="008163A8">
        <w:t>„Par rīcības programmas izstrādi un īstenošanu atbildīgās iestādes un deleģēto personu kontaktinformācija (vārds, uzvārds, amats un pārstāvētā iestāde)”</w:t>
      </w:r>
    </w:p>
    <w:p w14:paraId="19DBCADD" w14:textId="77777777" w:rsidR="002F512A" w:rsidRPr="008163A8" w:rsidRDefault="002F512A" w:rsidP="008617B7">
      <w:pPr>
        <w:pStyle w:val="naisf"/>
        <w:spacing w:before="120" w:after="120"/>
        <w:ind w:firstLine="720"/>
      </w:pPr>
    </w:p>
    <w:p w14:paraId="04B81F61" w14:textId="19402457" w:rsidR="003A70FD" w:rsidRDefault="00597F9A" w:rsidP="008617B7">
      <w:pPr>
        <w:pStyle w:val="naisf"/>
        <w:spacing w:before="120" w:after="120"/>
        <w:ind w:firstLine="720"/>
      </w:pPr>
      <w:r w:rsidRPr="008163A8">
        <w:t>5</w:t>
      </w:r>
      <w:r>
        <w:t>5</w:t>
      </w:r>
      <w:r w:rsidR="008617B7" w:rsidRPr="008163A8">
        <w:t xml:space="preserve">. </w:t>
      </w:r>
      <w:r w:rsidR="003A70FD" w:rsidRPr="008163A8">
        <w:t>Aizstāt 18.</w:t>
      </w:r>
      <w:r w:rsidR="00384501" w:rsidRPr="008163A8">
        <w:t> </w:t>
      </w:r>
      <w:r w:rsidR="003A70FD" w:rsidRPr="008163A8">
        <w:t>pielikuma</w:t>
      </w:r>
      <w:r w:rsidR="003A70FD">
        <w:t xml:space="preserve"> 7.</w:t>
      </w:r>
      <w:r w:rsidR="00384501">
        <w:t> </w:t>
      </w:r>
      <w:r w:rsidR="003A70FD">
        <w:t>punktā vārdus „pirms 2008.</w:t>
      </w:r>
      <w:r w:rsidR="00384501">
        <w:t> </w:t>
      </w:r>
      <w:r w:rsidR="003A70FD">
        <w:t>gada 21.</w:t>
      </w:r>
      <w:r w:rsidR="00384501">
        <w:t> </w:t>
      </w:r>
      <w:r w:rsidR="003A70FD">
        <w:t>maija” ar vārdiem „</w:t>
      </w:r>
      <w:r w:rsidR="003A70FD" w:rsidRPr="002640CC">
        <w:t>iepriekš apstiprinātās rīcības programmas darbības laikā:</w:t>
      </w:r>
      <w:r w:rsidR="003A70FD">
        <w:t>”</w:t>
      </w:r>
    </w:p>
    <w:p w14:paraId="2334B704" w14:textId="77777777" w:rsidR="00C8347C" w:rsidRDefault="00C8347C" w:rsidP="008617B7">
      <w:pPr>
        <w:pStyle w:val="naisf"/>
        <w:spacing w:before="120" w:after="120"/>
        <w:ind w:firstLine="720"/>
      </w:pPr>
    </w:p>
    <w:p w14:paraId="45F203ED" w14:textId="4CBEE3AA" w:rsidR="003A70FD" w:rsidRDefault="00597F9A" w:rsidP="008617B7">
      <w:pPr>
        <w:pStyle w:val="naisf"/>
        <w:spacing w:before="120" w:after="120"/>
        <w:ind w:firstLine="720"/>
      </w:pPr>
      <w:r>
        <w:t>56</w:t>
      </w:r>
      <w:r w:rsidR="008617B7">
        <w:t xml:space="preserve">. </w:t>
      </w:r>
      <w:r w:rsidR="003A70FD">
        <w:t>Aizstāt 18.</w:t>
      </w:r>
      <w:r w:rsidR="00384501">
        <w:t> </w:t>
      </w:r>
      <w:r w:rsidR="003A70FD">
        <w:t>pielikuma 8.</w:t>
      </w:r>
      <w:r w:rsidR="00384501">
        <w:t> </w:t>
      </w:r>
      <w:r w:rsidR="003A70FD">
        <w:t>punktā vārdus „pasākumiem, kas rīcības programmā plānoti vai īstenoti gaisa kvalitātes uzlabošanai pēc 2008.</w:t>
      </w:r>
      <w:r w:rsidR="00384501">
        <w:t> </w:t>
      </w:r>
      <w:r w:rsidR="003A70FD">
        <w:t>gada 21.</w:t>
      </w:r>
      <w:r w:rsidR="00384501">
        <w:t> </w:t>
      </w:r>
      <w:r w:rsidR="003A70FD">
        <w:t>maija” ar vārdiem „rīcības programmā iekļautajiem pasākumiem, kurus plānots veikt gaisa kvalitātes uzlabošanai”.</w:t>
      </w:r>
    </w:p>
    <w:p w14:paraId="13D4B119" w14:textId="77777777" w:rsidR="00323408" w:rsidRPr="00651BE6" w:rsidRDefault="00323408" w:rsidP="00927E14">
      <w:pPr>
        <w:spacing w:before="120" w:after="120" w:line="240" w:lineRule="auto"/>
        <w:ind w:firstLine="720"/>
        <w:rPr>
          <w:rFonts w:ascii="Times New Roman" w:hAnsi="Times New Roman" w:cs="Times New Roman"/>
          <w:sz w:val="24"/>
          <w:szCs w:val="24"/>
        </w:rPr>
      </w:pPr>
    </w:p>
    <w:p w14:paraId="619AB5AA" w14:textId="77777777" w:rsidR="00323408" w:rsidRPr="00651BE6" w:rsidRDefault="00323408" w:rsidP="00323408">
      <w:pPr>
        <w:rPr>
          <w:rFonts w:ascii="Times New Roman" w:hAnsi="Times New Roman" w:cs="Times New Roman"/>
          <w:sz w:val="24"/>
          <w:szCs w:val="24"/>
        </w:rPr>
      </w:pPr>
    </w:p>
    <w:p w14:paraId="4DEA1E07" w14:textId="29449F47" w:rsidR="008F6762" w:rsidRDefault="00323408" w:rsidP="00B65757">
      <w:pPr>
        <w:spacing w:after="0"/>
        <w:ind w:firstLine="720"/>
        <w:jc w:val="both"/>
        <w:rPr>
          <w:rFonts w:ascii="Times New Roman" w:hAnsi="Times New Roman" w:cs="Times New Roman"/>
          <w:sz w:val="24"/>
          <w:szCs w:val="24"/>
          <w:lang w:eastAsia="lv-LV"/>
        </w:rPr>
      </w:pPr>
      <w:r w:rsidRPr="00651BE6">
        <w:rPr>
          <w:rFonts w:ascii="Times New Roman" w:hAnsi="Times New Roman" w:cs="Times New Roman"/>
          <w:sz w:val="24"/>
          <w:szCs w:val="24"/>
          <w:lang w:eastAsia="lv-LV"/>
        </w:rPr>
        <w:t>Ministru prezidents                                                 </w:t>
      </w:r>
      <w:r w:rsidR="008F6762">
        <w:rPr>
          <w:rFonts w:ascii="Times New Roman" w:hAnsi="Times New Roman" w:cs="Times New Roman"/>
          <w:sz w:val="24"/>
          <w:szCs w:val="24"/>
          <w:lang w:eastAsia="lv-LV"/>
        </w:rPr>
        <w:tab/>
      </w:r>
      <w:r w:rsidR="008F6762">
        <w:rPr>
          <w:rFonts w:ascii="Times New Roman" w:hAnsi="Times New Roman" w:cs="Times New Roman"/>
          <w:sz w:val="24"/>
          <w:szCs w:val="24"/>
          <w:lang w:eastAsia="lv-LV"/>
        </w:rPr>
        <w:tab/>
      </w:r>
      <w:r w:rsidR="0094145C">
        <w:rPr>
          <w:rFonts w:ascii="Times New Roman" w:hAnsi="Times New Roman" w:cs="Times New Roman"/>
          <w:sz w:val="24"/>
          <w:szCs w:val="24"/>
          <w:lang w:eastAsia="lv-LV"/>
        </w:rPr>
        <w:t>M.</w:t>
      </w:r>
      <w:r w:rsidR="00384501">
        <w:rPr>
          <w:rFonts w:ascii="Times New Roman" w:hAnsi="Times New Roman" w:cs="Times New Roman"/>
          <w:sz w:val="24"/>
          <w:szCs w:val="24"/>
          <w:lang w:eastAsia="lv-LV"/>
        </w:rPr>
        <w:t> </w:t>
      </w:r>
      <w:r w:rsidR="0094145C">
        <w:rPr>
          <w:rFonts w:ascii="Times New Roman" w:hAnsi="Times New Roman" w:cs="Times New Roman"/>
          <w:sz w:val="24"/>
          <w:szCs w:val="24"/>
          <w:lang w:eastAsia="lv-LV"/>
        </w:rPr>
        <w:t>Kučinskis</w:t>
      </w:r>
    </w:p>
    <w:p w14:paraId="762FD6D5" w14:textId="77777777" w:rsidR="00CF0549" w:rsidRPr="00651BE6" w:rsidRDefault="00CF0549" w:rsidP="00B54359">
      <w:pPr>
        <w:spacing w:after="0"/>
        <w:ind w:firstLine="374"/>
        <w:rPr>
          <w:rFonts w:ascii="Times New Roman" w:hAnsi="Times New Roman" w:cs="Times New Roman"/>
          <w:sz w:val="24"/>
          <w:szCs w:val="24"/>
          <w:lang w:eastAsia="lv-LV"/>
        </w:rPr>
      </w:pPr>
    </w:p>
    <w:p w14:paraId="075E56A2" w14:textId="77777777" w:rsidR="00323408" w:rsidRPr="00651BE6" w:rsidRDefault="00323408" w:rsidP="008F6762">
      <w:pPr>
        <w:spacing w:after="0" w:line="240" w:lineRule="auto"/>
        <w:ind w:firstLine="720"/>
        <w:rPr>
          <w:rFonts w:ascii="Times New Roman" w:hAnsi="Times New Roman" w:cs="Times New Roman"/>
          <w:sz w:val="24"/>
          <w:szCs w:val="24"/>
          <w:lang w:eastAsia="lv-LV"/>
        </w:rPr>
      </w:pPr>
      <w:r w:rsidRPr="00651BE6">
        <w:rPr>
          <w:rFonts w:ascii="Times New Roman" w:hAnsi="Times New Roman" w:cs="Times New Roman"/>
          <w:sz w:val="24"/>
          <w:szCs w:val="24"/>
          <w:lang w:eastAsia="lv-LV"/>
        </w:rPr>
        <w:t xml:space="preserve">Vides aizsardzības un </w:t>
      </w:r>
    </w:p>
    <w:p w14:paraId="492E2EBC" w14:textId="58ED38C3" w:rsidR="00323408" w:rsidRPr="00651BE6" w:rsidRDefault="00323408" w:rsidP="008F6762">
      <w:pPr>
        <w:spacing w:after="0" w:line="240" w:lineRule="auto"/>
        <w:ind w:firstLine="720"/>
        <w:rPr>
          <w:rFonts w:ascii="Times New Roman" w:hAnsi="Times New Roman" w:cs="Times New Roman"/>
          <w:sz w:val="24"/>
          <w:szCs w:val="24"/>
          <w:lang w:eastAsia="lv-LV"/>
        </w:rPr>
      </w:pPr>
      <w:r w:rsidRPr="00651BE6">
        <w:rPr>
          <w:rFonts w:ascii="Times New Roman" w:hAnsi="Times New Roman" w:cs="Times New Roman"/>
          <w:sz w:val="24"/>
          <w:szCs w:val="24"/>
          <w:lang w:eastAsia="lv-LV"/>
        </w:rPr>
        <w:t>reģionālās attīstības ministrs</w:t>
      </w:r>
      <w:r w:rsidRPr="00651BE6">
        <w:rPr>
          <w:rFonts w:ascii="Times New Roman" w:hAnsi="Times New Roman" w:cs="Times New Roman"/>
          <w:sz w:val="24"/>
          <w:szCs w:val="24"/>
          <w:lang w:eastAsia="lv-LV"/>
        </w:rPr>
        <w:tab/>
      </w:r>
      <w:r w:rsidRPr="00651BE6">
        <w:rPr>
          <w:rFonts w:ascii="Times New Roman" w:hAnsi="Times New Roman" w:cs="Times New Roman"/>
          <w:sz w:val="24"/>
          <w:szCs w:val="24"/>
          <w:lang w:eastAsia="lv-LV"/>
        </w:rPr>
        <w:tab/>
      </w:r>
      <w:r w:rsidRPr="00651BE6">
        <w:rPr>
          <w:rFonts w:ascii="Times New Roman" w:hAnsi="Times New Roman" w:cs="Times New Roman"/>
          <w:sz w:val="24"/>
          <w:szCs w:val="24"/>
          <w:lang w:eastAsia="lv-LV"/>
        </w:rPr>
        <w:tab/>
      </w:r>
      <w:r w:rsidRPr="00651BE6">
        <w:rPr>
          <w:rFonts w:ascii="Times New Roman" w:hAnsi="Times New Roman" w:cs="Times New Roman"/>
          <w:sz w:val="24"/>
          <w:szCs w:val="24"/>
          <w:lang w:eastAsia="lv-LV"/>
        </w:rPr>
        <w:tab/>
      </w:r>
      <w:r w:rsidRPr="00651BE6">
        <w:rPr>
          <w:rFonts w:ascii="Times New Roman" w:hAnsi="Times New Roman" w:cs="Times New Roman"/>
          <w:sz w:val="24"/>
          <w:szCs w:val="24"/>
          <w:lang w:eastAsia="lv-LV"/>
        </w:rPr>
        <w:tab/>
        <w:t>K.</w:t>
      </w:r>
      <w:r w:rsidR="00384501">
        <w:rPr>
          <w:rFonts w:ascii="Times New Roman" w:hAnsi="Times New Roman" w:cs="Times New Roman"/>
          <w:sz w:val="24"/>
          <w:szCs w:val="24"/>
          <w:lang w:eastAsia="lv-LV"/>
        </w:rPr>
        <w:t> </w:t>
      </w:r>
      <w:r w:rsidRPr="00651BE6">
        <w:rPr>
          <w:rFonts w:ascii="Times New Roman" w:hAnsi="Times New Roman" w:cs="Times New Roman"/>
          <w:sz w:val="24"/>
          <w:szCs w:val="24"/>
          <w:lang w:eastAsia="lv-LV"/>
        </w:rPr>
        <w:t>Gerhards</w:t>
      </w:r>
    </w:p>
    <w:p w14:paraId="0BC3D0BF" w14:textId="77777777" w:rsidR="00323408" w:rsidRPr="00651BE6" w:rsidRDefault="00323408" w:rsidP="00B54359">
      <w:pPr>
        <w:spacing w:after="0"/>
        <w:rPr>
          <w:rFonts w:ascii="Times New Roman" w:hAnsi="Times New Roman" w:cs="Times New Roman"/>
          <w:sz w:val="24"/>
          <w:szCs w:val="24"/>
        </w:rPr>
      </w:pPr>
    </w:p>
    <w:p w14:paraId="722BD8D2" w14:textId="77777777" w:rsidR="00323408" w:rsidRPr="00651BE6" w:rsidRDefault="00323408" w:rsidP="00B54359">
      <w:pPr>
        <w:pStyle w:val="naisf"/>
        <w:spacing w:before="0" w:after="0"/>
      </w:pPr>
    </w:p>
    <w:p w14:paraId="1729DB4A" w14:textId="77777777" w:rsidR="00323408" w:rsidRDefault="00323408" w:rsidP="00B54359">
      <w:pPr>
        <w:pStyle w:val="naisf"/>
        <w:spacing w:before="0" w:after="0"/>
      </w:pPr>
    </w:p>
    <w:p w14:paraId="641817B2" w14:textId="77777777" w:rsidR="00323408" w:rsidRPr="00BC1144" w:rsidRDefault="00323408" w:rsidP="00323408">
      <w:pPr>
        <w:tabs>
          <w:tab w:val="left" w:pos="6804"/>
        </w:tabs>
        <w:jc w:val="both"/>
        <w:rPr>
          <w:rFonts w:ascii="Times New Roman" w:hAnsi="Times New Roman" w:cs="Times New Roman"/>
        </w:rPr>
      </w:pPr>
    </w:p>
    <w:p w14:paraId="0B51F9A2" w14:textId="04E7D6BD" w:rsidR="00323408" w:rsidRPr="00BB4C2F" w:rsidRDefault="0006491A" w:rsidP="00BC1144">
      <w:pPr>
        <w:tabs>
          <w:tab w:val="left" w:pos="680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30</w:t>
      </w:r>
      <w:r w:rsidR="00620A35">
        <w:rPr>
          <w:rFonts w:ascii="Times New Roman" w:hAnsi="Times New Roman" w:cs="Times New Roman"/>
          <w:sz w:val="20"/>
          <w:szCs w:val="20"/>
        </w:rPr>
        <w:t>.01.2017</w:t>
      </w:r>
      <w:r w:rsidR="00323408" w:rsidRPr="00BB4C2F">
        <w:rPr>
          <w:rFonts w:ascii="Times New Roman" w:hAnsi="Times New Roman" w:cs="Times New Roman"/>
          <w:sz w:val="20"/>
          <w:szCs w:val="20"/>
        </w:rPr>
        <w:t>. 10:05</w:t>
      </w:r>
    </w:p>
    <w:p w14:paraId="5E7673FE" w14:textId="77777777" w:rsidR="00620A35" w:rsidRDefault="00620A35" w:rsidP="00BC1144">
      <w:pPr>
        <w:tabs>
          <w:tab w:val="left" w:pos="680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Arabic  \* MERGEFORMAT </w:instrText>
      </w:r>
      <w:r>
        <w:rPr>
          <w:rFonts w:ascii="Times New Roman" w:hAnsi="Times New Roman" w:cs="Times New Roman"/>
          <w:sz w:val="20"/>
          <w:szCs w:val="20"/>
        </w:rPr>
        <w:fldChar w:fldCharType="separate"/>
      </w:r>
      <w:r w:rsidR="0006491A">
        <w:rPr>
          <w:rFonts w:ascii="Times New Roman" w:hAnsi="Times New Roman" w:cs="Times New Roman"/>
          <w:noProof/>
          <w:sz w:val="20"/>
          <w:szCs w:val="20"/>
        </w:rPr>
        <w:t>4169</w:t>
      </w:r>
      <w:r>
        <w:rPr>
          <w:rFonts w:ascii="Times New Roman" w:hAnsi="Times New Roman" w:cs="Times New Roman"/>
          <w:sz w:val="20"/>
          <w:szCs w:val="20"/>
        </w:rPr>
        <w:fldChar w:fldCharType="end"/>
      </w:r>
    </w:p>
    <w:p w14:paraId="256B08F4" w14:textId="014CC400" w:rsidR="00323408" w:rsidRPr="00BB4C2F" w:rsidRDefault="00323408" w:rsidP="00BC1144">
      <w:pPr>
        <w:tabs>
          <w:tab w:val="left" w:pos="6804"/>
        </w:tabs>
        <w:spacing w:after="0" w:line="240" w:lineRule="auto"/>
        <w:jc w:val="both"/>
        <w:rPr>
          <w:rFonts w:ascii="Times New Roman" w:hAnsi="Times New Roman" w:cs="Times New Roman"/>
          <w:sz w:val="20"/>
          <w:szCs w:val="20"/>
        </w:rPr>
      </w:pPr>
      <w:proofErr w:type="spellStart"/>
      <w:r w:rsidRPr="00BB4C2F">
        <w:rPr>
          <w:rFonts w:ascii="Times New Roman" w:hAnsi="Times New Roman" w:cs="Times New Roman"/>
          <w:sz w:val="20"/>
          <w:szCs w:val="20"/>
        </w:rPr>
        <w:t>L.Maslova</w:t>
      </w:r>
      <w:proofErr w:type="spellEnd"/>
    </w:p>
    <w:p w14:paraId="16434C6A" w14:textId="77777777" w:rsidR="00323408" w:rsidRPr="00BB4C2F" w:rsidRDefault="00323408" w:rsidP="00BC1144">
      <w:pPr>
        <w:spacing w:after="0" w:line="240" w:lineRule="auto"/>
        <w:jc w:val="both"/>
        <w:rPr>
          <w:rFonts w:ascii="Times New Roman" w:hAnsi="Times New Roman" w:cs="Times New Roman"/>
          <w:sz w:val="20"/>
          <w:szCs w:val="20"/>
        </w:rPr>
      </w:pPr>
      <w:r w:rsidRPr="00BB4C2F">
        <w:rPr>
          <w:rFonts w:ascii="Times New Roman" w:hAnsi="Times New Roman" w:cs="Times New Roman"/>
          <w:sz w:val="20"/>
          <w:szCs w:val="20"/>
        </w:rPr>
        <w:t xml:space="preserve">67026586, </w:t>
      </w:r>
      <w:hyperlink r:id="rId8" w:history="1">
        <w:r w:rsidRPr="00BB4C2F">
          <w:rPr>
            <w:rStyle w:val="Hyperlink"/>
            <w:rFonts w:ascii="Times New Roman" w:hAnsi="Times New Roman" w:cs="Times New Roman"/>
            <w:sz w:val="20"/>
            <w:szCs w:val="20"/>
          </w:rPr>
          <w:t>lana.maslova@varam.gov.lv</w:t>
        </w:r>
      </w:hyperlink>
    </w:p>
    <w:p w14:paraId="2ED734D5" w14:textId="77777777" w:rsidR="00323408" w:rsidRPr="00BB4C2F" w:rsidRDefault="00323408">
      <w:pPr>
        <w:rPr>
          <w:sz w:val="20"/>
          <w:szCs w:val="20"/>
        </w:rPr>
      </w:pPr>
    </w:p>
    <w:sectPr w:rsidR="00323408" w:rsidRPr="00BB4C2F" w:rsidSect="00E20D6C">
      <w:headerReference w:type="default" r:id="rId9"/>
      <w:footerReference w:type="default" r:id="rId10"/>
      <w:footerReference w:type="first" r:id="rId11"/>
      <w:type w:val="continuous"/>
      <w:pgSz w:w="11920" w:h="16840"/>
      <w:pgMar w:top="1418" w:right="1134" w:bottom="1134" w:left="1701"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CAC6C" w14:textId="77777777" w:rsidR="00422029" w:rsidRDefault="00422029" w:rsidP="003F5806">
      <w:pPr>
        <w:spacing w:after="0" w:line="240" w:lineRule="auto"/>
      </w:pPr>
      <w:r>
        <w:separator/>
      </w:r>
    </w:p>
  </w:endnote>
  <w:endnote w:type="continuationSeparator" w:id="0">
    <w:p w14:paraId="77937A05" w14:textId="77777777" w:rsidR="00422029" w:rsidRDefault="00422029" w:rsidP="003F5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0B36D" w14:textId="1D2E19B4" w:rsidR="00F20390" w:rsidRPr="00B36831" w:rsidRDefault="00F20390" w:rsidP="00E327C1">
    <w:pPr>
      <w:spacing w:after="0" w:line="240" w:lineRule="auto"/>
      <w:jc w:val="both"/>
      <w:rPr>
        <w:rFonts w:ascii="Times New Roman" w:hAnsi="Times New Roman" w:cs="Times New Roman"/>
        <w:sz w:val="20"/>
        <w:szCs w:val="20"/>
      </w:rPr>
    </w:pPr>
    <w:r w:rsidRPr="00B36831">
      <w:rPr>
        <w:rFonts w:ascii="Times New Roman" w:hAnsi="Times New Roman" w:cs="Times New Roman"/>
        <w:sz w:val="20"/>
        <w:szCs w:val="20"/>
      </w:rPr>
      <w:t>VARAMNot_</w:t>
    </w:r>
    <w:r w:rsidR="00B8032D">
      <w:rPr>
        <w:rFonts w:ascii="Times New Roman" w:hAnsi="Times New Roman" w:cs="Times New Roman"/>
        <w:sz w:val="20"/>
        <w:szCs w:val="20"/>
      </w:rPr>
      <w:t>30</w:t>
    </w:r>
    <w:r w:rsidR="003E4FB4">
      <w:rPr>
        <w:rFonts w:ascii="Times New Roman" w:hAnsi="Times New Roman" w:cs="Times New Roman"/>
        <w:sz w:val="20"/>
        <w:szCs w:val="20"/>
      </w:rPr>
      <w:t>0117</w:t>
    </w:r>
    <w:r w:rsidRPr="00B36831">
      <w:rPr>
        <w:rFonts w:ascii="Times New Roman" w:hAnsi="Times New Roman" w:cs="Times New Roman"/>
        <w:sz w:val="20"/>
        <w:szCs w:val="20"/>
      </w:rPr>
      <w:t>_gaiss; Noteikumu projekts „Grozījumi Ministru kabineta 2009. gada 3. novembra noteikumos Nr. 1290 „Noteikumi par gaisa kvalitāti””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DD4C" w14:textId="50799C5E" w:rsidR="004B020B" w:rsidRPr="004B020B" w:rsidRDefault="004B020B" w:rsidP="004B020B">
    <w:pPr>
      <w:spacing w:after="0" w:line="240" w:lineRule="auto"/>
      <w:jc w:val="both"/>
      <w:rPr>
        <w:rFonts w:ascii="Times New Roman" w:hAnsi="Times New Roman" w:cs="Times New Roman"/>
        <w:sz w:val="20"/>
        <w:szCs w:val="20"/>
      </w:rPr>
    </w:pPr>
    <w:r w:rsidRPr="00B36831">
      <w:rPr>
        <w:rFonts w:ascii="Times New Roman" w:hAnsi="Times New Roman" w:cs="Times New Roman"/>
        <w:sz w:val="20"/>
        <w:szCs w:val="20"/>
      </w:rPr>
      <w:t>VARAMNot_</w:t>
    </w:r>
    <w:r w:rsidR="00B8032D">
      <w:rPr>
        <w:rFonts w:ascii="Times New Roman" w:hAnsi="Times New Roman" w:cs="Times New Roman"/>
        <w:sz w:val="20"/>
        <w:szCs w:val="20"/>
      </w:rPr>
      <w:t>30</w:t>
    </w:r>
    <w:r>
      <w:rPr>
        <w:rFonts w:ascii="Times New Roman" w:hAnsi="Times New Roman" w:cs="Times New Roman"/>
        <w:sz w:val="20"/>
        <w:szCs w:val="20"/>
      </w:rPr>
      <w:t>0117</w:t>
    </w:r>
    <w:r w:rsidRPr="00B36831">
      <w:rPr>
        <w:rFonts w:ascii="Times New Roman" w:hAnsi="Times New Roman" w:cs="Times New Roman"/>
        <w:sz w:val="20"/>
        <w:szCs w:val="20"/>
      </w:rPr>
      <w:t>_gaiss; Noteikumu projekts „Grozījumi Ministru kabineta 2009. gada 3. novembra noteikumos Nr. 1290 „Noteikumi par gaisa kvalitāti””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A0DE6" w14:textId="77777777" w:rsidR="00422029" w:rsidRDefault="00422029" w:rsidP="003F5806">
      <w:pPr>
        <w:spacing w:after="0" w:line="240" w:lineRule="auto"/>
      </w:pPr>
      <w:r>
        <w:separator/>
      </w:r>
    </w:p>
  </w:footnote>
  <w:footnote w:type="continuationSeparator" w:id="0">
    <w:p w14:paraId="2855414E" w14:textId="77777777" w:rsidR="00422029" w:rsidRDefault="00422029" w:rsidP="003F5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79853"/>
      <w:docPartObj>
        <w:docPartGallery w:val="Page Numbers (Top of Page)"/>
        <w:docPartUnique/>
      </w:docPartObj>
    </w:sdtPr>
    <w:sdtEndPr>
      <w:rPr>
        <w:rFonts w:ascii="Times New Roman" w:hAnsi="Times New Roman" w:cs="Times New Roman"/>
        <w:noProof/>
        <w:sz w:val="24"/>
        <w:szCs w:val="24"/>
      </w:rPr>
    </w:sdtEndPr>
    <w:sdtContent>
      <w:p w14:paraId="6B21EDF2" w14:textId="77777777" w:rsidR="00F20390" w:rsidRPr="00B122B5" w:rsidRDefault="00F20390">
        <w:pPr>
          <w:pStyle w:val="Header"/>
          <w:jc w:val="center"/>
          <w:rPr>
            <w:rFonts w:ascii="Times New Roman" w:hAnsi="Times New Roman" w:cs="Times New Roman"/>
            <w:sz w:val="24"/>
            <w:szCs w:val="24"/>
          </w:rPr>
        </w:pPr>
        <w:r w:rsidRPr="00B122B5">
          <w:rPr>
            <w:rFonts w:ascii="Times New Roman" w:hAnsi="Times New Roman" w:cs="Times New Roman"/>
            <w:sz w:val="24"/>
            <w:szCs w:val="24"/>
          </w:rPr>
          <w:fldChar w:fldCharType="begin"/>
        </w:r>
        <w:r w:rsidRPr="00B122B5">
          <w:rPr>
            <w:rFonts w:ascii="Times New Roman" w:hAnsi="Times New Roman" w:cs="Times New Roman"/>
            <w:sz w:val="24"/>
            <w:szCs w:val="24"/>
          </w:rPr>
          <w:instrText xml:space="preserve"> PAGE   \* MERGEFORMAT </w:instrText>
        </w:r>
        <w:r w:rsidRPr="00B122B5">
          <w:rPr>
            <w:rFonts w:ascii="Times New Roman" w:hAnsi="Times New Roman" w:cs="Times New Roman"/>
            <w:sz w:val="24"/>
            <w:szCs w:val="24"/>
          </w:rPr>
          <w:fldChar w:fldCharType="separate"/>
        </w:r>
        <w:r w:rsidR="0006491A">
          <w:rPr>
            <w:rFonts w:ascii="Times New Roman" w:hAnsi="Times New Roman" w:cs="Times New Roman"/>
            <w:noProof/>
            <w:sz w:val="24"/>
            <w:szCs w:val="24"/>
          </w:rPr>
          <w:t>13</w:t>
        </w:r>
        <w:r w:rsidRPr="00B122B5">
          <w:rPr>
            <w:rFonts w:ascii="Times New Roman" w:hAnsi="Times New Roman" w:cs="Times New Roman"/>
            <w:noProof/>
            <w:sz w:val="24"/>
            <w:szCs w:val="24"/>
          </w:rPr>
          <w:fldChar w:fldCharType="end"/>
        </w:r>
      </w:p>
    </w:sdtContent>
  </w:sdt>
  <w:p w14:paraId="0FB24B70" w14:textId="77777777" w:rsidR="00F20390" w:rsidRPr="00E327C1" w:rsidRDefault="00F20390">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869E0"/>
    <w:multiLevelType w:val="multilevel"/>
    <w:tmpl w:val="1AC446D4"/>
    <w:lvl w:ilvl="0">
      <w:start w:val="8"/>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8DE308B"/>
    <w:multiLevelType w:val="hybridMultilevel"/>
    <w:tmpl w:val="99CE1FAC"/>
    <w:lvl w:ilvl="0" w:tplc="6A8047A2">
      <w:start w:val="17"/>
      <w:numFmt w:val="decimal"/>
      <w:lvlText w:val="%1."/>
      <w:lvlJc w:val="left"/>
      <w:pPr>
        <w:ind w:left="1796" w:hanging="360"/>
      </w:pPr>
      <w:rPr>
        <w:rFonts w:hint="default"/>
      </w:rPr>
    </w:lvl>
    <w:lvl w:ilvl="1" w:tplc="04260019" w:tentative="1">
      <w:start w:val="1"/>
      <w:numFmt w:val="lowerLetter"/>
      <w:lvlText w:val="%2."/>
      <w:lvlJc w:val="left"/>
      <w:pPr>
        <w:ind w:left="2516" w:hanging="360"/>
      </w:pPr>
    </w:lvl>
    <w:lvl w:ilvl="2" w:tplc="0426001B" w:tentative="1">
      <w:start w:val="1"/>
      <w:numFmt w:val="lowerRoman"/>
      <w:lvlText w:val="%3."/>
      <w:lvlJc w:val="right"/>
      <w:pPr>
        <w:ind w:left="3236" w:hanging="180"/>
      </w:pPr>
    </w:lvl>
    <w:lvl w:ilvl="3" w:tplc="0426000F" w:tentative="1">
      <w:start w:val="1"/>
      <w:numFmt w:val="decimal"/>
      <w:lvlText w:val="%4."/>
      <w:lvlJc w:val="left"/>
      <w:pPr>
        <w:ind w:left="3956" w:hanging="360"/>
      </w:pPr>
    </w:lvl>
    <w:lvl w:ilvl="4" w:tplc="04260019" w:tentative="1">
      <w:start w:val="1"/>
      <w:numFmt w:val="lowerLetter"/>
      <w:lvlText w:val="%5."/>
      <w:lvlJc w:val="left"/>
      <w:pPr>
        <w:ind w:left="4676" w:hanging="360"/>
      </w:pPr>
    </w:lvl>
    <w:lvl w:ilvl="5" w:tplc="0426001B" w:tentative="1">
      <w:start w:val="1"/>
      <w:numFmt w:val="lowerRoman"/>
      <w:lvlText w:val="%6."/>
      <w:lvlJc w:val="right"/>
      <w:pPr>
        <w:ind w:left="5396" w:hanging="180"/>
      </w:pPr>
    </w:lvl>
    <w:lvl w:ilvl="6" w:tplc="0426000F" w:tentative="1">
      <w:start w:val="1"/>
      <w:numFmt w:val="decimal"/>
      <w:lvlText w:val="%7."/>
      <w:lvlJc w:val="left"/>
      <w:pPr>
        <w:ind w:left="6116" w:hanging="360"/>
      </w:pPr>
    </w:lvl>
    <w:lvl w:ilvl="7" w:tplc="04260019" w:tentative="1">
      <w:start w:val="1"/>
      <w:numFmt w:val="lowerLetter"/>
      <w:lvlText w:val="%8."/>
      <w:lvlJc w:val="left"/>
      <w:pPr>
        <w:ind w:left="6836" w:hanging="360"/>
      </w:pPr>
    </w:lvl>
    <w:lvl w:ilvl="8" w:tplc="0426001B" w:tentative="1">
      <w:start w:val="1"/>
      <w:numFmt w:val="lowerRoman"/>
      <w:lvlText w:val="%9."/>
      <w:lvlJc w:val="right"/>
      <w:pPr>
        <w:ind w:left="7556" w:hanging="180"/>
      </w:pPr>
    </w:lvl>
  </w:abstractNum>
  <w:abstractNum w:abstractNumId="2" w15:restartNumberingAfterBreak="0">
    <w:nsid w:val="3D9A76F0"/>
    <w:multiLevelType w:val="hybridMultilevel"/>
    <w:tmpl w:val="659A469E"/>
    <w:lvl w:ilvl="0" w:tplc="F86E5E34">
      <w:start w:val="1"/>
      <w:numFmt w:val="decimal"/>
      <w:lvlText w:val="%1."/>
      <w:lvlJc w:val="left"/>
      <w:pPr>
        <w:ind w:left="1211"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BAF4008"/>
    <w:multiLevelType w:val="hybridMultilevel"/>
    <w:tmpl w:val="6BBEBA68"/>
    <w:lvl w:ilvl="0" w:tplc="0426000F">
      <w:start w:val="1"/>
      <w:numFmt w:val="decimal"/>
      <w:lvlText w:val="%1."/>
      <w:lvlJc w:val="left"/>
      <w:pPr>
        <w:ind w:left="1095" w:hanging="360"/>
      </w:p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4" w15:restartNumberingAfterBreak="0">
    <w:nsid w:val="5D141105"/>
    <w:multiLevelType w:val="hybridMultilevel"/>
    <w:tmpl w:val="A050CF48"/>
    <w:lvl w:ilvl="0" w:tplc="CE18F146">
      <w:start w:val="20"/>
      <w:numFmt w:val="decimal"/>
      <w:lvlText w:val="%1."/>
      <w:lvlJc w:val="left"/>
      <w:pPr>
        <w:ind w:left="1796" w:hanging="360"/>
      </w:pPr>
      <w:rPr>
        <w:rFonts w:hint="default"/>
      </w:rPr>
    </w:lvl>
    <w:lvl w:ilvl="1" w:tplc="04260019" w:tentative="1">
      <w:start w:val="1"/>
      <w:numFmt w:val="lowerLetter"/>
      <w:lvlText w:val="%2."/>
      <w:lvlJc w:val="left"/>
      <w:pPr>
        <w:ind w:left="2516" w:hanging="360"/>
      </w:pPr>
    </w:lvl>
    <w:lvl w:ilvl="2" w:tplc="0426001B" w:tentative="1">
      <w:start w:val="1"/>
      <w:numFmt w:val="lowerRoman"/>
      <w:lvlText w:val="%3."/>
      <w:lvlJc w:val="right"/>
      <w:pPr>
        <w:ind w:left="3236" w:hanging="180"/>
      </w:pPr>
    </w:lvl>
    <w:lvl w:ilvl="3" w:tplc="0426000F" w:tentative="1">
      <w:start w:val="1"/>
      <w:numFmt w:val="decimal"/>
      <w:lvlText w:val="%4."/>
      <w:lvlJc w:val="left"/>
      <w:pPr>
        <w:ind w:left="3956" w:hanging="360"/>
      </w:pPr>
    </w:lvl>
    <w:lvl w:ilvl="4" w:tplc="04260019" w:tentative="1">
      <w:start w:val="1"/>
      <w:numFmt w:val="lowerLetter"/>
      <w:lvlText w:val="%5."/>
      <w:lvlJc w:val="left"/>
      <w:pPr>
        <w:ind w:left="4676" w:hanging="360"/>
      </w:pPr>
    </w:lvl>
    <w:lvl w:ilvl="5" w:tplc="0426001B" w:tentative="1">
      <w:start w:val="1"/>
      <w:numFmt w:val="lowerRoman"/>
      <w:lvlText w:val="%6."/>
      <w:lvlJc w:val="right"/>
      <w:pPr>
        <w:ind w:left="5396" w:hanging="180"/>
      </w:pPr>
    </w:lvl>
    <w:lvl w:ilvl="6" w:tplc="0426000F" w:tentative="1">
      <w:start w:val="1"/>
      <w:numFmt w:val="decimal"/>
      <w:lvlText w:val="%7."/>
      <w:lvlJc w:val="left"/>
      <w:pPr>
        <w:ind w:left="6116" w:hanging="360"/>
      </w:pPr>
    </w:lvl>
    <w:lvl w:ilvl="7" w:tplc="04260019" w:tentative="1">
      <w:start w:val="1"/>
      <w:numFmt w:val="lowerLetter"/>
      <w:lvlText w:val="%8."/>
      <w:lvlJc w:val="left"/>
      <w:pPr>
        <w:ind w:left="6836" w:hanging="360"/>
      </w:pPr>
    </w:lvl>
    <w:lvl w:ilvl="8" w:tplc="0426001B" w:tentative="1">
      <w:start w:val="1"/>
      <w:numFmt w:val="lowerRoman"/>
      <w:lvlText w:val="%9."/>
      <w:lvlJc w:val="right"/>
      <w:pPr>
        <w:ind w:left="7556" w:hanging="180"/>
      </w:pPr>
    </w:lvl>
  </w:abstractNum>
  <w:abstractNum w:abstractNumId="5" w15:restartNumberingAfterBreak="0">
    <w:nsid w:val="60810422"/>
    <w:multiLevelType w:val="hybridMultilevel"/>
    <w:tmpl w:val="7D88703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720E4B3D"/>
    <w:multiLevelType w:val="multilevel"/>
    <w:tmpl w:val="3B46644C"/>
    <w:lvl w:ilvl="0">
      <w:start w:val="8"/>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2101B33"/>
    <w:multiLevelType w:val="multilevel"/>
    <w:tmpl w:val="3E6E7CFE"/>
    <w:lvl w:ilvl="0">
      <w:start w:val="7"/>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2"/>
  </w:num>
  <w:num w:numId="2">
    <w:abstractNumId w:val="3"/>
  </w:num>
  <w:num w:numId="3">
    <w:abstractNumId w:val="6"/>
  </w:num>
  <w:num w:numId="4">
    <w:abstractNumId w:val="7"/>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892"/>
    <w:rsid w:val="000018C7"/>
    <w:rsid w:val="00002D3B"/>
    <w:rsid w:val="00010FFE"/>
    <w:rsid w:val="00013197"/>
    <w:rsid w:val="00013867"/>
    <w:rsid w:val="000142E7"/>
    <w:rsid w:val="00024305"/>
    <w:rsid w:val="000329C4"/>
    <w:rsid w:val="00032AA1"/>
    <w:rsid w:val="00032C44"/>
    <w:rsid w:val="000418FB"/>
    <w:rsid w:val="00043A5B"/>
    <w:rsid w:val="00047BEA"/>
    <w:rsid w:val="000532E0"/>
    <w:rsid w:val="00054DBA"/>
    <w:rsid w:val="000557FF"/>
    <w:rsid w:val="000620D7"/>
    <w:rsid w:val="0006290D"/>
    <w:rsid w:val="0006491A"/>
    <w:rsid w:val="00065836"/>
    <w:rsid w:val="00067BEC"/>
    <w:rsid w:val="00077268"/>
    <w:rsid w:val="00087550"/>
    <w:rsid w:val="00087CB8"/>
    <w:rsid w:val="00091D48"/>
    <w:rsid w:val="000944BF"/>
    <w:rsid w:val="000948D1"/>
    <w:rsid w:val="00094C9E"/>
    <w:rsid w:val="0009628F"/>
    <w:rsid w:val="000A12E2"/>
    <w:rsid w:val="000B1630"/>
    <w:rsid w:val="000B1887"/>
    <w:rsid w:val="000B1B4C"/>
    <w:rsid w:val="000B1F01"/>
    <w:rsid w:val="000B3FF6"/>
    <w:rsid w:val="000B60BA"/>
    <w:rsid w:val="000C09F7"/>
    <w:rsid w:val="000C13C1"/>
    <w:rsid w:val="000C27B9"/>
    <w:rsid w:val="000C7D77"/>
    <w:rsid w:val="000E454B"/>
    <w:rsid w:val="000F0E9F"/>
    <w:rsid w:val="000F2783"/>
    <w:rsid w:val="000F2C8E"/>
    <w:rsid w:val="000F678E"/>
    <w:rsid w:val="001063FB"/>
    <w:rsid w:val="00115FA1"/>
    <w:rsid w:val="0012220E"/>
    <w:rsid w:val="00126E32"/>
    <w:rsid w:val="00127166"/>
    <w:rsid w:val="001375F2"/>
    <w:rsid w:val="00140875"/>
    <w:rsid w:val="00141F64"/>
    <w:rsid w:val="001422A0"/>
    <w:rsid w:val="00143EE3"/>
    <w:rsid w:val="00146167"/>
    <w:rsid w:val="00151D2F"/>
    <w:rsid w:val="00152EF2"/>
    <w:rsid w:val="00154508"/>
    <w:rsid w:val="00162E6B"/>
    <w:rsid w:val="001634BF"/>
    <w:rsid w:val="00164BA0"/>
    <w:rsid w:val="001655A3"/>
    <w:rsid w:val="00170347"/>
    <w:rsid w:val="001713E3"/>
    <w:rsid w:val="00171EBF"/>
    <w:rsid w:val="001722F7"/>
    <w:rsid w:val="001753C3"/>
    <w:rsid w:val="0018266D"/>
    <w:rsid w:val="00185EC5"/>
    <w:rsid w:val="0019228A"/>
    <w:rsid w:val="001A02FC"/>
    <w:rsid w:val="001A1FBC"/>
    <w:rsid w:val="001A5B91"/>
    <w:rsid w:val="001B0F86"/>
    <w:rsid w:val="001B79D9"/>
    <w:rsid w:val="001C25D4"/>
    <w:rsid w:val="001C7350"/>
    <w:rsid w:val="001D20A2"/>
    <w:rsid w:val="001D3902"/>
    <w:rsid w:val="001D53E9"/>
    <w:rsid w:val="001E2A6E"/>
    <w:rsid w:val="001F0393"/>
    <w:rsid w:val="001F05B3"/>
    <w:rsid w:val="001F2A6D"/>
    <w:rsid w:val="00200B80"/>
    <w:rsid w:val="00206CBC"/>
    <w:rsid w:val="00206D86"/>
    <w:rsid w:val="002102A2"/>
    <w:rsid w:val="00217892"/>
    <w:rsid w:val="00221795"/>
    <w:rsid w:val="002243BD"/>
    <w:rsid w:val="00226F5D"/>
    <w:rsid w:val="002272C3"/>
    <w:rsid w:val="002309B9"/>
    <w:rsid w:val="00232B36"/>
    <w:rsid w:val="00252B36"/>
    <w:rsid w:val="00253BAD"/>
    <w:rsid w:val="00256CF3"/>
    <w:rsid w:val="00257326"/>
    <w:rsid w:val="00261439"/>
    <w:rsid w:val="00261A42"/>
    <w:rsid w:val="00265C21"/>
    <w:rsid w:val="002665BD"/>
    <w:rsid w:val="0027105A"/>
    <w:rsid w:val="00280CEC"/>
    <w:rsid w:val="002811D9"/>
    <w:rsid w:val="0028424D"/>
    <w:rsid w:val="002843BA"/>
    <w:rsid w:val="00286018"/>
    <w:rsid w:val="002863EE"/>
    <w:rsid w:val="00286EBE"/>
    <w:rsid w:val="0029140A"/>
    <w:rsid w:val="00292F1A"/>
    <w:rsid w:val="002A5698"/>
    <w:rsid w:val="002A575C"/>
    <w:rsid w:val="002A6C8E"/>
    <w:rsid w:val="002C26AD"/>
    <w:rsid w:val="002D0205"/>
    <w:rsid w:val="002D1899"/>
    <w:rsid w:val="002D647A"/>
    <w:rsid w:val="002E1108"/>
    <w:rsid w:val="002E2B52"/>
    <w:rsid w:val="002E40F8"/>
    <w:rsid w:val="002E4E99"/>
    <w:rsid w:val="002F1D03"/>
    <w:rsid w:val="002F512A"/>
    <w:rsid w:val="002F5F8B"/>
    <w:rsid w:val="00304D3F"/>
    <w:rsid w:val="00310BB3"/>
    <w:rsid w:val="00312F69"/>
    <w:rsid w:val="00314057"/>
    <w:rsid w:val="00323408"/>
    <w:rsid w:val="00331D24"/>
    <w:rsid w:val="003343FB"/>
    <w:rsid w:val="0033492C"/>
    <w:rsid w:val="00336D8C"/>
    <w:rsid w:val="00342E12"/>
    <w:rsid w:val="00353B36"/>
    <w:rsid w:val="00354816"/>
    <w:rsid w:val="00355067"/>
    <w:rsid w:val="00356294"/>
    <w:rsid w:val="0036122A"/>
    <w:rsid w:val="003717C8"/>
    <w:rsid w:val="00372541"/>
    <w:rsid w:val="003731B8"/>
    <w:rsid w:val="0037383E"/>
    <w:rsid w:val="00374454"/>
    <w:rsid w:val="00384501"/>
    <w:rsid w:val="00391E2D"/>
    <w:rsid w:val="00392A93"/>
    <w:rsid w:val="00395585"/>
    <w:rsid w:val="003A100C"/>
    <w:rsid w:val="003A24FD"/>
    <w:rsid w:val="003A5BDD"/>
    <w:rsid w:val="003A643F"/>
    <w:rsid w:val="003A70FD"/>
    <w:rsid w:val="003B1A98"/>
    <w:rsid w:val="003B3B3D"/>
    <w:rsid w:val="003C093D"/>
    <w:rsid w:val="003C2094"/>
    <w:rsid w:val="003C4B20"/>
    <w:rsid w:val="003C7F83"/>
    <w:rsid w:val="003D12F1"/>
    <w:rsid w:val="003D17CF"/>
    <w:rsid w:val="003D68CB"/>
    <w:rsid w:val="003E4FB4"/>
    <w:rsid w:val="003E72DA"/>
    <w:rsid w:val="003F3847"/>
    <w:rsid w:val="003F55E4"/>
    <w:rsid w:val="003F5806"/>
    <w:rsid w:val="003F5FE6"/>
    <w:rsid w:val="003F7EAE"/>
    <w:rsid w:val="0040236A"/>
    <w:rsid w:val="0040286C"/>
    <w:rsid w:val="004066F6"/>
    <w:rsid w:val="0040688A"/>
    <w:rsid w:val="00413806"/>
    <w:rsid w:val="00422029"/>
    <w:rsid w:val="00425266"/>
    <w:rsid w:val="00430650"/>
    <w:rsid w:val="004309A3"/>
    <w:rsid w:val="00434D25"/>
    <w:rsid w:val="00442E35"/>
    <w:rsid w:val="004465CA"/>
    <w:rsid w:val="00462E04"/>
    <w:rsid w:val="004644EA"/>
    <w:rsid w:val="00467582"/>
    <w:rsid w:val="00471FD7"/>
    <w:rsid w:val="00475647"/>
    <w:rsid w:val="0048174E"/>
    <w:rsid w:val="004839B6"/>
    <w:rsid w:val="004851E3"/>
    <w:rsid w:val="004934B9"/>
    <w:rsid w:val="0049576B"/>
    <w:rsid w:val="004A0DC9"/>
    <w:rsid w:val="004A11AC"/>
    <w:rsid w:val="004A2D03"/>
    <w:rsid w:val="004A7ADD"/>
    <w:rsid w:val="004B020B"/>
    <w:rsid w:val="004C1D52"/>
    <w:rsid w:val="004D1096"/>
    <w:rsid w:val="004D4A5C"/>
    <w:rsid w:val="004D4DB5"/>
    <w:rsid w:val="004D4E69"/>
    <w:rsid w:val="004E2324"/>
    <w:rsid w:val="004E524B"/>
    <w:rsid w:val="004E6E2B"/>
    <w:rsid w:val="004F17CE"/>
    <w:rsid w:val="004F54C6"/>
    <w:rsid w:val="00501750"/>
    <w:rsid w:val="005033B8"/>
    <w:rsid w:val="00510CB3"/>
    <w:rsid w:val="005128E6"/>
    <w:rsid w:val="00517F73"/>
    <w:rsid w:val="00521E04"/>
    <w:rsid w:val="00522A7A"/>
    <w:rsid w:val="005257F1"/>
    <w:rsid w:val="00525B64"/>
    <w:rsid w:val="00526E36"/>
    <w:rsid w:val="00527263"/>
    <w:rsid w:val="00527D57"/>
    <w:rsid w:val="005308A2"/>
    <w:rsid w:val="00542376"/>
    <w:rsid w:val="00545143"/>
    <w:rsid w:val="00557EBD"/>
    <w:rsid w:val="00562C59"/>
    <w:rsid w:val="00564681"/>
    <w:rsid w:val="005647AD"/>
    <w:rsid w:val="00564EF2"/>
    <w:rsid w:val="00573359"/>
    <w:rsid w:val="00574933"/>
    <w:rsid w:val="005754D8"/>
    <w:rsid w:val="0058208C"/>
    <w:rsid w:val="00596B61"/>
    <w:rsid w:val="00597F9A"/>
    <w:rsid w:val="005A240F"/>
    <w:rsid w:val="005A5611"/>
    <w:rsid w:val="005B0C73"/>
    <w:rsid w:val="005B5A04"/>
    <w:rsid w:val="005B6266"/>
    <w:rsid w:val="005B703A"/>
    <w:rsid w:val="005D136D"/>
    <w:rsid w:val="005D314C"/>
    <w:rsid w:val="005D3BC9"/>
    <w:rsid w:val="005D460F"/>
    <w:rsid w:val="005D4852"/>
    <w:rsid w:val="005D557A"/>
    <w:rsid w:val="005E10DB"/>
    <w:rsid w:val="005E16DF"/>
    <w:rsid w:val="005E3C18"/>
    <w:rsid w:val="005E4246"/>
    <w:rsid w:val="005E6689"/>
    <w:rsid w:val="005E7324"/>
    <w:rsid w:val="005F3D2D"/>
    <w:rsid w:val="005F4B62"/>
    <w:rsid w:val="006031A4"/>
    <w:rsid w:val="00610D30"/>
    <w:rsid w:val="00614CA5"/>
    <w:rsid w:val="00620A35"/>
    <w:rsid w:val="0062183F"/>
    <w:rsid w:val="00623359"/>
    <w:rsid w:val="00623527"/>
    <w:rsid w:val="00623836"/>
    <w:rsid w:val="00635BF8"/>
    <w:rsid w:val="00635E85"/>
    <w:rsid w:val="006409DE"/>
    <w:rsid w:val="00641C69"/>
    <w:rsid w:val="0065132D"/>
    <w:rsid w:val="00651BE6"/>
    <w:rsid w:val="006521E5"/>
    <w:rsid w:val="00660E6C"/>
    <w:rsid w:val="00663EAD"/>
    <w:rsid w:val="00670C40"/>
    <w:rsid w:val="0067509D"/>
    <w:rsid w:val="0067799F"/>
    <w:rsid w:val="006853E0"/>
    <w:rsid w:val="00685621"/>
    <w:rsid w:val="00685F29"/>
    <w:rsid w:val="006901BF"/>
    <w:rsid w:val="00690854"/>
    <w:rsid w:val="00691728"/>
    <w:rsid w:val="00693D7C"/>
    <w:rsid w:val="00695ABE"/>
    <w:rsid w:val="006A431C"/>
    <w:rsid w:val="006A448B"/>
    <w:rsid w:val="006B172B"/>
    <w:rsid w:val="006C7FA4"/>
    <w:rsid w:val="006D35C3"/>
    <w:rsid w:val="006D573F"/>
    <w:rsid w:val="006D6973"/>
    <w:rsid w:val="006D7A47"/>
    <w:rsid w:val="006E0473"/>
    <w:rsid w:val="006F303E"/>
    <w:rsid w:val="006F33A4"/>
    <w:rsid w:val="006F43E9"/>
    <w:rsid w:val="006F5DEA"/>
    <w:rsid w:val="006F65FC"/>
    <w:rsid w:val="00703D89"/>
    <w:rsid w:val="00714426"/>
    <w:rsid w:val="00723300"/>
    <w:rsid w:val="0073326E"/>
    <w:rsid w:val="00733D98"/>
    <w:rsid w:val="00742B90"/>
    <w:rsid w:val="007458B9"/>
    <w:rsid w:val="007522F3"/>
    <w:rsid w:val="007725B9"/>
    <w:rsid w:val="00772C11"/>
    <w:rsid w:val="0077505C"/>
    <w:rsid w:val="007802DF"/>
    <w:rsid w:val="00786115"/>
    <w:rsid w:val="00791C49"/>
    <w:rsid w:val="007A5595"/>
    <w:rsid w:val="007A5634"/>
    <w:rsid w:val="007A5CA2"/>
    <w:rsid w:val="007A6083"/>
    <w:rsid w:val="007A742A"/>
    <w:rsid w:val="007B3C71"/>
    <w:rsid w:val="007B4FC0"/>
    <w:rsid w:val="007C6E67"/>
    <w:rsid w:val="007D4A34"/>
    <w:rsid w:val="007D69CD"/>
    <w:rsid w:val="007E2A62"/>
    <w:rsid w:val="007E31BD"/>
    <w:rsid w:val="007E439B"/>
    <w:rsid w:val="007E4E71"/>
    <w:rsid w:val="007F3ECC"/>
    <w:rsid w:val="008006D5"/>
    <w:rsid w:val="00800BF5"/>
    <w:rsid w:val="00800D26"/>
    <w:rsid w:val="00801245"/>
    <w:rsid w:val="00807210"/>
    <w:rsid w:val="008163A8"/>
    <w:rsid w:val="008173CB"/>
    <w:rsid w:val="008223F9"/>
    <w:rsid w:val="00823420"/>
    <w:rsid w:val="00825EE3"/>
    <w:rsid w:val="00827538"/>
    <w:rsid w:val="00827B20"/>
    <w:rsid w:val="00832833"/>
    <w:rsid w:val="00832962"/>
    <w:rsid w:val="00832EA0"/>
    <w:rsid w:val="008357E8"/>
    <w:rsid w:val="00844C15"/>
    <w:rsid w:val="00845850"/>
    <w:rsid w:val="0084659C"/>
    <w:rsid w:val="0085699E"/>
    <w:rsid w:val="00857478"/>
    <w:rsid w:val="008605FA"/>
    <w:rsid w:val="00860DED"/>
    <w:rsid w:val="008617B7"/>
    <w:rsid w:val="00865DEF"/>
    <w:rsid w:val="00867019"/>
    <w:rsid w:val="00867EF1"/>
    <w:rsid w:val="0087277F"/>
    <w:rsid w:val="00876700"/>
    <w:rsid w:val="00883B96"/>
    <w:rsid w:val="0089297A"/>
    <w:rsid w:val="008A299C"/>
    <w:rsid w:val="008A31BD"/>
    <w:rsid w:val="008A42F6"/>
    <w:rsid w:val="008B3C07"/>
    <w:rsid w:val="008B41A8"/>
    <w:rsid w:val="008B6CF7"/>
    <w:rsid w:val="008C30B4"/>
    <w:rsid w:val="008C4AF9"/>
    <w:rsid w:val="008D023E"/>
    <w:rsid w:val="008D0E12"/>
    <w:rsid w:val="008D2B90"/>
    <w:rsid w:val="008D65E3"/>
    <w:rsid w:val="008E1C51"/>
    <w:rsid w:val="008F5A3A"/>
    <w:rsid w:val="008F6762"/>
    <w:rsid w:val="008F68FC"/>
    <w:rsid w:val="00900A61"/>
    <w:rsid w:val="00901D21"/>
    <w:rsid w:val="009061DF"/>
    <w:rsid w:val="0090642F"/>
    <w:rsid w:val="0090759C"/>
    <w:rsid w:val="00907E7A"/>
    <w:rsid w:val="00910812"/>
    <w:rsid w:val="00910F63"/>
    <w:rsid w:val="00915AFF"/>
    <w:rsid w:val="009165B0"/>
    <w:rsid w:val="00917B35"/>
    <w:rsid w:val="009263E4"/>
    <w:rsid w:val="00927639"/>
    <w:rsid w:val="00927E14"/>
    <w:rsid w:val="0094145C"/>
    <w:rsid w:val="00943099"/>
    <w:rsid w:val="00943E37"/>
    <w:rsid w:val="00945753"/>
    <w:rsid w:val="00946248"/>
    <w:rsid w:val="00950E0F"/>
    <w:rsid w:val="0095144C"/>
    <w:rsid w:val="0095270E"/>
    <w:rsid w:val="00953395"/>
    <w:rsid w:val="00957A53"/>
    <w:rsid w:val="009612C7"/>
    <w:rsid w:val="0096257E"/>
    <w:rsid w:val="009644C1"/>
    <w:rsid w:val="009648E4"/>
    <w:rsid w:val="0097759D"/>
    <w:rsid w:val="00981806"/>
    <w:rsid w:val="009907D8"/>
    <w:rsid w:val="009911B7"/>
    <w:rsid w:val="00992AB9"/>
    <w:rsid w:val="00997175"/>
    <w:rsid w:val="009A2E27"/>
    <w:rsid w:val="009A3122"/>
    <w:rsid w:val="009B1BCE"/>
    <w:rsid w:val="009B2478"/>
    <w:rsid w:val="009B3009"/>
    <w:rsid w:val="009B38DF"/>
    <w:rsid w:val="009B4542"/>
    <w:rsid w:val="009B4A4B"/>
    <w:rsid w:val="009C3EE4"/>
    <w:rsid w:val="009D331B"/>
    <w:rsid w:val="009E03CD"/>
    <w:rsid w:val="009E1E6C"/>
    <w:rsid w:val="009E3B99"/>
    <w:rsid w:val="009F1CA3"/>
    <w:rsid w:val="009F35B3"/>
    <w:rsid w:val="009F6B49"/>
    <w:rsid w:val="00A146C9"/>
    <w:rsid w:val="00A14E62"/>
    <w:rsid w:val="00A152DB"/>
    <w:rsid w:val="00A1656C"/>
    <w:rsid w:val="00A17ACD"/>
    <w:rsid w:val="00A21456"/>
    <w:rsid w:val="00A244DC"/>
    <w:rsid w:val="00A24E80"/>
    <w:rsid w:val="00A265DF"/>
    <w:rsid w:val="00A3188A"/>
    <w:rsid w:val="00A339FF"/>
    <w:rsid w:val="00A43E3D"/>
    <w:rsid w:val="00A518B6"/>
    <w:rsid w:val="00A56709"/>
    <w:rsid w:val="00A75749"/>
    <w:rsid w:val="00A809A4"/>
    <w:rsid w:val="00A82616"/>
    <w:rsid w:val="00A84A9C"/>
    <w:rsid w:val="00A85B1F"/>
    <w:rsid w:val="00A937A1"/>
    <w:rsid w:val="00A94D2A"/>
    <w:rsid w:val="00AA048B"/>
    <w:rsid w:val="00AA5CBF"/>
    <w:rsid w:val="00AB0669"/>
    <w:rsid w:val="00AB0710"/>
    <w:rsid w:val="00AB1BE3"/>
    <w:rsid w:val="00AC2218"/>
    <w:rsid w:val="00AC4CFF"/>
    <w:rsid w:val="00AC7852"/>
    <w:rsid w:val="00AE1957"/>
    <w:rsid w:val="00AE1EBC"/>
    <w:rsid w:val="00AE26EF"/>
    <w:rsid w:val="00AE3DA0"/>
    <w:rsid w:val="00AE52ED"/>
    <w:rsid w:val="00AF132F"/>
    <w:rsid w:val="00AF2393"/>
    <w:rsid w:val="00AF324D"/>
    <w:rsid w:val="00AF4948"/>
    <w:rsid w:val="00AF5B73"/>
    <w:rsid w:val="00AF5C11"/>
    <w:rsid w:val="00B03310"/>
    <w:rsid w:val="00B122B5"/>
    <w:rsid w:val="00B14D71"/>
    <w:rsid w:val="00B23B9E"/>
    <w:rsid w:val="00B25577"/>
    <w:rsid w:val="00B25CA1"/>
    <w:rsid w:val="00B260A4"/>
    <w:rsid w:val="00B27B60"/>
    <w:rsid w:val="00B27E8A"/>
    <w:rsid w:val="00B36831"/>
    <w:rsid w:val="00B37100"/>
    <w:rsid w:val="00B46F50"/>
    <w:rsid w:val="00B54359"/>
    <w:rsid w:val="00B56652"/>
    <w:rsid w:val="00B612B0"/>
    <w:rsid w:val="00B647FD"/>
    <w:rsid w:val="00B65757"/>
    <w:rsid w:val="00B658AB"/>
    <w:rsid w:val="00B66EEC"/>
    <w:rsid w:val="00B8032D"/>
    <w:rsid w:val="00B80C5D"/>
    <w:rsid w:val="00B82354"/>
    <w:rsid w:val="00B838FD"/>
    <w:rsid w:val="00B83B92"/>
    <w:rsid w:val="00B848D6"/>
    <w:rsid w:val="00B914A2"/>
    <w:rsid w:val="00B9319E"/>
    <w:rsid w:val="00BA3D52"/>
    <w:rsid w:val="00BA69D4"/>
    <w:rsid w:val="00BB2A05"/>
    <w:rsid w:val="00BB4042"/>
    <w:rsid w:val="00BB4C2F"/>
    <w:rsid w:val="00BC1144"/>
    <w:rsid w:val="00BC1CC1"/>
    <w:rsid w:val="00BC785E"/>
    <w:rsid w:val="00BD5EC3"/>
    <w:rsid w:val="00BD74D3"/>
    <w:rsid w:val="00BE0414"/>
    <w:rsid w:val="00BE0440"/>
    <w:rsid w:val="00BF1C78"/>
    <w:rsid w:val="00BF590E"/>
    <w:rsid w:val="00C0091F"/>
    <w:rsid w:val="00C07DB3"/>
    <w:rsid w:val="00C07E71"/>
    <w:rsid w:val="00C137CB"/>
    <w:rsid w:val="00C152CD"/>
    <w:rsid w:val="00C157AD"/>
    <w:rsid w:val="00C16B09"/>
    <w:rsid w:val="00C16D17"/>
    <w:rsid w:val="00C2151C"/>
    <w:rsid w:val="00C53C6D"/>
    <w:rsid w:val="00C60A59"/>
    <w:rsid w:val="00C64B3E"/>
    <w:rsid w:val="00C67F08"/>
    <w:rsid w:val="00C72552"/>
    <w:rsid w:val="00C731FB"/>
    <w:rsid w:val="00C75FD5"/>
    <w:rsid w:val="00C80EA8"/>
    <w:rsid w:val="00C8347C"/>
    <w:rsid w:val="00C84E2A"/>
    <w:rsid w:val="00C917E4"/>
    <w:rsid w:val="00C96F4E"/>
    <w:rsid w:val="00C97399"/>
    <w:rsid w:val="00CA24EF"/>
    <w:rsid w:val="00CA2AF0"/>
    <w:rsid w:val="00CA474C"/>
    <w:rsid w:val="00CB57D3"/>
    <w:rsid w:val="00CB78A2"/>
    <w:rsid w:val="00CB7926"/>
    <w:rsid w:val="00CC6AAA"/>
    <w:rsid w:val="00CC78FA"/>
    <w:rsid w:val="00CD2458"/>
    <w:rsid w:val="00CD6D1C"/>
    <w:rsid w:val="00CE1ABE"/>
    <w:rsid w:val="00CE258A"/>
    <w:rsid w:val="00CE32B5"/>
    <w:rsid w:val="00CF01C1"/>
    <w:rsid w:val="00CF0549"/>
    <w:rsid w:val="00CF18B2"/>
    <w:rsid w:val="00CF7F32"/>
    <w:rsid w:val="00D01C58"/>
    <w:rsid w:val="00D01D82"/>
    <w:rsid w:val="00D05C44"/>
    <w:rsid w:val="00D20FE5"/>
    <w:rsid w:val="00D23BC4"/>
    <w:rsid w:val="00D255DD"/>
    <w:rsid w:val="00D328D3"/>
    <w:rsid w:val="00D41D94"/>
    <w:rsid w:val="00D44225"/>
    <w:rsid w:val="00D54090"/>
    <w:rsid w:val="00D569FA"/>
    <w:rsid w:val="00D56A5B"/>
    <w:rsid w:val="00D577D8"/>
    <w:rsid w:val="00D57D40"/>
    <w:rsid w:val="00D60CEA"/>
    <w:rsid w:val="00D61897"/>
    <w:rsid w:val="00D629F0"/>
    <w:rsid w:val="00D63E9E"/>
    <w:rsid w:val="00D815FE"/>
    <w:rsid w:val="00D81882"/>
    <w:rsid w:val="00D81EFF"/>
    <w:rsid w:val="00D831B9"/>
    <w:rsid w:val="00D905CC"/>
    <w:rsid w:val="00D93229"/>
    <w:rsid w:val="00D97DD2"/>
    <w:rsid w:val="00DA4FD9"/>
    <w:rsid w:val="00DA6FE7"/>
    <w:rsid w:val="00DB2E80"/>
    <w:rsid w:val="00DB7C10"/>
    <w:rsid w:val="00DD0304"/>
    <w:rsid w:val="00DE12C3"/>
    <w:rsid w:val="00DE2699"/>
    <w:rsid w:val="00DE3642"/>
    <w:rsid w:val="00DE4A92"/>
    <w:rsid w:val="00DF0F44"/>
    <w:rsid w:val="00DF4856"/>
    <w:rsid w:val="00E04077"/>
    <w:rsid w:val="00E043B2"/>
    <w:rsid w:val="00E051C7"/>
    <w:rsid w:val="00E105C0"/>
    <w:rsid w:val="00E149CE"/>
    <w:rsid w:val="00E20D6C"/>
    <w:rsid w:val="00E24A3B"/>
    <w:rsid w:val="00E24DF5"/>
    <w:rsid w:val="00E26EF5"/>
    <w:rsid w:val="00E327C1"/>
    <w:rsid w:val="00E40F57"/>
    <w:rsid w:val="00E453CB"/>
    <w:rsid w:val="00E602B7"/>
    <w:rsid w:val="00E6372E"/>
    <w:rsid w:val="00E72FA7"/>
    <w:rsid w:val="00E76A0D"/>
    <w:rsid w:val="00E824D7"/>
    <w:rsid w:val="00E83F01"/>
    <w:rsid w:val="00E94E49"/>
    <w:rsid w:val="00EA25C3"/>
    <w:rsid w:val="00EA55FD"/>
    <w:rsid w:val="00EA638C"/>
    <w:rsid w:val="00ED0E3E"/>
    <w:rsid w:val="00ED253F"/>
    <w:rsid w:val="00ED3CBC"/>
    <w:rsid w:val="00ED6EC8"/>
    <w:rsid w:val="00EE0CCB"/>
    <w:rsid w:val="00EE1EF0"/>
    <w:rsid w:val="00EE32E9"/>
    <w:rsid w:val="00EE373F"/>
    <w:rsid w:val="00EF571D"/>
    <w:rsid w:val="00EF6582"/>
    <w:rsid w:val="00F05274"/>
    <w:rsid w:val="00F05470"/>
    <w:rsid w:val="00F0789E"/>
    <w:rsid w:val="00F10F58"/>
    <w:rsid w:val="00F1109C"/>
    <w:rsid w:val="00F11E65"/>
    <w:rsid w:val="00F124EF"/>
    <w:rsid w:val="00F1322F"/>
    <w:rsid w:val="00F13C7E"/>
    <w:rsid w:val="00F13EAC"/>
    <w:rsid w:val="00F1727F"/>
    <w:rsid w:val="00F20390"/>
    <w:rsid w:val="00F20849"/>
    <w:rsid w:val="00F21DD5"/>
    <w:rsid w:val="00F27F76"/>
    <w:rsid w:val="00F324D7"/>
    <w:rsid w:val="00F344B8"/>
    <w:rsid w:val="00F35703"/>
    <w:rsid w:val="00F36D34"/>
    <w:rsid w:val="00F44730"/>
    <w:rsid w:val="00F46026"/>
    <w:rsid w:val="00F5079C"/>
    <w:rsid w:val="00F511BA"/>
    <w:rsid w:val="00F55336"/>
    <w:rsid w:val="00F55C12"/>
    <w:rsid w:val="00F6024F"/>
    <w:rsid w:val="00F63C65"/>
    <w:rsid w:val="00F744E9"/>
    <w:rsid w:val="00F77BDD"/>
    <w:rsid w:val="00F80A20"/>
    <w:rsid w:val="00F80B98"/>
    <w:rsid w:val="00F817D0"/>
    <w:rsid w:val="00F87892"/>
    <w:rsid w:val="00F90A2C"/>
    <w:rsid w:val="00FA5ED0"/>
    <w:rsid w:val="00FB2A70"/>
    <w:rsid w:val="00FB3953"/>
    <w:rsid w:val="00FB696D"/>
    <w:rsid w:val="00FB6E06"/>
    <w:rsid w:val="00FC0A01"/>
    <w:rsid w:val="00FC3113"/>
    <w:rsid w:val="00FC4144"/>
    <w:rsid w:val="00FC706C"/>
    <w:rsid w:val="00FD3F02"/>
    <w:rsid w:val="00FE29B7"/>
    <w:rsid w:val="00FE2DF6"/>
    <w:rsid w:val="00FE2DFC"/>
    <w:rsid w:val="00FE4906"/>
    <w:rsid w:val="00FE4A6A"/>
    <w:rsid w:val="00FE7CBF"/>
    <w:rsid w:val="00FF101F"/>
    <w:rsid w:val="00FF1786"/>
    <w:rsid w:val="00FF3B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F2B50"/>
  <w15:chartTrackingRefBased/>
  <w15:docId w15:val="{9F3ADBA7-F064-4E90-960F-176D088A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8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F87892"/>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uiPriority w:val="99"/>
    <w:rsid w:val="00323408"/>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323408"/>
    <w:rPr>
      <w:color w:val="0000FF"/>
      <w:u w:val="single"/>
    </w:rPr>
  </w:style>
  <w:style w:type="paragraph" w:styleId="Title">
    <w:name w:val="Title"/>
    <w:basedOn w:val="Normal"/>
    <w:link w:val="TitleChar"/>
    <w:qFormat/>
    <w:rsid w:val="0032340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23408"/>
    <w:rPr>
      <w:rFonts w:ascii="Times New Roman" w:eastAsia="Times New Roman" w:hAnsi="Times New Roman" w:cs="Times New Roman"/>
      <w:b/>
      <w:bCs/>
      <w:sz w:val="24"/>
      <w:szCs w:val="24"/>
    </w:rPr>
  </w:style>
  <w:style w:type="paragraph" w:styleId="ListParagraph">
    <w:name w:val="List Paragraph"/>
    <w:basedOn w:val="Normal"/>
    <w:uiPriority w:val="34"/>
    <w:qFormat/>
    <w:rsid w:val="00FB3953"/>
    <w:pPr>
      <w:ind w:left="720"/>
      <w:contextualSpacing/>
    </w:pPr>
  </w:style>
  <w:style w:type="character" w:styleId="CommentReference">
    <w:name w:val="annotation reference"/>
    <w:rsid w:val="004F17CE"/>
    <w:rPr>
      <w:sz w:val="16"/>
      <w:szCs w:val="16"/>
    </w:rPr>
  </w:style>
  <w:style w:type="paragraph" w:styleId="CommentText">
    <w:name w:val="annotation text"/>
    <w:basedOn w:val="Normal"/>
    <w:link w:val="CommentTextChar"/>
    <w:rsid w:val="004F17C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4F17CE"/>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4F1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7CE"/>
    <w:rPr>
      <w:rFonts w:ascii="Segoe UI" w:hAnsi="Segoe UI" w:cs="Segoe UI"/>
      <w:sz w:val="18"/>
      <w:szCs w:val="18"/>
    </w:rPr>
  </w:style>
  <w:style w:type="paragraph" w:styleId="Header">
    <w:name w:val="header"/>
    <w:basedOn w:val="Normal"/>
    <w:link w:val="HeaderChar"/>
    <w:uiPriority w:val="99"/>
    <w:unhideWhenUsed/>
    <w:rsid w:val="003F58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5806"/>
  </w:style>
  <w:style w:type="paragraph" w:styleId="Footer">
    <w:name w:val="footer"/>
    <w:basedOn w:val="Normal"/>
    <w:link w:val="FooterChar"/>
    <w:uiPriority w:val="99"/>
    <w:unhideWhenUsed/>
    <w:rsid w:val="003F58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5806"/>
  </w:style>
  <w:style w:type="paragraph" w:styleId="CommentSubject">
    <w:name w:val="annotation subject"/>
    <w:basedOn w:val="CommentText"/>
    <w:next w:val="CommentText"/>
    <w:link w:val="CommentSubjectChar"/>
    <w:uiPriority w:val="99"/>
    <w:semiHidden/>
    <w:unhideWhenUsed/>
    <w:rsid w:val="00C16D17"/>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16D17"/>
    <w:rPr>
      <w:rFonts w:ascii="Times New Roman" w:eastAsia="Times New Roman" w:hAnsi="Times New Roman" w:cs="Times New Roman"/>
      <w:b/>
      <w:bCs/>
      <w:sz w:val="20"/>
      <w:szCs w:val="20"/>
      <w:lang w:eastAsia="lv-LV"/>
    </w:rPr>
  </w:style>
  <w:style w:type="paragraph" w:customStyle="1" w:styleId="naisc">
    <w:name w:val="naisc"/>
    <w:basedOn w:val="Normal"/>
    <w:rsid w:val="00791C49"/>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kr">
    <w:name w:val="naiskr"/>
    <w:basedOn w:val="Normal"/>
    <w:rsid w:val="00BC785E"/>
    <w:pPr>
      <w:spacing w:before="75" w:after="75"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800BF5"/>
    <w:pPr>
      <w:spacing w:before="150" w:after="150" w:line="240" w:lineRule="auto"/>
      <w:jc w:val="center"/>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24627">
      <w:bodyDiv w:val="1"/>
      <w:marLeft w:val="0"/>
      <w:marRight w:val="0"/>
      <w:marTop w:val="0"/>
      <w:marBottom w:val="0"/>
      <w:divBdr>
        <w:top w:val="none" w:sz="0" w:space="0" w:color="auto"/>
        <w:left w:val="none" w:sz="0" w:space="0" w:color="auto"/>
        <w:bottom w:val="none" w:sz="0" w:space="0" w:color="auto"/>
        <w:right w:val="none" w:sz="0" w:space="0" w:color="auto"/>
      </w:divBdr>
    </w:div>
    <w:div w:id="1337001836">
      <w:bodyDiv w:val="1"/>
      <w:marLeft w:val="0"/>
      <w:marRight w:val="0"/>
      <w:marTop w:val="0"/>
      <w:marBottom w:val="0"/>
      <w:divBdr>
        <w:top w:val="none" w:sz="0" w:space="0" w:color="auto"/>
        <w:left w:val="none" w:sz="0" w:space="0" w:color="auto"/>
        <w:bottom w:val="none" w:sz="0" w:space="0" w:color="auto"/>
        <w:right w:val="none" w:sz="0" w:space="0" w:color="auto"/>
      </w:divBdr>
    </w:div>
    <w:div w:id="1349522546">
      <w:bodyDiv w:val="1"/>
      <w:marLeft w:val="0"/>
      <w:marRight w:val="0"/>
      <w:marTop w:val="0"/>
      <w:marBottom w:val="0"/>
      <w:divBdr>
        <w:top w:val="none" w:sz="0" w:space="0" w:color="auto"/>
        <w:left w:val="none" w:sz="0" w:space="0" w:color="auto"/>
        <w:bottom w:val="none" w:sz="0" w:space="0" w:color="auto"/>
        <w:right w:val="none" w:sz="0" w:space="0" w:color="auto"/>
      </w:divBdr>
    </w:div>
    <w:div w:id="176602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a.maslov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2C263-66A1-4E44-9FD1-E2739904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4210</Words>
  <Characters>28846</Characters>
  <Application>Microsoft Office Word</Application>
  <DocSecurity>0</DocSecurity>
  <Lines>565</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Maslova</dc:creator>
  <cp:keywords/>
  <dc:description/>
  <cp:lastModifiedBy>Lana Maslova</cp:lastModifiedBy>
  <cp:revision>15</cp:revision>
  <cp:lastPrinted>2017-01-30T09:50:00Z</cp:lastPrinted>
  <dcterms:created xsi:type="dcterms:W3CDTF">2017-01-27T14:45:00Z</dcterms:created>
  <dcterms:modified xsi:type="dcterms:W3CDTF">2017-01-30T11:54:00Z</dcterms:modified>
</cp:coreProperties>
</file>